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A9D" w:rsidRPr="00B32A9D" w:rsidRDefault="00B32A9D" w:rsidP="00475F23">
      <w:pPr>
        <w:spacing w:after="0" w:line="240" w:lineRule="auto"/>
        <w:jc w:val="center"/>
        <w:rPr>
          <w:rFonts w:ascii="Times New Roman" w:eastAsia="Times New Roman" w:hAnsi="Times New Roman" w:cs="Times New Roman"/>
          <w:b/>
          <w:sz w:val="26"/>
          <w:szCs w:val="26"/>
        </w:rPr>
      </w:pPr>
      <w:r w:rsidRPr="00B32A9D">
        <w:rPr>
          <w:rFonts w:ascii="Times New Roman" w:eastAsia="Times New Roman" w:hAnsi="Times New Roman" w:cs="Times New Roman"/>
          <w:b/>
          <w:sz w:val="26"/>
          <w:szCs w:val="26"/>
        </w:rPr>
        <w:t>PENNSYLVANIA</w:t>
      </w:r>
    </w:p>
    <w:p w:rsidR="00B32A9D" w:rsidRPr="00B32A9D" w:rsidRDefault="00B32A9D" w:rsidP="00475F23">
      <w:pPr>
        <w:spacing w:after="0" w:line="240" w:lineRule="auto"/>
        <w:jc w:val="center"/>
        <w:rPr>
          <w:rFonts w:ascii="Times New Roman" w:eastAsia="Times New Roman" w:hAnsi="Times New Roman" w:cs="Times New Roman"/>
          <w:b/>
          <w:sz w:val="26"/>
          <w:szCs w:val="26"/>
        </w:rPr>
      </w:pPr>
      <w:r w:rsidRPr="00B32A9D">
        <w:rPr>
          <w:rFonts w:ascii="Times New Roman" w:eastAsia="Times New Roman" w:hAnsi="Times New Roman" w:cs="Times New Roman"/>
          <w:b/>
          <w:sz w:val="26"/>
          <w:szCs w:val="26"/>
        </w:rPr>
        <w:t>PUBLIC UTILITY COMMISSION</w:t>
      </w:r>
    </w:p>
    <w:p w:rsidR="00B32A9D" w:rsidRPr="00B32A9D" w:rsidRDefault="00B32A9D" w:rsidP="00475F23">
      <w:pPr>
        <w:spacing w:after="0" w:line="240" w:lineRule="auto"/>
        <w:jc w:val="center"/>
        <w:rPr>
          <w:rFonts w:ascii="Times New Roman" w:eastAsia="Times New Roman" w:hAnsi="Times New Roman" w:cs="Times New Roman"/>
          <w:b/>
          <w:sz w:val="26"/>
          <w:szCs w:val="26"/>
        </w:rPr>
      </w:pPr>
      <w:r w:rsidRPr="00B32A9D">
        <w:rPr>
          <w:rFonts w:ascii="Times New Roman" w:eastAsia="Times New Roman" w:hAnsi="Times New Roman" w:cs="Times New Roman"/>
          <w:b/>
          <w:sz w:val="26"/>
          <w:szCs w:val="26"/>
        </w:rPr>
        <w:t>Harrisburg, PA  17105-3265</w:t>
      </w:r>
    </w:p>
    <w:p w:rsidR="00B32A9D" w:rsidRPr="00B32A9D" w:rsidRDefault="00B32A9D" w:rsidP="00475F23">
      <w:pPr>
        <w:spacing w:after="0" w:line="240" w:lineRule="auto"/>
        <w:rPr>
          <w:rFonts w:ascii="Times New Roman" w:eastAsia="Times New Roman" w:hAnsi="Times New Roman" w:cs="Times New Roman"/>
          <w:sz w:val="26"/>
          <w:szCs w:val="26"/>
        </w:rPr>
      </w:pPr>
    </w:p>
    <w:p w:rsidR="00B32A9D" w:rsidRPr="00B32A9D" w:rsidRDefault="00B32A9D" w:rsidP="00475F23">
      <w:pPr>
        <w:spacing w:after="0" w:line="240" w:lineRule="auto"/>
        <w:rPr>
          <w:rFonts w:ascii="Times New Roman" w:eastAsia="Times New Roman" w:hAnsi="Times New Roman" w:cs="Times New Roman"/>
          <w:sz w:val="26"/>
          <w:szCs w:val="26"/>
        </w:rPr>
      </w:pPr>
    </w:p>
    <w:p w:rsidR="00B32A9D" w:rsidRPr="00B32A9D" w:rsidRDefault="00B32A9D" w:rsidP="00475F23">
      <w:pPr>
        <w:spacing w:after="0" w:line="240" w:lineRule="auto"/>
        <w:jc w:val="right"/>
        <w:rPr>
          <w:rFonts w:ascii="Times New Roman" w:eastAsia="Times New Roman" w:hAnsi="Times New Roman" w:cs="Times New Roman"/>
          <w:sz w:val="26"/>
          <w:szCs w:val="26"/>
        </w:rPr>
      </w:pPr>
      <w:r w:rsidRPr="00B32A9D">
        <w:rPr>
          <w:rFonts w:ascii="Times New Roman" w:eastAsia="Times New Roman" w:hAnsi="Times New Roman" w:cs="Times New Roman"/>
          <w:sz w:val="26"/>
          <w:szCs w:val="26"/>
        </w:rPr>
        <w:t xml:space="preserve">Public Meeting held </w:t>
      </w:r>
      <w:r w:rsidR="007E5BB0">
        <w:rPr>
          <w:rFonts w:ascii="Times New Roman" w:eastAsia="Times New Roman" w:hAnsi="Times New Roman" w:cs="Times New Roman"/>
          <w:sz w:val="26"/>
          <w:szCs w:val="26"/>
        </w:rPr>
        <w:t>May 3</w:t>
      </w:r>
      <w:r w:rsidRPr="00B32A9D">
        <w:rPr>
          <w:rFonts w:ascii="Times New Roman" w:eastAsia="Times New Roman" w:hAnsi="Times New Roman" w:cs="Times New Roman"/>
          <w:sz w:val="26"/>
          <w:szCs w:val="26"/>
        </w:rPr>
        <w:t>, 201</w:t>
      </w:r>
      <w:r w:rsidRPr="00E95541">
        <w:rPr>
          <w:rFonts w:ascii="Times New Roman" w:eastAsia="Times New Roman" w:hAnsi="Times New Roman" w:cs="Times New Roman"/>
          <w:sz w:val="26"/>
          <w:szCs w:val="26"/>
        </w:rPr>
        <w:t>8</w:t>
      </w:r>
    </w:p>
    <w:p w:rsidR="00B32A9D" w:rsidRPr="00B32A9D" w:rsidRDefault="00B32A9D" w:rsidP="00475F23">
      <w:pPr>
        <w:tabs>
          <w:tab w:val="left" w:pos="7375"/>
        </w:tabs>
        <w:spacing w:after="0" w:line="240" w:lineRule="auto"/>
        <w:jc w:val="both"/>
        <w:rPr>
          <w:rFonts w:ascii="Times New Roman" w:eastAsia="Times New Roman" w:hAnsi="Times New Roman" w:cs="Times New Roman"/>
          <w:sz w:val="26"/>
          <w:szCs w:val="26"/>
        </w:rPr>
      </w:pPr>
    </w:p>
    <w:p w:rsidR="00B32A9D" w:rsidRDefault="00B32A9D" w:rsidP="00475F23">
      <w:pPr>
        <w:tabs>
          <w:tab w:val="left" w:pos="7375"/>
        </w:tabs>
        <w:spacing w:after="0" w:line="240" w:lineRule="auto"/>
        <w:jc w:val="both"/>
        <w:rPr>
          <w:rFonts w:ascii="Times New Roman" w:eastAsia="Times New Roman" w:hAnsi="Times New Roman" w:cs="Times New Roman"/>
          <w:sz w:val="26"/>
          <w:szCs w:val="26"/>
        </w:rPr>
      </w:pPr>
    </w:p>
    <w:p w:rsidR="00CE5538" w:rsidRPr="00B32A9D" w:rsidRDefault="00CE5538" w:rsidP="00475F23">
      <w:pPr>
        <w:tabs>
          <w:tab w:val="left" w:pos="7375"/>
        </w:tabs>
        <w:spacing w:after="0" w:line="240" w:lineRule="auto"/>
        <w:jc w:val="both"/>
        <w:rPr>
          <w:rFonts w:ascii="Times New Roman" w:eastAsia="Times New Roman" w:hAnsi="Times New Roman" w:cs="Times New Roman"/>
          <w:sz w:val="26"/>
          <w:szCs w:val="26"/>
        </w:rPr>
      </w:pPr>
    </w:p>
    <w:p w:rsidR="00B32A9D" w:rsidRPr="00B32A9D" w:rsidRDefault="00B32A9D" w:rsidP="00475F23">
      <w:pPr>
        <w:tabs>
          <w:tab w:val="left" w:pos="7375"/>
        </w:tabs>
        <w:spacing w:after="0" w:line="240" w:lineRule="auto"/>
        <w:jc w:val="both"/>
        <w:rPr>
          <w:rFonts w:ascii="Times New Roman" w:eastAsia="Times New Roman" w:hAnsi="Times New Roman" w:cs="Times New Roman"/>
          <w:sz w:val="26"/>
          <w:szCs w:val="26"/>
        </w:rPr>
      </w:pPr>
      <w:r w:rsidRPr="00B32A9D">
        <w:rPr>
          <w:rFonts w:ascii="Times New Roman" w:eastAsia="Times New Roman" w:hAnsi="Times New Roman" w:cs="Times New Roman"/>
          <w:sz w:val="26"/>
          <w:szCs w:val="26"/>
        </w:rPr>
        <w:t>Commissioners Present:</w:t>
      </w:r>
    </w:p>
    <w:p w:rsidR="00B32A9D" w:rsidRDefault="00B32A9D" w:rsidP="00475F23">
      <w:pPr>
        <w:tabs>
          <w:tab w:val="left" w:pos="7237"/>
        </w:tabs>
        <w:spacing w:after="0" w:line="240" w:lineRule="auto"/>
        <w:rPr>
          <w:rFonts w:ascii="Times New Roman" w:eastAsia="Times New Roman" w:hAnsi="Times New Roman" w:cs="Times New Roman"/>
          <w:sz w:val="26"/>
          <w:szCs w:val="26"/>
        </w:rPr>
      </w:pPr>
    </w:p>
    <w:p w:rsidR="00B32A9D" w:rsidRPr="00B32A9D" w:rsidRDefault="00B32A9D" w:rsidP="00925D7B">
      <w:pPr>
        <w:tabs>
          <w:tab w:val="left" w:pos="7237"/>
        </w:tabs>
        <w:spacing w:after="0" w:line="240" w:lineRule="auto"/>
        <w:rPr>
          <w:rFonts w:ascii="Times New Roman" w:eastAsia="Times New Roman" w:hAnsi="Times New Roman" w:cs="Times New Roman"/>
          <w:sz w:val="26"/>
          <w:szCs w:val="26"/>
        </w:rPr>
      </w:pPr>
    </w:p>
    <w:p w:rsidR="00B32A9D" w:rsidRPr="00B32A9D" w:rsidRDefault="00B32A9D" w:rsidP="00475F23">
      <w:pPr>
        <w:tabs>
          <w:tab w:val="left" w:pos="-720"/>
        </w:tabs>
        <w:spacing w:after="0" w:line="240" w:lineRule="auto"/>
        <w:ind w:left="720"/>
        <w:rPr>
          <w:rFonts w:ascii="Times New Roman" w:eastAsia="Times New Roman" w:hAnsi="Times New Roman" w:cs="Times New Roman"/>
          <w:sz w:val="26"/>
          <w:szCs w:val="26"/>
        </w:rPr>
      </w:pPr>
      <w:r w:rsidRPr="00B32A9D">
        <w:rPr>
          <w:rFonts w:ascii="Times New Roman" w:eastAsia="Times New Roman" w:hAnsi="Times New Roman" w:cs="Times New Roman"/>
          <w:sz w:val="26"/>
          <w:szCs w:val="26"/>
        </w:rPr>
        <w:t>Gladys M. Brown, Chairman</w:t>
      </w:r>
    </w:p>
    <w:p w:rsidR="00B32A9D" w:rsidRPr="00B32A9D" w:rsidRDefault="00B32A9D" w:rsidP="00475F23">
      <w:pPr>
        <w:tabs>
          <w:tab w:val="left" w:pos="-720"/>
        </w:tabs>
        <w:spacing w:after="0" w:line="240" w:lineRule="auto"/>
        <w:ind w:left="720"/>
        <w:rPr>
          <w:rFonts w:ascii="Times New Roman" w:eastAsia="Times New Roman" w:hAnsi="Times New Roman" w:cs="Times New Roman"/>
          <w:sz w:val="26"/>
          <w:szCs w:val="26"/>
        </w:rPr>
      </w:pPr>
      <w:r w:rsidRPr="00B32A9D">
        <w:rPr>
          <w:rFonts w:ascii="Times New Roman" w:eastAsia="Times New Roman" w:hAnsi="Times New Roman" w:cs="Times New Roman"/>
          <w:sz w:val="26"/>
          <w:szCs w:val="26"/>
        </w:rPr>
        <w:t>Andrew G. Place, Vice Chairman</w:t>
      </w:r>
    </w:p>
    <w:p w:rsidR="00B32A9D" w:rsidRPr="00B32A9D" w:rsidRDefault="00B32A9D" w:rsidP="007F22A1">
      <w:pPr>
        <w:tabs>
          <w:tab w:val="left" w:pos="-720"/>
        </w:tabs>
        <w:spacing w:after="0" w:line="240" w:lineRule="auto"/>
        <w:ind w:left="720"/>
        <w:rPr>
          <w:rFonts w:ascii="Times New Roman" w:eastAsia="Times New Roman" w:hAnsi="Times New Roman" w:cs="Times New Roman"/>
          <w:sz w:val="26"/>
          <w:szCs w:val="26"/>
        </w:rPr>
      </w:pPr>
      <w:r w:rsidRPr="00B32A9D">
        <w:rPr>
          <w:rFonts w:ascii="Times New Roman" w:eastAsia="Times New Roman" w:hAnsi="Times New Roman" w:cs="Times New Roman"/>
          <w:sz w:val="26"/>
          <w:szCs w:val="26"/>
        </w:rPr>
        <w:t>Norman J. Kennard</w:t>
      </w:r>
      <w:r w:rsidR="00CA7C16">
        <w:rPr>
          <w:rFonts w:ascii="Times New Roman" w:eastAsia="Times New Roman" w:hAnsi="Times New Roman" w:cs="Times New Roman"/>
          <w:sz w:val="26"/>
          <w:szCs w:val="26"/>
        </w:rPr>
        <w:t>, Statemen</w:t>
      </w:r>
      <w:bookmarkStart w:id="0" w:name="_GoBack"/>
      <w:bookmarkEnd w:id="0"/>
      <w:r w:rsidR="00CA7C16">
        <w:rPr>
          <w:rFonts w:ascii="Times New Roman" w:eastAsia="Times New Roman" w:hAnsi="Times New Roman" w:cs="Times New Roman"/>
          <w:sz w:val="26"/>
          <w:szCs w:val="26"/>
        </w:rPr>
        <w:t>t</w:t>
      </w:r>
    </w:p>
    <w:p w:rsidR="00B32A9D" w:rsidRPr="00B32A9D" w:rsidRDefault="00B32A9D" w:rsidP="00475F23">
      <w:pPr>
        <w:tabs>
          <w:tab w:val="left" w:pos="-720"/>
        </w:tabs>
        <w:spacing w:after="0" w:line="240" w:lineRule="auto"/>
        <w:ind w:left="720"/>
        <w:rPr>
          <w:rFonts w:ascii="Times New Roman" w:eastAsia="Times New Roman" w:hAnsi="Times New Roman" w:cs="Times New Roman"/>
          <w:sz w:val="26"/>
          <w:szCs w:val="26"/>
        </w:rPr>
      </w:pPr>
      <w:r w:rsidRPr="00B32A9D">
        <w:rPr>
          <w:rFonts w:ascii="Times New Roman" w:eastAsia="Times New Roman" w:hAnsi="Times New Roman" w:cs="Times New Roman"/>
          <w:sz w:val="26"/>
          <w:szCs w:val="26"/>
        </w:rPr>
        <w:t>David W. Sweet</w:t>
      </w:r>
    </w:p>
    <w:p w:rsidR="00B32A9D" w:rsidRPr="00B32A9D" w:rsidRDefault="00B32A9D" w:rsidP="00475F23">
      <w:pPr>
        <w:tabs>
          <w:tab w:val="left" w:pos="-720"/>
        </w:tabs>
        <w:spacing w:after="0" w:line="240" w:lineRule="auto"/>
        <w:ind w:left="720"/>
        <w:rPr>
          <w:rFonts w:ascii="Times New Roman" w:eastAsia="Times New Roman" w:hAnsi="Times New Roman" w:cs="Times New Roman"/>
          <w:sz w:val="26"/>
          <w:szCs w:val="26"/>
        </w:rPr>
      </w:pPr>
      <w:r w:rsidRPr="00B32A9D">
        <w:rPr>
          <w:rFonts w:ascii="Times New Roman" w:eastAsia="Times New Roman" w:hAnsi="Times New Roman" w:cs="Times New Roman"/>
          <w:sz w:val="26"/>
          <w:szCs w:val="26"/>
        </w:rPr>
        <w:t xml:space="preserve">John F. Coleman, Jr. </w:t>
      </w:r>
    </w:p>
    <w:p w:rsidR="00B32A9D" w:rsidRPr="00B32A9D" w:rsidRDefault="00B32A9D" w:rsidP="00475F23">
      <w:pPr>
        <w:spacing w:after="0" w:line="240" w:lineRule="auto"/>
        <w:rPr>
          <w:rFonts w:ascii="Times New Roman" w:eastAsia="Times New Roman" w:hAnsi="Times New Roman" w:cs="Times New Roman"/>
          <w:sz w:val="26"/>
          <w:szCs w:val="26"/>
        </w:rPr>
      </w:pPr>
    </w:p>
    <w:p w:rsidR="00CE5538" w:rsidRPr="00B32A9D" w:rsidRDefault="00CE5538" w:rsidP="00475F23">
      <w:pPr>
        <w:spacing w:after="0" w:line="240" w:lineRule="auto"/>
        <w:rPr>
          <w:rFonts w:ascii="Times New Roman" w:eastAsia="Times New Roman" w:hAnsi="Times New Roman" w:cs="Times New Roman"/>
          <w:sz w:val="26"/>
          <w:szCs w:val="26"/>
        </w:rPr>
      </w:pPr>
    </w:p>
    <w:tbl>
      <w:tblPr>
        <w:tblStyle w:val="TableGrid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60"/>
      </w:tblGrid>
      <w:tr w:rsidR="00B32A9D" w:rsidRPr="00B32A9D" w:rsidTr="00CF1B2F">
        <w:tc>
          <w:tcPr>
            <w:tcW w:w="4788" w:type="dxa"/>
          </w:tcPr>
          <w:p w:rsidR="00B32A9D" w:rsidRPr="00B32A9D" w:rsidRDefault="00B32A9D" w:rsidP="00475F23">
            <w:pPr>
              <w:rPr>
                <w:rFonts w:ascii="Times New Roman" w:hAnsi="Times New Roman" w:cs="Times New Roman"/>
                <w:sz w:val="26"/>
                <w:szCs w:val="26"/>
              </w:rPr>
            </w:pPr>
            <w:r w:rsidRPr="00B32A9D">
              <w:rPr>
                <w:rFonts w:ascii="Times New Roman" w:hAnsi="Times New Roman" w:cs="Times New Roman"/>
                <w:sz w:val="26"/>
                <w:szCs w:val="26"/>
              </w:rPr>
              <w:t xml:space="preserve">Pennsylvania Public Utility Commission </w:t>
            </w:r>
          </w:p>
          <w:p w:rsidR="00B32A9D" w:rsidRPr="00B32A9D" w:rsidRDefault="00B32A9D" w:rsidP="00475F23">
            <w:pPr>
              <w:rPr>
                <w:rFonts w:ascii="Times New Roman" w:hAnsi="Times New Roman" w:cs="Times New Roman"/>
                <w:sz w:val="26"/>
                <w:szCs w:val="26"/>
              </w:rPr>
            </w:pPr>
            <w:r w:rsidRPr="00B32A9D">
              <w:rPr>
                <w:rFonts w:ascii="Times New Roman" w:hAnsi="Times New Roman" w:cs="Times New Roman"/>
                <w:sz w:val="26"/>
                <w:szCs w:val="26"/>
              </w:rPr>
              <w:t>Office of Consumer Advocate</w:t>
            </w:r>
          </w:p>
          <w:p w:rsidR="00B32A9D" w:rsidRPr="00B32A9D" w:rsidRDefault="00B32A9D" w:rsidP="00475F23">
            <w:pPr>
              <w:rPr>
                <w:rFonts w:ascii="Times New Roman" w:hAnsi="Times New Roman" w:cs="Times New Roman"/>
                <w:sz w:val="26"/>
                <w:szCs w:val="26"/>
              </w:rPr>
            </w:pPr>
            <w:r w:rsidRPr="00B32A9D">
              <w:rPr>
                <w:rFonts w:ascii="Times New Roman" w:hAnsi="Times New Roman" w:cs="Times New Roman"/>
                <w:sz w:val="26"/>
                <w:szCs w:val="26"/>
              </w:rPr>
              <w:t xml:space="preserve">Office of Small Business Advocate </w:t>
            </w:r>
          </w:p>
          <w:p w:rsidR="00B32A9D" w:rsidRPr="00B32A9D" w:rsidRDefault="00B32A9D" w:rsidP="00475F23">
            <w:pPr>
              <w:rPr>
                <w:rFonts w:ascii="Times New Roman" w:hAnsi="Times New Roman" w:cs="Times New Roman"/>
                <w:sz w:val="26"/>
                <w:szCs w:val="26"/>
              </w:rPr>
            </w:pPr>
            <w:r w:rsidRPr="00B32A9D">
              <w:rPr>
                <w:rFonts w:ascii="Times New Roman" w:hAnsi="Times New Roman" w:cs="Times New Roman"/>
                <w:sz w:val="26"/>
                <w:szCs w:val="26"/>
              </w:rPr>
              <w:t>Philadelphia Industrial &amp; Commercial Gas Users Group &amp; William Dingfelder</w:t>
            </w:r>
          </w:p>
          <w:p w:rsidR="00B32A9D" w:rsidRPr="00B32A9D" w:rsidRDefault="00B32A9D" w:rsidP="00475F23">
            <w:pPr>
              <w:rPr>
                <w:rFonts w:ascii="Times New Roman" w:hAnsi="Times New Roman" w:cs="Times New Roman"/>
                <w:sz w:val="26"/>
                <w:szCs w:val="26"/>
              </w:rPr>
            </w:pPr>
          </w:p>
          <w:p w:rsidR="00B32A9D" w:rsidRPr="00B32A9D" w:rsidRDefault="00212E4E" w:rsidP="00475F23">
            <w:pPr>
              <w:rPr>
                <w:rFonts w:ascii="Times New Roman" w:hAnsi="Times New Roman" w:cs="Times New Roman"/>
                <w:sz w:val="26"/>
                <w:szCs w:val="26"/>
              </w:rPr>
            </w:pPr>
            <w:r>
              <w:rPr>
                <w:rStyle w:val="SubtitleChar"/>
              </w:rPr>
              <w:tab/>
            </w:r>
            <w:r>
              <w:rPr>
                <w:rStyle w:val="SubtitleChar"/>
              </w:rPr>
              <w:tab/>
              <w:t xml:space="preserve">   </w:t>
            </w:r>
            <w:r w:rsidR="00B32A9D" w:rsidRPr="00B32A9D">
              <w:rPr>
                <w:rFonts w:ascii="Times New Roman" w:hAnsi="Times New Roman" w:cs="Times New Roman"/>
                <w:sz w:val="26"/>
                <w:szCs w:val="26"/>
              </w:rPr>
              <w:t>v.</w:t>
            </w:r>
          </w:p>
          <w:p w:rsidR="00B32A9D" w:rsidRPr="00B32A9D" w:rsidRDefault="00B32A9D" w:rsidP="00475F23">
            <w:pPr>
              <w:rPr>
                <w:rFonts w:ascii="Times New Roman" w:hAnsi="Times New Roman" w:cs="Times New Roman"/>
                <w:sz w:val="26"/>
                <w:szCs w:val="26"/>
              </w:rPr>
            </w:pPr>
          </w:p>
          <w:p w:rsidR="00B32A9D" w:rsidRPr="00B32A9D" w:rsidRDefault="00B32A9D" w:rsidP="00475F23">
            <w:pPr>
              <w:rPr>
                <w:rFonts w:ascii="Times New Roman" w:hAnsi="Times New Roman" w:cs="Times New Roman"/>
                <w:sz w:val="26"/>
                <w:szCs w:val="26"/>
              </w:rPr>
            </w:pPr>
            <w:r w:rsidRPr="00B32A9D">
              <w:rPr>
                <w:rFonts w:ascii="Times New Roman" w:hAnsi="Times New Roman" w:cs="Times New Roman"/>
                <w:sz w:val="26"/>
                <w:szCs w:val="26"/>
              </w:rPr>
              <w:t>Philadelphia Gas Works</w:t>
            </w:r>
          </w:p>
        </w:tc>
        <w:tc>
          <w:tcPr>
            <w:tcW w:w="4860" w:type="dxa"/>
          </w:tcPr>
          <w:p w:rsidR="00B32A9D" w:rsidRPr="00B32A9D" w:rsidRDefault="00B32A9D" w:rsidP="00475F23">
            <w:pPr>
              <w:jc w:val="right"/>
              <w:rPr>
                <w:rFonts w:ascii="Times New Roman" w:hAnsi="Times New Roman" w:cs="Times New Roman"/>
                <w:sz w:val="26"/>
                <w:szCs w:val="26"/>
              </w:rPr>
            </w:pPr>
            <w:r w:rsidRPr="00B32A9D">
              <w:rPr>
                <w:rFonts w:ascii="Times New Roman" w:hAnsi="Times New Roman" w:cs="Times New Roman"/>
                <w:sz w:val="26"/>
                <w:szCs w:val="26"/>
              </w:rPr>
              <w:t>R-2017-2586783</w:t>
            </w:r>
          </w:p>
          <w:p w:rsidR="00B32A9D" w:rsidRPr="00B32A9D" w:rsidRDefault="00B32A9D" w:rsidP="00475F23">
            <w:pPr>
              <w:jc w:val="right"/>
              <w:rPr>
                <w:rFonts w:ascii="Times New Roman" w:hAnsi="Times New Roman" w:cs="Times New Roman"/>
                <w:sz w:val="26"/>
                <w:szCs w:val="26"/>
              </w:rPr>
            </w:pPr>
            <w:r w:rsidRPr="00B32A9D">
              <w:rPr>
                <w:rFonts w:ascii="Times New Roman" w:hAnsi="Times New Roman" w:cs="Times New Roman"/>
                <w:sz w:val="26"/>
                <w:szCs w:val="26"/>
              </w:rPr>
              <w:t>C-2017-2592092</w:t>
            </w:r>
          </w:p>
          <w:p w:rsidR="00B32A9D" w:rsidRPr="00B32A9D" w:rsidRDefault="00B32A9D" w:rsidP="00475F23">
            <w:pPr>
              <w:jc w:val="right"/>
              <w:rPr>
                <w:rFonts w:ascii="Times New Roman" w:hAnsi="Times New Roman" w:cs="Times New Roman"/>
                <w:sz w:val="26"/>
                <w:szCs w:val="26"/>
              </w:rPr>
            </w:pPr>
            <w:r w:rsidRPr="00B32A9D">
              <w:rPr>
                <w:rFonts w:ascii="Times New Roman" w:hAnsi="Times New Roman" w:cs="Times New Roman"/>
                <w:sz w:val="26"/>
                <w:szCs w:val="26"/>
              </w:rPr>
              <w:t>C-2017-2593497</w:t>
            </w:r>
          </w:p>
          <w:p w:rsidR="00B32A9D" w:rsidRPr="00B32A9D" w:rsidRDefault="00B32A9D" w:rsidP="00475F23">
            <w:pPr>
              <w:jc w:val="right"/>
              <w:rPr>
                <w:rFonts w:ascii="Times New Roman" w:hAnsi="Times New Roman" w:cs="Times New Roman"/>
                <w:sz w:val="26"/>
                <w:szCs w:val="26"/>
              </w:rPr>
            </w:pPr>
            <w:r w:rsidRPr="00B32A9D">
              <w:rPr>
                <w:rFonts w:ascii="Times New Roman" w:hAnsi="Times New Roman" w:cs="Times New Roman"/>
                <w:sz w:val="26"/>
                <w:szCs w:val="26"/>
              </w:rPr>
              <w:t>C-2017-2595147</w:t>
            </w:r>
          </w:p>
          <w:p w:rsidR="00B32A9D" w:rsidRPr="00B32A9D" w:rsidRDefault="00B32A9D" w:rsidP="00475F23">
            <w:pPr>
              <w:jc w:val="right"/>
              <w:rPr>
                <w:rFonts w:ascii="Times New Roman" w:hAnsi="Times New Roman" w:cs="Times New Roman"/>
                <w:sz w:val="26"/>
                <w:szCs w:val="26"/>
              </w:rPr>
            </w:pPr>
            <w:r w:rsidRPr="00B32A9D">
              <w:rPr>
                <w:rFonts w:ascii="Times New Roman" w:hAnsi="Times New Roman" w:cs="Times New Roman"/>
                <w:sz w:val="26"/>
                <w:szCs w:val="26"/>
              </w:rPr>
              <w:t>C-2017-2593903</w:t>
            </w:r>
          </w:p>
        </w:tc>
      </w:tr>
    </w:tbl>
    <w:p w:rsidR="00B32A9D" w:rsidRPr="00B32A9D" w:rsidRDefault="00B32A9D" w:rsidP="00475F23">
      <w:pPr>
        <w:spacing w:after="0" w:line="240" w:lineRule="auto"/>
        <w:rPr>
          <w:rFonts w:ascii="Times New Roman" w:eastAsia="Times New Roman" w:hAnsi="Times New Roman" w:cs="Times New Roman"/>
          <w:b/>
          <w:sz w:val="26"/>
          <w:szCs w:val="26"/>
        </w:rPr>
      </w:pPr>
    </w:p>
    <w:p w:rsidR="00B32A9D" w:rsidRPr="00B32A9D" w:rsidRDefault="00B32A9D" w:rsidP="00475F23">
      <w:pPr>
        <w:spacing w:after="0" w:line="240" w:lineRule="auto"/>
        <w:jc w:val="center"/>
        <w:rPr>
          <w:rFonts w:ascii="Times New Roman" w:eastAsia="Times New Roman" w:hAnsi="Times New Roman" w:cs="Times New Roman"/>
          <w:b/>
          <w:sz w:val="26"/>
          <w:szCs w:val="26"/>
        </w:rPr>
      </w:pPr>
    </w:p>
    <w:p w:rsidR="00B32A9D" w:rsidRDefault="00B32A9D" w:rsidP="00475F23">
      <w:pPr>
        <w:spacing w:after="0" w:line="240" w:lineRule="auto"/>
        <w:ind w:left="360"/>
        <w:jc w:val="center"/>
        <w:rPr>
          <w:rFonts w:ascii="Times New Roman" w:eastAsia="Times New Roman" w:hAnsi="Times New Roman" w:cs="Times New Roman"/>
          <w:b/>
          <w:sz w:val="26"/>
          <w:szCs w:val="26"/>
        </w:rPr>
      </w:pPr>
      <w:r w:rsidRPr="00E95541">
        <w:rPr>
          <w:rFonts w:ascii="Times New Roman" w:eastAsia="Times New Roman" w:hAnsi="Times New Roman" w:cs="Times New Roman"/>
          <w:b/>
          <w:sz w:val="26"/>
          <w:szCs w:val="26"/>
        </w:rPr>
        <w:t>OPINION AND ORDER</w:t>
      </w:r>
    </w:p>
    <w:p w:rsidR="00627720" w:rsidRDefault="00627720" w:rsidP="00475F23">
      <w:pPr>
        <w:spacing w:after="0" w:line="240" w:lineRule="auto"/>
        <w:ind w:left="360"/>
        <w:jc w:val="center"/>
        <w:rPr>
          <w:rFonts w:ascii="Times New Roman" w:hAnsi="Times New Roman" w:cs="Times New Roman"/>
          <w:sz w:val="26"/>
          <w:szCs w:val="26"/>
        </w:rPr>
      </w:pPr>
    </w:p>
    <w:p w:rsidR="00627720" w:rsidRPr="00E95541" w:rsidRDefault="00627720" w:rsidP="00475F23">
      <w:pPr>
        <w:spacing w:after="0" w:line="240" w:lineRule="auto"/>
        <w:ind w:left="360"/>
        <w:jc w:val="center"/>
        <w:rPr>
          <w:rFonts w:ascii="Times New Roman" w:hAnsi="Times New Roman" w:cs="Times New Roman"/>
          <w:sz w:val="26"/>
          <w:szCs w:val="26"/>
        </w:rPr>
      </w:pPr>
    </w:p>
    <w:p w:rsidR="001217DA" w:rsidRPr="002F1918" w:rsidRDefault="001217DA" w:rsidP="00475F23">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Before the Pennsylvania Public Utility Commission (Commission) for consideration and disposition is the Petition for Reconsideration (Reconsideration Petition) filed by the Office of Consumer Advocate (OCA) on November 27, 2017, to the Commission’s Opinion and Order entered in this proceeding on November 8, 2017 (</w:t>
      </w:r>
      <w:r w:rsidRPr="00E95541">
        <w:rPr>
          <w:rFonts w:ascii="Times New Roman" w:hAnsi="Times New Roman" w:cs="Times New Roman"/>
          <w:i/>
          <w:sz w:val="26"/>
          <w:szCs w:val="26"/>
        </w:rPr>
        <w:t>November 8 Order</w:t>
      </w:r>
      <w:r w:rsidRPr="00E95541">
        <w:rPr>
          <w:rFonts w:ascii="Times New Roman" w:hAnsi="Times New Roman" w:cs="Times New Roman"/>
          <w:sz w:val="26"/>
          <w:szCs w:val="26"/>
        </w:rPr>
        <w:t>)</w:t>
      </w:r>
      <w:r w:rsidR="00A9475A" w:rsidRPr="00E95541">
        <w:rPr>
          <w:rFonts w:ascii="Times New Roman" w:hAnsi="Times New Roman" w:cs="Times New Roman"/>
          <w:sz w:val="26"/>
          <w:szCs w:val="26"/>
        </w:rPr>
        <w:t xml:space="preserve">, and the </w:t>
      </w:r>
      <w:r w:rsidRPr="00E95541">
        <w:rPr>
          <w:rFonts w:ascii="Times New Roman" w:hAnsi="Times New Roman" w:cs="Times New Roman"/>
          <w:sz w:val="26"/>
          <w:szCs w:val="26"/>
        </w:rPr>
        <w:t>Answer to the Reconsideration Petition</w:t>
      </w:r>
      <w:r w:rsidR="00A9475A" w:rsidRPr="00E95541">
        <w:rPr>
          <w:rFonts w:ascii="Times New Roman" w:hAnsi="Times New Roman" w:cs="Times New Roman"/>
          <w:sz w:val="26"/>
          <w:szCs w:val="26"/>
        </w:rPr>
        <w:t xml:space="preserve"> filed by Philadelphia Gas Works (PGW) on December 7, 2017.  </w:t>
      </w:r>
      <w:r w:rsidR="00146606" w:rsidRPr="00146606">
        <w:rPr>
          <w:rFonts w:ascii="Times New Roman" w:eastAsia="Calibri" w:hAnsi="Times New Roman" w:cs="Times New Roman"/>
          <w:sz w:val="26"/>
          <w:szCs w:val="26"/>
        </w:rPr>
        <w:t xml:space="preserve">For the reasons discussed, </w:t>
      </w:r>
      <w:r w:rsidR="00146606" w:rsidRPr="00146606">
        <w:rPr>
          <w:rFonts w:ascii="Times New Roman" w:eastAsia="Calibri" w:hAnsi="Times New Roman" w:cs="Times New Roman"/>
          <w:i/>
          <w:sz w:val="26"/>
          <w:szCs w:val="26"/>
        </w:rPr>
        <w:t>infra</w:t>
      </w:r>
      <w:r w:rsidR="00146606" w:rsidRPr="00146606">
        <w:rPr>
          <w:rFonts w:ascii="Times New Roman" w:eastAsia="Calibri" w:hAnsi="Times New Roman" w:cs="Times New Roman"/>
          <w:sz w:val="26"/>
          <w:szCs w:val="26"/>
        </w:rPr>
        <w:t>, we shall grant th</w:t>
      </w:r>
      <w:r w:rsidR="00FF3724">
        <w:rPr>
          <w:rFonts w:ascii="Times New Roman" w:eastAsia="Calibri" w:hAnsi="Times New Roman" w:cs="Times New Roman"/>
          <w:sz w:val="26"/>
          <w:szCs w:val="26"/>
        </w:rPr>
        <w:t xml:space="preserve">e Petition for Reconsideration </w:t>
      </w:r>
      <w:r w:rsidR="00146606" w:rsidRPr="00146606">
        <w:rPr>
          <w:rFonts w:ascii="Times New Roman" w:eastAsia="Calibri" w:hAnsi="Times New Roman" w:cs="Times New Roman"/>
          <w:sz w:val="26"/>
          <w:szCs w:val="26"/>
        </w:rPr>
        <w:t xml:space="preserve">and modify the Recommended Decision </w:t>
      </w:r>
      <w:r w:rsidR="00146606" w:rsidRPr="00146606">
        <w:rPr>
          <w:rFonts w:ascii="Times New Roman" w:eastAsia="Calibri" w:hAnsi="Times New Roman" w:cs="Times New Roman"/>
          <w:sz w:val="26"/>
          <w:szCs w:val="26"/>
        </w:rPr>
        <w:lastRenderedPageBreak/>
        <w:t xml:space="preserve">(R.D.) of Administrative Law Judges Christopher P. Pell and Marta Guhl (collectively, the ALJs), that was issued </w:t>
      </w:r>
      <w:r w:rsidR="00B40C47">
        <w:rPr>
          <w:rFonts w:ascii="Times New Roman" w:eastAsia="Calibri" w:hAnsi="Times New Roman" w:cs="Times New Roman"/>
          <w:sz w:val="26"/>
          <w:szCs w:val="26"/>
        </w:rPr>
        <w:t xml:space="preserve">in this proceeding </w:t>
      </w:r>
      <w:r w:rsidR="00146606" w:rsidRPr="00146606">
        <w:rPr>
          <w:rFonts w:ascii="Times New Roman" w:eastAsia="Calibri" w:hAnsi="Times New Roman" w:cs="Times New Roman"/>
          <w:sz w:val="26"/>
          <w:szCs w:val="26"/>
        </w:rPr>
        <w:t>on September 8, 2017</w:t>
      </w:r>
      <w:r w:rsidR="00B40C47">
        <w:rPr>
          <w:rFonts w:ascii="Times New Roman" w:eastAsia="Calibri" w:hAnsi="Times New Roman" w:cs="Times New Roman"/>
          <w:sz w:val="26"/>
          <w:szCs w:val="26"/>
        </w:rPr>
        <w:t>.</w:t>
      </w:r>
    </w:p>
    <w:p w:rsidR="00627720" w:rsidRPr="00E95541" w:rsidRDefault="00627720" w:rsidP="00475F23">
      <w:pPr>
        <w:spacing w:after="0" w:line="360" w:lineRule="auto"/>
        <w:ind w:firstLine="1440"/>
        <w:rPr>
          <w:rFonts w:ascii="Times New Roman" w:hAnsi="Times New Roman" w:cs="Times New Roman"/>
          <w:sz w:val="26"/>
          <w:szCs w:val="26"/>
        </w:rPr>
      </w:pPr>
    </w:p>
    <w:p w:rsidR="00E7791C" w:rsidRPr="00627720" w:rsidRDefault="00E7791C" w:rsidP="00C61BB0">
      <w:pPr>
        <w:pStyle w:val="ListParagraph"/>
        <w:keepNext/>
        <w:keepLines/>
        <w:numPr>
          <w:ilvl w:val="0"/>
          <w:numId w:val="2"/>
        </w:numPr>
        <w:spacing w:after="0" w:line="360" w:lineRule="auto"/>
        <w:contextualSpacing w:val="0"/>
        <w:jc w:val="center"/>
        <w:rPr>
          <w:rFonts w:ascii="Times New Roman" w:hAnsi="Times New Roman" w:cs="Times New Roman"/>
          <w:b/>
          <w:sz w:val="26"/>
          <w:szCs w:val="26"/>
        </w:rPr>
      </w:pPr>
      <w:r w:rsidRPr="00E95541">
        <w:rPr>
          <w:rFonts w:ascii="Times New Roman" w:hAnsi="Times New Roman" w:cs="Times New Roman"/>
          <w:b/>
          <w:sz w:val="26"/>
          <w:szCs w:val="26"/>
        </w:rPr>
        <w:t>History of Proceeding</w:t>
      </w:r>
      <w:r w:rsidR="008F4B39" w:rsidRPr="00E95541">
        <w:rPr>
          <w:rStyle w:val="FootnoteReference"/>
          <w:rFonts w:ascii="Times New Roman" w:hAnsi="Times New Roman" w:cs="Times New Roman"/>
          <w:sz w:val="26"/>
          <w:szCs w:val="26"/>
        </w:rPr>
        <w:footnoteReference w:id="2"/>
      </w:r>
    </w:p>
    <w:p w:rsidR="00627720" w:rsidRPr="00E95541" w:rsidRDefault="00627720" w:rsidP="00475F23">
      <w:pPr>
        <w:pStyle w:val="ListParagraph"/>
        <w:keepNext/>
        <w:keepLines/>
        <w:spacing w:after="0" w:line="360" w:lineRule="auto"/>
        <w:ind w:left="1080"/>
        <w:contextualSpacing w:val="0"/>
        <w:rPr>
          <w:rFonts w:ascii="Times New Roman" w:hAnsi="Times New Roman" w:cs="Times New Roman"/>
          <w:b/>
          <w:sz w:val="26"/>
          <w:szCs w:val="26"/>
        </w:rPr>
      </w:pPr>
    </w:p>
    <w:p w:rsidR="00E95541" w:rsidRDefault="00CE39C3" w:rsidP="00475F23">
      <w:pPr>
        <w:spacing w:after="0" w:line="360" w:lineRule="auto"/>
        <w:ind w:firstLine="1440"/>
        <w:rPr>
          <w:rFonts w:ascii="Times New Roman" w:hAnsi="Times New Roman" w:cs="Times New Roman"/>
          <w:w w:val="102"/>
          <w:sz w:val="26"/>
          <w:szCs w:val="26"/>
        </w:rPr>
      </w:pPr>
      <w:r w:rsidRPr="00E95541">
        <w:rPr>
          <w:rFonts w:ascii="Times New Roman" w:hAnsi="Times New Roman" w:cs="Times New Roman"/>
          <w:sz w:val="26"/>
          <w:szCs w:val="26"/>
        </w:rPr>
        <w:t>O</w:t>
      </w:r>
      <w:r w:rsidR="008F4B39" w:rsidRPr="00E95541">
        <w:rPr>
          <w:rFonts w:ascii="Times New Roman" w:hAnsi="Times New Roman" w:cs="Times New Roman"/>
          <w:sz w:val="26"/>
          <w:szCs w:val="26"/>
        </w:rPr>
        <w:t>n February 28, 2017, PGW filed Supplement No. 100 to Tariff Gas – Pa. P.U.C. No. 2 (Supplement No. 100), with the Commission to become effective April 28, 2017, at Docket No. R</w:t>
      </w:r>
      <w:r w:rsidR="008F4B39" w:rsidRPr="00E95541">
        <w:rPr>
          <w:rFonts w:ascii="Times New Roman" w:hAnsi="Times New Roman" w:cs="Times New Roman"/>
          <w:sz w:val="26"/>
          <w:szCs w:val="26"/>
        </w:rPr>
        <w:noBreakHyphen/>
        <w:t xml:space="preserve">2017-2586783.  PGW filed Supplement No. 100 pursuant to Section 1308(d) of the Public Utility Code (Code), 66 Pa. C.S. § 1308(d) (regarding general rate increases), and pursuant to Sections 53.51-53,56 of our Regulations, 52 Pa. Code §§53.51-53,56 (regarding information to be furnished with the filing of rate changes).  In Supplement No. 100, PGW proposed a general rate increase applicable to all its jurisdictional customers that would result in an annual increase in base rate revenues in the amount of $70 million, approximately </w:t>
      </w:r>
      <w:r w:rsidR="00603CF2">
        <w:rPr>
          <w:rFonts w:ascii="Times New Roman" w:hAnsi="Times New Roman" w:cs="Times New Roman"/>
          <w:sz w:val="26"/>
          <w:szCs w:val="26"/>
        </w:rPr>
        <w:t xml:space="preserve">an </w:t>
      </w:r>
      <w:r w:rsidR="00D66701">
        <w:rPr>
          <w:rFonts w:ascii="Times New Roman" w:hAnsi="Times New Roman" w:cs="Times New Roman"/>
          <w:sz w:val="26"/>
          <w:szCs w:val="26"/>
        </w:rPr>
        <w:t>11.6 percent</w:t>
      </w:r>
      <w:r w:rsidR="008F4B39" w:rsidRPr="00E95541">
        <w:rPr>
          <w:rFonts w:ascii="Times New Roman" w:hAnsi="Times New Roman" w:cs="Times New Roman"/>
          <w:sz w:val="26"/>
          <w:szCs w:val="26"/>
        </w:rPr>
        <w:t xml:space="preserve"> increase over present rates</w:t>
      </w:r>
      <w:r w:rsidR="008F4B39" w:rsidRPr="00E95541">
        <w:rPr>
          <w:rFonts w:ascii="Times New Roman" w:hAnsi="Times New Roman" w:cs="Times New Roman"/>
          <w:w w:val="102"/>
          <w:sz w:val="26"/>
          <w:szCs w:val="26"/>
        </w:rPr>
        <w:t xml:space="preserve">.  </w:t>
      </w:r>
      <w:bookmarkStart w:id="1" w:name="_BA_Cite_D73C37_000344"/>
      <w:bookmarkEnd w:id="1"/>
      <w:r w:rsidR="008F4B39" w:rsidRPr="00E95541">
        <w:rPr>
          <w:rFonts w:ascii="Times New Roman" w:hAnsi="Times New Roman" w:cs="Times New Roman"/>
          <w:w w:val="102"/>
          <w:sz w:val="26"/>
          <w:szCs w:val="26"/>
        </w:rPr>
        <w:t>PGW also filed a Petition for Waiver seeking waiver of the application of the statutory definition of the fully projected future test year (FPFTY) to permit the Company to use a FPFTY beginning on September 1, 2017, in this proceeding.</w:t>
      </w:r>
    </w:p>
    <w:p w:rsidR="00627720" w:rsidRPr="00E95541" w:rsidRDefault="00627720" w:rsidP="00475F23">
      <w:pPr>
        <w:spacing w:after="0" w:line="360" w:lineRule="auto"/>
        <w:ind w:firstLine="1440"/>
        <w:rPr>
          <w:rFonts w:ascii="Times New Roman" w:hAnsi="Times New Roman" w:cs="Times New Roman"/>
          <w:w w:val="102"/>
          <w:sz w:val="26"/>
          <w:szCs w:val="26"/>
        </w:rPr>
      </w:pPr>
    </w:p>
    <w:p w:rsidR="00E95541" w:rsidRDefault="00CE39C3" w:rsidP="00475F23">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O</w:t>
      </w:r>
      <w:r w:rsidR="00E95541" w:rsidRPr="00E95541">
        <w:rPr>
          <w:rFonts w:ascii="Times New Roman" w:hAnsi="Times New Roman" w:cs="Times New Roman"/>
          <w:sz w:val="26"/>
          <w:szCs w:val="26"/>
        </w:rPr>
        <w:t>n</w:t>
      </w:r>
      <w:r w:rsidR="008F4B39" w:rsidRPr="00E95541">
        <w:rPr>
          <w:rFonts w:ascii="Times New Roman" w:hAnsi="Times New Roman" w:cs="Times New Roman"/>
          <w:sz w:val="26"/>
          <w:szCs w:val="26"/>
        </w:rPr>
        <w:t xml:space="preserve"> March 6, 2017, the OCA filed a Public Statement, a Notice of Appearance and a Formal Complaint.</w:t>
      </w:r>
    </w:p>
    <w:p w:rsidR="00627720" w:rsidRPr="00E95541" w:rsidRDefault="00627720" w:rsidP="00475F23">
      <w:pPr>
        <w:spacing w:after="0" w:line="360" w:lineRule="auto"/>
        <w:ind w:firstLine="1440"/>
        <w:rPr>
          <w:rFonts w:ascii="Times New Roman" w:hAnsi="Times New Roman" w:cs="Times New Roman"/>
          <w:sz w:val="26"/>
          <w:szCs w:val="26"/>
        </w:rPr>
      </w:pPr>
    </w:p>
    <w:p w:rsidR="00E95541" w:rsidRDefault="008F4B39" w:rsidP="00475F23">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By Order entered March 16, 2017</w:t>
      </w:r>
      <w:r w:rsidR="00F5585D">
        <w:rPr>
          <w:rFonts w:ascii="Times New Roman" w:hAnsi="Times New Roman" w:cs="Times New Roman"/>
          <w:sz w:val="26"/>
          <w:szCs w:val="26"/>
        </w:rPr>
        <w:t xml:space="preserve"> </w:t>
      </w:r>
      <w:r w:rsidRPr="00E95541">
        <w:rPr>
          <w:rFonts w:ascii="Times New Roman" w:hAnsi="Times New Roman" w:cs="Times New Roman"/>
          <w:sz w:val="26"/>
          <w:szCs w:val="26"/>
        </w:rPr>
        <w:t>(</w:t>
      </w:r>
      <w:r w:rsidRPr="00E95541">
        <w:rPr>
          <w:rFonts w:ascii="Times New Roman" w:hAnsi="Times New Roman" w:cs="Times New Roman"/>
          <w:i/>
          <w:sz w:val="26"/>
          <w:szCs w:val="26"/>
        </w:rPr>
        <w:t>Suspension Order</w:t>
      </w:r>
      <w:r w:rsidRPr="00E95541">
        <w:rPr>
          <w:rFonts w:ascii="Times New Roman" w:hAnsi="Times New Roman" w:cs="Times New Roman"/>
          <w:sz w:val="26"/>
          <w:szCs w:val="26"/>
        </w:rPr>
        <w:t xml:space="preserve">), </w:t>
      </w:r>
      <w:r w:rsidR="00D5026A">
        <w:rPr>
          <w:rFonts w:ascii="Times New Roman" w:hAnsi="Times New Roman" w:cs="Times New Roman"/>
          <w:sz w:val="26"/>
          <w:szCs w:val="26"/>
        </w:rPr>
        <w:t>we</w:t>
      </w:r>
      <w:r w:rsidRPr="00E95541">
        <w:rPr>
          <w:rFonts w:ascii="Times New Roman" w:hAnsi="Times New Roman" w:cs="Times New Roman"/>
          <w:sz w:val="26"/>
          <w:szCs w:val="26"/>
        </w:rPr>
        <w:t xml:space="preserve"> instituted an investigation into the lawfulness, justness, and reasonableness of the proposed rate increase.  </w:t>
      </w:r>
      <w:r w:rsidR="005A40E2">
        <w:rPr>
          <w:rFonts w:ascii="Times New Roman" w:hAnsi="Times New Roman" w:cs="Times New Roman"/>
          <w:sz w:val="26"/>
          <w:szCs w:val="26"/>
        </w:rPr>
        <w:t>P</w:t>
      </w:r>
      <w:r w:rsidR="005A40E2" w:rsidRPr="00E95541">
        <w:rPr>
          <w:rFonts w:ascii="Times New Roman" w:hAnsi="Times New Roman" w:cs="Times New Roman"/>
          <w:sz w:val="26"/>
          <w:szCs w:val="26"/>
        </w:rPr>
        <w:t>ursuant to Section 1308(d) of the Code, 66 Pa. C.S. § 1308(d),</w:t>
      </w:r>
      <w:r w:rsidR="005A40E2">
        <w:rPr>
          <w:rFonts w:ascii="Times New Roman" w:hAnsi="Times New Roman" w:cs="Times New Roman"/>
          <w:sz w:val="26"/>
          <w:szCs w:val="26"/>
        </w:rPr>
        <w:t xml:space="preserve"> </w:t>
      </w:r>
      <w:r w:rsidR="00894BEA">
        <w:rPr>
          <w:rFonts w:ascii="Times New Roman" w:hAnsi="Times New Roman" w:cs="Times New Roman"/>
          <w:sz w:val="26"/>
          <w:szCs w:val="26"/>
        </w:rPr>
        <w:t xml:space="preserve">we </w:t>
      </w:r>
      <w:r w:rsidR="005A40E2">
        <w:rPr>
          <w:rFonts w:ascii="Times New Roman" w:hAnsi="Times New Roman" w:cs="Times New Roman"/>
          <w:sz w:val="26"/>
          <w:szCs w:val="26"/>
        </w:rPr>
        <w:t xml:space="preserve">suspended </w:t>
      </w:r>
      <w:r w:rsidRPr="00E95541">
        <w:rPr>
          <w:rFonts w:ascii="Times New Roman" w:hAnsi="Times New Roman" w:cs="Times New Roman"/>
          <w:sz w:val="26"/>
          <w:szCs w:val="26"/>
        </w:rPr>
        <w:t xml:space="preserve">Supplement No. 100 by operation of law, until November 28, 2017, unless permitted by Commission Order to become effective at an earlier date.  In addition, </w:t>
      </w:r>
      <w:r w:rsidR="00042362">
        <w:rPr>
          <w:rFonts w:ascii="Times New Roman" w:hAnsi="Times New Roman" w:cs="Times New Roman"/>
          <w:sz w:val="26"/>
          <w:szCs w:val="26"/>
        </w:rPr>
        <w:t>we directed in the</w:t>
      </w:r>
      <w:r w:rsidR="00894BEA">
        <w:rPr>
          <w:rFonts w:ascii="Times New Roman" w:hAnsi="Times New Roman" w:cs="Times New Roman"/>
          <w:sz w:val="26"/>
          <w:szCs w:val="26"/>
        </w:rPr>
        <w:t xml:space="preserve"> </w:t>
      </w:r>
      <w:r w:rsidRPr="00E95541">
        <w:rPr>
          <w:rFonts w:ascii="Times New Roman" w:hAnsi="Times New Roman" w:cs="Times New Roman"/>
          <w:i/>
          <w:sz w:val="26"/>
          <w:szCs w:val="26"/>
        </w:rPr>
        <w:t>Suspension Order</w:t>
      </w:r>
      <w:r w:rsidR="004F0EAA">
        <w:rPr>
          <w:rFonts w:ascii="Times New Roman" w:hAnsi="Times New Roman" w:cs="Times New Roman"/>
          <w:sz w:val="26"/>
          <w:szCs w:val="26"/>
        </w:rPr>
        <w:t xml:space="preserve"> </w:t>
      </w:r>
      <w:r w:rsidRPr="00E95541">
        <w:rPr>
          <w:rFonts w:ascii="Times New Roman" w:hAnsi="Times New Roman" w:cs="Times New Roman"/>
          <w:sz w:val="26"/>
          <w:szCs w:val="26"/>
        </w:rPr>
        <w:t xml:space="preserve">that the investigation include consideration of the lawfulness, justness and reasonableness of </w:t>
      </w:r>
      <w:r w:rsidR="0016325B">
        <w:rPr>
          <w:rFonts w:ascii="Times New Roman" w:hAnsi="Times New Roman" w:cs="Times New Roman"/>
          <w:sz w:val="26"/>
          <w:szCs w:val="26"/>
        </w:rPr>
        <w:t>PGW’s</w:t>
      </w:r>
      <w:r w:rsidRPr="00E95541">
        <w:rPr>
          <w:rFonts w:ascii="Times New Roman" w:hAnsi="Times New Roman" w:cs="Times New Roman"/>
          <w:sz w:val="26"/>
          <w:szCs w:val="26"/>
        </w:rPr>
        <w:t xml:space="preserve"> existing rates, rules, and regulations.  </w:t>
      </w:r>
      <w:r w:rsidR="00894BEA">
        <w:rPr>
          <w:rFonts w:ascii="Times New Roman" w:hAnsi="Times New Roman" w:cs="Times New Roman"/>
          <w:sz w:val="26"/>
          <w:szCs w:val="26"/>
        </w:rPr>
        <w:t xml:space="preserve">The </w:t>
      </w:r>
      <w:r w:rsidR="00903DAD">
        <w:rPr>
          <w:rFonts w:ascii="Times New Roman" w:hAnsi="Times New Roman" w:cs="Times New Roman"/>
          <w:sz w:val="26"/>
          <w:szCs w:val="26"/>
        </w:rPr>
        <w:t xml:space="preserve">investigation </w:t>
      </w:r>
      <w:r w:rsidR="00894BEA">
        <w:rPr>
          <w:rFonts w:ascii="Times New Roman" w:hAnsi="Times New Roman" w:cs="Times New Roman"/>
          <w:sz w:val="26"/>
          <w:szCs w:val="26"/>
        </w:rPr>
        <w:t xml:space="preserve">was assigned </w:t>
      </w:r>
      <w:r w:rsidRPr="00E95541">
        <w:rPr>
          <w:rFonts w:ascii="Times New Roman" w:hAnsi="Times New Roman" w:cs="Times New Roman"/>
          <w:sz w:val="26"/>
          <w:szCs w:val="26"/>
        </w:rPr>
        <w:t>to the Office of Administrative Law Judge (OALJ) for the prompt scheduling of hearings culminating in the issuance of a Recommended Decision.</w:t>
      </w:r>
    </w:p>
    <w:p w:rsidR="00627720" w:rsidRPr="00E95541" w:rsidRDefault="00627720" w:rsidP="00475F23">
      <w:pPr>
        <w:spacing w:after="0" w:line="360" w:lineRule="auto"/>
        <w:ind w:firstLine="1440"/>
        <w:rPr>
          <w:rFonts w:ascii="Times New Roman" w:hAnsi="Times New Roman" w:cs="Times New Roman"/>
          <w:sz w:val="26"/>
          <w:szCs w:val="26"/>
        </w:rPr>
      </w:pPr>
    </w:p>
    <w:p w:rsidR="00E95541" w:rsidRDefault="00E95541" w:rsidP="00475F23">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P</w:t>
      </w:r>
      <w:r w:rsidR="008F4B39" w:rsidRPr="00E95541">
        <w:rPr>
          <w:rFonts w:ascii="Times New Roman" w:hAnsi="Times New Roman" w:cs="Times New Roman"/>
          <w:sz w:val="26"/>
          <w:szCs w:val="26"/>
        </w:rPr>
        <w:t xml:space="preserve">rior to the convening of the evidentiary hearings in this proceeding, the Parties served direct, rebuttal, surrebuttal and rejoinder written testimonies, along with various exhibits.  On May 22, 2017, PGW filed a Motion In Limine to Limit the Scope of the Evidentiary Hearing and this Proceeding and to Exclude Certain Portions of Testimony Submitted by the OCA.  On May 25, 2017, the OCA filed an Answer to PGW’s Motion In Limine.  By Prehearing Order No. 5 issued May 26, 2017, the ALJs denied PGW’s Motion In </w:t>
      </w:r>
      <w:r w:rsidR="00925D7B">
        <w:rPr>
          <w:rFonts w:ascii="Times New Roman" w:hAnsi="Times New Roman" w:cs="Times New Roman"/>
          <w:sz w:val="26"/>
          <w:szCs w:val="26"/>
        </w:rPr>
        <w:t>Limine.</w:t>
      </w:r>
    </w:p>
    <w:p w:rsidR="00627720" w:rsidRDefault="00627720" w:rsidP="00475F23">
      <w:pPr>
        <w:spacing w:after="0" w:line="360" w:lineRule="auto"/>
        <w:ind w:firstLine="1440"/>
        <w:rPr>
          <w:rFonts w:ascii="Times New Roman" w:hAnsi="Times New Roman" w:cs="Times New Roman"/>
          <w:sz w:val="26"/>
          <w:szCs w:val="26"/>
        </w:rPr>
      </w:pPr>
    </w:p>
    <w:p w:rsidR="00E95541" w:rsidRDefault="00E95541" w:rsidP="00475F2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O</w:t>
      </w:r>
      <w:r w:rsidR="00740B11" w:rsidRPr="00E95541">
        <w:rPr>
          <w:rFonts w:ascii="Times New Roman" w:hAnsi="Times New Roman" w:cs="Times New Roman"/>
          <w:sz w:val="26"/>
          <w:szCs w:val="26"/>
        </w:rPr>
        <w:t>n June 27, 2017, the Parties informed the ALJs that they had agreed to waive cross-examination of all witnesses and were prepared to stipulate to the admission of testimony and exhibits into the record.  The evidentiary hearing was held as scheduled on June 28, 2017.  During the evidentiary hearing, the written testimonies of PGW, the OCA, and the remaining Parties to this proceeding, were admitted into the record.</w:t>
      </w:r>
    </w:p>
    <w:p w:rsidR="00627720" w:rsidRDefault="00627720" w:rsidP="00475F23">
      <w:pPr>
        <w:spacing w:after="0" w:line="360" w:lineRule="auto"/>
        <w:ind w:firstLine="1440"/>
        <w:rPr>
          <w:rFonts w:ascii="Times New Roman" w:hAnsi="Times New Roman" w:cs="Times New Roman"/>
          <w:sz w:val="26"/>
          <w:szCs w:val="26"/>
        </w:rPr>
      </w:pPr>
    </w:p>
    <w:p w:rsidR="00DC002E" w:rsidRDefault="00E95541" w:rsidP="00475F2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O</w:t>
      </w:r>
      <w:r w:rsidR="00740B11" w:rsidRPr="00E95541">
        <w:rPr>
          <w:rFonts w:ascii="Times New Roman" w:hAnsi="Times New Roman" w:cs="Times New Roman"/>
          <w:sz w:val="26"/>
          <w:szCs w:val="26"/>
        </w:rPr>
        <w:t>n July 21, 2017, a Joint Petition for Partial Settlement (</w:t>
      </w:r>
      <w:r w:rsidR="00DF78A9" w:rsidRPr="00E95541">
        <w:rPr>
          <w:rFonts w:ascii="Times New Roman" w:hAnsi="Times New Roman" w:cs="Times New Roman"/>
          <w:sz w:val="26"/>
          <w:szCs w:val="26"/>
        </w:rPr>
        <w:t xml:space="preserve">Joint Petition or </w:t>
      </w:r>
      <w:r w:rsidR="00740B11" w:rsidRPr="00E95541">
        <w:rPr>
          <w:rFonts w:ascii="Times New Roman" w:hAnsi="Times New Roman" w:cs="Times New Roman"/>
          <w:sz w:val="26"/>
          <w:szCs w:val="26"/>
        </w:rPr>
        <w:t>Partial Settlement) was filed by PGW, the OCA, and the remaining Parties to this proceeding (collectively, the Joint Petitioners) which</w:t>
      </w:r>
      <w:r w:rsidR="001217DA" w:rsidRPr="00E95541">
        <w:rPr>
          <w:rFonts w:ascii="Times New Roman" w:hAnsi="Times New Roman" w:cs="Times New Roman"/>
          <w:sz w:val="26"/>
          <w:szCs w:val="26"/>
        </w:rPr>
        <w:t xml:space="preserve"> was represented as having </w:t>
      </w:r>
      <w:r w:rsidR="00740B11" w:rsidRPr="00E95541">
        <w:rPr>
          <w:rFonts w:ascii="Times New Roman" w:hAnsi="Times New Roman" w:cs="Times New Roman"/>
          <w:sz w:val="26"/>
          <w:szCs w:val="26"/>
        </w:rPr>
        <w:t xml:space="preserve">resolved all base rate issues except for two issues reserved for litigation.  Among the litigated issues not resolved by the Partial Settlement </w:t>
      </w:r>
      <w:r w:rsidR="00DC002E">
        <w:rPr>
          <w:rFonts w:ascii="Times New Roman" w:hAnsi="Times New Roman" w:cs="Times New Roman"/>
          <w:sz w:val="26"/>
          <w:szCs w:val="26"/>
        </w:rPr>
        <w:t xml:space="preserve">was a dispute between the OCA and PGW concerning </w:t>
      </w:r>
      <w:r w:rsidR="00740B11" w:rsidRPr="00E95541">
        <w:rPr>
          <w:rFonts w:ascii="Times New Roman" w:hAnsi="Times New Roman" w:cs="Times New Roman"/>
          <w:sz w:val="26"/>
          <w:szCs w:val="26"/>
        </w:rPr>
        <w:t>PGW’s partial payment allocation practices</w:t>
      </w:r>
      <w:r w:rsidR="00DC002E">
        <w:rPr>
          <w:rFonts w:ascii="Times New Roman" w:hAnsi="Times New Roman" w:cs="Times New Roman"/>
          <w:sz w:val="26"/>
          <w:szCs w:val="26"/>
        </w:rPr>
        <w:t>.</w:t>
      </w:r>
    </w:p>
    <w:p w:rsidR="00627720" w:rsidRDefault="00DC002E" w:rsidP="00475F2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 </w:t>
      </w:r>
    </w:p>
    <w:p w:rsidR="00E95541" w:rsidRDefault="00E95541" w:rsidP="00475F2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O</w:t>
      </w:r>
      <w:r w:rsidR="00740B11" w:rsidRPr="00E95541">
        <w:rPr>
          <w:rFonts w:ascii="Times New Roman" w:hAnsi="Times New Roman" w:cs="Times New Roman"/>
          <w:sz w:val="26"/>
          <w:szCs w:val="26"/>
        </w:rPr>
        <w:t>n July 21, 2017, and August 4, 2017, PGW, the OCA, and the remaining Parties to the proceeding, filed Main Briefs a</w:t>
      </w:r>
      <w:r w:rsidR="00925D7B">
        <w:rPr>
          <w:rFonts w:ascii="Times New Roman" w:hAnsi="Times New Roman" w:cs="Times New Roman"/>
          <w:sz w:val="26"/>
          <w:szCs w:val="26"/>
        </w:rPr>
        <w:t>nd Reply Briefs, respectively.</w:t>
      </w:r>
    </w:p>
    <w:p w:rsidR="00E95541" w:rsidRDefault="00E95541" w:rsidP="00475F2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O</w:t>
      </w:r>
      <w:r w:rsidR="00740B11" w:rsidRPr="00E95541">
        <w:rPr>
          <w:rFonts w:ascii="Times New Roman" w:hAnsi="Times New Roman" w:cs="Times New Roman"/>
          <w:sz w:val="26"/>
          <w:szCs w:val="26"/>
        </w:rPr>
        <w:t xml:space="preserve">n September 8, 2017, the ALJs’ Recommended Decision </w:t>
      </w:r>
      <w:r w:rsidR="001217DA" w:rsidRPr="00E95541">
        <w:rPr>
          <w:rFonts w:ascii="Times New Roman" w:hAnsi="Times New Roman" w:cs="Times New Roman"/>
          <w:sz w:val="26"/>
          <w:szCs w:val="26"/>
        </w:rPr>
        <w:t>was issued</w:t>
      </w:r>
      <w:r w:rsidR="0092796C">
        <w:rPr>
          <w:rFonts w:ascii="Times New Roman" w:hAnsi="Times New Roman" w:cs="Times New Roman"/>
          <w:sz w:val="26"/>
          <w:szCs w:val="26"/>
        </w:rPr>
        <w:t xml:space="preserve">.  </w:t>
      </w:r>
      <w:r w:rsidR="00AF6375">
        <w:rPr>
          <w:rFonts w:ascii="Times New Roman" w:hAnsi="Times New Roman" w:cs="Times New Roman"/>
          <w:sz w:val="26"/>
          <w:szCs w:val="26"/>
        </w:rPr>
        <w:t>In their Recommended Decision, t</w:t>
      </w:r>
      <w:r w:rsidR="0039008C">
        <w:rPr>
          <w:rFonts w:ascii="Times New Roman" w:hAnsi="Times New Roman" w:cs="Times New Roman"/>
          <w:sz w:val="26"/>
          <w:szCs w:val="26"/>
        </w:rPr>
        <w:t xml:space="preserve">he ALJs </w:t>
      </w:r>
      <w:r w:rsidR="004C7944">
        <w:rPr>
          <w:rFonts w:ascii="Times New Roman" w:hAnsi="Times New Roman" w:cs="Times New Roman"/>
          <w:sz w:val="26"/>
          <w:szCs w:val="26"/>
        </w:rPr>
        <w:t xml:space="preserve">found that </w:t>
      </w:r>
      <w:r w:rsidR="0039008C">
        <w:rPr>
          <w:rFonts w:ascii="Times New Roman" w:hAnsi="Times New Roman" w:cs="Times New Roman"/>
          <w:sz w:val="26"/>
          <w:szCs w:val="26"/>
        </w:rPr>
        <w:t xml:space="preserve">the Partial Settlement </w:t>
      </w:r>
      <w:r w:rsidR="00AF21DE">
        <w:rPr>
          <w:rFonts w:ascii="Times New Roman" w:hAnsi="Times New Roman" w:cs="Times New Roman"/>
          <w:sz w:val="26"/>
          <w:szCs w:val="26"/>
        </w:rPr>
        <w:t xml:space="preserve">was </w:t>
      </w:r>
      <w:r w:rsidR="00AF21DE" w:rsidRPr="00E95541">
        <w:rPr>
          <w:rFonts w:ascii="Times New Roman" w:hAnsi="Times New Roman" w:cs="Times New Roman"/>
          <w:sz w:val="26"/>
          <w:szCs w:val="26"/>
        </w:rPr>
        <w:t>reasonable and in the public interest</w:t>
      </w:r>
      <w:r w:rsidR="00AF21DE">
        <w:rPr>
          <w:rFonts w:ascii="Times New Roman" w:hAnsi="Times New Roman" w:cs="Times New Roman"/>
          <w:sz w:val="26"/>
          <w:szCs w:val="26"/>
        </w:rPr>
        <w:t xml:space="preserve"> and recommended that it be</w:t>
      </w:r>
      <w:r w:rsidR="0039008C">
        <w:rPr>
          <w:rFonts w:ascii="Times New Roman" w:hAnsi="Times New Roman" w:cs="Times New Roman"/>
          <w:sz w:val="26"/>
          <w:szCs w:val="26"/>
        </w:rPr>
        <w:t xml:space="preserve"> approved without modification</w:t>
      </w:r>
      <w:r w:rsidR="00AF21DE">
        <w:rPr>
          <w:rFonts w:ascii="Times New Roman" w:hAnsi="Times New Roman" w:cs="Times New Roman"/>
          <w:sz w:val="26"/>
          <w:szCs w:val="26"/>
        </w:rPr>
        <w:t>.</w:t>
      </w:r>
      <w:r w:rsidR="006177D4">
        <w:rPr>
          <w:rFonts w:ascii="Times New Roman" w:hAnsi="Times New Roman" w:cs="Times New Roman"/>
          <w:sz w:val="26"/>
          <w:szCs w:val="26"/>
        </w:rPr>
        <w:t xml:space="preserve">  </w:t>
      </w:r>
      <w:r w:rsidR="00740B11" w:rsidRPr="00E95541">
        <w:rPr>
          <w:rFonts w:ascii="Times New Roman" w:hAnsi="Times New Roman" w:cs="Times New Roman"/>
          <w:sz w:val="26"/>
          <w:szCs w:val="26"/>
        </w:rPr>
        <w:t>The ALJs further recommended that the OCA</w:t>
      </w:r>
      <w:r w:rsidR="00F5585D">
        <w:rPr>
          <w:rFonts w:ascii="Times New Roman" w:hAnsi="Times New Roman" w:cs="Times New Roman"/>
          <w:sz w:val="26"/>
          <w:szCs w:val="26"/>
        </w:rPr>
        <w:t>’s</w:t>
      </w:r>
      <w:r w:rsidR="00740B11" w:rsidRPr="00E95541">
        <w:rPr>
          <w:rFonts w:ascii="Times New Roman" w:hAnsi="Times New Roman" w:cs="Times New Roman"/>
          <w:sz w:val="26"/>
          <w:szCs w:val="26"/>
        </w:rPr>
        <w:t xml:space="preserve"> </w:t>
      </w:r>
      <w:r w:rsidR="00042362">
        <w:rPr>
          <w:rFonts w:ascii="Times New Roman" w:hAnsi="Times New Roman" w:cs="Times New Roman"/>
          <w:sz w:val="26"/>
          <w:szCs w:val="26"/>
        </w:rPr>
        <w:t>claims regarding</w:t>
      </w:r>
      <w:r w:rsidR="0092796C">
        <w:rPr>
          <w:rFonts w:ascii="Times New Roman" w:hAnsi="Times New Roman" w:cs="Times New Roman"/>
          <w:sz w:val="26"/>
          <w:szCs w:val="26"/>
        </w:rPr>
        <w:t xml:space="preserve"> </w:t>
      </w:r>
      <w:r w:rsidR="00740B11" w:rsidRPr="00E95541">
        <w:rPr>
          <w:rFonts w:ascii="Times New Roman" w:hAnsi="Times New Roman" w:cs="Times New Roman"/>
          <w:sz w:val="26"/>
          <w:szCs w:val="26"/>
        </w:rPr>
        <w:t xml:space="preserve">PGW’s partial payment allocation </w:t>
      </w:r>
      <w:r w:rsidR="001217DA" w:rsidRPr="00E95541">
        <w:rPr>
          <w:rFonts w:ascii="Times New Roman" w:hAnsi="Times New Roman" w:cs="Times New Roman"/>
          <w:sz w:val="26"/>
          <w:szCs w:val="26"/>
        </w:rPr>
        <w:t xml:space="preserve">practices </w:t>
      </w:r>
      <w:r w:rsidR="0039008C">
        <w:rPr>
          <w:rFonts w:ascii="Times New Roman" w:hAnsi="Times New Roman" w:cs="Times New Roman"/>
          <w:sz w:val="26"/>
          <w:szCs w:val="26"/>
        </w:rPr>
        <w:t>b</w:t>
      </w:r>
      <w:r w:rsidR="00740B11" w:rsidRPr="00E95541">
        <w:rPr>
          <w:rFonts w:ascii="Times New Roman" w:hAnsi="Times New Roman" w:cs="Times New Roman"/>
          <w:sz w:val="26"/>
          <w:szCs w:val="26"/>
        </w:rPr>
        <w:t>e dismissed, without prejudice.</w:t>
      </w:r>
    </w:p>
    <w:p w:rsidR="00627720" w:rsidRDefault="00627720" w:rsidP="00475F23">
      <w:pPr>
        <w:spacing w:after="0" w:line="360" w:lineRule="auto"/>
        <w:ind w:firstLine="1440"/>
        <w:rPr>
          <w:rFonts w:ascii="Times New Roman" w:hAnsi="Times New Roman" w:cs="Times New Roman"/>
          <w:sz w:val="26"/>
          <w:szCs w:val="26"/>
        </w:rPr>
      </w:pPr>
    </w:p>
    <w:p w:rsidR="00E95541" w:rsidRDefault="001217DA" w:rsidP="00475F23">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The OCA filed </w:t>
      </w:r>
      <w:r w:rsidR="00740B11" w:rsidRPr="00E95541">
        <w:rPr>
          <w:rFonts w:ascii="Times New Roman" w:hAnsi="Times New Roman" w:cs="Times New Roman"/>
          <w:sz w:val="26"/>
          <w:szCs w:val="26"/>
        </w:rPr>
        <w:t>Exceptions to the R</w:t>
      </w:r>
      <w:r w:rsidR="0092796C">
        <w:rPr>
          <w:rFonts w:ascii="Times New Roman" w:hAnsi="Times New Roman" w:cs="Times New Roman"/>
          <w:sz w:val="26"/>
          <w:szCs w:val="26"/>
        </w:rPr>
        <w:t>ecommended Decision</w:t>
      </w:r>
      <w:r w:rsidR="00740B11" w:rsidRPr="00E95541">
        <w:rPr>
          <w:rFonts w:ascii="Times New Roman" w:hAnsi="Times New Roman" w:cs="Times New Roman"/>
          <w:sz w:val="26"/>
          <w:szCs w:val="26"/>
        </w:rPr>
        <w:t xml:space="preserve"> on September</w:t>
      </w:r>
      <w:r w:rsidR="004C7944">
        <w:rPr>
          <w:rFonts w:ascii="Times New Roman" w:hAnsi="Times New Roman" w:cs="Times New Roman"/>
          <w:sz w:val="26"/>
          <w:szCs w:val="26"/>
        </w:rPr>
        <w:t> </w:t>
      </w:r>
      <w:r w:rsidR="00740B11" w:rsidRPr="00E95541">
        <w:rPr>
          <w:rFonts w:ascii="Times New Roman" w:hAnsi="Times New Roman" w:cs="Times New Roman"/>
          <w:sz w:val="26"/>
          <w:szCs w:val="26"/>
        </w:rPr>
        <w:t xml:space="preserve">25, 2017.  On this same date, </w:t>
      </w:r>
      <w:r w:rsidRPr="00E95541">
        <w:rPr>
          <w:rFonts w:ascii="Times New Roman" w:hAnsi="Times New Roman" w:cs="Times New Roman"/>
          <w:sz w:val="26"/>
          <w:szCs w:val="26"/>
        </w:rPr>
        <w:t xml:space="preserve">PGW submitted </w:t>
      </w:r>
      <w:r w:rsidR="00740B11" w:rsidRPr="00E95541">
        <w:rPr>
          <w:rFonts w:ascii="Times New Roman" w:hAnsi="Times New Roman" w:cs="Times New Roman"/>
          <w:sz w:val="26"/>
          <w:szCs w:val="26"/>
        </w:rPr>
        <w:t>a Letter in Lieu of Exceptions.  Replies to Exceptions were filed on October 2, 2017, by PGW and the OCA.</w:t>
      </w:r>
    </w:p>
    <w:p w:rsidR="00627720" w:rsidRDefault="00627720" w:rsidP="00475F23">
      <w:pPr>
        <w:spacing w:after="0" w:line="360" w:lineRule="auto"/>
        <w:ind w:firstLine="1440"/>
        <w:rPr>
          <w:rFonts w:ascii="Times New Roman" w:hAnsi="Times New Roman" w:cs="Times New Roman"/>
          <w:sz w:val="26"/>
          <w:szCs w:val="26"/>
        </w:rPr>
      </w:pPr>
    </w:p>
    <w:p w:rsidR="00E95541" w:rsidRDefault="001217DA" w:rsidP="00475F23">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O</w:t>
      </w:r>
      <w:r w:rsidR="00740B11" w:rsidRPr="00E95541">
        <w:rPr>
          <w:rFonts w:ascii="Times New Roman" w:hAnsi="Times New Roman" w:cs="Times New Roman"/>
          <w:sz w:val="26"/>
          <w:szCs w:val="26"/>
        </w:rPr>
        <w:t>n November 8, 2017,</w:t>
      </w:r>
      <w:r w:rsidR="00A16272">
        <w:rPr>
          <w:rFonts w:ascii="Times New Roman" w:hAnsi="Times New Roman" w:cs="Times New Roman"/>
          <w:sz w:val="26"/>
          <w:szCs w:val="26"/>
        </w:rPr>
        <w:t xml:space="preserve"> we</w:t>
      </w:r>
      <w:r w:rsidR="00740B11" w:rsidRPr="00E95541">
        <w:rPr>
          <w:rFonts w:ascii="Times New Roman" w:hAnsi="Times New Roman" w:cs="Times New Roman"/>
          <w:sz w:val="26"/>
          <w:szCs w:val="26"/>
        </w:rPr>
        <w:t xml:space="preserve"> entered an Opinion and Order </w:t>
      </w:r>
      <w:r w:rsidR="006E3B38">
        <w:rPr>
          <w:rFonts w:ascii="Times New Roman" w:hAnsi="Times New Roman" w:cs="Times New Roman"/>
          <w:sz w:val="26"/>
          <w:szCs w:val="26"/>
        </w:rPr>
        <w:t xml:space="preserve">at </w:t>
      </w:r>
      <w:r w:rsidR="00740B11" w:rsidRPr="00E95541">
        <w:rPr>
          <w:rFonts w:ascii="Times New Roman" w:hAnsi="Times New Roman" w:cs="Times New Roman"/>
          <w:sz w:val="26"/>
          <w:szCs w:val="26"/>
        </w:rPr>
        <w:t>this docke</w:t>
      </w:r>
      <w:r w:rsidRPr="00E95541">
        <w:rPr>
          <w:rFonts w:ascii="Times New Roman" w:hAnsi="Times New Roman" w:cs="Times New Roman"/>
          <w:sz w:val="26"/>
          <w:szCs w:val="26"/>
        </w:rPr>
        <w:t>t</w:t>
      </w:r>
      <w:r w:rsidR="006E3B38">
        <w:rPr>
          <w:rFonts w:ascii="Times New Roman" w:hAnsi="Times New Roman" w:cs="Times New Roman"/>
          <w:sz w:val="26"/>
          <w:szCs w:val="26"/>
        </w:rPr>
        <w:t xml:space="preserve"> in which </w:t>
      </w:r>
      <w:r w:rsidR="00A16272">
        <w:rPr>
          <w:rFonts w:ascii="Times New Roman" w:hAnsi="Times New Roman" w:cs="Times New Roman"/>
          <w:sz w:val="26"/>
          <w:szCs w:val="26"/>
        </w:rPr>
        <w:t>we</w:t>
      </w:r>
      <w:r w:rsidR="006E3B38">
        <w:rPr>
          <w:rFonts w:ascii="Times New Roman" w:hAnsi="Times New Roman" w:cs="Times New Roman"/>
          <w:sz w:val="26"/>
          <w:szCs w:val="26"/>
        </w:rPr>
        <w:t xml:space="preserve"> </w:t>
      </w:r>
      <w:r w:rsidRPr="00E95541">
        <w:rPr>
          <w:rFonts w:ascii="Times New Roman" w:hAnsi="Times New Roman" w:cs="Times New Roman"/>
          <w:sz w:val="26"/>
          <w:szCs w:val="26"/>
        </w:rPr>
        <w:t xml:space="preserve">denied the </w:t>
      </w:r>
      <w:r w:rsidR="00A16272">
        <w:rPr>
          <w:rFonts w:ascii="Times New Roman" w:hAnsi="Times New Roman" w:cs="Times New Roman"/>
          <w:sz w:val="26"/>
          <w:szCs w:val="26"/>
        </w:rPr>
        <w:t xml:space="preserve">OCA’s </w:t>
      </w:r>
      <w:r w:rsidRPr="00E95541">
        <w:rPr>
          <w:rFonts w:ascii="Times New Roman" w:hAnsi="Times New Roman" w:cs="Times New Roman"/>
          <w:sz w:val="26"/>
          <w:szCs w:val="26"/>
        </w:rPr>
        <w:t>Exceptions, adopted the ALJs’ Recommended Decision, approved the Joint Petition for Partial Settlement, without modification, and dismissed, without prejudice, the OCA’s claims regarding PGW’s partia</w:t>
      </w:r>
      <w:r w:rsidR="007F22A1">
        <w:rPr>
          <w:rFonts w:ascii="Times New Roman" w:hAnsi="Times New Roman" w:cs="Times New Roman"/>
          <w:sz w:val="26"/>
          <w:szCs w:val="26"/>
        </w:rPr>
        <w:t>l payment allocation practices.</w:t>
      </w:r>
    </w:p>
    <w:p w:rsidR="00627720" w:rsidRDefault="00627720" w:rsidP="00475F23">
      <w:pPr>
        <w:spacing w:after="0" w:line="360" w:lineRule="auto"/>
        <w:ind w:firstLine="1440"/>
        <w:rPr>
          <w:rFonts w:ascii="Times New Roman" w:hAnsi="Times New Roman" w:cs="Times New Roman"/>
          <w:sz w:val="26"/>
          <w:szCs w:val="26"/>
        </w:rPr>
      </w:pPr>
    </w:p>
    <w:p w:rsidR="00DD3B46" w:rsidRPr="006B1C6E" w:rsidRDefault="00B544AB" w:rsidP="006B1C6E">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As noted above, on November 27, 2017, the OCA filed its Reconsideration Petition to the </w:t>
      </w:r>
      <w:r w:rsidRPr="00E95541">
        <w:rPr>
          <w:rFonts w:ascii="Times New Roman" w:hAnsi="Times New Roman" w:cs="Times New Roman"/>
          <w:i/>
          <w:sz w:val="26"/>
          <w:szCs w:val="26"/>
        </w:rPr>
        <w:t>November 8 Order</w:t>
      </w:r>
      <w:r w:rsidRPr="00E95541">
        <w:rPr>
          <w:rFonts w:ascii="Times New Roman" w:hAnsi="Times New Roman" w:cs="Times New Roman"/>
          <w:sz w:val="26"/>
          <w:szCs w:val="26"/>
        </w:rPr>
        <w:t xml:space="preserve">, and on December 7, 2017, </w:t>
      </w:r>
      <w:r w:rsidR="007F22A1">
        <w:rPr>
          <w:rFonts w:ascii="Times New Roman" w:hAnsi="Times New Roman" w:cs="Times New Roman"/>
          <w:sz w:val="26"/>
          <w:szCs w:val="26"/>
        </w:rPr>
        <w:t>PGW filed its Answer thereto.</w:t>
      </w:r>
    </w:p>
    <w:p w:rsidR="00627720" w:rsidRPr="00E95541" w:rsidRDefault="00627720" w:rsidP="00475F23">
      <w:pPr>
        <w:spacing w:after="0" w:line="360" w:lineRule="auto"/>
        <w:ind w:firstLine="1440"/>
        <w:rPr>
          <w:rFonts w:ascii="Times New Roman" w:hAnsi="Times New Roman" w:cs="Times New Roman"/>
          <w:sz w:val="26"/>
          <w:szCs w:val="26"/>
        </w:rPr>
      </w:pPr>
    </w:p>
    <w:p w:rsidR="00E7791C" w:rsidRDefault="00E7791C" w:rsidP="00C61BB0">
      <w:pPr>
        <w:pStyle w:val="ListParagraph"/>
        <w:keepNext/>
        <w:keepLines/>
        <w:numPr>
          <w:ilvl w:val="0"/>
          <w:numId w:val="2"/>
        </w:numPr>
        <w:spacing w:after="0" w:line="360" w:lineRule="auto"/>
        <w:contextualSpacing w:val="0"/>
        <w:jc w:val="center"/>
        <w:rPr>
          <w:rFonts w:ascii="Times New Roman" w:hAnsi="Times New Roman" w:cs="Times New Roman"/>
          <w:b/>
          <w:sz w:val="26"/>
          <w:szCs w:val="26"/>
        </w:rPr>
      </w:pPr>
      <w:r w:rsidRPr="00E95541">
        <w:rPr>
          <w:rFonts w:ascii="Times New Roman" w:hAnsi="Times New Roman" w:cs="Times New Roman"/>
          <w:b/>
          <w:sz w:val="26"/>
          <w:szCs w:val="26"/>
        </w:rPr>
        <w:t>Discussion</w:t>
      </w:r>
    </w:p>
    <w:p w:rsidR="00627720" w:rsidRPr="00E95541" w:rsidRDefault="00627720" w:rsidP="00475F23">
      <w:pPr>
        <w:pStyle w:val="ListParagraph"/>
        <w:keepNext/>
        <w:keepLines/>
        <w:spacing w:after="0" w:line="360" w:lineRule="auto"/>
        <w:ind w:left="1080"/>
        <w:contextualSpacing w:val="0"/>
        <w:rPr>
          <w:rFonts w:ascii="Times New Roman" w:hAnsi="Times New Roman" w:cs="Times New Roman"/>
          <w:b/>
          <w:sz w:val="26"/>
          <w:szCs w:val="26"/>
        </w:rPr>
      </w:pPr>
    </w:p>
    <w:p w:rsidR="00E7791C" w:rsidRDefault="00E7791C" w:rsidP="00C61BB0">
      <w:pPr>
        <w:pStyle w:val="ListParagraph"/>
        <w:keepNext/>
        <w:keepLines/>
        <w:numPr>
          <w:ilvl w:val="1"/>
          <w:numId w:val="2"/>
        </w:numPr>
        <w:spacing w:after="0" w:line="360" w:lineRule="auto"/>
        <w:ind w:left="0" w:firstLine="0"/>
        <w:contextualSpacing w:val="0"/>
        <w:rPr>
          <w:rFonts w:ascii="Times New Roman" w:hAnsi="Times New Roman" w:cs="Times New Roman"/>
          <w:b/>
          <w:sz w:val="26"/>
          <w:szCs w:val="26"/>
        </w:rPr>
      </w:pPr>
      <w:r w:rsidRPr="00E95541">
        <w:rPr>
          <w:rFonts w:ascii="Times New Roman" w:hAnsi="Times New Roman" w:cs="Times New Roman"/>
          <w:b/>
          <w:sz w:val="26"/>
          <w:szCs w:val="26"/>
        </w:rPr>
        <w:t>Legal Standards</w:t>
      </w:r>
    </w:p>
    <w:p w:rsidR="00627720" w:rsidRPr="00E95541" w:rsidRDefault="00627720" w:rsidP="00475F23">
      <w:pPr>
        <w:pStyle w:val="ListParagraph"/>
        <w:keepNext/>
        <w:keepLines/>
        <w:spacing w:after="0" w:line="360" w:lineRule="auto"/>
        <w:ind w:left="1440"/>
        <w:contextualSpacing w:val="0"/>
        <w:rPr>
          <w:rFonts w:ascii="Times New Roman" w:hAnsi="Times New Roman" w:cs="Times New Roman"/>
          <w:b/>
          <w:sz w:val="26"/>
          <w:szCs w:val="26"/>
        </w:rPr>
      </w:pPr>
    </w:p>
    <w:p w:rsidR="00E95541" w:rsidRDefault="000C27CD" w:rsidP="00475F23">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The Code establishes a party’s right to seek relief following the issuance of </w:t>
      </w:r>
      <w:r w:rsidR="00C45E42">
        <w:rPr>
          <w:rFonts w:ascii="Times New Roman" w:hAnsi="Times New Roman" w:cs="Times New Roman"/>
          <w:sz w:val="26"/>
          <w:szCs w:val="26"/>
        </w:rPr>
        <w:t>a final</w:t>
      </w:r>
      <w:r w:rsidRPr="00E95541">
        <w:rPr>
          <w:rFonts w:ascii="Times New Roman" w:hAnsi="Times New Roman" w:cs="Times New Roman"/>
          <w:sz w:val="26"/>
          <w:szCs w:val="26"/>
        </w:rPr>
        <w:t xml:space="preserve"> decision</w:t>
      </w:r>
      <w:r w:rsidR="00C45E42">
        <w:rPr>
          <w:rFonts w:ascii="Times New Roman" w:hAnsi="Times New Roman" w:cs="Times New Roman"/>
          <w:sz w:val="26"/>
          <w:szCs w:val="26"/>
        </w:rPr>
        <w:t xml:space="preserve"> by the Commission</w:t>
      </w:r>
      <w:r w:rsidRPr="00E95541">
        <w:rPr>
          <w:rFonts w:ascii="Times New Roman" w:hAnsi="Times New Roman" w:cs="Times New Roman"/>
          <w:sz w:val="26"/>
          <w:szCs w:val="26"/>
        </w:rPr>
        <w:t xml:space="preserve"> pursuant to Sections 703(f) and (g) of the Code, 66 Pa. C.S. § 703(f) and § 703(g), relating to </w:t>
      </w:r>
      <w:r w:rsidR="002324F8" w:rsidRPr="00E95541">
        <w:rPr>
          <w:rFonts w:ascii="Times New Roman" w:hAnsi="Times New Roman" w:cs="Times New Roman"/>
          <w:sz w:val="26"/>
          <w:szCs w:val="26"/>
        </w:rPr>
        <w:t xml:space="preserve">requests for </w:t>
      </w:r>
      <w:r w:rsidRPr="00E95541">
        <w:rPr>
          <w:rFonts w:ascii="Times New Roman" w:hAnsi="Times New Roman" w:cs="Times New Roman"/>
          <w:sz w:val="26"/>
          <w:szCs w:val="26"/>
        </w:rPr>
        <w:t>rehearing</w:t>
      </w:r>
      <w:r w:rsidR="002324F8" w:rsidRPr="00E95541">
        <w:rPr>
          <w:rFonts w:ascii="Times New Roman" w:hAnsi="Times New Roman" w:cs="Times New Roman"/>
          <w:sz w:val="26"/>
          <w:szCs w:val="26"/>
        </w:rPr>
        <w:t xml:space="preserve"> or </w:t>
      </w:r>
      <w:r w:rsidRPr="00E95541">
        <w:rPr>
          <w:rFonts w:ascii="Times New Roman" w:hAnsi="Times New Roman" w:cs="Times New Roman"/>
          <w:sz w:val="26"/>
          <w:szCs w:val="26"/>
        </w:rPr>
        <w:t xml:space="preserve">rescission and amendment of orders.  </w:t>
      </w:r>
      <w:r w:rsidR="00622F75" w:rsidRPr="00E95541">
        <w:rPr>
          <w:rFonts w:ascii="Times New Roman" w:hAnsi="Times New Roman" w:cs="Times New Roman"/>
          <w:sz w:val="26"/>
          <w:szCs w:val="26"/>
        </w:rPr>
        <w:t xml:space="preserve">Any request for relief filed by a party pursuant to </w:t>
      </w:r>
      <w:r w:rsidR="00911689" w:rsidRPr="00E95541">
        <w:rPr>
          <w:rFonts w:ascii="Times New Roman" w:hAnsi="Times New Roman" w:cs="Times New Roman"/>
          <w:sz w:val="26"/>
          <w:szCs w:val="26"/>
        </w:rPr>
        <w:t xml:space="preserve">these </w:t>
      </w:r>
      <w:r w:rsidR="00622F75" w:rsidRPr="00E95541">
        <w:rPr>
          <w:rFonts w:ascii="Times New Roman" w:hAnsi="Times New Roman" w:cs="Times New Roman"/>
          <w:sz w:val="26"/>
          <w:szCs w:val="26"/>
        </w:rPr>
        <w:t xml:space="preserve">Code </w:t>
      </w:r>
      <w:r w:rsidR="00042362">
        <w:rPr>
          <w:rFonts w:ascii="Times New Roman" w:hAnsi="Times New Roman" w:cs="Times New Roman"/>
          <w:sz w:val="26"/>
          <w:szCs w:val="26"/>
        </w:rPr>
        <w:t>provisions</w:t>
      </w:r>
      <w:r w:rsidR="00C5700D" w:rsidRPr="00E95541">
        <w:rPr>
          <w:rFonts w:ascii="Times New Roman" w:hAnsi="Times New Roman" w:cs="Times New Roman"/>
          <w:sz w:val="26"/>
          <w:szCs w:val="26"/>
        </w:rPr>
        <w:t xml:space="preserve"> m</w:t>
      </w:r>
      <w:r w:rsidR="00622F75" w:rsidRPr="00E95541">
        <w:rPr>
          <w:rFonts w:ascii="Times New Roman" w:hAnsi="Times New Roman" w:cs="Times New Roman"/>
          <w:sz w:val="26"/>
          <w:szCs w:val="26"/>
        </w:rPr>
        <w:t>ust be consistent with the Commission’s procedural rules relating to petitions for relief following the issuance of a final decision, found at Section 5.572 of our Regulations, 52 Pa. Code § 5.572.</w:t>
      </w:r>
    </w:p>
    <w:p w:rsidR="00627720" w:rsidRDefault="00627720" w:rsidP="00475F23">
      <w:pPr>
        <w:spacing w:after="0" w:line="360" w:lineRule="auto"/>
        <w:ind w:firstLine="1440"/>
        <w:rPr>
          <w:rFonts w:ascii="Times New Roman" w:hAnsi="Times New Roman" w:cs="Times New Roman"/>
          <w:sz w:val="26"/>
          <w:szCs w:val="26"/>
        </w:rPr>
      </w:pPr>
    </w:p>
    <w:p w:rsidR="002324F8" w:rsidRDefault="002324F8" w:rsidP="00475F23">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In relevant part, Section 703(g) of the Code</w:t>
      </w:r>
      <w:r w:rsidR="00622F75" w:rsidRPr="00E95541">
        <w:rPr>
          <w:rFonts w:ascii="Times New Roman" w:hAnsi="Times New Roman" w:cs="Times New Roman"/>
          <w:sz w:val="26"/>
          <w:szCs w:val="26"/>
        </w:rPr>
        <w:t>, which governs petitions for reconsideration,</w:t>
      </w:r>
      <w:r w:rsidRPr="00E95541">
        <w:rPr>
          <w:rFonts w:ascii="Times New Roman" w:hAnsi="Times New Roman" w:cs="Times New Roman"/>
          <w:sz w:val="26"/>
          <w:szCs w:val="26"/>
        </w:rPr>
        <w:t xml:space="preserve"> provides</w:t>
      </w:r>
      <w:r w:rsidR="00622F75" w:rsidRPr="00E95541">
        <w:rPr>
          <w:rFonts w:ascii="Times New Roman" w:hAnsi="Times New Roman" w:cs="Times New Roman"/>
          <w:sz w:val="26"/>
          <w:szCs w:val="26"/>
        </w:rPr>
        <w:t xml:space="preserve"> as follows</w:t>
      </w:r>
      <w:r w:rsidRPr="00E95541">
        <w:rPr>
          <w:rFonts w:ascii="Times New Roman" w:hAnsi="Times New Roman" w:cs="Times New Roman"/>
          <w:sz w:val="26"/>
          <w:szCs w:val="26"/>
        </w:rPr>
        <w:t>:</w:t>
      </w:r>
    </w:p>
    <w:p w:rsidR="00627720" w:rsidRPr="00E95541" w:rsidRDefault="00627720" w:rsidP="00475F23">
      <w:pPr>
        <w:spacing w:after="0" w:line="360" w:lineRule="auto"/>
        <w:ind w:firstLine="1440"/>
        <w:rPr>
          <w:rFonts w:ascii="Times New Roman" w:hAnsi="Times New Roman" w:cs="Times New Roman"/>
          <w:sz w:val="26"/>
          <w:szCs w:val="26"/>
        </w:rPr>
      </w:pPr>
    </w:p>
    <w:p w:rsidR="002324F8" w:rsidRDefault="002324F8" w:rsidP="00475F23">
      <w:pPr>
        <w:spacing w:after="0" w:line="240" w:lineRule="auto"/>
        <w:ind w:left="1440" w:right="1440"/>
        <w:rPr>
          <w:rFonts w:ascii="Times New Roman" w:hAnsi="Times New Roman" w:cs="Times New Roman"/>
          <w:sz w:val="26"/>
          <w:szCs w:val="26"/>
        </w:rPr>
      </w:pPr>
      <w:r w:rsidRPr="00E95541">
        <w:rPr>
          <w:rFonts w:ascii="Times New Roman" w:hAnsi="Times New Roman" w:cs="Times New Roman"/>
          <w:sz w:val="26"/>
          <w:szCs w:val="26"/>
        </w:rPr>
        <w:t>The commission may, at any time, after notice and after opportunity to be heard as provided in this chapter, rescind or amend any order made by it.  Any order rescinding or amending a prior order shall</w:t>
      </w:r>
      <w:r w:rsidR="00622F75" w:rsidRPr="00E95541">
        <w:rPr>
          <w:rFonts w:ascii="Times New Roman" w:hAnsi="Times New Roman" w:cs="Times New Roman"/>
          <w:sz w:val="26"/>
          <w:szCs w:val="26"/>
        </w:rPr>
        <w:t>, when served upon the person, corporation, or municipal corporation affected, and after notice thereof is given to the other parties to the proceedings, h</w:t>
      </w:r>
      <w:r w:rsidRPr="00E95541">
        <w:rPr>
          <w:rFonts w:ascii="Times New Roman" w:hAnsi="Times New Roman" w:cs="Times New Roman"/>
          <w:sz w:val="26"/>
          <w:szCs w:val="26"/>
        </w:rPr>
        <w:t>ave the same effect as is herein provided for original orders.</w:t>
      </w:r>
    </w:p>
    <w:p w:rsidR="009316C9" w:rsidRDefault="009316C9" w:rsidP="00C61BB0">
      <w:pPr>
        <w:spacing w:after="0" w:line="240" w:lineRule="auto"/>
        <w:ind w:left="1440" w:right="1440"/>
        <w:rPr>
          <w:rFonts w:ascii="Times New Roman" w:hAnsi="Times New Roman" w:cs="Times New Roman"/>
          <w:sz w:val="26"/>
          <w:szCs w:val="26"/>
        </w:rPr>
      </w:pPr>
    </w:p>
    <w:p w:rsidR="00627720" w:rsidRPr="00E95541" w:rsidRDefault="00627720" w:rsidP="00475F23">
      <w:pPr>
        <w:spacing w:after="0" w:line="360" w:lineRule="auto"/>
        <w:ind w:left="1440" w:right="1440"/>
        <w:rPr>
          <w:rFonts w:ascii="Times New Roman" w:hAnsi="Times New Roman" w:cs="Times New Roman"/>
          <w:sz w:val="26"/>
          <w:szCs w:val="26"/>
        </w:rPr>
      </w:pPr>
    </w:p>
    <w:p w:rsidR="004A186A" w:rsidRDefault="002324F8" w:rsidP="00475F23">
      <w:pPr>
        <w:spacing w:after="0" w:line="360" w:lineRule="auto"/>
        <w:rPr>
          <w:rFonts w:ascii="Times New Roman" w:hAnsi="Times New Roman" w:cs="Times New Roman"/>
          <w:sz w:val="26"/>
          <w:szCs w:val="26"/>
        </w:rPr>
      </w:pPr>
      <w:r w:rsidRPr="00E95541">
        <w:rPr>
          <w:rFonts w:ascii="Times New Roman" w:hAnsi="Times New Roman" w:cs="Times New Roman"/>
          <w:sz w:val="26"/>
          <w:szCs w:val="26"/>
        </w:rPr>
        <w:t>66 Pa. C.S. § 703(g).</w:t>
      </w:r>
      <w:r w:rsidR="00622F75" w:rsidRPr="00E95541">
        <w:rPr>
          <w:rFonts w:ascii="Times New Roman" w:hAnsi="Times New Roman" w:cs="Times New Roman"/>
          <w:sz w:val="26"/>
          <w:szCs w:val="26"/>
        </w:rPr>
        <w:t xml:space="preserve">  By the terms of this Code provision, the Commission has the power to amend or rescind its own orders at any time subject only to the requirements of due process. </w:t>
      </w:r>
      <w:r w:rsidR="00CE170F">
        <w:rPr>
          <w:rFonts w:ascii="Times New Roman" w:hAnsi="Times New Roman" w:cs="Times New Roman"/>
          <w:sz w:val="26"/>
          <w:szCs w:val="26"/>
        </w:rPr>
        <w:t xml:space="preserve"> </w:t>
      </w:r>
      <w:r w:rsidR="00622F75" w:rsidRPr="00E95541">
        <w:rPr>
          <w:rFonts w:ascii="Times New Roman" w:hAnsi="Times New Roman" w:cs="Times New Roman"/>
          <w:i/>
          <w:sz w:val="26"/>
          <w:szCs w:val="26"/>
        </w:rPr>
        <w:t>See Department of Highways v. Pa. P.U.C</w:t>
      </w:r>
      <w:r w:rsidR="00622F75" w:rsidRPr="00E95541">
        <w:rPr>
          <w:rFonts w:ascii="Times New Roman" w:hAnsi="Times New Roman" w:cs="Times New Roman"/>
          <w:sz w:val="26"/>
          <w:szCs w:val="26"/>
        </w:rPr>
        <w:t>., 185 Pa.</w:t>
      </w:r>
      <w:r w:rsidR="00270E49">
        <w:rPr>
          <w:rFonts w:ascii="Times New Roman" w:hAnsi="Times New Roman" w:cs="Times New Roman"/>
          <w:sz w:val="26"/>
          <w:szCs w:val="26"/>
        </w:rPr>
        <w:t xml:space="preserve"> </w:t>
      </w:r>
      <w:r w:rsidR="00622F75" w:rsidRPr="00E95541">
        <w:rPr>
          <w:rFonts w:ascii="Times New Roman" w:hAnsi="Times New Roman" w:cs="Times New Roman"/>
          <w:sz w:val="26"/>
          <w:szCs w:val="26"/>
        </w:rPr>
        <w:t>Super. 418, 138 A.2d 143 (1958).</w:t>
      </w:r>
      <w:r w:rsidR="005C2BB1" w:rsidRPr="00E95541">
        <w:rPr>
          <w:rFonts w:ascii="Times New Roman" w:hAnsi="Times New Roman" w:cs="Times New Roman"/>
          <w:sz w:val="26"/>
          <w:szCs w:val="26"/>
        </w:rPr>
        <w:t xml:space="preserve">  Because such relief may result in disturbance of final orders, a petition to amend or rescind a final order must be granted judiciously and only under appropriate circumstances.  </w:t>
      </w:r>
      <w:r w:rsidR="005C2BB1" w:rsidRPr="00E95541">
        <w:rPr>
          <w:rFonts w:ascii="Times New Roman" w:hAnsi="Times New Roman" w:cs="Times New Roman"/>
          <w:i/>
          <w:sz w:val="26"/>
          <w:szCs w:val="26"/>
        </w:rPr>
        <w:t>See City of Pittsburgh v. Pennsylvania Department of Transportation,</w:t>
      </w:r>
      <w:r w:rsidR="005C2BB1" w:rsidRPr="00E95541">
        <w:rPr>
          <w:rFonts w:ascii="Times New Roman" w:hAnsi="Times New Roman" w:cs="Times New Roman"/>
          <w:sz w:val="26"/>
          <w:szCs w:val="26"/>
        </w:rPr>
        <w:t xml:space="preserve"> 490 Pa. 264, 416 A.2d 461 (1980).</w:t>
      </w:r>
    </w:p>
    <w:p w:rsidR="004A186A" w:rsidRDefault="004A186A" w:rsidP="00475F23">
      <w:pPr>
        <w:spacing w:after="0" w:line="360" w:lineRule="auto"/>
        <w:rPr>
          <w:rFonts w:ascii="Times New Roman" w:hAnsi="Times New Roman" w:cs="Times New Roman"/>
          <w:sz w:val="26"/>
          <w:szCs w:val="26"/>
        </w:rPr>
      </w:pPr>
    </w:p>
    <w:p w:rsidR="00BE3246" w:rsidRDefault="00A521BB" w:rsidP="004A186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W</w:t>
      </w:r>
      <w:r w:rsidR="002F0D32" w:rsidRPr="002F0D32">
        <w:rPr>
          <w:rFonts w:ascii="Times New Roman" w:hAnsi="Times New Roman" w:cs="Times New Roman"/>
          <w:sz w:val="26"/>
          <w:szCs w:val="26"/>
        </w:rPr>
        <w:t xml:space="preserve">hile a petition under Section 703(g) may raise any matter designed to convince us that we should exercise our discretion to amend or rescind a prior order, at the same time “[p]arties . . ., cannot be permitted by a second motion to review and reconsider, to raise the same questions which were specifically considered and decided against them.”  </w:t>
      </w:r>
      <w:r w:rsidR="002F0D32" w:rsidRPr="002F0D32">
        <w:rPr>
          <w:rFonts w:ascii="Times New Roman" w:hAnsi="Times New Roman" w:cs="Times New Roman"/>
          <w:i/>
          <w:sz w:val="26"/>
          <w:szCs w:val="26"/>
        </w:rPr>
        <w:t>Duick v. Pennsylvania Gas and Water Company</w:t>
      </w:r>
      <w:r w:rsidR="002F0D32" w:rsidRPr="002F0D32">
        <w:rPr>
          <w:rFonts w:ascii="Times New Roman" w:hAnsi="Times New Roman" w:cs="Times New Roman"/>
          <w:sz w:val="26"/>
          <w:szCs w:val="26"/>
        </w:rPr>
        <w:t xml:space="preserve">, 56 Pa. P.U.C. 553 (Order entered December 17, 1982) (quoting </w:t>
      </w:r>
      <w:hyperlink r:id="rId8" w:tgtFrame="x" w:tooltip="Clicking this link retrieves the full text document in another window" w:history="1">
        <w:r w:rsidR="002F0D32" w:rsidRPr="002F0D32">
          <w:rPr>
            <w:rFonts w:ascii="Times New Roman" w:hAnsi="Times New Roman" w:cs="Times New Roman"/>
            <w:i/>
            <w:sz w:val="26"/>
            <w:szCs w:val="26"/>
          </w:rPr>
          <w:t>Pennsylvania Railroad Co. v. Pennsylvania Public Service Commission</w:t>
        </w:r>
        <w:r w:rsidR="002F0D32" w:rsidRPr="002F0D32">
          <w:rPr>
            <w:rFonts w:ascii="Times New Roman" w:hAnsi="Times New Roman" w:cs="Times New Roman"/>
            <w:sz w:val="26"/>
            <w:szCs w:val="26"/>
          </w:rPr>
          <w:t>, 179 A. 850, 854 (Pa. Super. Ct. 1935)</w:t>
        </w:r>
      </w:hyperlink>
      <w:r w:rsidR="002F0D32">
        <w:rPr>
          <w:rFonts w:ascii="Times New Roman" w:hAnsi="Times New Roman" w:cs="Times New Roman"/>
          <w:sz w:val="26"/>
          <w:szCs w:val="26"/>
        </w:rPr>
        <w:t xml:space="preserve"> (</w:t>
      </w:r>
      <w:r w:rsidR="002F0D32" w:rsidRPr="002F0D32">
        <w:rPr>
          <w:rFonts w:ascii="Times New Roman" w:hAnsi="Times New Roman" w:cs="Times New Roman"/>
          <w:i/>
          <w:sz w:val="26"/>
          <w:szCs w:val="26"/>
        </w:rPr>
        <w:t>Duick</w:t>
      </w:r>
      <w:r w:rsidR="002F0D32">
        <w:rPr>
          <w:rFonts w:ascii="Times New Roman" w:hAnsi="Times New Roman" w:cs="Times New Roman"/>
          <w:sz w:val="26"/>
          <w:szCs w:val="26"/>
        </w:rPr>
        <w:t>)</w:t>
      </w:r>
      <w:r w:rsidR="002F0D32" w:rsidRPr="002F0D32">
        <w:rPr>
          <w:rFonts w:ascii="Times New Roman" w:hAnsi="Times New Roman" w:cs="Times New Roman"/>
          <w:sz w:val="26"/>
          <w:szCs w:val="26"/>
        </w:rPr>
        <w:t xml:space="preserve">.  </w:t>
      </w:r>
      <w:r w:rsidR="002F0D32" w:rsidRPr="002F0D32">
        <w:rPr>
          <w:rFonts w:ascii="Times New Roman" w:hAnsi="Times New Roman" w:cs="Times New Roman"/>
          <w:color w:val="000000"/>
          <w:spacing w:val="-3"/>
          <w:sz w:val="26"/>
          <w:szCs w:val="26"/>
          <w:u w:color="000000"/>
        </w:rPr>
        <w:t xml:space="preserve">Such petitions are likely to succeed only when they raise “new and novel arguments” not previously heard or considerations which appear to have been overlooked or not addressed by the Commission.  </w:t>
      </w:r>
      <w:r w:rsidR="002F0D32" w:rsidRPr="002F0D32">
        <w:rPr>
          <w:rFonts w:ascii="Times New Roman" w:hAnsi="Times New Roman" w:cs="Times New Roman"/>
          <w:i/>
          <w:color w:val="000000"/>
          <w:spacing w:val="-3"/>
          <w:sz w:val="26"/>
          <w:szCs w:val="26"/>
          <w:u w:color="000000"/>
        </w:rPr>
        <w:t>Duick</w:t>
      </w:r>
      <w:r w:rsidR="002F0D32" w:rsidRPr="002F0D32">
        <w:rPr>
          <w:rFonts w:ascii="Times New Roman" w:hAnsi="Times New Roman" w:cs="Times New Roman"/>
          <w:color w:val="000000"/>
          <w:spacing w:val="-3"/>
          <w:sz w:val="26"/>
          <w:szCs w:val="26"/>
          <w:u w:color="000000"/>
        </w:rPr>
        <w:t xml:space="preserve"> at 559</w:t>
      </w:r>
      <w:r w:rsidR="002F0D32" w:rsidRPr="004579A4">
        <w:rPr>
          <w:color w:val="000000"/>
          <w:spacing w:val="-3"/>
          <w:sz w:val="26"/>
          <w:szCs w:val="26"/>
          <w:u w:color="000000"/>
        </w:rPr>
        <w:t>.</w:t>
      </w:r>
    </w:p>
    <w:p w:rsidR="00627720" w:rsidRPr="00E95541" w:rsidRDefault="00627720" w:rsidP="00475F23">
      <w:pPr>
        <w:spacing w:after="0" w:line="360" w:lineRule="auto"/>
        <w:rPr>
          <w:rFonts w:ascii="Times New Roman" w:hAnsi="Times New Roman" w:cs="Times New Roman"/>
          <w:sz w:val="26"/>
          <w:szCs w:val="26"/>
        </w:rPr>
      </w:pPr>
    </w:p>
    <w:p w:rsidR="00E95541" w:rsidRDefault="00DF78A9" w:rsidP="00475F23">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Furthermore, a</w:t>
      </w:r>
      <w:r w:rsidR="00BE3246" w:rsidRPr="00E95541">
        <w:rPr>
          <w:rFonts w:ascii="Times New Roman" w:hAnsi="Times New Roman" w:cs="Times New Roman"/>
          <w:sz w:val="26"/>
          <w:szCs w:val="26"/>
        </w:rPr>
        <w:t>djudications by the Commission must be supported by substantial evidence in the record.  2 Pa.</w:t>
      </w:r>
      <w:r w:rsidR="00270E49">
        <w:rPr>
          <w:rFonts w:ascii="Times New Roman" w:hAnsi="Times New Roman" w:cs="Times New Roman"/>
          <w:sz w:val="26"/>
          <w:szCs w:val="26"/>
        </w:rPr>
        <w:t xml:space="preserve"> </w:t>
      </w:r>
      <w:r w:rsidR="00BE3246" w:rsidRPr="00E95541">
        <w:rPr>
          <w:rFonts w:ascii="Times New Roman" w:hAnsi="Times New Roman" w:cs="Times New Roman"/>
          <w:sz w:val="26"/>
          <w:szCs w:val="26"/>
        </w:rPr>
        <w:t xml:space="preserve">C.S. § 704.  Substantial evidence is such relevant evidence that a reasonable mind might accept as adequate to support a conclusion.  </w:t>
      </w:r>
      <w:r w:rsidR="00BE3246" w:rsidRPr="00E95541">
        <w:rPr>
          <w:rFonts w:ascii="Times New Roman" w:hAnsi="Times New Roman" w:cs="Times New Roman"/>
          <w:i/>
          <w:sz w:val="26"/>
          <w:szCs w:val="26"/>
        </w:rPr>
        <w:t>Consolidated Edison Company of New York v. National Labor Relations Board</w:t>
      </w:r>
      <w:r w:rsidR="00BE3246" w:rsidRPr="00E95541">
        <w:rPr>
          <w:rFonts w:ascii="Times New Roman" w:hAnsi="Times New Roman" w:cs="Times New Roman"/>
          <w:sz w:val="26"/>
          <w:szCs w:val="26"/>
        </w:rPr>
        <w:t>, 305 U.S. 197, 229, 59 S.</w:t>
      </w:r>
      <w:r w:rsidR="00270E49">
        <w:rPr>
          <w:rFonts w:ascii="Times New Roman" w:hAnsi="Times New Roman" w:cs="Times New Roman"/>
          <w:sz w:val="26"/>
          <w:szCs w:val="26"/>
        </w:rPr>
        <w:t xml:space="preserve"> </w:t>
      </w:r>
      <w:r w:rsidR="00BE3246" w:rsidRPr="00E95541">
        <w:rPr>
          <w:rFonts w:ascii="Times New Roman" w:hAnsi="Times New Roman" w:cs="Times New Roman"/>
          <w:sz w:val="26"/>
          <w:szCs w:val="26"/>
        </w:rPr>
        <w:t xml:space="preserve">Ct. 206, 217.  More is required than a mere trace of evidence or a suspicion of the existence of a fact sought to be established.  </w:t>
      </w:r>
      <w:r w:rsidR="00BE3246" w:rsidRPr="00E95541">
        <w:rPr>
          <w:rFonts w:ascii="Times New Roman" w:hAnsi="Times New Roman" w:cs="Times New Roman"/>
          <w:i/>
          <w:sz w:val="26"/>
          <w:szCs w:val="26"/>
        </w:rPr>
        <w:t xml:space="preserve">Norfolk &amp; Western Ry. Co. v. Pa. PUC, </w:t>
      </w:r>
      <w:r w:rsidR="00BE3246" w:rsidRPr="00E95541">
        <w:rPr>
          <w:rFonts w:ascii="Times New Roman" w:hAnsi="Times New Roman" w:cs="Times New Roman"/>
          <w:sz w:val="26"/>
          <w:szCs w:val="26"/>
        </w:rPr>
        <w:t xml:space="preserve">489 Pa. 109, 413 A.2d 1037 (1980); </w:t>
      </w:r>
      <w:r w:rsidR="00BE3246" w:rsidRPr="00E95541">
        <w:rPr>
          <w:rFonts w:ascii="Times New Roman" w:hAnsi="Times New Roman" w:cs="Times New Roman"/>
          <w:i/>
          <w:sz w:val="26"/>
          <w:szCs w:val="26"/>
        </w:rPr>
        <w:t>Erie Resistor Corp. v. Unemployment Comp. Bd. of Review</w:t>
      </w:r>
      <w:r w:rsidR="00BE3246" w:rsidRPr="00E95541">
        <w:rPr>
          <w:rFonts w:ascii="Times New Roman" w:hAnsi="Times New Roman" w:cs="Times New Roman"/>
          <w:sz w:val="26"/>
          <w:szCs w:val="26"/>
        </w:rPr>
        <w:t xml:space="preserve">, 166 A.2d 96 (Pa. Super. 1961); </w:t>
      </w:r>
      <w:r w:rsidR="00BE3246" w:rsidRPr="00E95541">
        <w:rPr>
          <w:rFonts w:ascii="Times New Roman" w:hAnsi="Times New Roman" w:cs="Times New Roman"/>
          <w:i/>
          <w:sz w:val="26"/>
          <w:szCs w:val="26"/>
        </w:rPr>
        <w:t>Murphy v. Comm. Dept. of Public Welfare, White Haven Center</w:t>
      </w:r>
      <w:r w:rsidR="00BE3246" w:rsidRPr="00E95541">
        <w:rPr>
          <w:rFonts w:ascii="Times New Roman" w:hAnsi="Times New Roman" w:cs="Times New Roman"/>
          <w:sz w:val="26"/>
          <w:szCs w:val="26"/>
        </w:rPr>
        <w:t>, 480 A.2d 382 (Pa. Cmwlth. 1984).</w:t>
      </w:r>
    </w:p>
    <w:p w:rsidR="00627720" w:rsidRDefault="00627720" w:rsidP="00475F23">
      <w:pPr>
        <w:spacing w:after="0" w:line="360" w:lineRule="auto"/>
        <w:ind w:firstLine="1440"/>
        <w:rPr>
          <w:rFonts w:ascii="Times New Roman" w:hAnsi="Times New Roman" w:cs="Times New Roman"/>
          <w:sz w:val="26"/>
          <w:szCs w:val="26"/>
        </w:rPr>
      </w:pPr>
    </w:p>
    <w:p w:rsidR="002E1C4C" w:rsidRDefault="002E1C4C" w:rsidP="00475F23">
      <w:pPr>
        <w:spacing w:after="0" w:line="360" w:lineRule="auto"/>
        <w:ind w:firstLine="1440"/>
        <w:rPr>
          <w:rFonts w:ascii="Times New Roman" w:hAnsi="Times New Roman" w:cs="Times New Roman"/>
          <w:color w:val="000000"/>
          <w:sz w:val="26"/>
          <w:szCs w:val="26"/>
        </w:rPr>
      </w:pPr>
      <w:r w:rsidRPr="00E95541">
        <w:rPr>
          <w:rFonts w:ascii="Times New Roman" w:hAnsi="Times New Roman" w:cs="Times New Roman"/>
          <w:sz w:val="26"/>
          <w:szCs w:val="26"/>
        </w:rPr>
        <w:t xml:space="preserve">Finally, any issue that we do not specifically delineate shall be deemed to have been duly considered and denied without further discussion.  It is well-settled that the Commission is not required to consider expressly or at length each contention or argument raised by the parties.  </w:t>
      </w:r>
      <w:hyperlink r:id="rId9" w:history="1">
        <w:r w:rsidRPr="00E95541">
          <w:rPr>
            <w:rFonts w:ascii="Times New Roman" w:hAnsi="Times New Roman" w:cs="Times New Roman"/>
            <w:i/>
            <w:iCs/>
            <w:sz w:val="26"/>
            <w:szCs w:val="26"/>
          </w:rPr>
          <w:t>Consolidated Ra</w:t>
        </w:r>
        <w:r w:rsidRPr="00E95541">
          <w:rPr>
            <w:rFonts w:ascii="Times New Roman" w:hAnsi="Times New Roman" w:cs="Times New Roman"/>
            <w:i/>
            <w:iCs/>
            <w:color w:val="000000"/>
            <w:sz w:val="26"/>
            <w:szCs w:val="26"/>
          </w:rPr>
          <w:t xml:space="preserve">il Corp. v. Pa. PUC, </w:t>
        </w:r>
        <w:r w:rsidRPr="00E95541">
          <w:rPr>
            <w:rFonts w:ascii="Times New Roman" w:hAnsi="Times New Roman" w:cs="Times New Roman"/>
            <w:color w:val="000000"/>
            <w:sz w:val="26"/>
            <w:szCs w:val="26"/>
          </w:rPr>
          <w:t>625 A.2d 741 (Pa. Cmwlth. 1993);</w:t>
        </w:r>
      </w:hyperlink>
      <w:r w:rsidRPr="00E95541">
        <w:rPr>
          <w:rFonts w:ascii="Times New Roman" w:hAnsi="Times New Roman" w:cs="Times New Roman"/>
          <w:color w:val="000000"/>
          <w:sz w:val="26"/>
          <w:szCs w:val="26"/>
        </w:rPr>
        <w:t xml:space="preserve"> </w:t>
      </w:r>
      <w:r w:rsidRPr="00E95541">
        <w:rPr>
          <w:rFonts w:ascii="Times New Roman" w:hAnsi="Times New Roman" w:cs="Times New Roman"/>
          <w:i/>
          <w:color w:val="000000"/>
          <w:sz w:val="26"/>
          <w:szCs w:val="26"/>
        </w:rPr>
        <w:t xml:space="preserve">also </w:t>
      </w:r>
      <w:r w:rsidRPr="00E95541">
        <w:rPr>
          <w:rFonts w:ascii="Times New Roman" w:hAnsi="Times New Roman" w:cs="Times New Roman"/>
          <w:i/>
          <w:iCs/>
          <w:color w:val="000000"/>
          <w:sz w:val="26"/>
          <w:szCs w:val="26"/>
        </w:rPr>
        <w:t xml:space="preserve">see, generally, </w:t>
      </w:r>
      <w:hyperlink r:id="rId10" w:history="1">
        <w:r w:rsidRPr="00E95541">
          <w:rPr>
            <w:rFonts w:ascii="Times New Roman" w:hAnsi="Times New Roman" w:cs="Times New Roman"/>
            <w:i/>
            <w:iCs/>
            <w:color w:val="000000"/>
            <w:sz w:val="26"/>
            <w:szCs w:val="26"/>
          </w:rPr>
          <w:t>University of Pennsylvania v. Pa. PUC</w:t>
        </w:r>
        <w:r w:rsidRPr="00E95541">
          <w:rPr>
            <w:rFonts w:ascii="Times New Roman" w:hAnsi="Times New Roman" w:cs="Times New Roman"/>
            <w:color w:val="000000"/>
            <w:sz w:val="26"/>
            <w:szCs w:val="26"/>
          </w:rPr>
          <w:t>, 485 A.2d 1217 (Pa. Cmwlth. 1984).</w:t>
        </w:r>
      </w:hyperlink>
    </w:p>
    <w:p w:rsidR="00627720" w:rsidRPr="00E95541" w:rsidRDefault="00627720" w:rsidP="00475F23">
      <w:pPr>
        <w:spacing w:after="0" w:line="360" w:lineRule="auto"/>
        <w:ind w:firstLine="1440"/>
        <w:rPr>
          <w:rFonts w:ascii="Times New Roman" w:hAnsi="Times New Roman" w:cs="Times New Roman"/>
          <w:sz w:val="26"/>
          <w:szCs w:val="26"/>
        </w:rPr>
      </w:pPr>
    </w:p>
    <w:p w:rsidR="00C45E42" w:rsidRPr="00042362" w:rsidRDefault="00C45E42" w:rsidP="00C45E42">
      <w:pPr>
        <w:pStyle w:val="ListParagraph"/>
        <w:keepNext/>
        <w:keepLines/>
        <w:numPr>
          <w:ilvl w:val="1"/>
          <w:numId w:val="2"/>
        </w:numPr>
        <w:spacing w:after="0" w:line="360" w:lineRule="auto"/>
        <w:ind w:left="0" w:firstLine="0"/>
        <w:contextualSpacing w:val="0"/>
        <w:rPr>
          <w:rFonts w:ascii="Times New Roman" w:hAnsi="Times New Roman" w:cs="Times New Roman"/>
          <w:b/>
          <w:i/>
          <w:sz w:val="26"/>
          <w:szCs w:val="26"/>
        </w:rPr>
      </w:pPr>
      <w:r w:rsidRPr="00042362">
        <w:rPr>
          <w:rFonts w:ascii="Times New Roman" w:hAnsi="Times New Roman" w:cs="Times New Roman"/>
          <w:b/>
          <w:i/>
          <w:sz w:val="26"/>
          <w:szCs w:val="26"/>
        </w:rPr>
        <w:t>November 8 Order</w:t>
      </w:r>
    </w:p>
    <w:p w:rsidR="00C45E42" w:rsidRDefault="00C45E42" w:rsidP="00C45E42">
      <w:pPr>
        <w:keepNext/>
        <w:keepLines/>
        <w:spacing w:after="0" w:line="360" w:lineRule="auto"/>
        <w:rPr>
          <w:rFonts w:ascii="Times New Roman" w:hAnsi="Times New Roman" w:cs="Times New Roman"/>
          <w:b/>
          <w:sz w:val="26"/>
          <w:szCs w:val="26"/>
        </w:rPr>
      </w:pPr>
    </w:p>
    <w:p w:rsidR="00C45E42" w:rsidRDefault="00C45E42" w:rsidP="00C45E4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In the Recommended Decision, the ALJs recommended to dismiss, without prejudice, the OCA’s claims regarding PGW’s</w:t>
      </w:r>
      <w:r w:rsidR="005660BC">
        <w:rPr>
          <w:rFonts w:ascii="Times New Roman" w:hAnsi="Times New Roman" w:cs="Times New Roman"/>
          <w:sz w:val="26"/>
          <w:szCs w:val="26"/>
        </w:rPr>
        <w:t xml:space="preserve"> partial payment allocation</w:t>
      </w:r>
      <w:r>
        <w:rPr>
          <w:rFonts w:ascii="Times New Roman" w:hAnsi="Times New Roman" w:cs="Times New Roman"/>
          <w:sz w:val="26"/>
          <w:szCs w:val="26"/>
        </w:rPr>
        <w:t xml:space="preserve"> practices (R.D. at</w:t>
      </w:r>
      <w:r w:rsidR="00B60371">
        <w:rPr>
          <w:rFonts w:ascii="Times New Roman" w:hAnsi="Times New Roman" w:cs="Times New Roman"/>
          <w:sz w:val="26"/>
          <w:szCs w:val="26"/>
        </w:rPr>
        <w:t> </w:t>
      </w:r>
      <w:r>
        <w:rPr>
          <w:rFonts w:ascii="Times New Roman" w:hAnsi="Times New Roman" w:cs="Times New Roman"/>
          <w:sz w:val="26"/>
          <w:szCs w:val="26"/>
        </w:rPr>
        <w:t xml:space="preserve">72-77), for the following three reasons:  (1) because the language in PGW’s tariff is consistent with the Commission’s </w:t>
      </w:r>
      <w:r w:rsidR="007F22A1">
        <w:rPr>
          <w:rFonts w:ascii="Times New Roman" w:hAnsi="Times New Roman" w:cs="Times New Roman"/>
          <w:sz w:val="26"/>
          <w:szCs w:val="26"/>
        </w:rPr>
        <w:t>R</w:t>
      </w:r>
      <w:r>
        <w:rPr>
          <w:rFonts w:ascii="Times New Roman" w:hAnsi="Times New Roman" w:cs="Times New Roman"/>
          <w:sz w:val="26"/>
          <w:szCs w:val="26"/>
        </w:rPr>
        <w:t>egulations, the ALJ’s determined that PGW’s existing tariff was not at issue (R.D. at 75-76); (2) because the record lacked any actual billing data reflecting how PGW’s partial payment allocation practices have actually affected its customers, whereas the record in the then-pending consum</w:t>
      </w:r>
      <w:r w:rsidR="00167B7D">
        <w:rPr>
          <w:rFonts w:ascii="Times New Roman" w:hAnsi="Times New Roman" w:cs="Times New Roman"/>
          <w:sz w:val="26"/>
          <w:szCs w:val="26"/>
        </w:rPr>
        <w:t xml:space="preserve">er complaint case regarding </w:t>
      </w:r>
      <w:r>
        <w:rPr>
          <w:rFonts w:ascii="Times New Roman" w:hAnsi="Times New Roman" w:cs="Times New Roman"/>
          <w:sz w:val="26"/>
          <w:szCs w:val="26"/>
        </w:rPr>
        <w:t xml:space="preserve">PGW’s partial payment practices did contain such evidence, </w:t>
      </w:r>
      <w:r w:rsidRPr="00B3760F">
        <w:rPr>
          <w:rFonts w:ascii="Times New Roman" w:hAnsi="Times New Roman" w:cs="Times New Roman"/>
          <w:i/>
          <w:sz w:val="26"/>
          <w:szCs w:val="26"/>
        </w:rPr>
        <w:t>SBG Management Services/Colonial Garden Realty Company v. PGW</w:t>
      </w:r>
      <w:r>
        <w:rPr>
          <w:rFonts w:ascii="Times New Roman" w:hAnsi="Times New Roman" w:cs="Times New Roman"/>
          <w:sz w:val="26"/>
          <w:szCs w:val="26"/>
        </w:rPr>
        <w:t xml:space="preserve">, Docket Nos. C-2012-2304183 and C-2012-2304324 </w:t>
      </w:r>
      <w:r w:rsidR="00124DB0" w:rsidRPr="00E95541">
        <w:rPr>
          <w:rFonts w:ascii="Times New Roman" w:hAnsi="Times New Roman" w:cs="Times New Roman"/>
          <w:color w:val="000000"/>
          <w:sz w:val="26"/>
          <w:szCs w:val="26"/>
        </w:rPr>
        <w:t xml:space="preserve">(Order entered December 8, 2016) </w:t>
      </w:r>
      <w:r>
        <w:rPr>
          <w:rFonts w:ascii="Times New Roman" w:hAnsi="Times New Roman" w:cs="Times New Roman"/>
          <w:sz w:val="26"/>
          <w:szCs w:val="26"/>
        </w:rPr>
        <w:t>(</w:t>
      </w:r>
      <w:r w:rsidRPr="00B3760F">
        <w:rPr>
          <w:rFonts w:ascii="Times New Roman" w:hAnsi="Times New Roman" w:cs="Times New Roman"/>
          <w:i/>
          <w:sz w:val="26"/>
          <w:szCs w:val="26"/>
        </w:rPr>
        <w:t>SBG</w:t>
      </w:r>
      <w:r>
        <w:rPr>
          <w:rFonts w:ascii="Times New Roman" w:hAnsi="Times New Roman" w:cs="Times New Roman"/>
          <w:sz w:val="26"/>
          <w:szCs w:val="26"/>
        </w:rPr>
        <w:t xml:space="preserve"> </w:t>
      </w:r>
      <w:r w:rsidR="000B1445" w:rsidRPr="000B1445">
        <w:rPr>
          <w:rFonts w:ascii="Times New Roman" w:hAnsi="Times New Roman" w:cs="Times New Roman"/>
          <w:i/>
          <w:sz w:val="26"/>
          <w:szCs w:val="26"/>
        </w:rPr>
        <w:t>Order</w:t>
      </w:r>
      <w:r>
        <w:rPr>
          <w:rFonts w:ascii="Times New Roman" w:hAnsi="Times New Roman" w:cs="Times New Roman"/>
          <w:sz w:val="26"/>
          <w:szCs w:val="26"/>
        </w:rPr>
        <w:t>) (R.D. at 76); and (3) because the challenge</w:t>
      </w:r>
      <w:r w:rsidR="00167B7D">
        <w:rPr>
          <w:rFonts w:ascii="Times New Roman" w:hAnsi="Times New Roman" w:cs="Times New Roman"/>
          <w:sz w:val="26"/>
          <w:szCs w:val="26"/>
        </w:rPr>
        <w:t>s</w:t>
      </w:r>
      <w:r>
        <w:rPr>
          <w:rFonts w:ascii="Times New Roman" w:hAnsi="Times New Roman" w:cs="Times New Roman"/>
          <w:sz w:val="26"/>
          <w:szCs w:val="26"/>
        </w:rPr>
        <w:t xml:space="preserve"> ra</w:t>
      </w:r>
      <w:r w:rsidR="00167B7D">
        <w:rPr>
          <w:rFonts w:ascii="Times New Roman" w:hAnsi="Times New Roman" w:cs="Times New Roman"/>
          <w:sz w:val="26"/>
          <w:szCs w:val="26"/>
        </w:rPr>
        <w:t xml:space="preserve">ised by the OCA in this case </w:t>
      </w:r>
      <w:r>
        <w:rPr>
          <w:rFonts w:ascii="Times New Roman" w:hAnsi="Times New Roman" w:cs="Times New Roman"/>
          <w:sz w:val="26"/>
          <w:szCs w:val="26"/>
        </w:rPr>
        <w:t xml:space="preserve">effectively </w:t>
      </w:r>
      <w:r w:rsidR="00515380">
        <w:rPr>
          <w:rFonts w:ascii="Times New Roman" w:hAnsi="Times New Roman" w:cs="Times New Roman"/>
          <w:sz w:val="26"/>
          <w:szCs w:val="26"/>
        </w:rPr>
        <w:t xml:space="preserve">could be </w:t>
      </w:r>
      <w:r>
        <w:rPr>
          <w:rFonts w:ascii="Times New Roman" w:hAnsi="Times New Roman" w:cs="Times New Roman"/>
          <w:sz w:val="26"/>
          <w:szCs w:val="26"/>
        </w:rPr>
        <w:t>pursued in a separate complaint proceeding (R.D. at</w:t>
      </w:r>
      <w:r w:rsidR="00515380">
        <w:rPr>
          <w:rFonts w:ascii="Times New Roman" w:hAnsi="Times New Roman" w:cs="Times New Roman"/>
          <w:sz w:val="26"/>
          <w:szCs w:val="26"/>
        </w:rPr>
        <w:t> </w:t>
      </w:r>
      <w:r>
        <w:rPr>
          <w:rFonts w:ascii="Times New Roman" w:hAnsi="Times New Roman" w:cs="Times New Roman"/>
          <w:sz w:val="26"/>
          <w:szCs w:val="26"/>
        </w:rPr>
        <w:t>77).  OCA Exc. at 4.</w:t>
      </w:r>
    </w:p>
    <w:p w:rsidR="00C45E42" w:rsidRDefault="00C45E42" w:rsidP="00C45E42">
      <w:pPr>
        <w:spacing w:after="0" w:line="360" w:lineRule="auto"/>
        <w:ind w:firstLine="1440"/>
        <w:rPr>
          <w:rFonts w:ascii="Times New Roman" w:hAnsi="Times New Roman" w:cs="Times New Roman"/>
          <w:sz w:val="26"/>
          <w:szCs w:val="26"/>
        </w:rPr>
      </w:pPr>
    </w:p>
    <w:p w:rsidR="00C45E42" w:rsidRDefault="00C45E42" w:rsidP="00C45E4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the </w:t>
      </w:r>
      <w:r w:rsidRPr="004F7715">
        <w:rPr>
          <w:rFonts w:ascii="Times New Roman" w:hAnsi="Times New Roman" w:cs="Times New Roman"/>
          <w:i/>
          <w:sz w:val="26"/>
          <w:szCs w:val="26"/>
        </w:rPr>
        <w:t>November 8 Order</w:t>
      </w:r>
      <w:r>
        <w:rPr>
          <w:rFonts w:ascii="Times New Roman" w:hAnsi="Times New Roman" w:cs="Times New Roman"/>
          <w:sz w:val="26"/>
          <w:szCs w:val="26"/>
        </w:rPr>
        <w:t xml:space="preserve">, </w:t>
      </w:r>
      <w:r w:rsidRPr="00077A2C">
        <w:rPr>
          <w:rFonts w:ascii="Times New Roman" w:hAnsi="Times New Roman" w:cs="Times New Roman"/>
          <w:sz w:val="26"/>
          <w:szCs w:val="26"/>
        </w:rPr>
        <w:t xml:space="preserve">we adopted the </w:t>
      </w:r>
      <w:r>
        <w:rPr>
          <w:rFonts w:ascii="Times New Roman" w:hAnsi="Times New Roman" w:cs="Times New Roman"/>
          <w:sz w:val="26"/>
          <w:szCs w:val="26"/>
        </w:rPr>
        <w:t>ALJs’ recommendation to dismiss the OCA’s claims</w:t>
      </w:r>
      <w:r w:rsidR="005660BC">
        <w:rPr>
          <w:rFonts w:ascii="Times New Roman" w:hAnsi="Times New Roman" w:cs="Times New Roman"/>
          <w:sz w:val="26"/>
          <w:szCs w:val="26"/>
        </w:rPr>
        <w:t>,</w:t>
      </w:r>
      <w:r w:rsidRPr="00077A2C">
        <w:rPr>
          <w:rFonts w:ascii="Times New Roman" w:hAnsi="Times New Roman" w:cs="Times New Roman"/>
          <w:sz w:val="26"/>
          <w:szCs w:val="26"/>
        </w:rPr>
        <w:t xml:space="preserve"> without prejudice to</w:t>
      </w:r>
      <w:r>
        <w:rPr>
          <w:rFonts w:ascii="Times New Roman" w:hAnsi="Times New Roman" w:cs="Times New Roman"/>
          <w:sz w:val="26"/>
          <w:szCs w:val="26"/>
        </w:rPr>
        <w:t xml:space="preserve"> the</w:t>
      </w:r>
      <w:r w:rsidRPr="00077A2C">
        <w:rPr>
          <w:rFonts w:ascii="Times New Roman" w:hAnsi="Times New Roman" w:cs="Times New Roman"/>
          <w:sz w:val="26"/>
          <w:szCs w:val="26"/>
        </w:rPr>
        <w:t xml:space="preserve"> OCA’s future right to separately file a formal complaint on this matter, or to petition this Commission to initiate an investigation into PGW’s partial payment allocation practices</w:t>
      </w:r>
      <w:r>
        <w:rPr>
          <w:rFonts w:ascii="Times New Roman" w:hAnsi="Times New Roman" w:cs="Times New Roman"/>
          <w:sz w:val="26"/>
          <w:szCs w:val="26"/>
        </w:rPr>
        <w:t xml:space="preserve">.  </w:t>
      </w:r>
      <w:r w:rsidRPr="00077A2C">
        <w:rPr>
          <w:rFonts w:ascii="Times New Roman" w:hAnsi="Times New Roman" w:cs="Times New Roman"/>
          <w:i/>
          <w:sz w:val="26"/>
          <w:szCs w:val="26"/>
        </w:rPr>
        <w:t>November 8 Order</w:t>
      </w:r>
      <w:r w:rsidRPr="00077A2C">
        <w:rPr>
          <w:rFonts w:ascii="Times New Roman" w:hAnsi="Times New Roman" w:cs="Times New Roman"/>
          <w:sz w:val="26"/>
          <w:szCs w:val="26"/>
        </w:rPr>
        <w:t xml:space="preserve"> at 46</w:t>
      </w:r>
      <w:r>
        <w:rPr>
          <w:rFonts w:ascii="Times New Roman" w:hAnsi="Times New Roman" w:cs="Times New Roman"/>
          <w:sz w:val="26"/>
          <w:szCs w:val="26"/>
        </w:rPr>
        <w:t>, 48</w:t>
      </w:r>
      <w:r w:rsidRPr="00077A2C">
        <w:rPr>
          <w:rFonts w:ascii="Times New Roman" w:hAnsi="Times New Roman" w:cs="Times New Roman"/>
          <w:sz w:val="26"/>
          <w:szCs w:val="26"/>
        </w:rPr>
        <w:t>.</w:t>
      </w:r>
    </w:p>
    <w:p w:rsidR="00C45E42" w:rsidRDefault="00C45E42" w:rsidP="00C45E42">
      <w:pPr>
        <w:spacing w:after="0" w:line="360" w:lineRule="auto"/>
        <w:ind w:firstLine="1440"/>
        <w:rPr>
          <w:rFonts w:ascii="Times New Roman" w:hAnsi="Times New Roman" w:cs="Times New Roman"/>
          <w:sz w:val="26"/>
          <w:szCs w:val="26"/>
        </w:rPr>
      </w:pPr>
    </w:p>
    <w:p w:rsidR="00C45E42" w:rsidRDefault="00515380" w:rsidP="00C45E4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W</w:t>
      </w:r>
      <w:r w:rsidR="00C45E42">
        <w:rPr>
          <w:rFonts w:ascii="Times New Roman" w:hAnsi="Times New Roman" w:cs="Times New Roman"/>
          <w:sz w:val="26"/>
          <w:szCs w:val="26"/>
        </w:rPr>
        <w:t xml:space="preserve">e </w:t>
      </w:r>
      <w:r>
        <w:rPr>
          <w:rFonts w:ascii="Times New Roman" w:hAnsi="Times New Roman" w:cs="Times New Roman"/>
          <w:sz w:val="26"/>
          <w:szCs w:val="26"/>
        </w:rPr>
        <w:t xml:space="preserve">further </w:t>
      </w:r>
      <w:r w:rsidR="00C45E42">
        <w:rPr>
          <w:rFonts w:ascii="Times New Roman" w:hAnsi="Times New Roman" w:cs="Times New Roman"/>
          <w:sz w:val="26"/>
          <w:szCs w:val="26"/>
        </w:rPr>
        <w:t xml:space="preserve">stated that </w:t>
      </w:r>
      <w:r w:rsidR="00C45E42" w:rsidRPr="00077A2C">
        <w:rPr>
          <w:rFonts w:ascii="Times New Roman" w:hAnsi="Times New Roman" w:cs="Times New Roman"/>
          <w:sz w:val="26"/>
          <w:szCs w:val="26"/>
        </w:rPr>
        <w:t>the OCA’s claim</w:t>
      </w:r>
      <w:r w:rsidR="00C45E42">
        <w:rPr>
          <w:rFonts w:ascii="Times New Roman" w:hAnsi="Times New Roman" w:cs="Times New Roman"/>
          <w:sz w:val="26"/>
          <w:szCs w:val="26"/>
        </w:rPr>
        <w:t>s</w:t>
      </w:r>
      <w:r w:rsidR="00C45E42" w:rsidRPr="00077A2C">
        <w:rPr>
          <w:rFonts w:ascii="Times New Roman" w:hAnsi="Times New Roman" w:cs="Times New Roman"/>
          <w:sz w:val="26"/>
          <w:szCs w:val="26"/>
        </w:rPr>
        <w:t xml:space="preserve"> regarding PGW’s partial payment alloca</w:t>
      </w:r>
      <w:r w:rsidR="00C45E42">
        <w:rPr>
          <w:rFonts w:ascii="Times New Roman" w:hAnsi="Times New Roman" w:cs="Times New Roman"/>
          <w:sz w:val="26"/>
          <w:szCs w:val="26"/>
        </w:rPr>
        <w:t xml:space="preserve">tion practices do not appear to </w:t>
      </w:r>
      <w:r w:rsidR="00C45E42" w:rsidRPr="00077A2C">
        <w:rPr>
          <w:rFonts w:ascii="Times New Roman" w:hAnsi="Times New Roman" w:cs="Times New Roman"/>
          <w:sz w:val="26"/>
          <w:szCs w:val="26"/>
        </w:rPr>
        <w:t xml:space="preserve">challenge the lawfulness, justness or reasonableness of </w:t>
      </w:r>
      <w:r w:rsidR="00C45E42">
        <w:rPr>
          <w:rFonts w:ascii="Times New Roman" w:hAnsi="Times New Roman" w:cs="Times New Roman"/>
          <w:sz w:val="26"/>
          <w:szCs w:val="26"/>
        </w:rPr>
        <w:t xml:space="preserve">PGW’s </w:t>
      </w:r>
      <w:r w:rsidR="00C45E42" w:rsidRPr="00077A2C">
        <w:rPr>
          <w:rFonts w:ascii="Times New Roman" w:hAnsi="Times New Roman" w:cs="Times New Roman"/>
          <w:sz w:val="26"/>
          <w:szCs w:val="26"/>
        </w:rPr>
        <w:t>proposed or existing rat</w:t>
      </w:r>
      <w:r w:rsidR="00C45E42">
        <w:rPr>
          <w:rFonts w:ascii="Times New Roman" w:hAnsi="Times New Roman" w:cs="Times New Roman"/>
          <w:sz w:val="26"/>
          <w:szCs w:val="26"/>
        </w:rPr>
        <w:t>es</w:t>
      </w:r>
      <w:r w:rsidR="00C45E42" w:rsidRPr="00077A2C">
        <w:rPr>
          <w:rFonts w:ascii="Times New Roman" w:hAnsi="Times New Roman" w:cs="Times New Roman"/>
          <w:sz w:val="26"/>
          <w:szCs w:val="26"/>
        </w:rPr>
        <w:t>, rule</w:t>
      </w:r>
      <w:r w:rsidR="00C45E42">
        <w:rPr>
          <w:rFonts w:ascii="Times New Roman" w:hAnsi="Times New Roman" w:cs="Times New Roman"/>
          <w:sz w:val="26"/>
          <w:szCs w:val="26"/>
        </w:rPr>
        <w:t>s</w:t>
      </w:r>
      <w:r w:rsidR="00C45E42" w:rsidRPr="00077A2C">
        <w:rPr>
          <w:rFonts w:ascii="Times New Roman" w:hAnsi="Times New Roman" w:cs="Times New Roman"/>
          <w:sz w:val="26"/>
          <w:szCs w:val="26"/>
        </w:rPr>
        <w:t xml:space="preserve"> or regulation</w:t>
      </w:r>
      <w:r w:rsidR="00C45E42">
        <w:rPr>
          <w:rFonts w:ascii="Times New Roman" w:hAnsi="Times New Roman" w:cs="Times New Roman"/>
          <w:sz w:val="26"/>
          <w:szCs w:val="26"/>
        </w:rPr>
        <w:t>s</w:t>
      </w:r>
      <w:r w:rsidR="00C45E42" w:rsidRPr="00077A2C">
        <w:rPr>
          <w:rFonts w:ascii="Times New Roman" w:hAnsi="Times New Roman" w:cs="Times New Roman"/>
          <w:sz w:val="26"/>
          <w:szCs w:val="26"/>
        </w:rPr>
        <w:t xml:space="preserve">, but rather </w:t>
      </w:r>
      <w:r w:rsidR="00C45E42">
        <w:rPr>
          <w:rFonts w:ascii="Times New Roman" w:hAnsi="Times New Roman" w:cs="Times New Roman"/>
          <w:sz w:val="26"/>
          <w:szCs w:val="26"/>
        </w:rPr>
        <w:t>appear to</w:t>
      </w:r>
      <w:r w:rsidR="00C45E42" w:rsidRPr="00077A2C">
        <w:rPr>
          <w:rFonts w:ascii="Times New Roman" w:hAnsi="Times New Roman" w:cs="Times New Roman"/>
          <w:sz w:val="26"/>
          <w:szCs w:val="26"/>
        </w:rPr>
        <w:t xml:space="preserve"> challenge PGW’s historical and current processes and practices.  </w:t>
      </w:r>
      <w:r w:rsidR="00167B7D">
        <w:rPr>
          <w:rFonts w:ascii="Times New Roman" w:hAnsi="Times New Roman" w:cs="Times New Roman"/>
          <w:sz w:val="26"/>
          <w:szCs w:val="26"/>
        </w:rPr>
        <w:t>We acknowledged, a</w:t>
      </w:r>
      <w:r w:rsidR="00C45E42" w:rsidRPr="00077A2C">
        <w:rPr>
          <w:rFonts w:ascii="Times New Roman" w:hAnsi="Times New Roman" w:cs="Times New Roman"/>
          <w:sz w:val="26"/>
          <w:szCs w:val="26"/>
        </w:rPr>
        <w:t xml:space="preserve">s the ALJs </w:t>
      </w:r>
      <w:r w:rsidR="00167B7D">
        <w:rPr>
          <w:rFonts w:ascii="Times New Roman" w:hAnsi="Times New Roman" w:cs="Times New Roman"/>
          <w:sz w:val="26"/>
          <w:szCs w:val="26"/>
        </w:rPr>
        <w:t xml:space="preserve">had </w:t>
      </w:r>
      <w:r w:rsidR="00C45E42" w:rsidRPr="00077A2C">
        <w:rPr>
          <w:rFonts w:ascii="Times New Roman" w:hAnsi="Times New Roman" w:cs="Times New Roman"/>
          <w:sz w:val="26"/>
          <w:szCs w:val="26"/>
        </w:rPr>
        <w:t xml:space="preserve">pointed out, </w:t>
      </w:r>
      <w:r w:rsidR="00167B7D">
        <w:rPr>
          <w:rFonts w:ascii="Times New Roman" w:hAnsi="Times New Roman" w:cs="Times New Roman"/>
          <w:sz w:val="26"/>
          <w:szCs w:val="26"/>
        </w:rPr>
        <w:t xml:space="preserve">that </w:t>
      </w:r>
      <w:r w:rsidR="00C45E42" w:rsidRPr="00077A2C">
        <w:rPr>
          <w:rFonts w:ascii="Times New Roman" w:hAnsi="Times New Roman" w:cs="Times New Roman"/>
          <w:sz w:val="26"/>
          <w:szCs w:val="26"/>
        </w:rPr>
        <w:t>the existing tariff language in question – Section 4.2</w:t>
      </w:r>
      <w:r w:rsidR="00205442">
        <w:rPr>
          <w:rFonts w:ascii="Times New Roman" w:hAnsi="Times New Roman" w:cs="Times New Roman"/>
          <w:sz w:val="26"/>
          <w:szCs w:val="26"/>
        </w:rPr>
        <w:t xml:space="preserve"> </w:t>
      </w:r>
      <w:r w:rsidR="00C45E42" w:rsidRPr="00077A2C">
        <w:rPr>
          <w:rFonts w:ascii="Times New Roman" w:hAnsi="Times New Roman" w:cs="Times New Roman"/>
          <w:sz w:val="26"/>
          <w:szCs w:val="26"/>
        </w:rPr>
        <w:t>of PGW’s tariff</w:t>
      </w:r>
      <w:r w:rsidR="00205442" w:rsidRPr="00077A2C">
        <w:rPr>
          <w:rFonts w:ascii="Times New Roman" w:hAnsi="Times New Roman" w:cs="Times New Roman"/>
          <w:sz w:val="26"/>
          <w:szCs w:val="26"/>
        </w:rPr>
        <w:t xml:space="preserve"> </w:t>
      </w:r>
      <w:r w:rsidR="00C45E42" w:rsidRPr="00077A2C">
        <w:rPr>
          <w:rFonts w:ascii="Times New Roman" w:hAnsi="Times New Roman" w:cs="Times New Roman"/>
          <w:sz w:val="26"/>
          <w:szCs w:val="26"/>
        </w:rPr>
        <w:t>–</w:t>
      </w:r>
      <w:r w:rsidR="007F22A1">
        <w:rPr>
          <w:rFonts w:ascii="Times New Roman" w:hAnsi="Times New Roman" w:cs="Times New Roman"/>
          <w:sz w:val="26"/>
          <w:szCs w:val="26"/>
        </w:rPr>
        <w:t xml:space="preserve"> </w:t>
      </w:r>
      <w:r w:rsidR="00C45E42" w:rsidRPr="00077A2C">
        <w:rPr>
          <w:rFonts w:ascii="Times New Roman" w:hAnsi="Times New Roman" w:cs="Times New Roman"/>
          <w:sz w:val="26"/>
          <w:szCs w:val="26"/>
        </w:rPr>
        <w:t xml:space="preserve">mirrors </w:t>
      </w:r>
      <w:r w:rsidR="00167B7D">
        <w:rPr>
          <w:rFonts w:ascii="Times New Roman" w:hAnsi="Times New Roman" w:cs="Times New Roman"/>
          <w:sz w:val="26"/>
          <w:szCs w:val="26"/>
        </w:rPr>
        <w:t>Section 56.22(a) and (c) of the Commission’s Regulations</w:t>
      </w:r>
      <w:r w:rsidR="00C45E42" w:rsidRPr="00077A2C">
        <w:rPr>
          <w:rFonts w:ascii="Times New Roman" w:hAnsi="Times New Roman" w:cs="Times New Roman"/>
          <w:sz w:val="26"/>
          <w:szCs w:val="26"/>
        </w:rPr>
        <w:t xml:space="preserve">, and </w:t>
      </w:r>
      <w:r w:rsidR="00C45E42">
        <w:rPr>
          <w:rFonts w:ascii="Times New Roman" w:hAnsi="Times New Roman" w:cs="Times New Roman"/>
          <w:sz w:val="26"/>
          <w:szCs w:val="26"/>
        </w:rPr>
        <w:t>we noted that such language in the Regulations had</w:t>
      </w:r>
      <w:r w:rsidR="00C45E42" w:rsidRPr="00077A2C">
        <w:rPr>
          <w:rFonts w:ascii="Times New Roman" w:hAnsi="Times New Roman" w:cs="Times New Roman"/>
          <w:sz w:val="26"/>
          <w:szCs w:val="26"/>
        </w:rPr>
        <w:t xml:space="preserve"> not been challenged by the OCA as being unlawful, u</w:t>
      </w:r>
      <w:r w:rsidR="00C45E42">
        <w:rPr>
          <w:rFonts w:ascii="Times New Roman" w:hAnsi="Times New Roman" w:cs="Times New Roman"/>
          <w:sz w:val="26"/>
          <w:szCs w:val="26"/>
        </w:rPr>
        <w:t xml:space="preserve">njust or unreasonable.  </w:t>
      </w:r>
      <w:r w:rsidR="00E608DD">
        <w:rPr>
          <w:rFonts w:ascii="Times New Roman" w:hAnsi="Times New Roman" w:cs="Times New Roman"/>
          <w:sz w:val="26"/>
          <w:szCs w:val="26"/>
        </w:rPr>
        <w:t>We acknowledged that t</w:t>
      </w:r>
      <w:r w:rsidR="00E608DD" w:rsidRPr="00077A2C">
        <w:rPr>
          <w:rFonts w:ascii="Times New Roman" w:hAnsi="Times New Roman" w:cs="Times New Roman"/>
          <w:sz w:val="26"/>
          <w:szCs w:val="26"/>
        </w:rPr>
        <w:t>he OCA</w:t>
      </w:r>
      <w:r w:rsidR="00F803A3">
        <w:rPr>
          <w:rFonts w:ascii="Times New Roman" w:hAnsi="Times New Roman" w:cs="Times New Roman"/>
          <w:sz w:val="26"/>
          <w:szCs w:val="26"/>
        </w:rPr>
        <w:t xml:space="preserve"> </w:t>
      </w:r>
      <w:r w:rsidR="00E608DD" w:rsidRPr="00077A2C">
        <w:rPr>
          <w:rFonts w:ascii="Times New Roman" w:hAnsi="Times New Roman" w:cs="Times New Roman"/>
          <w:sz w:val="26"/>
          <w:szCs w:val="26"/>
        </w:rPr>
        <w:t xml:space="preserve">proposed </w:t>
      </w:r>
      <w:r w:rsidR="002D0CF2">
        <w:rPr>
          <w:rFonts w:ascii="Times New Roman" w:hAnsi="Times New Roman" w:cs="Times New Roman"/>
          <w:sz w:val="26"/>
          <w:szCs w:val="26"/>
        </w:rPr>
        <w:t xml:space="preserve">that </w:t>
      </w:r>
      <w:r w:rsidR="00E608DD" w:rsidRPr="00077A2C">
        <w:rPr>
          <w:rFonts w:ascii="Times New Roman" w:hAnsi="Times New Roman" w:cs="Times New Roman"/>
          <w:sz w:val="26"/>
          <w:szCs w:val="26"/>
        </w:rPr>
        <w:t>language be added to PGW’s tariff to corr</w:t>
      </w:r>
      <w:r w:rsidR="00F803A3">
        <w:rPr>
          <w:rFonts w:ascii="Times New Roman" w:hAnsi="Times New Roman" w:cs="Times New Roman"/>
          <w:sz w:val="26"/>
          <w:szCs w:val="26"/>
        </w:rPr>
        <w:t xml:space="preserve">ect </w:t>
      </w:r>
      <w:r w:rsidR="00D6555D">
        <w:rPr>
          <w:rFonts w:ascii="Times New Roman" w:hAnsi="Times New Roman" w:cs="Times New Roman"/>
          <w:sz w:val="26"/>
          <w:szCs w:val="26"/>
        </w:rPr>
        <w:t xml:space="preserve">its current </w:t>
      </w:r>
      <w:r w:rsidR="00F803A3">
        <w:rPr>
          <w:rFonts w:ascii="Times New Roman" w:hAnsi="Times New Roman" w:cs="Times New Roman"/>
          <w:sz w:val="26"/>
          <w:szCs w:val="26"/>
        </w:rPr>
        <w:t xml:space="preserve">practices, which the OCA alleged </w:t>
      </w:r>
      <w:r w:rsidR="00E608DD" w:rsidRPr="00077A2C">
        <w:rPr>
          <w:rFonts w:ascii="Times New Roman" w:hAnsi="Times New Roman" w:cs="Times New Roman"/>
          <w:sz w:val="26"/>
          <w:szCs w:val="26"/>
        </w:rPr>
        <w:t>violate</w:t>
      </w:r>
      <w:r w:rsidR="00F803A3">
        <w:rPr>
          <w:rFonts w:ascii="Times New Roman" w:hAnsi="Times New Roman" w:cs="Times New Roman"/>
          <w:sz w:val="26"/>
          <w:szCs w:val="26"/>
        </w:rPr>
        <w:t>s</w:t>
      </w:r>
      <w:r w:rsidR="00E608DD" w:rsidRPr="00077A2C">
        <w:rPr>
          <w:rFonts w:ascii="Times New Roman" w:hAnsi="Times New Roman" w:cs="Times New Roman"/>
          <w:sz w:val="26"/>
          <w:szCs w:val="26"/>
        </w:rPr>
        <w:t xml:space="preserve"> PGW’s existing tariff and our Regulations, but</w:t>
      </w:r>
      <w:r w:rsidR="00E608DD">
        <w:rPr>
          <w:rFonts w:ascii="Times New Roman" w:hAnsi="Times New Roman" w:cs="Times New Roman"/>
          <w:sz w:val="26"/>
          <w:szCs w:val="26"/>
        </w:rPr>
        <w:t xml:space="preserve"> we stated that </w:t>
      </w:r>
      <w:r w:rsidR="00E608DD" w:rsidRPr="00077A2C">
        <w:rPr>
          <w:rFonts w:ascii="Times New Roman" w:hAnsi="Times New Roman" w:cs="Times New Roman"/>
          <w:sz w:val="26"/>
          <w:szCs w:val="26"/>
        </w:rPr>
        <w:t xml:space="preserve">the issue to be examined is PGW’s alleged wrongful practices.  </w:t>
      </w:r>
      <w:r w:rsidR="00926777">
        <w:rPr>
          <w:rFonts w:ascii="Times New Roman" w:hAnsi="Times New Roman" w:cs="Times New Roman"/>
          <w:sz w:val="26"/>
          <w:szCs w:val="26"/>
        </w:rPr>
        <w:t>With the focus being on PGW’s alleged wrongful practices, w</w:t>
      </w:r>
      <w:r w:rsidR="00C45E42">
        <w:rPr>
          <w:rFonts w:ascii="Times New Roman" w:hAnsi="Times New Roman" w:cs="Times New Roman"/>
          <w:sz w:val="26"/>
          <w:szCs w:val="26"/>
        </w:rPr>
        <w:t>e</w:t>
      </w:r>
      <w:r w:rsidR="00926777">
        <w:rPr>
          <w:rFonts w:ascii="Times New Roman" w:hAnsi="Times New Roman" w:cs="Times New Roman"/>
          <w:sz w:val="26"/>
          <w:szCs w:val="26"/>
        </w:rPr>
        <w:t>,</w:t>
      </w:r>
      <w:r w:rsidR="00C45E42">
        <w:rPr>
          <w:rFonts w:ascii="Times New Roman" w:hAnsi="Times New Roman" w:cs="Times New Roman"/>
          <w:sz w:val="26"/>
          <w:szCs w:val="26"/>
        </w:rPr>
        <w:t xml:space="preserve"> therefore</w:t>
      </w:r>
      <w:r w:rsidR="00926777">
        <w:rPr>
          <w:rFonts w:ascii="Times New Roman" w:hAnsi="Times New Roman" w:cs="Times New Roman"/>
          <w:sz w:val="26"/>
          <w:szCs w:val="26"/>
        </w:rPr>
        <w:t>,</w:t>
      </w:r>
      <w:r w:rsidR="00C45E42">
        <w:rPr>
          <w:rFonts w:ascii="Times New Roman" w:hAnsi="Times New Roman" w:cs="Times New Roman"/>
          <w:sz w:val="26"/>
          <w:szCs w:val="26"/>
        </w:rPr>
        <w:t xml:space="preserve"> viewed </w:t>
      </w:r>
      <w:r w:rsidR="00C45E42" w:rsidRPr="00077A2C">
        <w:rPr>
          <w:rFonts w:ascii="Times New Roman" w:hAnsi="Times New Roman" w:cs="Times New Roman"/>
          <w:sz w:val="26"/>
          <w:szCs w:val="26"/>
        </w:rPr>
        <w:t xml:space="preserve">the </w:t>
      </w:r>
      <w:r w:rsidR="00EE2032">
        <w:rPr>
          <w:rFonts w:ascii="Times New Roman" w:hAnsi="Times New Roman" w:cs="Times New Roman"/>
          <w:sz w:val="26"/>
          <w:szCs w:val="26"/>
        </w:rPr>
        <w:t xml:space="preserve">nature of the </w:t>
      </w:r>
      <w:r w:rsidR="00C45E42" w:rsidRPr="00077A2C">
        <w:rPr>
          <w:rFonts w:ascii="Times New Roman" w:hAnsi="Times New Roman" w:cs="Times New Roman"/>
          <w:sz w:val="26"/>
          <w:szCs w:val="26"/>
        </w:rPr>
        <w:t xml:space="preserve">OCA’s claims </w:t>
      </w:r>
      <w:r w:rsidR="00C45E42">
        <w:rPr>
          <w:rFonts w:ascii="Times New Roman" w:hAnsi="Times New Roman" w:cs="Times New Roman"/>
          <w:sz w:val="26"/>
          <w:szCs w:val="26"/>
        </w:rPr>
        <w:t>as a challenge to</w:t>
      </w:r>
      <w:r w:rsidR="00C45E42" w:rsidRPr="00077A2C">
        <w:rPr>
          <w:rFonts w:ascii="Times New Roman" w:hAnsi="Times New Roman" w:cs="Times New Roman"/>
          <w:sz w:val="26"/>
          <w:szCs w:val="26"/>
        </w:rPr>
        <w:t xml:space="preserve"> PGW’s quality of service to its customers.  </w:t>
      </w:r>
      <w:r w:rsidR="00C45E42" w:rsidRPr="00077A2C">
        <w:rPr>
          <w:rFonts w:ascii="Times New Roman" w:hAnsi="Times New Roman" w:cs="Times New Roman"/>
          <w:i/>
          <w:sz w:val="26"/>
          <w:szCs w:val="26"/>
        </w:rPr>
        <w:t>November 8 Order</w:t>
      </w:r>
      <w:r w:rsidR="00C45E42" w:rsidRPr="00077A2C">
        <w:rPr>
          <w:rFonts w:ascii="Times New Roman" w:hAnsi="Times New Roman" w:cs="Times New Roman"/>
          <w:sz w:val="26"/>
          <w:szCs w:val="26"/>
        </w:rPr>
        <w:t xml:space="preserve"> at 46-47.</w:t>
      </w:r>
    </w:p>
    <w:p w:rsidR="00C45E42" w:rsidRDefault="00C45E42" w:rsidP="00C45E42">
      <w:pPr>
        <w:spacing w:after="0" w:line="360" w:lineRule="auto"/>
        <w:ind w:firstLine="1440"/>
        <w:rPr>
          <w:rFonts w:ascii="Times New Roman" w:hAnsi="Times New Roman" w:cs="Times New Roman"/>
          <w:sz w:val="26"/>
          <w:szCs w:val="26"/>
        </w:rPr>
      </w:pPr>
    </w:p>
    <w:p w:rsidR="00C45E42" w:rsidRPr="00077A2C" w:rsidRDefault="00D6555D" w:rsidP="00C45E4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We also acknowledged i</w:t>
      </w:r>
      <w:r w:rsidR="00C45E42">
        <w:rPr>
          <w:rFonts w:ascii="Times New Roman" w:hAnsi="Times New Roman" w:cs="Times New Roman"/>
          <w:sz w:val="26"/>
          <w:szCs w:val="26"/>
        </w:rPr>
        <w:t xml:space="preserve">n the </w:t>
      </w:r>
      <w:r w:rsidR="00C45E42" w:rsidRPr="002B0971">
        <w:rPr>
          <w:rFonts w:ascii="Times New Roman" w:hAnsi="Times New Roman" w:cs="Times New Roman"/>
          <w:i/>
          <w:sz w:val="26"/>
          <w:szCs w:val="26"/>
        </w:rPr>
        <w:t>November 8 Order</w:t>
      </w:r>
      <w:r w:rsidR="00C45E42">
        <w:rPr>
          <w:rFonts w:ascii="Times New Roman" w:hAnsi="Times New Roman" w:cs="Times New Roman"/>
          <w:sz w:val="26"/>
          <w:szCs w:val="26"/>
        </w:rPr>
        <w:t xml:space="preserve"> </w:t>
      </w:r>
      <w:r w:rsidR="00C45E42" w:rsidRPr="00077A2C">
        <w:rPr>
          <w:rFonts w:ascii="Times New Roman" w:hAnsi="Times New Roman" w:cs="Times New Roman"/>
          <w:sz w:val="26"/>
          <w:szCs w:val="26"/>
        </w:rPr>
        <w:t xml:space="preserve">the relevance of the </w:t>
      </w:r>
      <w:r w:rsidR="00C45E42">
        <w:rPr>
          <w:rFonts w:ascii="Times New Roman" w:hAnsi="Times New Roman" w:cs="Times New Roman"/>
          <w:sz w:val="26"/>
          <w:szCs w:val="26"/>
        </w:rPr>
        <w:t>OCA’s claims to our consideration of PGW’s rate increase request</w:t>
      </w:r>
      <w:r w:rsidR="00C45E42" w:rsidRPr="00077A2C">
        <w:rPr>
          <w:rFonts w:ascii="Times New Roman" w:hAnsi="Times New Roman" w:cs="Times New Roman"/>
          <w:sz w:val="26"/>
          <w:szCs w:val="26"/>
        </w:rPr>
        <w:t xml:space="preserve"> under Sections 523 and 526 of the Code, 66 Pa. C.S. §§ 523, 526.  However, we found that the burden of proof on th</w:t>
      </w:r>
      <w:r w:rsidR="00C45E42">
        <w:rPr>
          <w:rFonts w:ascii="Times New Roman" w:hAnsi="Times New Roman" w:cs="Times New Roman"/>
          <w:sz w:val="26"/>
          <w:szCs w:val="26"/>
        </w:rPr>
        <w:t>is</w:t>
      </w:r>
      <w:r w:rsidR="00C45E42" w:rsidRPr="00077A2C">
        <w:rPr>
          <w:rFonts w:ascii="Times New Roman" w:hAnsi="Times New Roman" w:cs="Times New Roman"/>
          <w:sz w:val="26"/>
          <w:szCs w:val="26"/>
        </w:rPr>
        <w:t xml:space="preserve"> complainant-initiated claim squarely resided with the OCA under Section 332(a) of the Code, and not with PGW under Section 315(a) of the Code.  We stated we were persuaded by PGW’s Replies to Exceptions that because a party </w:t>
      </w:r>
      <w:r w:rsidR="0035480A" w:rsidRPr="00077A2C">
        <w:rPr>
          <w:rFonts w:ascii="Times New Roman" w:hAnsi="Times New Roman" w:cs="Times New Roman"/>
          <w:sz w:val="26"/>
          <w:szCs w:val="26"/>
        </w:rPr>
        <w:t xml:space="preserve">simply </w:t>
      </w:r>
      <w:r w:rsidR="00C45E42" w:rsidRPr="00077A2C">
        <w:rPr>
          <w:rFonts w:ascii="Times New Roman" w:hAnsi="Times New Roman" w:cs="Times New Roman"/>
          <w:sz w:val="26"/>
          <w:szCs w:val="26"/>
        </w:rPr>
        <w:t xml:space="preserve">proposes </w:t>
      </w:r>
      <w:r w:rsidR="0035480A">
        <w:rPr>
          <w:rFonts w:ascii="Times New Roman" w:hAnsi="Times New Roman" w:cs="Times New Roman"/>
          <w:sz w:val="26"/>
          <w:szCs w:val="26"/>
        </w:rPr>
        <w:t xml:space="preserve">that </w:t>
      </w:r>
      <w:r w:rsidR="00C45E42" w:rsidRPr="00077A2C">
        <w:rPr>
          <w:rFonts w:ascii="Times New Roman" w:hAnsi="Times New Roman" w:cs="Times New Roman"/>
          <w:sz w:val="26"/>
          <w:szCs w:val="26"/>
        </w:rPr>
        <w:t xml:space="preserve">certain language be added to a utility’s tariff, whether as new language or as a modification to existing language, does not automatically make the issue(s) addressed by such language the utility’s burden to carry.  We stated it would be improper burden shifting in a general rate proceeding to allow a party to bring forth an issue that does not challenge a proposed or existing rate, rule or regulation, and then require the utility to carry the burden of proof with respect to that issue.  We </w:t>
      </w:r>
      <w:r w:rsidR="00C957F5">
        <w:rPr>
          <w:rFonts w:ascii="Times New Roman" w:hAnsi="Times New Roman" w:cs="Times New Roman"/>
          <w:sz w:val="26"/>
          <w:szCs w:val="26"/>
        </w:rPr>
        <w:t xml:space="preserve">noted </w:t>
      </w:r>
      <w:r w:rsidR="00C45E42" w:rsidRPr="00077A2C">
        <w:rPr>
          <w:rFonts w:ascii="Times New Roman" w:hAnsi="Times New Roman" w:cs="Times New Roman"/>
          <w:sz w:val="26"/>
          <w:szCs w:val="26"/>
        </w:rPr>
        <w:t xml:space="preserve">that had the burden of proof been properly placed with the OCA on this issue as the proponent of a Commission order finding the alleged violations and ordering the tariff modifications, the OCA’s claim regarding PGW’s partial payment allocation practices likely would be properly before us for a decision on the merits.  </w:t>
      </w:r>
      <w:r w:rsidR="00C45E42" w:rsidRPr="00077A2C">
        <w:rPr>
          <w:rFonts w:ascii="Times New Roman" w:hAnsi="Times New Roman" w:cs="Times New Roman"/>
          <w:i/>
          <w:sz w:val="26"/>
          <w:szCs w:val="26"/>
        </w:rPr>
        <w:t>November 8 Order</w:t>
      </w:r>
      <w:r w:rsidR="00C45E42" w:rsidRPr="00077A2C">
        <w:rPr>
          <w:rFonts w:ascii="Times New Roman" w:hAnsi="Times New Roman" w:cs="Times New Roman"/>
          <w:sz w:val="26"/>
          <w:szCs w:val="26"/>
        </w:rPr>
        <w:t xml:space="preserve"> at 47.</w:t>
      </w:r>
    </w:p>
    <w:p w:rsidR="00C45E42" w:rsidRPr="00077A2C" w:rsidRDefault="00C45E42" w:rsidP="00C45E42">
      <w:pPr>
        <w:spacing w:after="0" w:line="360" w:lineRule="auto"/>
        <w:ind w:firstLine="1440"/>
        <w:rPr>
          <w:rFonts w:ascii="Times New Roman" w:hAnsi="Times New Roman" w:cs="Times New Roman"/>
          <w:sz w:val="26"/>
          <w:szCs w:val="26"/>
        </w:rPr>
      </w:pPr>
    </w:p>
    <w:p w:rsidR="00C45E42" w:rsidRDefault="00C45E42" w:rsidP="00FF3724">
      <w:pPr>
        <w:spacing w:after="0" w:line="360" w:lineRule="auto"/>
        <w:ind w:firstLine="1440"/>
        <w:rPr>
          <w:rFonts w:ascii="Times New Roman" w:hAnsi="Times New Roman" w:cs="Times New Roman"/>
          <w:sz w:val="26"/>
          <w:szCs w:val="26"/>
        </w:rPr>
      </w:pPr>
      <w:r w:rsidRPr="00077A2C">
        <w:rPr>
          <w:rFonts w:ascii="Times New Roman" w:hAnsi="Times New Roman" w:cs="Times New Roman"/>
          <w:sz w:val="26"/>
          <w:szCs w:val="26"/>
        </w:rPr>
        <w:t>Moreover,</w:t>
      </w:r>
      <w:r>
        <w:rPr>
          <w:rFonts w:ascii="Times New Roman" w:hAnsi="Times New Roman" w:cs="Times New Roman"/>
          <w:sz w:val="26"/>
          <w:szCs w:val="26"/>
        </w:rPr>
        <w:t xml:space="preserve"> in the </w:t>
      </w:r>
      <w:r w:rsidRPr="002B0971">
        <w:rPr>
          <w:rFonts w:ascii="Times New Roman" w:hAnsi="Times New Roman" w:cs="Times New Roman"/>
          <w:i/>
          <w:sz w:val="26"/>
          <w:szCs w:val="26"/>
        </w:rPr>
        <w:t>November 8 Order</w:t>
      </w:r>
      <w:r w:rsidRPr="00077A2C">
        <w:rPr>
          <w:rFonts w:ascii="Times New Roman" w:hAnsi="Times New Roman" w:cs="Times New Roman"/>
          <w:sz w:val="26"/>
          <w:szCs w:val="26"/>
        </w:rPr>
        <w:t xml:space="preserve"> we noted that the Joint Petitioners – the OCA included – had presented a Partial Settlement for our approval in this proceeding that established, within the context of a “black box” settlement, PGW’s overall allowed revenue requirement and the rates that will go into effect for customers following the Commission’s order in this proceeding.  To address its claim regarding PGW’s practices that are alleged to violate PGW’s Tariff and our Regulations, we noted that the OCA </w:t>
      </w:r>
      <w:r w:rsidR="00D82379">
        <w:rPr>
          <w:rFonts w:ascii="Times New Roman" w:hAnsi="Times New Roman" w:cs="Times New Roman"/>
          <w:sz w:val="26"/>
          <w:szCs w:val="26"/>
        </w:rPr>
        <w:t>did n</w:t>
      </w:r>
      <w:r w:rsidRPr="00077A2C">
        <w:rPr>
          <w:rFonts w:ascii="Times New Roman" w:hAnsi="Times New Roman" w:cs="Times New Roman"/>
          <w:sz w:val="26"/>
          <w:szCs w:val="26"/>
        </w:rPr>
        <w:t xml:space="preserve">ot propose or present evidence regarding any specific adjustments to the Company’s cost of service claim for the Commission to adopt under Section 523(a) of the Code; nor had the OCA proposed under Section 526(a) that the Commission reject, in whole or in part, PGW’s revenue requirement as set forth in the Joint Petition.  Thus, we agreed with the ALJs that the OCA’s claim could be effectively pursued in a separate complaint or petition proceeding.  </w:t>
      </w:r>
      <w:r w:rsidRPr="00077A2C">
        <w:rPr>
          <w:rFonts w:ascii="Times New Roman" w:hAnsi="Times New Roman" w:cs="Times New Roman"/>
          <w:i/>
          <w:sz w:val="26"/>
          <w:szCs w:val="26"/>
        </w:rPr>
        <w:t>November 8 Order</w:t>
      </w:r>
      <w:r w:rsidRPr="00077A2C">
        <w:rPr>
          <w:rFonts w:ascii="Times New Roman" w:hAnsi="Times New Roman" w:cs="Times New Roman"/>
          <w:sz w:val="26"/>
          <w:szCs w:val="26"/>
        </w:rPr>
        <w:t xml:space="preserve"> at 48.</w:t>
      </w:r>
    </w:p>
    <w:p w:rsidR="00564DBB" w:rsidRPr="00C45E42" w:rsidRDefault="00564DBB" w:rsidP="00FF3724">
      <w:pPr>
        <w:spacing w:after="0" w:line="360" w:lineRule="auto"/>
        <w:ind w:firstLine="1440"/>
        <w:rPr>
          <w:rFonts w:ascii="Times New Roman" w:hAnsi="Times New Roman" w:cs="Times New Roman"/>
          <w:sz w:val="26"/>
          <w:szCs w:val="26"/>
        </w:rPr>
      </w:pPr>
    </w:p>
    <w:p w:rsidR="00E7791C" w:rsidRDefault="00E7791C" w:rsidP="00604908">
      <w:pPr>
        <w:pStyle w:val="ListParagraph"/>
        <w:keepNext/>
        <w:keepLines/>
        <w:numPr>
          <w:ilvl w:val="1"/>
          <w:numId w:val="2"/>
        </w:numPr>
        <w:spacing w:after="0" w:line="360" w:lineRule="auto"/>
        <w:ind w:left="0" w:firstLine="0"/>
        <w:contextualSpacing w:val="0"/>
        <w:rPr>
          <w:rFonts w:ascii="Times New Roman" w:hAnsi="Times New Roman" w:cs="Times New Roman"/>
          <w:b/>
          <w:sz w:val="26"/>
          <w:szCs w:val="26"/>
        </w:rPr>
      </w:pPr>
      <w:r w:rsidRPr="00E95541">
        <w:rPr>
          <w:rFonts w:ascii="Times New Roman" w:hAnsi="Times New Roman" w:cs="Times New Roman"/>
          <w:b/>
          <w:sz w:val="26"/>
          <w:szCs w:val="26"/>
        </w:rPr>
        <w:t>Reconsideration Petition, Answer and Disposition</w:t>
      </w:r>
    </w:p>
    <w:p w:rsidR="00627720" w:rsidRPr="00E95541" w:rsidRDefault="00627720" w:rsidP="00604908">
      <w:pPr>
        <w:keepNext/>
        <w:keepLines/>
        <w:spacing w:after="0" w:line="360" w:lineRule="auto"/>
        <w:rPr>
          <w:rFonts w:ascii="Times New Roman" w:eastAsia="Times New Roman" w:hAnsi="Times New Roman" w:cs="Times New Roman"/>
          <w:sz w:val="26"/>
          <w:szCs w:val="26"/>
        </w:rPr>
      </w:pPr>
    </w:p>
    <w:p w:rsidR="00C43CA3" w:rsidRPr="00B752D5" w:rsidRDefault="00C43CA3" w:rsidP="006141C0">
      <w:pPr>
        <w:pStyle w:val="ListParagraph"/>
        <w:keepNext/>
        <w:keepLines/>
        <w:numPr>
          <w:ilvl w:val="2"/>
          <w:numId w:val="2"/>
        </w:numPr>
        <w:spacing w:after="0" w:line="360" w:lineRule="auto"/>
        <w:ind w:hanging="720"/>
        <w:contextualSpacing w:val="0"/>
        <w:rPr>
          <w:rFonts w:ascii="Times New Roman" w:hAnsi="Times New Roman"/>
          <w:b/>
          <w:sz w:val="26"/>
        </w:rPr>
      </w:pPr>
      <w:bookmarkStart w:id="2" w:name="_Hlk500851745"/>
      <w:r w:rsidRPr="00B752D5">
        <w:rPr>
          <w:rFonts w:ascii="Times New Roman" w:hAnsi="Times New Roman"/>
          <w:b/>
          <w:sz w:val="26"/>
        </w:rPr>
        <w:t>OCA</w:t>
      </w:r>
      <w:r w:rsidR="00B752D5">
        <w:rPr>
          <w:rFonts w:ascii="Times New Roman" w:hAnsi="Times New Roman"/>
          <w:b/>
          <w:sz w:val="26"/>
        </w:rPr>
        <w:t>’s</w:t>
      </w:r>
      <w:r w:rsidRPr="00B752D5">
        <w:rPr>
          <w:rFonts w:ascii="Times New Roman" w:hAnsi="Times New Roman"/>
          <w:b/>
          <w:sz w:val="26"/>
        </w:rPr>
        <w:t xml:space="preserve"> Reconsideration Petition</w:t>
      </w:r>
    </w:p>
    <w:p w:rsidR="00627720" w:rsidRPr="00E95541" w:rsidRDefault="00627720" w:rsidP="00475F23">
      <w:pPr>
        <w:pStyle w:val="ListParagraph"/>
        <w:keepNext/>
        <w:keepLines/>
        <w:spacing w:after="0" w:line="360" w:lineRule="auto"/>
        <w:ind w:left="2160"/>
        <w:contextualSpacing w:val="0"/>
        <w:rPr>
          <w:rFonts w:ascii="Times New Roman" w:hAnsi="Times New Roman" w:cs="Times New Roman"/>
          <w:b/>
          <w:i/>
          <w:sz w:val="26"/>
          <w:szCs w:val="26"/>
        </w:rPr>
      </w:pPr>
    </w:p>
    <w:p w:rsidR="008A4EB1" w:rsidRDefault="008A4EB1" w:rsidP="008A4EB1">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In its Reconsideration Petition, t</w:t>
      </w:r>
      <w:r w:rsidRPr="00E95541">
        <w:rPr>
          <w:rFonts w:ascii="Times New Roman" w:eastAsia="Times New Roman" w:hAnsi="Times New Roman" w:cs="Times New Roman"/>
          <w:sz w:val="26"/>
          <w:szCs w:val="26"/>
        </w:rPr>
        <w:t>he OCA request</w:t>
      </w:r>
      <w:r>
        <w:rPr>
          <w:rFonts w:ascii="Times New Roman" w:eastAsia="Times New Roman" w:hAnsi="Times New Roman" w:cs="Times New Roman"/>
          <w:sz w:val="26"/>
          <w:szCs w:val="26"/>
        </w:rPr>
        <w:t>s</w:t>
      </w:r>
      <w:r w:rsidRPr="00E9554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that we </w:t>
      </w:r>
      <w:r w:rsidRPr="00E95541">
        <w:rPr>
          <w:rFonts w:ascii="Times New Roman" w:eastAsia="Times New Roman" w:hAnsi="Times New Roman" w:cs="Times New Roman"/>
          <w:sz w:val="26"/>
          <w:szCs w:val="26"/>
        </w:rPr>
        <w:t xml:space="preserve">reconsider </w:t>
      </w:r>
      <w:r>
        <w:rPr>
          <w:rFonts w:ascii="Times New Roman" w:eastAsia="Times New Roman" w:hAnsi="Times New Roman" w:cs="Times New Roman"/>
          <w:sz w:val="26"/>
          <w:szCs w:val="26"/>
        </w:rPr>
        <w:t>our</w:t>
      </w:r>
      <w:r w:rsidRPr="00E95541">
        <w:rPr>
          <w:rFonts w:ascii="Times New Roman" w:eastAsia="Times New Roman" w:hAnsi="Times New Roman" w:cs="Times New Roman"/>
          <w:sz w:val="26"/>
          <w:szCs w:val="26"/>
        </w:rPr>
        <w:t xml:space="preserve"> decision</w:t>
      </w:r>
      <w:r>
        <w:rPr>
          <w:rFonts w:ascii="Times New Roman" w:eastAsia="Times New Roman" w:hAnsi="Times New Roman" w:cs="Times New Roman"/>
          <w:sz w:val="26"/>
          <w:szCs w:val="26"/>
        </w:rPr>
        <w:t xml:space="preserve"> that the OCA’s claims regarding PGW’s </w:t>
      </w:r>
      <w:r w:rsidRPr="00E95541">
        <w:rPr>
          <w:rFonts w:ascii="Times New Roman" w:eastAsia="Times New Roman" w:hAnsi="Times New Roman" w:cs="Times New Roman"/>
          <w:sz w:val="26"/>
          <w:szCs w:val="26"/>
        </w:rPr>
        <w:t xml:space="preserve">partial payment allocation practices are not a challenge regarding the lawfulness, justness or reasonableness of a proposed or an existing rate, rule or regulation of PGW.  </w:t>
      </w:r>
      <w:r w:rsidRPr="00E95541">
        <w:rPr>
          <w:rFonts w:ascii="Times New Roman" w:eastAsia="Times New Roman" w:hAnsi="Times New Roman" w:cs="Times New Roman"/>
          <w:i/>
          <w:sz w:val="26"/>
          <w:szCs w:val="26"/>
        </w:rPr>
        <w:t>See</w:t>
      </w:r>
      <w:r w:rsidRPr="00E95541">
        <w:rPr>
          <w:rFonts w:ascii="Times New Roman" w:eastAsia="Times New Roman" w:hAnsi="Times New Roman" w:cs="Times New Roman"/>
          <w:sz w:val="26"/>
          <w:szCs w:val="26"/>
        </w:rPr>
        <w:t xml:space="preserve"> Petition at 1-2.  The OCA </w:t>
      </w:r>
      <w:r>
        <w:rPr>
          <w:rFonts w:ascii="Times New Roman" w:eastAsia="Times New Roman" w:hAnsi="Times New Roman" w:cs="Times New Roman"/>
          <w:sz w:val="26"/>
          <w:szCs w:val="26"/>
        </w:rPr>
        <w:t>further submits</w:t>
      </w:r>
      <w:r w:rsidRPr="00E9554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that </w:t>
      </w:r>
      <w:r w:rsidRPr="00E95541">
        <w:rPr>
          <w:rFonts w:ascii="Times New Roman" w:eastAsia="Times New Roman" w:hAnsi="Times New Roman" w:cs="Times New Roman"/>
          <w:sz w:val="26"/>
          <w:szCs w:val="26"/>
        </w:rPr>
        <w:t xml:space="preserve">it raised </w:t>
      </w:r>
      <w:r>
        <w:rPr>
          <w:rFonts w:ascii="Times New Roman" w:eastAsia="Times New Roman" w:hAnsi="Times New Roman" w:cs="Times New Roman"/>
          <w:sz w:val="26"/>
          <w:szCs w:val="26"/>
        </w:rPr>
        <w:t xml:space="preserve">the following </w:t>
      </w:r>
      <w:r w:rsidRPr="00E95541">
        <w:rPr>
          <w:rFonts w:ascii="Times New Roman" w:eastAsia="Times New Roman" w:hAnsi="Times New Roman" w:cs="Times New Roman"/>
          <w:sz w:val="26"/>
          <w:szCs w:val="26"/>
        </w:rPr>
        <w:t xml:space="preserve">two issues in the proceeding that impact </w:t>
      </w:r>
      <w:r>
        <w:rPr>
          <w:rFonts w:ascii="Times New Roman" w:eastAsia="Times New Roman" w:hAnsi="Times New Roman" w:cs="Times New Roman"/>
          <w:sz w:val="26"/>
          <w:szCs w:val="26"/>
        </w:rPr>
        <w:t>the</w:t>
      </w:r>
      <w:r w:rsidRPr="00E95541">
        <w:rPr>
          <w:rFonts w:ascii="Times New Roman" w:eastAsia="Times New Roman" w:hAnsi="Times New Roman" w:cs="Times New Roman"/>
          <w:sz w:val="26"/>
          <w:szCs w:val="26"/>
        </w:rPr>
        <w:t xml:space="preserve"> rates customers will pay under PGW’s tariff:  (1) PGW’s tariff and practices do not comply with the Commission’s </w:t>
      </w:r>
      <w:r>
        <w:rPr>
          <w:rFonts w:ascii="Times New Roman" w:eastAsia="Times New Roman" w:hAnsi="Times New Roman" w:cs="Times New Roman"/>
          <w:sz w:val="26"/>
          <w:szCs w:val="26"/>
        </w:rPr>
        <w:t>R</w:t>
      </w:r>
      <w:r w:rsidRPr="00E95541">
        <w:rPr>
          <w:rFonts w:ascii="Times New Roman" w:eastAsia="Times New Roman" w:hAnsi="Times New Roman" w:cs="Times New Roman"/>
          <w:sz w:val="26"/>
          <w:szCs w:val="26"/>
        </w:rPr>
        <w:t>egulations that provide that late fees (the rate that customers are charged for paying their bill late) must represent annual simple interest, rather than the effect of a compounded interest</w:t>
      </w:r>
      <w:r>
        <w:rPr>
          <w:rFonts w:ascii="Times New Roman" w:eastAsia="Times New Roman" w:hAnsi="Times New Roman" w:cs="Times New Roman"/>
          <w:sz w:val="26"/>
          <w:szCs w:val="26"/>
        </w:rPr>
        <w:t>;</w:t>
      </w:r>
      <w:r w:rsidRPr="00E95541">
        <w:rPr>
          <w:rFonts w:ascii="Times New Roman" w:eastAsia="Times New Roman" w:hAnsi="Times New Roman" w:cs="Times New Roman"/>
          <w:sz w:val="26"/>
          <w:szCs w:val="26"/>
        </w:rPr>
        <w:t xml:space="preserve"> and (2) PGW’s payment posting practices increase the amount customers will pay to PGW (</w:t>
      </w:r>
      <w:r w:rsidRPr="00E95541">
        <w:rPr>
          <w:rFonts w:ascii="Times New Roman" w:eastAsia="Times New Roman" w:hAnsi="Times New Roman" w:cs="Times New Roman"/>
          <w:i/>
          <w:sz w:val="26"/>
          <w:szCs w:val="26"/>
        </w:rPr>
        <w:t>i.e</w:t>
      </w:r>
      <w:r w:rsidRPr="00E95541">
        <w:rPr>
          <w:rFonts w:ascii="Times New Roman" w:eastAsia="Times New Roman" w:hAnsi="Times New Roman" w:cs="Times New Roman"/>
          <w:sz w:val="26"/>
          <w:szCs w:val="26"/>
        </w:rPr>
        <w:t>., the compensation to PGW).  Petition at 4-5.</w:t>
      </w:r>
    </w:p>
    <w:p w:rsidR="008A4EB1" w:rsidRDefault="008A4EB1" w:rsidP="008A4EB1">
      <w:pPr>
        <w:spacing w:after="0" w:line="360" w:lineRule="auto"/>
        <w:ind w:firstLine="1440"/>
        <w:rPr>
          <w:rFonts w:ascii="Times New Roman" w:eastAsia="Times New Roman" w:hAnsi="Times New Roman" w:cs="Times New Roman"/>
          <w:sz w:val="26"/>
          <w:szCs w:val="26"/>
        </w:rPr>
      </w:pPr>
    </w:p>
    <w:p w:rsidR="008A4EB1" w:rsidRDefault="008A4EB1" w:rsidP="008A4EB1">
      <w:pPr>
        <w:spacing w:after="0" w:line="360" w:lineRule="auto"/>
        <w:ind w:firstLine="1440"/>
        <w:rPr>
          <w:rFonts w:ascii="Times New Roman" w:eastAsia="Times New Roman" w:hAnsi="Times New Roman" w:cs="Times New Roman"/>
          <w:sz w:val="26"/>
          <w:szCs w:val="26"/>
        </w:rPr>
      </w:pPr>
      <w:r w:rsidRPr="00E95541">
        <w:rPr>
          <w:rFonts w:ascii="Times New Roman" w:eastAsia="Times New Roman" w:hAnsi="Times New Roman" w:cs="Times New Roman"/>
          <w:sz w:val="26"/>
          <w:szCs w:val="26"/>
        </w:rPr>
        <w:t xml:space="preserve">The OCA submits that if the Commission considers the partial payment allocation issue to be a quality of service issue, </w:t>
      </w:r>
      <w:r>
        <w:rPr>
          <w:rFonts w:ascii="Times New Roman" w:eastAsia="Times New Roman" w:hAnsi="Times New Roman" w:cs="Times New Roman"/>
          <w:sz w:val="26"/>
          <w:szCs w:val="26"/>
        </w:rPr>
        <w:t xml:space="preserve">reconsideration is warranted under </w:t>
      </w:r>
      <w:r w:rsidRPr="00F40D50">
        <w:rPr>
          <w:rFonts w:ascii="Times New Roman" w:eastAsia="Times New Roman" w:hAnsi="Times New Roman" w:cs="Times New Roman"/>
          <w:i/>
          <w:sz w:val="26"/>
          <w:szCs w:val="26"/>
        </w:rPr>
        <w:t>Duick</w:t>
      </w:r>
      <w:r>
        <w:rPr>
          <w:rFonts w:ascii="Times New Roman" w:eastAsia="Times New Roman" w:hAnsi="Times New Roman" w:cs="Times New Roman"/>
          <w:sz w:val="26"/>
          <w:szCs w:val="26"/>
        </w:rPr>
        <w:t xml:space="preserve"> </w:t>
      </w:r>
      <w:r w:rsidRPr="00E95541">
        <w:rPr>
          <w:rFonts w:ascii="Times New Roman" w:eastAsia="Times New Roman" w:hAnsi="Times New Roman" w:cs="Times New Roman"/>
          <w:sz w:val="26"/>
          <w:szCs w:val="26"/>
        </w:rPr>
        <w:t xml:space="preserve">because the Commission’s Order raises a new and novel interpretation of the law </w:t>
      </w:r>
      <w:r>
        <w:rPr>
          <w:rFonts w:ascii="Times New Roman" w:eastAsia="Times New Roman" w:hAnsi="Times New Roman" w:cs="Times New Roman"/>
          <w:sz w:val="26"/>
          <w:szCs w:val="26"/>
        </w:rPr>
        <w:t xml:space="preserve">by concluding that a </w:t>
      </w:r>
      <w:r w:rsidRPr="00E95541">
        <w:rPr>
          <w:rFonts w:ascii="Times New Roman" w:eastAsia="Times New Roman" w:hAnsi="Times New Roman" w:cs="Times New Roman"/>
          <w:sz w:val="26"/>
          <w:szCs w:val="26"/>
        </w:rPr>
        <w:t>quality of service issue</w:t>
      </w:r>
      <w:r>
        <w:rPr>
          <w:rFonts w:ascii="Times New Roman" w:eastAsia="Times New Roman" w:hAnsi="Times New Roman" w:cs="Times New Roman"/>
          <w:sz w:val="26"/>
          <w:szCs w:val="26"/>
        </w:rPr>
        <w:t xml:space="preserve"> may only </w:t>
      </w:r>
      <w:r w:rsidRPr="00E95541">
        <w:rPr>
          <w:rFonts w:ascii="Times New Roman" w:eastAsia="Times New Roman" w:hAnsi="Times New Roman" w:cs="Times New Roman"/>
          <w:sz w:val="26"/>
          <w:szCs w:val="26"/>
        </w:rPr>
        <w:t>be addressed in a base rate proceeding</w:t>
      </w:r>
      <w:r>
        <w:rPr>
          <w:rFonts w:ascii="Times New Roman" w:eastAsia="Times New Roman" w:hAnsi="Times New Roman" w:cs="Times New Roman"/>
          <w:sz w:val="26"/>
          <w:szCs w:val="26"/>
        </w:rPr>
        <w:t xml:space="preserve"> if there is a rate adjustment or financial impact in the overall revenue requirement</w:t>
      </w:r>
      <w:r w:rsidRPr="00E95541">
        <w:rPr>
          <w:rFonts w:ascii="Times New Roman" w:eastAsia="Times New Roman" w:hAnsi="Times New Roman" w:cs="Times New Roman"/>
          <w:sz w:val="26"/>
          <w:szCs w:val="26"/>
        </w:rPr>
        <w:t xml:space="preserve">.  Petition at </w:t>
      </w:r>
      <w:r>
        <w:rPr>
          <w:rFonts w:ascii="Times New Roman" w:eastAsia="Times New Roman" w:hAnsi="Times New Roman" w:cs="Times New Roman"/>
          <w:sz w:val="26"/>
          <w:szCs w:val="26"/>
        </w:rPr>
        <w:t xml:space="preserve">2, </w:t>
      </w:r>
      <w:r w:rsidRPr="00E95541">
        <w:rPr>
          <w:rFonts w:ascii="Times New Roman" w:eastAsia="Times New Roman" w:hAnsi="Times New Roman" w:cs="Times New Roman"/>
          <w:sz w:val="26"/>
          <w:szCs w:val="26"/>
        </w:rPr>
        <w:t>5.</w:t>
      </w:r>
    </w:p>
    <w:p w:rsidR="008A4EB1" w:rsidRPr="00E95541" w:rsidRDefault="008A4EB1" w:rsidP="008A4EB1">
      <w:pPr>
        <w:spacing w:after="0" w:line="360" w:lineRule="auto"/>
        <w:ind w:firstLine="1440"/>
        <w:rPr>
          <w:rFonts w:ascii="Times New Roman" w:eastAsia="Times New Roman" w:hAnsi="Times New Roman" w:cs="Times New Roman"/>
          <w:sz w:val="26"/>
          <w:szCs w:val="26"/>
        </w:rPr>
      </w:pPr>
    </w:p>
    <w:p w:rsidR="008A4EB1" w:rsidRDefault="008A4EB1" w:rsidP="008A4EB1">
      <w:pPr>
        <w:spacing w:after="0" w:line="360" w:lineRule="auto"/>
        <w:ind w:firstLine="1440"/>
        <w:rPr>
          <w:rFonts w:ascii="Times New Roman" w:eastAsia="Times New Roman" w:hAnsi="Times New Roman" w:cs="Times New Roman"/>
          <w:sz w:val="26"/>
          <w:szCs w:val="26"/>
        </w:rPr>
      </w:pPr>
      <w:r w:rsidRPr="00E95541">
        <w:rPr>
          <w:rFonts w:ascii="Times New Roman" w:eastAsia="Times New Roman" w:hAnsi="Times New Roman" w:cs="Times New Roman"/>
          <w:sz w:val="26"/>
          <w:szCs w:val="26"/>
        </w:rPr>
        <w:t>The O</w:t>
      </w:r>
      <w:r>
        <w:rPr>
          <w:rFonts w:ascii="Times New Roman" w:eastAsia="Times New Roman" w:hAnsi="Times New Roman" w:cs="Times New Roman"/>
          <w:sz w:val="26"/>
          <w:szCs w:val="26"/>
        </w:rPr>
        <w:t>C</w:t>
      </w:r>
      <w:r w:rsidRPr="00E95541">
        <w:rPr>
          <w:rFonts w:ascii="Times New Roman" w:eastAsia="Times New Roman" w:hAnsi="Times New Roman" w:cs="Times New Roman"/>
          <w:sz w:val="26"/>
          <w:szCs w:val="26"/>
        </w:rPr>
        <w:t xml:space="preserve">A </w:t>
      </w:r>
      <w:r>
        <w:rPr>
          <w:rFonts w:ascii="Times New Roman" w:eastAsia="Times New Roman" w:hAnsi="Times New Roman" w:cs="Times New Roman"/>
          <w:sz w:val="26"/>
          <w:szCs w:val="26"/>
        </w:rPr>
        <w:t>avers</w:t>
      </w:r>
      <w:r w:rsidRPr="00E95541">
        <w:rPr>
          <w:rFonts w:ascii="Times New Roman" w:eastAsia="Times New Roman" w:hAnsi="Times New Roman" w:cs="Times New Roman"/>
          <w:sz w:val="26"/>
          <w:szCs w:val="26"/>
        </w:rPr>
        <w:t xml:space="preserve"> that a rate adjustment </w:t>
      </w:r>
      <w:r>
        <w:rPr>
          <w:rFonts w:ascii="Times New Roman" w:eastAsia="Times New Roman" w:hAnsi="Times New Roman" w:cs="Times New Roman"/>
          <w:sz w:val="26"/>
          <w:szCs w:val="26"/>
        </w:rPr>
        <w:t xml:space="preserve">is not </w:t>
      </w:r>
      <w:r w:rsidRPr="00E95541">
        <w:rPr>
          <w:rFonts w:ascii="Times New Roman" w:eastAsia="Times New Roman" w:hAnsi="Times New Roman" w:cs="Times New Roman"/>
          <w:sz w:val="26"/>
          <w:szCs w:val="26"/>
        </w:rPr>
        <w:t>necessary or appropriate</w:t>
      </w:r>
      <w:r>
        <w:rPr>
          <w:rFonts w:ascii="Times New Roman" w:eastAsia="Times New Roman" w:hAnsi="Times New Roman" w:cs="Times New Roman"/>
          <w:sz w:val="26"/>
          <w:szCs w:val="26"/>
        </w:rPr>
        <w:t xml:space="preserve"> to resolve a quality of service issue</w:t>
      </w:r>
      <w:r w:rsidRPr="00E95541">
        <w:rPr>
          <w:rFonts w:ascii="Times New Roman" w:eastAsia="Times New Roman" w:hAnsi="Times New Roman" w:cs="Times New Roman"/>
          <w:sz w:val="26"/>
          <w:szCs w:val="26"/>
        </w:rPr>
        <w:t xml:space="preserve"> in all cases.  Petition at 6.  The OCA asserts that the partial payment allocation</w:t>
      </w:r>
      <w:r>
        <w:rPr>
          <w:rFonts w:ascii="Times New Roman" w:eastAsia="Times New Roman" w:hAnsi="Times New Roman" w:cs="Times New Roman"/>
          <w:sz w:val="26"/>
          <w:szCs w:val="26"/>
        </w:rPr>
        <w:t xml:space="preserve"> claims</w:t>
      </w:r>
      <w:r w:rsidRPr="00E95541">
        <w:rPr>
          <w:rFonts w:ascii="Times New Roman" w:eastAsia="Times New Roman" w:hAnsi="Times New Roman" w:cs="Times New Roman"/>
          <w:sz w:val="26"/>
          <w:szCs w:val="26"/>
        </w:rPr>
        <w:t xml:space="preserve"> can be resolved by changing the Company’s practices to adhere to the Commission’s </w:t>
      </w:r>
      <w:r>
        <w:rPr>
          <w:rFonts w:ascii="Times New Roman" w:eastAsia="Times New Roman" w:hAnsi="Times New Roman" w:cs="Times New Roman"/>
          <w:sz w:val="26"/>
          <w:szCs w:val="26"/>
        </w:rPr>
        <w:t>R</w:t>
      </w:r>
      <w:r w:rsidRPr="00E95541">
        <w:rPr>
          <w:rFonts w:ascii="Times New Roman" w:eastAsia="Times New Roman" w:hAnsi="Times New Roman" w:cs="Times New Roman"/>
          <w:sz w:val="26"/>
          <w:szCs w:val="26"/>
        </w:rPr>
        <w:t>egulations.  Petition at 6.  Although pursuant to Sections 523 and 526 of the Code, the Commission may consider an adjustment to rates based on quality of service, the OCA submits that there is no requirement that the only way that a quality of service issue can be considered is with an adjustment to rates when a correction in practices will suffice.  Petition at 7.</w:t>
      </w:r>
    </w:p>
    <w:p w:rsidR="008A4EB1" w:rsidRPr="00E95541" w:rsidRDefault="008A4EB1" w:rsidP="008A4EB1">
      <w:pPr>
        <w:spacing w:after="0" w:line="360" w:lineRule="auto"/>
        <w:ind w:firstLine="1440"/>
        <w:rPr>
          <w:rFonts w:ascii="Times New Roman" w:eastAsia="Times New Roman" w:hAnsi="Times New Roman" w:cs="Times New Roman"/>
          <w:sz w:val="26"/>
          <w:szCs w:val="26"/>
        </w:rPr>
      </w:pPr>
    </w:p>
    <w:p w:rsidR="008A4EB1" w:rsidRDefault="008A4EB1" w:rsidP="008A4EB1">
      <w:pPr>
        <w:spacing w:after="0" w:line="360" w:lineRule="auto"/>
        <w:ind w:firstLine="1440"/>
        <w:rPr>
          <w:rFonts w:ascii="Times New Roman" w:eastAsia="Times New Roman" w:hAnsi="Times New Roman" w:cs="Times New Roman"/>
          <w:sz w:val="26"/>
          <w:szCs w:val="26"/>
        </w:rPr>
      </w:pPr>
      <w:r w:rsidRPr="00E95541">
        <w:rPr>
          <w:rFonts w:ascii="Times New Roman" w:eastAsia="Times New Roman" w:hAnsi="Times New Roman" w:cs="Times New Roman"/>
          <w:sz w:val="26"/>
          <w:szCs w:val="26"/>
        </w:rPr>
        <w:t>The OCA</w:t>
      </w:r>
      <w:r>
        <w:rPr>
          <w:rFonts w:ascii="Times New Roman" w:eastAsia="Times New Roman" w:hAnsi="Times New Roman" w:cs="Times New Roman"/>
          <w:sz w:val="26"/>
          <w:szCs w:val="26"/>
        </w:rPr>
        <w:t xml:space="preserve"> argues</w:t>
      </w:r>
      <w:r w:rsidRPr="00E95541">
        <w:rPr>
          <w:rFonts w:ascii="Times New Roman" w:eastAsia="Times New Roman" w:hAnsi="Times New Roman" w:cs="Times New Roman"/>
          <w:sz w:val="26"/>
          <w:szCs w:val="26"/>
        </w:rPr>
        <w:t xml:space="preserve"> that reconsideration is warranted because the Commission failed to consider the fact that review of quality of service is a key component to a base rate proceeding and a full and complete record regarding partial payment allocation has been developed in this proceeding.  Petition at 6.  Thus, the </w:t>
      </w:r>
      <w:r>
        <w:rPr>
          <w:rFonts w:ascii="Times New Roman" w:eastAsia="Times New Roman" w:hAnsi="Times New Roman" w:cs="Times New Roman"/>
          <w:sz w:val="26"/>
          <w:szCs w:val="26"/>
        </w:rPr>
        <w:t xml:space="preserve">OCA requests that the </w:t>
      </w:r>
      <w:r w:rsidRPr="00E95541">
        <w:rPr>
          <w:rFonts w:ascii="Times New Roman" w:eastAsia="Times New Roman" w:hAnsi="Times New Roman" w:cs="Times New Roman"/>
          <w:sz w:val="26"/>
          <w:szCs w:val="26"/>
        </w:rPr>
        <w:t xml:space="preserve">Commission </w:t>
      </w:r>
      <w:r>
        <w:rPr>
          <w:rFonts w:ascii="Times New Roman" w:eastAsia="Times New Roman" w:hAnsi="Times New Roman" w:cs="Times New Roman"/>
          <w:sz w:val="26"/>
          <w:szCs w:val="26"/>
        </w:rPr>
        <w:t>r</w:t>
      </w:r>
      <w:r w:rsidRPr="00E95541">
        <w:rPr>
          <w:rFonts w:ascii="Times New Roman" w:eastAsia="Times New Roman" w:hAnsi="Times New Roman" w:cs="Times New Roman"/>
          <w:sz w:val="26"/>
          <w:szCs w:val="26"/>
        </w:rPr>
        <w:t xml:space="preserve">econsider its </w:t>
      </w:r>
      <w:r>
        <w:rPr>
          <w:rFonts w:ascii="Times New Roman" w:eastAsia="Times New Roman" w:hAnsi="Times New Roman" w:cs="Times New Roman"/>
          <w:sz w:val="26"/>
          <w:szCs w:val="26"/>
        </w:rPr>
        <w:t xml:space="preserve">prior </w:t>
      </w:r>
      <w:r w:rsidRPr="00E95541">
        <w:rPr>
          <w:rFonts w:ascii="Times New Roman" w:eastAsia="Times New Roman" w:hAnsi="Times New Roman" w:cs="Times New Roman"/>
          <w:sz w:val="26"/>
          <w:szCs w:val="26"/>
        </w:rPr>
        <w:t>decision and address the merits of the OCA’s claim based on the fully developed record in this case.  Petition at 8.</w:t>
      </w:r>
    </w:p>
    <w:p w:rsidR="008A4EB1" w:rsidRDefault="008A4EB1" w:rsidP="008A4EB1">
      <w:pPr>
        <w:spacing w:after="0" w:line="360" w:lineRule="auto"/>
        <w:ind w:firstLine="1440"/>
        <w:rPr>
          <w:rFonts w:ascii="Times New Roman" w:eastAsia="Times New Roman" w:hAnsi="Times New Roman" w:cs="Times New Roman"/>
          <w:sz w:val="26"/>
          <w:szCs w:val="26"/>
        </w:rPr>
      </w:pPr>
    </w:p>
    <w:p w:rsidR="008A4EB1" w:rsidRDefault="008A4EB1" w:rsidP="008A4EB1">
      <w:pPr>
        <w:spacing w:after="0" w:line="360" w:lineRule="auto"/>
        <w:ind w:firstLine="1440"/>
        <w:rPr>
          <w:rFonts w:ascii="Times New Roman" w:eastAsia="Times New Roman" w:hAnsi="Times New Roman" w:cs="Times New Roman"/>
          <w:sz w:val="26"/>
          <w:szCs w:val="26"/>
        </w:rPr>
      </w:pPr>
      <w:r w:rsidRPr="00E95541">
        <w:rPr>
          <w:rFonts w:ascii="Times New Roman" w:eastAsia="Times New Roman" w:hAnsi="Times New Roman" w:cs="Times New Roman"/>
          <w:sz w:val="26"/>
          <w:szCs w:val="26"/>
        </w:rPr>
        <w:t xml:space="preserve">The OCA requests that the Commission reconsider its determination that the burden of proof determination bars the Commission’s review of the OCA’s claim.  Petition at 2, 8.  Pursuant to the </w:t>
      </w:r>
      <w:r w:rsidRPr="00E95541">
        <w:rPr>
          <w:rFonts w:ascii="Times New Roman" w:eastAsia="Times New Roman" w:hAnsi="Times New Roman" w:cs="Times New Roman"/>
          <w:i/>
          <w:sz w:val="26"/>
          <w:szCs w:val="26"/>
        </w:rPr>
        <w:t>Duick</w:t>
      </w:r>
      <w:r w:rsidRPr="00E95541">
        <w:rPr>
          <w:rFonts w:ascii="Times New Roman" w:eastAsia="Times New Roman" w:hAnsi="Times New Roman" w:cs="Times New Roman"/>
          <w:sz w:val="26"/>
          <w:szCs w:val="26"/>
        </w:rPr>
        <w:t xml:space="preserve"> standard, the OCA submits that reconsideration is appropriate because the Commission appears to have overlooked that quality of service issues are regularly raised in base rate proceedings and do not alter the burden of proof.  Petition at 8.</w:t>
      </w:r>
    </w:p>
    <w:p w:rsidR="008A4EB1" w:rsidRPr="00E95541" w:rsidRDefault="008A4EB1" w:rsidP="008A4EB1">
      <w:pPr>
        <w:spacing w:after="0" w:line="360" w:lineRule="auto"/>
        <w:ind w:firstLine="1440"/>
        <w:rPr>
          <w:rFonts w:ascii="Times New Roman" w:eastAsia="Times New Roman" w:hAnsi="Times New Roman" w:cs="Times New Roman"/>
          <w:sz w:val="26"/>
          <w:szCs w:val="26"/>
        </w:rPr>
      </w:pPr>
    </w:p>
    <w:p w:rsidR="008A4EB1" w:rsidRDefault="008A4EB1" w:rsidP="008A4EB1">
      <w:pPr>
        <w:spacing w:after="0" w:line="360" w:lineRule="auto"/>
        <w:ind w:firstLine="1440"/>
        <w:rPr>
          <w:rFonts w:ascii="Times New Roman" w:eastAsia="Times New Roman" w:hAnsi="Times New Roman" w:cs="Times New Roman"/>
          <w:sz w:val="26"/>
          <w:szCs w:val="26"/>
        </w:rPr>
      </w:pPr>
      <w:r w:rsidRPr="00E95541">
        <w:rPr>
          <w:rFonts w:ascii="Times New Roman" w:eastAsia="Times New Roman" w:hAnsi="Times New Roman" w:cs="Times New Roman"/>
          <w:sz w:val="26"/>
          <w:szCs w:val="26"/>
        </w:rPr>
        <w:t xml:space="preserve">The OCA states that it had challenged Section 4.2 of PGW’s existing </w:t>
      </w:r>
      <w:r>
        <w:rPr>
          <w:rFonts w:ascii="Times New Roman" w:eastAsia="Times New Roman" w:hAnsi="Times New Roman" w:cs="Times New Roman"/>
          <w:sz w:val="26"/>
          <w:szCs w:val="26"/>
        </w:rPr>
        <w:t>T</w:t>
      </w:r>
      <w:r w:rsidRPr="00E95541">
        <w:rPr>
          <w:rFonts w:ascii="Times New Roman" w:eastAsia="Times New Roman" w:hAnsi="Times New Roman" w:cs="Times New Roman"/>
          <w:sz w:val="26"/>
          <w:szCs w:val="26"/>
        </w:rPr>
        <w:t xml:space="preserve">ariff and its application thereof and had proposed an adjustment to that </w:t>
      </w:r>
      <w:r>
        <w:rPr>
          <w:rFonts w:ascii="Times New Roman" w:eastAsia="Times New Roman" w:hAnsi="Times New Roman" w:cs="Times New Roman"/>
          <w:sz w:val="26"/>
          <w:szCs w:val="26"/>
        </w:rPr>
        <w:t>T</w:t>
      </w:r>
      <w:r w:rsidRPr="00E95541">
        <w:rPr>
          <w:rFonts w:ascii="Times New Roman" w:eastAsia="Times New Roman" w:hAnsi="Times New Roman" w:cs="Times New Roman"/>
          <w:sz w:val="26"/>
          <w:szCs w:val="26"/>
        </w:rPr>
        <w:t>ariff provision.  The OCA argues that under Sect</w:t>
      </w:r>
      <w:r>
        <w:rPr>
          <w:rFonts w:ascii="Times New Roman" w:eastAsia="Times New Roman" w:hAnsi="Times New Roman" w:cs="Times New Roman"/>
          <w:sz w:val="26"/>
          <w:szCs w:val="26"/>
        </w:rPr>
        <w:t>ion 315 of the Code, the OCA had</w:t>
      </w:r>
      <w:r w:rsidRPr="00E9554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only </w:t>
      </w:r>
      <w:r w:rsidRPr="00E95541">
        <w:rPr>
          <w:rFonts w:ascii="Times New Roman" w:eastAsia="Times New Roman" w:hAnsi="Times New Roman" w:cs="Times New Roman"/>
          <w:sz w:val="26"/>
          <w:szCs w:val="26"/>
        </w:rPr>
        <w:t>the burden of going forward with</w:t>
      </w:r>
      <w:r>
        <w:rPr>
          <w:rFonts w:ascii="Times New Roman" w:eastAsia="Times New Roman" w:hAnsi="Times New Roman" w:cs="Times New Roman"/>
          <w:sz w:val="26"/>
          <w:szCs w:val="26"/>
        </w:rPr>
        <w:t xml:space="preserve"> the evidence when it challenged</w:t>
      </w:r>
      <w:r w:rsidRPr="00E95541">
        <w:rPr>
          <w:rFonts w:ascii="Times New Roman" w:eastAsia="Times New Roman" w:hAnsi="Times New Roman" w:cs="Times New Roman"/>
          <w:sz w:val="26"/>
          <w:szCs w:val="26"/>
        </w:rPr>
        <w:t xml:space="preserve"> the Company’s existing or proposed rates and tariff</w:t>
      </w:r>
      <w:r>
        <w:rPr>
          <w:rFonts w:ascii="Times New Roman" w:eastAsia="Times New Roman" w:hAnsi="Times New Roman" w:cs="Times New Roman"/>
          <w:sz w:val="26"/>
          <w:szCs w:val="26"/>
        </w:rPr>
        <w:t>, and the Commission erred in concluding that the OCA had</w:t>
      </w:r>
      <w:r w:rsidRPr="00E95541">
        <w:rPr>
          <w:rFonts w:ascii="Times New Roman" w:eastAsia="Times New Roman" w:hAnsi="Times New Roman" w:cs="Times New Roman"/>
          <w:sz w:val="26"/>
          <w:szCs w:val="26"/>
        </w:rPr>
        <w:t xml:space="preserve"> the burden of proof on this issue.  </w:t>
      </w:r>
      <w:r w:rsidRPr="00E95541">
        <w:rPr>
          <w:rFonts w:ascii="Times New Roman" w:eastAsia="Times New Roman" w:hAnsi="Times New Roman" w:cs="Times New Roman"/>
          <w:i/>
          <w:sz w:val="26"/>
          <w:szCs w:val="26"/>
        </w:rPr>
        <w:t>See</w:t>
      </w:r>
      <w:r w:rsidRPr="00E95541">
        <w:rPr>
          <w:rFonts w:ascii="Times New Roman" w:eastAsia="Times New Roman" w:hAnsi="Times New Roman" w:cs="Times New Roman"/>
          <w:sz w:val="26"/>
          <w:szCs w:val="26"/>
        </w:rPr>
        <w:t xml:space="preserve"> Petition at 9-10.</w:t>
      </w:r>
    </w:p>
    <w:p w:rsidR="008A4EB1" w:rsidRPr="00E95541" w:rsidRDefault="008A4EB1" w:rsidP="008A4EB1">
      <w:pPr>
        <w:spacing w:after="0" w:line="360" w:lineRule="auto"/>
        <w:ind w:firstLine="1440"/>
        <w:rPr>
          <w:rFonts w:ascii="Times New Roman" w:eastAsia="Times New Roman" w:hAnsi="Times New Roman" w:cs="Times New Roman"/>
          <w:sz w:val="26"/>
          <w:szCs w:val="26"/>
        </w:rPr>
      </w:pPr>
    </w:p>
    <w:p w:rsidR="008A4EB1" w:rsidRDefault="008A4EB1" w:rsidP="008A4EB1">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The OCA states that the Commission appears to have overlooked the fact that the Commission’s dismissal of the OCA’s claims regarding PGW’s partial payment allocation practices would result in a judicial waste of resources when all the parties have already had the required due process in this proceeding (notice and opportunity to be heard in this proceeding).  </w:t>
      </w:r>
      <w:r w:rsidRPr="00E95541">
        <w:rPr>
          <w:rFonts w:ascii="Times New Roman" w:hAnsi="Times New Roman" w:cs="Times New Roman"/>
          <w:i/>
          <w:sz w:val="26"/>
          <w:szCs w:val="26"/>
        </w:rPr>
        <w:t>See</w:t>
      </w:r>
      <w:r w:rsidRPr="00E95541">
        <w:rPr>
          <w:rFonts w:ascii="Times New Roman" w:hAnsi="Times New Roman" w:cs="Times New Roman"/>
          <w:sz w:val="26"/>
          <w:szCs w:val="26"/>
        </w:rPr>
        <w:t xml:space="preserve"> Petition at 11-12.  Per the OCA, the Company has had the full opportunity to respond to the OCA’s claims in this matter, including the opportunity for responsive testimony, hearings, and briefs on the matter.  </w:t>
      </w:r>
      <w:r w:rsidRPr="00E95541">
        <w:rPr>
          <w:rFonts w:ascii="Times New Roman" w:hAnsi="Times New Roman" w:cs="Times New Roman"/>
          <w:i/>
          <w:sz w:val="26"/>
          <w:szCs w:val="26"/>
        </w:rPr>
        <w:t xml:space="preserve">See </w:t>
      </w:r>
      <w:r w:rsidRPr="00E95541">
        <w:rPr>
          <w:rFonts w:ascii="Times New Roman" w:hAnsi="Times New Roman" w:cs="Times New Roman"/>
          <w:sz w:val="26"/>
          <w:szCs w:val="26"/>
        </w:rPr>
        <w:t>Petition at 12.</w:t>
      </w:r>
      <w:r>
        <w:rPr>
          <w:rFonts w:ascii="Times New Roman" w:hAnsi="Times New Roman" w:cs="Times New Roman"/>
          <w:sz w:val="26"/>
          <w:szCs w:val="26"/>
        </w:rPr>
        <w:t xml:space="preserve">  </w:t>
      </w:r>
      <w:r w:rsidRPr="00E95541">
        <w:rPr>
          <w:rFonts w:ascii="Times New Roman" w:hAnsi="Times New Roman" w:cs="Times New Roman"/>
          <w:sz w:val="26"/>
          <w:szCs w:val="26"/>
        </w:rPr>
        <w:t xml:space="preserve">To now require the OCA to file another complaint raising the same claims against PGW related to PGW’s partial payment allocation, present its evidence again, and argue the merits of its claims again, would not promote either judicial efficiency or due process.  </w:t>
      </w:r>
      <w:r w:rsidRPr="00E95541">
        <w:rPr>
          <w:rFonts w:ascii="Times New Roman" w:hAnsi="Times New Roman" w:cs="Times New Roman"/>
          <w:i/>
          <w:sz w:val="26"/>
          <w:szCs w:val="26"/>
        </w:rPr>
        <w:t>See</w:t>
      </w:r>
      <w:r>
        <w:rPr>
          <w:rFonts w:ascii="Times New Roman" w:hAnsi="Times New Roman" w:cs="Times New Roman"/>
          <w:sz w:val="26"/>
          <w:szCs w:val="26"/>
        </w:rPr>
        <w:t xml:space="preserve"> Petition at</w:t>
      </w:r>
      <w:r w:rsidR="00604908">
        <w:rPr>
          <w:rFonts w:ascii="Times New Roman" w:hAnsi="Times New Roman" w:cs="Times New Roman"/>
          <w:sz w:val="26"/>
          <w:szCs w:val="26"/>
        </w:rPr>
        <w:t> </w:t>
      </w:r>
      <w:r>
        <w:rPr>
          <w:rFonts w:ascii="Times New Roman" w:hAnsi="Times New Roman" w:cs="Times New Roman"/>
          <w:sz w:val="26"/>
          <w:szCs w:val="26"/>
        </w:rPr>
        <w:t>13.</w:t>
      </w:r>
    </w:p>
    <w:p w:rsidR="008A4EB1" w:rsidRPr="00E95541" w:rsidRDefault="008A4EB1" w:rsidP="008A4EB1">
      <w:pPr>
        <w:spacing w:after="0" w:line="360" w:lineRule="auto"/>
        <w:rPr>
          <w:rFonts w:ascii="Times New Roman" w:hAnsi="Times New Roman" w:cs="Times New Roman"/>
          <w:sz w:val="26"/>
          <w:szCs w:val="26"/>
        </w:rPr>
      </w:pPr>
    </w:p>
    <w:p w:rsidR="008A4EB1" w:rsidRDefault="008A4EB1" w:rsidP="008A4EB1">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In order to provide the OCA a meaningful opportunity to be heard, the OCA argues that the Commission must render a decision on the merits.  The OCA asserts that its challenges to PGW’s partial payment allocation practices are relevant and directly related to PGW’s existing tariff and have a direct effect on the existing rates charged to residential customers.  Moreover, all the facts and legal discussion necessary for a full review of the issue have been presented to the Commission in this forum, and are ripe for review by the Commission.  </w:t>
      </w:r>
      <w:r w:rsidRPr="00E95541">
        <w:rPr>
          <w:rFonts w:ascii="Times New Roman" w:hAnsi="Times New Roman" w:cs="Times New Roman"/>
          <w:i/>
          <w:sz w:val="26"/>
          <w:szCs w:val="26"/>
        </w:rPr>
        <w:t xml:space="preserve">See </w:t>
      </w:r>
      <w:r>
        <w:rPr>
          <w:rFonts w:ascii="Times New Roman" w:hAnsi="Times New Roman" w:cs="Times New Roman"/>
          <w:sz w:val="26"/>
          <w:szCs w:val="26"/>
        </w:rPr>
        <w:t>Petition at 13.</w:t>
      </w:r>
    </w:p>
    <w:p w:rsidR="00B57414" w:rsidRDefault="00B57414" w:rsidP="006D01A3">
      <w:pPr>
        <w:spacing w:after="0" w:line="360" w:lineRule="auto"/>
        <w:rPr>
          <w:rFonts w:ascii="Times New Roman" w:eastAsia="Times New Roman" w:hAnsi="Times New Roman" w:cs="Times New Roman"/>
          <w:sz w:val="26"/>
          <w:szCs w:val="26"/>
        </w:rPr>
      </w:pPr>
    </w:p>
    <w:p w:rsidR="00C43CA3" w:rsidRPr="0056469B" w:rsidRDefault="00C43CA3" w:rsidP="0056469B">
      <w:pPr>
        <w:pStyle w:val="ListParagraph"/>
        <w:keepNext/>
        <w:keepLines/>
        <w:numPr>
          <w:ilvl w:val="2"/>
          <w:numId w:val="2"/>
        </w:numPr>
        <w:spacing w:after="0" w:line="360" w:lineRule="auto"/>
        <w:rPr>
          <w:rFonts w:ascii="Times New Roman" w:hAnsi="Times New Roman"/>
          <w:b/>
          <w:sz w:val="26"/>
        </w:rPr>
      </w:pPr>
      <w:r w:rsidRPr="0056469B">
        <w:rPr>
          <w:rFonts w:ascii="Times New Roman" w:hAnsi="Times New Roman"/>
          <w:b/>
          <w:sz w:val="26"/>
        </w:rPr>
        <w:t>PGW’s Answer</w:t>
      </w:r>
    </w:p>
    <w:p w:rsidR="0056469B" w:rsidRPr="0056469B" w:rsidRDefault="0056469B" w:rsidP="0056469B">
      <w:pPr>
        <w:pStyle w:val="ListParagraph"/>
        <w:keepNext/>
        <w:keepLines/>
        <w:spacing w:after="0" w:line="360" w:lineRule="auto"/>
        <w:ind w:left="2160"/>
        <w:rPr>
          <w:rFonts w:ascii="Times New Roman" w:hAnsi="Times New Roman"/>
          <w:b/>
          <w:sz w:val="26"/>
        </w:rPr>
      </w:pPr>
    </w:p>
    <w:p w:rsidR="0056469B" w:rsidRDefault="0056469B" w:rsidP="0056469B">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In its Answer, PGW submits that the Commission properly dismissed the OCA’s claims without prejudice in determining PGW’s partial payment allocation practices </w:t>
      </w:r>
      <w:r>
        <w:rPr>
          <w:rFonts w:ascii="Times New Roman" w:hAnsi="Times New Roman" w:cs="Times New Roman"/>
          <w:sz w:val="26"/>
          <w:szCs w:val="26"/>
        </w:rPr>
        <w:t xml:space="preserve">are </w:t>
      </w:r>
      <w:r w:rsidRPr="00E95541">
        <w:rPr>
          <w:rFonts w:ascii="Times New Roman" w:hAnsi="Times New Roman" w:cs="Times New Roman"/>
          <w:sz w:val="26"/>
          <w:szCs w:val="26"/>
        </w:rPr>
        <w:t xml:space="preserve">not a challenge </w:t>
      </w:r>
      <w:r>
        <w:rPr>
          <w:rFonts w:ascii="Times New Roman" w:hAnsi="Times New Roman" w:cs="Times New Roman"/>
          <w:sz w:val="26"/>
          <w:szCs w:val="26"/>
        </w:rPr>
        <w:t>to the l</w:t>
      </w:r>
      <w:r w:rsidRPr="00E95541">
        <w:rPr>
          <w:rFonts w:ascii="Times New Roman" w:hAnsi="Times New Roman" w:cs="Times New Roman"/>
          <w:sz w:val="26"/>
          <w:szCs w:val="26"/>
        </w:rPr>
        <w:t xml:space="preserve">awfulness, justness or reasonableness of a proposed or existing PGW rate, rule or regulation.  PGW argues that Rule 4.2 of its tariff </w:t>
      </w:r>
      <w:r>
        <w:rPr>
          <w:rFonts w:ascii="Times New Roman" w:hAnsi="Times New Roman" w:cs="Times New Roman"/>
          <w:sz w:val="26"/>
          <w:szCs w:val="26"/>
        </w:rPr>
        <w:t>mirrors</w:t>
      </w:r>
      <w:r w:rsidRPr="00E95541">
        <w:rPr>
          <w:rFonts w:ascii="Times New Roman" w:hAnsi="Times New Roman" w:cs="Times New Roman"/>
          <w:sz w:val="26"/>
          <w:szCs w:val="26"/>
        </w:rPr>
        <w:t xml:space="preserve"> the requirements of Section 56.22 of the Commission’s Regulations governing the computation and assessment of late payment charges and has no language relating to the application of customers’ partial payments.</w:t>
      </w:r>
    </w:p>
    <w:p w:rsidR="0056469B" w:rsidRDefault="0056469B" w:rsidP="0056469B">
      <w:pPr>
        <w:spacing w:after="0" w:line="360" w:lineRule="auto"/>
        <w:ind w:firstLine="1440"/>
        <w:rPr>
          <w:rFonts w:ascii="Times New Roman" w:hAnsi="Times New Roman" w:cs="Times New Roman"/>
          <w:sz w:val="26"/>
          <w:szCs w:val="26"/>
        </w:rPr>
      </w:pPr>
    </w:p>
    <w:p w:rsidR="0056469B" w:rsidRDefault="0056469B" w:rsidP="0056469B">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PGW argues </w:t>
      </w:r>
      <w:r>
        <w:rPr>
          <w:rFonts w:ascii="Times New Roman" w:hAnsi="Times New Roman" w:cs="Times New Roman"/>
          <w:sz w:val="26"/>
          <w:szCs w:val="26"/>
        </w:rPr>
        <w:t xml:space="preserve">that </w:t>
      </w:r>
      <w:r w:rsidRPr="00E95541">
        <w:rPr>
          <w:rFonts w:ascii="Times New Roman" w:hAnsi="Times New Roman" w:cs="Times New Roman"/>
          <w:sz w:val="26"/>
          <w:szCs w:val="26"/>
        </w:rPr>
        <w:t xml:space="preserve">the Commission previously determined that the OCA </w:t>
      </w:r>
      <w:r>
        <w:rPr>
          <w:rFonts w:ascii="Times New Roman" w:hAnsi="Times New Roman" w:cs="Times New Roman"/>
          <w:sz w:val="26"/>
          <w:szCs w:val="26"/>
        </w:rPr>
        <w:t xml:space="preserve">never </w:t>
      </w:r>
      <w:r w:rsidRPr="00E95541">
        <w:rPr>
          <w:rFonts w:ascii="Times New Roman" w:hAnsi="Times New Roman" w:cs="Times New Roman"/>
          <w:sz w:val="26"/>
          <w:szCs w:val="26"/>
        </w:rPr>
        <w:t xml:space="preserve">presented </w:t>
      </w:r>
      <w:r>
        <w:rPr>
          <w:rFonts w:ascii="Times New Roman" w:hAnsi="Times New Roman" w:cs="Times New Roman"/>
          <w:sz w:val="26"/>
          <w:szCs w:val="26"/>
        </w:rPr>
        <w:t xml:space="preserve">any </w:t>
      </w:r>
      <w:r w:rsidRPr="00E95541">
        <w:rPr>
          <w:rFonts w:ascii="Times New Roman" w:hAnsi="Times New Roman" w:cs="Times New Roman"/>
          <w:sz w:val="26"/>
          <w:szCs w:val="26"/>
        </w:rPr>
        <w:t xml:space="preserve">evidence </w:t>
      </w:r>
      <w:r>
        <w:rPr>
          <w:rFonts w:ascii="Times New Roman" w:hAnsi="Times New Roman" w:cs="Times New Roman"/>
          <w:sz w:val="26"/>
          <w:szCs w:val="26"/>
        </w:rPr>
        <w:t xml:space="preserve">to </w:t>
      </w:r>
      <w:r w:rsidRPr="00E95541">
        <w:rPr>
          <w:rFonts w:ascii="Times New Roman" w:hAnsi="Times New Roman" w:cs="Times New Roman"/>
          <w:sz w:val="26"/>
          <w:szCs w:val="26"/>
        </w:rPr>
        <w:t xml:space="preserve">show that PGW’s partial payment allocation practices </w:t>
      </w:r>
      <w:r>
        <w:rPr>
          <w:rFonts w:ascii="Times New Roman" w:hAnsi="Times New Roman" w:cs="Times New Roman"/>
          <w:sz w:val="26"/>
          <w:szCs w:val="26"/>
        </w:rPr>
        <w:t xml:space="preserve">actually </w:t>
      </w:r>
      <w:r w:rsidRPr="00E95541">
        <w:rPr>
          <w:rFonts w:ascii="Times New Roman" w:hAnsi="Times New Roman" w:cs="Times New Roman"/>
          <w:sz w:val="26"/>
          <w:szCs w:val="26"/>
        </w:rPr>
        <w:t>affect the rates that are charged to customers.  See Answer at 5-6.</w:t>
      </w:r>
      <w:r>
        <w:rPr>
          <w:rFonts w:ascii="Times New Roman" w:hAnsi="Times New Roman" w:cs="Times New Roman"/>
          <w:sz w:val="26"/>
          <w:szCs w:val="26"/>
        </w:rPr>
        <w:t xml:space="preserve">  Moreover, </w:t>
      </w:r>
      <w:r w:rsidRPr="00E95541">
        <w:rPr>
          <w:rFonts w:ascii="Times New Roman" w:hAnsi="Times New Roman" w:cs="Times New Roman"/>
          <w:sz w:val="26"/>
          <w:szCs w:val="26"/>
        </w:rPr>
        <w:t>PGW asserts that</w:t>
      </w:r>
      <w:r>
        <w:rPr>
          <w:rFonts w:ascii="Times New Roman" w:hAnsi="Times New Roman" w:cs="Times New Roman"/>
          <w:sz w:val="26"/>
          <w:szCs w:val="26"/>
        </w:rPr>
        <w:t xml:space="preserve"> its</w:t>
      </w:r>
      <w:r w:rsidRPr="00E95541">
        <w:rPr>
          <w:rFonts w:ascii="Times New Roman" w:hAnsi="Times New Roman" w:cs="Times New Roman"/>
          <w:sz w:val="26"/>
          <w:szCs w:val="26"/>
        </w:rPr>
        <w:t xml:space="preserve"> partial payment allocation practices do not affect the rates that are charged to customers.  </w:t>
      </w:r>
      <w:r>
        <w:rPr>
          <w:rFonts w:ascii="Times New Roman" w:hAnsi="Times New Roman" w:cs="Times New Roman"/>
          <w:sz w:val="26"/>
          <w:szCs w:val="26"/>
        </w:rPr>
        <w:t xml:space="preserve">PGW claims it bills its </w:t>
      </w:r>
      <w:r w:rsidRPr="00E95541">
        <w:rPr>
          <w:rFonts w:ascii="Times New Roman" w:hAnsi="Times New Roman" w:cs="Times New Roman"/>
          <w:sz w:val="26"/>
          <w:szCs w:val="26"/>
        </w:rPr>
        <w:t xml:space="preserve">customers </w:t>
      </w:r>
      <w:r>
        <w:rPr>
          <w:rFonts w:ascii="Times New Roman" w:hAnsi="Times New Roman" w:cs="Times New Roman"/>
          <w:sz w:val="26"/>
          <w:szCs w:val="26"/>
        </w:rPr>
        <w:t xml:space="preserve">and imposes </w:t>
      </w:r>
      <w:r w:rsidRPr="00E95541">
        <w:rPr>
          <w:rFonts w:ascii="Times New Roman" w:hAnsi="Times New Roman" w:cs="Times New Roman"/>
          <w:sz w:val="26"/>
          <w:szCs w:val="26"/>
        </w:rPr>
        <w:t xml:space="preserve">late payment charges in accordance with </w:t>
      </w:r>
      <w:r>
        <w:rPr>
          <w:rFonts w:ascii="Times New Roman" w:hAnsi="Times New Roman" w:cs="Times New Roman"/>
          <w:sz w:val="26"/>
          <w:szCs w:val="26"/>
        </w:rPr>
        <w:t xml:space="preserve">its </w:t>
      </w:r>
      <w:r w:rsidRPr="00E95541">
        <w:rPr>
          <w:rFonts w:ascii="Times New Roman" w:hAnsi="Times New Roman" w:cs="Times New Roman"/>
          <w:sz w:val="26"/>
          <w:szCs w:val="26"/>
        </w:rPr>
        <w:t xml:space="preserve">tariff.  </w:t>
      </w:r>
      <w:r w:rsidRPr="00E95541">
        <w:rPr>
          <w:rFonts w:ascii="Times New Roman" w:hAnsi="Times New Roman" w:cs="Times New Roman"/>
          <w:i/>
          <w:sz w:val="26"/>
          <w:szCs w:val="26"/>
        </w:rPr>
        <w:t>See</w:t>
      </w:r>
      <w:r w:rsidRPr="00E95541">
        <w:rPr>
          <w:rFonts w:ascii="Times New Roman" w:hAnsi="Times New Roman" w:cs="Times New Roman"/>
          <w:sz w:val="26"/>
          <w:szCs w:val="26"/>
        </w:rPr>
        <w:t xml:space="preserve"> Answer at 6.</w:t>
      </w:r>
    </w:p>
    <w:p w:rsidR="0056469B" w:rsidRDefault="0056469B" w:rsidP="0056469B">
      <w:pPr>
        <w:spacing w:after="0" w:line="360" w:lineRule="auto"/>
        <w:ind w:firstLine="1440"/>
        <w:rPr>
          <w:rFonts w:ascii="Times New Roman" w:hAnsi="Times New Roman" w:cs="Times New Roman"/>
          <w:sz w:val="26"/>
          <w:szCs w:val="26"/>
        </w:rPr>
      </w:pPr>
    </w:p>
    <w:p w:rsidR="0056469B" w:rsidRDefault="0056469B" w:rsidP="0056469B">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PGW </w:t>
      </w:r>
      <w:r>
        <w:rPr>
          <w:rFonts w:ascii="Times New Roman" w:hAnsi="Times New Roman" w:cs="Times New Roman"/>
          <w:sz w:val="26"/>
          <w:szCs w:val="26"/>
        </w:rPr>
        <w:t xml:space="preserve">argues the </w:t>
      </w:r>
      <w:r w:rsidRPr="00E95541">
        <w:rPr>
          <w:rFonts w:ascii="Times New Roman" w:hAnsi="Times New Roman" w:cs="Times New Roman"/>
          <w:sz w:val="26"/>
          <w:szCs w:val="26"/>
        </w:rPr>
        <w:t>Commission</w:t>
      </w:r>
      <w:r>
        <w:rPr>
          <w:rFonts w:ascii="Times New Roman" w:hAnsi="Times New Roman" w:cs="Times New Roman"/>
          <w:sz w:val="26"/>
          <w:szCs w:val="26"/>
        </w:rPr>
        <w:t xml:space="preserve"> properly found </w:t>
      </w:r>
      <w:r w:rsidRPr="00E95541">
        <w:rPr>
          <w:rFonts w:ascii="Times New Roman" w:hAnsi="Times New Roman" w:cs="Times New Roman"/>
          <w:sz w:val="26"/>
          <w:szCs w:val="26"/>
        </w:rPr>
        <w:t xml:space="preserve">that the OCA’s claims regarding PGW’s partial payment allocation practices do not involve the existing or proposed tariff of PGW.  Further, PGW asserts that the Commission correctly determined that the OCA’s claims relate to PGW’s quality of service under Code Sections 523 and 526.  </w:t>
      </w:r>
      <w:r w:rsidRPr="00E95541">
        <w:rPr>
          <w:rFonts w:ascii="Times New Roman" w:hAnsi="Times New Roman" w:cs="Times New Roman"/>
          <w:i/>
          <w:sz w:val="26"/>
          <w:szCs w:val="26"/>
        </w:rPr>
        <w:t>See</w:t>
      </w:r>
      <w:r w:rsidRPr="00E95541">
        <w:rPr>
          <w:rFonts w:ascii="Times New Roman" w:hAnsi="Times New Roman" w:cs="Times New Roman"/>
          <w:sz w:val="26"/>
          <w:szCs w:val="26"/>
        </w:rPr>
        <w:t xml:space="preserve"> Answer at 8.</w:t>
      </w:r>
      <w:r>
        <w:rPr>
          <w:rFonts w:ascii="Times New Roman" w:hAnsi="Times New Roman" w:cs="Times New Roman"/>
          <w:sz w:val="26"/>
          <w:szCs w:val="26"/>
        </w:rPr>
        <w:t xml:space="preserve">  PGW asserts that</w:t>
      </w:r>
      <w:r w:rsidRPr="00E95541">
        <w:rPr>
          <w:rFonts w:ascii="Times New Roman" w:hAnsi="Times New Roman" w:cs="Times New Roman"/>
          <w:sz w:val="26"/>
          <w:szCs w:val="26"/>
        </w:rPr>
        <w:t xml:space="preserve"> the Commission correctly noted that the OCA</w:t>
      </w:r>
      <w:r>
        <w:rPr>
          <w:rFonts w:ascii="Times New Roman" w:hAnsi="Times New Roman" w:cs="Times New Roman"/>
          <w:sz w:val="26"/>
          <w:szCs w:val="26"/>
        </w:rPr>
        <w:t xml:space="preserve"> did </w:t>
      </w:r>
      <w:r w:rsidRPr="00E95541">
        <w:rPr>
          <w:rFonts w:ascii="Times New Roman" w:hAnsi="Times New Roman" w:cs="Times New Roman"/>
          <w:sz w:val="26"/>
          <w:szCs w:val="26"/>
        </w:rPr>
        <w:t xml:space="preserve">not propose or present evidence regarding any specific adjustments to the Company’s cost of service claims or proposed that the Commission reject, in whole or in part, PGW’s revenue requirement.  In fact, per PGW, the OCA settled all revenue requirement issues without reservation, leaving no basis for the Commission to consider the quality of service issues raised by the OCA.  </w:t>
      </w:r>
      <w:r w:rsidRPr="00E95541">
        <w:rPr>
          <w:rFonts w:ascii="Times New Roman" w:hAnsi="Times New Roman" w:cs="Times New Roman"/>
          <w:i/>
          <w:sz w:val="26"/>
          <w:szCs w:val="26"/>
        </w:rPr>
        <w:t>See</w:t>
      </w:r>
      <w:r w:rsidRPr="00E95541">
        <w:rPr>
          <w:rFonts w:ascii="Times New Roman" w:hAnsi="Times New Roman" w:cs="Times New Roman"/>
          <w:sz w:val="26"/>
          <w:szCs w:val="26"/>
        </w:rPr>
        <w:t xml:space="preserve"> Answer at</w:t>
      </w:r>
      <w:r>
        <w:rPr>
          <w:rFonts w:ascii="Times New Roman" w:hAnsi="Times New Roman" w:cs="Times New Roman"/>
          <w:sz w:val="26"/>
          <w:szCs w:val="26"/>
        </w:rPr>
        <w:t> </w:t>
      </w:r>
      <w:r w:rsidRPr="00E95541">
        <w:rPr>
          <w:rFonts w:ascii="Times New Roman" w:hAnsi="Times New Roman" w:cs="Times New Roman"/>
          <w:sz w:val="26"/>
          <w:szCs w:val="26"/>
        </w:rPr>
        <w:t>8-9.</w:t>
      </w:r>
      <w:r>
        <w:rPr>
          <w:rFonts w:ascii="Times New Roman" w:hAnsi="Times New Roman" w:cs="Times New Roman"/>
          <w:sz w:val="26"/>
          <w:szCs w:val="26"/>
        </w:rPr>
        <w:t xml:space="preserve">  </w:t>
      </w:r>
      <w:r w:rsidRPr="00E95541">
        <w:rPr>
          <w:rFonts w:ascii="Times New Roman" w:hAnsi="Times New Roman" w:cs="Times New Roman"/>
          <w:sz w:val="26"/>
          <w:szCs w:val="26"/>
        </w:rPr>
        <w:t>PGW avers that the Commission correctly interpreted Sections 523 and 526</w:t>
      </w:r>
      <w:r>
        <w:rPr>
          <w:rFonts w:ascii="Times New Roman" w:hAnsi="Times New Roman" w:cs="Times New Roman"/>
          <w:sz w:val="26"/>
          <w:szCs w:val="26"/>
        </w:rPr>
        <w:t xml:space="preserve"> of the Code</w:t>
      </w:r>
      <w:r w:rsidRPr="00E95541">
        <w:rPr>
          <w:rFonts w:ascii="Times New Roman" w:hAnsi="Times New Roman" w:cs="Times New Roman"/>
          <w:sz w:val="26"/>
          <w:szCs w:val="26"/>
        </w:rPr>
        <w:t xml:space="preserve">, and no reconsideration of those determinations is warranted.  Because the OCA failed to propose any remedies pursuant to Sections 523(a) and 526, and because the OCA agreed to a settlement that resolved all issues as to the just and reasonable rates of PGW, </w:t>
      </w:r>
      <w:r>
        <w:rPr>
          <w:rFonts w:ascii="Times New Roman" w:hAnsi="Times New Roman" w:cs="Times New Roman"/>
          <w:sz w:val="26"/>
          <w:szCs w:val="26"/>
        </w:rPr>
        <w:t xml:space="preserve">PGW submits that </w:t>
      </w:r>
      <w:r w:rsidRPr="00E95541">
        <w:rPr>
          <w:rFonts w:ascii="Times New Roman" w:hAnsi="Times New Roman" w:cs="Times New Roman"/>
          <w:sz w:val="26"/>
          <w:szCs w:val="26"/>
        </w:rPr>
        <w:t xml:space="preserve">the Commission had no proposal before it that could be properly addressed.  </w:t>
      </w:r>
      <w:r w:rsidRPr="00E95541">
        <w:rPr>
          <w:rFonts w:ascii="Times New Roman" w:hAnsi="Times New Roman" w:cs="Times New Roman"/>
          <w:i/>
          <w:sz w:val="26"/>
          <w:szCs w:val="26"/>
        </w:rPr>
        <w:t>See</w:t>
      </w:r>
      <w:r w:rsidRPr="00E95541">
        <w:rPr>
          <w:rFonts w:ascii="Times New Roman" w:hAnsi="Times New Roman" w:cs="Times New Roman"/>
          <w:sz w:val="26"/>
          <w:szCs w:val="26"/>
        </w:rPr>
        <w:t xml:space="preserve"> Answer at</w:t>
      </w:r>
      <w:r>
        <w:rPr>
          <w:rFonts w:ascii="Times New Roman" w:hAnsi="Times New Roman" w:cs="Times New Roman"/>
          <w:sz w:val="26"/>
          <w:szCs w:val="26"/>
        </w:rPr>
        <w:t> </w:t>
      </w:r>
      <w:r w:rsidRPr="00E95541">
        <w:rPr>
          <w:rFonts w:ascii="Times New Roman" w:hAnsi="Times New Roman" w:cs="Times New Roman"/>
          <w:sz w:val="26"/>
          <w:szCs w:val="26"/>
        </w:rPr>
        <w:t>9-10.</w:t>
      </w:r>
    </w:p>
    <w:p w:rsidR="0056469B" w:rsidRPr="00E95541" w:rsidRDefault="0056469B" w:rsidP="0056469B">
      <w:pPr>
        <w:spacing w:after="0" w:line="360" w:lineRule="auto"/>
        <w:ind w:firstLine="1440"/>
        <w:rPr>
          <w:rFonts w:ascii="Times New Roman" w:hAnsi="Times New Roman" w:cs="Times New Roman"/>
          <w:sz w:val="26"/>
          <w:szCs w:val="26"/>
        </w:rPr>
      </w:pPr>
    </w:p>
    <w:p w:rsidR="0056469B" w:rsidRDefault="0056469B" w:rsidP="0056469B">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PGW avers that given the OCA’s failure to prove any violation, and the lack of any proposed adjustments to cost of service claims or revenue requirements, the Commission properly rejected OCA’s claims without prejudice, and no reconsideration is warranted.  </w:t>
      </w:r>
      <w:r w:rsidRPr="00E95541">
        <w:rPr>
          <w:rFonts w:ascii="Times New Roman" w:hAnsi="Times New Roman" w:cs="Times New Roman"/>
          <w:i/>
          <w:sz w:val="26"/>
          <w:szCs w:val="26"/>
        </w:rPr>
        <w:t>See</w:t>
      </w:r>
      <w:r w:rsidRPr="00E95541">
        <w:rPr>
          <w:rFonts w:ascii="Times New Roman" w:hAnsi="Times New Roman" w:cs="Times New Roman"/>
          <w:sz w:val="26"/>
          <w:szCs w:val="26"/>
        </w:rPr>
        <w:t xml:space="preserve"> Answer at 10-11.</w:t>
      </w:r>
    </w:p>
    <w:p w:rsidR="0056469B" w:rsidRDefault="0056469B" w:rsidP="0056469B">
      <w:pPr>
        <w:spacing w:after="0" w:line="360" w:lineRule="auto"/>
        <w:ind w:firstLine="1440"/>
        <w:rPr>
          <w:rFonts w:ascii="Times New Roman" w:hAnsi="Times New Roman" w:cs="Times New Roman"/>
          <w:sz w:val="26"/>
          <w:szCs w:val="26"/>
        </w:rPr>
      </w:pPr>
    </w:p>
    <w:p w:rsidR="0056469B" w:rsidRDefault="0056469B" w:rsidP="0056469B">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PGW asserts that the Commission correctly concluded that the OCA had the burden of proof on its claims.  Additionally, PGW states that the OCA appears to be misreading the </w:t>
      </w:r>
      <w:r w:rsidRPr="00E95541">
        <w:rPr>
          <w:rFonts w:ascii="Times New Roman" w:hAnsi="Times New Roman" w:cs="Times New Roman"/>
          <w:i/>
          <w:sz w:val="26"/>
          <w:szCs w:val="26"/>
        </w:rPr>
        <w:t>November 8 Order</w:t>
      </w:r>
      <w:r w:rsidRPr="00E95541">
        <w:rPr>
          <w:rFonts w:ascii="Times New Roman" w:hAnsi="Times New Roman" w:cs="Times New Roman"/>
          <w:sz w:val="26"/>
          <w:szCs w:val="26"/>
        </w:rPr>
        <w:t xml:space="preserve">, in which the Commission confirmed the ability of parties to raise quality of service issues in base rate cases, while correctly </w:t>
      </w:r>
      <w:r>
        <w:rPr>
          <w:rFonts w:ascii="Times New Roman" w:hAnsi="Times New Roman" w:cs="Times New Roman"/>
          <w:sz w:val="26"/>
          <w:szCs w:val="26"/>
        </w:rPr>
        <w:t xml:space="preserve">it </w:t>
      </w:r>
      <w:r w:rsidRPr="00E95541">
        <w:rPr>
          <w:rFonts w:ascii="Times New Roman" w:hAnsi="Times New Roman" w:cs="Times New Roman"/>
          <w:sz w:val="26"/>
          <w:szCs w:val="26"/>
        </w:rPr>
        <w:t xml:space="preserve">concluded that when parties raise such issues, they bear the burden of proof to show that the utility violated its existing tariff or the Commission’s Regulations.  PGW asserts that the Commission clearly did not conflate the burden of proof and relevancy determinations; rather, the Commission made two separate conclusions, one that recognized the parties’ ability to raise service issues and another that placed the burden of proof on the complainant raising such issues.  </w:t>
      </w:r>
      <w:r w:rsidRPr="00E95541">
        <w:rPr>
          <w:rFonts w:ascii="Times New Roman" w:hAnsi="Times New Roman" w:cs="Times New Roman"/>
          <w:i/>
          <w:sz w:val="26"/>
          <w:szCs w:val="26"/>
        </w:rPr>
        <w:t>See</w:t>
      </w:r>
      <w:r>
        <w:rPr>
          <w:rFonts w:ascii="Times New Roman" w:hAnsi="Times New Roman" w:cs="Times New Roman"/>
          <w:sz w:val="26"/>
          <w:szCs w:val="26"/>
        </w:rPr>
        <w:t xml:space="preserve"> Answer at 11-12.</w:t>
      </w:r>
    </w:p>
    <w:p w:rsidR="0056469B" w:rsidRPr="00E95541" w:rsidRDefault="0056469B" w:rsidP="0056469B">
      <w:pPr>
        <w:spacing w:after="0" w:line="360" w:lineRule="auto"/>
        <w:ind w:firstLine="1440"/>
        <w:rPr>
          <w:rFonts w:ascii="Times New Roman" w:hAnsi="Times New Roman" w:cs="Times New Roman"/>
          <w:sz w:val="26"/>
          <w:szCs w:val="26"/>
        </w:rPr>
      </w:pPr>
    </w:p>
    <w:p w:rsidR="0056469B" w:rsidRDefault="0056469B" w:rsidP="0056469B">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Further, </w:t>
      </w:r>
      <w:r>
        <w:rPr>
          <w:rFonts w:ascii="Times New Roman" w:hAnsi="Times New Roman" w:cs="Times New Roman"/>
          <w:sz w:val="26"/>
          <w:szCs w:val="26"/>
        </w:rPr>
        <w:t xml:space="preserve">per PGW, </w:t>
      </w:r>
      <w:r w:rsidRPr="00E95541">
        <w:rPr>
          <w:rFonts w:ascii="Times New Roman" w:hAnsi="Times New Roman" w:cs="Times New Roman"/>
          <w:sz w:val="26"/>
          <w:szCs w:val="26"/>
        </w:rPr>
        <w:t xml:space="preserve">the fact that quality of service issues were voluntarily addressed by the Partial Settlement is of no relevance to the Commission’s burden of proof determination concerning quality of service issues that were raised by OCA and litigated by the parties.  </w:t>
      </w:r>
      <w:r w:rsidRPr="00E95541">
        <w:rPr>
          <w:rFonts w:ascii="Times New Roman" w:hAnsi="Times New Roman" w:cs="Times New Roman"/>
          <w:i/>
          <w:sz w:val="26"/>
          <w:szCs w:val="26"/>
        </w:rPr>
        <w:t>See</w:t>
      </w:r>
      <w:r>
        <w:rPr>
          <w:rFonts w:ascii="Times New Roman" w:hAnsi="Times New Roman" w:cs="Times New Roman"/>
          <w:sz w:val="26"/>
          <w:szCs w:val="26"/>
        </w:rPr>
        <w:t xml:space="preserve"> Answer at 12.</w:t>
      </w:r>
    </w:p>
    <w:p w:rsidR="0056469B" w:rsidRPr="00E95541" w:rsidRDefault="0056469B" w:rsidP="0056469B">
      <w:pPr>
        <w:spacing w:after="0" w:line="360" w:lineRule="auto"/>
        <w:ind w:firstLine="1440"/>
        <w:rPr>
          <w:rFonts w:ascii="Times New Roman" w:hAnsi="Times New Roman" w:cs="Times New Roman"/>
          <w:sz w:val="26"/>
          <w:szCs w:val="26"/>
        </w:rPr>
      </w:pPr>
    </w:p>
    <w:p w:rsidR="0056469B" w:rsidRDefault="0056469B" w:rsidP="0056469B">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Importantly, </w:t>
      </w:r>
      <w:r>
        <w:rPr>
          <w:rFonts w:ascii="Times New Roman" w:hAnsi="Times New Roman" w:cs="Times New Roman"/>
          <w:sz w:val="26"/>
          <w:szCs w:val="26"/>
        </w:rPr>
        <w:t xml:space="preserve">PGW notes that </w:t>
      </w:r>
      <w:r w:rsidRPr="00E95541">
        <w:rPr>
          <w:rFonts w:ascii="Times New Roman" w:hAnsi="Times New Roman" w:cs="Times New Roman"/>
          <w:sz w:val="26"/>
          <w:szCs w:val="26"/>
        </w:rPr>
        <w:t xml:space="preserve">the ALJs </w:t>
      </w:r>
      <w:r>
        <w:rPr>
          <w:rFonts w:ascii="Times New Roman" w:hAnsi="Times New Roman" w:cs="Times New Roman"/>
          <w:sz w:val="26"/>
          <w:szCs w:val="26"/>
        </w:rPr>
        <w:t>stated that</w:t>
      </w:r>
      <w:r w:rsidRPr="00E95541">
        <w:rPr>
          <w:rFonts w:ascii="Times New Roman" w:hAnsi="Times New Roman" w:cs="Times New Roman"/>
          <w:sz w:val="26"/>
          <w:szCs w:val="26"/>
        </w:rPr>
        <w:t xml:space="preserve"> the record in this proceeding “contains OCA’s hypothetical scenarios as to how PGW’s partial payment allocation practices may result in the assessment of late payment charges in excess of 18% per year.”  </w:t>
      </w:r>
      <w:r w:rsidRPr="00E95541">
        <w:rPr>
          <w:rFonts w:ascii="Times New Roman" w:hAnsi="Times New Roman" w:cs="Times New Roman"/>
          <w:i/>
          <w:sz w:val="26"/>
          <w:szCs w:val="26"/>
        </w:rPr>
        <w:t>See</w:t>
      </w:r>
      <w:r w:rsidRPr="00E95541">
        <w:rPr>
          <w:rFonts w:ascii="Times New Roman" w:hAnsi="Times New Roman" w:cs="Times New Roman"/>
          <w:sz w:val="26"/>
          <w:szCs w:val="26"/>
        </w:rPr>
        <w:t xml:space="preserve"> Answer at 12-13, citing R.D. at 76.  Consistent with that shortcoming in the record, and the ALJs’ determination that this issue </w:t>
      </w:r>
      <w:r>
        <w:rPr>
          <w:rFonts w:ascii="Times New Roman" w:hAnsi="Times New Roman" w:cs="Times New Roman"/>
          <w:sz w:val="26"/>
          <w:szCs w:val="26"/>
        </w:rPr>
        <w:t xml:space="preserve">went </w:t>
      </w:r>
      <w:r w:rsidRPr="00E95541">
        <w:rPr>
          <w:rFonts w:ascii="Times New Roman" w:hAnsi="Times New Roman" w:cs="Times New Roman"/>
          <w:sz w:val="26"/>
          <w:szCs w:val="26"/>
        </w:rPr>
        <w:t>beyond the scope of PGW’s tariff and the base rate proceeding, the ALJs recommended dismissal of OCA’s claim without prejudice – a recommendation that the Commission subsequently adopted</w:t>
      </w:r>
      <w:r>
        <w:rPr>
          <w:rFonts w:ascii="Times New Roman" w:hAnsi="Times New Roman" w:cs="Times New Roman"/>
          <w:sz w:val="26"/>
          <w:szCs w:val="26"/>
        </w:rPr>
        <w:t xml:space="preserve"> in the </w:t>
      </w:r>
      <w:r w:rsidRPr="005048F4">
        <w:rPr>
          <w:rFonts w:ascii="Times New Roman" w:hAnsi="Times New Roman" w:cs="Times New Roman"/>
          <w:i/>
          <w:sz w:val="26"/>
          <w:szCs w:val="26"/>
        </w:rPr>
        <w:t>November 8 Order</w:t>
      </w:r>
      <w:r w:rsidRPr="00E95541">
        <w:rPr>
          <w:rFonts w:ascii="Times New Roman" w:hAnsi="Times New Roman" w:cs="Times New Roman"/>
          <w:sz w:val="26"/>
          <w:szCs w:val="26"/>
        </w:rPr>
        <w:t xml:space="preserve">.  Therefore, it is inaccurate to say that the OCA has been deprived of receiving a disposition on the merits.  To the contrary, PGW asserts that the Commission found that the OCA failed to carry its burden of proof but has permitted the OCA to try again through other avenues.  </w:t>
      </w:r>
      <w:r w:rsidRPr="00E95541">
        <w:rPr>
          <w:rFonts w:ascii="Times New Roman" w:hAnsi="Times New Roman" w:cs="Times New Roman"/>
          <w:i/>
          <w:sz w:val="26"/>
          <w:szCs w:val="26"/>
        </w:rPr>
        <w:t>See</w:t>
      </w:r>
      <w:r w:rsidRPr="00E95541">
        <w:rPr>
          <w:rFonts w:ascii="Times New Roman" w:hAnsi="Times New Roman" w:cs="Times New Roman"/>
          <w:sz w:val="26"/>
          <w:szCs w:val="26"/>
        </w:rPr>
        <w:t xml:space="preserve"> Answer at 13.</w:t>
      </w:r>
    </w:p>
    <w:p w:rsidR="0056469B" w:rsidRDefault="0056469B" w:rsidP="0056469B">
      <w:pPr>
        <w:spacing w:after="0" w:line="360" w:lineRule="auto"/>
        <w:ind w:firstLine="1440"/>
        <w:rPr>
          <w:rFonts w:ascii="Times New Roman" w:hAnsi="Times New Roman" w:cs="Times New Roman"/>
          <w:sz w:val="26"/>
          <w:szCs w:val="26"/>
        </w:rPr>
      </w:pPr>
    </w:p>
    <w:p w:rsidR="0056469B" w:rsidRDefault="0056469B" w:rsidP="0056469B">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PGW </w:t>
      </w:r>
      <w:r>
        <w:rPr>
          <w:rFonts w:ascii="Times New Roman" w:hAnsi="Times New Roman" w:cs="Times New Roman"/>
          <w:sz w:val="26"/>
          <w:szCs w:val="26"/>
        </w:rPr>
        <w:t>states</w:t>
      </w:r>
      <w:r w:rsidRPr="00E95541">
        <w:rPr>
          <w:rFonts w:ascii="Times New Roman" w:hAnsi="Times New Roman" w:cs="Times New Roman"/>
          <w:sz w:val="26"/>
          <w:szCs w:val="26"/>
        </w:rPr>
        <w:t xml:space="preserve"> that the OCA has cited no authority in support of the proposition that a party seeking relief from the Commission is entitled to a decision on the merits, particularly when the Commission has reviewed the issue and determined that it was raised through an improper proceeding and the record in support of the OCA’s claims are nothing but hypothetical scenarios.  Therefore, PGW asserts</w:t>
      </w:r>
      <w:r>
        <w:rPr>
          <w:rFonts w:ascii="Times New Roman" w:hAnsi="Times New Roman" w:cs="Times New Roman"/>
          <w:sz w:val="26"/>
          <w:szCs w:val="26"/>
        </w:rPr>
        <w:t xml:space="preserve"> that </w:t>
      </w:r>
      <w:r w:rsidRPr="00E95541">
        <w:rPr>
          <w:rFonts w:ascii="Times New Roman" w:hAnsi="Times New Roman" w:cs="Times New Roman"/>
          <w:sz w:val="26"/>
          <w:szCs w:val="26"/>
        </w:rPr>
        <w:t xml:space="preserve">reconsideration is </w:t>
      </w:r>
      <w:r>
        <w:rPr>
          <w:rFonts w:ascii="Times New Roman" w:hAnsi="Times New Roman" w:cs="Times New Roman"/>
          <w:sz w:val="26"/>
          <w:szCs w:val="26"/>
        </w:rPr>
        <w:t xml:space="preserve">not </w:t>
      </w:r>
      <w:r w:rsidRPr="00E95541">
        <w:rPr>
          <w:rFonts w:ascii="Times New Roman" w:hAnsi="Times New Roman" w:cs="Times New Roman"/>
          <w:sz w:val="26"/>
          <w:szCs w:val="26"/>
        </w:rPr>
        <w:t xml:space="preserve">warranted on the grounds of due process.  </w:t>
      </w:r>
      <w:r w:rsidRPr="00E95541">
        <w:rPr>
          <w:rFonts w:ascii="Times New Roman" w:hAnsi="Times New Roman" w:cs="Times New Roman"/>
          <w:i/>
          <w:sz w:val="26"/>
          <w:szCs w:val="26"/>
        </w:rPr>
        <w:t>See</w:t>
      </w:r>
      <w:r w:rsidRPr="00E95541">
        <w:rPr>
          <w:rFonts w:ascii="Times New Roman" w:hAnsi="Times New Roman" w:cs="Times New Roman"/>
          <w:sz w:val="26"/>
          <w:szCs w:val="26"/>
        </w:rPr>
        <w:t xml:space="preserve"> Answer at 14.</w:t>
      </w:r>
    </w:p>
    <w:p w:rsidR="0056469B" w:rsidRDefault="0056469B" w:rsidP="0056469B">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As for the OCA’s due process concerns, </w:t>
      </w:r>
      <w:r w:rsidRPr="00E95541">
        <w:rPr>
          <w:rFonts w:ascii="Times New Roman" w:hAnsi="Times New Roman" w:cs="Times New Roman"/>
          <w:sz w:val="26"/>
          <w:szCs w:val="26"/>
        </w:rPr>
        <w:t xml:space="preserve">PGW argues that due to the manner and timing of </w:t>
      </w:r>
      <w:r>
        <w:rPr>
          <w:rFonts w:ascii="Times New Roman" w:hAnsi="Times New Roman" w:cs="Times New Roman"/>
          <w:sz w:val="26"/>
          <w:szCs w:val="26"/>
        </w:rPr>
        <w:t xml:space="preserve">OCA’s </w:t>
      </w:r>
      <w:r w:rsidRPr="00E95541">
        <w:rPr>
          <w:rFonts w:ascii="Times New Roman" w:hAnsi="Times New Roman" w:cs="Times New Roman"/>
          <w:sz w:val="26"/>
          <w:szCs w:val="26"/>
        </w:rPr>
        <w:t xml:space="preserve">raising the issue in the base rate proceeding, it is PGW’s due process rights that have been jeopardized.  PGW asserts that, at a very minimum, if the Commission desires to address PGW’s partial payment allocation practices in this proceeding then it should remand the record to the </w:t>
      </w:r>
      <w:r>
        <w:rPr>
          <w:rFonts w:ascii="Times New Roman" w:hAnsi="Times New Roman" w:cs="Times New Roman"/>
          <w:sz w:val="26"/>
          <w:szCs w:val="26"/>
        </w:rPr>
        <w:t>O</w:t>
      </w:r>
      <w:r w:rsidRPr="00E95541">
        <w:rPr>
          <w:rFonts w:ascii="Times New Roman" w:hAnsi="Times New Roman" w:cs="Times New Roman"/>
          <w:sz w:val="26"/>
          <w:szCs w:val="26"/>
        </w:rPr>
        <w:t xml:space="preserve">ffice of the ALJ for further proceedings.  PGW claims it has had no opportunity, as it would in a complaint proceeding, to present a direct case in support of the partial payment allocation practices that it follows.  </w:t>
      </w:r>
      <w:r w:rsidRPr="00E95541">
        <w:rPr>
          <w:rFonts w:ascii="Times New Roman" w:hAnsi="Times New Roman" w:cs="Times New Roman"/>
          <w:i/>
          <w:sz w:val="26"/>
          <w:szCs w:val="26"/>
        </w:rPr>
        <w:t xml:space="preserve">See </w:t>
      </w:r>
      <w:r>
        <w:rPr>
          <w:rFonts w:ascii="Times New Roman" w:hAnsi="Times New Roman" w:cs="Times New Roman"/>
          <w:sz w:val="26"/>
          <w:szCs w:val="26"/>
        </w:rPr>
        <w:t>Answer at 14-15.</w:t>
      </w:r>
    </w:p>
    <w:p w:rsidR="0056469B" w:rsidRPr="00E95541" w:rsidRDefault="0056469B" w:rsidP="0056469B">
      <w:pPr>
        <w:spacing w:after="0" w:line="360" w:lineRule="auto"/>
        <w:ind w:firstLine="1440"/>
        <w:rPr>
          <w:rFonts w:ascii="Times New Roman" w:hAnsi="Times New Roman" w:cs="Times New Roman"/>
          <w:sz w:val="26"/>
          <w:szCs w:val="26"/>
        </w:rPr>
      </w:pPr>
    </w:p>
    <w:p w:rsidR="0056469B" w:rsidRDefault="0056469B" w:rsidP="0056469B">
      <w:pPr>
        <w:spacing w:after="0" w:line="360" w:lineRule="auto"/>
        <w:ind w:firstLine="1440"/>
      </w:pPr>
      <w:r w:rsidRPr="00E95541">
        <w:rPr>
          <w:rFonts w:ascii="Times New Roman" w:hAnsi="Times New Roman" w:cs="Times New Roman"/>
          <w:sz w:val="26"/>
          <w:szCs w:val="26"/>
        </w:rPr>
        <w:t xml:space="preserve">As to the OCA’s claims about promoting judicial efficiency, PGW argues that judicial efficiency was not advanced by requiring PGW in the base rate case to spend valuable time and resources addressing an issue that is beyond the scope of such a proceeding. </w:t>
      </w:r>
      <w:r w:rsidRPr="00E95541">
        <w:rPr>
          <w:rFonts w:ascii="Times New Roman" w:hAnsi="Times New Roman" w:cs="Times New Roman"/>
          <w:i/>
          <w:sz w:val="26"/>
          <w:szCs w:val="26"/>
        </w:rPr>
        <w:t xml:space="preserve"> See</w:t>
      </w:r>
      <w:r w:rsidRPr="00E95541">
        <w:rPr>
          <w:rFonts w:ascii="Times New Roman" w:hAnsi="Times New Roman" w:cs="Times New Roman"/>
          <w:sz w:val="26"/>
          <w:szCs w:val="26"/>
        </w:rPr>
        <w:t xml:space="preserve"> Answer at 15.</w:t>
      </w:r>
    </w:p>
    <w:p w:rsidR="00627720" w:rsidRPr="00E95541" w:rsidRDefault="00627720" w:rsidP="0056469B">
      <w:pPr>
        <w:spacing w:after="0" w:line="360" w:lineRule="auto"/>
        <w:rPr>
          <w:rFonts w:ascii="Times New Roman" w:hAnsi="Times New Roman" w:cs="Times New Roman"/>
          <w:sz w:val="26"/>
          <w:szCs w:val="26"/>
        </w:rPr>
      </w:pPr>
    </w:p>
    <w:p w:rsidR="00C43CA3" w:rsidRPr="00C61BB0" w:rsidRDefault="00B752D5" w:rsidP="00B752D5">
      <w:pPr>
        <w:keepNext/>
        <w:keepLines/>
        <w:spacing w:after="0" w:line="360" w:lineRule="auto"/>
        <w:ind w:left="1440"/>
        <w:rPr>
          <w:rFonts w:ascii="Times New Roman" w:hAnsi="Times New Roman"/>
          <w:b/>
          <w:sz w:val="26"/>
        </w:rPr>
      </w:pPr>
      <w:r>
        <w:rPr>
          <w:rFonts w:ascii="Times New Roman" w:hAnsi="Times New Roman" w:cs="Times New Roman"/>
          <w:b/>
          <w:sz w:val="26"/>
          <w:szCs w:val="26"/>
        </w:rPr>
        <w:t>3</w:t>
      </w:r>
      <w:r w:rsidR="0044514F">
        <w:rPr>
          <w:rFonts w:ascii="Times New Roman" w:hAnsi="Times New Roman" w:cs="Times New Roman"/>
          <w:b/>
          <w:sz w:val="26"/>
          <w:szCs w:val="26"/>
        </w:rPr>
        <w:t>.</w:t>
      </w:r>
      <w:r w:rsidR="0044514F">
        <w:rPr>
          <w:rFonts w:ascii="Times New Roman" w:hAnsi="Times New Roman" w:cs="Times New Roman"/>
          <w:b/>
          <w:sz w:val="26"/>
          <w:szCs w:val="26"/>
        </w:rPr>
        <w:tab/>
      </w:r>
      <w:r w:rsidR="00C43CA3" w:rsidRPr="00C61BB0">
        <w:rPr>
          <w:rFonts w:ascii="Times New Roman" w:hAnsi="Times New Roman"/>
          <w:b/>
          <w:sz w:val="26"/>
        </w:rPr>
        <w:t>Disposition</w:t>
      </w:r>
    </w:p>
    <w:p w:rsidR="00627720" w:rsidRPr="00E95541" w:rsidRDefault="00627720" w:rsidP="00475F23">
      <w:pPr>
        <w:pStyle w:val="ListParagraph"/>
        <w:keepNext/>
        <w:keepLines/>
        <w:spacing w:after="0" w:line="360" w:lineRule="auto"/>
        <w:ind w:left="2160"/>
        <w:contextualSpacing w:val="0"/>
        <w:rPr>
          <w:rFonts w:ascii="Times New Roman" w:hAnsi="Times New Roman" w:cs="Times New Roman"/>
          <w:b/>
          <w:i/>
          <w:sz w:val="26"/>
          <w:szCs w:val="26"/>
        </w:rPr>
      </w:pPr>
    </w:p>
    <w:bookmarkEnd w:id="2"/>
    <w:p w:rsidR="00F0291B" w:rsidRDefault="00F0291B" w:rsidP="00F0291B">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Upon review, we grant the OCA’s request for reconsideration regarding our determinations surrounding quality of service.  We maintain our determination in the </w:t>
      </w:r>
      <w:r w:rsidRPr="00057ED5">
        <w:rPr>
          <w:rFonts w:ascii="Times New Roman" w:hAnsi="Times New Roman" w:cs="Times New Roman"/>
          <w:i/>
          <w:sz w:val="26"/>
          <w:szCs w:val="26"/>
        </w:rPr>
        <w:t>November 8 Order</w:t>
      </w:r>
      <w:r>
        <w:rPr>
          <w:rFonts w:ascii="Times New Roman" w:hAnsi="Times New Roman" w:cs="Times New Roman"/>
          <w:sz w:val="26"/>
          <w:szCs w:val="26"/>
        </w:rPr>
        <w:t xml:space="preserve"> that our review of PGW’s current practices of applying partial payments for consistent with Section 56.24 of our Regulations is an issue involving </w:t>
      </w:r>
      <w:r w:rsidRPr="00077A2C">
        <w:rPr>
          <w:rFonts w:ascii="Times New Roman" w:hAnsi="Times New Roman" w:cs="Times New Roman"/>
          <w:sz w:val="26"/>
          <w:szCs w:val="26"/>
        </w:rPr>
        <w:t>PGW’s quali</w:t>
      </w:r>
      <w:r>
        <w:rPr>
          <w:rFonts w:ascii="Times New Roman" w:hAnsi="Times New Roman" w:cs="Times New Roman"/>
          <w:sz w:val="26"/>
          <w:szCs w:val="26"/>
        </w:rPr>
        <w:t>ty of service to its customers pursuant to 66 Pa. C.S. § 1501.</w:t>
      </w:r>
      <w:r w:rsidRPr="00077A2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22CF7">
        <w:rPr>
          <w:rFonts w:ascii="Times New Roman" w:hAnsi="Times New Roman" w:cs="Times New Roman"/>
          <w:sz w:val="26"/>
          <w:szCs w:val="26"/>
        </w:rPr>
        <w:t xml:space="preserve">Indeed, we </w:t>
      </w:r>
      <w:r w:rsidR="00DA5371">
        <w:rPr>
          <w:rFonts w:ascii="Times New Roman" w:hAnsi="Times New Roman" w:cs="Times New Roman"/>
          <w:sz w:val="26"/>
          <w:szCs w:val="26"/>
        </w:rPr>
        <w:t xml:space="preserve">note </w:t>
      </w:r>
      <w:r w:rsidRPr="00522CF7">
        <w:rPr>
          <w:rFonts w:ascii="Times New Roman" w:hAnsi="Times New Roman" w:cs="Times New Roman"/>
          <w:sz w:val="26"/>
          <w:szCs w:val="26"/>
        </w:rPr>
        <w:t xml:space="preserve">here that in ALJ Vero’s Initial Decision, issued September 17, 2015, in the </w:t>
      </w:r>
      <w:r w:rsidRPr="00522CF7">
        <w:rPr>
          <w:rFonts w:ascii="Times New Roman" w:hAnsi="Times New Roman" w:cs="Times New Roman"/>
          <w:i/>
          <w:sz w:val="26"/>
          <w:szCs w:val="26"/>
        </w:rPr>
        <w:t xml:space="preserve">SBG </w:t>
      </w:r>
      <w:r w:rsidR="000B1445">
        <w:rPr>
          <w:rFonts w:ascii="Times New Roman" w:hAnsi="Times New Roman" w:cs="Times New Roman"/>
          <w:i/>
          <w:sz w:val="26"/>
          <w:szCs w:val="26"/>
        </w:rPr>
        <w:t>Order</w:t>
      </w:r>
      <w:r w:rsidRPr="00522CF7">
        <w:rPr>
          <w:rFonts w:ascii="Times New Roman" w:hAnsi="Times New Roman" w:cs="Times New Roman"/>
          <w:sz w:val="26"/>
          <w:szCs w:val="26"/>
        </w:rPr>
        <w:t>, the ALJ stated that “PGW’s application of partial payments out of order so that the most recent late payment charges are paid before the gas charges due for prior service constitutes a failure to provide adequate and reasonable service in accordance with 66 Pa.C.S.A. § 1501.”</w:t>
      </w:r>
    </w:p>
    <w:p w:rsidR="00F0291B" w:rsidRDefault="00F0291B" w:rsidP="00F0291B">
      <w:pPr>
        <w:spacing w:after="0" w:line="360" w:lineRule="auto"/>
        <w:ind w:firstLine="1440"/>
        <w:rPr>
          <w:rFonts w:ascii="Times New Roman" w:hAnsi="Times New Roman" w:cs="Times New Roman"/>
          <w:sz w:val="26"/>
          <w:szCs w:val="26"/>
        </w:rPr>
      </w:pPr>
    </w:p>
    <w:p w:rsidR="00F0291B" w:rsidRDefault="00F0291B" w:rsidP="00F0291B">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We recognize that</w:t>
      </w:r>
      <w:r w:rsidRPr="00E95541">
        <w:rPr>
          <w:rFonts w:ascii="Times New Roman" w:hAnsi="Times New Roman" w:cs="Times New Roman"/>
          <w:sz w:val="26"/>
          <w:szCs w:val="26"/>
        </w:rPr>
        <w:t xml:space="preserve"> quality of service issues</w:t>
      </w:r>
      <w:r>
        <w:rPr>
          <w:rFonts w:ascii="Times New Roman" w:hAnsi="Times New Roman" w:cs="Times New Roman"/>
          <w:sz w:val="26"/>
          <w:szCs w:val="26"/>
        </w:rPr>
        <w:t xml:space="preserve"> are frequently raised</w:t>
      </w:r>
      <w:r w:rsidRPr="00E95541">
        <w:rPr>
          <w:rFonts w:ascii="Times New Roman" w:hAnsi="Times New Roman" w:cs="Times New Roman"/>
          <w:sz w:val="26"/>
          <w:szCs w:val="26"/>
        </w:rPr>
        <w:t xml:space="preserve"> in a base rate proceeding.  </w:t>
      </w:r>
      <w:r>
        <w:rPr>
          <w:rFonts w:ascii="Times New Roman" w:hAnsi="Times New Roman" w:cs="Times New Roman"/>
          <w:sz w:val="26"/>
          <w:szCs w:val="26"/>
        </w:rPr>
        <w:t xml:space="preserve">The OCA argued that the November 8 Order </w:t>
      </w:r>
      <w:r w:rsidRPr="00E95541">
        <w:rPr>
          <w:rFonts w:ascii="Times New Roman" w:eastAsia="Times New Roman" w:hAnsi="Times New Roman" w:cs="Times New Roman"/>
          <w:sz w:val="26"/>
          <w:szCs w:val="26"/>
        </w:rPr>
        <w:t xml:space="preserve">raises a new and novel interpretation of the law </w:t>
      </w:r>
      <w:r>
        <w:rPr>
          <w:rFonts w:ascii="Times New Roman" w:eastAsia="Times New Roman" w:hAnsi="Times New Roman" w:cs="Times New Roman"/>
          <w:sz w:val="26"/>
          <w:szCs w:val="26"/>
        </w:rPr>
        <w:t xml:space="preserve">by concluding that a </w:t>
      </w:r>
      <w:r w:rsidRPr="00E95541">
        <w:rPr>
          <w:rFonts w:ascii="Times New Roman" w:eastAsia="Times New Roman" w:hAnsi="Times New Roman" w:cs="Times New Roman"/>
          <w:sz w:val="26"/>
          <w:szCs w:val="26"/>
        </w:rPr>
        <w:t>quality of service issue</w:t>
      </w:r>
      <w:r>
        <w:rPr>
          <w:rFonts w:ascii="Times New Roman" w:eastAsia="Times New Roman" w:hAnsi="Times New Roman" w:cs="Times New Roman"/>
          <w:sz w:val="26"/>
          <w:szCs w:val="26"/>
        </w:rPr>
        <w:t xml:space="preserve"> may only </w:t>
      </w:r>
      <w:r w:rsidRPr="00E95541">
        <w:rPr>
          <w:rFonts w:ascii="Times New Roman" w:eastAsia="Times New Roman" w:hAnsi="Times New Roman" w:cs="Times New Roman"/>
          <w:sz w:val="26"/>
          <w:szCs w:val="26"/>
        </w:rPr>
        <w:t>be addressed in a base rate proceeding</w:t>
      </w:r>
      <w:r>
        <w:rPr>
          <w:rFonts w:ascii="Times New Roman" w:eastAsia="Times New Roman" w:hAnsi="Times New Roman" w:cs="Times New Roman"/>
          <w:sz w:val="26"/>
          <w:szCs w:val="26"/>
        </w:rPr>
        <w:t xml:space="preserve"> if there is a rate adjustment or financial impact in the overall revenue requirement</w:t>
      </w:r>
      <w:r w:rsidRPr="00E95541">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We recognize that </w:t>
      </w:r>
      <w:r w:rsidRPr="00E95541">
        <w:rPr>
          <w:rFonts w:ascii="Times New Roman" w:hAnsi="Times New Roman" w:cs="Times New Roman"/>
          <w:sz w:val="26"/>
          <w:szCs w:val="26"/>
        </w:rPr>
        <w:t xml:space="preserve">our </w:t>
      </w:r>
      <w:r>
        <w:rPr>
          <w:rFonts w:ascii="Times New Roman" w:hAnsi="Times New Roman" w:cs="Times New Roman"/>
          <w:sz w:val="26"/>
          <w:szCs w:val="26"/>
        </w:rPr>
        <w:t xml:space="preserve">duties and </w:t>
      </w:r>
      <w:r w:rsidRPr="00E95541">
        <w:rPr>
          <w:rFonts w:ascii="Times New Roman" w:hAnsi="Times New Roman" w:cs="Times New Roman"/>
          <w:sz w:val="26"/>
          <w:szCs w:val="26"/>
        </w:rPr>
        <w:t xml:space="preserve">powers under the </w:t>
      </w:r>
      <w:r>
        <w:rPr>
          <w:rFonts w:ascii="Times New Roman" w:hAnsi="Times New Roman" w:cs="Times New Roman"/>
          <w:sz w:val="26"/>
          <w:szCs w:val="26"/>
        </w:rPr>
        <w:t xml:space="preserve">Code to appropriately remedy a </w:t>
      </w:r>
      <w:r w:rsidRPr="00E95541">
        <w:rPr>
          <w:rFonts w:ascii="Times New Roman" w:hAnsi="Times New Roman" w:cs="Times New Roman"/>
          <w:sz w:val="26"/>
          <w:szCs w:val="26"/>
        </w:rPr>
        <w:t>quality of service</w:t>
      </w:r>
      <w:r>
        <w:rPr>
          <w:rFonts w:ascii="Times New Roman" w:hAnsi="Times New Roman" w:cs="Times New Roman"/>
          <w:sz w:val="26"/>
          <w:szCs w:val="26"/>
        </w:rPr>
        <w:t xml:space="preserve"> issue or an existing rate issue are not limited or diminished simply because such issues are </w:t>
      </w:r>
      <w:r w:rsidRPr="00E95541">
        <w:rPr>
          <w:rFonts w:ascii="Times New Roman" w:hAnsi="Times New Roman" w:cs="Times New Roman"/>
          <w:sz w:val="26"/>
          <w:szCs w:val="26"/>
        </w:rPr>
        <w:t>raised in</w:t>
      </w:r>
      <w:r>
        <w:rPr>
          <w:rFonts w:ascii="Times New Roman" w:hAnsi="Times New Roman" w:cs="Times New Roman"/>
          <w:sz w:val="26"/>
          <w:szCs w:val="26"/>
        </w:rPr>
        <w:t xml:space="preserve"> the context of</w:t>
      </w:r>
      <w:r w:rsidRPr="00E95541">
        <w:rPr>
          <w:rFonts w:ascii="Times New Roman" w:hAnsi="Times New Roman" w:cs="Times New Roman"/>
          <w:sz w:val="26"/>
          <w:szCs w:val="26"/>
        </w:rPr>
        <w:t xml:space="preserve"> a </w:t>
      </w:r>
      <w:r>
        <w:rPr>
          <w:rFonts w:ascii="Times New Roman" w:hAnsi="Times New Roman" w:cs="Times New Roman"/>
          <w:sz w:val="26"/>
          <w:szCs w:val="26"/>
        </w:rPr>
        <w:t xml:space="preserve">Section 1308(d) general </w:t>
      </w:r>
      <w:r w:rsidRPr="00E95541">
        <w:rPr>
          <w:rFonts w:ascii="Times New Roman" w:hAnsi="Times New Roman" w:cs="Times New Roman"/>
          <w:sz w:val="26"/>
          <w:szCs w:val="26"/>
        </w:rPr>
        <w:t>base rate</w:t>
      </w:r>
      <w:r>
        <w:rPr>
          <w:rFonts w:ascii="Times New Roman" w:hAnsi="Times New Roman" w:cs="Times New Roman"/>
          <w:sz w:val="26"/>
          <w:szCs w:val="26"/>
        </w:rPr>
        <w:t xml:space="preserve"> increase proceeding.</w:t>
      </w:r>
      <w:r w:rsidR="00264D88">
        <w:rPr>
          <w:rStyle w:val="FootnoteReference"/>
          <w:rFonts w:ascii="Times New Roman" w:hAnsi="Times New Roman" w:cs="Times New Roman"/>
          <w:sz w:val="26"/>
          <w:szCs w:val="26"/>
        </w:rPr>
        <w:footnoteReference w:id="3"/>
      </w:r>
      <w:r>
        <w:rPr>
          <w:rFonts w:ascii="Times New Roman" w:hAnsi="Times New Roman" w:cs="Times New Roman"/>
          <w:sz w:val="26"/>
          <w:szCs w:val="26"/>
        </w:rPr>
        <w:t xml:space="preserve">  </w:t>
      </w:r>
      <w:r w:rsidR="0027652E">
        <w:rPr>
          <w:rFonts w:ascii="Times New Roman" w:hAnsi="Times New Roman" w:cs="Times New Roman"/>
          <w:sz w:val="26"/>
          <w:szCs w:val="26"/>
        </w:rPr>
        <w:t>T</w:t>
      </w:r>
      <w:r>
        <w:rPr>
          <w:rFonts w:ascii="Times New Roman" w:hAnsi="Times New Roman" w:cs="Times New Roman"/>
          <w:sz w:val="26"/>
          <w:szCs w:val="26"/>
        </w:rPr>
        <w:t>he remedy necessary in this proceeding, as advocated by the OCA, is not one that would involve the revenue requirement or cost of service and would, instead, be a revision to the partial payment allocation methodology.  Therefore, the OCA’s request for reconsideration regarding our determinations surrounding quality of service is granted.</w:t>
      </w:r>
    </w:p>
    <w:p w:rsidR="00264D88" w:rsidRDefault="00264D88" w:rsidP="00F0291B">
      <w:pPr>
        <w:spacing w:after="0" w:line="360" w:lineRule="auto"/>
        <w:ind w:firstLine="1440"/>
        <w:rPr>
          <w:rFonts w:ascii="Times New Roman" w:hAnsi="Times New Roman" w:cs="Times New Roman"/>
          <w:sz w:val="26"/>
          <w:szCs w:val="26"/>
        </w:rPr>
      </w:pPr>
    </w:p>
    <w:p w:rsidR="001A5B70" w:rsidRDefault="00C45E42" w:rsidP="002F4DB6">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I</w:t>
      </w:r>
      <w:r w:rsidRPr="00E95541">
        <w:rPr>
          <w:rFonts w:ascii="Times New Roman" w:hAnsi="Times New Roman" w:cs="Times New Roman"/>
          <w:sz w:val="26"/>
          <w:szCs w:val="26"/>
        </w:rPr>
        <w:t xml:space="preserve">n the </w:t>
      </w:r>
      <w:r>
        <w:rPr>
          <w:rFonts w:ascii="Times New Roman" w:hAnsi="Times New Roman" w:cs="Times New Roman"/>
          <w:i/>
          <w:sz w:val="26"/>
          <w:szCs w:val="26"/>
        </w:rPr>
        <w:t>Suspension Order</w:t>
      </w:r>
      <w:r>
        <w:rPr>
          <w:rFonts w:ascii="Times New Roman" w:hAnsi="Times New Roman" w:cs="Times New Roman"/>
          <w:sz w:val="26"/>
          <w:szCs w:val="26"/>
        </w:rPr>
        <w:t>, we directed an investigation into PGW’s existing rates, rules and regulations.</w:t>
      </w:r>
      <w:r w:rsidRPr="00E95541">
        <w:rPr>
          <w:rFonts w:ascii="Times New Roman" w:hAnsi="Times New Roman" w:cs="Times New Roman"/>
          <w:sz w:val="26"/>
          <w:szCs w:val="26"/>
        </w:rPr>
        <w:t xml:space="preserve"> </w:t>
      </w:r>
      <w:r>
        <w:rPr>
          <w:rFonts w:ascii="Times New Roman" w:hAnsi="Times New Roman" w:cs="Times New Roman"/>
          <w:sz w:val="26"/>
          <w:szCs w:val="26"/>
        </w:rPr>
        <w:t xml:space="preserve"> </w:t>
      </w:r>
      <w:r w:rsidR="00F42C8B">
        <w:rPr>
          <w:rFonts w:ascii="Times New Roman" w:hAnsi="Times New Roman" w:cs="Times New Roman"/>
          <w:sz w:val="26"/>
          <w:szCs w:val="26"/>
        </w:rPr>
        <w:t xml:space="preserve">Essentially, the OCA </w:t>
      </w:r>
      <w:r w:rsidR="00F42C8B" w:rsidRPr="00E95541">
        <w:rPr>
          <w:rFonts w:ascii="Times New Roman" w:hAnsi="Times New Roman" w:cs="Times New Roman"/>
          <w:sz w:val="26"/>
          <w:szCs w:val="26"/>
        </w:rPr>
        <w:t xml:space="preserve">argued in this proceeding that PGW is charging </w:t>
      </w:r>
      <w:r w:rsidR="00F42C8B">
        <w:rPr>
          <w:rFonts w:ascii="Times New Roman" w:hAnsi="Times New Roman" w:cs="Times New Roman"/>
          <w:sz w:val="26"/>
          <w:szCs w:val="26"/>
        </w:rPr>
        <w:t xml:space="preserve">its </w:t>
      </w:r>
      <w:r w:rsidR="00F42C8B" w:rsidRPr="00E95541">
        <w:rPr>
          <w:rFonts w:ascii="Times New Roman" w:hAnsi="Times New Roman" w:cs="Times New Roman"/>
          <w:sz w:val="26"/>
          <w:szCs w:val="26"/>
        </w:rPr>
        <w:t xml:space="preserve">late-paying customers excessive </w:t>
      </w:r>
      <w:r w:rsidR="00F42C8B">
        <w:rPr>
          <w:rFonts w:ascii="Times New Roman" w:hAnsi="Times New Roman" w:cs="Times New Roman"/>
          <w:sz w:val="26"/>
          <w:szCs w:val="26"/>
        </w:rPr>
        <w:t xml:space="preserve">late fees and annual interest due to effects of </w:t>
      </w:r>
      <w:r w:rsidR="00F42C8B" w:rsidRPr="00E95541">
        <w:rPr>
          <w:rFonts w:ascii="Times New Roman" w:hAnsi="Times New Roman" w:cs="Times New Roman"/>
          <w:sz w:val="26"/>
          <w:szCs w:val="26"/>
        </w:rPr>
        <w:t>its partial payment allocation practices</w:t>
      </w:r>
      <w:r w:rsidR="00F42C8B">
        <w:rPr>
          <w:rFonts w:ascii="Times New Roman" w:hAnsi="Times New Roman" w:cs="Times New Roman"/>
          <w:sz w:val="26"/>
          <w:szCs w:val="26"/>
        </w:rPr>
        <w:t>, in violation of 52 Pa. Code § 56.22(a) and 66 Pa. C.S. §§ 1301 and 1303.</w:t>
      </w:r>
      <w:r w:rsidR="00F42C8B" w:rsidRPr="00E95541">
        <w:rPr>
          <w:rFonts w:ascii="Times New Roman" w:hAnsi="Times New Roman" w:cs="Times New Roman"/>
          <w:sz w:val="26"/>
          <w:szCs w:val="26"/>
        </w:rPr>
        <w:t xml:space="preserve">  </w:t>
      </w:r>
      <w:r w:rsidR="009C513D" w:rsidRPr="00E95541">
        <w:rPr>
          <w:rFonts w:ascii="Times New Roman" w:hAnsi="Times New Roman" w:cs="Times New Roman"/>
          <w:sz w:val="26"/>
          <w:szCs w:val="26"/>
        </w:rPr>
        <w:t xml:space="preserve">Because the </w:t>
      </w:r>
      <w:r w:rsidR="009C7092" w:rsidRPr="00E95541">
        <w:rPr>
          <w:rFonts w:ascii="Times New Roman" w:hAnsi="Times New Roman" w:cs="Times New Roman"/>
          <w:sz w:val="26"/>
          <w:szCs w:val="26"/>
        </w:rPr>
        <w:t xml:space="preserve">late fees </w:t>
      </w:r>
      <w:r w:rsidR="00F51909" w:rsidRPr="00E95541">
        <w:rPr>
          <w:rFonts w:ascii="Times New Roman" w:hAnsi="Times New Roman" w:cs="Times New Roman"/>
          <w:sz w:val="26"/>
          <w:szCs w:val="26"/>
        </w:rPr>
        <w:t xml:space="preserve">that </w:t>
      </w:r>
      <w:r w:rsidR="007313BA" w:rsidRPr="00E95541">
        <w:rPr>
          <w:rFonts w:ascii="Times New Roman" w:hAnsi="Times New Roman" w:cs="Times New Roman"/>
          <w:sz w:val="26"/>
          <w:szCs w:val="26"/>
        </w:rPr>
        <w:t xml:space="preserve">PGW charges its </w:t>
      </w:r>
      <w:r w:rsidR="009C513D" w:rsidRPr="00E95541">
        <w:rPr>
          <w:rFonts w:ascii="Times New Roman" w:hAnsi="Times New Roman" w:cs="Times New Roman"/>
          <w:sz w:val="26"/>
          <w:szCs w:val="26"/>
        </w:rPr>
        <w:t>customers</w:t>
      </w:r>
      <w:r w:rsidR="006D31D1" w:rsidRPr="00E95541">
        <w:rPr>
          <w:rFonts w:ascii="Times New Roman" w:hAnsi="Times New Roman" w:cs="Times New Roman"/>
          <w:sz w:val="26"/>
          <w:szCs w:val="26"/>
        </w:rPr>
        <w:t xml:space="preserve"> </w:t>
      </w:r>
      <w:r w:rsidR="007C1BB1" w:rsidRPr="00E95541">
        <w:rPr>
          <w:rFonts w:ascii="Times New Roman" w:hAnsi="Times New Roman" w:cs="Times New Roman"/>
          <w:sz w:val="26"/>
          <w:szCs w:val="26"/>
        </w:rPr>
        <w:t>are</w:t>
      </w:r>
      <w:r w:rsidR="00FC2D04" w:rsidRPr="00E95541">
        <w:rPr>
          <w:rFonts w:ascii="Times New Roman" w:hAnsi="Times New Roman" w:cs="Times New Roman"/>
          <w:sz w:val="26"/>
          <w:szCs w:val="26"/>
        </w:rPr>
        <w:t xml:space="preserve"> existing rate</w:t>
      </w:r>
      <w:r w:rsidR="007C1BB1" w:rsidRPr="00E95541">
        <w:rPr>
          <w:rFonts w:ascii="Times New Roman" w:hAnsi="Times New Roman" w:cs="Times New Roman"/>
          <w:sz w:val="26"/>
          <w:szCs w:val="26"/>
        </w:rPr>
        <w:t>s</w:t>
      </w:r>
      <w:r w:rsidR="009C513D" w:rsidRPr="00E95541">
        <w:rPr>
          <w:rFonts w:ascii="Times New Roman" w:hAnsi="Times New Roman" w:cs="Times New Roman"/>
          <w:sz w:val="26"/>
          <w:szCs w:val="26"/>
        </w:rPr>
        <w:t xml:space="preserve">, </w:t>
      </w:r>
      <w:r w:rsidR="00F51909" w:rsidRPr="00E95541">
        <w:rPr>
          <w:rFonts w:ascii="Times New Roman" w:hAnsi="Times New Roman" w:cs="Times New Roman"/>
          <w:sz w:val="26"/>
          <w:szCs w:val="26"/>
        </w:rPr>
        <w:t xml:space="preserve">we find that </w:t>
      </w:r>
      <w:r w:rsidR="00D0764F" w:rsidRPr="00E95541">
        <w:rPr>
          <w:rFonts w:ascii="Times New Roman" w:hAnsi="Times New Roman" w:cs="Times New Roman"/>
          <w:sz w:val="26"/>
          <w:szCs w:val="26"/>
        </w:rPr>
        <w:t xml:space="preserve">the </w:t>
      </w:r>
      <w:r w:rsidR="00031D69" w:rsidRPr="00E95541">
        <w:rPr>
          <w:rFonts w:ascii="Times New Roman" w:hAnsi="Times New Roman" w:cs="Times New Roman"/>
          <w:sz w:val="26"/>
          <w:szCs w:val="26"/>
        </w:rPr>
        <w:t>OCA</w:t>
      </w:r>
      <w:r w:rsidR="00DF78A9" w:rsidRPr="00E95541">
        <w:rPr>
          <w:rFonts w:ascii="Times New Roman" w:hAnsi="Times New Roman" w:cs="Times New Roman"/>
          <w:sz w:val="26"/>
          <w:szCs w:val="26"/>
        </w:rPr>
        <w:t xml:space="preserve">’s claims </w:t>
      </w:r>
      <w:r w:rsidR="000F7B55">
        <w:rPr>
          <w:rFonts w:ascii="Times New Roman" w:hAnsi="Times New Roman" w:cs="Times New Roman"/>
          <w:sz w:val="26"/>
          <w:szCs w:val="26"/>
        </w:rPr>
        <w:t xml:space="preserve">also </w:t>
      </w:r>
      <w:r w:rsidR="000D6075">
        <w:rPr>
          <w:rFonts w:ascii="Times New Roman" w:hAnsi="Times New Roman" w:cs="Times New Roman"/>
          <w:sz w:val="26"/>
          <w:szCs w:val="26"/>
        </w:rPr>
        <w:t xml:space="preserve">directly relate </w:t>
      </w:r>
      <w:r w:rsidR="00186C7D" w:rsidRPr="00E95541">
        <w:rPr>
          <w:rFonts w:ascii="Times New Roman" w:hAnsi="Times New Roman" w:cs="Times New Roman"/>
          <w:sz w:val="26"/>
          <w:szCs w:val="26"/>
        </w:rPr>
        <w:t>to</w:t>
      </w:r>
      <w:r w:rsidR="00FE4252">
        <w:rPr>
          <w:rFonts w:ascii="Times New Roman" w:hAnsi="Times New Roman" w:cs="Times New Roman"/>
          <w:sz w:val="26"/>
          <w:szCs w:val="26"/>
        </w:rPr>
        <w:t xml:space="preserve"> </w:t>
      </w:r>
      <w:r w:rsidR="00C6423B">
        <w:rPr>
          <w:rFonts w:ascii="Times New Roman" w:hAnsi="Times New Roman" w:cs="Times New Roman"/>
          <w:sz w:val="26"/>
          <w:szCs w:val="26"/>
        </w:rPr>
        <w:t>the Commission’s</w:t>
      </w:r>
      <w:r w:rsidR="007C1BB1" w:rsidRPr="00E95541">
        <w:rPr>
          <w:rFonts w:ascii="Times New Roman" w:hAnsi="Times New Roman" w:cs="Times New Roman"/>
          <w:sz w:val="26"/>
          <w:szCs w:val="26"/>
        </w:rPr>
        <w:t xml:space="preserve"> investigation</w:t>
      </w:r>
      <w:r w:rsidR="00FE4252">
        <w:rPr>
          <w:rFonts w:ascii="Times New Roman" w:hAnsi="Times New Roman" w:cs="Times New Roman"/>
          <w:sz w:val="26"/>
          <w:szCs w:val="26"/>
        </w:rPr>
        <w:t xml:space="preserve"> into PGW’s existing rates, rules and regulations, </w:t>
      </w:r>
      <w:r>
        <w:rPr>
          <w:rFonts w:ascii="Times New Roman" w:hAnsi="Times New Roman" w:cs="Times New Roman"/>
          <w:sz w:val="26"/>
          <w:szCs w:val="26"/>
        </w:rPr>
        <w:t>in accordance with the</w:t>
      </w:r>
      <w:r w:rsidR="007C1BB1" w:rsidRPr="00E95541">
        <w:rPr>
          <w:rFonts w:ascii="Times New Roman" w:hAnsi="Times New Roman" w:cs="Times New Roman"/>
          <w:sz w:val="26"/>
          <w:szCs w:val="26"/>
        </w:rPr>
        <w:t xml:space="preserve"> </w:t>
      </w:r>
      <w:r w:rsidR="00FE4252">
        <w:rPr>
          <w:rFonts w:ascii="Times New Roman" w:hAnsi="Times New Roman" w:cs="Times New Roman"/>
          <w:i/>
          <w:sz w:val="26"/>
          <w:szCs w:val="26"/>
        </w:rPr>
        <w:t>Suspension Order</w:t>
      </w:r>
      <w:r w:rsidR="0004530D" w:rsidRPr="00E95541">
        <w:rPr>
          <w:rFonts w:ascii="Times New Roman" w:hAnsi="Times New Roman" w:cs="Times New Roman"/>
          <w:sz w:val="26"/>
          <w:szCs w:val="26"/>
        </w:rPr>
        <w:t>.</w:t>
      </w:r>
      <w:r w:rsidR="00186C7D" w:rsidRPr="00E95541">
        <w:rPr>
          <w:rFonts w:ascii="Times New Roman" w:hAnsi="Times New Roman" w:cs="Times New Roman"/>
          <w:sz w:val="26"/>
          <w:szCs w:val="26"/>
        </w:rPr>
        <w:t xml:space="preserve"> </w:t>
      </w:r>
      <w:r w:rsidR="0004530D" w:rsidRPr="00E95541">
        <w:rPr>
          <w:rFonts w:ascii="Times New Roman" w:hAnsi="Times New Roman" w:cs="Times New Roman"/>
          <w:sz w:val="26"/>
          <w:szCs w:val="26"/>
        </w:rPr>
        <w:t xml:space="preserve"> </w:t>
      </w:r>
      <w:r w:rsidR="00FE4252">
        <w:rPr>
          <w:rFonts w:ascii="Times New Roman" w:hAnsi="Times New Roman" w:cs="Times New Roman"/>
          <w:sz w:val="26"/>
          <w:szCs w:val="26"/>
        </w:rPr>
        <w:t>Specifically, w</w:t>
      </w:r>
      <w:r w:rsidR="00481EFE" w:rsidRPr="00E95541">
        <w:rPr>
          <w:rFonts w:ascii="Times New Roman" w:hAnsi="Times New Roman" w:cs="Times New Roman"/>
          <w:sz w:val="26"/>
          <w:szCs w:val="26"/>
        </w:rPr>
        <w:t xml:space="preserve">hether </w:t>
      </w:r>
      <w:r w:rsidR="001F59B2">
        <w:rPr>
          <w:rFonts w:ascii="Times New Roman" w:hAnsi="Times New Roman" w:cs="Times New Roman"/>
          <w:sz w:val="26"/>
          <w:szCs w:val="26"/>
        </w:rPr>
        <w:t xml:space="preserve">late-paying </w:t>
      </w:r>
      <w:r w:rsidR="005C54A0">
        <w:rPr>
          <w:rFonts w:ascii="Times New Roman" w:hAnsi="Times New Roman" w:cs="Times New Roman"/>
          <w:sz w:val="26"/>
          <w:szCs w:val="26"/>
        </w:rPr>
        <w:t xml:space="preserve">residential </w:t>
      </w:r>
      <w:r w:rsidR="00481EFE" w:rsidRPr="00E95541">
        <w:rPr>
          <w:rFonts w:ascii="Times New Roman" w:hAnsi="Times New Roman" w:cs="Times New Roman"/>
          <w:sz w:val="26"/>
          <w:szCs w:val="26"/>
        </w:rPr>
        <w:t xml:space="preserve">customers are being charged </w:t>
      </w:r>
      <w:r w:rsidR="001225A2">
        <w:rPr>
          <w:rFonts w:ascii="Times New Roman" w:hAnsi="Times New Roman" w:cs="Times New Roman"/>
          <w:sz w:val="26"/>
          <w:szCs w:val="26"/>
        </w:rPr>
        <w:t xml:space="preserve">late fees in </w:t>
      </w:r>
      <w:r w:rsidR="00481EFE" w:rsidRPr="00E95541">
        <w:rPr>
          <w:rFonts w:ascii="Times New Roman" w:hAnsi="Times New Roman" w:cs="Times New Roman"/>
          <w:sz w:val="26"/>
          <w:szCs w:val="26"/>
        </w:rPr>
        <w:t xml:space="preserve">amounts </w:t>
      </w:r>
      <w:r w:rsidR="001225A2">
        <w:rPr>
          <w:rFonts w:ascii="Times New Roman" w:hAnsi="Times New Roman" w:cs="Times New Roman"/>
          <w:sz w:val="26"/>
          <w:szCs w:val="26"/>
        </w:rPr>
        <w:t xml:space="preserve">that are </w:t>
      </w:r>
      <w:r w:rsidR="001225A2" w:rsidRPr="00E95541">
        <w:rPr>
          <w:rFonts w:ascii="Times New Roman" w:hAnsi="Times New Roman" w:cs="Times New Roman"/>
          <w:sz w:val="26"/>
          <w:szCs w:val="26"/>
        </w:rPr>
        <w:t>more than</w:t>
      </w:r>
      <w:r w:rsidR="00481EFE" w:rsidRPr="00E95541">
        <w:rPr>
          <w:rFonts w:ascii="Times New Roman" w:hAnsi="Times New Roman" w:cs="Times New Roman"/>
          <w:sz w:val="26"/>
          <w:szCs w:val="26"/>
        </w:rPr>
        <w:t xml:space="preserve"> </w:t>
      </w:r>
      <w:r w:rsidR="001225A2">
        <w:rPr>
          <w:rFonts w:ascii="Times New Roman" w:hAnsi="Times New Roman" w:cs="Times New Roman"/>
          <w:sz w:val="26"/>
          <w:szCs w:val="26"/>
        </w:rPr>
        <w:t xml:space="preserve">the amounts </w:t>
      </w:r>
      <w:r w:rsidR="00481EFE" w:rsidRPr="00E95541">
        <w:rPr>
          <w:rFonts w:ascii="Times New Roman" w:hAnsi="Times New Roman" w:cs="Times New Roman"/>
          <w:sz w:val="26"/>
          <w:szCs w:val="26"/>
        </w:rPr>
        <w:t>permitted</w:t>
      </w:r>
      <w:r w:rsidR="000416DC" w:rsidRPr="00E95541">
        <w:rPr>
          <w:rFonts w:ascii="Times New Roman" w:hAnsi="Times New Roman" w:cs="Times New Roman"/>
          <w:sz w:val="26"/>
          <w:szCs w:val="26"/>
        </w:rPr>
        <w:t xml:space="preserve"> </w:t>
      </w:r>
      <w:r w:rsidR="005C54A0">
        <w:rPr>
          <w:rFonts w:ascii="Times New Roman" w:hAnsi="Times New Roman" w:cs="Times New Roman"/>
          <w:sz w:val="26"/>
          <w:szCs w:val="26"/>
        </w:rPr>
        <w:t xml:space="preserve">under Section 56.22(a) of our Regulations </w:t>
      </w:r>
      <w:r w:rsidR="00481EFE" w:rsidRPr="00E95541">
        <w:rPr>
          <w:rFonts w:ascii="Times New Roman" w:hAnsi="Times New Roman" w:cs="Times New Roman"/>
          <w:sz w:val="26"/>
          <w:szCs w:val="26"/>
        </w:rPr>
        <w:t>is</w:t>
      </w:r>
      <w:r w:rsidR="00FE4252">
        <w:rPr>
          <w:rFonts w:ascii="Times New Roman" w:hAnsi="Times New Roman" w:cs="Times New Roman"/>
          <w:sz w:val="26"/>
          <w:szCs w:val="26"/>
        </w:rPr>
        <w:t xml:space="preserve"> clearly</w:t>
      </w:r>
      <w:r w:rsidR="00481EFE" w:rsidRPr="00E95541">
        <w:rPr>
          <w:rFonts w:ascii="Times New Roman" w:hAnsi="Times New Roman" w:cs="Times New Roman"/>
          <w:sz w:val="26"/>
          <w:szCs w:val="26"/>
        </w:rPr>
        <w:t xml:space="preserve"> relevant to</w:t>
      </w:r>
      <w:r w:rsidR="00326342" w:rsidRPr="00E95541">
        <w:rPr>
          <w:rFonts w:ascii="Times New Roman" w:hAnsi="Times New Roman" w:cs="Times New Roman"/>
          <w:sz w:val="26"/>
          <w:szCs w:val="26"/>
        </w:rPr>
        <w:t xml:space="preserve"> </w:t>
      </w:r>
      <w:r w:rsidR="003F2E18" w:rsidRPr="00E95541">
        <w:rPr>
          <w:rFonts w:ascii="Times New Roman" w:hAnsi="Times New Roman" w:cs="Times New Roman"/>
          <w:sz w:val="26"/>
          <w:szCs w:val="26"/>
        </w:rPr>
        <w:t xml:space="preserve">our </w:t>
      </w:r>
      <w:r w:rsidR="00F419AE" w:rsidRPr="00E95541">
        <w:rPr>
          <w:rFonts w:ascii="Times New Roman" w:hAnsi="Times New Roman" w:cs="Times New Roman"/>
          <w:sz w:val="26"/>
          <w:szCs w:val="26"/>
        </w:rPr>
        <w:t>‘</w:t>
      </w:r>
      <w:r w:rsidR="00B236F6" w:rsidRPr="00E95541">
        <w:rPr>
          <w:rFonts w:ascii="Times New Roman" w:hAnsi="Times New Roman" w:cs="Times New Roman"/>
          <w:sz w:val="26"/>
          <w:szCs w:val="26"/>
        </w:rPr>
        <w:t>just and reasonable</w:t>
      </w:r>
      <w:r w:rsidR="00F419AE" w:rsidRPr="00E95541">
        <w:rPr>
          <w:rFonts w:ascii="Times New Roman" w:hAnsi="Times New Roman" w:cs="Times New Roman"/>
          <w:sz w:val="26"/>
          <w:szCs w:val="26"/>
        </w:rPr>
        <w:t>’</w:t>
      </w:r>
      <w:r w:rsidR="00B236F6" w:rsidRPr="00E95541">
        <w:rPr>
          <w:rFonts w:ascii="Times New Roman" w:hAnsi="Times New Roman" w:cs="Times New Roman"/>
          <w:sz w:val="26"/>
          <w:szCs w:val="26"/>
        </w:rPr>
        <w:t xml:space="preserve"> </w:t>
      </w:r>
      <w:r w:rsidR="003F2E18" w:rsidRPr="00E95541">
        <w:rPr>
          <w:rFonts w:ascii="Times New Roman" w:hAnsi="Times New Roman" w:cs="Times New Roman"/>
          <w:sz w:val="26"/>
          <w:szCs w:val="26"/>
        </w:rPr>
        <w:t xml:space="preserve">review </w:t>
      </w:r>
      <w:r w:rsidR="00F419AE" w:rsidRPr="00E95541">
        <w:rPr>
          <w:rFonts w:ascii="Times New Roman" w:hAnsi="Times New Roman" w:cs="Times New Roman"/>
          <w:sz w:val="26"/>
          <w:szCs w:val="26"/>
        </w:rPr>
        <w:t xml:space="preserve">of PGW’s existing rates </w:t>
      </w:r>
      <w:r w:rsidR="003F2E18" w:rsidRPr="00E95541">
        <w:rPr>
          <w:rFonts w:ascii="Times New Roman" w:hAnsi="Times New Roman" w:cs="Times New Roman"/>
          <w:sz w:val="26"/>
          <w:szCs w:val="26"/>
        </w:rPr>
        <w:t>under Section 1301 of the Code</w:t>
      </w:r>
      <w:r w:rsidR="00186C7D" w:rsidRPr="00E95541">
        <w:rPr>
          <w:rFonts w:ascii="Times New Roman" w:hAnsi="Times New Roman" w:cs="Times New Roman"/>
          <w:sz w:val="26"/>
          <w:szCs w:val="26"/>
        </w:rPr>
        <w:t xml:space="preserve"> </w:t>
      </w:r>
      <w:r w:rsidR="00FE4252">
        <w:rPr>
          <w:rFonts w:ascii="Times New Roman" w:hAnsi="Times New Roman" w:cs="Times New Roman"/>
          <w:sz w:val="26"/>
          <w:szCs w:val="26"/>
        </w:rPr>
        <w:t>and</w:t>
      </w:r>
      <w:r w:rsidR="003F2E18" w:rsidRPr="00E95541">
        <w:rPr>
          <w:rFonts w:ascii="Times New Roman" w:hAnsi="Times New Roman" w:cs="Times New Roman"/>
          <w:sz w:val="26"/>
          <w:szCs w:val="26"/>
        </w:rPr>
        <w:t xml:space="preserve"> our review under </w:t>
      </w:r>
      <w:r w:rsidR="00186C7D" w:rsidRPr="00E95541">
        <w:rPr>
          <w:rFonts w:ascii="Times New Roman" w:hAnsi="Times New Roman" w:cs="Times New Roman"/>
          <w:sz w:val="26"/>
          <w:szCs w:val="26"/>
        </w:rPr>
        <w:t>Section</w:t>
      </w:r>
      <w:r w:rsidR="0043572E" w:rsidRPr="00E95541">
        <w:rPr>
          <w:rFonts w:ascii="Times New Roman" w:hAnsi="Times New Roman" w:cs="Times New Roman"/>
          <w:sz w:val="26"/>
          <w:szCs w:val="26"/>
        </w:rPr>
        <w:t xml:space="preserve"> </w:t>
      </w:r>
      <w:r w:rsidR="00186C7D" w:rsidRPr="00E95541">
        <w:rPr>
          <w:rFonts w:ascii="Times New Roman" w:hAnsi="Times New Roman" w:cs="Times New Roman"/>
          <w:sz w:val="26"/>
          <w:szCs w:val="26"/>
        </w:rPr>
        <w:t>1303 of the Code</w:t>
      </w:r>
      <w:r w:rsidR="003F2E18" w:rsidRPr="00E95541">
        <w:rPr>
          <w:rFonts w:ascii="Times New Roman" w:hAnsi="Times New Roman" w:cs="Times New Roman"/>
          <w:sz w:val="26"/>
          <w:szCs w:val="26"/>
        </w:rPr>
        <w:t xml:space="preserve"> as to whether the </w:t>
      </w:r>
      <w:r w:rsidR="00F419AE" w:rsidRPr="00E95541">
        <w:rPr>
          <w:rFonts w:ascii="Times New Roman" w:hAnsi="Times New Roman" w:cs="Times New Roman"/>
          <w:sz w:val="26"/>
          <w:szCs w:val="26"/>
        </w:rPr>
        <w:t xml:space="preserve">existing </w:t>
      </w:r>
      <w:r w:rsidR="003F2E18" w:rsidRPr="00E95541">
        <w:rPr>
          <w:rFonts w:ascii="Times New Roman" w:hAnsi="Times New Roman" w:cs="Times New Roman"/>
          <w:sz w:val="26"/>
          <w:szCs w:val="26"/>
        </w:rPr>
        <w:t>rates being charged to customers adhere to PGW’s existing tariff</w:t>
      </w:r>
      <w:r w:rsidR="0056469B">
        <w:rPr>
          <w:rFonts w:ascii="Times New Roman" w:hAnsi="Times New Roman" w:cs="Times New Roman"/>
          <w:sz w:val="26"/>
          <w:szCs w:val="26"/>
        </w:rPr>
        <w:t>, Rule 4.2</w:t>
      </w:r>
      <w:r w:rsidR="000416DC" w:rsidRPr="00E95541">
        <w:rPr>
          <w:rFonts w:ascii="Times New Roman" w:hAnsi="Times New Roman" w:cs="Times New Roman"/>
          <w:sz w:val="26"/>
          <w:szCs w:val="26"/>
        </w:rPr>
        <w:t>.</w:t>
      </w:r>
      <w:r w:rsidR="00584186">
        <w:rPr>
          <w:rStyle w:val="FootnoteReference"/>
          <w:rFonts w:ascii="Times New Roman" w:hAnsi="Times New Roman" w:cs="Times New Roman"/>
          <w:sz w:val="26"/>
          <w:szCs w:val="26"/>
        </w:rPr>
        <w:footnoteReference w:id="4"/>
      </w:r>
    </w:p>
    <w:p w:rsidR="00F0291B" w:rsidRDefault="00F0291B" w:rsidP="002F4DB6">
      <w:pPr>
        <w:spacing w:after="0" w:line="360" w:lineRule="auto"/>
        <w:ind w:firstLine="1440"/>
        <w:rPr>
          <w:rFonts w:ascii="Times New Roman" w:hAnsi="Times New Roman" w:cs="Times New Roman"/>
          <w:sz w:val="26"/>
          <w:szCs w:val="26"/>
        </w:rPr>
      </w:pPr>
    </w:p>
    <w:p w:rsidR="00584186" w:rsidRDefault="00B314C5" w:rsidP="00584186">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In granting reconsideration</w:t>
      </w:r>
      <w:r w:rsidR="00BD0E82">
        <w:rPr>
          <w:rFonts w:ascii="Times New Roman" w:eastAsia="Times New Roman" w:hAnsi="Times New Roman" w:cs="Times New Roman"/>
          <w:sz w:val="26"/>
          <w:szCs w:val="26"/>
        </w:rPr>
        <w:t xml:space="preserve">, </w:t>
      </w:r>
      <w:r w:rsidR="00935B01">
        <w:rPr>
          <w:rFonts w:ascii="Times New Roman" w:eastAsia="Times New Roman" w:hAnsi="Times New Roman" w:cs="Times New Roman"/>
          <w:sz w:val="26"/>
          <w:szCs w:val="26"/>
        </w:rPr>
        <w:t>we find</w:t>
      </w:r>
      <w:r w:rsidR="00005B52">
        <w:rPr>
          <w:rFonts w:ascii="Times New Roman" w:eastAsia="Times New Roman" w:hAnsi="Times New Roman" w:cs="Times New Roman"/>
          <w:sz w:val="26"/>
          <w:szCs w:val="26"/>
        </w:rPr>
        <w:t xml:space="preserve"> that </w:t>
      </w:r>
      <w:r w:rsidR="00D5782D">
        <w:rPr>
          <w:rFonts w:ascii="Times New Roman" w:eastAsia="Times New Roman" w:hAnsi="Times New Roman" w:cs="Times New Roman"/>
          <w:sz w:val="26"/>
          <w:szCs w:val="26"/>
        </w:rPr>
        <w:t xml:space="preserve">the </w:t>
      </w:r>
      <w:r w:rsidR="00853338">
        <w:rPr>
          <w:rFonts w:ascii="Times New Roman" w:eastAsia="Times New Roman" w:hAnsi="Times New Roman" w:cs="Times New Roman"/>
          <w:sz w:val="26"/>
          <w:szCs w:val="26"/>
        </w:rPr>
        <w:t xml:space="preserve">factual evidence of </w:t>
      </w:r>
      <w:r w:rsidR="00811740">
        <w:rPr>
          <w:rFonts w:ascii="Times New Roman" w:eastAsia="Times New Roman" w:hAnsi="Times New Roman" w:cs="Times New Roman"/>
          <w:sz w:val="26"/>
          <w:szCs w:val="26"/>
        </w:rPr>
        <w:t xml:space="preserve">the </w:t>
      </w:r>
      <w:r w:rsidR="00D5782D">
        <w:rPr>
          <w:rFonts w:ascii="Times New Roman" w:eastAsia="Times New Roman" w:hAnsi="Times New Roman" w:cs="Times New Roman"/>
          <w:sz w:val="26"/>
          <w:szCs w:val="26"/>
        </w:rPr>
        <w:t>record and the Parties’ legal positions have been developed to a signifi</w:t>
      </w:r>
      <w:r w:rsidR="001225A2">
        <w:rPr>
          <w:rFonts w:ascii="Times New Roman" w:eastAsia="Times New Roman" w:hAnsi="Times New Roman" w:cs="Times New Roman"/>
          <w:sz w:val="26"/>
          <w:szCs w:val="26"/>
        </w:rPr>
        <w:t xml:space="preserve">cant extent in this proceeding.  Indeed, PGW and the OCA have submitted </w:t>
      </w:r>
      <w:r w:rsidR="005C141A">
        <w:rPr>
          <w:rFonts w:ascii="Times New Roman" w:eastAsia="Times New Roman" w:hAnsi="Times New Roman" w:cs="Times New Roman"/>
          <w:sz w:val="26"/>
          <w:szCs w:val="26"/>
        </w:rPr>
        <w:t xml:space="preserve">prepared </w:t>
      </w:r>
      <w:r w:rsidR="001225A2">
        <w:rPr>
          <w:rFonts w:ascii="Times New Roman" w:eastAsia="Times New Roman" w:hAnsi="Times New Roman" w:cs="Times New Roman"/>
          <w:sz w:val="26"/>
          <w:szCs w:val="26"/>
        </w:rPr>
        <w:t>written</w:t>
      </w:r>
      <w:r w:rsidR="005C141A">
        <w:rPr>
          <w:rFonts w:ascii="Times New Roman" w:eastAsia="Times New Roman" w:hAnsi="Times New Roman" w:cs="Times New Roman"/>
          <w:sz w:val="26"/>
          <w:szCs w:val="26"/>
        </w:rPr>
        <w:t xml:space="preserve"> testimonies </w:t>
      </w:r>
      <w:r w:rsidR="00BD0E82">
        <w:rPr>
          <w:rFonts w:ascii="Times New Roman" w:eastAsia="Times New Roman" w:hAnsi="Times New Roman" w:cs="Times New Roman"/>
          <w:sz w:val="26"/>
          <w:szCs w:val="26"/>
        </w:rPr>
        <w:t>on the OCA’s claims</w:t>
      </w:r>
      <w:r w:rsidR="001249E6">
        <w:rPr>
          <w:rFonts w:ascii="Times New Roman" w:eastAsia="Times New Roman" w:hAnsi="Times New Roman" w:cs="Times New Roman"/>
          <w:sz w:val="26"/>
          <w:szCs w:val="26"/>
        </w:rPr>
        <w:t xml:space="preserve"> regarding PGW’s partial payment allocation practices</w:t>
      </w:r>
      <w:r w:rsidR="00BD0E82">
        <w:rPr>
          <w:rFonts w:ascii="Times New Roman" w:eastAsia="Times New Roman" w:hAnsi="Times New Roman" w:cs="Times New Roman"/>
          <w:sz w:val="26"/>
          <w:szCs w:val="26"/>
        </w:rPr>
        <w:t xml:space="preserve">, </w:t>
      </w:r>
      <w:r w:rsidR="00797FFA">
        <w:rPr>
          <w:rFonts w:ascii="Times New Roman" w:eastAsia="Times New Roman" w:hAnsi="Times New Roman" w:cs="Times New Roman"/>
          <w:sz w:val="26"/>
          <w:szCs w:val="26"/>
        </w:rPr>
        <w:t xml:space="preserve">and such testimony has </w:t>
      </w:r>
      <w:r w:rsidR="001249E6">
        <w:rPr>
          <w:rFonts w:ascii="Times New Roman" w:eastAsia="Times New Roman" w:hAnsi="Times New Roman" w:cs="Times New Roman"/>
          <w:sz w:val="26"/>
          <w:szCs w:val="26"/>
        </w:rPr>
        <w:t>been</w:t>
      </w:r>
      <w:r w:rsidR="005C141A">
        <w:rPr>
          <w:rFonts w:ascii="Times New Roman" w:eastAsia="Times New Roman" w:hAnsi="Times New Roman" w:cs="Times New Roman"/>
          <w:sz w:val="26"/>
          <w:szCs w:val="26"/>
        </w:rPr>
        <w:t xml:space="preserve"> admitted into the record</w:t>
      </w:r>
      <w:r w:rsidR="00BD0E82">
        <w:rPr>
          <w:rFonts w:ascii="Times New Roman" w:eastAsia="Times New Roman" w:hAnsi="Times New Roman" w:cs="Times New Roman"/>
          <w:sz w:val="26"/>
          <w:szCs w:val="26"/>
        </w:rPr>
        <w:t>,</w:t>
      </w:r>
      <w:r w:rsidR="00853338">
        <w:rPr>
          <w:rFonts w:ascii="Times New Roman" w:eastAsia="Times New Roman" w:hAnsi="Times New Roman" w:cs="Times New Roman"/>
          <w:sz w:val="26"/>
          <w:szCs w:val="26"/>
        </w:rPr>
        <w:t xml:space="preserve"> </w:t>
      </w:r>
      <w:r w:rsidR="00BD0E82">
        <w:rPr>
          <w:rFonts w:ascii="Times New Roman" w:eastAsia="Times New Roman" w:hAnsi="Times New Roman" w:cs="Times New Roman"/>
          <w:sz w:val="26"/>
          <w:szCs w:val="26"/>
        </w:rPr>
        <w:t>subject to no</w:t>
      </w:r>
      <w:r w:rsidR="00853338">
        <w:rPr>
          <w:rFonts w:ascii="Times New Roman" w:eastAsia="Times New Roman" w:hAnsi="Times New Roman" w:cs="Times New Roman"/>
          <w:sz w:val="26"/>
          <w:szCs w:val="26"/>
        </w:rPr>
        <w:t xml:space="preserve"> cross examination</w:t>
      </w:r>
      <w:r w:rsidR="00BD0E82">
        <w:rPr>
          <w:rFonts w:ascii="Times New Roman" w:eastAsia="Times New Roman" w:hAnsi="Times New Roman" w:cs="Times New Roman"/>
          <w:sz w:val="26"/>
          <w:szCs w:val="26"/>
        </w:rPr>
        <w:t xml:space="preserve"> because the Parties’ waived their right to cross examine witnesses.  Additionally, </w:t>
      </w:r>
      <w:r w:rsidR="00853338">
        <w:rPr>
          <w:rFonts w:ascii="Times New Roman" w:eastAsia="Times New Roman" w:hAnsi="Times New Roman" w:cs="Times New Roman"/>
          <w:sz w:val="26"/>
          <w:szCs w:val="26"/>
        </w:rPr>
        <w:t>the legal positions</w:t>
      </w:r>
      <w:r w:rsidR="00BD0E82">
        <w:rPr>
          <w:rFonts w:ascii="Times New Roman" w:eastAsia="Times New Roman" w:hAnsi="Times New Roman" w:cs="Times New Roman"/>
          <w:sz w:val="26"/>
          <w:szCs w:val="26"/>
        </w:rPr>
        <w:t xml:space="preserve"> of the Parties’ on the OCA’s claims</w:t>
      </w:r>
      <w:r w:rsidR="00853338">
        <w:rPr>
          <w:rFonts w:ascii="Times New Roman" w:eastAsia="Times New Roman" w:hAnsi="Times New Roman" w:cs="Times New Roman"/>
          <w:sz w:val="26"/>
          <w:szCs w:val="26"/>
        </w:rPr>
        <w:t xml:space="preserve"> have been addressed</w:t>
      </w:r>
      <w:r w:rsidR="00BD0E82">
        <w:rPr>
          <w:rFonts w:ascii="Times New Roman" w:eastAsia="Times New Roman" w:hAnsi="Times New Roman" w:cs="Times New Roman"/>
          <w:sz w:val="26"/>
          <w:szCs w:val="26"/>
        </w:rPr>
        <w:t xml:space="preserve"> extensively</w:t>
      </w:r>
      <w:r w:rsidR="00853338">
        <w:rPr>
          <w:rFonts w:ascii="Times New Roman" w:eastAsia="Times New Roman" w:hAnsi="Times New Roman" w:cs="Times New Roman"/>
          <w:sz w:val="26"/>
          <w:szCs w:val="26"/>
        </w:rPr>
        <w:t xml:space="preserve"> in the Parties’</w:t>
      </w:r>
      <w:r w:rsidR="005C141A">
        <w:rPr>
          <w:rFonts w:ascii="Times New Roman" w:eastAsia="Times New Roman" w:hAnsi="Times New Roman" w:cs="Times New Roman"/>
          <w:sz w:val="26"/>
          <w:szCs w:val="26"/>
        </w:rPr>
        <w:t xml:space="preserve"> </w:t>
      </w:r>
      <w:r w:rsidR="001225A2">
        <w:rPr>
          <w:rFonts w:ascii="Times New Roman" w:eastAsia="Times New Roman" w:hAnsi="Times New Roman" w:cs="Times New Roman"/>
          <w:sz w:val="26"/>
          <w:szCs w:val="26"/>
        </w:rPr>
        <w:t>Main Briefs and Reply Briefs, Exceptions and Replies to Exception</w:t>
      </w:r>
      <w:r w:rsidR="005C141A">
        <w:rPr>
          <w:rFonts w:ascii="Times New Roman" w:eastAsia="Times New Roman" w:hAnsi="Times New Roman" w:cs="Times New Roman"/>
          <w:sz w:val="26"/>
          <w:szCs w:val="26"/>
        </w:rPr>
        <w:t>s.</w:t>
      </w:r>
      <w:r w:rsidR="001225A2">
        <w:rPr>
          <w:rFonts w:ascii="Times New Roman" w:eastAsia="Times New Roman" w:hAnsi="Times New Roman" w:cs="Times New Roman"/>
          <w:sz w:val="26"/>
          <w:szCs w:val="26"/>
        </w:rPr>
        <w:t xml:space="preserve"> </w:t>
      </w:r>
      <w:r w:rsidR="00D5782D">
        <w:rPr>
          <w:rFonts w:ascii="Times New Roman" w:eastAsia="Times New Roman" w:hAnsi="Times New Roman" w:cs="Times New Roman"/>
          <w:sz w:val="26"/>
          <w:szCs w:val="26"/>
        </w:rPr>
        <w:t xml:space="preserve"> </w:t>
      </w:r>
      <w:r w:rsidR="00205442">
        <w:rPr>
          <w:rFonts w:ascii="Times New Roman" w:eastAsia="Times New Roman" w:hAnsi="Times New Roman" w:cs="Times New Roman"/>
          <w:sz w:val="26"/>
          <w:szCs w:val="26"/>
        </w:rPr>
        <w:t>We agree with the OCA that it would not promote judicial efficiency t</w:t>
      </w:r>
      <w:r w:rsidR="00D5782D" w:rsidRPr="00E95541">
        <w:rPr>
          <w:rFonts w:ascii="Times New Roman" w:hAnsi="Times New Roman" w:cs="Times New Roman"/>
          <w:sz w:val="26"/>
          <w:szCs w:val="26"/>
        </w:rPr>
        <w:t>o require the OCA to file another complaint raising the same claims against PGW related to PGW’s partial payment allocation</w:t>
      </w:r>
      <w:r w:rsidR="001249E6">
        <w:rPr>
          <w:rFonts w:ascii="Times New Roman" w:hAnsi="Times New Roman" w:cs="Times New Roman"/>
          <w:sz w:val="26"/>
          <w:szCs w:val="26"/>
        </w:rPr>
        <w:t xml:space="preserve"> practices</w:t>
      </w:r>
      <w:r w:rsidR="00D5782D" w:rsidRPr="00E95541">
        <w:rPr>
          <w:rFonts w:ascii="Times New Roman" w:hAnsi="Times New Roman" w:cs="Times New Roman"/>
          <w:sz w:val="26"/>
          <w:szCs w:val="26"/>
        </w:rPr>
        <w:t xml:space="preserve">, </w:t>
      </w:r>
      <w:r w:rsidR="008B1A7E">
        <w:rPr>
          <w:rFonts w:ascii="Times New Roman" w:hAnsi="Times New Roman" w:cs="Times New Roman"/>
          <w:sz w:val="26"/>
          <w:szCs w:val="26"/>
        </w:rPr>
        <w:t xml:space="preserve">and </w:t>
      </w:r>
      <w:r w:rsidR="00853338">
        <w:rPr>
          <w:rFonts w:ascii="Times New Roman" w:hAnsi="Times New Roman" w:cs="Times New Roman"/>
          <w:sz w:val="26"/>
          <w:szCs w:val="26"/>
        </w:rPr>
        <w:t xml:space="preserve">to require the Parties to </w:t>
      </w:r>
      <w:r w:rsidR="00D5782D" w:rsidRPr="00E95541">
        <w:rPr>
          <w:rFonts w:ascii="Times New Roman" w:hAnsi="Times New Roman" w:cs="Times New Roman"/>
          <w:sz w:val="26"/>
          <w:szCs w:val="26"/>
        </w:rPr>
        <w:t xml:space="preserve">present </w:t>
      </w:r>
      <w:r w:rsidR="00853338">
        <w:rPr>
          <w:rFonts w:ascii="Times New Roman" w:hAnsi="Times New Roman" w:cs="Times New Roman"/>
          <w:sz w:val="26"/>
          <w:szCs w:val="26"/>
        </w:rPr>
        <w:t>their</w:t>
      </w:r>
      <w:r w:rsidR="00D5782D" w:rsidRPr="00E95541">
        <w:rPr>
          <w:rFonts w:ascii="Times New Roman" w:hAnsi="Times New Roman" w:cs="Times New Roman"/>
          <w:sz w:val="26"/>
          <w:szCs w:val="26"/>
        </w:rPr>
        <w:t xml:space="preserve"> evidence again</w:t>
      </w:r>
      <w:r w:rsidR="008B1A7E">
        <w:rPr>
          <w:rFonts w:ascii="Times New Roman" w:hAnsi="Times New Roman" w:cs="Times New Roman"/>
          <w:sz w:val="26"/>
          <w:szCs w:val="26"/>
        </w:rPr>
        <w:t xml:space="preserve"> and </w:t>
      </w:r>
      <w:r w:rsidR="00853338">
        <w:rPr>
          <w:rFonts w:ascii="Times New Roman" w:hAnsi="Times New Roman" w:cs="Times New Roman"/>
          <w:sz w:val="26"/>
          <w:szCs w:val="26"/>
        </w:rPr>
        <w:t>start anew on arguing the merits of the OCA’s</w:t>
      </w:r>
      <w:r w:rsidR="00D5782D" w:rsidRPr="00E95541">
        <w:rPr>
          <w:rFonts w:ascii="Times New Roman" w:hAnsi="Times New Roman" w:cs="Times New Roman"/>
          <w:sz w:val="26"/>
          <w:szCs w:val="26"/>
        </w:rPr>
        <w:t xml:space="preserve"> </w:t>
      </w:r>
      <w:r w:rsidR="00205442">
        <w:rPr>
          <w:rFonts w:ascii="Times New Roman" w:hAnsi="Times New Roman" w:cs="Times New Roman"/>
          <w:sz w:val="26"/>
          <w:szCs w:val="26"/>
        </w:rPr>
        <w:t>claims.</w:t>
      </w:r>
      <w:r w:rsidR="00D5782D" w:rsidRPr="00E95541">
        <w:rPr>
          <w:rFonts w:ascii="Times New Roman" w:hAnsi="Times New Roman" w:cs="Times New Roman"/>
          <w:sz w:val="26"/>
          <w:szCs w:val="26"/>
        </w:rPr>
        <w:t xml:space="preserve"> </w:t>
      </w:r>
      <w:r w:rsidR="00584186">
        <w:rPr>
          <w:rFonts w:ascii="Times New Roman" w:hAnsi="Times New Roman" w:cs="Times New Roman"/>
          <w:sz w:val="26"/>
          <w:szCs w:val="26"/>
        </w:rPr>
        <w:t xml:space="preserve"> </w:t>
      </w:r>
      <w:r w:rsidR="001225A2">
        <w:rPr>
          <w:rFonts w:ascii="Times New Roman" w:eastAsia="Times New Roman" w:hAnsi="Times New Roman" w:cs="Times New Roman"/>
          <w:sz w:val="26"/>
          <w:szCs w:val="26"/>
        </w:rPr>
        <w:t>Accordingly,</w:t>
      </w:r>
      <w:r w:rsidR="00994D4B">
        <w:rPr>
          <w:rFonts w:ascii="Times New Roman" w:eastAsia="Times New Roman" w:hAnsi="Times New Roman" w:cs="Times New Roman"/>
          <w:sz w:val="26"/>
          <w:szCs w:val="26"/>
        </w:rPr>
        <w:t xml:space="preserve"> we find that</w:t>
      </w:r>
      <w:r w:rsidR="001225A2">
        <w:rPr>
          <w:rFonts w:ascii="Times New Roman" w:eastAsia="Times New Roman" w:hAnsi="Times New Roman" w:cs="Times New Roman"/>
          <w:sz w:val="26"/>
          <w:szCs w:val="26"/>
        </w:rPr>
        <w:t xml:space="preserve"> </w:t>
      </w:r>
      <w:r w:rsidR="001225A2" w:rsidRPr="00E95541">
        <w:rPr>
          <w:rFonts w:ascii="Times New Roman" w:eastAsia="Times New Roman" w:hAnsi="Times New Roman" w:cs="Times New Roman"/>
          <w:sz w:val="26"/>
          <w:szCs w:val="26"/>
        </w:rPr>
        <w:t>a sep</w:t>
      </w:r>
      <w:r w:rsidR="001225A2">
        <w:rPr>
          <w:rFonts w:ascii="Times New Roman" w:eastAsia="Times New Roman" w:hAnsi="Times New Roman" w:cs="Times New Roman"/>
          <w:sz w:val="26"/>
          <w:szCs w:val="26"/>
        </w:rPr>
        <w:t xml:space="preserve">arate on-the-record proceeding </w:t>
      </w:r>
      <w:r w:rsidR="001225A2" w:rsidRPr="00E95541">
        <w:rPr>
          <w:rFonts w:ascii="Times New Roman" w:eastAsia="Times New Roman" w:hAnsi="Times New Roman" w:cs="Times New Roman"/>
          <w:sz w:val="26"/>
          <w:szCs w:val="26"/>
        </w:rPr>
        <w:t>is not required</w:t>
      </w:r>
      <w:r w:rsidR="008B1A7E">
        <w:rPr>
          <w:rFonts w:ascii="Times New Roman" w:eastAsia="Times New Roman" w:hAnsi="Times New Roman" w:cs="Times New Roman"/>
          <w:sz w:val="26"/>
          <w:szCs w:val="26"/>
        </w:rPr>
        <w:t xml:space="preserve"> to address the OCA’s claims</w:t>
      </w:r>
      <w:r w:rsidR="001A5B70">
        <w:rPr>
          <w:rFonts w:ascii="Times New Roman" w:eastAsia="Times New Roman" w:hAnsi="Times New Roman" w:cs="Times New Roman"/>
          <w:sz w:val="26"/>
          <w:szCs w:val="26"/>
        </w:rPr>
        <w:t>.</w:t>
      </w:r>
    </w:p>
    <w:p w:rsidR="00584186" w:rsidRDefault="00584186" w:rsidP="00584186">
      <w:pPr>
        <w:spacing w:after="0" w:line="360" w:lineRule="auto"/>
        <w:ind w:firstLine="1440"/>
        <w:rPr>
          <w:rFonts w:ascii="Times New Roman" w:eastAsia="Times New Roman" w:hAnsi="Times New Roman" w:cs="Times New Roman"/>
          <w:sz w:val="26"/>
          <w:szCs w:val="26"/>
        </w:rPr>
      </w:pPr>
    </w:p>
    <w:p w:rsidR="00487206" w:rsidRDefault="00584186" w:rsidP="00584186">
      <w:pPr>
        <w:spacing w:after="0" w:line="360" w:lineRule="auto"/>
        <w:ind w:firstLine="1440"/>
        <w:rPr>
          <w:rFonts w:ascii="Times New Roman" w:hAnsi="Times New Roman" w:cs="Times New Roman"/>
          <w:sz w:val="26"/>
          <w:szCs w:val="26"/>
        </w:rPr>
      </w:pPr>
      <w:r>
        <w:rPr>
          <w:rFonts w:ascii="Times New Roman" w:eastAsia="Times New Roman" w:hAnsi="Times New Roman" w:cs="Times New Roman"/>
          <w:sz w:val="26"/>
          <w:szCs w:val="26"/>
        </w:rPr>
        <w:t>Based on the foregoing, w</w:t>
      </w:r>
      <w:r w:rsidR="00487206">
        <w:rPr>
          <w:rFonts w:ascii="Times New Roman" w:hAnsi="Times New Roman" w:cs="Times New Roman"/>
          <w:sz w:val="26"/>
          <w:szCs w:val="26"/>
        </w:rPr>
        <w:t xml:space="preserve">e deem the OCA’s claims </w:t>
      </w:r>
      <w:r w:rsidR="00487206" w:rsidRPr="00E95541">
        <w:rPr>
          <w:rFonts w:ascii="Times New Roman" w:hAnsi="Times New Roman" w:cs="Times New Roman"/>
          <w:sz w:val="26"/>
          <w:szCs w:val="26"/>
        </w:rPr>
        <w:t>regarding PGW’s partial payment allocation practices</w:t>
      </w:r>
      <w:r w:rsidR="00487206">
        <w:rPr>
          <w:rFonts w:ascii="Times New Roman" w:hAnsi="Times New Roman" w:cs="Times New Roman"/>
          <w:sz w:val="26"/>
          <w:szCs w:val="26"/>
        </w:rPr>
        <w:t>, including the relevant portions of the</w:t>
      </w:r>
      <w:r w:rsidR="00370AB8">
        <w:rPr>
          <w:rFonts w:ascii="Times New Roman" w:hAnsi="Times New Roman" w:cs="Times New Roman"/>
          <w:sz w:val="26"/>
          <w:szCs w:val="26"/>
        </w:rPr>
        <w:t xml:space="preserve"> existing</w:t>
      </w:r>
      <w:r w:rsidR="00487206">
        <w:rPr>
          <w:rFonts w:ascii="Times New Roman" w:hAnsi="Times New Roman" w:cs="Times New Roman"/>
          <w:sz w:val="26"/>
          <w:szCs w:val="26"/>
        </w:rPr>
        <w:t xml:space="preserve"> record, the ALJ’s Initial Decision, the Parties’ filed Briefs, Reply Briefs, Exceptions and Replies Exceptions related thereto, </w:t>
      </w:r>
      <w:r w:rsidR="00487206" w:rsidRPr="00E95541">
        <w:rPr>
          <w:rFonts w:ascii="Times New Roman" w:hAnsi="Times New Roman" w:cs="Times New Roman"/>
          <w:sz w:val="26"/>
          <w:szCs w:val="26"/>
        </w:rPr>
        <w:t xml:space="preserve">as having been bifurcated from our final determination in the </w:t>
      </w:r>
      <w:r w:rsidR="00487206" w:rsidRPr="00E95541">
        <w:rPr>
          <w:rFonts w:ascii="Times New Roman" w:hAnsi="Times New Roman" w:cs="Times New Roman"/>
          <w:i/>
          <w:sz w:val="26"/>
          <w:szCs w:val="26"/>
        </w:rPr>
        <w:t>November 8 Order</w:t>
      </w:r>
      <w:r w:rsidR="00487206" w:rsidRPr="00E95541">
        <w:rPr>
          <w:rFonts w:ascii="Times New Roman" w:hAnsi="Times New Roman" w:cs="Times New Roman"/>
          <w:sz w:val="26"/>
          <w:szCs w:val="26"/>
        </w:rPr>
        <w:t xml:space="preserve"> and held in abeyanc</w:t>
      </w:r>
      <w:r w:rsidR="00487206">
        <w:rPr>
          <w:rFonts w:ascii="Times New Roman" w:hAnsi="Times New Roman" w:cs="Times New Roman"/>
          <w:sz w:val="26"/>
          <w:szCs w:val="26"/>
        </w:rPr>
        <w:t>e f</w:t>
      </w:r>
      <w:r w:rsidR="001A5B70">
        <w:rPr>
          <w:rFonts w:ascii="Times New Roman" w:hAnsi="Times New Roman" w:cs="Times New Roman"/>
          <w:sz w:val="26"/>
          <w:szCs w:val="26"/>
        </w:rPr>
        <w:t xml:space="preserve">or </w:t>
      </w:r>
      <w:r>
        <w:rPr>
          <w:rFonts w:ascii="Times New Roman" w:hAnsi="Times New Roman" w:cs="Times New Roman"/>
          <w:sz w:val="26"/>
          <w:szCs w:val="26"/>
        </w:rPr>
        <w:t xml:space="preserve">a </w:t>
      </w:r>
      <w:r w:rsidR="000F7B55">
        <w:rPr>
          <w:rFonts w:ascii="Times New Roman" w:hAnsi="Times New Roman" w:cs="Times New Roman"/>
          <w:sz w:val="26"/>
          <w:szCs w:val="26"/>
        </w:rPr>
        <w:t xml:space="preserve">final </w:t>
      </w:r>
      <w:r>
        <w:rPr>
          <w:rFonts w:ascii="Times New Roman" w:hAnsi="Times New Roman" w:cs="Times New Roman"/>
          <w:sz w:val="26"/>
          <w:szCs w:val="26"/>
        </w:rPr>
        <w:t>decision on the m</w:t>
      </w:r>
      <w:r w:rsidR="000F7B55">
        <w:rPr>
          <w:rFonts w:ascii="Times New Roman" w:hAnsi="Times New Roman" w:cs="Times New Roman"/>
          <w:sz w:val="26"/>
          <w:szCs w:val="26"/>
        </w:rPr>
        <w:t>erits</w:t>
      </w:r>
      <w:r w:rsidR="00994D4B">
        <w:rPr>
          <w:rFonts w:ascii="Times New Roman" w:hAnsi="Times New Roman" w:cs="Times New Roman"/>
          <w:sz w:val="26"/>
          <w:szCs w:val="26"/>
        </w:rPr>
        <w:t>, as contained in this comprehensive Opinion and Order</w:t>
      </w:r>
      <w:r w:rsidR="00205442">
        <w:rPr>
          <w:rFonts w:ascii="Times New Roman" w:hAnsi="Times New Roman" w:cs="Times New Roman"/>
          <w:sz w:val="26"/>
          <w:szCs w:val="26"/>
        </w:rPr>
        <w:t>.</w:t>
      </w:r>
      <w:r>
        <w:rPr>
          <w:rStyle w:val="FootnoteReference"/>
          <w:rFonts w:ascii="Times New Roman" w:hAnsi="Times New Roman" w:cs="Times New Roman"/>
          <w:sz w:val="26"/>
          <w:szCs w:val="26"/>
        </w:rPr>
        <w:footnoteReference w:id="5"/>
      </w:r>
    </w:p>
    <w:p w:rsidR="000F7B55" w:rsidRPr="00584186" w:rsidRDefault="000F7B55" w:rsidP="00584186">
      <w:pPr>
        <w:spacing w:after="0" w:line="360" w:lineRule="auto"/>
        <w:ind w:firstLine="1440"/>
        <w:rPr>
          <w:rFonts w:ascii="Times New Roman" w:hAnsi="Times New Roman" w:cs="Times New Roman"/>
          <w:sz w:val="26"/>
          <w:szCs w:val="26"/>
        </w:rPr>
      </w:pPr>
    </w:p>
    <w:p w:rsidR="00D14F00" w:rsidRPr="00F42C8B" w:rsidRDefault="00522CF7" w:rsidP="00F42C8B">
      <w:pPr>
        <w:spacing w:after="0" w:line="360" w:lineRule="auto"/>
        <w:ind w:firstLine="1440"/>
        <w:rPr>
          <w:rFonts w:ascii="Times New Roman" w:eastAsiaTheme="majorEastAsia" w:hAnsi="Times New Roman" w:cs="Times New Roman"/>
          <w:sz w:val="26"/>
          <w:szCs w:val="26"/>
        </w:rPr>
      </w:pPr>
      <w:r>
        <w:rPr>
          <w:rFonts w:ascii="Times New Roman" w:eastAsia="Times New Roman" w:hAnsi="Times New Roman" w:cs="Times New Roman"/>
          <w:sz w:val="26"/>
          <w:szCs w:val="26"/>
        </w:rPr>
        <w:t>As for the OCA’s</w:t>
      </w:r>
      <w:r w:rsidR="00994D4B">
        <w:rPr>
          <w:rFonts w:ascii="Times New Roman" w:eastAsia="Times New Roman" w:hAnsi="Times New Roman" w:cs="Times New Roman"/>
          <w:sz w:val="26"/>
          <w:szCs w:val="26"/>
        </w:rPr>
        <w:t xml:space="preserve"> and PGW’s</w:t>
      </w:r>
      <w:r>
        <w:rPr>
          <w:rFonts w:ascii="Times New Roman" w:eastAsia="Times New Roman" w:hAnsi="Times New Roman" w:cs="Times New Roman"/>
          <w:sz w:val="26"/>
          <w:szCs w:val="26"/>
        </w:rPr>
        <w:t xml:space="preserve"> due process concerns, </w:t>
      </w:r>
      <w:bookmarkStart w:id="3" w:name="_Hlk502137884"/>
      <w:r w:rsidR="00623D08">
        <w:rPr>
          <w:rFonts w:ascii="Times New Roman" w:hAnsi="Times New Roman" w:cs="Times New Roman"/>
          <w:sz w:val="26"/>
          <w:szCs w:val="26"/>
        </w:rPr>
        <w:t xml:space="preserve">our decision herein </w:t>
      </w:r>
      <w:r w:rsidR="002F29DD">
        <w:rPr>
          <w:rFonts w:ascii="Times New Roman" w:hAnsi="Times New Roman" w:cs="Times New Roman"/>
          <w:sz w:val="26"/>
          <w:szCs w:val="26"/>
        </w:rPr>
        <w:t xml:space="preserve">to </w:t>
      </w:r>
      <w:r w:rsidR="00C65F9E">
        <w:rPr>
          <w:rFonts w:ascii="Times New Roman" w:hAnsi="Times New Roman" w:cs="Times New Roman"/>
          <w:sz w:val="26"/>
          <w:szCs w:val="26"/>
        </w:rPr>
        <w:t xml:space="preserve">deem the OCA’s claims as bifurcated </w:t>
      </w:r>
      <w:r w:rsidR="00D55195">
        <w:rPr>
          <w:rFonts w:ascii="Times New Roman" w:hAnsi="Times New Roman" w:cs="Times New Roman"/>
          <w:sz w:val="26"/>
          <w:szCs w:val="26"/>
        </w:rPr>
        <w:t xml:space="preserve">and held in abeyance </w:t>
      </w:r>
      <w:r w:rsidR="0032596C">
        <w:rPr>
          <w:rFonts w:ascii="Times New Roman" w:hAnsi="Times New Roman" w:cs="Times New Roman"/>
          <w:sz w:val="26"/>
          <w:szCs w:val="26"/>
        </w:rPr>
        <w:t>reflects an</w:t>
      </w:r>
      <w:r w:rsidR="00314909">
        <w:rPr>
          <w:rFonts w:ascii="Times New Roman" w:hAnsi="Times New Roman" w:cs="Times New Roman"/>
          <w:sz w:val="26"/>
          <w:szCs w:val="26"/>
        </w:rPr>
        <w:t xml:space="preserve"> exercise of </w:t>
      </w:r>
      <w:r w:rsidR="0032596C">
        <w:rPr>
          <w:rFonts w:ascii="Times New Roman" w:hAnsi="Times New Roman" w:cs="Times New Roman"/>
          <w:sz w:val="26"/>
          <w:szCs w:val="26"/>
        </w:rPr>
        <w:t>the Commission’s</w:t>
      </w:r>
      <w:r w:rsidR="00623D08">
        <w:rPr>
          <w:rFonts w:ascii="Times New Roman" w:hAnsi="Times New Roman" w:cs="Times New Roman"/>
          <w:sz w:val="26"/>
          <w:szCs w:val="26"/>
        </w:rPr>
        <w:t xml:space="preserve"> </w:t>
      </w:r>
      <w:r w:rsidR="009F06F5">
        <w:rPr>
          <w:rFonts w:ascii="Times New Roman" w:hAnsi="Times New Roman" w:cs="Times New Roman"/>
          <w:sz w:val="26"/>
          <w:szCs w:val="26"/>
        </w:rPr>
        <w:t>discretion</w:t>
      </w:r>
      <w:r w:rsidR="00623D08">
        <w:rPr>
          <w:rFonts w:ascii="Times New Roman" w:hAnsi="Times New Roman" w:cs="Times New Roman"/>
          <w:sz w:val="26"/>
          <w:szCs w:val="26"/>
        </w:rPr>
        <w:t xml:space="preserve"> to take additional time with the record </w:t>
      </w:r>
      <w:r w:rsidR="00120439">
        <w:rPr>
          <w:rFonts w:ascii="Times New Roman" w:hAnsi="Times New Roman" w:cs="Times New Roman"/>
          <w:sz w:val="26"/>
          <w:szCs w:val="26"/>
        </w:rPr>
        <w:t xml:space="preserve">developed thus far to enable </w:t>
      </w:r>
      <w:r w:rsidR="00474566">
        <w:rPr>
          <w:rFonts w:ascii="Times New Roman" w:hAnsi="Times New Roman" w:cs="Times New Roman"/>
          <w:sz w:val="26"/>
          <w:szCs w:val="26"/>
        </w:rPr>
        <w:t>to reach</w:t>
      </w:r>
      <w:r w:rsidR="00120439">
        <w:rPr>
          <w:rFonts w:ascii="Times New Roman" w:hAnsi="Times New Roman" w:cs="Times New Roman"/>
          <w:sz w:val="26"/>
          <w:szCs w:val="26"/>
        </w:rPr>
        <w:t xml:space="preserve"> </w:t>
      </w:r>
      <w:r w:rsidR="00623D08">
        <w:rPr>
          <w:rFonts w:ascii="Times New Roman" w:hAnsi="Times New Roman" w:cs="Times New Roman"/>
          <w:sz w:val="26"/>
          <w:szCs w:val="26"/>
        </w:rPr>
        <w:t>a thoroug</w:t>
      </w:r>
      <w:r w:rsidR="00A42AC8">
        <w:rPr>
          <w:rFonts w:ascii="Times New Roman" w:hAnsi="Times New Roman" w:cs="Times New Roman"/>
          <w:sz w:val="26"/>
          <w:szCs w:val="26"/>
        </w:rPr>
        <w:t>h and well-reasoned decision.</w:t>
      </w:r>
      <w:r w:rsidR="00F0291B">
        <w:rPr>
          <w:rStyle w:val="FootnoteReference"/>
          <w:rFonts w:ascii="Times New Roman" w:hAnsi="Times New Roman" w:cs="Times New Roman"/>
          <w:sz w:val="26"/>
          <w:szCs w:val="26"/>
        </w:rPr>
        <w:footnoteReference w:id="6"/>
      </w:r>
      <w:r w:rsidR="00F42C8B">
        <w:rPr>
          <w:rFonts w:ascii="Times New Roman" w:hAnsi="Times New Roman" w:cs="Times New Roman"/>
          <w:sz w:val="26"/>
          <w:szCs w:val="26"/>
        </w:rPr>
        <w:t xml:space="preserve">  </w:t>
      </w:r>
      <w:bookmarkEnd w:id="3"/>
      <w:r>
        <w:rPr>
          <w:rFonts w:ascii="Times New Roman" w:eastAsiaTheme="majorEastAsia" w:hAnsi="Times New Roman" w:cs="Times New Roman"/>
          <w:sz w:val="26"/>
          <w:szCs w:val="26"/>
        </w:rPr>
        <w:t>A</w:t>
      </w:r>
      <w:r w:rsidR="009F06F5">
        <w:rPr>
          <w:rFonts w:ascii="Times New Roman" w:eastAsiaTheme="majorEastAsia" w:hAnsi="Times New Roman" w:cs="Times New Roman"/>
          <w:sz w:val="26"/>
          <w:szCs w:val="26"/>
        </w:rPr>
        <w:t>s</w:t>
      </w:r>
      <w:r w:rsidR="0073621F">
        <w:rPr>
          <w:rFonts w:ascii="Times New Roman" w:eastAsia="Times New Roman" w:hAnsi="Times New Roman" w:cs="Times New Roman"/>
          <w:sz w:val="26"/>
          <w:szCs w:val="26"/>
        </w:rPr>
        <w:t xml:space="preserve"> noted above, w</w:t>
      </w:r>
      <w:r w:rsidR="0073621F" w:rsidRPr="00D4459F">
        <w:rPr>
          <w:rFonts w:ascii="Times New Roman" w:eastAsia="Times New Roman" w:hAnsi="Times New Roman" w:cs="Times New Roman"/>
          <w:sz w:val="26"/>
          <w:szCs w:val="26"/>
        </w:rPr>
        <w:t xml:space="preserve">e find that the record is developed sufficiently to support the Commission’s findings and conclusions </w:t>
      </w:r>
      <w:r w:rsidR="0073621F">
        <w:rPr>
          <w:rFonts w:ascii="Times New Roman" w:eastAsia="Times New Roman" w:hAnsi="Times New Roman" w:cs="Times New Roman"/>
          <w:sz w:val="26"/>
          <w:szCs w:val="26"/>
        </w:rPr>
        <w:t>on the</w:t>
      </w:r>
      <w:r w:rsidR="0073621F">
        <w:rPr>
          <w:rFonts w:ascii="Times New Roman" w:hAnsi="Times New Roman" w:cs="Times New Roman"/>
          <w:sz w:val="26"/>
          <w:szCs w:val="26"/>
        </w:rPr>
        <w:t xml:space="preserve"> question of</w:t>
      </w:r>
      <w:r w:rsidR="0073621F" w:rsidRPr="00E95541">
        <w:rPr>
          <w:rFonts w:ascii="Times New Roman" w:hAnsi="Times New Roman" w:cs="Times New Roman"/>
          <w:sz w:val="26"/>
          <w:szCs w:val="26"/>
        </w:rPr>
        <w:t xml:space="preserve"> whether PGW’s </w:t>
      </w:r>
      <w:r w:rsidR="0073621F">
        <w:rPr>
          <w:rFonts w:ascii="Times New Roman" w:hAnsi="Times New Roman" w:cs="Times New Roman"/>
          <w:sz w:val="26"/>
          <w:szCs w:val="26"/>
        </w:rPr>
        <w:t xml:space="preserve">partial payment allocation </w:t>
      </w:r>
      <w:r w:rsidR="0073621F" w:rsidRPr="00E95541">
        <w:rPr>
          <w:rFonts w:ascii="Times New Roman" w:hAnsi="Times New Roman" w:cs="Times New Roman"/>
          <w:sz w:val="26"/>
          <w:szCs w:val="26"/>
        </w:rPr>
        <w:t>practices are in violation of</w:t>
      </w:r>
      <w:r w:rsidR="0073621F">
        <w:rPr>
          <w:rFonts w:ascii="Times New Roman" w:hAnsi="Times New Roman" w:cs="Times New Roman"/>
          <w:sz w:val="26"/>
          <w:szCs w:val="26"/>
        </w:rPr>
        <w:t xml:space="preserve"> or inconsistent with</w:t>
      </w:r>
      <w:r w:rsidR="0073621F" w:rsidRPr="00E95541">
        <w:rPr>
          <w:rFonts w:ascii="Times New Roman" w:hAnsi="Times New Roman" w:cs="Times New Roman"/>
          <w:sz w:val="26"/>
          <w:szCs w:val="26"/>
        </w:rPr>
        <w:t xml:space="preserve"> 52 Pa. Code § 56.</w:t>
      </w:r>
      <w:r w:rsidR="0073621F">
        <w:rPr>
          <w:rFonts w:ascii="Times New Roman" w:hAnsi="Times New Roman" w:cs="Times New Roman"/>
          <w:sz w:val="26"/>
          <w:szCs w:val="26"/>
        </w:rPr>
        <w:t>24</w:t>
      </w:r>
      <w:r>
        <w:rPr>
          <w:rFonts w:ascii="Times New Roman" w:hAnsi="Times New Roman" w:cs="Times New Roman"/>
          <w:sz w:val="26"/>
          <w:szCs w:val="26"/>
        </w:rPr>
        <w:t xml:space="preserve"> and 52 Pa. Code § 56.22</w:t>
      </w:r>
      <w:r w:rsidR="0073621F" w:rsidRPr="00E95541">
        <w:rPr>
          <w:rFonts w:ascii="Times New Roman" w:hAnsi="Times New Roman" w:cs="Times New Roman"/>
          <w:sz w:val="26"/>
          <w:szCs w:val="26"/>
        </w:rPr>
        <w:t>,</w:t>
      </w:r>
      <w:r w:rsidR="0073621F">
        <w:rPr>
          <w:rFonts w:ascii="Times New Roman" w:hAnsi="Times New Roman" w:cs="Times New Roman"/>
          <w:sz w:val="26"/>
          <w:szCs w:val="26"/>
        </w:rPr>
        <w:t xml:space="preserve"> as alleged by the OCA.  </w:t>
      </w:r>
      <w:r w:rsidR="00DE6D84" w:rsidRPr="00D4459F">
        <w:rPr>
          <w:rFonts w:ascii="Times New Roman" w:eastAsia="Times New Roman" w:hAnsi="Times New Roman" w:cs="Times New Roman"/>
          <w:sz w:val="26"/>
          <w:szCs w:val="26"/>
        </w:rPr>
        <w:t>Those findings and conclusions a</w:t>
      </w:r>
      <w:r w:rsidR="00D14F00">
        <w:rPr>
          <w:rFonts w:ascii="Times New Roman" w:eastAsia="Times New Roman" w:hAnsi="Times New Roman" w:cs="Times New Roman"/>
          <w:sz w:val="26"/>
          <w:szCs w:val="26"/>
        </w:rPr>
        <w:t>re contained within this</w:t>
      </w:r>
      <w:r w:rsidR="00DE6D84" w:rsidRPr="00D4459F">
        <w:rPr>
          <w:rFonts w:ascii="Times New Roman" w:eastAsia="Times New Roman" w:hAnsi="Times New Roman" w:cs="Times New Roman"/>
          <w:sz w:val="26"/>
          <w:szCs w:val="26"/>
        </w:rPr>
        <w:t xml:space="preserve"> </w:t>
      </w:r>
      <w:r w:rsidR="00F42C8B">
        <w:rPr>
          <w:rFonts w:ascii="Times New Roman" w:eastAsia="Times New Roman" w:hAnsi="Times New Roman" w:cs="Times New Roman"/>
          <w:sz w:val="26"/>
          <w:szCs w:val="26"/>
        </w:rPr>
        <w:t xml:space="preserve">comprehensive </w:t>
      </w:r>
      <w:r w:rsidR="00DE6D84" w:rsidRPr="00D4459F">
        <w:rPr>
          <w:rFonts w:ascii="Times New Roman" w:eastAsia="Times New Roman" w:hAnsi="Times New Roman" w:cs="Times New Roman"/>
          <w:sz w:val="26"/>
          <w:szCs w:val="26"/>
        </w:rPr>
        <w:t>Opinion and Order</w:t>
      </w:r>
      <w:r w:rsidR="00A42AC8">
        <w:rPr>
          <w:rFonts w:ascii="Times New Roman" w:eastAsia="Times New Roman" w:hAnsi="Times New Roman" w:cs="Times New Roman"/>
          <w:sz w:val="26"/>
          <w:szCs w:val="26"/>
        </w:rPr>
        <w:t>, as discussed further below</w:t>
      </w:r>
      <w:r w:rsidR="00F42C8B">
        <w:rPr>
          <w:rFonts w:ascii="Times New Roman" w:eastAsia="Times New Roman" w:hAnsi="Times New Roman" w:cs="Times New Roman"/>
          <w:sz w:val="26"/>
          <w:szCs w:val="26"/>
        </w:rPr>
        <w:t xml:space="preserve"> in Section D</w:t>
      </w:r>
      <w:r w:rsidR="00A42AC8">
        <w:rPr>
          <w:rFonts w:ascii="Times New Roman" w:eastAsia="Times New Roman" w:hAnsi="Times New Roman" w:cs="Times New Roman"/>
          <w:sz w:val="26"/>
          <w:szCs w:val="26"/>
        </w:rPr>
        <w:t>.</w:t>
      </w:r>
      <w:r w:rsidR="00F42C8B">
        <w:rPr>
          <w:rFonts w:ascii="Times New Roman" w:eastAsiaTheme="majorEastAsia" w:hAnsi="Times New Roman" w:cs="Times New Roman"/>
          <w:sz w:val="26"/>
          <w:szCs w:val="26"/>
        </w:rPr>
        <w:t xml:space="preserve">  </w:t>
      </w:r>
      <w:r w:rsidR="00D14F00">
        <w:rPr>
          <w:rFonts w:ascii="Times New Roman" w:hAnsi="Times New Roman" w:cs="Times New Roman"/>
          <w:sz w:val="26"/>
          <w:szCs w:val="26"/>
        </w:rPr>
        <w:t xml:space="preserve">Based on the foregoing, </w:t>
      </w:r>
      <w:r w:rsidR="00D14F00" w:rsidRPr="00E95541">
        <w:rPr>
          <w:rFonts w:ascii="Times New Roman" w:hAnsi="Times New Roman" w:cs="Times New Roman"/>
          <w:sz w:val="26"/>
          <w:szCs w:val="26"/>
        </w:rPr>
        <w:t>there is no</w:t>
      </w:r>
      <w:r w:rsidR="00994D4B">
        <w:rPr>
          <w:rFonts w:ascii="Times New Roman" w:hAnsi="Times New Roman" w:cs="Times New Roman"/>
          <w:sz w:val="26"/>
          <w:szCs w:val="26"/>
        </w:rPr>
        <w:t xml:space="preserve"> indication that the Commission</w:t>
      </w:r>
      <w:r w:rsidR="00D14F00">
        <w:rPr>
          <w:rFonts w:ascii="Times New Roman" w:hAnsi="Times New Roman" w:cs="Times New Roman"/>
          <w:sz w:val="26"/>
          <w:szCs w:val="26"/>
        </w:rPr>
        <w:t xml:space="preserve"> will </w:t>
      </w:r>
      <w:r w:rsidR="009D79E4">
        <w:rPr>
          <w:rFonts w:ascii="Times New Roman" w:hAnsi="Times New Roman" w:cs="Times New Roman"/>
          <w:sz w:val="26"/>
          <w:szCs w:val="26"/>
        </w:rPr>
        <w:t>adjudicate the OCA’s claims</w:t>
      </w:r>
      <w:r w:rsidR="00D14F00">
        <w:rPr>
          <w:rFonts w:ascii="Times New Roman" w:hAnsi="Times New Roman" w:cs="Times New Roman"/>
          <w:sz w:val="26"/>
          <w:szCs w:val="26"/>
        </w:rPr>
        <w:t xml:space="preserve"> on anything less than a sufficiently developed record.</w:t>
      </w:r>
    </w:p>
    <w:p w:rsidR="00627720" w:rsidRPr="00E95541" w:rsidRDefault="00627720" w:rsidP="00475F23">
      <w:pPr>
        <w:spacing w:after="0" w:line="360" w:lineRule="auto"/>
        <w:ind w:firstLine="1440"/>
        <w:rPr>
          <w:rFonts w:ascii="Times New Roman" w:hAnsi="Times New Roman" w:cs="Times New Roman"/>
          <w:sz w:val="26"/>
          <w:szCs w:val="26"/>
        </w:rPr>
      </w:pPr>
    </w:p>
    <w:p w:rsidR="0020177F" w:rsidRDefault="000061D1" w:rsidP="00925D7B">
      <w:pPr>
        <w:pStyle w:val="ListParagraph"/>
        <w:keepNext/>
        <w:keepLines/>
        <w:numPr>
          <w:ilvl w:val="1"/>
          <w:numId w:val="2"/>
        </w:numPr>
        <w:spacing w:after="0" w:line="240" w:lineRule="auto"/>
        <w:ind w:left="720" w:hanging="720"/>
        <w:contextualSpacing w:val="0"/>
        <w:rPr>
          <w:rFonts w:ascii="Times New Roman" w:hAnsi="Times New Roman" w:cs="Times New Roman"/>
          <w:b/>
          <w:sz w:val="26"/>
          <w:szCs w:val="26"/>
        </w:rPr>
      </w:pPr>
      <w:r w:rsidRPr="00E95541">
        <w:rPr>
          <w:rFonts w:ascii="Times New Roman" w:hAnsi="Times New Roman" w:cs="Times New Roman"/>
          <w:b/>
          <w:sz w:val="26"/>
          <w:szCs w:val="26"/>
        </w:rPr>
        <w:t>Disposition of</w:t>
      </w:r>
      <w:r w:rsidR="00E76BB0" w:rsidRPr="00E95541">
        <w:rPr>
          <w:rFonts w:ascii="Times New Roman" w:hAnsi="Times New Roman" w:cs="Times New Roman"/>
          <w:b/>
          <w:sz w:val="26"/>
          <w:szCs w:val="26"/>
        </w:rPr>
        <w:t xml:space="preserve"> the OCA’s Claims Regarding</w:t>
      </w:r>
      <w:r w:rsidRPr="00E95541">
        <w:rPr>
          <w:rFonts w:ascii="Times New Roman" w:hAnsi="Times New Roman" w:cs="Times New Roman"/>
          <w:b/>
          <w:sz w:val="26"/>
          <w:szCs w:val="26"/>
        </w:rPr>
        <w:t xml:space="preserve"> PGW’s Partial Payment Allocation Practices</w:t>
      </w:r>
    </w:p>
    <w:p w:rsidR="00627720" w:rsidRDefault="00627720" w:rsidP="00925D7B">
      <w:pPr>
        <w:keepNext/>
        <w:keepLines/>
        <w:spacing w:after="0" w:line="360" w:lineRule="auto"/>
        <w:rPr>
          <w:rFonts w:ascii="Times New Roman" w:hAnsi="Times New Roman" w:cs="Times New Roman"/>
          <w:snapToGrid w:val="0"/>
          <w:sz w:val="26"/>
          <w:szCs w:val="26"/>
        </w:rPr>
      </w:pPr>
    </w:p>
    <w:p w:rsidR="005A5551" w:rsidRPr="00077A2C" w:rsidRDefault="005A5551" w:rsidP="00925D7B">
      <w:pPr>
        <w:autoSpaceDE w:val="0"/>
        <w:autoSpaceDN w:val="0"/>
        <w:adjustRightInd w:val="0"/>
        <w:spacing w:after="0" w:line="360" w:lineRule="auto"/>
        <w:ind w:firstLine="1440"/>
        <w:rPr>
          <w:rFonts w:ascii="Times New Roman" w:hAnsi="Times New Roman" w:cs="Times New Roman"/>
          <w:color w:val="000000"/>
          <w:sz w:val="26"/>
          <w:szCs w:val="26"/>
        </w:rPr>
      </w:pPr>
      <w:r w:rsidRPr="00077A2C">
        <w:rPr>
          <w:rFonts w:ascii="Times New Roman" w:hAnsi="Times New Roman" w:cs="Times New Roman"/>
          <w:color w:val="000000"/>
          <w:sz w:val="26"/>
          <w:szCs w:val="26"/>
        </w:rPr>
        <w:t xml:space="preserve">In the </w:t>
      </w:r>
      <w:r w:rsidRPr="00077A2C">
        <w:rPr>
          <w:rFonts w:ascii="Times New Roman" w:hAnsi="Times New Roman" w:cs="Times New Roman"/>
          <w:i/>
          <w:color w:val="000000"/>
          <w:sz w:val="26"/>
          <w:szCs w:val="26"/>
        </w:rPr>
        <w:t>November 8 Order</w:t>
      </w:r>
      <w:r w:rsidRPr="00077A2C">
        <w:rPr>
          <w:rFonts w:ascii="Times New Roman" w:hAnsi="Times New Roman" w:cs="Times New Roman"/>
          <w:color w:val="000000"/>
          <w:sz w:val="26"/>
          <w:szCs w:val="26"/>
        </w:rPr>
        <w:t>,</w:t>
      </w:r>
      <w:r w:rsidRPr="00077A2C">
        <w:rPr>
          <w:rFonts w:ascii="Times New Roman" w:hAnsi="Times New Roman" w:cs="Times New Roman"/>
          <w:i/>
          <w:color w:val="000000"/>
          <w:sz w:val="26"/>
          <w:szCs w:val="26"/>
        </w:rPr>
        <w:t xml:space="preserve"> </w:t>
      </w:r>
      <w:r w:rsidRPr="00077A2C">
        <w:rPr>
          <w:rFonts w:ascii="Times New Roman" w:hAnsi="Times New Roman" w:cs="Times New Roman"/>
          <w:color w:val="000000"/>
          <w:sz w:val="26"/>
          <w:szCs w:val="26"/>
        </w:rPr>
        <w:t>we provided an extensive summary of the various positions of the Parties on this issue, as expressed in the Briefs</w:t>
      </w:r>
      <w:r>
        <w:rPr>
          <w:rFonts w:ascii="Times New Roman" w:hAnsi="Times New Roman" w:cs="Times New Roman"/>
          <w:color w:val="000000"/>
          <w:sz w:val="26"/>
          <w:szCs w:val="26"/>
        </w:rPr>
        <w:t xml:space="preserve"> and Reply Briefs</w:t>
      </w:r>
      <w:r w:rsidRPr="00077A2C">
        <w:rPr>
          <w:rFonts w:ascii="Times New Roman" w:hAnsi="Times New Roman" w:cs="Times New Roman"/>
          <w:color w:val="000000"/>
          <w:sz w:val="26"/>
          <w:szCs w:val="26"/>
        </w:rPr>
        <w:t>, and we incorporate</w:t>
      </w:r>
      <w:r w:rsidRPr="00077A2C">
        <w:rPr>
          <w:rFonts w:ascii="Times New Roman" w:hAnsi="Times New Roman"/>
          <w:color w:val="000000"/>
          <w:sz w:val="26"/>
        </w:rPr>
        <w:t xml:space="preserve"> by </w:t>
      </w:r>
      <w:r w:rsidRPr="00077A2C">
        <w:rPr>
          <w:rFonts w:ascii="Times New Roman" w:hAnsi="Times New Roman" w:cs="Times New Roman"/>
          <w:color w:val="000000"/>
          <w:sz w:val="26"/>
          <w:szCs w:val="26"/>
        </w:rPr>
        <w:t>reference that discussion as if fully re-</w:t>
      </w:r>
      <w:r w:rsidRPr="00077A2C">
        <w:rPr>
          <w:rFonts w:ascii="Times New Roman" w:hAnsi="Times New Roman"/>
          <w:color w:val="000000"/>
          <w:sz w:val="26"/>
        </w:rPr>
        <w:t xml:space="preserve">stated </w:t>
      </w:r>
      <w:r w:rsidRPr="00077A2C">
        <w:rPr>
          <w:rFonts w:ascii="Times New Roman" w:hAnsi="Times New Roman" w:cs="Times New Roman"/>
          <w:color w:val="000000"/>
          <w:sz w:val="26"/>
          <w:szCs w:val="26"/>
        </w:rPr>
        <w:t>herein</w:t>
      </w:r>
      <w:r w:rsidRPr="00077A2C">
        <w:rPr>
          <w:rFonts w:ascii="Times New Roman" w:hAnsi="Times New Roman"/>
          <w:color w:val="000000"/>
          <w:sz w:val="26"/>
        </w:rPr>
        <w:t xml:space="preserve">. </w:t>
      </w:r>
      <w:r>
        <w:rPr>
          <w:rFonts w:ascii="Times New Roman" w:hAnsi="Times New Roman"/>
          <w:color w:val="000000"/>
          <w:sz w:val="26"/>
        </w:rPr>
        <w:t xml:space="preserve"> </w:t>
      </w:r>
      <w:r w:rsidRPr="005A5551">
        <w:rPr>
          <w:rFonts w:ascii="Times New Roman" w:hAnsi="Times New Roman" w:cs="Times New Roman"/>
          <w:i/>
          <w:color w:val="000000"/>
          <w:sz w:val="26"/>
          <w:szCs w:val="26"/>
        </w:rPr>
        <w:t>See</w:t>
      </w:r>
      <w:r>
        <w:rPr>
          <w:rFonts w:ascii="Times New Roman" w:hAnsi="Times New Roman" w:cs="Times New Roman"/>
          <w:color w:val="000000"/>
          <w:sz w:val="26"/>
          <w:szCs w:val="26"/>
        </w:rPr>
        <w:t xml:space="preserve"> </w:t>
      </w:r>
      <w:r w:rsidRPr="00077A2C">
        <w:rPr>
          <w:rFonts w:ascii="Times New Roman" w:hAnsi="Times New Roman" w:cs="Times New Roman"/>
          <w:i/>
          <w:color w:val="000000"/>
          <w:sz w:val="26"/>
          <w:szCs w:val="26"/>
        </w:rPr>
        <w:t>November 8 Order</w:t>
      </w:r>
      <w:r>
        <w:rPr>
          <w:rFonts w:ascii="Times New Roman" w:hAnsi="Times New Roman" w:cs="Times New Roman"/>
          <w:i/>
          <w:color w:val="000000"/>
          <w:sz w:val="26"/>
          <w:szCs w:val="26"/>
        </w:rPr>
        <w:t xml:space="preserve"> </w:t>
      </w:r>
      <w:r w:rsidRPr="005A5551">
        <w:rPr>
          <w:rFonts w:ascii="Times New Roman" w:hAnsi="Times New Roman" w:cs="Times New Roman"/>
          <w:color w:val="000000"/>
          <w:sz w:val="26"/>
          <w:szCs w:val="26"/>
        </w:rPr>
        <w:t>at</w:t>
      </w:r>
      <w:r w:rsidRPr="00077A2C">
        <w:rPr>
          <w:rFonts w:ascii="Times New Roman" w:hAnsi="Times New Roman" w:cs="Times New Roman"/>
          <w:color w:val="000000"/>
          <w:sz w:val="26"/>
          <w:szCs w:val="26"/>
        </w:rPr>
        <w:t xml:space="preserve"> 30</w:t>
      </w:r>
      <w:r>
        <w:rPr>
          <w:rFonts w:ascii="Times New Roman" w:hAnsi="Times New Roman" w:cs="Times New Roman"/>
          <w:color w:val="000000"/>
          <w:sz w:val="26"/>
          <w:szCs w:val="26"/>
        </w:rPr>
        <w:t xml:space="preserve"> </w:t>
      </w:r>
      <w:r w:rsidR="0003703A">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077A2C">
        <w:rPr>
          <w:rFonts w:ascii="Times New Roman" w:hAnsi="Times New Roman" w:cs="Times New Roman"/>
          <w:color w:val="000000"/>
          <w:sz w:val="26"/>
          <w:szCs w:val="26"/>
        </w:rPr>
        <w:t>32</w:t>
      </w:r>
      <w:r>
        <w:rPr>
          <w:rFonts w:ascii="Times New Roman" w:hAnsi="Times New Roman" w:cs="Times New Roman"/>
          <w:color w:val="000000"/>
          <w:sz w:val="26"/>
          <w:szCs w:val="26"/>
        </w:rPr>
        <w:t>.</w:t>
      </w:r>
      <w:r w:rsidRPr="00077A2C">
        <w:rPr>
          <w:rFonts w:ascii="Times New Roman" w:hAnsi="Times New Roman" w:cs="Times New Roman"/>
          <w:i/>
          <w:color w:val="000000"/>
          <w:sz w:val="26"/>
          <w:szCs w:val="26"/>
        </w:rPr>
        <w:t xml:space="preserve"> </w:t>
      </w:r>
      <w:r>
        <w:rPr>
          <w:rFonts w:ascii="Times New Roman" w:hAnsi="Times New Roman" w:cs="Times New Roman"/>
          <w:i/>
          <w:color w:val="000000"/>
          <w:sz w:val="26"/>
          <w:szCs w:val="26"/>
        </w:rPr>
        <w:t xml:space="preserve"> </w:t>
      </w:r>
      <w:r>
        <w:rPr>
          <w:rFonts w:ascii="Times New Roman" w:hAnsi="Times New Roman"/>
          <w:color w:val="000000"/>
          <w:sz w:val="26"/>
        </w:rPr>
        <w:t xml:space="preserve">In addition, </w:t>
      </w:r>
      <w:r w:rsidRPr="00077A2C">
        <w:rPr>
          <w:rFonts w:ascii="Times New Roman" w:hAnsi="Times New Roman" w:cs="Times New Roman"/>
          <w:color w:val="000000"/>
          <w:sz w:val="26"/>
          <w:szCs w:val="26"/>
        </w:rPr>
        <w:t xml:space="preserve">we provided an extensive discussion of the ALJs’ recommendation on this issue, as set forth at pages 75 through 77 of the Recommended Decision, and we incorporate by reference that discussion in the Recommended Decision as if fully re-stated herein.  </w:t>
      </w:r>
      <w:r w:rsidRPr="005A5551">
        <w:rPr>
          <w:rFonts w:ascii="Times New Roman" w:hAnsi="Times New Roman" w:cs="Times New Roman"/>
          <w:i/>
          <w:color w:val="000000"/>
          <w:sz w:val="26"/>
          <w:szCs w:val="26"/>
        </w:rPr>
        <w:t>See</w:t>
      </w:r>
      <w:r>
        <w:rPr>
          <w:rFonts w:ascii="Times New Roman" w:hAnsi="Times New Roman" w:cs="Times New Roman"/>
          <w:color w:val="000000"/>
          <w:sz w:val="26"/>
          <w:szCs w:val="26"/>
        </w:rPr>
        <w:t xml:space="preserve"> </w:t>
      </w:r>
      <w:r w:rsidRPr="00077A2C">
        <w:rPr>
          <w:rFonts w:ascii="Times New Roman" w:hAnsi="Times New Roman" w:cs="Times New Roman"/>
          <w:i/>
          <w:color w:val="000000"/>
          <w:sz w:val="26"/>
          <w:szCs w:val="26"/>
        </w:rPr>
        <w:t>November 8 Order</w:t>
      </w:r>
      <w:r>
        <w:rPr>
          <w:rFonts w:ascii="Times New Roman" w:hAnsi="Times New Roman" w:cs="Times New Roman"/>
          <w:i/>
          <w:color w:val="000000"/>
          <w:sz w:val="26"/>
          <w:szCs w:val="26"/>
        </w:rPr>
        <w:t xml:space="preserve"> </w:t>
      </w:r>
      <w:r w:rsidRPr="005A5551">
        <w:rPr>
          <w:rFonts w:ascii="Times New Roman" w:hAnsi="Times New Roman" w:cs="Times New Roman"/>
          <w:color w:val="000000"/>
          <w:sz w:val="26"/>
          <w:szCs w:val="26"/>
        </w:rPr>
        <w:t>at 32</w:t>
      </w:r>
      <w:r>
        <w:rPr>
          <w:rFonts w:ascii="Times New Roman" w:hAnsi="Times New Roman" w:cs="Times New Roman"/>
          <w:color w:val="000000"/>
          <w:sz w:val="26"/>
          <w:szCs w:val="26"/>
        </w:rPr>
        <w:t xml:space="preserve"> </w:t>
      </w:r>
      <w:r w:rsidR="0003703A">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5A5551">
        <w:rPr>
          <w:rFonts w:ascii="Times New Roman" w:hAnsi="Times New Roman" w:cs="Times New Roman"/>
          <w:color w:val="000000"/>
          <w:sz w:val="26"/>
          <w:szCs w:val="26"/>
        </w:rPr>
        <w:t>34.</w:t>
      </w:r>
      <w:r w:rsidR="00925D7B">
        <w:rPr>
          <w:rFonts w:ascii="Times New Roman" w:hAnsi="Times New Roman" w:cs="Times New Roman"/>
          <w:color w:val="000000"/>
          <w:sz w:val="26"/>
          <w:szCs w:val="26"/>
        </w:rPr>
        <w:t xml:space="preserve">  </w:t>
      </w:r>
      <w:r w:rsidRPr="005A5551">
        <w:rPr>
          <w:rFonts w:ascii="Times New Roman" w:eastAsiaTheme="majorEastAsia" w:hAnsi="Times New Roman" w:cs="Times New Roman"/>
          <w:sz w:val="26"/>
          <w:szCs w:val="26"/>
        </w:rPr>
        <w:t>Finally, t</w:t>
      </w:r>
      <w:r w:rsidRPr="005A5551">
        <w:rPr>
          <w:rFonts w:ascii="Times New Roman" w:hAnsi="Times New Roman" w:cs="Times New Roman"/>
          <w:sz w:val="26"/>
          <w:szCs w:val="26"/>
        </w:rPr>
        <w:t>he</w:t>
      </w:r>
      <w:r w:rsidRPr="00077A2C">
        <w:rPr>
          <w:rFonts w:ascii="Times New Roman" w:hAnsi="Times New Roman" w:cs="Times New Roman"/>
          <w:sz w:val="26"/>
          <w:szCs w:val="26"/>
        </w:rPr>
        <w:t xml:space="preserve"> OCA filed three Exceptions to the ALJs’ Recommended Decision on this issue, and PGW filed Replies thereto.  </w:t>
      </w:r>
      <w:r w:rsidRPr="00077A2C">
        <w:rPr>
          <w:rFonts w:ascii="Times New Roman" w:hAnsi="Times New Roman" w:cs="Times New Roman"/>
          <w:color w:val="000000"/>
          <w:sz w:val="26"/>
          <w:szCs w:val="26"/>
        </w:rPr>
        <w:t xml:space="preserve">In the </w:t>
      </w:r>
      <w:r w:rsidRPr="00077A2C">
        <w:rPr>
          <w:rFonts w:ascii="Times New Roman" w:hAnsi="Times New Roman" w:cs="Times New Roman"/>
          <w:i/>
          <w:color w:val="000000"/>
          <w:sz w:val="26"/>
          <w:szCs w:val="26"/>
        </w:rPr>
        <w:t>November 8 Order</w:t>
      </w:r>
      <w:r w:rsidRPr="00077A2C">
        <w:rPr>
          <w:rFonts w:ascii="Times New Roman" w:hAnsi="Times New Roman" w:cs="Times New Roman"/>
          <w:color w:val="000000"/>
          <w:sz w:val="26"/>
          <w:szCs w:val="26"/>
        </w:rPr>
        <w:t>,</w:t>
      </w:r>
      <w:r w:rsidRPr="00077A2C">
        <w:rPr>
          <w:rFonts w:ascii="Times New Roman" w:hAnsi="Times New Roman" w:cs="Times New Roman"/>
          <w:i/>
          <w:color w:val="000000"/>
          <w:sz w:val="26"/>
          <w:szCs w:val="26"/>
        </w:rPr>
        <w:t xml:space="preserve"> </w:t>
      </w:r>
      <w:r w:rsidRPr="00077A2C">
        <w:rPr>
          <w:rFonts w:ascii="Times New Roman" w:hAnsi="Times New Roman" w:cs="Times New Roman"/>
          <w:color w:val="000000"/>
          <w:sz w:val="26"/>
          <w:szCs w:val="26"/>
        </w:rPr>
        <w:t xml:space="preserve">we provided an extensive summary of the OCA’s Exceptions and PGW’s Replies to Exceptions on this issue, and we incorporate by reference that discussion as if fully re-stated herein.  </w:t>
      </w:r>
      <w:r w:rsidRPr="005A5551">
        <w:rPr>
          <w:rFonts w:ascii="Times New Roman" w:hAnsi="Times New Roman" w:cs="Times New Roman"/>
          <w:i/>
          <w:color w:val="000000"/>
          <w:sz w:val="26"/>
          <w:szCs w:val="26"/>
        </w:rPr>
        <w:t>See</w:t>
      </w:r>
      <w:r>
        <w:rPr>
          <w:rFonts w:ascii="Times New Roman" w:hAnsi="Times New Roman" w:cs="Times New Roman"/>
          <w:color w:val="000000"/>
          <w:sz w:val="26"/>
          <w:szCs w:val="26"/>
        </w:rPr>
        <w:t xml:space="preserve"> </w:t>
      </w:r>
      <w:r w:rsidRPr="00077A2C">
        <w:rPr>
          <w:rFonts w:ascii="Times New Roman" w:hAnsi="Times New Roman" w:cs="Times New Roman"/>
          <w:i/>
          <w:color w:val="000000"/>
          <w:sz w:val="26"/>
          <w:szCs w:val="26"/>
        </w:rPr>
        <w:t>November 8 Order</w:t>
      </w:r>
      <w:r>
        <w:rPr>
          <w:rFonts w:ascii="Times New Roman" w:hAnsi="Times New Roman" w:cs="Times New Roman"/>
          <w:i/>
          <w:color w:val="000000"/>
          <w:sz w:val="26"/>
          <w:szCs w:val="26"/>
        </w:rPr>
        <w:t xml:space="preserve"> </w:t>
      </w:r>
      <w:r w:rsidRPr="005A5551">
        <w:rPr>
          <w:rFonts w:ascii="Times New Roman" w:hAnsi="Times New Roman" w:cs="Times New Roman"/>
          <w:color w:val="000000"/>
          <w:sz w:val="26"/>
          <w:szCs w:val="26"/>
        </w:rPr>
        <w:t xml:space="preserve">at </w:t>
      </w:r>
      <w:r>
        <w:rPr>
          <w:rFonts w:ascii="Times New Roman" w:hAnsi="Times New Roman" w:cs="Times New Roman"/>
          <w:color w:val="000000"/>
          <w:sz w:val="26"/>
          <w:szCs w:val="26"/>
        </w:rPr>
        <w:t xml:space="preserve">34 </w:t>
      </w:r>
      <w:r w:rsidR="0003703A">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077A2C">
        <w:rPr>
          <w:rFonts w:ascii="Times New Roman" w:hAnsi="Times New Roman" w:cs="Times New Roman"/>
          <w:color w:val="000000"/>
          <w:sz w:val="26"/>
          <w:szCs w:val="26"/>
        </w:rPr>
        <w:t>46</w:t>
      </w:r>
      <w:r>
        <w:rPr>
          <w:rFonts w:ascii="Times New Roman" w:hAnsi="Times New Roman" w:cs="Times New Roman"/>
          <w:color w:val="000000"/>
          <w:sz w:val="26"/>
          <w:szCs w:val="26"/>
        </w:rPr>
        <w:t>.</w:t>
      </w:r>
    </w:p>
    <w:p w:rsidR="005A5551" w:rsidRDefault="005A5551" w:rsidP="00001983">
      <w:pPr>
        <w:spacing w:after="0" w:line="360" w:lineRule="auto"/>
        <w:rPr>
          <w:rFonts w:ascii="Times New Roman" w:hAnsi="Times New Roman" w:cs="Times New Roman"/>
          <w:snapToGrid w:val="0"/>
          <w:sz w:val="26"/>
          <w:szCs w:val="26"/>
        </w:rPr>
      </w:pPr>
    </w:p>
    <w:p w:rsidR="008528D1" w:rsidRPr="00893173" w:rsidRDefault="008528D1" w:rsidP="00F164A3">
      <w:pPr>
        <w:pStyle w:val="ListParagraph"/>
        <w:keepNext/>
        <w:keepLines/>
        <w:numPr>
          <w:ilvl w:val="2"/>
          <w:numId w:val="2"/>
        </w:numPr>
        <w:spacing w:after="0" w:line="360" w:lineRule="auto"/>
        <w:ind w:left="1440" w:firstLine="0"/>
        <w:rPr>
          <w:rFonts w:ascii="Times New Roman" w:hAnsi="Times New Roman"/>
          <w:b/>
          <w:sz w:val="26"/>
        </w:rPr>
      </w:pPr>
      <w:r w:rsidRPr="00893173">
        <w:rPr>
          <w:rFonts w:ascii="Times New Roman" w:hAnsi="Times New Roman"/>
          <w:b/>
          <w:sz w:val="26"/>
        </w:rPr>
        <w:t xml:space="preserve">52 Pa. Code § 56.24 </w:t>
      </w:r>
    </w:p>
    <w:p w:rsidR="00627720" w:rsidRPr="00E95541" w:rsidRDefault="00627720" w:rsidP="00475F23">
      <w:pPr>
        <w:pStyle w:val="ListParagraph"/>
        <w:keepNext/>
        <w:keepLines/>
        <w:spacing w:after="0" w:line="360" w:lineRule="auto"/>
        <w:ind w:left="2160"/>
        <w:rPr>
          <w:rFonts w:ascii="Times New Roman" w:hAnsi="Times New Roman" w:cs="Times New Roman"/>
          <w:b/>
          <w:i/>
          <w:sz w:val="26"/>
          <w:szCs w:val="26"/>
        </w:rPr>
      </w:pPr>
    </w:p>
    <w:p w:rsidR="006C2427" w:rsidRDefault="006C2427" w:rsidP="005D1927">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At the outset, we note that it is undisputed in this proceeding that PGW’s </w:t>
      </w:r>
      <w:r w:rsidR="005D1927">
        <w:rPr>
          <w:rFonts w:ascii="Times New Roman" w:hAnsi="Times New Roman" w:cs="Times New Roman"/>
          <w:sz w:val="26"/>
          <w:szCs w:val="26"/>
        </w:rPr>
        <w:t xml:space="preserve">partial payment allocation </w:t>
      </w:r>
      <w:r w:rsidRPr="00E95541">
        <w:rPr>
          <w:rFonts w:ascii="Times New Roman" w:hAnsi="Times New Roman" w:cs="Times New Roman"/>
          <w:sz w:val="26"/>
          <w:szCs w:val="26"/>
        </w:rPr>
        <w:t>practices involve applying a customer’s partial payment in the following hierarchy: (1)</w:t>
      </w:r>
      <w:r>
        <w:rPr>
          <w:rFonts w:ascii="Times New Roman" w:hAnsi="Times New Roman" w:cs="Times New Roman"/>
          <w:sz w:val="26"/>
          <w:szCs w:val="26"/>
        </w:rPr>
        <w:t> </w:t>
      </w:r>
      <w:r w:rsidRPr="00E95541">
        <w:rPr>
          <w:rFonts w:ascii="Times New Roman" w:hAnsi="Times New Roman" w:cs="Times New Roman"/>
          <w:sz w:val="26"/>
          <w:szCs w:val="26"/>
        </w:rPr>
        <w:t xml:space="preserve">first, to a security deposit, if required; (2) next, to any outstanding late payment charges; and (3) finally, to the oldest balances due for prior basic service.  It is also undisputed that PGW applies partial payments against new, non-interest bearing late charges before applying the payments against older, interest-bearing amounts due for prior basic service. </w:t>
      </w:r>
      <w:r>
        <w:rPr>
          <w:rFonts w:ascii="Times New Roman" w:hAnsi="Times New Roman" w:cs="Times New Roman"/>
          <w:sz w:val="26"/>
          <w:szCs w:val="26"/>
        </w:rPr>
        <w:t xml:space="preserve"> </w:t>
      </w:r>
      <w:r w:rsidRPr="00F97D98">
        <w:rPr>
          <w:rFonts w:ascii="Times New Roman" w:hAnsi="Times New Roman" w:cs="Times New Roman"/>
          <w:sz w:val="26"/>
          <w:szCs w:val="26"/>
        </w:rPr>
        <w:t xml:space="preserve">PGW M.B. at 16-19, 21; PGW St. 10-R at 7; OCA </w:t>
      </w:r>
      <w:r w:rsidR="00F97D98" w:rsidRPr="00F97D98">
        <w:rPr>
          <w:rFonts w:ascii="Times New Roman" w:hAnsi="Times New Roman" w:cs="Times New Roman"/>
          <w:sz w:val="26"/>
          <w:szCs w:val="26"/>
        </w:rPr>
        <w:t>Exc. at 16.</w:t>
      </w:r>
      <w:r>
        <w:rPr>
          <w:rFonts w:ascii="Times New Roman" w:hAnsi="Times New Roman" w:cs="Times New Roman"/>
          <w:sz w:val="26"/>
          <w:szCs w:val="26"/>
        </w:rPr>
        <w:t xml:space="preserve"> </w:t>
      </w:r>
      <w:r w:rsidR="00D55195">
        <w:rPr>
          <w:rFonts w:ascii="Times New Roman" w:hAnsi="Times New Roman" w:cs="Times New Roman"/>
          <w:sz w:val="26"/>
          <w:szCs w:val="26"/>
        </w:rPr>
        <w:t xml:space="preserve"> </w:t>
      </w:r>
      <w:r w:rsidRPr="00E95541">
        <w:rPr>
          <w:rFonts w:ascii="Times New Roman" w:hAnsi="Times New Roman" w:cs="Times New Roman"/>
          <w:sz w:val="26"/>
          <w:szCs w:val="26"/>
        </w:rPr>
        <w:t>We accept the foregoing undisputed descriptions of PGW’s partial payment practices as facts for purposes of our analysis as to whether such practices violate Section 56.24 of our Regulations.</w:t>
      </w:r>
    </w:p>
    <w:p w:rsidR="006C2427" w:rsidRDefault="006C2427" w:rsidP="006C2427">
      <w:pPr>
        <w:spacing w:after="0" w:line="360" w:lineRule="auto"/>
        <w:rPr>
          <w:rFonts w:ascii="Times New Roman" w:hAnsi="Times New Roman" w:cs="Times New Roman"/>
          <w:sz w:val="26"/>
          <w:szCs w:val="26"/>
        </w:rPr>
      </w:pPr>
    </w:p>
    <w:p w:rsidR="00001983" w:rsidRDefault="00001983" w:rsidP="00001983">
      <w:pPr>
        <w:pStyle w:val="Heading3"/>
        <w:keepNext w:val="0"/>
        <w:keepLines w:val="0"/>
        <w:widowControl/>
        <w:spacing w:before="0"/>
        <w:rPr>
          <w:rFonts w:ascii="Times New Roman" w:hAnsi="Times New Roman" w:cs="Times New Roman"/>
          <w:color w:val="auto"/>
          <w:sz w:val="26"/>
          <w:szCs w:val="26"/>
        </w:rPr>
      </w:pPr>
      <w:r w:rsidRPr="00E95541">
        <w:rPr>
          <w:rFonts w:ascii="Times New Roman" w:hAnsi="Times New Roman" w:cs="Times New Roman"/>
          <w:color w:val="auto"/>
          <w:sz w:val="26"/>
          <w:szCs w:val="26"/>
        </w:rPr>
        <w:t xml:space="preserve">The OCA argued that PGW’s practice of posting a customer’s partial payment out-of-sequence – first, against more recent non-interest bearing late payment charges, and, then, against older interest-bearing principal – </w:t>
      </w:r>
      <w:r>
        <w:rPr>
          <w:rFonts w:ascii="Times New Roman" w:hAnsi="Times New Roman" w:cs="Times New Roman"/>
          <w:color w:val="auto"/>
          <w:sz w:val="26"/>
          <w:szCs w:val="26"/>
        </w:rPr>
        <w:t xml:space="preserve">is in a </w:t>
      </w:r>
      <w:r w:rsidRPr="00E95541">
        <w:rPr>
          <w:rFonts w:ascii="Times New Roman" w:hAnsi="Times New Roman" w:cs="Times New Roman"/>
          <w:color w:val="auto"/>
          <w:sz w:val="26"/>
          <w:szCs w:val="26"/>
        </w:rPr>
        <w:t xml:space="preserve">manner </w:t>
      </w:r>
      <w:r>
        <w:rPr>
          <w:rFonts w:ascii="Times New Roman" w:hAnsi="Times New Roman" w:cs="Times New Roman"/>
          <w:color w:val="auto"/>
          <w:sz w:val="26"/>
          <w:szCs w:val="26"/>
        </w:rPr>
        <w:t xml:space="preserve">that </w:t>
      </w:r>
      <w:r w:rsidRPr="00E95541">
        <w:rPr>
          <w:rFonts w:ascii="Times New Roman" w:hAnsi="Times New Roman" w:cs="Times New Roman"/>
          <w:color w:val="auto"/>
          <w:sz w:val="26"/>
          <w:szCs w:val="26"/>
        </w:rPr>
        <w:t xml:space="preserve">is contrary to the posting sequencing requirements of Section 56.24 of the Commission’s Regulations.  The OCA </w:t>
      </w:r>
      <w:r>
        <w:rPr>
          <w:rFonts w:ascii="Times New Roman" w:hAnsi="Times New Roman" w:cs="Times New Roman"/>
          <w:color w:val="auto"/>
          <w:sz w:val="26"/>
          <w:szCs w:val="26"/>
        </w:rPr>
        <w:t xml:space="preserve">argued that </w:t>
      </w:r>
      <w:r w:rsidRPr="00E95541">
        <w:rPr>
          <w:rFonts w:ascii="Times New Roman" w:hAnsi="Times New Roman" w:cs="Times New Roman"/>
          <w:color w:val="auto"/>
          <w:sz w:val="26"/>
          <w:szCs w:val="26"/>
        </w:rPr>
        <w:t xml:space="preserve">the Company </w:t>
      </w:r>
      <w:r>
        <w:rPr>
          <w:rFonts w:ascii="Times New Roman" w:hAnsi="Times New Roman" w:cs="Times New Roman"/>
          <w:color w:val="auto"/>
          <w:sz w:val="26"/>
          <w:szCs w:val="26"/>
        </w:rPr>
        <w:t xml:space="preserve">should not </w:t>
      </w:r>
      <w:r w:rsidRPr="00E95541">
        <w:rPr>
          <w:rFonts w:ascii="Times New Roman" w:hAnsi="Times New Roman" w:cs="Times New Roman"/>
          <w:color w:val="auto"/>
          <w:sz w:val="26"/>
          <w:szCs w:val="26"/>
        </w:rPr>
        <w:t>be permitted to continue a practice that violates the Commission’s Regulations and the Code.  As such, the OCA recommended that PGW be required to change its payment posting methodology consistent with the OCA’s recommendations and provide customers with effective notice of the corrected payment posting methodology in the Company’s Tariff.</w:t>
      </w:r>
      <w:r>
        <w:rPr>
          <w:rFonts w:ascii="Times New Roman" w:hAnsi="Times New Roman" w:cs="Times New Roman"/>
          <w:color w:val="auto"/>
          <w:sz w:val="26"/>
          <w:szCs w:val="26"/>
        </w:rPr>
        <w:t xml:space="preserve"> </w:t>
      </w:r>
      <w:r w:rsidR="003A7369">
        <w:rPr>
          <w:rFonts w:ascii="Times New Roman" w:hAnsi="Times New Roman" w:cs="Times New Roman"/>
          <w:color w:val="auto"/>
          <w:sz w:val="26"/>
          <w:szCs w:val="26"/>
        </w:rPr>
        <w:t xml:space="preserve"> OCA M.B. at</w:t>
      </w:r>
      <w:r w:rsidR="00A42AC8">
        <w:rPr>
          <w:rFonts w:ascii="Times New Roman" w:hAnsi="Times New Roman" w:cs="Times New Roman"/>
          <w:color w:val="auto"/>
          <w:sz w:val="26"/>
          <w:szCs w:val="26"/>
        </w:rPr>
        <w:t> </w:t>
      </w:r>
      <w:r w:rsidR="003A7369">
        <w:rPr>
          <w:rFonts w:ascii="Times New Roman" w:hAnsi="Times New Roman" w:cs="Times New Roman"/>
          <w:color w:val="auto"/>
          <w:sz w:val="26"/>
          <w:szCs w:val="26"/>
        </w:rPr>
        <w:t>11-22.</w:t>
      </w:r>
    </w:p>
    <w:p w:rsidR="001633DE" w:rsidRDefault="001633DE" w:rsidP="00001983">
      <w:pPr>
        <w:spacing w:after="0" w:line="360" w:lineRule="auto"/>
        <w:ind w:firstLine="1440"/>
        <w:rPr>
          <w:rFonts w:ascii="Times New Roman" w:hAnsi="Times New Roman" w:cs="Times New Roman"/>
          <w:sz w:val="26"/>
          <w:szCs w:val="26"/>
        </w:rPr>
      </w:pPr>
    </w:p>
    <w:p w:rsidR="0027652E" w:rsidRDefault="00124DB0" w:rsidP="005D1927">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Based on the record, </w:t>
      </w:r>
      <w:r w:rsidR="0027652E" w:rsidRPr="00E95541">
        <w:rPr>
          <w:rFonts w:ascii="Times New Roman" w:hAnsi="Times New Roman" w:cs="Times New Roman"/>
          <w:sz w:val="26"/>
          <w:szCs w:val="26"/>
        </w:rPr>
        <w:t xml:space="preserve">we find PGW’s practice of applying partial payments against </w:t>
      </w:r>
      <w:r w:rsidR="001438BB">
        <w:rPr>
          <w:rFonts w:ascii="Times New Roman" w:hAnsi="Times New Roman" w:cs="Times New Roman"/>
          <w:sz w:val="26"/>
          <w:szCs w:val="26"/>
        </w:rPr>
        <w:t>all</w:t>
      </w:r>
      <w:r w:rsidR="0027652E" w:rsidRPr="00E95541">
        <w:rPr>
          <w:rFonts w:ascii="Times New Roman" w:hAnsi="Times New Roman" w:cs="Times New Roman"/>
          <w:sz w:val="26"/>
          <w:szCs w:val="26"/>
        </w:rPr>
        <w:t xml:space="preserve"> late charges </w:t>
      </w:r>
      <w:r w:rsidR="001438BB">
        <w:rPr>
          <w:rFonts w:ascii="Times New Roman" w:hAnsi="Times New Roman" w:cs="Times New Roman"/>
          <w:sz w:val="26"/>
          <w:szCs w:val="26"/>
        </w:rPr>
        <w:t xml:space="preserve">due </w:t>
      </w:r>
      <w:r w:rsidR="0027652E" w:rsidRPr="00E95541">
        <w:rPr>
          <w:rFonts w:ascii="Times New Roman" w:hAnsi="Times New Roman" w:cs="Times New Roman"/>
          <w:sz w:val="26"/>
          <w:szCs w:val="26"/>
        </w:rPr>
        <w:t xml:space="preserve">before applying the payments against older amounts due for prior basic service </w:t>
      </w:r>
      <w:r w:rsidR="0027652E">
        <w:rPr>
          <w:rFonts w:ascii="Times New Roman" w:hAnsi="Times New Roman" w:cs="Times New Roman"/>
          <w:sz w:val="26"/>
          <w:szCs w:val="26"/>
        </w:rPr>
        <w:t>constitute</w:t>
      </w:r>
      <w:r w:rsidR="0027652E" w:rsidRPr="00E95541">
        <w:rPr>
          <w:rFonts w:ascii="Times New Roman" w:hAnsi="Times New Roman" w:cs="Times New Roman"/>
          <w:sz w:val="26"/>
          <w:szCs w:val="26"/>
        </w:rPr>
        <w:t xml:space="preserve"> violation</w:t>
      </w:r>
      <w:r w:rsidR="0027652E">
        <w:rPr>
          <w:rFonts w:ascii="Times New Roman" w:hAnsi="Times New Roman" w:cs="Times New Roman"/>
          <w:sz w:val="26"/>
          <w:szCs w:val="26"/>
        </w:rPr>
        <w:t>s</w:t>
      </w:r>
      <w:r w:rsidR="0027652E" w:rsidRPr="00E95541">
        <w:rPr>
          <w:rFonts w:ascii="Times New Roman" w:hAnsi="Times New Roman" w:cs="Times New Roman"/>
          <w:sz w:val="26"/>
          <w:szCs w:val="26"/>
        </w:rPr>
        <w:t xml:space="preserve"> of </w:t>
      </w:r>
      <w:r w:rsidR="0027652E">
        <w:rPr>
          <w:rFonts w:ascii="Times New Roman" w:hAnsi="Times New Roman" w:cs="Times New Roman"/>
          <w:sz w:val="26"/>
          <w:szCs w:val="26"/>
        </w:rPr>
        <w:t>52 Pa. Code § 56.24 and 66 Pa. C.S. § 1501</w:t>
      </w:r>
      <w:r w:rsidR="0027652E" w:rsidRPr="00E95541">
        <w:rPr>
          <w:rFonts w:ascii="Times New Roman" w:hAnsi="Times New Roman" w:cs="Times New Roman"/>
          <w:sz w:val="26"/>
          <w:szCs w:val="26"/>
        </w:rPr>
        <w:t>.</w:t>
      </w:r>
    </w:p>
    <w:p w:rsidR="0027652E" w:rsidRDefault="0027652E" w:rsidP="005D1927">
      <w:pPr>
        <w:spacing w:after="0" w:line="360" w:lineRule="auto"/>
        <w:ind w:firstLine="1440"/>
        <w:rPr>
          <w:rFonts w:ascii="Times New Roman" w:hAnsi="Times New Roman" w:cs="Times New Roman"/>
          <w:sz w:val="26"/>
          <w:szCs w:val="26"/>
        </w:rPr>
      </w:pPr>
    </w:p>
    <w:p w:rsidR="00C26BEC" w:rsidRDefault="0027652E" w:rsidP="00C26BEC">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Our finding is consistent with the finding in</w:t>
      </w:r>
      <w:r w:rsidR="00124DB0">
        <w:rPr>
          <w:rFonts w:ascii="Times New Roman" w:hAnsi="Times New Roman" w:cs="Times New Roman"/>
          <w:sz w:val="26"/>
          <w:szCs w:val="26"/>
        </w:rPr>
        <w:t xml:space="preserve"> the</w:t>
      </w:r>
      <w:r w:rsidR="00C26BEC">
        <w:rPr>
          <w:rFonts w:ascii="Times New Roman" w:hAnsi="Times New Roman" w:cs="Times New Roman"/>
          <w:sz w:val="26"/>
          <w:szCs w:val="26"/>
        </w:rPr>
        <w:t xml:space="preserve"> </w:t>
      </w:r>
      <w:r w:rsidR="00C26BEC" w:rsidRPr="00E95541">
        <w:rPr>
          <w:rFonts w:ascii="Times New Roman" w:hAnsi="Times New Roman" w:cs="Times New Roman"/>
          <w:i/>
          <w:iCs/>
          <w:color w:val="000000"/>
          <w:sz w:val="26"/>
          <w:szCs w:val="26"/>
        </w:rPr>
        <w:t>SBG Order</w:t>
      </w:r>
      <w:r>
        <w:rPr>
          <w:rFonts w:ascii="Times New Roman" w:hAnsi="Times New Roman" w:cs="Times New Roman"/>
          <w:iCs/>
          <w:color w:val="000000"/>
          <w:sz w:val="26"/>
          <w:szCs w:val="26"/>
        </w:rPr>
        <w:t xml:space="preserve">.  In the </w:t>
      </w:r>
      <w:r w:rsidRPr="0027652E">
        <w:rPr>
          <w:rFonts w:ascii="Times New Roman" w:hAnsi="Times New Roman" w:cs="Times New Roman"/>
          <w:i/>
          <w:iCs/>
          <w:color w:val="000000"/>
          <w:sz w:val="26"/>
          <w:szCs w:val="26"/>
        </w:rPr>
        <w:t>SBG Order</w:t>
      </w:r>
      <w:r>
        <w:rPr>
          <w:rFonts w:ascii="Times New Roman" w:hAnsi="Times New Roman" w:cs="Times New Roman"/>
          <w:iCs/>
          <w:color w:val="000000"/>
          <w:sz w:val="26"/>
          <w:szCs w:val="26"/>
        </w:rPr>
        <w:t xml:space="preserve">, we determined </w:t>
      </w:r>
      <w:r w:rsidR="00C26BEC" w:rsidRPr="00E95541">
        <w:rPr>
          <w:rFonts w:ascii="Times New Roman" w:hAnsi="Times New Roman" w:cs="Times New Roman"/>
          <w:sz w:val="26"/>
          <w:szCs w:val="26"/>
        </w:rPr>
        <w:t xml:space="preserve">that a partial payment shall be applied equally to all basic charges due for prior service, with no prioritization to be given to late payment charges over other types of charges for basic service.  </w:t>
      </w:r>
      <w:r w:rsidR="00C26BEC" w:rsidRPr="00E95541">
        <w:rPr>
          <w:rFonts w:ascii="Times New Roman" w:hAnsi="Times New Roman" w:cs="Times New Roman"/>
          <w:i/>
          <w:sz w:val="26"/>
          <w:szCs w:val="26"/>
        </w:rPr>
        <w:t>See</w:t>
      </w:r>
      <w:r w:rsidR="00C26BEC" w:rsidRPr="00E95541">
        <w:rPr>
          <w:rFonts w:ascii="Times New Roman" w:hAnsi="Times New Roman" w:cs="Times New Roman"/>
          <w:sz w:val="26"/>
          <w:szCs w:val="26"/>
        </w:rPr>
        <w:t xml:space="preserve"> </w:t>
      </w:r>
      <w:r w:rsidR="00C26BEC">
        <w:rPr>
          <w:rFonts w:ascii="Times New Roman" w:hAnsi="Times New Roman" w:cs="Times New Roman"/>
          <w:i/>
          <w:color w:val="000000"/>
          <w:sz w:val="26"/>
          <w:szCs w:val="26"/>
        </w:rPr>
        <w:t xml:space="preserve">SBG Order </w:t>
      </w:r>
      <w:r w:rsidR="00124DB0">
        <w:rPr>
          <w:rFonts w:ascii="Times New Roman" w:hAnsi="Times New Roman" w:cs="Times New Roman"/>
          <w:color w:val="000000"/>
          <w:sz w:val="26"/>
          <w:szCs w:val="26"/>
        </w:rPr>
        <w:t>at 98</w:t>
      </w:r>
      <w:r w:rsidR="00C26BEC">
        <w:rPr>
          <w:rFonts w:ascii="Times New Roman" w:hAnsi="Times New Roman" w:cs="Times New Roman"/>
          <w:iCs/>
          <w:color w:val="000000"/>
          <w:sz w:val="26"/>
          <w:szCs w:val="26"/>
        </w:rPr>
        <w:t>.</w:t>
      </w:r>
      <w:r w:rsidR="00C26BEC">
        <w:rPr>
          <w:rStyle w:val="FootnoteReference"/>
          <w:rFonts w:ascii="Times New Roman" w:hAnsi="Times New Roman" w:cs="Times New Roman"/>
          <w:sz w:val="26"/>
          <w:szCs w:val="26"/>
        </w:rPr>
        <w:t xml:space="preserve"> </w:t>
      </w:r>
      <w:r w:rsidR="00C26BEC">
        <w:rPr>
          <w:rFonts w:ascii="Times New Roman" w:hAnsi="Times New Roman" w:cs="Times New Roman"/>
          <w:sz w:val="26"/>
          <w:szCs w:val="26"/>
        </w:rPr>
        <w:t xml:space="preserve"> </w:t>
      </w:r>
      <w:r w:rsidR="00C26BEC" w:rsidRPr="00B51453">
        <w:rPr>
          <w:rFonts w:ascii="Times New Roman" w:hAnsi="Times New Roman" w:cs="Times New Roman"/>
          <w:sz w:val="26"/>
          <w:szCs w:val="26"/>
        </w:rPr>
        <w:t xml:space="preserve">In </w:t>
      </w:r>
      <w:r w:rsidR="00124DB0">
        <w:rPr>
          <w:rFonts w:ascii="Times New Roman" w:hAnsi="Times New Roman" w:cs="Times New Roman"/>
          <w:sz w:val="26"/>
          <w:szCs w:val="26"/>
        </w:rPr>
        <w:t>that case, we</w:t>
      </w:r>
      <w:r w:rsidR="00C26BEC" w:rsidRPr="00B51453">
        <w:rPr>
          <w:rFonts w:ascii="Times New Roman" w:hAnsi="Times New Roman" w:cs="Times New Roman"/>
          <w:sz w:val="26"/>
          <w:szCs w:val="26"/>
        </w:rPr>
        <w:t xml:space="preserve"> examined PGW’s partial payment allocation practices, which are the same practices being challenged </w:t>
      </w:r>
      <w:r w:rsidR="00650239">
        <w:rPr>
          <w:rFonts w:ascii="Times New Roman" w:hAnsi="Times New Roman" w:cs="Times New Roman"/>
          <w:sz w:val="26"/>
          <w:szCs w:val="26"/>
        </w:rPr>
        <w:t xml:space="preserve">by the OCA in this proceeding, as such practices pertained to PGW’s collection of late payment charges from the complainants in that case.  </w:t>
      </w:r>
      <w:r w:rsidR="00C26BEC" w:rsidRPr="00B51453">
        <w:rPr>
          <w:rFonts w:ascii="Times New Roman" w:hAnsi="Times New Roman" w:cs="Times New Roman"/>
          <w:sz w:val="26"/>
          <w:szCs w:val="26"/>
        </w:rPr>
        <w:t xml:space="preserve">In the </w:t>
      </w:r>
      <w:r w:rsidR="00C26BEC" w:rsidRPr="00B51453">
        <w:rPr>
          <w:rFonts w:ascii="Times New Roman" w:hAnsi="Times New Roman" w:cs="Times New Roman"/>
          <w:i/>
          <w:sz w:val="26"/>
          <w:szCs w:val="26"/>
        </w:rPr>
        <w:t>SBG Order</w:t>
      </w:r>
      <w:r w:rsidR="00C26BEC" w:rsidRPr="00B51453">
        <w:rPr>
          <w:rFonts w:ascii="Times New Roman" w:hAnsi="Times New Roman" w:cs="Times New Roman"/>
          <w:sz w:val="26"/>
          <w:szCs w:val="26"/>
        </w:rPr>
        <w:t xml:space="preserve">, we determined </w:t>
      </w:r>
      <w:r w:rsidR="00C26BEC" w:rsidRPr="00B51453">
        <w:rPr>
          <w:rFonts w:ascii="Times New Roman" w:hAnsi="Times New Roman" w:cs="Times New Roman"/>
          <w:iCs/>
          <w:color w:val="000000"/>
          <w:sz w:val="26"/>
          <w:szCs w:val="26"/>
        </w:rPr>
        <w:t xml:space="preserve">that </w:t>
      </w:r>
      <w:r w:rsidR="00C26BEC" w:rsidRPr="00B51453">
        <w:rPr>
          <w:rFonts w:ascii="Times New Roman" w:hAnsi="Times New Roman" w:cs="Times New Roman"/>
          <w:sz w:val="26"/>
          <w:szCs w:val="26"/>
        </w:rPr>
        <w:t xml:space="preserve">the clear and unambiguous interpretation of our Regulation at 52 Pa. C.S. § 56.24 means that all basic charges together constitute the balance due for prior basic service each month.  </w:t>
      </w:r>
      <w:r w:rsidR="00C26BEC" w:rsidRPr="00B51453">
        <w:rPr>
          <w:rFonts w:ascii="Times New Roman" w:hAnsi="Times New Roman" w:cs="Times New Roman"/>
          <w:i/>
          <w:sz w:val="26"/>
          <w:szCs w:val="26"/>
        </w:rPr>
        <w:t>See SBG Order</w:t>
      </w:r>
      <w:r w:rsidR="00C26BEC" w:rsidRPr="00B51453">
        <w:rPr>
          <w:rFonts w:ascii="Times New Roman" w:hAnsi="Times New Roman" w:cs="Times New Roman"/>
          <w:sz w:val="26"/>
          <w:szCs w:val="26"/>
        </w:rPr>
        <w:t xml:space="preserve"> at 98.  Consequently, we stated, “in the case of a partial payment on a past due bill, the entirety of the ‘balance due’ for prior service for which the utility has issued a bill and of which the ratepayer has received noticed, should be addressed simultaneously.”  </w:t>
      </w:r>
      <w:r w:rsidR="00C26BEC" w:rsidRPr="00B51453">
        <w:rPr>
          <w:rFonts w:ascii="Times New Roman" w:hAnsi="Times New Roman" w:cs="Times New Roman"/>
          <w:i/>
          <w:sz w:val="26"/>
          <w:szCs w:val="26"/>
        </w:rPr>
        <w:t>See SBG Order</w:t>
      </w:r>
      <w:r>
        <w:rPr>
          <w:rFonts w:ascii="Times New Roman" w:hAnsi="Times New Roman" w:cs="Times New Roman"/>
          <w:sz w:val="26"/>
          <w:szCs w:val="26"/>
        </w:rPr>
        <w:t xml:space="preserve"> at 98.  We </w:t>
      </w:r>
      <w:r w:rsidR="00C26BEC" w:rsidRPr="00B51453">
        <w:rPr>
          <w:rFonts w:ascii="Times New Roman" w:hAnsi="Times New Roman" w:cs="Times New Roman"/>
          <w:sz w:val="26"/>
          <w:szCs w:val="26"/>
        </w:rPr>
        <w:t>determined that PGW’s partial payment allocation practices violate the Commission Regulation at 52 Pa. Code § 56.24, by applying partial payments against all outstanding late payment charges before applying the payments toward the oldest amounts due for the other basic charges.</w:t>
      </w:r>
      <w:r w:rsidR="00C26BEC" w:rsidRPr="00B51453">
        <w:rPr>
          <w:rFonts w:ascii="Times New Roman" w:hAnsi="Times New Roman" w:cs="Times New Roman"/>
          <w:i/>
          <w:sz w:val="26"/>
          <w:szCs w:val="26"/>
        </w:rPr>
        <w:t xml:space="preserve">  See SBG Order</w:t>
      </w:r>
      <w:r w:rsidR="00C26BEC" w:rsidRPr="00B51453">
        <w:rPr>
          <w:rFonts w:ascii="Times New Roman" w:hAnsi="Times New Roman" w:cs="Times New Roman"/>
          <w:sz w:val="26"/>
          <w:szCs w:val="26"/>
        </w:rPr>
        <w:t xml:space="preserve"> at 97.  We stated it is a violation to the extent a partial payment does not reduce interest bearing basic charges billed and accumulated under a past due bill, </w:t>
      </w:r>
      <w:r w:rsidR="00C26BEC" w:rsidRPr="00B51453">
        <w:rPr>
          <w:rFonts w:ascii="Times New Roman" w:hAnsi="Times New Roman" w:cs="Times New Roman"/>
          <w:i/>
          <w:sz w:val="26"/>
          <w:szCs w:val="26"/>
        </w:rPr>
        <w:t>i.e.</w:t>
      </w:r>
      <w:r w:rsidR="00C26BEC" w:rsidRPr="00B51453">
        <w:rPr>
          <w:rFonts w:ascii="Times New Roman" w:hAnsi="Times New Roman" w:cs="Times New Roman"/>
          <w:sz w:val="26"/>
          <w:szCs w:val="26"/>
        </w:rPr>
        <w:t xml:space="preserve"> August 2011 bill, before paying off late payment charges for a more current bill, </w:t>
      </w:r>
      <w:r w:rsidR="00C26BEC" w:rsidRPr="00B51453">
        <w:rPr>
          <w:rFonts w:ascii="Times New Roman" w:hAnsi="Times New Roman" w:cs="Times New Roman"/>
          <w:i/>
          <w:sz w:val="26"/>
          <w:szCs w:val="26"/>
        </w:rPr>
        <w:t>i.e</w:t>
      </w:r>
      <w:r w:rsidR="00C26BEC" w:rsidRPr="00B51453">
        <w:rPr>
          <w:rFonts w:ascii="Times New Roman" w:hAnsi="Times New Roman" w:cs="Times New Roman"/>
          <w:sz w:val="26"/>
          <w:szCs w:val="26"/>
        </w:rPr>
        <w:t xml:space="preserve">. November 2011 bill.  </w:t>
      </w:r>
      <w:r w:rsidR="00C26BEC" w:rsidRPr="00B51453">
        <w:rPr>
          <w:rFonts w:ascii="Times New Roman" w:hAnsi="Times New Roman" w:cs="Times New Roman"/>
          <w:i/>
          <w:sz w:val="26"/>
          <w:szCs w:val="26"/>
        </w:rPr>
        <w:t>See SBG Order</w:t>
      </w:r>
      <w:r w:rsidR="00A42AC8">
        <w:rPr>
          <w:rFonts w:ascii="Times New Roman" w:hAnsi="Times New Roman" w:cs="Times New Roman"/>
          <w:sz w:val="26"/>
          <w:szCs w:val="26"/>
        </w:rPr>
        <w:t xml:space="preserve"> at 97.</w:t>
      </w:r>
    </w:p>
    <w:p w:rsidR="00AC37D6" w:rsidRDefault="00AC37D6" w:rsidP="00C26BEC">
      <w:pPr>
        <w:spacing w:after="0" w:line="360" w:lineRule="auto"/>
        <w:ind w:firstLine="1440"/>
        <w:rPr>
          <w:rFonts w:ascii="Times New Roman" w:hAnsi="Times New Roman" w:cs="Times New Roman"/>
          <w:iCs/>
          <w:color w:val="000000"/>
          <w:sz w:val="26"/>
          <w:szCs w:val="26"/>
        </w:rPr>
      </w:pPr>
    </w:p>
    <w:p w:rsidR="005C7F46" w:rsidRDefault="00AC37D6" w:rsidP="0027652E">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this proceeding, </w:t>
      </w:r>
      <w:r w:rsidR="00E8756D" w:rsidRPr="00E95541">
        <w:rPr>
          <w:rFonts w:ascii="Times New Roman" w:hAnsi="Times New Roman" w:cs="Times New Roman"/>
          <w:sz w:val="26"/>
          <w:szCs w:val="26"/>
        </w:rPr>
        <w:t xml:space="preserve">PGW argued that </w:t>
      </w:r>
      <w:r w:rsidR="005C7F46">
        <w:rPr>
          <w:rFonts w:ascii="Times New Roman" w:hAnsi="Times New Roman" w:cs="Times New Roman"/>
          <w:sz w:val="26"/>
          <w:szCs w:val="26"/>
        </w:rPr>
        <w:t>Section 56.24 is</w:t>
      </w:r>
      <w:r w:rsidR="00683105" w:rsidRPr="00E95541">
        <w:rPr>
          <w:rFonts w:ascii="Times New Roman" w:hAnsi="Times New Roman" w:cs="Times New Roman"/>
          <w:sz w:val="26"/>
          <w:szCs w:val="26"/>
        </w:rPr>
        <w:t xml:space="preserve"> silent on the hierarchy</w:t>
      </w:r>
      <w:r w:rsidR="005C7F46">
        <w:rPr>
          <w:rFonts w:ascii="Times New Roman" w:hAnsi="Times New Roman" w:cs="Times New Roman"/>
          <w:sz w:val="26"/>
          <w:szCs w:val="26"/>
        </w:rPr>
        <w:t xml:space="preserve"> or prioritization</w:t>
      </w:r>
      <w:r w:rsidR="00683105" w:rsidRPr="00E95541">
        <w:rPr>
          <w:rFonts w:ascii="Times New Roman" w:hAnsi="Times New Roman" w:cs="Times New Roman"/>
          <w:sz w:val="26"/>
          <w:szCs w:val="26"/>
        </w:rPr>
        <w:t xml:space="preserve"> that must be followed when a utility applies a partial payment to the various components of charges for prior basic service.  </w:t>
      </w:r>
      <w:r w:rsidR="00A42AC8">
        <w:rPr>
          <w:rFonts w:ascii="Times New Roman" w:hAnsi="Times New Roman" w:cs="Times New Roman"/>
          <w:sz w:val="26"/>
          <w:szCs w:val="26"/>
        </w:rPr>
        <w:t>PGW M.B. at 21-22.</w:t>
      </w:r>
      <w:r w:rsidR="0027652E">
        <w:rPr>
          <w:rFonts w:ascii="Times New Roman" w:hAnsi="Times New Roman" w:cs="Times New Roman"/>
          <w:sz w:val="26"/>
          <w:szCs w:val="26"/>
        </w:rPr>
        <w:t xml:space="preserve">  </w:t>
      </w:r>
      <w:r w:rsidR="005C7F46">
        <w:rPr>
          <w:rFonts w:ascii="Times New Roman" w:hAnsi="Times New Roman" w:cs="Times New Roman"/>
          <w:sz w:val="26"/>
          <w:szCs w:val="26"/>
        </w:rPr>
        <w:t xml:space="preserve">PGW also argued that it is noteworthy that the OCA </w:t>
      </w:r>
      <w:r w:rsidR="00E46C0D">
        <w:rPr>
          <w:rFonts w:ascii="Times New Roman" w:hAnsi="Times New Roman" w:cs="Times New Roman"/>
          <w:sz w:val="26"/>
          <w:szCs w:val="26"/>
        </w:rPr>
        <w:t>took no position</w:t>
      </w:r>
      <w:r w:rsidR="005C7F46">
        <w:rPr>
          <w:rFonts w:ascii="Times New Roman" w:hAnsi="Times New Roman" w:cs="Times New Roman"/>
          <w:sz w:val="26"/>
          <w:szCs w:val="26"/>
        </w:rPr>
        <w:t xml:space="preserve"> on whether PGW’s practice of first applying partial payments to unpaid security deposits is acceptable, and, therefore, construed this silence to mean that the OCA accepts that some prioritization is permissible.  PGW contended tha</w:t>
      </w:r>
      <w:r w:rsidR="00C97DC4">
        <w:rPr>
          <w:rFonts w:ascii="Times New Roman" w:hAnsi="Times New Roman" w:cs="Times New Roman"/>
          <w:sz w:val="26"/>
          <w:szCs w:val="26"/>
        </w:rPr>
        <w:t>t any recommended</w:t>
      </w:r>
      <w:r w:rsidR="005C7F46">
        <w:rPr>
          <w:rFonts w:ascii="Times New Roman" w:hAnsi="Times New Roman" w:cs="Times New Roman"/>
          <w:sz w:val="26"/>
          <w:szCs w:val="26"/>
        </w:rPr>
        <w:t xml:space="preserve"> modifications to its practices that pertain to security deposits would run afoul of </w:t>
      </w:r>
      <w:r w:rsidR="00E46C0D">
        <w:rPr>
          <w:rFonts w:ascii="Times New Roman" w:hAnsi="Times New Roman" w:cs="Times New Roman"/>
          <w:sz w:val="26"/>
          <w:szCs w:val="26"/>
        </w:rPr>
        <w:t xml:space="preserve">Chapter 14, specifically </w:t>
      </w:r>
      <w:r w:rsidR="005C7F46">
        <w:rPr>
          <w:rFonts w:ascii="Times New Roman" w:hAnsi="Times New Roman" w:cs="Times New Roman"/>
          <w:sz w:val="26"/>
          <w:szCs w:val="26"/>
        </w:rPr>
        <w:t>Section</w:t>
      </w:r>
      <w:r w:rsidR="00E46C0D">
        <w:rPr>
          <w:rFonts w:ascii="Times New Roman" w:hAnsi="Times New Roman" w:cs="Times New Roman"/>
          <w:sz w:val="26"/>
          <w:szCs w:val="26"/>
        </w:rPr>
        <w:t>s</w:t>
      </w:r>
      <w:r w:rsidR="005C7F46">
        <w:rPr>
          <w:rFonts w:ascii="Times New Roman" w:hAnsi="Times New Roman" w:cs="Times New Roman"/>
          <w:sz w:val="26"/>
          <w:szCs w:val="26"/>
        </w:rPr>
        <w:t xml:space="preserve"> 1404 and 1406(a)(3) of the Code, 66 Pa. Code §§ 1404and 1406(a</w:t>
      </w:r>
      <w:r w:rsidR="00925D7B">
        <w:rPr>
          <w:rFonts w:ascii="Times New Roman" w:hAnsi="Times New Roman" w:cs="Times New Roman"/>
          <w:sz w:val="26"/>
          <w:szCs w:val="26"/>
        </w:rPr>
        <w:t xml:space="preserve">)(3). </w:t>
      </w:r>
      <w:r w:rsidR="00EC4B95">
        <w:rPr>
          <w:rFonts w:ascii="Times New Roman" w:hAnsi="Times New Roman" w:cs="Times New Roman"/>
          <w:sz w:val="26"/>
          <w:szCs w:val="26"/>
        </w:rPr>
        <w:t xml:space="preserve"> PGW M.B. at 17, n. 36.</w:t>
      </w:r>
    </w:p>
    <w:p w:rsidR="005C7F46" w:rsidRDefault="005C7F46" w:rsidP="005C7F46">
      <w:pPr>
        <w:spacing w:after="0" w:line="360" w:lineRule="auto"/>
        <w:rPr>
          <w:rFonts w:ascii="Times New Roman" w:hAnsi="Times New Roman" w:cs="Times New Roman"/>
          <w:sz w:val="26"/>
          <w:szCs w:val="26"/>
        </w:rPr>
      </w:pPr>
    </w:p>
    <w:p w:rsidR="00893173" w:rsidRDefault="00683105" w:rsidP="00893173">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Moreover, PGW argued that </w:t>
      </w:r>
      <w:r w:rsidR="00E8756D" w:rsidRPr="00E95541">
        <w:rPr>
          <w:rFonts w:ascii="Times New Roman" w:hAnsi="Times New Roman" w:cs="Times New Roman"/>
          <w:sz w:val="26"/>
          <w:szCs w:val="26"/>
        </w:rPr>
        <w:t xml:space="preserve">its payment posting practices are consistent with the intent of Chapter 14 of encouraging customers to timely pay their bills in full and avoiding situations where timely-paying customers are shouldering greater financial burdens due to the paying performance of late-paying and partial-paying customers. </w:t>
      </w:r>
      <w:r w:rsidR="00A42AC8">
        <w:rPr>
          <w:rFonts w:ascii="Times New Roman" w:hAnsi="Times New Roman" w:cs="Times New Roman"/>
          <w:sz w:val="26"/>
          <w:szCs w:val="26"/>
        </w:rPr>
        <w:t xml:space="preserve"> PGW M.B.  17-18. </w:t>
      </w:r>
      <w:r w:rsidR="005C7F46">
        <w:rPr>
          <w:rFonts w:ascii="Times New Roman" w:hAnsi="Times New Roman" w:cs="Times New Roman"/>
          <w:sz w:val="26"/>
          <w:szCs w:val="26"/>
        </w:rPr>
        <w:t xml:space="preserve"> Indeed, PGW argued that nothing in the Code or the Commission’s regulations prohibit prioritization of other components of prior service, including late payment charges.  PGW M.B. at 17, n. 36</w:t>
      </w:r>
      <w:r w:rsidR="005A526B">
        <w:rPr>
          <w:rFonts w:ascii="Times New Roman" w:hAnsi="Times New Roman" w:cs="Times New Roman"/>
          <w:sz w:val="26"/>
          <w:szCs w:val="26"/>
        </w:rPr>
        <w:t>.  Accordingly, PGW argued that the rulemaking process must be used</w:t>
      </w:r>
      <w:r w:rsidR="005C7F46">
        <w:rPr>
          <w:rFonts w:ascii="Times New Roman" w:hAnsi="Times New Roman" w:cs="Times New Roman"/>
          <w:sz w:val="26"/>
          <w:szCs w:val="26"/>
        </w:rPr>
        <w:t xml:space="preserve"> </w:t>
      </w:r>
      <w:r w:rsidR="005A526B">
        <w:rPr>
          <w:rFonts w:ascii="Times New Roman" w:hAnsi="Times New Roman" w:cs="Times New Roman"/>
          <w:sz w:val="26"/>
          <w:szCs w:val="26"/>
        </w:rPr>
        <w:t>by the Commission to consider and direct modifications to PGW’s partial payment allocation practices.  PGW M.B. at 35-38.</w:t>
      </w:r>
    </w:p>
    <w:p w:rsidR="005A526B" w:rsidRDefault="005A526B" w:rsidP="00893173">
      <w:pPr>
        <w:spacing w:after="0" w:line="360" w:lineRule="auto"/>
        <w:ind w:firstLine="1440"/>
        <w:rPr>
          <w:rFonts w:ascii="Times New Roman" w:hAnsi="Times New Roman" w:cs="Times New Roman"/>
          <w:sz w:val="26"/>
          <w:szCs w:val="26"/>
        </w:rPr>
      </w:pPr>
    </w:p>
    <w:p w:rsidR="00377058" w:rsidRDefault="00377058" w:rsidP="00C26BEC">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To address PGW’s arguments, first we recognize that the OCA’s challenges to PGW’s partial payment allocation practices pertain only to late payment fees, not security deposits.  In other words, the OCA </w:t>
      </w:r>
      <w:r w:rsidR="001C287C">
        <w:rPr>
          <w:rFonts w:ascii="Times New Roman" w:hAnsi="Times New Roman" w:cs="Times New Roman"/>
          <w:sz w:val="26"/>
          <w:szCs w:val="26"/>
        </w:rPr>
        <w:t xml:space="preserve">did not challenge </w:t>
      </w:r>
      <w:r>
        <w:rPr>
          <w:rFonts w:ascii="Times New Roman" w:hAnsi="Times New Roman" w:cs="Times New Roman"/>
          <w:sz w:val="26"/>
          <w:szCs w:val="26"/>
        </w:rPr>
        <w:t xml:space="preserve">PGW’s practice of applying a customer’s partial payment first to pay off any </w:t>
      </w:r>
      <w:r w:rsidR="00206AB8">
        <w:rPr>
          <w:rFonts w:ascii="Times New Roman" w:hAnsi="Times New Roman" w:cs="Times New Roman"/>
          <w:sz w:val="26"/>
          <w:szCs w:val="26"/>
        </w:rPr>
        <w:t xml:space="preserve">required </w:t>
      </w:r>
      <w:r w:rsidR="00A42AC8">
        <w:rPr>
          <w:rFonts w:ascii="Times New Roman" w:hAnsi="Times New Roman" w:cs="Times New Roman"/>
          <w:sz w:val="26"/>
          <w:szCs w:val="26"/>
        </w:rPr>
        <w:t>security deposit.</w:t>
      </w:r>
    </w:p>
    <w:p w:rsidR="00206AB8" w:rsidRDefault="00206AB8" w:rsidP="00C26BEC">
      <w:pPr>
        <w:spacing w:after="0" w:line="360" w:lineRule="auto"/>
        <w:ind w:firstLine="1440"/>
        <w:rPr>
          <w:rFonts w:ascii="Times New Roman" w:hAnsi="Times New Roman" w:cs="Times New Roman"/>
          <w:sz w:val="26"/>
          <w:szCs w:val="26"/>
        </w:rPr>
      </w:pPr>
    </w:p>
    <w:p w:rsidR="00D55195" w:rsidRDefault="00620516" w:rsidP="00C26BEC">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Next,</w:t>
      </w:r>
      <w:r w:rsidR="00377058">
        <w:rPr>
          <w:rFonts w:ascii="Times New Roman" w:hAnsi="Times New Roman" w:cs="Times New Roman"/>
          <w:sz w:val="26"/>
          <w:szCs w:val="26"/>
        </w:rPr>
        <w:t xml:space="preserve"> </w:t>
      </w:r>
      <w:r w:rsidR="0027652E">
        <w:rPr>
          <w:rFonts w:ascii="Times New Roman" w:hAnsi="Times New Roman" w:cs="Times New Roman"/>
          <w:sz w:val="26"/>
          <w:szCs w:val="26"/>
        </w:rPr>
        <w:t>as to</w:t>
      </w:r>
      <w:r w:rsidR="00377058">
        <w:rPr>
          <w:rFonts w:ascii="Times New Roman" w:hAnsi="Times New Roman" w:cs="Times New Roman"/>
          <w:sz w:val="26"/>
          <w:szCs w:val="26"/>
        </w:rPr>
        <w:t xml:space="preserve"> </w:t>
      </w:r>
      <w:r w:rsidR="00C26BEC">
        <w:rPr>
          <w:rFonts w:ascii="Times New Roman" w:hAnsi="Times New Roman" w:cs="Times New Roman"/>
          <w:sz w:val="26"/>
          <w:szCs w:val="26"/>
        </w:rPr>
        <w:t>PGW’s arguments</w:t>
      </w:r>
      <w:r w:rsidR="00377058">
        <w:rPr>
          <w:rFonts w:ascii="Times New Roman" w:hAnsi="Times New Roman" w:cs="Times New Roman"/>
          <w:sz w:val="26"/>
          <w:szCs w:val="26"/>
        </w:rPr>
        <w:t xml:space="preserve"> </w:t>
      </w:r>
      <w:r w:rsidR="00C26BEC">
        <w:rPr>
          <w:rFonts w:ascii="Times New Roman" w:hAnsi="Times New Roman" w:cs="Times New Roman"/>
          <w:sz w:val="26"/>
          <w:szCs w:val="26"/>
        </w:rPr>
        <w:t>related to Chapter 14</w:t>
      </w:r>
      <w:r w:rsidR="0027652E">
        <w:rPr>
          <w:rFonts w:ascii="Times New Roman" w:hAnsi="Times New Roman" w:cs="Times New Roman"/>
          <w:sz w:val="26"/>
          <w:szCs w:val="26"/>
        </w:rPr>
        <w:t>, such</w:t>
      </w:r>
      <w:r w:rsidR="00767566" w:rsidRPr="008D28D3">
        <w:rPr>
          <w:rFonts w:ascii="Times New Roman" w:hAnsi="Times New Roman" w:cs="Times New Roman"/>
          <w:sz w:val="26"/>
          <w:szCs w:val="26"/>
        </w:rPr>
        <w:t xml:space="preserve"> involve </w:t>
      </w:r>
      <w:r w:rsidR="00767566" w:rsidRPr="008D28D3">
        <w:rPr>
          <w:rFonts w:ascii="Times New Roman" w:hAnsi="Times New Roman" w:cs="Times New Roman"/>
          <w:bCs/>
          <w:sz w:val="26"/>
          <w:szCs w:val="26"/>
        </w:rPr>
        <w:t>statutory</w:t>
      </w:r>
      <w:r w:rsidR="00767566" w:rsidRPr="008D28D3">
        <w:rPr>
          <w:rFonts w:ascii="Times New Roman" w:hAnsi="Times New Roman" w:cs="Times New Roman"/>
          <w:sz w:val="26"/>
          <w:szCs w:val="26"/>
        </w:rPr>
        <w:t xml:space="preserve"> </w:t>
      </w:r>
      <w:r w:rsidR="00767566" w:rsidRPr="008D28D3">
        <w:rPr>
          <w:rFonts w:ascii="Times New Roman" w:hAnsi="Times New Roman" w:cs="Times New Roman"/>
          <w:bCs/>
          <w:sz w:val="26"/>
          <w:szCs w:val="26"/>
        </w:rPr>
        <w:t>interpretation</w:t>
      </w:r>
      <w:r w:rsidR="00377058">
        <w:rPr>
          <w:rFonts w:ascii="Times New Roman" w:hAnsi="Times New Roman" w:cs="Times New Roman"/>
          <w:sz w:val="26"/>
          <w:szCs w:val="26"/>
        </w:rPr>
        <w:t xml:space="preserve">, which </w:t>
      </w:r>
      <w:r w:rsidR="00C26BEC">
        <w:rPr>
          <w:rFonts w:ascii="Times New Roman" w:hAnsi="Times New Roman" w:cs="Times New Roman"/>
          <w:sz w:val="26"/>
          <w:szCs w:val="26"/>
        </w:rPr>
        <w:t>is a question of law.  T</w:t>
      </w:r>
      <w:r w:rsidR="00767566" w:rsidRPr="008D28D3">
        <w:rPr>
          <w:rFonts w:ascii="Times New Roman" w:hAnsi="Times New Roman" w:cs="Times New Roman"/>
          <w:sz w:val="26"/>
          <w:szCs w:val="26"/>
        </w:rPr>
        <w:t xml:space="preserve">he </w:t>
      </w:r>
      <w:r w:rsidR="00767566" w:rsidRPr="008D28D3">
        <w:rPr>
          <w:rFonts w:ascii="Times New Roman" w:hAnsi="Times New Roman" w:cs="Times New Roman"/>
          <w:bCs/>
          <w:sz w:val="26"/>
          <w:szCs w:val="26"/>
        </w:rPr>
        <w:t>Statutory</w:t>
      </w:r>
      <w:r w:rsidR="00767566" w:rsidRPr="008D28D3">
        <w:rPr>
          <w:rFonts w:ascii="Times New Roman" w:hAnsi="Times New Roman" w:cs="Times New Roman"/>
          <w:sz w:val="26"/>
          <w:szCs w:val="26"/>
        </w:rPr>
        <w:t xml:space="preserve"> </w:t>
      </w:r>
      <w:r w:rsidR="00767566" w:rsidRPr="008D28D3">
        <w:rPr>
          <w:rFonts w:ascii="Times New Roman" w:hAnsi="Times New Roman" w:cs="Times New Roman"/>
          <w:bCs/>
          <w:sz w:val="26"/>
          <w:szCs w:val="26"/>
        </w:rPr>
        <w:t>Construction</w:t>
      </w:r>
      <w:r w:rsidR="00767566" w:rsidRPr="008D28D3">
        <w:rPr>
          <w:rFonts w:ascii="Times New Roman" w:hAnsi="Times New Roman" w:cs="Times New Roman"/>
          <w:sz w:val="26"/>
          <w:szCs w:val="26"/>
        </w:rPr>
        <w:t xml:space="preserve"> Act provides that the object of interpretation is to ascertain and effectuate the intent of the General Assembly.  1 Pa. </w:t>
      </w:r>
      <w:r w:rsidR="00767566">
        <w:rPr>
          <w:rFonts w:ascii="Times New Roman" w:hAnsi="Times New Roman" w:cs="Times New Roman"/>
          <w:sz w:val="26"/>
          <w:szCs w:val="26"/>
        </w:rPr>
        <w:t xml:space="preserve">C.S. § 1921(a). </w:t>
      </w:r>
      <w:r w:rsidR="00C26BEC">
        <w:rPr>
          <w:rFonts w:ascii="Times New Roman" w:hAnsi="Times New Roman" w:cs="Times New Roman"/>
          <w:sz w:val="26"/>
          <w:szCs w:val="26"/>
        </w:rPr>
        <w:t xml:space="preserve"> </w:t>
      </w:r>
      <w:r w:rsidR="00C26BEC" w:rsidRPr="008D28D3">
        <w:rPr>
          <w:rFonts w:ascii="Times New Roman" w:hAnsi="Times New Roman" w:cs="Times New Roman"/>
          <w:sz w:val="26"/>
          <w:szCs w:val="26"/>
        </w:rPr>
        <w:t>The statute's plain language generally provides the best in</w:t>
      </w:r>
      <w:r w:rsidR="00C26BEC">
        <w:rPr>
          <w:rFonts w:ascii="Times New Roman" w:hAnsi="Times New Roman" w:cs="Times New Roman"/>
          <w:sz w:val="26"/>
          <w:szCs w:val="26"/>
        </w:rPr>
        <w:t>dication of legislative intent.</w:t>
      </w:r>
      <w:r w:rsidR="00C26BEC" w:rsidRPr="008D28D3">
        <w:rPr>
          <w:rFonts w:ascii="Times New Roman" w:hAnsi="Times New Roman" w:cs="Times New Roman"/>
          <w:sz w:val="26"/>
          <w:szCs w:val="26"/>
        </w:rPr>
        <w:t xml:space="preserve"> </w:t>
      </w:r>
      <w:r w:rsidR="00C26BEC" w:rsidRPr="008D28D3">
        <w:rPr>
          <w:rFonts w:ascii="Times New Roman" w:hAnsi="Times New Roman" w:cs="Times New Roman"/>
          <w:i/>
          <w:iCs/>
          <w:sz w:val="26"/>
          <w:szCs w:val="26"/>
        </w:rPr>
        <w:t xml:space="preserve">See </w:t>
      </w:r>
      <w:r w:rsidR="00C26BEC" w:rsidRPr="008D28D3">
        <w:rPr>
          <w:rFonts w:ascii="Times New Roman" w:hAnsi="Times New Roman" w:cs="Times New Roman"/>
          <w:iCs/>
          <w:sz w:val="26"/>
          <w:szCs w:val="26"/>
        </w:rPr>
        <w:t>1 Pa. C.S. § 1921(b);</w:t>
      </w:r>
      <w:r w:rsidR="00C26BEC" w:rsidRPr="008D28D3">
        <w:rPr>
          <w:rFonts w:ascii="Times New Roman" w:hAnsi="Times New Roman" w:cs="Times New Roman"/>
          <w:i/>
          <w:iCs/>
          <w:sz w:val="26"/>
          <w:szCs w:val="26"/>
        </w:rPr>
        <w:t xml:space="preserve"> see also </w:t>
      </w:r>
      <w:r w:rsidR="00C26BEC" w:rsidRPr="008D28D3">
        <w:rPr>
          <w:rFonts w:ascii="Times New Roman" w:hAnsi="Times New Roman" w:cs="Times New Roman"/>
          <w:i/>
          <w:sz w:val="26"/>
          <w:szCs w:val="26"/>
        </w:rPr>
        <w:t>A.S. v. Pennsylvania State Police</w:t>
      </w:r>
      <w:r w:rsidR="00C26BEC" w:rsidRPr="008D28D3">
        <w:rPr>
          <w:rFonts w:ascii="Times New Roman" w:hAnsi="Times New Roman" w:cs="Times New Roman"/>
          <w:sz w:val="26"/>
          <w:szCs w:val="26"/>
        </w:rPr>
        <w:t>, 636 Pa. 403, 415, 143 A. 3d 896, 903 (2016), citing</w:t>
      </w:r>
      <w:r w:rsidR="00C26BEC" w:rsidRPr="008D28D3">
        <w:rPr>
          <w:rFonts w:ascii="Times New Roman" w:hAnsi="Times New Roman" w:cs="Times New Roman"/>
          <w:i/>
          <w:iCs/>
          <w:sz w:val="26"/>
          <w:szCs w:val="26"/>
        </w:rPr>
        <w:t xml:space="preserve"> McGrory v. Dep't of Transp.,</w:t>
      </w:r>
      <w:r w:rsidR="00C26BEC" w:rsidRPr="008D28D3">
        <w:rPr>
          <w:rFonts w:ascii="Times New Roman" w:hAnsi="Times New Roman" w:cs="Times New Roman"/>
          <w:sz w:val="26"/>
          <w:szCs w:val="26"/>
        </w:rPr>
        <w:t xml:space="preserve"> 591 Pa. 56, 915 A.2d 1155, 1158 (2007); </w:t>
      </w:r>
      <w:r w:rsidR="00C26BEC" w:rsidRPr="008D28D3">
        <w:rPr>
          <w:rFonts w:ascii="Times New Roman" w:hAnsi="Times New Roman" w:cs="Times New Roman"/>
          <w:i/>
          <w:iCs/>
          <w:sz w:val="26"/>
          <w:szCs w:val="26"/>
        </w:rPr>
        <w:t>Commonwealth v. Gilmour Mfg. Co.,</w:t>
      </w:r>
      <w:r w:rsidR="00C26BEC" w:rsidRPr="008D28D3">
        <w:rPr>
          <w:rFonts w:ascii="Times New Roman" w:hAnsi="Times New Roman" w:cs="Times New Roman"/>
          <w:sz w:val="26"/>
          <w:szCs w:val="26"/>
        </w:rPr>
        <w:t xml:space="preserve"> 573 Pa. 143, 822 A.2d 676, 679 (200</w:t>
      </w:r>
      <w:r w:rsidR="00EC4B95">
        <w:rPr>
          <w:rFonts w:ascii="Times New Roman" w:hAnsi="Times New Roman" w:cs="Times New Roman"/>
          <w:sz w:val="26"/>
          <w:szCs w:val="26"/>
        </w:rPr>
        <w:t>3).</w:t>
      </w:r>
    </w:p>
    <w:p w:rsidR="00D55195" w:rsidRDefault="00D55195" w:rsidP="00C26BEC">
      <w:pPr>
        <w:spacing w:after="0" w:line="360" w:lineRule="auto"/>
        <w:ind w:firstLine="1440"/>
        <w:rPr>
          <w:rFonts w:ascii="Times New Roman" w:hAnsi="Times New Roman" w:cs="Times New Roman"/>
          <w:sz w:val="26"/>
          <w:szCs w:val="26"/>
        </w:rPr>
      </w:pPr>
    </w:p>
    <w:p w:rsidR="00767566" w:rsidRDefault="00767566" w:rsidP="00C26BEC">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The Rules of Statutory Construction, 1 Pa. C.S. § 1921(a)-(b), provide </w:t>
      </w:r>
      <w:r w:rsidR="00C26BEC">
        <w:rPr>
          <w:rFonts w:ascii="Times New Roman" w:hAnsi="Times New Roman" w:cs="Times New Roman"/>
          <w:sz w:val="26"/>
          <w:szCs w:val="26"/>
        </w:rPr>
        <w:t>as follows</w:t>
      </w:r>
      <w:r w:rsidR="00925D7B">
        <w:rPr>
          <w:rFonts w:ascii="Times New Roman" w:hAnsi="Times New Roman" w:cs="Times New Roman"/>
          <w:sz w:val="26"/>
          <w:szCs w:val="26"/>
        </w:rPr>
        <w:t>:</w:t>
      </w:r>
    </w:p>
    <w:p w:rsidR="00767566" w:rsidRPr="00E95541" w:rsidRDefault="00767566" w:rsidP="00767566">
      <w:pPr>
        <w:spacing w:after="0" w:line="360" w:lineRule="auto"/>
        <w:ind w:firstLine="1440"/>
        <w:rPr>
          <w:rFonts w:ascii="Times New Roman" w:hAnsi="Times New Roman" w:cs="Times New Roman"/>
          <w:sz w:val="26"/>
          <w:szCs w:val="26"/>
        </w:rPr>
      </w:pPr>
    </w:p>
    <w:p w:rsidR="00767566" w:rsidRDefault="00767566" w:rsidP="00767566">
      <w:pPr>
        <w:spacing w:after="0" w:line="240" w:lineRule="auto"/>
        <w:ind w:left="1440" w:right="1440"/>
        <w:rPr>
          <w:rFonts w:ascii="Times New Roman" w:eastAsia="Times New Roman" w:hAnsi="Times New Roman" w:cs="Times New Roman"/>
          <w:sz w:val="26"/>
          <w:szCs w:val="26"/>
        </w:rPr>
      </w:pPr>
      <w:r w:rsidRPr="00E95541">
        <w:rPr>
          <w:rFonts w:ascii="Times New Roman" w:eastAsia="Times New Roman" w:hAnsi="Times New Roman" w:cs="Times New Roman"/>
          <w:sz w:val="26"/>
          <w:szCs w:val="26"/>
        </w:rPr>
        <w:t xml:space="preserve">(a) The object of all interpretation and construction of statutes is to ascertain and effectuate the intention of the General Assembly. </w:t>
      </w:r>
      <w:r>
        <w:rPr>
          <w:rFonts w:ascii="Times New Roman" w:eastAsia="Times New Roman" w:hAnsi="Times New Roman" w:cs="Times New Roman"/>
          <w:sz w:val="26"/>
          <w:szCs w:val="26"/>
        </w:rPr>
        <w:t xml:space="preserve"> </w:t>
      </w:r>
      <w:r w:rsidRPr="00E95541">
        <w:rPr>
          <w:rFonts w:ascii="Times New Roman" w:eastAsia="Times New Roman" w:hAnsi="Times New Roman" w:cs="Times New Roman"/>
          <w:sz w:val="26"/>
          <w:szCs w:val="26"/>
        </w:rPr>
        <w:t>Every statute shall be construed, if possible, to give effect to all its provisions.</w:t>
      </w:r>
    </w:p>
    <w:p w:rsidR="00767566" w:rsidRPr="00E95541" w:rsidRDefault="00767566" w:rsidP="00767566">
      <w:pPr>
        <w:spacing w:after="0" w:line="240" w:lineRule="auto"/>
        <w:ind w:left="1440" w:right="1440"/>
        <w:rPr>
          <w:rFonts w:ascii="Times New Roman" w:eastAsia="Times New Roman" w:hAnsi="Times New Roman" w:cs="Times New Roman"/>
          <w:sz w:val="26"/>
          <w:szCs w:val="26"/>
        </w:rPr>
      </w:pPr>
    </w:p>
    <w:p w:rsidR="00767566" w:rsidRDefault="00767566" w:rsidP="00767566">
      <w:pPr>
        <w:spacing w:after="0" w:line="240" w:lineRule="auto"/>
        <w:ind w:left="1440" w:right="1440"/>
        <w:rPr>
          <w:rFonts w:ascii="Times New Roman" w:eastAsia="Times New Roman" w:hAnsi="Times New Roman" w:cs="Times New Roman"/>
          <w:sz w:val="26"/>
          <w:szCs w:val="26"/>
        </w:rPr>
      </w:pPr>
      <w:r w:rsidRPr="00E95541">
        <w:rPr>
          <w:rFonts w:ascii="Times New Roman" w:eastAsia="Times New Roman" w:hAnsi="Times New Roman" w:cs="Times New Roman"/>
          <w:sz w:val="26"/>
          <w:szCs w:val="26"/>
        </w:rPr>
        <w:t>(b) When the words of a statute are clear and free from all ambiguity, the letter of it is not to be disregarded under the pretext of pursuing its spirit.</w:t>
      </w:r>
    </w:p>
    <w:p w:rsidR="00EC4B95" w:rsidRDefault="00EC4B95" w:rsidP="00767566">
      <w:pPr>
        <w:spacing w:after="0" w:line="240" w:lineRule="auto"/>
        <w:ind w:left="1440" w:right="1440"/>
        <w:rPr>
          <w:rFonts w:ascii="Times New Roman" w:eastAsia="Times New Roman" w:hAnsi="Times New Roman" w:cs="Times New Roman"/>
          <w:sz w:val="26"/>
          <w:szCs w:val="26"/>
        </w:rPr>
      </w:pPr>
    </w:p>
    <w:p w:rsidR="00EC4B95" w:rsidRDefault="00EC4B95" w:rsidP="00767566">
      <w:pPr>
        <w:spacing w:after="0" w:line="240" w:lineRule="auto"/>
        <w:ind w:left="1440" w:right="1440"/>
        <w:rPr>
          <w:rFonts w:ascii="Times New Roman" w:eastAsia="Times New Roman" w:hAnsi="Times New Roman" w:cs="Times New Roman"/>
          <w:sz w:val="26"/>
          <w:szCs w:val="26"/>
        </w:rPr>
      </w:pPr>
    </w:p>
    <w:p w:rsidR="008D28D3" w:rsidRDefault="00C26BEC" w:rsidP="00893173">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Chapter 14</w:t>
      </w:r>
      <w:r>
        <w:rPr>
          <w:rFonts w:ascii="Times New Roman" w:hAnsi="Times New Roman" w:cs="Times New Roman"/>
          <w:sz w:val="26"/>
          <w:szCs w:val="26"/>
        </w:rPr>
        <w:t>,</w:t>
      </w:r>
      <w:r w:rsidR="00D55195">
        <w:rPr>
          <w:rFonts w:ascii="Times New Roman" w:hAnsi="Times New Roman" w:cs="Times New Roman"/>
          <w:sz w:val="26"/>
          <w:szCs w:val="26"/>
        </w:rPr>
        <w:t xml:space="preserve"> 66 Pa. C.S. § 1401 </w:t>
      </w:r>
      <w:r w:rsidR="00D55195" w:rsidRPr="00D55195">
        <w:rPr>
          <w:rFonts w:ascii="Times New Roman" w:hAnsi="Times New Roman" w:cs="Times New Roman"/>
          <w:i/>
          <w:sz w:val="26"/>
          <w:szCs w:val="26"/>
        </w:rPr>
        <w:t>et seq</w:t>
      </w:r>
      <w:r w:rsidR="00D55195">
        <w:rPr>
          <w:rFonts w:ascii="Times New Roman" w:hAnsi="Times New Roman" w:cs="Times New Roman"/>
          <w:sz w:val="26"/>
          <w:szCs w:val="26"/>
        </w:rPr>
        <w:t>.,</w:t>
      </w:r>
      <w:r>
        <w:rPr>
          <w:rFonts w:ascii="Times New Roman" w:hAnsi="Times New Roman" w:cs="Times New Roman"/>
          <w:sz w:val="26"/>
          <w:szCs w:val="26"/>
        </w:rPr>
        <w:t xml:space="preserve"> in general,</w:t>
      </w:r>
      <w:r w:rsidRPr="00E95541">
        <w:rPr>
          <w:rFonts w:ascii="Times New Roman" w:hAnsi="Times New Roman" w:cs="Times New Roman"/>
          <w:sz w:val="26"/>
          <w:szCs w:val="26"/>
        </w:rPr>
        <w:t xml:space="preserve"> confers </w:t>
      </w:r>
      <w:r>
        <w:rPr>
          <w:rFonts w:ascii="Times New Roman" w:hAnsi="Times New Roman" w:cs="Times New Roman"/>
          <w:sz w:val="26"/>
          <w:szCs w:val="26"/>
        </w:rPr>
        <w:t xml:space="preserve">certain </w:t>
      </w:r>
      <w:r w:rsidRPr="00E95541">
        <w:rPr>
          <w:rFonts w:ascii="Times New Roman" w:hAnsi="Times New Roman" w:cs="Times New Roman"/>
          <w:sz w:val="26"/>
          <w:szCs w:val="26"/>
        </w:rPr>
        <w:t xml:space="preserve">rights and responsibilities </w:t>
      </w:r>
      <w:r>
        <w:rPr>
          <w:rFonts w:ascii="Times New Roman" w:hAnsi="Times New Roman" w:cs="Times New Roman"/>
          <w:sz w:val="26"/>
          <w:szCs w:val="26"/>
        </w:rPr>
        <w:t>to</w:t>
      </w:r>
      <w:r w:rsidRPr="00E95541">
        <w:rPr>
          <w:rFonts w:ascii="Times New Roman" w:hAnsi="Times New Roman" w:cs="Times New Roman"/>
          <w:sz w:val="26"/>
          <w:szCs w:val="26"/>
        </w:rPr>
        <w:t xml:space="preserve"> utilities with respect to a customer’s delinquent account and failure to comply with the material </w:t>
      </w:r>
      <w:r>
        <w:rPr>
          <w:rFonts w:ascii="Times New Roman" w:hAnsi="Times New Roman" w:cs="Times New Roman"/>
          <w:sz w:val="26"/>
          <w:szCs w:val="26"/>
        </w:rPr>
        <w:t xml:space="preserve">terms of a payment arrangement.  The operative provisions of Chapter 14 to review include </w:t>
      </w:r>
      <w:r w:rsidR="008D28D3" w:rsidRPr="00E95541">
        <w:rPr>
          <w:rFonts w:ascii="Times New Roman" w:hAnsi="Times New Roman" w:cs="Times New Roman"/>
          <w:sz w:val="26"/>
          <w:szCs w:val="26"/>
        </w:rPr>
        <w:t>Section</w:t>
      </w:r>
      <w:r>
        <w:rPr>
          <w:rFonts w:ascii="Times New Roman" w:hAnsi="Times New Roman" w:cs="Times New Roman"/>
          <w:sz w:val="26"/>
          <w:szCs w:val="26"/>
        </w:rPr>
        <w:t>s</w:t>
      </w:r>
      <w:r w:rsidR="008D28D3" w:rsidRPr="00E95541">
        <w:rPr>
          <w:rFonts w:ascii="Times New Roman" w:hAnsi="Times New Roman" w:cs="Times New Roman"/>
          <w:sz w:val="26"/>
          <w:szCs w:val="26"/>
        </w:rPr>
        <w:t xml:space="preserve"> 1404(a)</w:t>
      </w:r>
      <w:r>
        <w:rPr>
          <w:rFonts w:ascii="Times New Roman" w:hAnsi="Times New Roman" w:cs="Times New Roman"/>
          <w:sz w:val="26"/>
          <w:szCs w:val="26"/>
        </w:rPr>
        <w:t xml:space="preserve"> and 1406(a)(3).  Section 1404</w:t>
      </w:r>
      <w:r w:rsidR="008D28D3" w:rsidRPr="00E95541">
        <w:rPr>
          <w:rFonts w:ascii="Times New Roman" w:hAnsi="Times New Roman" w:cs="Times New Roman"/>
          <w:sz w:val="26"/>
          <w:szCs w:val="26"/>
        </w:rPr>
        <w:t xml:space="preserve"> of the Code, 66 Pa. C.S. § 1404(a), establishes a public utility’s right to require a cash deposit from residential customers, payable over a </w:t>
      </w:r>
      <w:r w:rsidR="008D28D3">
        <w:rPr>
          <w:rFonts w:ascii="Times New Roman" w:hAnsi="Times New Roman" w:cs="Times New Roman"/>
          <w:sz w:val="26"/>
          <w:szCs w:val="26"/>
        </w:rPr>
        <w:t>ninety</w:t>
      </w:r>
      <w:r w:rsidR="008D28D3" w:rsidRPr="00E95541">
        <w:rPr>
          <w:rFonts w:ascii="Times New Roman" w:hAnsi="Times New Roman" w:cs="Times New Roman"/>
          <w:sz w:val="26"/>
          <w:szCs w:val="26"/>
        </w:rPr>
        <w:t xml:space="preserve">-day period in accordance with </w:t>
      </w:r>
      <w:r w:rsidR="008D28D3">
        <w:rPr>
          <w:rFonts w:ascii="Times New Roman" w:hAnsi="Times New Roman" w:cs="Times New Roman"/>
          <w:sz w:val="26"/>
          <w:szCs w:val="26"/>
        </w:rPr>
        <w:t>the Commission’s</w:t>
      </w:r>
      <w:r w:rsidR="008D28D3" w:rsidRPr="00E95541">
        <w:rPr>
          <w:rFonts w:ascii="Times New Roman" w:hAnsi="Times New Roman" w:cs="Times New Roman"/>
          <w:sz w:val="26"/>
          <w:szCs w:val="26"/>
        </w:rPr>
        <w:t xml:space="preserve"> Regulations.</w:t>
      </w:r>
      <w:r w:rsidR="00D55195">
        <w:rPr>
          <w:rFonts w:ascii="Times New Roman" w:hAnsi="Times New Roman" w:cs="Times New Roman"/>
          <w:sz w:val="26"/>
          <w:szCs w:val="26"/>
        </w:rPr>
        <w:t xml:space="preserve"> </w:t>
      </w:r>
      <w:r w:rsidR="008D28D3" w:rsidRPr="00E95541">
        <w:rPr>
          <w:rFonts w:ascii="Times New Roman" w:hAnsi="Times New Roman" w:cs="Times New Roman"/>
          <w:sz w:val="26"/>
          <w:szCs w:val="26"/>
        </w:rPr>
        <w:t xml:space="preserve"> </w:t>
      </w:r>
      <w:bookmarkStart w:id="4" w:name="_Hlk501634043"/>
      <w:r w:rsidR="008D28D3">
        <w:rPr>
          <w:rFonts w:ascii="Times New Roman" w:hAnsi="Times New Roman" w:cs="Times New Roman"/>
          <w:sz w:val="26"/>
          <w:szCs w:val="26"/>
        </w:rPr>
        <w:t>Meanwhile,</w:t>
      </w:r>
      <w:r w:rsidR="008D28D3" w:rsidRPr="00E95541">
        <w:rPr>
          <w:rFonts w:ascii="Times New Roman" w:hAnsi="Times New Roman" w:cs="Times New Roman"/>
          <w:sz w:val="26"/>
          <w:szCs w:val="26"/>
        </w:rPr>
        <w:t xml:space="preserve"> Section 1406(a)(3)</w:t>
      </w:r>
      <w:bookmarkEnd w:id="4"/>
      <w:r w:rsidR="008D28D3">
        <w:rPr>
          <w:rFonts w:ascii="Times New Roman" w:hAnsi="Times New Roman" w:cs="Times New Roman"/>
          <w:sz w:val="26"/>
          <w:szCs w:val="26"/>
        </w:rPr>
        <w:t xml:space="preserve"> of the Code, 66 Pa. C.S. §</w:t>
      </w:r>
      <w:r w:rsidR="00A42AC8">
        <w:rPr>
          <w:rFonts w:ascii="Times New Roman" w:hAnsi="Times New Roman" w:cs="Times New Roman"/>
          <w:sz w:val="26"/>
          <w:szCs w:val="26"/>
        </w:rPr>
        <w:t> </w:t>
      </w:r>
      <w:r w:rsidR="008D28D3">
        <w:rPr>
          <w:rFonts w:ascii="Times New Roman" w:hAnsi="Times New Roman" w:cs="Times New Roman"/>
          <w:sz w:val="26"/>
          <w:szCs w:val="26"/>
        </w:rPr>
        <w:t xml:space="preserve">1406(a)(3), </w:t>
      </w:r>
      <w:r w:rsidR="008D28D3" w:rsidRPr="00E95541">
        <w:rPr>
          <w:rFonts w:ascii="Times New Roman" w:hAnsi="Times New Roman" w:cs="Times New Roman"/>
          <w:sz w:val="26"/>
          <w:szCs w:val="26"/>
        </w:rPr>
        <w:t xml:space="preserve">authorizes a public utility to terminate service to a customer, after the required notice is given, for the customer’s failure to complete payment of a security </w:t>
      </w:r>
      <w:r w:rsidR="00A42AC8">
        <w:rPr>
          <w:rFonts w:ascii="Times New Roman" w:hAnsi="Times New Roman" w:cs="Times New Roman"/>
          <w:sz w:val="26"/>
          <w:szCs w:val="26"/>
        </w:rPr>
        <w:t>deposit.</w:t>
      </w:r>
    </w:p>
    <w:p w:rsidR="00893173" w:rsidRDefault="00893173" w:rsidP="00893173">
      <w:pPr>
        <w:spacing w:after="0" w:line="360" w:lineRule="auto"/>
        <w:ind w:firstLine="1440"/>
        <w:rPr>
          <w:sz w:val="26"/>
          <w:szCs w:val="26"/>
        </w:rPr>
      </w:pPr>
    </w:p>
    <w:p w:rsidR="007418F1" w:rsidRDefault="00C26BEC" w:rsidP="00475F2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The plain language of these</w:t>
      </w:r>
      <w:r w:rsidR="00124DB0">
        <w:rPr>
          <w:rFonts w:ascii="Times New Roman" w:hAnsi="Times New Roman" w:cs="Times New Roman"/>
          <w:sz w:val="26"/>
          <w:szCs w:val="26"/>
        </w:rPr>
        <w:t xml:space="preserve"> Chapter 14</w:t>
      </w:r>
      <w:r>
        <w:rPr>
          <w:rFonts w:ascii="Times New Roman" w:hAnsi="Times New Roman" w:cs="Times New Roman"/>
          <w:sz w:val="26"/>
          <w:szCs w:val="26"/>
        </w:rPr>
        <w:t xml:space="preserve"> provision</w:t>
      </w:r>
      <w:r w:rsidR="00620516">
        <w:rPr>
          <w:rFonts w:ascii="Times New Roman" w:hAnsi="Times New Roman" w:cs="Times New Roman"/>
          <w:sz w:val="26"/>
          <w:szCs w:val="26"/>
        </w:rPr>
        <w:t>s</w:t>
      </w:r>
      <w:r>
        <w:rPr>
          <w:rFonts w:ascii="Times New Roman" w:hAnsi="Times New Roman" w:cs="Times New Roman"/>
          <w:sz w:val="26"/>
          <w:szCs w:val="26"/>
        </w:rPr>
        <w:t xml:space="preserve"> clearly establishes a</w:t>
      </w:r>
      <w:r w:rsidR="007418F1">
        <w:rPr>
          <w:rFonts w:ascii="Times New Roman" w:hAnsi="Times New Roman" w:cs="Times New Roman"/>
          <w:sz w:val="26"/>
          <w:szCs w:val="26"/>
        </w:rPr>
        <w:t xml:space="preserve"> utility’s right to collect a security deposit</w:t>
      </w:r>
      <w:r>
        <w:rPr>
          <w:rFonts w:ascii="Times New Roman" w:hAnsi="Times New Roman" w:cs="Times New Roman"/>
          <w:sz w:val="26"/>
          <w:szCs w:val="26"/>
        </w:rPr>
        <w:t xml:space="preserve"> from its customers and to terminate service to a customer for such customer’s failure to </w:t>
      </w:r>
      <w:r w:rsidR="008304A8">
        <w:rPr>
          <w:rFonts w:ascii="Times New Roman" w:hAnsi="Times New Roman" w:cs="Times New Roman"/>
          <w:sz w:val="26"/>
          <w:szCs w:val="26"/>
        </w:rPr>
        <w:t xml:space="preserve">timely </w:t>
      </w:r>
      <w:r>
        <w:rPr>
          <w:rFonts w:ascii="Times New Roman" w:hAnsi="Times New Roman" w:cs="Times New Roman"/>
          <w:sz w:val="26"/>
          <w:szCs w:val="26"/>
        </w:rPr>
        <w:t xml:space="preserve">complete payment of the security deposit. </w:t>
      </w:r>
      <w:r w:rsidR="007418F1">
        <w:rPr>
          <w:rFonts w:ascii="Times New Roman" w:hAnsi="Times New Roman" w:cs="Times New Roman"/>
          <w:sz w:val="26"/>
          <w:szCs w:val="26"/>
        </w:rPr>
        <w:t xml:space="preserve"> These words are clear and free from ambiguity.</w:t>
      </w:r>
    </w:p>
    <w:p w:rsidR="00280907" w:rsidRDefault="00280907" w:rsidP="00475F23">
      <w:pPr>
        <w:spacing w:after="0" w:line="360" w:lineRule="auto"/>
        <w:ind w:firstLine="1440"/>
        <w:rPr>
          <w:rFonts w:ascii="Times New Roman" w:hAnsi="Times New Roman" w:cs="Times New Roman"/>
          <w:sz w:val="26"/>
          <w:szCs w:val="26"/>
        </w:rPr>
      </w:pPr>
    </w:p>
    <w:p w:rsidR="00377058" w:rsidRDefault="007418F1" w:rsidP="00391771">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However, while Chapter 14</w:t>
      </w:r>
      <w:r w:rsidR="00154BBC" w:rsidRPr="00E95541">
        <w:rPr>
          <w:rFonts w:ascii="Times New Roman" w:hAnsi="Times New Roman" w:cs="Times New Roman"/>
          <w:sz w:val="26"/>
          <w:szCs w:val="26"/>
        </w:rPr>
        <w:t xml:space="preserve"> </w:t>
      </w:r>
      <w:r w:rsidR="00683105" w:rsidRPr="00E95541">
        <w:rPr>
          <w:rFonts w:ascii="Times New Roman" w:hAnsi="Times New Roman" w:cs="Times New Roman"/>
          <w:sz w:val="26"/>
          <w:szCs w:val="26"/>
        </w:rPr>
        <w:t>confers certain</w:t>
      </w:r>
      <w:r w:rsidR="00154BBC" w:rsidRPr="00E95541">
        <w:rPr>
          <w:rFonts w:ascii="Times New Roman" w:hAnsi="Times New Roman" w:cs="Times New Roman"/>
          <w:sz w:val="26"/>
          <w:szCs w:val="26"/>
        </w:rPr>
        <w:t xml:space="preserve"> rights to a</w:t>
      </w:r>
      <w:r w:rsidR="00683105" w:rsidRPr="00E95541">
        <w:rPr>
          <w:rFonts w:ascii="Times New Roman" w:hAnsi="Times New Roman" w:cs="Times New Roman"/>
          <w:sz w:val="26"/>
          <w:szCs w:val="26"/>
        </w:rPr>
        <w:t xml:space="preserve"> public</w:t>
      </w:r>
      <w:r w:rsidR="00154BBC" w:rsidRPr="00E95541">
        <w:rPr>
          <w:rFonts w:ascii="Times New Roman" w:hAnsi="Times New Roman" w:cs="Times New Roman"/>
          <w:sz w:val="26"/>
          <w:szCs w:val="26"/>
        </w:rPr>
        <w:t xml:space="preserve"> utility</w:t>
      </w:r>
      <w:r w:rsidR="00683105" w:rsidRPr="00E95541">
        <w:rPr>
          <w:rFonts w:ascii="Times New Roman" w:hAnsi="Times New Roman" w:cs="Times New Roman"/>
          <w:sz w:val="26"/>
          <w:szCs w:val="26"/>
        </w:rPr>
        <w:t xml:space="preserve"> with respect to the collection of a security deposi</w:t>
      </w:r>
      <w:r>
        <w:rPr>
          <w:rFonts w:ascii="Times New Roman" w:hAnsi="Times New Roman" w:cs="Times New Roman"/>
          <w:sz w:val="26"/>
          <w:szCs w:val="26"/>
        </w:rPr>
        <w:t>t</w:t>
      </w:r>
      <w:r w:rsidR="00683105" w:rsidRPr="00E95541">
        <w:rPr>
          <w:rFonts w:ascii="Times New Roman" w:hAnsi="Times New Roman" w:cs="Times New Roman"/>
          <w:sz w:val="26"/>
          <w:szCs w:val="26"/>
        </w:rPr>
        <w:t xml:space="preserve">, </w:t>
      </w:r>
      <w:r>
        <w:rPr>
          <w:rFonts w:ascii="Times New Roman" w:hAnsi="Times New Roman" w:cs="Times New Roman"/>
          <w:sz w:val="26"/>
          <w:szCs w:val="26"/>
        </w:rPr>
        <w:t xml:space="preserve">the statute does not afford a utility the same or similar rights </w:t>
      </w:r>
      <w:r w:rsidR="00154BBC" w:rsidRPr="00E95541">
        <w:rPr>
          <w:rFonts w:ascii="Times New Roman" w:hAnsi="Times New Roman" w:cs="Times New Roman"/>
          <w:sz w:val="26"/>
          <w:szCs w:val="26"/>
        </w:rPr>
        <w:t xml:space="preserve">for </w:t>
      </w:r>
      <w:r>
        <w:rPr>
          <w:rFonts w:ascii="Times New Roman" w:hAnsi="Times New Roman" w:cs="Times New Roman"/>
          <w:sz w:val="26"/>
          <w:szCs w:val="26"/>
        </w:rPr>
        <w:t xml:space="preserve">the collection of </w:t>
      </w:r>
      <w:r w:rsidR="00154BBC" w:rsidRPr="00E95541">
        <w:rPr>
          <w:rFonts w:ascii="Times New Roman" w:hAnsi="Times New Roman" w:cs="Times New Roman"/>
          <w:sz w:val="26"/>
          <w:szCs w:val="26"/>
        </w:rPr>
        <w:t>late payment fees.</w:t>
      </w:r>
      <w:r w:rsidR="00280907">
        <w:rPr>
          <w:rFonts w:ascii="Times New Roman" w:hAnsi="Times New Roman" w:cs="Times New Roman"/>
          <w:sz w:val="26"/>
          <w:szCs w:val="26"/>
        </w:rPr>
        <w:t xml:space="preserve">  For that matter, the statute does not distinguish any other type of utility charge, other than security deposits.</w:t>
      </w:r>
      <w:r w:rsidR="00154BBC" w:rsidRPr="00E95541">
        <w:rPr>
          <w:rFonts w:ascii="Times New Roman" w:hAnsi="Times New Roman" w:cs="Times New Roman"/>
          <w:sz w:val="26"/>
          <w:szCs w:val="26"/>
        </w:rPr>
        <w:t xml:space="preserve">  </w:t>
      </w:r>
      <w:r w:rsidR="00716B17">
        <w:rPr>
          <w:rFonts w:ascii="Times New Roman" w:hAnsi="Times New Roman" w:cs="Times New Roman"/>
          <w:sz w:val="26"/>
          <w:szCs w:val="26"/>
        </w:rPr>
        <w:t xml:space="preserve">Had the General Assembly intended to provide the same rights for the </w:t>
      </w:r>
      <w:r w:rsidR="00D55195">
        <w:rPr>
          <w:rFonts w:ascii="Times New Roman" w:hAnsi="Times New Roman" w:cs="Times New Roman"/>
          <w:sz w:val="26"/>
          <w:szCs w:val="26"/>
        </w:rPr>
        <w:t xml:space="preserve">utility’s </w:t>
      </w:r>
      <w:r w:rsidR="00716B17">
        <w:rPr>
          <w:rFonts w:ascii="Times New Roman" w:hAnsi="Times New Roman" w:cs="Times New Roman"/>
          <w:sz w:val="26"/>
          <w:szCs w:val="26"/>
        </w:rPr>
        <w:t xml:space="preserve">collection of late payment charges as for security deposits, presumably </w:t>
      </w:r>
      <w:r w:rsidR="00D55195">
        <w:rPr>
          <w:rFonts w:ascii="Times New Roman" w:hAnsi="Times New Roman" w:cs="Times New Roman"/>
          <w:sz w:val="26"/>
          <w:szCs w:val="26"/>
        </w:rPr>
        <w:t xml:space="preserve">it would have added </w:t>
      </w:r>
      <w:r w:rsidR="00716B17">
        <w:rPr>
          <w:rFonts w:ascii="Times New Roman" w:hAnsi="Times New Roman" w:cs="Times New Roman"/>
          <w:sz w:val="26"/>
          <w:szCs w:val="26"/>
        </w:rPr>
        <w:t xml:space="preserve">similar language </w:t>
      </w:r>
      <w:r w:rsidR="00D55195">
        <w:rPr>
          <w:rFonts w:ascii="Times New Roman" w:hAnsi="Times New Roman" w:cs="Times New Roman"/>
          <w:sz w:val="26"/>
          <w:szCs w:val="26"/>
        </w:rPr>
        <w:t>in the statute as it did</w:t>
      </w:r>
      <w:r w:rsidR="00716B17">
        <w:rPr>
          <w:rFonts w:ascii="Times New Roman" w:hAnsi="Times New Roman" w:cs="Times New Roman"/>
          <w:sz w:val="26"/>
          <w:szCs w:val="26"/>
        </w:rPr>
        <w:t xml:space="preserve"> for security deposits.  </w:t>
      </w:r>
      <w:r>
        <w:rPr>
          <w:rFonts w:ascii="Times New Roman" w:eastAsia="Times New Roman" w:hAnsi="Times New Roman" w:cs="Times New Roman"/>
          <w:sz w:val="26"/>
          <w:szCs w:val="26"/>
        </w:rPr>
        <w:t>Under</w:t>
      </w:r>
      <w:r w:rsidR="00154BBC" w:rsidRPr="00E95541">
        <w:rPr>
          <w:rFonts w:ascii="Times New Roman" w:hAnsi="Times New Roman" w:cs="Times New Roman"/>
          <w:sz w:val="26"/>
          <w:szCs w:val="26"/>
        </w:rPr>
        <w:t xml:space="preserve"> the Rules of Statutory Cons</w:t>
      </w:r>
      <w:r>
        <w:rPr>
          <w:rFonts w:ascii="Times New Roman" w:hAnsi="Times New Roman" w:cs="Times New Roman"/>
          <w:sz w:val="26"/>
          <w:szCs w:val="26"/>
        </w:rPr>
        <w:t>truction, 1 Pa. C.S. § 1921(b)</w:t>
      </w:r>
      <w:r w:rsidR="008F411F">
        <w:rPr>
          <w:rFonts w:ascii="Times New Roman" w:hAnsi="Times New Roman" w:cs="Times New Roman"/>
          <w:sz w:val="26"/>
          <w:szCs w:val="26"/>
        </w:rPr>
        <w:t>, we are</w:t>
      </w:r>
      <w:r>
        <w:rPr>
          <w:rFonts w:ascii="Times New Roman" w:hAnsi="Times New Roman" w:cs="Times New Roman"/>
          <w:sz w:val="26"/>
          <w:szCs w:val="26"/>
        </w:rPr>
        <w:t xml:space="preserve"> prohibit</w:t>
      </w:r>
      <w:r w:rsidR="008F411F">
        <w:rPr>
          <w:rFonts w:ascii="Times New Roman" w:hAnsi="Times New Roman" w:cs="Times New Roman"/>
          <w:sz w:val="26"/>
          <w:szCs w:val="26"/>
        </w:rPr>
        <w:t>ed</w:t>
      </w:r>
      <w:r>
        <w:rPr>
          <w:rFonts w:ascii="Times New Roman" w:hAnsi="Times New Roman" w:cs="Times New Roman"/>
          <w:sz w:val="26"/>
          <w:szCs w:val="26"/>
        </w:rPr>
        <w:t xml:space="preserve"> from</w:t>
      </w:r>
      <w:r w:rsidR="005445C4" w:rsidRPr="00E95541">
        <w:rPr>
          <w:rFonts w:ascii="Times New Roman" w:eastAsia="Times New Roman" w:hAnsi="Times New Roman" w:cs="Times New Roman"/>
          <w:sz w:val="26"/>
          <w:szCs w:val="26"/>
        </w:rPr>
        <w:t xml:space="preserve"> disregard</w:t>
      </w:r>
      <w:r>
        <w:rPr>
          <w:rFonts w:ascii="Times New Roman" w:eastAsia="Times New Roman" w:hAnsi="Times New Roman" w:cs="Times New Roman"/>
          <w:sz w:val="26"/>
          <w:szCs w:val="26"/>
        </w:rPr>
        <w:t>ing</w:t>
      </w:r>
      <w:r w:rsidR="005445C4" w:rsidRPr="00E95541">
        <w:rPr>
          <w:rFonts w:ascii="Times New Roman" w:eastAsia="Times New Roman" w:hAnsi="Times New Roman" w:cs="Times New Roman"/>
          <w:sz w:val="26"/>
          <w:szCs w:val="26"/>
        </w:rPr>
        <w:t xml:space="preserve"> </w:t>
      </w:r>
      <w:r w:rsidR="00154BBC" w:rsidRPr="00E95541">
        <w:rPr>
          <w:rFonts w:ascii="Times New Roman" w:eastAsia="Times New Roman" w:hAnsi="Times New Roman" w:cs="Times New Roman"/>
          <w:sz w:val="26"/>
          <w:szCs w:val="26"/>
        </w:rPr>
        <w:t xml:space="preserve">the letter of </w:t>
      </w:r>
      <w:r w:rsidR="00B31649" w:rsidRPr="00E95541">
        <w:rPr>
          <w:rFonts w:ascii="Times New Roman" w:eastAsia="Times New Roman" w:hAnsi="Times New Roman" w:cs="Times New Roman"/>
          <w:sz w:val="26"/>
          <w:szCs w:val="26"/>
        </w:rPr>
        <w:t xml:space="preserve">Chapter 14 </w:t>
      </w:r>
      <w:r w:rsidR="00154BBC" w:rsidRPr="00E95541">
        <w:rPr>
          <w:rFonts w:ascii="Times New Roman" w:eastAsia="Times New Roman" w:hAnsi="Times New Roman" w:cs="Times New Roman"/>
          <w:sz w:val="26"/>
          <w:szCs w:val="26"/>
        </w:rPr>
        <w:t xml:space="preserve">under </w:t>
      </w:r>
      <w:r w:rsidR="00B31649" w:rsidRPr="00E95541">
        <w:rPr>
          <w:rFonts w:ascii="Times New Roman" w:eastAsia="Times New Roman" w:hAnsi="Times New Roman" w:cs="Times New Roman"/>
          <w:sz w:val="26"/>
          <w:szCs w:val="26"/>
        </w:rPr>
        <w:t xml:space="preserve">the </w:t>
      </w:r>
      <w:r w:rsidR="00154BBC" w:rsidRPr="00E95541">
        <w:rPr>
          <w:rFonts w:ascii="Times New Roman" w:eastAsia="Times New Roman" w:hAnsi="Times New Roman" w:cs="Times New Roman"/>
          <w:sz w:val="26"/>
          <w:szCs w:val="26"/>
        </w:rPr>
        <w:t xml:space="preserve">pretext of pursuing its spirit.  </w:t>
      </w:r>
      <w:r w:rsidR="00154BBC" w:rsidRPr="00E95541">
        <w:rPr>
          <w:rFonts w:ascii="Times New Roman" w:hAnsi="Times New Roman" w:cs="Times New Roman"/>
          <w:sz w:val="26"/>
          <w:szCs w:val="26"/>
        </w:rPr>
        <w:t xml:space="preserve">Thus, we must reject PGW’s argument that its </w:t>
      </w:r>
      <w:r w:rsidR="00E13669" w:rsidRPr="00E95541">
        <w:rPr>
          <w:rFonts w:ascii="Times New Roman" w:hAnsi="Times New Roman" w:cs="Times New Roman"/>
          <w:sz w:val="26"/>
          <w:szCs w:val="26"/>
        </w:rPr>
        <w:t>prioritization of late payment charges over other types of basic charges when posting a customer’s partial payment practices</w:t>
      </w:r>
      <w:r w:rsidR="00CD0B73" w:rsidRPr="00E95541">
        <w:rPr>
          <w:rFonts w:ascii="Times New Roman" w:hAnsi="Times New Roman" w:cs="Times New Roman"/>
          <w:sz w:val="26"/>
          <w:szCs w:val="26"/>
        </w:rPr>
        <w:t xml:space="preserve"> </w:t>
      </w:r>
      <w:r w:rsidR="00E13669" w:rsidRPr="00E95541">
        <w:rPr>
          <w:rFonts w:ascii="Times New Roman" w:hAnsi="Times New Roman" w:cs="Times New Roman"/>
          <w:sz w:val="26"/>
          <w:szCs w:val="26"/>
        </w:rPr>
        <w:t>is</w:t>
      </w:r>
      <w:r w:rsidR="00154BBC" w:rsidRPr="00E95541">
        <w:rPr>
          <w:rFonts w:ascii="Times New Roman" w:hAnsi="Times New Roman" w:cs="Times New Roman"/>
          <w:sz w:val="26"/>
          <w:szCs w:val="26"/>
        </w:rPr>
        <w:t xml:space="preserve"> consistent with the policy obje</w:t>
      </w:r>
      <w:r w:rsidR="00280907">
        <w:rPr>
          <w:rFonts w:ascii="Times New Roman" w:hAnsi="Times New Roman" w:cs="Times New Roman"/>
          <w:sz w:val="26"/>
          <w:szCs w:val="26"/>
        </w:rPr>
        <w:t xml:space="preserve">ctives and intent of Chapter 14 to </w:t>
      </w:r>
      <w:r w:rsidR="00280907" w:rsidRPr="00E95541">
        <w:rPr>
          <w:rFonts w:ascii="Times New Roman" w:hAnsi="Times New Roman" w:cs="Times New Roman"/>
          <w:sz w:val="26"/>
          <w:szCs w:val="26"/>
        </w:rPr>
        <w:t>encourag</w:t>
      </w:r>
      <w:r w:rsidR="00280907">
        <w:rPr>
          <w:rFonts w:ascii="Times New Roman" w:hAnsi="Times New Roman" w:cs="Times New Roman"/>
          <w:sz w:val="26"/>
          <w:szCs w:val="26"/>
        </w:rPr>
        <w:t>e</w:t>
      </w:r>
      <w:r w:rsidR="00280907" w:rsidRPr="00E95541">
        <w:rPr>
          <w:rFonts w:ascii="Times New Roman" w:hAnsi="Times New Roman" w:cs="Times New Roman"/>
          <w:sz w:val="26"/>
          <w:szCs w:val="26"/>
        </w:rPr>
        <w:t xml:space="preserve"> customers to timely pay their bills in full and </w:t>
      </w:r>
      <w:r w:rsidR="00280907">
        <w:rPr>
          <w:rFonts w:ascii="Times New Roman" w:hAnsi="Times New Roman" w:cs="Times New Roman"/>
          <w:sz w:val="26"/>
          <w:szCs w:val="26"/>
        </w:rPr>
        <w:t xml:space="preserve">to </w:t>
      </w:r>
      <w:r w:rsidR="00280907" w:rsidRPr="00E95541">
        <w:rPr>
          <w:rFonts w:ascii="Times New Roman" w:hAnsi="Times New Roman" w:cs="Times New Roman"/>
          <w:sz w:val="26"/>
          <w:szCs w:val="26"/>
        </w:rPr>
        <w:t xml:space="preserve">avoid </w:t>
      </w:r>
      <w:r w:rsidR="00280907">
        <w:rPr>
          <w:rFonts w:ascii="Times New Roman" w:hAnsi="Times New Roman" w:cs="Times New Roman"/>
          <w:sz w:val="26"/>
          <w:szCs w:val="26"/>
        </w:rPr>
        <w:t>shifting financial burdens to timely-paying customers.</w:t>
      </w:r>
    </w:p>
    <w:p w:rsidR="00377058" w:rsidRDefault="00377058" w:rsidP="00391771">
      <w:pPr>
        <w:spacing w:after="0" w:line="360" w:lineRule="auto"/>
        <w:ind w:firstLine="1440"/>
        <w:rPr>
          <w:rFonts w:ascii="Times New Roman" w:hAnsi="Times New Roman" w:cs="Times New Roman"/>
          <w:sz w:val="26"/>
          <w:szCs w:val="26"/>
        </w:rPr>
      </w:pPr>
    </w:p>
    <w:p w:rsidR="00124DB0" w:rsidRDefault="00377058" w:rsidP="0028110F">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Accordingly, </w:t>
      </w:r>
      <w:r w:rsidR="001C287C">
        <w:rPr>
          <w:rFonts w:ascii="Times New Roman" w:hAnsi="Times New Roman" w:cs="Times New Roman"/>
          <w:sz w:val="26"/>
          <w:szCs w:val="26"/>
        </w:rPr>
        <w:t xml:space="preserve">we see no reason why PGW should be able to continue its </w:t>
      </w:r>
      <w:r>
        <w:rPr>
          <w:rFonts w:ascii="Times New Roman" w:hAnsi="Times New Roman" w:cs="Times New Roman"/>
          <w:sz w:val="26"/>
          <w:szCs w:val="26"/>
        </w:rPr>
        <w:t xml:space="preserve">practice </w:t>
      </w:r>
      <w:r w:rsidR="001C287C">
        <w:rPr>
          <w:rFonts w:ascii="Times New Roman" w:hAnsi="Times New Roman" w:cs="Times New Roman"/>
          <w:sz w:val="26"/>
          <w:szCs w:val="26"/>
        </w:rPr>
        <w:t>of</w:t>
      </w:r>
      <w:r>
        <w:rPr>
          <w:rFonts w:ascii="Times New Roman" w:hAnsi="Times New Roman" w:cs="Times New Roman"/>
          <w:sz w:val="26"/>
          <w:szCs w:val="26"/>
        </w:rPr>
        <w:t xml:space="preserve"> post</w:t>
      </w:r>
      <w:r w:rsidR="001C287C">
        <w:rPr>
          <w:rFonts w:ascii="Times New Roman" w:hAnsi="Times New Roman" w:cs="Times New Roman"/>
          <w:sz w:val="26"/>
          <w:szCs w:val="26"/>
        </w:rPr>
        <w:t>ing</w:t>
      </w:r>
      <w:r>
        <w:rPr>
          <w:rFonts w:ascii="Times New Roman" w:hAnsi="Times New Roman" w:cs="Times New Roman"/>
          <w:sz w:val="26"/>
          <w:szCs w:val="26"/>
        </w:rPr>
        <w:t xml:space="preserve"> a </w:t>
      </w:r>
      <w:r w:rsidR="00620516">
        <w:rPr>
          <w:rFonts w:ascii="Times New Roman" w:hAnsi="Times New Roman" w:cs="Times New Roman"/>
          <w:sz w:val="26"/>
          <w:szCs w:val="26"/>
        </w:rPr>
        <w:t xml:space="preserve">residential </w:t>
      </w:r>
      <w:r>
        <w:rPr>
          <w:rFonts w:ascii="Times New Roman" w:hAnsi="Times New Roman" w:cs="Times New Roman"/>
          <w:sz w:val="26"/>
          <w:szCs w:val="26"/>
        </w:rPr>
        <w:t>customer’s partial payment to all late fees before posting it to an older ba</w:t>
      </w:r>
      <w:r w:rsidR="00EC4B95">
        <w:rPr>
          <w:rFonts w:ascii="Times New Roman" w:hAnsi="Times New Roman" w:cs="Times New Roman"/>
          <w:sz w:val="26"/>
          <w:szCs w:val="26"/>
        </w:rPr>
        <w:t>lance for prior basic service.</w:t>
      </w:r>
      <w:r w:rsidR="00124DB0">
        <w:rPr>
          <w:rFonts w:ascii="Times New Roman" w:hAnsi="Times New Roman" w:cs="Times New Roman"/>
          <w:sz w:val="26"/>
          <w:szCs w:val="26"/>
        </w:rPr>
        <w:t xml:space="preserve">  </w:t>
      </w:r>
      <w:r w:rsidR="00124DB0" w:rsidRPr="00E95541">
        <w:rPr>
          <w:rFonts w:ascii="Times New Roman" w:hAnsi="Times New Roman" w:cs="Times New Roman"/>
          <w:sz w:val="26"/>
          <w:szCs w:val="26"/>
        </w:rPr>
        <w:t xml:space="preserve">Consequently, we direct PGW to </w:t>
      </w:r>
      <w:r w:rsidR="00124DB0">
        <w:rPr>
          <w:rFonts w:ascii="Times New Roman" w:hAnsi="Times New Roman" w:cs="Times New Roman"/>
          <w:sz w:val="26"/>
          <w:szCs w:val="26"/>
        </w:rPr>
        <w:t xml:space="preserve">cease and desist this practice and to modify its partial payment allocation practices in a manner consistent with the discussion </w:t>
      </w:r>
      <w:r w:rsidR="00C87F0E">
        <w:rPr>
          <w:rFonts w:ascii="Times New Roman" w:hAnsi="Times New Roman" w:cs="Times New Roman"/>
          <w:sz w:val="26"/>
          <w:szCs w:val="26"/>
        </w:rPr>
        <w:t>below</w:t>
      </w:r>
      <w:r w:rsidR="00124DB0">
        <w:rPr>
          <w:rFonts w:ascii="Times New Roman" w:hAnsi="Times New Roman" w:cs="Times New Roman"/>
          <w:sz w:val="26"/>
          <w:szCs w:val="26"/>
        </w:rPr>
        <w:t>.</w:t>
      </w:r>
    </w:p>
    <w:p w:rsidR="00124DB0" w:rsidRDefault="00124DB0" w:rsidP="0028110F">
      <w:pPr>
        <w:spacing w:after="0" w:line="360" w:lineRule="auto"/>
        <w:ind w:firstLine="1440"/>
        <w:rPr>
          <w:rFonts w:ascii="Times New Roman" w:hAnsi="Times New Roman" w:cs="Times New Roman"/>
          <w:sz w:val="26"/>
          <w:szCs w:val="26"/>
        </w:rPr>
      </w:pPr>
    </w:p>
    <w:p w:rsidR="00EC5DD8" w:rsidRPr="00973666" w:rsidRDefault="00124DB0" w:rsidP="0028110F">
      <w:pPr>
        <w:spacing w:after="0" w:line="360" w:lineRule="auto"/>
        <w:ind w:firstLine="1440"/>
        <w:rPr>
          <w:rFonts w:ascii="Times New Roman" w:hAnsi="Times New Roman" w:cs="Times New Roman"/>
          <w:strike/>
          <w:sz w:val="26"/>
          <w:szCs w:val="26"/>
        </w:rPr>
      </w:pPr>
      <w:r>
        <w:rPr>
          <w:rFonts w:ascii="Times New Roman" w:hAnsi="Times New Roman" w:cs="Times New Roman"/>
          <w:sz w:val="26"/>
          <w:szCs w:val="26"/>
        </w:rPr>
        <w:t>Specifically, we direct PGW to modify its</w:t>
      </w:r>
      <w:r w:rsidR="00A90E6C">
        <w:rPr>
          <w:rFonts w:ascii="Times New Roman" w:hAnsi="Times New Roman" w:cs="Times New Roman"/>
          <w:sz w:val="26"/>
          <w:szCs w:val="26"/>
        </w:rPr>
        <w:t xml:space="preserve"> practices to </w:t>
      </w:r>
      <w:r w:rsidR="0028110F">
        <w:rPr>
          <w:rFonts w:ascii="Times New Roman" w:hAnsi="Times New Roman" w:cs="Times New Roman"/>
          <w:sz w:val="26"/>
          <w:szCs w:val="26"/>
        </w:rPr>
        <w:t>stop</w:t>
      </w:r>
      <w:r w:rsidR="00E46C0D">
        <w:rPr>
          <w:rFonts w:ascii="Times New Roman" w:hAnsi="Times New Roman" w:cs="Times New Roman"/>
          <w:sz w:val="26"/>
          <w:szCs w:val="26"/>
        </w:rPr>
        <w:t xml:space="preserve"> the practice</w:t>
      </w:r>
      <w:r w:rsidR="0028110F">
        <w:rPr>
          <w:rFonts w:ascii="Times New Roman" w:hAnsi="Times New Roman" w:cs="Times New Roman"/>
          <w:sz w:val="26"/>
          <w:szCs w:val="26"/>
        </w:rPr>
        <w:t xml:space="preserve"> of applying</w:t>
      </w:r>
      <w:r w:rsidR="00A90E6C">
        <w:rPr>
          <w:rFonts w:ascii="Times New Roman" w:hAnsi="Times New Roman" w:cs="Times New Roman"/>
          <w:sz w:val="26"/>
          <w:szCs w:val="26"/>
        </w:rPr>
        <w:t xml:space="preserve"> a customer’s partial payment to all late payment charges</w:t>
      </w:r>
      <w:r w:rsidR="0028110F">
        <w:rPr>
          <w:rFonts w:ascii="Times New Roman" w:hAnsi="Times New Roman" w:cs="Times New Roman"/>
          <w:sz w:val="26"/>
          <w:szCs w:val="26"/>
        </w:rPr>
        <w:t xml:space="preserve"> due before applying</w:t>
      </w:r>
      <w:r w:rsidR="00A90E6C">
        <w:rPr>
          <w:rFonts w:ascii="Times New Roman" w:hAnsi="Times New Roman" w:cs="Times New Roman"/>
          <w:sz w:val="26"/>
          <w:szCs w:val="26"/>
        </w:rPr>
        <w:t xml:space="preserve"> </w:t>
      </w:r>
      <w:r w:rsidR="0028110F">
        <w:rPr>
          <w:rFonts w:ascii="Times New Roman" w:hAnsi="Times New Roman" w:cs="Times New Roman"/>
          <w:sz w:val="26"/>
          <w:szCs w:val="26"/>
        </w:rPr>
        <w:t xml:space="preserve">the payment to the </w:t>
      </w:r>
      <w:r w:rsidR="00A90E6C">
        <w:rPr>
          <w:rFonts w:ascii="Times New Roman" w:hAnsi="Times New Roman" w:cs="Times New Roman"/>
          <w:sz w:val="26"/>
          <w:szCs w:val="26"/>
        </w:rPr>
        <w:t xml:space="preserve">balance due for prior </w:t>
      </w:r>
      <w:r w:rsidR="0028110F">
        <w:rPr>
          <w:rFonts w:ascii="Times New Roman" w:hAnsi="Times New Roman" w:cs="Times New Roman"/>
          <w:sz w:val="26"/>
          <w:szCs w:val="26"/>
        </w:rPr>
        <w:t xml:space="preserve">basic </w:t>
      </w:r>
      <w:r w:rsidR="00A90E6C">
        <w:rPr>
          <w:rFonts w:ascii="Times New Roman" w:hAnsi="Times New Roman" w:cs="Times New Roman"/>
          <w:sz w:val="26"/>
          <w:szCs w:val="26"/>
        </w:rPr>
        <w:t>service.  Thus, PGW shall</w:t>
      </w:r>
      <w:r w:rsidR="00A90E6C" w:rsidRPr="00E95541">
        <w:rPr>
          <w:rFonts w:ascii="Times New Roman" w:hAnsi="Times New Roman" w:cs="Times New Roman"/>
          <w:sz w:val="26"/>
          <w:szCs w:val="26"/>
        </w:rPr>
        <w:t xml:space="preserve"> apply a customer’s partial payment </w:t>
      </w:r>
      <w:r w:rsidR="003318E9">
        <w:rPr>
          <w:rFonts w:ascii="Times New Roman" w:hAnsi="Times New Roman" w:cs="Times New Roman"/>
          <w:sz w:val="26"/>
          <w:szCs w:val="26"/>
        </w:rPr>
        <w:t>to basic services</w:t>
      </w:r>
      <w:r w:rsidR="00973666">
        <w:rPr>
          <w:rFonts w:ascii="Times New Roman" w:hAnsi="Times New Roman" w:cs="Times New Roman"/>
          <w:sz w:val="26"/>
          <w:szCs w:val="26"/>
        </w:rPr>
        <w:t xml:space="preserve"> </w:t>
      </w:r>
      <w:r w:rsidR="00A90E6C" w:rsidRPr="00E95541">
        <w:rPr>
          <w:rFonts w:ascii="Times New Roman" w:hAnsi="Times New Roman" w:cs="Times New Roman"/>
          <w:sz w:val="26"/>
          <w:szCs w:val="26"/>
        </w:rPr>
        <w:t>first</w:t>
      </w:r>
      <w:r w:rsidR="00973666">
        <w:rPr>
          <w:rFonts w:ascii="Times New Roman" w:hAnsi="Times New Roman" w:cs="Times New Roman"/>
          <w:sz w:val="26"/>
          <w:szCs w:val="26"/>
        </w:rPr>
        <w:t xml:space="preserve">.  </w:t>
      </w:r>
      <w:r w:rsidR="00EA7F76">
        <w:rPr>
          <w:rFonts w:ascii="Times New Roman" w:hAnsi="Times New Roman" w:cs="Times New Roman"/>
          <w:sz w:val="26"/>
          <w:szCs w:val="26"/>
        </w:rPr>
        <w:t xml:space="preserve">To be clear, </w:t>
      </w:r>
      <w:r w:rsidR="00B03A5F">
        <w:rPr>
          <w:rFonts w:ascii="Times New Roman" w:hAnsi="Times New Roman" w:cs="Times New Roman"/>
          <w:sz w:val="26"/>
          <w:szCs w:val="26"/>
        </w:rPr>
        <w:t>n</w:t>
      </w:r>
      <w:r w:rsidR="0028110F">
        <w:rPr>
          <w:rFonts w:ascii="Times New Roman" w:hAnsi="Times New Roman" w:cs="Times New Roman"/>
          <w:sz w:val="26"/>
          <w:szCs w:val="26"/>
        </w:rPr>
        <w:t xml:space="preserve">o priority shall </w:t>
      </w:r>
      <w:r w:rsidR="002148A1" w:rsidRPr="00E95541">
        <w:rPr>
          <w:rFonts w:ascii="Times New Roman" w:hAnsi="Times New Roman" w:cs="Times New Roman"/>
          <w:sz w:val="26"/>
          <w:szCs w:val="26"/>
        </w:rPr>
        <w:t>be given to late payment charges</w:t>
      </w:r>
      <w:r w:rsidR="001C287C">
        <w:rPr>
          <w:rFonts w:ascii="Times New Roman" w:hAnsi="Times New Roman" w:cs="Times New Roman"/>
          <w:sz w:val="26"/>
          <w:szCs w:val="26"/>
        </w:rPr>
        <w:t>.</w:t>
      </w:r>
    </w:p>
    <w:p w:rsidR="00627720" w:rsidRDefault="00627720" w:rsidP="00A143AE">
      <w:pPr>
        <w:spacing w:after="0" w:line="360" w:lineRule="auto"/>
        <w:rPr>
          <w:rFonts w:ascii="Times New Roman" w:hAnsi="Times New Roman" w:cs="Times New Roman"/>
          <w:sz w:val="26"/>
          <w:szCs w:val="26"/>
        </w:rPr>
      </w:pPr>
    </w:p>
    <w:p w:rsidR="00BE0E49" w:rsidRDefault="0031358C" w:rsidP="00BE0E49">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As for timing, PGW shall have ninety (90) days from the entry date of this Opinion and Order to comply with the requirements of 52 Pa. Code § 56.24, consistent with the discussion above</w:t>
      </w:r>
      <w:r w:rsidR="00DE2212">
        <w:rPr>
          <w:rFonts w:ascii="Times New Roman" w:hAnsi="Times New Roman" w:cs="Times New Roman"/>
          <w:sz w:val="26"/>
          <w:szCs w:val="26"/>
        </w:rPr>
        <w:t>.</w:t>
      </w:r>
    </w:p>
    <w:p w:rsidR="00BE0E49" w:rsidRDefault="00BE0E49" w:rsidP="00A143AE">
      <w:pPr>
        <w:spacing w:after="0" w:line="360" w:lineRule="auto"/>
        <w:rPr>
          <w:rFonts w:ascii="Times New Roman" w:hAnsi="Times New Roman" w:cs="Times New Roman"/>
          <w:sz w:val="26"/>
          <w:szCs w:val="26"/>
        </w:rPr>
      </w:pPr>
    </w:p>
    <w:p w:rsidR="00627720" w:rsidRDefault="00124DB0" w:rsidP="000B623B">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Finally</w:t>
      </w:r>
      <w:r w:rsidR="00BE0E49">
        <w:rPr>
          <w:rFonts w:ascii="Times New Roman" w:hAnsi="Times New Roman" w:cs="Times New Roman"/>
          <w:sz w:val="26"/>
          <w:szCs w:val="26"/>
        </w:rPr>
        <w:t xml:space="preserve">, </w:t>
      </w:r>
      <w:r w:rsidR="00BE0E49" w:rsidRPr="00E95541">
        <w:rPr>
          <w:rFonts w:ascii="Times New Roman" w:hAnsi="Times New Roman" w:cs="Times New Roman"/>
          <w:sz w:val="26"/>
          <w:szCs w:val="26"/>
        </w:rPr>
        <w:t xml:space="preserve">we reject </w:t>
      </w:r>
      <w:r w:rsidR="00BE0E49">
        <w:rPr>
          <w:rFonts w:ascii="Times New Roman" w:hAnsi="Times New Roman" w:cs="Times New Roman"/>
          <w:sz w:val="26"/>
          <w:szCs w:val="26"/>
        </w:rPr>
        <w:t xml:space="preserve">PGW’s </w:t>
      </w:r>
      <w:r>
        <w:rPr>
          <w:rFonts w:ascii="Times New Roman" w:hAnsi="Times New Roman" w:cs="Times New Roman"/>
          <w:sz w:val="26"/>
          <w:szCs w:val="26"/>
        </w:rPr>
        <w:t xml:space="preserve">arguments </w:t>
      </w:r>
      <w:r w:rsidR="00BE0E49" w:rsidRPr="00E95541">
        <w:rPr>
          <w:rFonts w:ascii="Times New Roman" w:hAnsi="Times New Roman" w:cs="Times New Roman"/>
          <w:sz w:val="26"/>
          <w:szCs w:val="26"/>
        </w:rPr>
        <w:t xml:space="preserve">that </w:t>
      </w:r>
      <w:r w:rsidR="00BE0E49">
        <w:rPr>
          <w:rFonts w:ascii="Times New Roman" w:hAnsi="Times New Roman" w:cs="Times New Roman"/>
          <w:sz w:val="26"/>
          <w:szCs w:val="26"/>
        </w:rPr>
        <w:t xml:space="preserve">our </w:t>
      </w:r>
      <w:r w:rsidR="008E1B20">
        <w:rPr>
          <w:rFonts w:ascii="Times New Roman" w:hAnsi="Times New Roman" w:cs="Times New Roman"/>
          <w:sz w:val="26"/>
          <w:szCs w:val="26"/>
        </w:rPr>
        <w:t xml:space="preserve">adjudication </w:t>
      </w:r>
      <w:r w:rsidR="00BE0E49">
        <w:rPr>
          <w:rFonts w:ascii="Times New Roman" w:hAnsi="Times New Roman" w:cs="Times New Roman"/>
          <w:sz w:val="26"/>
          <w:szCs w:val="26"/>
        </w:rPr>
        <w:t xml:space="preserve">regarding </w:t>
      </w:r>
      <w:r w:rsidR="008E1B20">
        <w:rPr>
          <w:rFonts w:ascii="Times New Roman" w:hAnsi="Times New Roman" w:cs="Times New Roman"/>
          <w:sz w:val="26"/>
          <w:szCs w:val="26"/>
        </w:rPr>
        <w:t xml:space="preserve">whether </w:t>
      </w:r>
      <w:r w:rsidR="00BE0E49">
        <w:rPr>
          <w:rFonts w:ascii="Times New Roman" w:hAnsi="Times New Roman" w:cs="Times New Roman"/>
          <w:sz w:val="26"/>
          <w:szCs w:val="26"/>
        </w:rPr>
        <w:t>PGW’s</w:t>
      </w:r>
      <w:r w:rsidR="008E1B20">
        <w:rPr>
          <w:rFonts w:ascii="Times New Roman" w:hAnsi="Times New Roman" w:cs="Times New Roman"/>
          <w:sz w:val="26"/>
          <w:szCs w:val="26"/>
        </w:rPr>
        <w:t xml:space="preserve"> partial payment allocation</w:t>
      </w:r>
      <w:r w:rsidR="00BE0E49">
        <w:rPr>
          <w:rFonts w:ascii="Times New Roman" w:hAnsi="Times New Roman" w:cs="Times New Roman"/>
          <w:sz w:val="26"/>
          <w:szCs w:val="26"/>
        </w:rPr>
        <w:t xml:space="preserve"> practices</w:t>
      </w:r>
      <w:r w:rsidR="000B623B">
        <w:rPr>
          <w:rFonts w:ascii="Times New Roman" w:hAnsi="Times New Roman" w:cs="Times New Roman"/>
          <w:sz w:val="26"/>
          <w:szCs w:val="26"/>
        </w:rPr>
        <w:t xml:space="preserve"> is not permitted because our interpretation as set forth above is not </w:t>
      </w:r>
      <w:r w:rsidR="008E1B20">
        <w:rPr>
          <w:rFonts w:ascii="Times New Roman" w:hAnsi="Times New Roman" w:cs="Times New Roman"/>
          <w:sz w:val="26"/>
          <w:szCs w:val="26"/>
        </w:rPr>
        <w:t xml:space="preserve">consistent with </w:t>
      </w:r>
      <w:r w:rsidR="00BE0E49" w:rsidRPr="00E95541">
        <w:rPr>
          <w:rFonts w:ascii="Times New Roman" w:hAnsi="Times New Roman" w:cs="Times New Roman"/>
          <w:sz w:val="26"/>
          <w:szCs w:val="26"/>
        </w:rPr>
        <w:t>Section 56.24</w:t>
      </w:r>
      <w:r w:rsidR="008E1B20">
        <w:rPr>
          <w:rFonts w:ascii="Times New Roman" w:hAnsi="Times New Roman" w:cs="Times New Roman"/>
          <w:sz w:val="26"/>
          <w:szCs w:val="26"/>
        </w:rPr>
        <w:t xml:space="preserve"> of our Regulations</w:t>
      </w:r>
      <w:r w:rsidR="000B623B">
        <w:rPr>
          <w:rFonts w:ascii="Times New Roman" w:hAnsi="Times New Roman" w:cs="Times New Roman"/>
          <w:sz w:val="26"/>
          <w:szCs w:val="26"/>
        </w:rPr>
        <w:t xml:space="preserve"> and any interpretation that changes the Regulation</w:t>
      </w:r>
      <w:r w:rsidR="00BE0E49" w:rsidRPr="00E95541">
        <w:rPr>
          <w:rFonts w:ascii="Times New Roman" w:hAnsi="Times New Roman" w:cs="Times New Roman"/>
          <w:sz w:val="26"/>
          <w:szCs w:val="26"/>
        </w:rPr>
        <w:t xml:space="preserve"> must be finalized through the regulatory review process.</w:t>
      </w:r>
      <w:r w:rsidR="00BE0E49">
        <w:rPr>
          <w:rFonts w:ascii="Times New Roman" w:hAnsi="Times New Roman" w:cs="Times New Roman"/>
          <w:sz w:val="26"/>
          <w:szCs w:val="26"/>
        </w:rPr>
        <w:t xml:space="preserve"> </w:t>
      </w:r>
      <w:r w:rsidR="000B623B" w:rsidRPr="000B623B">
        <w:rPr>
          <w:rFonts w:ascii="Times New Roman" w:hAnsi="Times New Roman" w:cs="Times New Roman"/>
          <w:i/>
          <w:sz w:val="26"/>
          <w:szCs w:val="26"/>
        </w:rPr>
        <w:t xml:space="preserve"> See</w:t>
      </w:r>
      <w:r w:rsidR="000B623B">
        <w:rPr>
          <w:rFonts w:ascii="Times New Roman" w:hAnsi="Times New Roman" w:cs="Times New Roman"/>
          <w:sz w:val="26"/>
          <w:szCs w:val="26"/>
        </w:rPr>
        <w:t xml:space="preserve"> PGW M.B. at 20, 35-38.</w:t>
      </w:r>
      <w:r w:rsidR="00BE0E49">
        <w:rPr>
          <w:rFonts w:ascii="Times New Roman" w:hAnsi="Times New Roman" w:cs="Times New Roman"/>
          <w:sz w:val="26"/>
          <w:szCs w:val="26"/>
        </w:rPr>
        <w:t xml:space="preserve"> </w:t>
      </w:r>
      <w:r w:rsidR="00766E6A">
        <w:rPr>
          <w:rFonts w:ascii="Times New Roman" w:hAnsi="Times New Roman" w:cs="Times New Roman"/>
          <w:sz w:val="26"/>
          <w:szCs w:val="26"/>
        </w:rPr>
        <w:t xml:space="preserve"> </w:t>
      </w:r>
      <w:r w:rsidR="000B623B">
        <w:rPr>
          <w:rFonts w:ascii="Times New Roman" w:hAnsi="Times New Roman" w:cs="Times New Roman"/>
          <w:sz w:val="26"/>
          <w:szCs w:val="26"/>
        </w:rPr>
        <w:t xml:space="preserve">As stated above, our interpretation of Section 56.24 of our Regulations </w:t>
      </w:r>
      <w:r w:rsidR="000B623B">
        <w:rPr>
          <w:rFonts w:ascii="Times New Roman" w:hAnsi="Times New Roman" w:cs="Times New Roman"/>
          <w:iCs/>
          <w:color w:val="000000"/>
          <w:sz w:val="26"/>
          <w:szCs w:val="26"/>
        </w:rPr>
        <w:t xml:space="preserve">is </w:t>
      </w:r>
      <w:r w:rsidR="000B623B" w:rsidRPr="00B51453">
        <w:rPr>
          <w:rFonts w:ascii="Times New Roman" w:hAnsi="Times New Roman" w:cs="Times New Roman"/>
          <w:sz w:val="26"/>
          <w:szCs w:val="26"/>
        </w:rPr>
        <w:t>clear and unambiguous</w:t>
      </w:r>
      <w:r w:rsidR="000B623B">
        <w:rPr>
          <w:rFonts w:ascii="Times New Roman" w:hAnsi="Times New Roman" w:cs="Times New Roman"/>
          <w:sz w:val="26"/>
          <w:szCs w:val="26"/>
        </w:rPr>
        <w:t xml:space="preserve">.  </w:t>
      </w:r>
      <w:r w:rsidR="001438BB">
        <w:rPr>
          <w:rFonts w:ascii="Times New Roman" w:hAnsi="Times New Roman" w:cs="Times New Roman"/>
          <w:sz w:val="26"/>
          <w:szCs w:val="26"/>
        </w:rPr>
        <w:t>“</w:t>
      </w:r>
      <w:r w:rsidR="00B660D1">
        <w:rPr>
          <w:rFonts w:ascii="Times New Roman" w:hAnsi="Times New Roman" w:cs="Times New Roman"/>
          <w:sz w:val="26"/>
          <w:szCs w:val="26"/>
        </w:rPr>
        <w:t>An agency may establish binding policy through…adjudications which constitute binding precedents.”</w:t>
      </w:r>
      <w:r w:rsidR="00B04E4C">
        <w:rPr>
          <w:rFonts w:ascii="Times New Roman" w:hAnsi="Times New Roman" w:cs="Times New Roman"/>
          <w:sz w:val="26"/>
          <w:szCs w:val="26"/>
        </w:rPr>
        <w:t xml:space="preserve">  </w:t>
      </w:r>
      <w:r w:rsidR="00B04E4C" w:rsidRPr="00B04E4C">
        <w:rPr>
          <w:rFonts w:ascii="Times New Roman" w:hAnsi="Times New Roman" w:cs="Times New Roman"/>
          <w:i/>
          <w:sz w:val="26"/>
          <w:szCs w:val="26"/>
        </w:rPr>
        <w:t>See D</w:t>
      </w:r>
      <w:r w:rsidR="00B660D1" w:rsidRPr="00B04E4C">
        <w:rPr>
          <w:rFonts w:ascii="Times New Roman" w:hAnsi="Times New Roman" w:cs="Times New Roman"/>
          <w:i/>
          <w:sz w:val="26"/>
          <w:szCs w:val="26"/>
        </w:rPr>
        <w:t>.E.R. v. Rushton Mining Co</w:t>
      </w:r>
      <w:r w:rsidR="00B660D1">
        <w:rPr>
          <w:rFonts w:ascii="Times New Roman" w:hAnsi="Times New Roman" w:cs="Times New Roman"/>
          <w:sz w:val="26"/>
          <w:szCs w:val="26"/>
        </w:rPr>
        <w:t xml:space="preserve">., 591 A. 2d 1168, 1173 (Pa. Cmwlth. 1991) (citing </w:t>
      </w:r>
      <w:r w:rsidR="00B660D1" w:rsidRPr="00B660D1">
        <w:rPr>
          <w:rFonts w:ascii="Times New Roman" w:hAnsi="Times New Roman" w:cs="Times New Roman"/>
          <w:i/>
          <w:sz w:val="26"/>
          <w:szCs w:val="26"/>
        </w:rPr>
        <w:t>Pennsylvania Human Relations Commission v. Norristown Area School District</w:t>
      </w:r>
      <w:r w:rsidR="00B660D1">
        <w:rPr>
          <w:rFonts w:ascii="Times New Roman" w:hAnsi="Times New Roman" w:cs="Times New Roman"/>
          <w:sz w:val="26"/>
          <w:szCs w:val="26"/>
        </w:rPr>
        <w:t>, 473 Pa. 334, 349-50, 374 A. 2d 671, 679 (1977)</w:t>
      </w:r>
      <w:r w:rsidR="00B04E4C">
        <w:rPr>
          <w:rFonts w:ascii="Times New Roman" w:hAnsi="Times New Roman" w:cs="Times New Roman"/>
          <w:sz w:val="26"/>
          <w:szCs w:val="26"/>
        </w:rPr>
        <w:t xml:space="preserve"> </w:t>
      </w:r>
      <w:r w:rsidR="00B660D1">
        <w:rPr>
          <w:rFonts w:ascii="Times New Roman" w:hAnsi="Times New Roman" w:cs="Times New Roman"/>
          <w:sz w:val="26"/>
          <w:szCs w:val="26"/>
        </w:rPr>
        <w:t xml:space="preserve">(quoting </w:t>
      </w:r>
      <w:r w:rsidR="00B660D1" w:rsidRPr="00B04E4C">
        <w:rPr>
          <w:rFonts w:ascii="Times New Roman" w:hAnsi="Times New Roman" w:cs="Times New Roman"/>
          <w:i/>
          <w:sz w:val="26"/>
          <w:szCs w:val="26"/>
        </w:rPr>
        <w:t>Pacific Gas and Electric Company v. Federal Power Commission</w:t>
      </w:r>
      <w:r w:rsidR="00B660D1">
        <w:rPr>
          <w:rFonts w:ascii="Times New Roman" w:hAnsi="Times New Roman" w:cs="Times New Roman"/>
          <w:sz w:val="26"/>
          <w:szCs w:val="26"/>
        </w:rPr>
        <w:t>, 506</w:t>
      </w:r>
      <w:r w:rsidR="00B04E4C">
        <w:rPr>
          <w:rFonts w:ascii="Times New Roman" w:hAnsi="Times New Roman" w:cs="Times New Roman"/>
          <w:sz w:val="26"/>
          <w:szCs w:val="26"/>
        </w:rPr>
        <w:t xml:space="preserve"> F. 2d 33, 38 (D.C. Cir. 1974).  “Certainly, much deference is to be accorded an agency’s interpretation of its own regulations and orders.”  </w:t>
      </w:r>
      <w:r w:rsidR="00B04E4C" w:rsidRPr="00B04E4C">
        <w:rPr>
          <w:rFonts w:ascii="Times New Roman" w:hAnsi="Times New Roman" w:cs="Times New Roman"/>
          <w:i/>
          <w:sz w:val="26"/>
          <w:szCs w:val="26"/>
        </w:rPr>
        <w:t>See UGI Utilities, Inc. – Gas Division v. Pa. PUC</w:t>
      </w:r>
      <w:r w:rsidR="00B04E4C">
        <w:rPr>
          <w:rFonts w:ascii="Times New Roman" w:hAnsi="Times New Roman" w:cs="Times New Roman"/>
          <w:sz w:val="26"/>
          <w:szCs w:val="26"/>
        </w:rPr>
        <w:t xml:space="preserve">, 677 A. 2d 882, 885 (Pa. Cmwlth. 1996) (quoting </w:t>
      </w:r>
      <w:r w:rsidR="00B04E4C" w:rsidRPr="00F244F6">
        <w:rPr>
          <w:rFonts w:ascii="Times New Roman" w:hAnsi="Times New Roman" w:cs="Times New Roman"/>
          <w:i/>
          <w:sz w:val="26"/>
          <w:szCs w:val="26"/>
        </w:rPr>
        <w:t>Peoples Natural Gas Company v. Pa. PUC</w:t>
      </w:r>
      <w:r w:rsidR="00B04E4C">
        <w:rPr>
          <w:rFonts w:ascii="Times New Roman" w:hAnsi="Times New Roman" w:cs="Times New Roman"/>
          <w:sz w:val="26"/>
          <w:szCs w:val="26"/>
        </w:rPr>
        <w:t>, 523 Pa. 370, 374</w:t>
      </w:r>
      <w:r w:rsidR="00EC4B95">
        <w:rPr>
          <w:rFonts w:ascii="Times New Roman" w:hAnsi="Times New Roman" w:cs="Times New Roman"/>
          <w:sz w:val="26"/>
          <w:szCs w:val="26"/>
        </w:rPr>
        <w:t>, 567 A. 2d 642, 643-44 (1989).</w:t>
      </w:r>
    </w:p>
    <w:p w:rsidR="00627720" w:rsidRPr="00E95541" w:rsidRDefault="00627720" w:rsidP="00475F23">
      <w:pPr>
        <w:spacing w:after="0" w:line="360" w:lineRule="auto"/>
        <w:ind w:firstLine="1440"/>
        <w:rPr>
          <w:rFonts w:ascii="Times New Roman" w:hAnsi="Times New Roman" w:cs="Times New Roman"/>
          <w:sz w:val="26"/>
          <w:szCs w:val="26"/>
        </w:rPr>
      </w:pPr>
    </w:p>
    <w:p w:rsidR="008528D1" w:rsidRPr="00893173" w:rsidRDefault="008528D1" w:rsidP="00F164A3">
      <w:pPr>
        <w:pStyle w:val="ListParagraph"/>
        <w:keepNext/>
        <w:keepLines/>
        <w:numPr>
          <w:ilvl w:val="2"/>
          <w:numId w:val="2"/>
        </w:numPr>
        <w:spacing w:after="0" w:line="360" w:lineRule="auto"/>
        <w:ind w:left="1440" w:firstLine="0"/>
        <w:rPr>
          <w:rFonts w:ascii="Times New Roman" w:hAnsi="Times New Roman"/>
          <w:b/>
          <w:sz w:val="26"/>
        </w:rPr>
      </w:pPr>
      <w:bookmarkStart w:id="5" w:name="_Hlk501635875"/>
      <w:r w:rsidRPr="00893173">
        <w:rPr>
          <w:rFonts w:ascii="Times New Roman" w:hAnsi="Times New Roman"/>
          <w:b/>
          <w:sz w:val="26"/>
        </w:rPr>
        <w:t>52 Pa. Code § 56.22(a)</w:t>
      </w:r>
    </w:p>
    <w:p w:rsidR="00627720" w:rsidRPr="00E95541" w:rsidRDefault="00627720" w:rsidP="00475F23">
      <w:pPr>
        <w:pStyle w:val="ListParagraph"/>
        <w:keepNext/>
        <w:keepLines/>
        <w:spacing w:after="0" w:line="360" w:lineRule="auto"/>
        <w:ind w:left="2160"/>
        <w:rPr>
          <w:rFonts w:ascii="Times New Roman" w:hAnsi="Times New Roman" w:cs="Times New Roman"/>
          <w:b/>
          <w:i/>
          <w:sz w:val="26"/>
          <w:szCs w:val="26"/>
        </w:rPr>
      </w:pPr>
    </w:p>
    <w:p w:rsidR="00426323" w:rsidRDefault="00891F4C" w:rsidP="00475F23">
      <w:pPr>
        <w:pStyle w:val="Heading3"/>
        <w:keepNext w:val="0"/>
        <w:keepLines w:val="0"/>
        <w:widowControl/>
        <w:spacing w:before="0"/>
        <w:rPr>
          <w:rFonts w:ascii="Times New Roman" w:hAnsi="Times New Roman" w:cs="Times New Roman"/>
          <w:color w:val="auto"/>
          <w:sz w:val="26"/>
          <w:szCs w:val="26"/>
        </w:rPr>
      </w:pPr>
      <w:r>
        <w:rPr>
          <w:rFonts w:ascii="Times New Roman" w:hAnsi="Times New Roman" w:cs="Times New Roman"/>
          <w:color w:val="auto"/>
          <w:sz w:val="26"/>
          <w:szCs w:val="26"/>
        </w:rPr>
        <w:t>T</w:t>
      </w:r>
      <w:r w:rsidRPr="008E1A79">
        <w:rPr>
          <w:rFonts w:ascii="Times New Roman" w:hAnsi="Times New Roman" w:cs="Times New Roman"/>
          <w:color w:val="auto"/>
          <w:sz w:val="26"/>
          <w:szCs w:val="26"/>
        </w:rPr>
        <w:t xml:space="preserve">he Company’s initial case in this proceeding included its proposed and existing </w:t>
      </w:r>
      <w:r>
        <w:rPr>
          <w:rFonts w:ascii="Times New Roman" w:hAnsi="Times New Roman" w:cs="Times New Roman"/>
          <w:color w:val="auto"/>
          <w:sz w:val="26"/>
          <w:szCs w:val="26"/>
        </w:rPr>
        <w:t>T</w:t>
      </w:r>
      <w:r w:rsidRPr="008E1A79">
        <w:rPr>
          <w:rFonts w:ascii="Times New Roman" w:hAnsi="Times New Roman" w:cs="Times New Roman"/>
          <w:color w:val="auto"/>
          <w:sz w:val="26"/>
          <w:szCs w:val="26"/>
        </w:rPr>
        <w:t>ariff, which included, specifically, Rule 4.2.  Rule</w:t>
      </w:r>
      <w:r>
        <w:rPr>
          <w:rFonts w:ascii="Times New Roman" w:hAnsi="Times New Roman" w:cs="Times New Roman"/>
          <w:color w:val="auto"/>
          <w:sz w:val="26"/>
          <w:szCs w:val="26"/>
        </w:rPr>
        <w:t xml:space="preserve"> 4.2</w:t>
      </w:r>
      <w:r w:rsidRPr="008E1A79">
        <w:rPr>
          <w:rFonts w:ascii="Times New Roman" w:hAnsi="Times New Roman" w:cs="Times New Roman"/>
          <w:color w:val="auto"/>
          <w:sz w:val="26"/>
          <w:szCs w:val="26"/>
        </w:rPr>
        <w:t xml:space="preserve"> </w:t>
      </w:r>
      <w:r w:rsidR="00474566">
        <w:rPr>
          <w:rFonts w:ascii="Times New Roman" w:hAnsi="Times New Roman" w:cs="Times New Roman"/>
          <w:color w:val="auto"/>
          <w:sz w:val="26"/>
          <w:szCs w:val="26"/>
        </w:rPr>
        <w:t>mirrors</w:t>
      </w:r>
      <w:r w:rsidRPr="008E1A79">
        <w:rPr>
          <w:rFonts w:ascii="Times New Roman" w:hAnsi="Times New Roman" w:cs="Times New Roman"/>
          <w:color w:val="auto"/>
          <w:sz w:val="26"/>
          <w:szCs w:val="26"/>
        </w:rPr>
        <w:t xml:space="preserve"> the requirements of the Commission’s Regulati</w:t>
      </w:r>
      <w:r>
        <w:rPr>
          <w:rFonts w:ascii="Times New Roman" w:hAnsi="Times New Roman" w:cs="Times New Roman"/>
          <w:color w:val="auto"/>
          <w:sz w:val="26"/>
          <w:szCs w:val="26"/>
        </w:rPr>
        <w:t>ons at 52 Pa. Code § 56.22(a).</w:t>
      </w:r>
    </w:p>
    <w:p w:rsidR="00766E6A" w:rsidRDefault="00766E6A" w:rsidP="00C54B64">
      <w:pPr>
        <w:keepNext/>
        <w:keepLines/>
        <w:spacing w:after="0" w:line="360" w:lineRule="auto"/>
        <w:ind w:firstLine="720"/>
        <w:rPr>
          <w:rFonts w:ascii="Times New Roman" w:hAnsi="Times New Roman" w:cs="Times New Roman"/>
          <w:sz w:val="26"/>
          <w:szCs w:val="26"/>
        </w:rPr>
      </w:pPr>
    </w:p>
    <w:p w:rsidR="00C54B64" w:rsidRDefault="00C54B64" w:rsidP="00766E6A">
      <w:pPr>
        <w:keepNext/>
        <w:keepLines/>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Rule 4.2 of PGW’s Tariff provides, in pertinent part, as follows:</w:t>
      </w:r>
    </w:p>
    <w:p w:rsidR="00C54B64" w:rsidRDefault="00C54B64" w:rsidP="00766E6A">
      <w:pPr>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PGW will assess a late penalty for any overdue bill, in an amount which does not exceed 1.5% interest per month on the full unpaid and overdue balance of the bill.  These charges are to be calculated on the overdue portions of PGW Charges only.  The interest rate, when annualized, may not exceed 18% simple interest per annum.</w:t>
      </w:r>
    </w:p>
    <w:p w:rsidR="0086532B" w:rsidRDefault="0086532B" w:rsidP="00766E6A">
      <w:pPr>
        <w:spacing w:after="0" w:line="240" w:lineRule="auto"/>
        <w:ind w:left="1440" w:right="1440"/>
        <w:rPr>
          <w:rFonts w:ascii="Times New Roman" w:hAnsi="Times New Roman" w:cs="Times New Roman"/>
          <w:sz w:val="26"/>
          <w:szCs w:val="26"/>
        </w:rPr>
      </w:pPr>
    </w:p>
    <w:p w:rsidR="00766E6A" w:rsidRDefault="00766E6A" w:rsidP="00C54B64">
      <w:pPr>
        <w:keepNext/>
        <w:keepLines/>
        <w:spacing w:after="0" w:line="360" w:lineRule="auto"/>
        <w:rPr>
          <w:rFonts w:ascii="Times New Roman" w:hAnsi="Times New Roman" w:cs="Times New Roman"/>
          <w:sz w:val="26"/>
          <w:szCs w:val="26"/>
        </w:rPr>
      </w:pPr>
    </w:p>
    <w:p w:rsidR="00C54B64" w:rsidRDefault="00C54B64" w:rsidP="00C54B64">
      <w:pPr>
        <w:keepNext/>
        <w:keepLines/>
        <w:spacing w:after="0" w:line="360" w:lineRule="auto"/>
        <w:rPr>
          <w:rFonts w:ascii="Times New Roman" w:eastAsia="Times New Roman" w:hAnsi="Times New Roman" w:cs="Times New Roman"/>
          <w:sz w:val="26"/>
          <w:szCs w:val="26"/>
        </w:rPr>
      </w:pPr>
      <w:r>
        <w:rPr>
          <w:rFonts w:ascii="Times New Roman" w:hAnsi="Times New Roman" w:cs="Times New Roman"/>
          <w:sz w:val="26"/>
          <w:szCs w:val="26"/>
        </w:rPr>
        <w:t>Supplement No. 84, Gas Service Tariff – Pa. P.U.C. No. 2, Second Revised Page No. 26</w:t>
      </w:r>
      <w:r w:rsidRPr="00392A88">
        <w:rPr>
          <w:rFonts w:ascii="Times New Roman" w:hAnsi="Times New Roman" w:cs="Times New Roman"/>
          <w:sz w:val="26"/>
          <w:szCs w:val="26"/>
        </w:rPr>
        <w:t xml:space="preserve"> </w:t>
      </w:r>
      <w:r>
        <w:rPr>
          <w:rFonts w:ascii="Times New Roman" w:hAnsi="Times New Roman" w:cs="Times New Roman"/>
          <w:sz w:val="26"/>
          <w:szCs w:val="26"/>
        </w:rPr>
        <w:t>Section 4.2.</w:t>
      </w:r>
    </w:p>
    <w:p w:rsidR="00426323" w:rsidRDefault="00426323" w:rsidP="008861C2">
      <w:pPr>
        <w:pStyle w:val="Heading3"/>
        <w:keepNext w:val="0"/>
        <w:keepLines w:val="0"/>
        <w:widowControl/>
        <w:spacing w:before="0"/>
        <w:ind w:firstLine="0"/>
        <w:rPr>
          <w:rFonts w:ascii="Times New Roman" w:hAnsi="Times New Roman" w:cs="Times New Roman"/>
          <w:color w:val="auto"/>
          <w:sz w:val="26"/>
          <w:szCs w:val="26"/>
        </w:rPr>
      </w:pPr>
    </w:p>
    <w:p w:rsidR="00891F4C" w:rsidRDefault="00891F4C" w:rsidP="00475F23">
      <w:pPr>
        <w:pStyle w:val="Heading3"/>
        <w:keepNext w:val="0"/>
        <w:keepLines w:val="0"/>
        <w:widowControl/>
        <w:spacing w:before="0"/>
        <w:rPr>
          <w:rFonts w:ascii="Times New Roman" w:hAnsi="Times New Roman" w:cs="Times New Roman"/>
          <w:color w:val="auto"/>
          <w:sz w:val="26"/>
          <w:szCs w:val="26"/>
        </w:rPr>
      </w:pPr>
      <w:r>
        <w:rPr>
          <w:rFonts w:ascii="Times New Roman" w:hAnsi="Times New Roman" w:cs="Times New Roman"/>
          <w:color w:val="auto"/>
          <w:sz w:val="26"/>
          <w:szCs w:val="26"/>
        </w:rPr>
        <w:t xml:space="preserve">Section 56.22(a) </w:t>
      </w:r>
      <w:r w:rsidR="004A5274">
        <w:rPr>
          <w:rFonts w:ascii="Times New Roman" w:hAnsi="Times New Roman" w:cs="Times New Roman"/>
          <w:color w:val="auto"/>
          <w:sz w:val="26"/>
          <w:szCs w:val="26"/>
        </w:rPr>
        <w:t xml:space="preserve">of our Regulations, 52 Pa. Code § 56.22(a), </w:t>
      </w:r>
      <w:r>
        <w:rPr>
          <w:rFonts w:ascii="Times New Roman" w:hAnsi="Times New Roman" w:cs="Times New Roman"/>
          <w:color w:val="auto"/>
          <w:sz w:val="26"/>
          <w:szCs w:val="26"/>
        </w:rPr>
        <w:t>provides</w:t>
      </w:r>
      <w:r w:rsidR="004A5274">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as follows: </w:t>
      </w:r>
    </w:p>
    <w:p w:rsidR="00891F4C" w:rsidRDefault="00891F4C" w:rsidP="00891F4C"/>
    <w:p w:rsidR="00891F4C" w:rsidRDefault="00916718" w:rsidP="00916718">
      <w:pPr>
        <w:spacing w:after="0" w:line="240" w:lineRule="auto"/>
        <w:ind w:left="1440" w:right="1440"/>
        <w:rPr>
          <w:rFonts w:ascii="Times New Roman" w:hAnsi="Times New Roman" w:cs="Times New Roman"/>
          <w:sz w:val="26"/>
          <w:szCs w:val="26"/>
        </w:rPr>
      </w:pPr>
      <w:r w:rsidRPr="00916718">
        <w:rPr>
          <w:rFonts w:ascii="Times New Roman" w:hAnsi="Times New Roman" w:cs="Times New Roman"/>
          <w:sz w:val="26"/>
          <w:szCs w:val="26"/>
        </w:rPr>
        <w:t>(a)  Every public utility subject to this chapter is prohibited from levying or assessing a late charge or penalty on any overdue public utility bill, as defined in § 56.21 (relating to payment), in an amount which exceeds 1.5% interest per month on the overdue balance of the bill. These charges are to be calculated on the overdue portions of the bill only. The interest rate, when annualized, may not exceed 18% simple interest per annum.</w:t>
      </w:r>
    </w:p>
    <w:p w:rsidR="00EC4B95" w:rsidRDefault="00EC4B95" w:rsidP="00916718">
      <w:pPr>
        <w:spacing w:after="0" w:line="240" w:lineRule="auto"/>
        <w:ind w:left="1440" w:right="1440"/>
        <w:rPr>
          <w:rFonts w:ascii="Times New Roman" w:hAnsi="Times New Roman" w:cs="Times New Roman"/>
          <w:sz w:val="26"/>
          <w:szCs w:val="26"/>
        </w:rPr>
      </w:pPr>
    </w:p>
    <w:p w:rsidR="00EC4B95" w:rsidRPr="00916718" w:rsidRDefault="00EC4B95" w:rsidP="00916718">
      <w:pPr>
        <w:spacing w:after="0" w:line="240" w:lineRule="auto"/>
        <w:ind w:left="1440" w:right="1440"/>
        <w:rPr>
          <w:rFonts w:ascii="Times New Roman" w:hAnsi="Times New Roman" w:cs="Times New Roman"/>
          <w:sz w:val="26"/>
          <w:szCs w:val="26"/>
        </w:rPr>
      </w:pPr>
    </w:p>
    <w:p w:rsidR="000A0E22" w:rsidRDefault="000B1445" w:rsidP="000A0E22">
      <w:pPr>
        <w:pStyle w:val="Heading3"/>
        <w:keepNext w:val="0"/>
        <w:keepLines w:val="0"/>
        <w:widowControl/>
        <w:spacing w:before="0"/>
        <w:rPr>
          <w:rFonts w:ascii="Times New Roman" w:hAnsi="Times New Roman" w:cs="Times New Roman"/>
          <w:color w:val="auto"/>
          <w:sz w:val="26"/>
          <w:szCs w:val="26"/>
        </w:rPr>
      </w:pPr>
      <w:r>
        <w:rPr>
          <w:rFonts w:ascii="Times New Roman" w:hAnsi="Times New Roman" w:cs="Times New Roman"/>
          <w:color w:val="auto"/>
          <w:sz w:val="26"/>
          <w:szCs w:val="26"/>
        </w:rPr>
        <w:t>T</w:t>
      </w:r>
      <w:r w:rsidR="000A0E22" w:rsidRPr="00E95541">
        <w:rPr>
          <w:rFonts w:ascii="Times New Roman" w:hAnsi="Times New Roman" w:cs="Times New Roman"/>
          <w:color w:val="auto"/>
          <w:sz w:val="26"/>
          <w:szCs w:val="26"/>
        </w:rPr>
        <w:t>he OCA argued that PGW’s practice of posting a customer’s partial payment out-of-sequence – first, against more recent non-interest bearing late payment charges, and, then, against older interest-bearing principal – results in PGW effectively charging interest of 19.562</w:t>
      </w:r>
      <w:r w:rsidR="006459C0">
        <w:rPr>
          <w:rFonts w:ascii="Times New Roman" w:hAnsi="Times New Roman" w:cs="Times New Roman"/>
          <w:color w:val="auto"/>
          <w:sz w:val="26"/>
          <w:szCs w:val="26"/>
        </w:rPr>
        <w:t xml:space="preserve"> percent</w:t>
      </w:r>
      <w:r w:rsidR="000A0E22" w:rsidRPr="00E95541">
        <w:rPr>
          <w:rFonts w:ascii="Times New Roman" w:hAnsi="Times New Roman" w:cs="Times New Roman"/>
          <w:color w:val="auto"/>
          <w:sz w:val="26"/>
          <w:szCs w:val="26"/>
        </w:rPr>
        <w:t xml:space="preserve"> per year.  The OCA argued that the effect </w:t>
      </w:r>
      <w:r w:rsidR="006459C0">
        <w:rPr>
          <w:rFonts w:ascii="Times New Roman" w:hAnsi="Times New Roman" w:cs="Times New Roman"/>
          <w:color w:val="auto"/>
          <w:sz w:val="26"/>
          <w:szCs w:val="26"/>
        </w:rPr>
        <w:t>of the practice violates the 18 percent</w:t>
      </w:r>
      <w:r w:rsidR="000A0E22" w:rsidRPr="00E95541">
        <w:rPr>
          <w:rFonts w:ascii="Times New Roman" w:hAnsi="Times New Roman" w:cs="Times New Roman"/>
          <w:color w:val="auto"/>
          <w:sz w:val="26"/>
          <w:szCs w:val="26"/>
        </w:rPr>
        <w:t xml:space="preserve"> per annum limit on interest set forth in Section 56.22(a) of the Commission’s Regulations.  The OCA </w:t>
      </w:r>
      <w:r w:rsidR="000A0E22">
        <w:rPr>
          <w:rFonts w:ascii="Times New Roman" w:hAnsi="Times New Roman" w:cs="Times New Roman"/>
          <w:color w:val="auto"/>
          <w:sz w:val="26"/>
          <w:szCs w:val="26"/>
        </w:rPr>
        <w:t xml:space="preserve">asserted that </w:t>
      </w:r>
      <w:r w:rsidR="000A0E22" w:rsidRPr="00E95541">
        <w:rPr>
          <w:rFonts w:ascii="Times New Roman" w:hAnsi="Times New Roman" w:cs="Times New Roman"/>
          <w:color w:val="auto"/>
          <w:sz w:val="26"/>
          <w:szCs w:val="26"/>
        </w:rPr>
        <w:t xml:space="preserve">the Company </w:t>
      </w:r>
      <w:r w:rsidR="000A0E22">
        <w:rPr>
          <w:rFonts w:ascii="Times New Roman" w:hAnsi="Times New Roman" w:cs="Times New Roman"/>
          <w:color w:val="auto"/>
          <w:sz w:val="26"/>
          <w:szCs w:val="26"/>
        </w:rPr>
        <w:t xml:space="preserve">should not </w:t>
      </w:r>
      <w:r w:rsidR="000A0E22" w:rsidRPr="00E95541">
        <w:rPr>
          <w:rFonts w:ascii="Times New Roman" w:hAnsi="Times New Roman" w:cs="Times New Roman"/>
          <w:color w:val="auto"/>
          <w:sz w:val="26"/>
          <w:szCs w:val="26"/>
        </w:rPr>
        <w:t>be permitted to continue a practice that violates the Commission’s Regulations and the Code.  As such, the OCA recommended that PGW be required to change its payment posting methodology consistent with the OCA’s recommendations and provide customers with effective notice of the corrected payment posting methodology in the Company’s Tariff.</w:t>
      </w:r>
      <w:r w:rsidR="00C926BA">
        <w:rPr>
          <w:rFonts w:ascii="Times New Roman" w:hAnsi="Times New Roman" w:cs="Times New Roman"/>
          <w:color w:val="auto"/>
          <w:sz w:val="26"/>
          <w:szCs w:val="26"/>
        </w:rPr>
        <w:t xml:space="preserve">  OCA M.B. at 11-22.</w:t>
      </w:r>
    </w:p>
    <w:p w:rsidR="000A0E22" w:rsidRDefault="000A0E22" w:rsidP="00475F23">
      <w:pPr>
        <w:pStyle w:val="Heading3"/>
        <w:keepNext w:val="0"/>
        <w:keepLines w:val="0"/>
        <w:widowControl/>
        <w:spacing w:before="0"/>
        <w:rPr>
          <w:rFonts w:ascii="Times New Roman" w:hAnsi="Times New Roman" w:cs="Times New Roman"/>
          <w:color w:val="auto"/>
          <w:sz w:val="26"/>
          <w:szCs w:val="26"/>
        </w:rPr>
      </w:pPr>
    </w:p>
    <w:p w:rsidR="008861C2" w:rsidRDefault="00F20595" w:rsidP="00F97D98">
      <w:pPr>
        <w:pStyle w:val="Heading3"/>
        <w:keepNext w:val="0"/>
        <w:keepLines w:val="0"/>
        <w:widowControl/>
        <w:spacing w:before="0"/>
        <w:rPr>
          <w:rFonts w:ascii="Times New Roman" w:hAnsi="Times New Roman" w:cs="Times New Roman"/>
          <w:snapToGrid w:val="0"/>
          <w:color w:val="auto"/>
          <w:sz w:val="26"/>
          <w:szCs w:val="26"/>
        </w:rPr>
      </w:pPr>
      <w:r w:rsidRPr="00E95541">
        <w:rPr>
          <w:rFonts w:ascii="Times New Roman" w:hAnsi="Times New Roman" w:cs="Times New Roman"/>
          <w:color w:val="auto"/>
          <w:sz w:val="26"/>
          <w:szCs w:val="26"/>
        </w:rPr>
        <w:t>The</w:t>
      </w:r>
      <w:r w:rsidRPr="00E95541">
        <w:rPr>
          <w:rFonts w:ascii="Times New Roman" w:hAnsi="Times New Roman" w:cs="Times New Roman"/>
          <w:snapToGrid w:val="0"/>
          <w:color w:val="auto"/>
          <w:sz w:val="26"/>
          <w:szCs w:val="26"/>
        </w:rPr>
        <w:t xml:space="preserve"> OCA </w:t>
      </w:r>
      <w:r w:rsidR="00214956">
        <w:rPr>
          <w:rFonts w:ascii="Times New Roman" w:hAnsi="Times New Roman" w:cs="Times New Roman"/>
          <w:snapToGrid w:val="0"/>
          <w:color w:val="auto"/>
          <w:sz w:val="26"/>
          <w:szCs w:val="26"/>
        </w:rPr>
        <w:t xml:space="preserve">presented the following evidence </w:t>
      </w:r>
      <w:r w:rsidRPr="00E95541">
        <w:rPr>
          <w:rFonts w:ascii="Times New Roman" w:hAnsi="Times New Roman" w:cs="Times New Roman"/>
          <w:snapToGrid w:val="0"/>
          <w:color w:val="auto"/>
          <w:sz w:val="26"/>
          <w:szCs w:val="26"/>
        </w:rPr>
        <w:t>in this proceeding to support</w:t>
      </w:r>
      <w:r w:rsidR="001D0515">
        <w:rPr>
          <w:rFonts w:ascii="Times New Roman" w:hAnsi="Times New Roman" w:cs="Times New Roman"/>
          <w:snapToGrid w:val="0"/>
          <w:color w:val="auto"/>
          <w:sz w:val="26"/>
          <w:szCs w:val="26"/>
        </w:rPr>
        <w:t xml:space="preserve"> its claim that PGW’s partial payment practices </w:t>
      </w:r>
      <w:r w:rsidR="00214956">
        <w:rPr>
          <w:rFonts w:ascii="Times New Roman" w:hAnsi="Times New Roman" w:cs="Times New Roman"/>
          <w:snapToGrid w:val="0"/>
          <w:color w:val="auto"/>
          <w:sz w:val="26"/>
          <w:szCs w:val="26"/>
        </w:rPr>
        <w:t>are inconsistent with</w:t>
      </w:r>
      <w:r w:rsidR="001D0515">
        <w:rPr>
          <w:rFonts w:ascii="Times New Roman" w:hAnsi="Times New Roman" w:cs="Times New Roman"/>
          <w:snapToGrid w:val="0"/>
          <w:color w:val="auto"/>
          <w:sz w:val="26"/>
          <w:szCs w:val="26"/>
        </w:rPr>
        <w:t xml:space="preserve"> </w:t>
      </w:r>
      <w:r w:rsidRPr="00E95541">
        <w:rPr>
          <w:rFonts w:ascii="Times New Roman" w:hAnsi="Times New Roman" w:cs="Times New Roman"/>
          <w:snapToGrid w:val="0"/>
          <w:color w:val="auto"/>
          <w:sz w:val="26"/>
          <w:szCs w:val="26"/>
        </w:rPr>
        <w:t>Section 56.22(a)</w:t>
      </w:r>
      <w:r w:rsidR="001D0515">
        <w:rPr>
          <w:rFonts w:ascii="Times New Roman" w:hAnsi="Times New Roman" w:cs="Times New Roman"/>
          <w:snapToGrid w:val="0"/>
          <w:color w:val="auto"/>
          <w:sz w:val="26"/>
          <w:szCs w:val="26"/>
        </w:rPr>
        <w:t xml:space="preserve"> of our Regulations</w:t>
      </w:r>
      <w:r w:rsidR="00214956">
        <w:rPr>
          <w:rFonts w:ascii="Times New Roman" w:hAnsi="Times New Roman" w:cs="Times New Roman"/>
          <w:snapToGrid w:val="0"/>
          <w:color w:val="auto"/>
          <w:sz w:val="26"/>
          <w:szCs w:val="26"/>
        </w:rPr>
        <w:t xml:space="preserve">:  </w:t>
      </w:r>
      <w:r w:rsidR="001127CC">
        <w:rPr>
          <w:rFonts w:ascii="Times New Roman" w:hAnsi="Times New Roman" w:cs="Times New Roman"/>
          <w:snapToGrid w:val="0"/>
          <w:color w:val="auto"/>
          <w:sz w:val="26"/>
          <w:szCs w:val="26"/>
        </w:rPr>
        <w:t xml:space="preserve">(1) </w:t>
      </w:r>
      <w:r w:rsidRPr="00E95541">
        <w:rPr>
          <w:rFonts w:ascii="Times New Roman" w:hAnsi="Times New Roman" w:cs="Times New Roman"/>
          <w:snapToGrid w:val="0"/>
          <w:color w:val="auto"/>
          <w:sz w:val="26"/>
          <w:szCs w:val="26"/>
        </w:rPr>
        <w:t>a</w:t>
      </w:r>
      <w:r w:rsidR="00911689" w:rsidRPr="00E95541">
        <w:rPr>
          <w:rFonts w:ascii="Times New Roman" w:hAnsi="Times New Roman" w:cs="Times New Roman"/>
          <w:snapToGrid w:val="0"/>
          <w:color w:val="auto"/>
          <w:sz w:val="26"/>
          <w:szCs w:val="26"/>
        </w:rPr>
        <w:t xml:space="preserve"> general calculation </w:t>
      </w:r>
      <w:r w:rsidR="00A71B2E" w:rsidRPr="00E95541">
        <w:rPr>
          <w:rFonts w:ascii="Times New Roman" w:hAnsi="Times New Roman" w:cs="Times New Roman"/>
          <w:snapToGrid w:val="0"/>
          <w:color w:val="auto"/>
          <w:sz w:val="26"/>
          <w:szCs w:val="26"/>
        </w:rPr>
        <w:t xml:space="preserve">to show the maximum amount a customer could be charged if the </w:t>
      </w:r>
      <w:r w:rsidR="008322B0" w:rsidRPr="00E95541">
        <w:rPr>
          <w:rFonts w:ascii="Times New Roman" w:hAnsi="Times New Roman" w:cs="Times New Roman"/>
          <w:snapToGrid w:val="0"/>
          <w:color w:val="auto"/>
          <w:sz w:val="26"/>
          <w:szCs w:val="26"/>
        </w:rPr>
        <w:t xml:space="preserve">permitted </w:t>
      </w:r>
      <w:r w:rsidR="00A71B2E" w:rsidRPr="00E95541">
        <w:rPr>
          <w:rFonts w:ascii="Times New Roman" w:hAnsi="Times New Roman" w:cs="Times New Roman"/>
          <w:snapToGrid w:val="0"/>
          <w:color w:val="auto"/>
          <w:sz w:val="26"/>
          <w:szCs w:val="26"/>
        </w:rPr>
        <w:t>monthly interest rate is charged on a compounded basis</w:t>
      </w:r>
      <w:r w:rsidR="00FD5B58">
        <w:rPr>
          <w:rFonts w:ascii="Times New Roman" w:hAnsi="Times New Roman" w:cs="Times New Roman"/>
          <w:snapToGrid w:val="0"/>
          <w:color w:val="auto"/>
          <w:sz w:val="26"/>
          <w:szCs w:val="26"/>
        </w:rPr>
        <w:t>;</w:t>
      </w:r>
      <w:r w:rsidR="001127CC">
        <w:rPr>
          <w:rFonts w:ascii="Times New Roman" w:hAnsi="Times New Roman" w:cs="Times New Roman"/>
          <w:snapToGrid w:val="0"/>
          <w:color w:val="auto"/>
          <w:sz w:val="26"/>
          <w:szCs w:val="26"/>
        </w:rPr>
        <w:t xml:space="preserve"> and (2) </w:t>
      </w:r>
      <w:r w:rsidR="0078781E" w:rsidRPr="00E95541">
        <w:rPr>
          <w:rFonts w:ascii="Times New Roman" w:hAnsi="Times New Roman" w:cs="Times New Roman"/>
          <w:snapToGrid w:val="0"/>
          <w:color w:val="auto"/>
          <w:sz w:val="26"/>
          <w:szCs w:val="26"/>
        </w:rPr>
        <w:t>a</w:t>
      </w:r>
      <w:r w:rsidR="001127CC">
        <w:rPr>
          <w:rFonts w:ascii="Times New Roman" w:hAnsi="Times New Roman" w:cs="Times New Roman"/>
          <w:snapToGrid w:val="0"/>
          <w:color w:val="auto"/>
          <w:sz w:val="26"/>
          <w:szCs w:val="26"/>
        </w:rPr>
        <w:t xml:space="preserve"> hypothetical</w:t>
      </w:r>
      <w:r w:rsidRPr="00E95541">
        <w:rPr>
          <w:rFonts w:ascii="Times New Roman" w:hAnsi="Times New Roman" w:cs="Times New Roman"/>
          <w:snapToGrid w:val="0"/>
          <w:color w:val="auto"/>
          <w:sz w:val="26"/>
          <w:szCs w:val="26"/>
        </w:rPr>
        <w:t xml:space="preserve"> </w:t>
      </w:r>
      <w:r w:rsidR="001127CC">
        <w:rPr>
          <w:rFonts w:ascii="Times New Roman" w:hAnsi="Times New Roman" w:cs="Times New Roman"/>
          <w:snapToGrid w:val="0"/>
          <w:color w:val="auto"/>
          <w:sz w:val="26"/>
          <w:szCs w:val="26"/>
        </w:rPr>
        <w:t xml:space="preserve">calculation </w:t>
      </w:r>
      <w:r w:rsidRPr="00E95541">
        <w:rPr>
          <w:rFonts w:ascii="Times New Roman" w:hAnsi="Times New Roman" w:cs="Times New Roman"/>
          <w:snapToGrid w:val="0"/>
          <w:color w:val="auto"/>
          <w:sz w:val="26"/>
          <w:szCs w:val="26"/>
        </w:rPr>
        <w:t>showing how PGW’s practices may potentially result in the charging of an annualize</w:t>
      </w:r>
      <w:r w:rsidR="006459C0">
        <w:rPr>
          <w:rFonts w:ascii="Times New Roman" w:hAnsi="Times New Roman" w:cs="Times New Roman"/>
          <w:snapToGrid w:val="0"/>
          <w:color w:val="auto"/>
          <w:sz w:val="26"/>
          <w:szCs w:val="26"/>
        </w:rPr>
        <w:t>d interest rate in excess of 18 percent</w:t>
      </w:r>
      <w:r w:rsidRPr="00E95541">
        <w:rPr>
          <w:rFonts w:ascii="Times New Roman" w:hAnsi="Times New Roman" w:cs="Times New Roman"/>
          <w:snapToGrid w:val="0"/>
          <w:color w:val="auto"/>
          <w:sz w:val="26"/>
          <w:szCs w:val="26"/>
        </w:rPr>
        <w:t xml:space="preserve"> limit.</w:t>
      </w:r>
    </w:p>
    <w:p w:rsidR="008861C2" w:rsidRDefault="008861C2" w:rsidP="00F97D98">
      <w:pPr>
        <w:pStyle w:val="Heading3"/>
        <w:keepNext w:val="0"/>
        <w:keepLines w:val="0"/>
        <w:widowControl/>
        <w:spacing w:before="0"/>
        <w:rPr>
          <w:rFonts w:ascii="Times New Roman" w:hAnsi="Times New Roman" w:cs="Times New Roman"/>
          <w:snapToGrid w:val="0"/>
          <w:color w:val="auto"/>
          <w:sz w:val="26"/>
          <w:szCs w:val="26"/>
        </w:rPr>
      </w:pPr>
    </w:p>
    <w:p w:rsidR="00F97D98" w:rsidRDefault="00214956" w:rsidP="00F97D98">
      <w:pPr>
        <w:pStyle w:val="Heading3"/>
        <w:keepNext w:val="0"/>
        <w:keepLines w:val="0"/>
        <w:widowControl/>
        <w:spacing w:before="0"/>
        <w:rPr>
          <w:rFonts w:ascii="Times New Roman" w:hAnsi="Times New Roman" w:cs="Times New Roman"/>
          <w:color w:val="auto"/>
          <w:sz w:val="26"/>
          <w:szCs w:val="26"/>
        </w:rPr>
      </w:pPr>
      <w:r>
        <w:rPr>
          <w:rFonts w:ascii="Times New Roman" w:hAnsi="Times New Roman" w:cs="Times New Roman"/>
          <w:snapToGrid w:val="0"/>
          <w:color w:val="auto"/>
          <w:sz w:val="26"/>
          <w:szCs w:val="26"/>
        </w:rPr>
        <w:t>As to the general calculation</w:t>
      </w:r>
      <w:r w:rsidR="00911689" w:rsidRPr="00E95541">
        <w:rPr>
          <w:rFonts w:ascii="Times New Roman" w:hAnsi="Times New Roman" w:cs="Times New Roman"/>
          <w:snapToGrid w:val="0"/>
          <w:color w:val="auto"/>
          <w:sz w:val="26"/>
          <w:szCs w:val="26"/>
        </w:rPr>
        <w:t xml:space="preserve">, </w:t>
      </w:r>
      <w:r w:rsidR="00911689" w:rsidRPr="00E95541">
        <w:rPr>
          <w:rFonts w:ascii="Times New Roman" w:hAnsi="Times New Roman" w:cs="Times New Roman"/>
          <w:color w:val="auto"/>
          <w:sz w:val="26"/>
          <w:szCs w:val="26"/>
        </w:rPr>
        <w:t xml:space="preserve">the OCA’s </w:t>
      </w:r>
      <w:r w:rsidR="0090405A">
        <w:rPr>
          <w:rFonts w:ascii="Times New Roman" w:hAnsi="Times New Roman" w:cs="Times New Roman"/>
          <w:color w:val="auto"/>
          <w:sz w:val="26"/>
          <w:szCs w:val="26"/>
        </w:rPr>
        <w:t>w</w:t>
      </w:r>
      <w:r w:rsidR="00911689" w:rsidRPr="00E95541">
        <w:rPr>
          <w:rFonts w:ascii="Times New Roman" w:hAnsi="Times New Roman" w:cs="Times New Roman"/>
          <w:color w:val="auto"/>
          <w:sz w:val="26"/>
          <w:szCs w:val="26"/>
        </w:rPr>
        <w:t>itness</w:t>
      </w:r>
      <w:r>
        <w:rPr>
          <w:rFonts w:ascii="Times New Roman" w:hAnsi="Times New Roman" w:cs="Times New Roman"/>
          <w:color w:val="auto"/>
          <w:sz w:val="26"/>
          <w:szCs w:val="26"/>
        </w:rPr>
        <w:t>,</w:t>
      </w:r>
      <w:r w:rsidR="00911689" w:rsidRPr="00E95541">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Mr. </w:t>
      </w:r>
      <w:r w:rsidR="0090405A">
        <w:rPr>
          <w:rFonts w:ascii="Times New Roman" w:hAnsi="Times New Roman" w:cs="Times New Roman"/>
          <w:color w:val="auto"/>
          <w:sz w:val="26"/>
          <w:szCs w:val="26"/>
        </w:rPr>
        <w:t xml:space="preserve">Roger D. </w:t>
      </w:r>
      <w:r w:rsidR="00911689" w:rsidRPr="00E95541">
        <w:rPr>
          <w:rFonts w:ascii="Times New Roman" w:hAnsi="Times New Roman" w:cs="Times New Roman"/>
          <w:color w:val="auto"/>
          <w:sz w:val="26"/>
          <w:szCs w:val="26"/>
        </w:rPr>
        <w:t>Colton</w:t>
      </w:r>
      <w:r>
        <w:rPr>
          <w:rFonts w:ascii="Times New Roman" w:hAnsi="Times New Roman" w:cs="Times New Roman"/>
          <w:color w:val="auto"/>
          <w:sz w:val="26"/>
          <w:szCs w:val="26"/>
        </w:rPr>
        <w:t>,</w:t>
      </w:r>
      <w:r w:rsidR="00911689" w:rsidRPr="00E95541">
        <w:rPr>
          <w:rFonts w:ascii="Times New Roman" w:hAnsi="Times New Roman" w:cs="Times New Roman"/>
          <w:color w:val="auto"/>
          <w:sz w:val="26"/>
          <w:szCs w:val="26"/>
        </w:rPr>
        <w:t xml:space="preserve"> </w:t>
      </w:r>
      <w:r w:rsidR="0078781E" w:rsidRPr="00E95541">
        <w:rPr>
          <w:rFonts w:ascii="Times New Roman" w:hAnsi="Times New Roman" w:cs="Times New Roman"/>
          <w:color w:val="auto"/>
          <w:sz w:val="26"/>
          <w:szCs w:val="26"/>
        </w:rPr>
        <w:t>explained</w:t>
      </w:r>
      <w:r w:rsidR="0065331A">
        <w:rPr>
          <w:rFonts w:ascii="Times New Roman" w:hAnsi="Times New Roman" w:cs="Times New Roman"/>
          <w:color w:val="auto"/>
          <w:sz w:val="26"/>
          <w:szCs w:val="26"/>
        </w:rPr>
        <w:t xml:space="preserve"> that if the 1.5 percent</w:t>
      </w:r>
      <w:r w:rsidR="00911689" w:rsidRPr="00E95541">
        <w:rPr>
          <w:rFonts w:ascii="Times New Roman" w:hAnsi="Times New Roman" w:cs="Times New Roman"/>
          <w:color w:val="auto"/>
          <w:sz w:val="26"/>
          <w:szCs w:val="26"/>
        </w:rPr>
        <w:t xml:space="preserve"> monthly late payment permitted under Section 56.22(a) is charged on a non-compounded basis, it results in an annual</w:t>
      </w:r>
      <w:r w:rsidR="006459C0">
        <w:rPr>
          <w:rFonts w:ascii="Times New Roman" w:hAnsi="Times New Roman" w:cs="Times New Roman"/>
          <w:color w:val="auto"/>
          <w:sz w:val="26"/>
          <w:szCs w:val="26"/>
        </w:rPr>
        <w:t xml:space="preserve"> percentage rate interest of 18 percent</w:t>
      </w:r>
      <w:r w:rsidR="00911689" w:rsidRPr="00E95541">
        <w:rPr>
          <w:rFonts w:ascii="Times New Roman" w:hAnsi="Times New Roman" w:cs="Times New Roman"/>
          <w:color w:val="auto"/>
          <w:sz w:val="26"/>
          <w:szCs w:val="26"/>
        </w:rPr>
        <w:t>,</w:t>
      </w:r>
      <w:r>
        <w:rPr>
          <w:rFonts w:ascii="Times New Roman" w:hAnsi="Times New Roman" w:cs="Times New Roman"/>
          <w:color w:val="auto"/>
          <w:sz w:val="26"/>
          <w:szCs w:val="26"/>
        </w:rPr>
        <w:t xml:space="preserve"> in accordance with the limit set forth in Section 56.22(a).  </w:t>
      </w:r>
      <w:r w:rsidR="006459C0">
        <w:rPr>
          <w:rFonts w:ascii="Times New Roman" w:hAnsi="Times New Roman" w:cs="Times New Roman"/>
          <w:color w:val="auto"/>
          <w:sz w:val="26"/>
          <w:szCs w:val="26"/>
        </w:rPr>
        <w:t>However, if the 1.5 percent</w:t>
      </w:r>
      <w:r>
        <w:rPr>
          <w:rFonts w:ascii="Times New Roman" w:hAnsi="Times New Roman" w:cs="Times New Roman"/>
          <w:color w:val="auto"/>
          <w:sz w:val="26"/>
          <w:szCs w:val="26"/>
        </w:rPr>
        <w:t xml:space="preserve"> monthly late payment fee </w:t>
      </w:r>
      <w:r w:rsidR="001D0515">
        <w:rPr>
          <w:rFonts w:ascii="Times New Roman" w:hAnsi="Times New Roman" w:cs="Times New Roman"/>
          <w:color w:val="auto"/>
          <w:sz w:val="26"/>
          <w:szCs w:val="26"/>
        </w:rPr>
        <w:t xml:space="preserve">is </w:t>
      </w:r>
      <w:r w:rsidR="00911689" w:rsidRPr="00E95541">
        <w:rPr>
          <w:rFonts w:ascii="Times New Roman" w:hAnsi="Times New Roman" w:cs="Times New Roman"/>
          <w:color w:val="auto"/>
          <w:sz w:val="26"/>
          <w:szCs w:val="26"/>
        </w:rPr>
        <w:t>charged on a compounded basis, it results in an annual per</w:t>
      </w:r>
      <w:r w:rsidR="006459C0">
        <w:rPr>
          <w:rFonts w:ascii="Times New Roman" w:hAnsi="Times New Roman" w:cs="Times New Roman"/>
          <w:color w:val="auto"/>
          <w:sz w:val="26"/>
          <w:szCs w:val="26"/>
        </w:rPr>
        <w:t>centage rate interest of 19.562 percent</w:t>
      </w:r>
      <w:r w:rsidR="00911689" w:rsidRPr="00E95541">
        <w:rPr>
          <w:rFonts w:ascii="Times New Roman" w:hAnsi="Times New Roman" w:cs="Times New Roman"/>
          <w:color w:val="auto"/>
          <w:sz w:val="26"/>
          <w:szCs w:val="26"/>
        </w:rPr>
        <w:t xml:space="preserve">.  </w:t>
      </w:r>
      <w:r w:rsidR="00911689" w:rsidRPr="00E95541">
        <w:rPr>
          <w:rFonts w:ascii="Times New Roman" w:hAnsi="Times New Roman" w:cs="Times New Roman"/>
          <w:i/>
          <w:color w:val="auto"/>
          <w:sz w:val="26"/>
          <w:szCs w:val="26"/>
        </w:rPr>
        <w:t>See</w:t>
      </w:r>
      <w:r w:rsidR="00911689" w:rsidRPr="00E95541">
        <w:rPr>
          <w:rFonts w:ascii="Times New Roman" w:hAnsi="Times New Roman" w:cs="Times New Roman"/>
          <w:color w:val="auto"/>
          <w:sz w:val="26"/>
          <w:szCs w:val="26"/>
        </w:rPr>
        <w:t xml:space="preserve"> OCA St. No. 4 at 38.  </w:t>
      </w:r>
      <w:r w:rsidR="001D0515">
        <w:rPr>
          <w:rFonts w:ascii="Times New Roman" w:hAnsi="Times New Roman" w:cs="Times New Roman"/>
          <w:color w:val="auto"/>
          <w:sz w:val="26"/>
          <w:szCs w:val="26"/>
        </w:rPr>
        <w:t>I</w:t>
      </w:r>
      <w:r w:rsidR="001D0515" w:rsidRPr="00E95541">
        <w:rPr>
          <w:rFonts w:ascii="Times New Roman" w:hAnsi="Times New Roman" w:cs="Times New Roman"/>
          <w:color w:val="auto"/>
          <w:sz w:val="26"/>
          <w:szCs w:val="26"/>
        </w:rPr>
        <w:t>n Schedule RDC-1(SR),</w:t>
      </w:r>
      <w:r w:rsidR="001D0515">
        <w:rPr>
          <w:rFonts w:ascii="Times New Roman" w:hAnsi="Times New Roman" w:cs="Times New Roman"/>
          <w:color w:val="auto"/>
          <w:sz w:val="26"/>
          <w:szCs w:val="26"/>
        </w:rPr>
        <w:t xml:space="preserve"> Mr. Colton</w:t>
      </w:r>
      <w:r w:rsidR="001127CC">
        <w:rPr>
          <w:rFonts w:ascii="Times New Roman" w:hAnsi="Times New Roman" w:cs="Times New Roman"/>
          <w:color w:val="auto"/>
          <w:sz w:val="26"/>
          <w:szCs w:val="26"/>
        </w:rPr>
        <w:t xml:space="preserve"> </w:t>
      </w:r>
      <w:r w:rsidR="001D0515">
        <w:rPr>
          <w:rFonts w:ascii="Times New Roman" w:hAnsi="Times New Roman" w:cs="Times New Roman"/>
          <w:color w:val="auto"/>
          <w:sz w:val="26"/>
          <w:szCs w:val="26"/>
        </w:rPr>
        <w:t xml:space="preserve">also </w:t>
      </w:r>
      <w:r w:rsidR="001127CC">
        <w:rPr>
          <w:rFonts w:ascii="Times New Roman" w:hAnsi="Times New Roman" w:cs="Times New Roman"/>
          <w:color w:val="auto"/>
          <w:sz w:val="26"/>
          <w:szCs w:val="26"/>
        </w:rPr>
        <w:t>presented a hypothetical</w:t>
      </w:r>
      <w:r w:rsidR="00911689" w:rsidRPr="00E95541">
        <w:rPr>
          <w:rFonts w:ascii="Times New Roman" w:hAnsi="Times New Roman" w:cs="Times New Roman"/>
          <w:color w:val="auto"/>
          <w:sz w:val="26"/>
          <w:szCs w:val="26"/>
        </w:rPr>
        <w:t xml:space="preserve"> example, showing that PGW’s sequencing of customer payment</w:t>
      </w:r>
      <w:r w:rsidR="001D0515">
        <w:rPr>
          <w:rFonts w:ascii="Times New Roman" w:hAnsi="Times New Roman" w:cs="Times New Roman"/>
          <w:color w:val="auto"/>
          <w:sz w:val="26"/>
          <w:szCs w:val="26"/>
        </w:rPr>
        <w:t>s</w:t>
      </w:r>
      <w:r w:rsidR="00911689" w:rsidRPr="00E95541">
        <w:rPr>
          <w:rFonts w:ascii="Times New Roman" w:hAnsi="Times New Roman" w:cs="Times New Roman"/>
          <w:color w:val="auto"/>
          <w:sz w:val="26"/>
          <w:szCs w:val="26"/>
        </w:rPr>
        <w:t xml:space="preserve"> </w:t>
      </w:r>
      <w:r w:rsidR="001D0515">
        <w:rPr>
          <w:rFonts w:ascii="Times New Roman" w:hAnsi="Times New Roman" w:cs="Times New Roman"/>
          <w:color w:val="auto"/>
          <w:sz w:val="26"/>
          <w:szCs w:val="26"/>
        </w:rPr>
        <w:t>results in</w:t>
      </w:r>
      <w:r w:rsidR="00911689" w:rsidRPr="00E95541">
        <w:rPr>
          <w:rFonts w:ascii="Times New Roman" w:hAnsi="Times New Roman" w:cs="Times New Roman"/>
          <w:color w:val="auto"/>
          <w:sz w:val="26"/>
          <w:szCs w:val="26"/>
        </w:rPr>
        <w:t xml:space="preserve"> more recent late payment charges </w:t>
      </w:r>
      <w:r w:rsidR="001D0515">
        <w:rPr>
          <w:rFonts w:ascii="Times New Roman" w:hAnsi="Times New Roman" w:cs="Times New Roman"/>
          <w:color w:val="auto"/>
          <w:sz w:val="26"/>
          <w:szCs w:val="26"/>
        </w:rPr>
        <w:t xml:space="preserve">being paid </w:t>
      </w:r>
      <w:r w:rsidR="00911689" w:rsidRPr="00E95541">
        <w:rPr>
          <w:rFonts w:ascii="Times New Roman" w:hAnsi="Times New Roman" w:cs="Times New Roman"/>
          <w:color w:val="auto"/>
          <w:sz w:val="26"/>
          <w:szCs w:val="26"/>
        </w:rPr>
        <w:t xml:space="preserve">before older unpaid principal balances are paid, which leaves interest-bearing charges outstanding while retiring new non-interest-bearing charges.  </w:t>
      </w:r>
      <w:r w:rsidR="00911689" w:rsidRPr="00E95541">
        <w:rPr>
          <w:rFonts w:ascii="Times New Roman" w:hAnsi="Times New Roman" w:cs="Times New Roman"/>
          <w:i/>
          <w:color w:val="auto"/>
          <w:sz w:val="26"/>
          <w:szCs w:val="26"/>
        </w:rPr>
        <w:t>See</w:t>
      </w:r>
      <w:r w:rsidR="00911689" w:rsidRPr="00E95541">
        <w:rPr>
          <w:rFonts w:ascii="Times New Roman" w:hAnsi="Times New Roman" w:cs="Times New Roman"/>
          <w:color w:val="auto"/>
          <w:sz w:val="26"/>
          <w:szCs w:val="26"/>
        </w:rPr>
        <w:t xml:space="preserve"> OCA St. No. 4 at 37-38.  </w:t>
      </w:r>
      <w:r w:rsidR="001D0515">
        <w:rPr>
          <w:rFonts w:ascii="Times New Roman" w:hAnsi="Times New Roman" w:cs="Times New Roman"/>
          <w:color w:val="auto"/>
          <w:sz w:val="26"/>
          <w:szCs w:val="26"/>
        </w:rPr>
        <w:t>Mr. Colton</w:t>
      </w:r>
      <w:r w:rsidR="0078781E" w:rsidRPr="00E95541">
        <w:rPr>
          <w:rFonts w:ascii="Times New Roman" w:hAnsi="Times New Roman" w:cs="Times New Roman"/>
          <w:color w:val="auto"/>
          <w:sz w:val="26"/>
          <w:szCs w:val="26"/>
        </w:rPr>
        <w:t xml:space="preserve"> stated that </w:t>
      </w:r>
      <w:r w:rsidR="00911689" w:rsidRPr="00E95541">
        <w:rPr>
          <w:rFonts w:ascii="Times New Roman" w:hAnsi="Times New Roman" w:cs="Times New Roman"/>
          <w:color w:val="auto"/>
          <w:sz w:val="26"/>
          <w:szCs w:val="26"/>
        </w:rPr>
        <w:t xml:space="preserve">the continuing growth in the outstanding interest-bearing principal </w:t>
      </w:r>
      <w:r w:rsidR="00911689" w:rsidRPr="00237C5D">
        <w:rPr>
          <w:rFonts w:ascii="Times New Roman" w:hAnsi="Times New Roman" w:cs="Times New Roman"/>
          <w:color w:val="auto"/>
          <w:sz w:val="26"/>
          <w:szCs w:val="26"/>
        </w:rPr>
        <w:t>generates the same effect</w:t>
      </w:r>
      <w:r w:rsidR="00911689" w:rsidRPr="00E95541">
        <w:rPr>
          <w:rFonts w:ascii="Times New Roman" w:hAnsi="Times New Roman" w:cs="Times New Roman"/>
          <w:color w:val="auto"/>
          <w:sz w:val="26"/>
          <w:szCs w:val="26"/>
        </w:rPr>
        <w:t xml:space="preserve"> as compounded interest and maximizes customer late payment charges</w:t>
      </w:r>
      <w:r w:rsidR="001127CC">
        <w:rPr>
          <w:rFonts w:ascii="Times New Roman" w:hAnsi="Times New Roman" w:cs="Times New Roman"/>
          <w:color w:val="auto"/>
          <w:sz w:val="26"/>
          <w:szCs w:val="26"/>
        </w:rPr>
        <w:t>, in exceedance</w:t>
      </w:r>
      <w:r w:rsidR="006459C0">
        <w:rPr>
          <w:rFonts w:ascii="Times New Roman" w:hAnsi="Times New Roman" w:cs="Times New Roman"/>
          <w:color w:val="auto"/>
          <w:sz w:val="26"/>
          <w:szCs w:val="26"/>
        </w:rPr>
        <w:t xml:space="preserve"> of the 18 percent</w:t>
      </w:r>
      <w:r w:rsidR="00911689" w:rsidRPr="00E95541">
        <w:rPr>
          <w:rFonts w:ascii="Times New Roman" w:hAnsi="Times New Roman" w:cs="Times New Roman"/>
          <w:color w:val="auto"/>
          <w:sz w:val="26"/>
          <w:szCs w:val="26"/>
        </w:rPr>
        <w:t xml:space="preserve"> limit.  </w:t>
      </w:r>
      <w:r w:rsidR="00911689" w:rsidRPr="00E95541">
        <w:rPr>
          <w:rFonts w:ascii="Times New Roman" w:hAnsi="Times New Roman" w:cs="Times New Roman"/>
          <w:i/>
          <w:color w:val="auto"/>
          <w:sz w:val="26"/>
          <w:szCs w:val="26"/>
        </w:rPr>
        <w:t>See</w:t>
      </w:r>
      <w:r w:rsidR="00911689" w:rsidRPr="00E95541">
        <w:rPr>
          <w:rFonts w:ascii="Times New Roman" w:hAnsi="Times New Roman" w:cs="Times New Roman"/>
          <w:color w:val="auto"/>
          <w:sz w:val="26"/>
          <w:szCs w:val="26"/>
        </w:rPr>
        <w:t xml:space="preserve"> OCA St. No. 4 at 38, 43.</w:t>
      </w:r>
    </w:p>
    <w:p w:rsidR="00F97D98" w:rsidRDefault="00F97D98" w:rsidP="00F97D98">
      <w:pPr>
        <w:pStyle w:val="Heading3"/>
        <w:keepNext w:val="0"/>
        <w:keepLines w:val="0"/>
        <w:widowControl/>
        <w:spacing w:before="0"/>
        <w:rPr>
          <w:rFonts w:ascii="Times New Roman" w:hAnsi="Times New Roman" w:cs="Times New Roman"/>
          <w:color w:val="auto"/>
          <w:sz w:val="26"/>
          <w:szCs w:val="26"/>
        </w:rPr>
      </w:pPr>
    </w:p>
    <w:p w:rsidR="00627720" w:rsidRDefault="000A0E22" w:rsidP="000A0E22">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PGW </w:t>
      </w:r>
      <w:r w:rsidR="00F97D98">
        <w:rPr>
          <w:rFonts w:ascii="Times New Roman" w:hAnsi="Times New Roman" w:cs="Times New Roman"/>
          <w:sz w:val="26"/>
          <w:szCs w:val="26"/>
        </w:rPr>
        <w:t>argued</w:t>
      </w:r>
      <w:r w:rsidRPr="00E95541">
        <w:rPr>
          <w:rFonts w:ascii="Times New Roman" w:hAnsi="Times New Roman" w:cs="Times New Roman"/>
          <w:sz w:val="26"/>
          <w:szCs w:val="26"/>
        </w:rPr>
        <w:t xml:space="preserve"> that the fact that it sequences its payments to apply partial payments against newer, non-interest-bearing late charges before applying the payments against older, interest-bearing principal amounts is not evidence of </w:t>
      </w:r>
      <w:r>
        <w:rPr>
          <w:rFonts w:ascii="Times New Roman" w:hAnsi="Times New Roman" w:cs="Times New Roman"/>
          <w:sz w:val="26"/>
          <w:szCs w:val="26"/>
        </w:rPr>
        <w:t xml:space="preserve">PGW </w:t>
      </w:r>
      <w:r w:rsidRPr="00E95541">
        <w:rPr>
          <w:rFonts w:ascii="Times New Roman" w:hAnsi="Times New Roman" w:cs="Times New Roman"/>
          <w:sz w:val="26"/>
          <w:szCs w:val="26"/>
        </w:rPr>
        <w:t xml:space="preserve">charging or effectively </w:t>
      </w:r>
      <w:r w:rsidR="006459C0">
        <w:rPr>
          <w:rFonts w:ascii="Times New Roman" w:hAnsi="Times New Roman" w:cs="Times New Roman"/>
          <w:sz w:val="26"/>
          <w:szCs w:val="26"/>
        </w:rPr>
        <w:t>charging customers more than 18 percent</w:t>
      </w:r>
      <w:r w:rsidRPr="00E95541">
        <w:rPr>
          <w:rFonts w:ascii="Times New Roman" w:hAnsi="Times New Roman" w:cs="Times New Roman"/>
          <w:sz w:val="26"/>
          <w:szCs w:val="26"/>
        </w:rPr>
        <w:t xml:space="preserve"> interest per annum.  </w:t>
      </w:r>
      <w:r w:rsidR="00911689" w:rsidRPr="00E95541">
        <w:rPr>
          <w:rFonts w:ascii="Times New Roman" w:hAnsi="Times New Roman" w:cs="Times New Roman"/>
          <w:sz w:val="26"/>
          <w:szCs w:val="26"/>
        </w:rPr>
        <w:t>PGW noted that the record developed by the OCA in this proceeding did not contain any actual billing data reflecting how PGW’s partial payment allocation practices have affected PGW’s customers.  PGW explained that the OCA’s only support for its claim that “PGW’s posting practices result in an interest rate of 19.562 percent” is the calculation of its witness which is nothing more than the mathe</w:t>
      </w:r>
      <w:r w:rsidR="0065331A">
        <w:rPr>
          <w:rFonts w:ascii="Times New Roman" w:hAnsi="Times New Roman" w:cs="Times New Roman"/>
          <w:sz w:val="26"/>
          <w:szCs w:val="26"/>
        </w:rPr>
        <w:t xml:space="preserve">matical outcome of charging 18 percent </w:t>
      </w:r>
      <w:r w:rsidR="00911689" w:rsidRPr="00E95541">
        <w:rPr>
          <w:rFonts w:ascii="Times New Roman" w:hAnsi="Times New Roman" w:cs="Times New Roman"/>
          <w:sz w:val="26"/>
          <w:szCs w:val="26"/>
        </w:rPr>
        <w:t>annual interest on a compounded basis.  PGW maintained that this calculation has no basis in reality</w:t>
      </w:r>
      <w:r w:rsidR="0065331A">
        <w:rPr>
          <w:rFonts w:ascii="Times New Roman" w:hAnsi="Times New Roman" w:cs="Times New Roman"/>
          <w:sz w:val="26"/>
          <w:szCs w:val="26"/>
        </w:rPr>
        <w:t>,</w:t>
      </w:r>
      <w:r w:rsidR="009C3E9D">
        <w:rPr>
          <w:rFonts w:ascii="Times New Roman" w:hAnsi="Times New Roman" w:cs="Times New Roman"/>
          <w:sz w:val="26"/>
          <w:szCs w:val="26"/>
        </w:rPr>
        <w:t xml:space="preserve"> </w:t>
      </w:r>
      <w:r w:rsidR="00911689" w:rsidRPr="00E95541">
        <w:rPr>
          <w:rFonts w:ascii="Times New Roman" w:hAnsi="Times New Roman" w:cs="Times New Roman"/>
          <w:sz w:val="26"/>
          <w:szCs w:val="26"/>
        </w:rPr>
        <w:t xml:space="preserve">in terms of the interest rate that PGW customers are actually assessed or that they ultimately pay.  PGW asserted that each of the OCA’s contentions of alleged violations rests on the flawed premise that PGW is “effectively” charging customers more than </w:t>
      </w:r>
      <w:r w:rsidR="00212E4E">
        <w:rPr>
          <w:rFonts w:ascii="Times New Roman" w:hAnsi="Times New Roman" w:cs="Times New Roman"/>
          <w:sz w:val="26"/>
          <w:szCs w:val="26"/>
        </w:rPr>
        <w:t>18</w:t>
      </w:r>
      <w:r w:rsidR="00911689" w:rsidRPr="00E95541">
        <w:rPr>
          <w:rFonts w:ascii="Times New Roman" w:hAnsi="Times New Roman" w:cs="Times New Roman"/>
          <w:sz w:val="26"/>
          <w:szCs w:val="26"/>
        </w:rPr>
        <w:t xml:space="preserve"> percent on an annual basis.  PGW claimed that the fact that “PGW sequences its payments to apply partial payments against newer, non-interest-bearing late charges before applying the payments against older, interest-bearing principal amounts” is not evidence of charging or effectively charging customers more than </w:t>
      </w:r>
      <w:r w:rsidR="00212E4E">
        <w:rPr>
          <w:rFonts w:ascii="Times New Roman" w:hAnsi="Times New Roman" w:cs="Times New Roman"/>
          <w:sz w:val="26"/>
          <w:szCs w:val="26"/>
        </w:rPr>
        <w:t>18</w:t>
      </w:r>
      <w:r w:rsidR="00911689" w:rsidRPr="00E95541">
        <w:rPr>
          <w:rFonts w:ascii="Times New Roman" w:hAnsi="Times New Roman" w:cs="Times New Roman"/>
          <w:sz w:val="26"/>
          <w:szCs w:val="26"/>
        </w:rPr>
        <w:t xml:space="preserve"> percent interest. </w:t>
      </w:r>
      <w:r w:rsidRPr="00E95541">
        <w:rPr>
          <w:rFonts w:ascii="Times New Roman" w:hAnsi="Times New Roman" w:cs="Times New Roman"/>
          <w:sz w:val="26"/>
          <w:szCs w:val="26"/>
        </w:rPr>
        <w:t>Thus, PGW argued there is no evidence to show that it is in violation of Section 56.22 of the Commission’s Regulations.</w:t>
      </w:r>
      <w:r>
        <w:rPr>
          <w:rFonts w:ascii="Times New Roman" w:hAnsi="Times New Roman" w:cs="Times New Roman"/>
          <w:sz w:val="26"/>
          <w:szCs w:val="26"/>
        </w:rPr>
        <w:t xml:space="preserve">  </w:t>
      </w:r>
      <w:r w:rsidR="00F97D98">
        <w:rPr>
          <w:rFonts w:ascii="Times New Roman" w:hAnsi="Times New Roman" w:cs="Times New Roman"/>
          <w:sz w:val="26"/>
          <w:szCs w:val="26"/>
        </w:rPr>
        <w:t xml:space="preserve">PGW M.B. at 16-30; PGW R. Exc. at </w:t>
      </w:r>
      <w:r w:rsidR="00BB6CDA">
        <w:rPr>
          <w:rFonts w:ascii="Times New Roman" w:hAnsi="Times New Roman" w:cs="Times New Roman"/>
          <w:sz w:val="26"/>
          <w:szCs w:val="26"/>
        </w:rPr>
        <w:t>8-12.</w:t>
      </w:r>
    </w:p>
    <w:p w:rsidR="00973666" w:rsidRDefault="00973666" w:rsidP="000A0E22">
      <w:pPr>
        <w:spacing w:after="0" w:line="360" w:lineRule="auto"/>
        <w:ind w:firstLine="1440"/>
        <w:rPr>
          <w:rFonts w:ascii="Times New Roman" w:hAnsi="Times New Roman" w:cs="Times New Roman"/>
          <w:sz w:val="26"/>
          <w:szCs w:val="26"/>
        </w:rPr>
      </w:pPr>
    </w:p>
    <w:bookmarkEnd w:id="5"/>
    <w:p w:rsidR="00CC618A" w:rsidRDefault="00EC02C4" w:rsidP="00CC618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We find OCA’s arguments persuasive.  PGW’s methodology of applying a partial payment against more recent, non-interest-bearing late payment charges followed by older, interest-bearing principal effectively charges interest in excess of the 18% annual limit, as defined in Section 56.22(a) of our Regulations.</w:t>
      </w:r>
      <w:r w:rsidR="00AD6606" w:rsidRPr="000936AE">
        <w:rPr>
          <w:rFonts w:ascii="Times New Roman" w:hAnsi="Times New Roman" w:cs="Times New Roman"/>
          <w:sz w:val="26"/>
          <w:szCs w:val="26"/>
        </w:rPr>
        <w:t xml:space="preserve"> </w:t>
      </w:r>
      <w:r w:rsidR="00441634" w:rsidRPr="000936AE">
        <w:rPr>
          <w:rFonts w:ascii="Times New Roman" w:hAnsi="Times New Roman" w:cs="Times New Roman"/>
          <w:sz w:val="26"/>
          <w:szCs w:val="26"/>
        </w:rPr>
        <w:t xml:space="preserve"> </w:t>
      </w:r>
      <w:r w:rsidR="001E600A" w:rsidRPr="000936AE">
        <w:rPr>
          <w:rFonts w:ascii="Times New Roman" w:hAnsi="Times New Roman" w:cs="Times New Roman"/>
          <w:sz w:val="26"/>
          <w:szCs w:val="26"/>
        </w:rPr>
        <w:t xml:space="preserve">Any interest rate charged by PGW that exceeds the 18% simple annual interest level </w:t>
      </w:r>
      <w:r w:rsidR="00BB70B2">
        <w:rPr>
          <w:rFonts w:ascii="Times New Roman" w:hAnsi="Times New Roman" w:cs="Times New Roman"/>
          <w:sz w:val="26"/>
          <w:szCs w:val="26"/>
        </w:rPr>
        <w:t xml:space="preserve">established in our Regulations </w:t>
      </w:r>
      <w:r w:rsidR="001E600A" w:rsidRPr="000936AE">
        <w:rPr>
          <w:rFonts w:ascii="Times New Roman" w:hAnsi="Times New Roman" w:cs="Times New Roman"/>
          <w:sz w:val="26"/>
          <w:szCs w:val="26"/>
        </w:rPr>
        <w:t xml:space="preserve">is a </w:t>
      </w:r>
      <w:r w:rsidR="001E600A" w:rsidRPr="000936AE">
        <w:rPr>
          <w:rFonts w:ascii="Times New Roman" w:hAnsi="Times New Roman" w:cs="Times New Roman"/>
          <w:i/>
          <w:sz w:val="26"/>
          <w:szCs w:val="26"/>
        </w:rPr>
        <w:t>de facto</w:t>
      </w:r>
      <w:r w:rsidR="001E600A" w:rsidRPr="000936AE">
        <w:rPr>
          <w:rFonts w:ascii="Times New Roman" w:hAnsi="Times New Roman" w:cs="Times New Roman"/>
          <w:sz w:val="26"/>
          <w:szCs w:val="26"/>
        </w:rPr>
        <w:t xml:space="preserve"> unjust and unreasonable </w:t>
      </w:r>
      <w:r w:rsidR="000B1445">
        <w:rPr>
          <w:rFonts w:ascii="Times New Roman" w:hAnsi="Times New Roman" w:cs="Times New Roman"/>
          <w:sz w:val="26"/>
          <w:szCs w:val="26"/>
        </w:rPr>
        <w:t>rate</w:t>
      </w:r>
      <w:r w:rsidR="00AD6606">
        <w:rPr>
          <w:rFonts w:ascii="Times New Roman" w:hAnsi="Times New Roman" w:cs="Times New Roman"/>
          <w:sz w:val="26"/>
          <w:szCs w:val="26"/>
        </w:rPr>
        <w:t xml:space="preserve">, in violation of </w:t>
      </w:r>
      <w:r w:rsidR="00AD6606" w:rsidRPr="000936AE">
        <w:rPr>
          <w:rFonts w:ascii="Times New Roman" w:hAnsi="Times New Roman" w:cs="Times New Roman"/>
          <w:sz w:val="26"/>
          <w:szCs w:val="26"/>
        </w:rPr>
        <w:t>66 Pa. C.S. § 1301</w:t>
      </w:r>
      <w:r w:rsidR="00AD6606">
        <w:rPr>
          <w:rFonts w:ascii="Times New Roman" w:hAnsi="Times New Roman" w:cs="Times New Roman"/>
          <w:sz w:val="26"/>
          <w:szCs w:val="26"/>
        </w:rPr>
        <w:t>.  And, finally, a</w:t>
      </w:r>
      <w:r w:rsidR="00AD6606" w:rsidRPr="000936AE">
        <w:rPr>
          <w:rFonts w:ascii="Times New Roman" w:hAnsi="Times New Roman" w:cs="Times New Roman"/>
          <w:sz w:val="26"/>
          <w:szCs w:val="26"/>
        </w:rPr>
        <w:t xml:space="preserve">ny interest rate charged by PGW that exceeds the 18% simple annual interest level </w:t>
      </w:r>
      <w:r w:rsidR="000B1445">
        <w:rPr>
          <w:rFonts w:ascii="Times New Roman" w:hAnsi="Times New Roman" w:cs="Times New Roman"/>
          <w:sz w:val="26"/>
          <w:szCs w:val="26"/>
        </w:rPr>
        <w:t>esta</w:t>
      </w:r>
      <w:r w:rsidR="00AD6606">
        <w:rPr>
          <w:rFonts w:ascii="Times New Roman" w:hAnsi="Times New Roman" w:cs="Times New Roman"/>
          <w:sz w:val="26"/>
          <w:szCs w:val="26"/>
        </w:rPr>
        <w:t xml:space="preserve">blished in </w:t>
      </w:r>
      <w:r w:rsidR="00B16B5E">
        <w:rPr>
          <w:rFonts w:ascii="Times New Roman" w:hAnsi="Times New Roman" w:cs="Times New Roman"/>
          <w:sz w:val="26"/>
          <w:szCs w:val="26"/>
        </w:rPr>
        <w:t>Rule 4.2 of PGW’s</w:t>
      </w:r>
      <w:r w:rsidR="00AD6606">
        <w:rPr>
          <w:rFonts w:ascii="Times New Roman" w:hAnsi="Times New Roman" w:cs="Times New Roman"/>
          <w:sz w:val="26"/>
          <w:szCs w:val="26"/>
        </w:rPr>
        <w:t xml:space="preserve"> Tariff is a violation of 66 Pa. C.S. §</w:t>
      </w:r>
      <w:r w:rsidR="00441634" w:rsidRPr="000936AE">
        <w:rPr>
          <w:rFonts w:ascii="Times New Roman" w:hAnsi="Times New Roman" w:cs="Times New Roman"/>
          <w:sz w:val="26"/>
          <w:szCs w:val="26"/>
        </w:rPr>
        <w:t xml:space="preserve"> 1303</w:t>
      </w:r>
      <w:r w:rsidR="00BB70B2">
        <w:rPr>
          <w:rFonts w:ascii="Times New Roman" w:hAnsi="Times New Roman" w:cs="Times New Roman"/>
          <w:sz w:val="26"/>
          <w:szCs w:val="26"/>
        </w:rPr>
        <w:t>, which prohibits utilities from charging or receiving any rate greater than that established in its Commission-approved tariff</w:t>
      </w:r>
      <w:r w:rsidR="00441634" w:rsidRPr="000936AE">
        <w:rPr>
          <w:rFonts w:ascii="Times New Roman" w:hAnsi="Times New Roman" w:cs="Times New Roman"/>
          <w:sz w:val="26"/>
          <w:szCs w:val="26"/>
        </w:rPr>
        <w:t>.</w:t>
      </w:r>
      <w:r w:rsidR="00CC618A">
        <w:rPr>
          <w:rFonts w:ascii="Times New Roman" w:hAnsi="Times New Roman" w:cs="Times New Roman"/>
          <w:sz w:val="26"/>
          <w:szCs w:val="26"/>
        </w:rPr>
        <w:t xml:space="preserve">  As the remedy for the foregoing violations, </w:t>
      </w:r>
      <w:r w:rsidR="00DA5013">
        <w:rPr>
          <w:rFonts w:ascii="Times New Roman" w:hAnsi="Times New Roman" w:cs="Times New Roman"/>
          <w:sz w:val="26"/>
          <w:szCs w:val="26"/>
        </w:rPr>
        <w:t xml:space="preserve">we direct </w:t>
      </w:r>
      <w:r w:rsidR="00CC618A">
        <w:rPr>
          <w:rFonts w:ascii="Times New Roman" w:hAnsi="Times New Roman" w:cs="Times New Roman"/>
          <w:sz w:val="26"/>
          <w:szCs w:val="26"/>
        </w:rPr>
        <w:t>PGW to modify its partial payment allocation practices, consistent with the discussion above</w:t>
      </w:r>
      <w:r w:rsidR="00DA5013">
        <w:rPr>
          <w:rFonts w:ascii="Times New Roman" w:hAnsi="Times New Roman" w:cs="Times New Roman"/>
          <w:sz w:val="26"/>
          <w:szCs w:val="26"/>
        </w:rPr>
        <w:t>, within ninety (90) days from the entry date of this Opinion and Order</w:t>
      </w:r>
      <w:r w:rsidR="00CC618A">
        <w:rPr>
          <w:rFonts w:ascii="Times New Roman" w:hAnsi="Times New Roman" w:cs="Times New Roman"/>
          <w:sz w:val="26"/>
          <w:szCs w:val="26"/>
        </w:rPr>
        <w:t>.</w:t>
      </w:r>
    </w:p>
    <w:p w:rsidR="00BB70B2" w:rsidRPr="00BB70B2" w:rsidRDefault="00BB70B2" w:rsidP="00BB70B2"/>
    <w:p w:rsidR="00B42F50" w:rsidRPr="00E95541" w:rsidRDefault="00B42F50" w:rsidP="00C61BB0">
      <w:pPr>
        <w:pStyle w:val="ListParagraph"/>
        <w:keepNext/>
        <w:keepLines/>
        <w:numPr>
          <w:ilvl w:val="0"/>
          <w:numId w:val="2"/>
        </w:numPr>
        <w:spacing w:after="0" w:line="360" w:lineRule="auto"/>
        <w:contextualSpacing w:val="0"/>
        <w:jc w:val="center"/>
        <w:rPr>
          <w:rFonts w:ascii="Times New Roman" w:hAnsi="Times New Roman" w:cs="Times New Roman"/>
          <w:b/>
          <w:sz w:val="26"/>
          <w:szCs w:val="26"/>
        </w:rPr>
      </w:pPr>
      <w:r w:rsidRPr="00E95541">
        <w:rPr>
          <w:rFonts w:ascii="Times New Roman" w:hAnsi="Times New Roman" w:cs="Times New Roman"/>
          <w:b/>
          <w:sz w:val="26"/>
          <w:szCs w:val="26"/>
        </w:rPr>
        <w:t>Conclusion</w:t>
      </w:r>
    </w:p>
    <w:p w:rsidR="00627720" w:rsidRDefault="00627720" w:rsidP="00C61BB0">
      <w:pPr>
        <w:keepNext/>
        <w:keepLines/>
        <w:spacing w:after="0" w:line="360" w:lineRule="auto"/>
        <w:ind w:firstLine="1440"/>
        <w:rPr>
          <w:rFonts w:ascii="Times New Roman" w:hAnsi="Times New Roman" w:cs="Times New Roman"/>
          <w:sz w:val="26"/>
          <w:szCs w:val="26"/>
        </w:rPr>
      </w:pPr>
    </w:p>
    <w:p w:rsidR="006C2B59" w:rsidRDefault="000D43AE" w:rsidP="00475F23">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 xml:space="preserve">Based upon our review of the record in this proceeding, the </w:t>
      </w:r>
      <w:r w:rsidR="005E7E5B" w:rsidRPr="00E95541">
        <w:rPr>
          <w:rFonts w:ascii="Times New Roman" w:hAnsi="Times New Roman" w:cs="Times New Roman"/>
          <w:sz w:val="26"/>
          <w:szCs w:val="26"/>
        </w:rPr>
        <w:t xml:space="preserve">Reconsideration </w:t>
      </w:r>
      <w:r w:rsidR="005E7E5B" w:rsidRPr="00EE0609">
        <w:rPr>
          <w:rFonts w:ascii="Times New Roman" w:hAnsi="Times New Roman" w:cs="Times New Roman"/>
          <w:sz w:val="26"/>
          <w:szCs w:val="26"/>
        </w:rPr>
        <w:t>Petition</w:t>
      </w:r>
      <w:r w:rsidRPr="00EE0609">
        <w:rPr>
          <w:rFonts w:ascii="Times New Roman" w:hAnsi="Times New Roman" w:cs="Times New Roman"/>
          <w:sz w:val="26"/>
          <w:szCs w:val="26"/>
        </w:rPr>
        <w:t>, the Answer thereto, the Recommended Decision, the Exceptions and Replies to Exceptions, we shall: (1) grant</w:t>
      </w:r>
      <w:r w:rsidR="008545E3">
        <w:rPr>
          <w:rFonts w:ascii="Times New Roman" w:hAnsi="Times New Roman" w:cs="Times New Roman"/>
          <w:sz w:val="26"/>
          <w:szCs w:val="26"/>
        </w:rPr>
        <w:t xml:space="preserve"> </w:t>
      </w:r>
      <w:r w:rsidRPr="00EE0609">
        <w:rPr>
          <w:rFonts w:ascii="Times New Roman" w:hAnsi="Times New Roman" w:cs="Times New Roman"/>
          <w:sz w:val="26"/>
          <w:szCs w:val="26"/>
        </w:rPr>
        <w:t>the Reconsideration Petition of the OCA; (2) grant the Exceptions of the OCA;</w:t>
      </w:r>
      <w:r w:rsidR="008545E3">
        <w:rPr>
          <w:rFonts w:ascii="Times New Roman" w:hAnsi="Times New Roman" w:cs="Times New Roman"/>
          <w:sz w:val="26"/>
          <w:szCs w:val="26"/>
        </w:rPr>
        <w:t xml:space="preserve"> and</w:t>
      </w:r>
      <w:r w:rsidRPr="00EE0609">
        <w:rPr>
          <w:rFonts w:ascii="Times New Roman" w:hAnsi="Times New Roman" w:cs="Times New Roman"/>
          <w:sz w:val="26"/>
          <w:szCs w:val="26"/>
        </w:rPr>
        <w:t xml:space="preserve"> (3) modif</w:t>
      </w:r>
      <w:r w:rsidR="00A54E6F" w:rsidRPr="00EE0609">
        <w:rPr>
          <w:rFonts w:ascii="Times New Roman" w:hAnsi="Times New Roman" w:cs="Times New Roman"/>
          <w:sz w:val="26"/>
          <w:szCs w:val="26"/>
        </w:rPr>
        <w:t>y</w:t>
      </w:r>
      <w:r w:rsidRPr="00EE0609">
        <w:rPr>
          <w:rFonts w:ascii="Times New Roman" w:hAnsi="Times New Roman" w:cs="Times New Roman"/>
          <w:sz w:val="26"/>
          <w:szCs w:val="26"/>
        </w:rPr>
        <w:t xml:space="preserve"> the ALJs’ Recommended Decision, consistent with this Opinion and Order</w:t>
      </w:r>
      <w:r w:rsidR="008545E3">
        <w:rPr>
          <w:rFonts w:ascii="Times New Roman" w:hAnsi="Times New Roman" w:cs="Times New Roman"/>
          <w:sz w:val="26"/>
          <w:szCs w:val="26"/>
        </w:rPr>
        <w:t>;</w:t>
      </w:r>
      <w:r w:rsidR="00A54E6F" w:rsidRPr="00E95541">
        <w:rPr>
          <w:rFonts w:ascii="Times New Roman" w:hAnsi="Times New Roman" w:cs="Times New Roman"/>
          <w:sz w:val="26"/>
          <w:szCs w:val="26"/>
        </w:rPr>
        <w:t xml:space="preserve"> </w:t>
      </w:r>
      <w:r w:rsidR="00A54E6F" w:rsidRPr="00E95541">
        <w:rPr>
          <w:rFonts w:ascii="Times New Roman" w:hAnsi="Times New Roman" w:cs="Times New Roman"/>
          <w:b/>
          <w:sz w:val="26"/>
          <w:szCs w:val="26"/>
        </w:rPr>
        <w:t>THEREFORE,</w:t>
      </w:r>
    </w:p>
    <w:p w:rsidR="00627720" w:rsidRPr="00627720" w:rsidRDefault="00627720" w:rsidP="00475F23">
      <w:pPr>
        <w:spacing w:after="0" w:line="360" w:lineRule="auto"/>
        <w:ind w:firstLine="1440"/>
        <w:rPr>
          <w:rFonts w:ascii="Times New Roman" w:hAnsi="Times New Roman" w:cs="Times New Roman"/>
          <w:sz w:val="26"/>
          <w:szCs w:val="26"/>
        </w:rPr>
      </w:pPr>
    </w:p>
    <w:p w:rsidR="006C2B59" w:rsidRDefault="00A575BA" w:rsidP="00475F23">
      <w:pPr>
        <w:keepNext/>
        <w:keepLines/>
        <w:spacing w:after="0" w:line="36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sidR="006C2B59" w:rsidRPr="00E95541">
        <w:rPr>
          <w:rFonts w:ascii="Times New Roman" w:hAnsi="Times New Roman" w:cs="Times New Roman"/>
          <w:b/>
          <w:sz w:val="26"/>
          <w:szCs w:val="26"/>
        </w:rPr>
        <w:t>IT IS ORDERED:</w:t>
      </w:r>
    </w:p>
    <w:p w:rsidR="00627720" w:rsidRPr="00E95541" w:rsidRDefault="00627720" w:rsidP="00475F23">
      <w:pPr>
        <w:keepNext/>
        <w:keepLines/>
        <w:spacing w:after="0" w:line="360" w:lineRule="auto"/>
        <w:rPr>
          <w:rFonts w:ascii="Times New Roman" w:hAnsi="Times New Roman" w:cs="Times New Roman"/>
          <w:b/>
          <w:sz w:val="26"/>
          <w:szCs w:val="26"/>
        </w:rPr>
      </w:pPr>
    </w:p>
    <w:p w:rsidR="006C2B59" w:rsidRPr="00E95541" w:rsidRDefault="006C2B59" w:rsidP="00475F23">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1.</w:t>
      </w:r>
      <w:r w:rsidRPr="00E95541">
        <w:rPr>
          <w:rFonts w:ascii="Times New Roman" w:hAnsi="Times New Roman" w:cs="Times New Roman"/>
          <w:sz w:val="26"/>
          <w:szCs w:val="26"/>
        </w:rPr>
        <w:tab/>
        <w:t>That the Petition for Reconsideration filed by the Office of Consumer Advocate on November 27, 2017, to the Opinion and Order entered in this proceeding on November 8, 2017, is granted</w:t>
      </w:r>
      <w:r w:rsidR="008545E3">
        <w:rPr>
          <w:rFonts w:ascii="Times New Roman" w:hAnsi="Times New Roman" w:cs="Times New Roman"/>
          <w:sz w:val="26"/>
          <w:szCs w:val="26"/>
        </w:rPr>
        <w:t xml:space="preserve">, </w:t>
      </w:r>
      <w:r w:rsidRPr="00E95541">
        <w:rPr>
          <w:rFonts w:ascii="Times New Roman" w:hAnsi="Times New Roman" w:cs="Times New Roman"/>
          <w:sz w:val="26"/>
          <w:szCs w:val="26"/>
        </w:rPr>
        <w:t>consiste</w:t>
      </w:r>
      <w:r w:rsidR="00925D7B">
        <w:rPr>
          <w:rFonts w:ascii="Times New Roman" w:hAnsi="Times New Roman" w:cs="Times New Roman"/>
          <w:sz w:val="26"/>
          <w:szCs w:val="26"/>
        </w:rPr>
        <w:t>nt with this Opinion and Order.</w:t>
      </w:r>
    </w:p>
    <w:p w:rsidR="006C2B59" w:rsidRPr="00E95541" w:rsidRDefault="006C2B59" w:rsidP="00475F23">
      <w:pPr>
        <w:spacing w:after="0" w:line="360" w:lineRule="auto"/>
        <w:ind w:firstLine="1440"/>
        <w:rPr>
          <w:rFonts w:ascii="Times New Roman" w:hAnsi="Times New Roman" w:cs="Times New Roman"/>
          <w:sz w:val="26"/>
          <w:szCs w:val="26"/>
        </w:rPr>
      </w:pPr>
    </w:p>
    <w:p w:rsidR="006C2B59" w:rsidRPr="00E95541" w:rsidRDefault="006C2B59" w:rsidP="00475F23">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2.</w:t>
      </w:r>
      <w:r w:rsidRPr="00E95541">
        <w:rPr>
          <w:rFonts w:ascii="Times New Roman" w:hAnsi="Times New Roman" w:cs="Times New Roman"/>
          <w:sz w:val="26"/>
          <w:szCs w:val="26"/>
        </w:rPr>
        <w:tab/>
        <w:t>That the Exceptions filed by the Office of Consumer Advocate on September 25, 2017, to the Recommended Decision of Administrative Law Judges Christopher P. Pell and Marta Guhl, are granted, consistent with this Opinion and Order.</w:t>
      </w:r>
    </w:p>
    <w:p w:rsidR="006C2B59" w:rsidRPr="00E95541" w:rsidRDefault="006C2B59" w:rsidP="00475F23">
      <w:pPr>
        <w:spacing w:after="0" w:line="360" w:lineRule="auto"/>
        <w:ind w:firstLine="1440"/>
        <w:rPr>
          <w:rFonts w:ascii="Times New Roman" w:hAnsi="Times New Roman" w:cs="Times New Roman"/>
          <w:sz w:val="26"/>
          <w:szCs w:val="26"/>
        </w:rPr>
      </w:pPr>
    </w:p>
    <w:p w:rsidR="006C2B59" w:rsidRPr="00E95541" w:rsidRDefault="006C2B59" w:rsidP="00475F23">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3.</w:t>
      </w:r>
      <w:r w:rsidRPr="00E95541">
        <w:rPr>
          <w:rFonts w:ascii="Times New Roman" w:hAnsi="Times New Roman" w:cs="Times New Roman"/>
          <w:sz w:val="26"/>
          <w:szCs w:val="26"/>
        </w:rPr>
        <w:tab/>
        <w:t xml:space="preserve">That the </w:t>
      </w:r>
      <w:bookmarkStart w:id="6" w:name="_Hlk508024982"/>
      <w:r w:rsidRPr="00E95541">
        <w:rPr>
          <w:rFonts w:ascii="Times New Roman" w:hAnsi="Times New Roman" w:cs="Times New Roman"/>
          <w:sz w:val="26"/>
          <w:szCs w:val="26"/>
        </w:rPr>
        <w:t>Recommended Decision of Administrative Law Judges Christopher P. Pell and Marta Guhl, issued on September 8, 2017</w:t>
      </w:r>
      <w:bookmarkEnd w:id="6"/>
      <w:r w:rsidRPr="00E95541">
        <w:rPr>
          <w:rFonts w:ascii="Times New Roman" w:hAnsi="Times New Roman" w:cs="Times New Roman"/>
          <w:sz w:val="26"/>
          <w:szCs w:val="26"/>
        </w:rPr>
        <w:t xml:space="preserve">, is modified </w:t>
      </w:r>
      <w:bookmarkStart w:id="7" w:name="_Hlk508025009"/>
      <w:r w:rsidRPr="00E95541">
        <w:rPr>
          <w:rFonts w:ascii="Times New Roman" w:hAnsi="Times New Roman" w:cs="Times New Roman"/>
          <w:sz w:val="26"/>
          <w:szCs w:val="26"/>
        </w:rPr>
        <w:t>consistent with this Opinion and Order.</w:t>
      </w:r>
    </w:p>
    <w:bookmarkEnd w:id="7"/>
    <w:p w:rsidR="006C2B59" w:rsidRPr="00E95541" w:rsidRDefault="006C2B59" w:rsidP="00475F23">
      <w:pPr>
        <w:spacing w:after="0" w:line="360" w:lineRule="auto"/>
        <w:ind w:firstLine="1440"/>
        <w:rPr>
          <w:rFonts w:ascii="Times New Roman" w:hAnsi="Times New Roman" w:cs="Times New Roman"/>
          <w:sz w:val="26"/>
          <w:szCs w:val="26"/>
        </w:rPr>
      </w:pPr>
    </w:p>
    <w:p w:rsidR="00370FC1" w:rsidRPr="00E95541" w:rsidRDefault="006C2B59" w:rsidP="00370FC1">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4.</w:t>
      </w:r>
      <w:r w:rsidRPr="00E95541">
        <w:rPr>
          <w:rFonts w:ascii="Times New Roman" w:hAnsi="Times New Roman" w:cs="Times New Roman"/>
          <w:sz w:val="26"/>
          <w:szCs w:val="26"/>
        </w:rPr>
        <w:tab/>
        <w:t>That the Formal Complaint of the Office of Consumer Advocate, filed at Docket No. C-2017-2592092, regarding the issue of the partial payment allocation practices of the Philadelphia Gas Works, is s</w:t>
      </w:r>
      <w:r w:rsidR="00CE170F">
        <w:rPr>
          <w:rFonts w:ascii="Times New Roman" w:hAnsi="Times New Roman" w:cs="Times New Roman"/>
          <w:sz w:val="26"/>
          <w:szCs w:val="26"/>
        </w:rPr>
        <w:t>ustained</w:t>
      </w:r>
      <w:r w:rsidRPr="00E95541">
        <w:rPr>
          <w:rFonts w:ascii="Times New Roman" w:hAnsi="Times New Roman" w:cs="Times New Roman"/>
          <w:sz w:val="26"/>
          <w:szCs w:val="26"/>
        </w:rPr>
        <w:t>, consistent with this Opinion and Order.</w:t>
      </w:r>
    </w:p>
    <w:p w:rsidR="006C2B59" w:rsidRPr="00E95541" w:rsidRDefault="006C2B59" w:rsidP="00475F23">
      <w:pPr>
        <w:spacing w:after="0" w:line="360" w:lineRule="auto"/>
        <w:ind w:firstLine="1440"/>
        <w:rPr>
          <w:rFonts w:ascii="Times New Roman" w:hAnsi="Times New Roman" w:cs="Times New Roman"/>
          <w:sz w:val="26"/>
          <w:szCs w:val="26"/>
        </w:rPr>
      </w:pPr>
    </w:p>
    <w:p w:rsidR="00124DB0" w:rsidRDefault="006C2B59" w:rsidP="0031358C">
      <w:pPr>
        <w:spacing w:after="0" w:line="360" w:lineRule="auto"/>
        <w:ind w:firstLine="1440"/>
        <w:rPr>
          <w:rFonts w:ascii="Times New Roman" w:hAnsi="Times New Roman" w:cs="Times New Roman"/>
          <w:sz w:val="26"/>
          <w:szCs w:val="26"/>
        </w:rPr>
      </w:pPr>
      <w:r w:rsidRPr="00E95541">
        <w:rPr>
          <w:rFonts w:ascii="Times New Roman" w:hAnsi="Times New Roman" w:cs="Times New Roman"/>
          <w:sz w:val="26"/>
          <w:szCs w:val="26"/>
        </w:rPr>
        <w:t>5.</w:t>
      </w:r>
      <w:r w:rsidRPr="00E95541">
        <w:rPr>
          <w:rFonts w:ascii="Times New Roman" w:hAnsi="Times New Roman" w:cs="Times New Roman"/>
          <w:sz w:val="26"/>
          <w:szCs w:val="26"/>
        </w:rPr>
        <w:tab/>
      </w:r>
      <w:r w:rsidR="00124DB0">
        <w:rPr>
          <w:rFonts w:ascii="Times New Roman" w:hAnsi="Times New Roman" w:cs="Times New Roman"/>
          <w:sz w:val="26"/>
          <w:szCs w:val="26"/>
        </w:rPr>
        <w:t xml:space="preserve">That Philadelphia Gas Works’ </w:t>
      </w:r>
      <w:r w:rsidR="008861C2">
        <w:rPr>
          <w:rFonts w:ascii="Times New Roman" w:hAnsi="Times New Roman" w:cs="Times New Roman"/>
          <w:sz w:val="26"/>
          <w:szCs w:val="26"/>
        </w:rPr>
        <w:t xml:space="preserve">practice of applying </w:t>
      </w:r>
      <w:r w:rsidR="00124DB0" w:rsidRPr="00EF78FF">
        <w:rPr>
          <w:rFonts w:ascii="Times New Roman" w:eastAsia="Times New Roman" w:hAnsi="Times New Roman" w:cs="Times New Roman"/>
          <w:sz w:val="26"/>
          <w:szCs w:val="26"/>
        </w:rPr>
        <w:t xml:space="preserve">partial payments out of </w:t>
      </w:r>
      <w:r w:rsidR="00124DB0">
        <w:rPr>
          <w:rFonts w:ascii="Times New Roman" w:eastAsia="Times New Roman" w:hAnsi="Times New Roman" w:cs="Times New Roman"/>
          <w:sz w:val="26"/>
          <w:szCs w:val="26"/>
        </w:rPr>
        <w:t>sequence</w:t>
      </w:r>
      <w:r w:rsidR="00124DB0" w:rsidRPr="00EF78FF">
        <w:rPr>
          <w:rFonts w:ascii="Times New Roman" w:eastAsia="Times New Roman" w:hAnsi="Times New Roman" w:cs="Times New Roman"/>
          <w:sz w:val="26"/>
          <w:szCs w:val="26"/>
        </w:rPr>
        <w:t xml:space="preserve"> so that the most recent late payment charges are paid before the gas charges due for prior service </w:t>
      </w:r>
      <w:r w:rsidR="00124DB0" w:rsidRPr="00DA0A19">
        <w:rPr>
          <w:rFonts w:ascii="Times New Roman" w:hAnsi="Times New Roman" w:cs="Times New Roman"/>
          <w:sz w:val="26"/>
          <w:szCs w:val="26"/>
        </w:rPr>
        <w:t>constitutes a violation of the Commission’s Regulations at 52 Pa. Code § 56.24.</w:t>
      </w:r>
    </w:p>
    <w:p w:rsidR="00124DB0" w:rsidRDefault="00124DB0" w:rsidP="0031358C">
      <w:pPr>
        <w:spacing w:after="0" w:line="360" w:lineRule="auto"/>
        <w:ind w:firstLine="1440"/>
        <w:rPr>
          <w:rFonts w:ascii="Times New Roman" w:hAnsi="Times New Roman" w:cs="Times New Roman"/>
          <w:sz w:val="26"/>
          <w:szCs w:val="26"/>
        </w:rPr>
      </w:pPr>
    </w:p>
    <w:p w:rsidR="000B1445" w:rsidRDefault="00124DB0" w:rsidP="00124DB0">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31358C">
        <w:rPr>
          <w:rFonts w:ascii="Times New Roman" w:hAnsi="Times New Roman" w:cs="Times New Roman"/>
          <w:sz w:val="26"/>
          <w:szCs w:val="26"/>
        </w:rPr>
        <w:t xml:space="preserve">That Philadelphia Gas Works’ </w:t>
      </w:r>
      <w:r w:rsidR="008861C2">
        <w:rPr>
          <w:rFonts w:ascii="Times New Roman" w:hAnsi="Times New Roman" w:cs="Times New Roman"/>
          <w:sz w:val="26"/>
          <w:szCs w:val="26"/>
        </w:rPr>
        <w:t xml:space="preserve">practice of applying </w:t>
      </w:r>
      <w:r w:rsidR="0031358C" w:rsidRPr="00EF78FF">
        <w:rPr>
          <w:rFonts w:ascii="Times New Roman" w:eastAsia="Times New Roman" w:hAnsi="Times New Roman" w:cs="Times New Roman"/>
          <w:sz w:val="26"/>
          <w:szCs w:val="26"/>
        </w:rPr>
        <w:t xml:space="preserve">partial payments out of </w:t>
      </w:r>
      <w:r w:rsidR="008545E3">
        <w:rPr>
          <w:rFonts w:ascii="Times New Roman" w:eastAsia="Times New Roman" w:hAnsi="Times New Roman" w:cs="Times New Roman"/>
          <w:sz w:val="26"/>
          <w:szCs w:val="26"/>
        </w:rPr>
        <w:t>sequence</w:t>
      </w:r>
      <w:r w:rsidR="008545E3" w:rsidRPr="00EF78FF">
        <w:rPr>
          <w:rFonts w:ascii="Times New Roman" w:eastAsia="Times New Roman" w:hAnsi="Times New Roman" w:cs="Times New Roman"/>
          <w:sz w:val="26"/>
          <w:szCs w:val="26"/>
        </w:rPr>
        <w:t xml:space="preserve"> </w:t>
      </w:r>
      <w:r w:rsidR="0031358C" w:rsidRPr="00EF78FF">
        <w:rPr>
          <w:rFonts w:ascii="Times New Roman" w:eastAsia="Times New Roman" w:hAnsi="Times New Roman" w:cs="Times New Roman"/>
          <w:sz w:val="26"/>
          <w:szCs w:val="26"/>
        </w:rPr>
        <w:t xml:space="preserve">so that the most recent late payment charges are paid before the gas charges due for prior service constitutes a </w:t>
      </w:r>
      <w:r w:rsidR="0031358C" w:rsidRPr="00DA0A19">
        <w:rPr>
          <w:rFonts w:ascii="Times New Roman" w:eastAsia="Times New Roman" w:hAnsi="Times New Roman" w:cs="Times New Roman"/>
          <w:sz w:val="26"/>
          <w:szCs w:val="26"/>
        </w:rPr>
        <w:t>failure to provide adequate and reasonable service in violation of 66 Pa. C.S. § 1501</w:t>
      </w:r>
      <w:r w:rsidR="0031358C" w:rsidRPr="00DA0A19">
        <w:rPr>
          <w:rFonts w:ascii="Times New Roman" w:hAnsi="Times New Roman" w:cs="Times New Roman"/>
          <w:sz w:val="26"/>
          <w:szCs w:val="26"/>
        </w:rPr>
        <w:t>.</w:t>
      </w:r>
    </w:p>
    <w:p w:rsidR="000B1445" w:rsidRDefault="000B1445" w:rsidP="0031358C">
      <w:pPr>
        <w:spacing w:after="0" w:line="360" w:lineRule="auto"/>
        <w:ind w:firstLine="1440"/>
        <w:rPr>
          <w:rFonts w:ascii="Times New Roman" w:hAnsi="Times New Roman" w:cs="Times New Roman"/>
          <w:sz w:val="26"/>
          <w:szCs w:val="26"/>
        </w:rPr>
      </w:pPr>
    </w:p>
    <w:p w:rsidR="008545E3" w:rsidRDefault="000B1445" w:rsidP="0031358C">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8545E3">
        <w:rPr>
          <w:rFonts w:ascii="Times New Roman" w:hAnsi="Times New Roman" w:cs="Times New Roman"/>
          <w:sz w:val="26"/>
          <w:szCs w:val="26"/>
        </w:rPr>
        <w:t xml:space="preserve">That Philadelphia Gas Works’ </w:t>
      </w:r>
      <w:r w:rsidR="008861C2">
        <w:rPr>
          <w:rFonts w:ascii="Times New Roman" w:hAnsi="Times New Roman" w:cs="Times New Roman"/>
          <w:sz w:val="26"/>
          <w:szCs w:val="26"/>
        </w:rPr>
        <w:t xml:space="preserve">practice of applying </w:t>
      </w:r>
      <w:r w:rsidR="008545E3" w:rsidRPr="00EF78FF">
        <w:rPr>
          <w:rFonts w:ascii="Times New Roman" w:eastAsia="Times New Roman" w:hAnsi="Times New Roman" w:cs="Times New Roman"/>
          <w:sz w:val="26"/>
          <w:szCs w:val="26"/>
        </w:rPr>
        <w:t xml:space="preserve">partial payments out of </w:t>
      </w:r>
      <w:r w:rsidR="008545E3">
        <w:rPr>
          <w:rFonts w:ascii="Times New Roman" w:eastAsia="Times New Roman" w:hAnsi="Times New Roman" w:cs="Times New Roman"/>
          <w:sz w:val="26"/>
          <w:szCs w:val="26"/>
        </w:rPr>
        <w:t>sequence</w:t>
      </w:r>
      <w:r w:rsidR="008545E3" w:rsidRPr="00EF78FF">
        <w:rPr>
          <w:rFonts w:ascii="Times New Roman" w:eastAsia="Times New Roman" w:hAnsi="Times New Roman" w:cs="Times New Roman"/>
          <w:sz w:val="26"/>
          <w:szCs w:val="26"/>
        </w:rPr>
        <w:t xml:space="preserve"> so that the most recent late payment charges are paid before the gas charges due for prior service constitutes </w:t>
      </w:r>
      <w:r w:rsidR="008545E3">
        <w:rPr>
          <w:rFonts w:ascii="Times New Roman" w:hAnsi="Times New Roman" w:cs="Times New Roman"/>
          <w:sz w:val="26"/>
          <w:szCs w:val="26"/>
        </w:rPr>
        <w:t>a violation of 52 Pa. Code § 5</w:t>
      </w:r>
      <w:r w:rsidR="00124DB0">
        <w:rPr>
          <w:rFonts w:ascii="Times New Roman" w:hAnsi="Times New Roman" w:cs="Times New Roman"/>
          <w:sz w:val="26"/>
          <w:szCs w:val="26"/>
        </w:rPr>
        <w:t xml:space="preserve">6.22(a), which prohibits the </w:t>
      </w:r>
      <w:r w:rsidR="008545E3">
        <w:rPr>
          <w:rFonts w:ascii="Times New Roman" w:hAnsi="Times New Roman" w:cs="Times New Roman"/>
          <w:sz w:val="26"/>
          <w:szCs w:val="26"/>
        </w:rPr>
        <w:t>charging, collecting or receiving of late payment charges or fees in amounts that exceed the annualized 18 percent simple interest limit</w:t>
      </w:r>
      <w:r>
        <w:rPr>
          <w:rFonts w:ascii="Times New Roman" w:hAnsi="Times New Roman" w:cs="Times New Roman"/>
          <w:sz w:val="26"/>
          <w:szCs w:val="26"/>
        </w:rPr>
        <w:t>.</w:t>
      </w:r>
    </w:p>
    <w:p w:rsidR="008545E3" w:rsidRDefault="008545E3" w:rsidP="0031358C">
      <w:pPr>
        <w:spacing w:after="0" w:line="360" w:lineRule="auto"/>
        <w:ind w:firstLine="1440"/>
        <w:rPr>
          <w:rFonts w:ascii="Times New Roman" w:hAnsi="Times New Roman" w:cs="Times New Roman"/>
          <w:sz w:val="26"/>
          <w:szCs w:val="26"/>
        </w:rPr>
      </w:pPr>
    </w:p>
    <w:p w:rsidR="000B1445" w:rsidRDefault="000B1445" w:rsidP="000B1445">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8</w:t>
      </w:r>
      <w:r w:rsidR="008545E3">
        <w:rPr>
          <w:rFonts w:ascii="Times New Roman" w:hAnsi="Times New Roman" w:cs="Times New Roman"/>
          <w:sz w:val="26"/>
          <w:szCs w:val="26"/>
        </w:rPr>
        <w:t>.</w:t>
      </w:r>
      <w:r w:rsidR="008545E3">
        <w:rPr>
          <w:rFonts w:ascii="Times New Roman" w:hAnsi="Times New Roman" w:cs="Times New Roman"/>
          <w:sz w:val="26"/>
          <w:szCs w:val="26"/>
        </w:rPr>
        <w:tab/>
      </w:r>
      <w:r>
        <w:rPr>
          <w:rFonts w:ascii="Times New Roman" w:hAnsi="Times New Roman" w:cs="Times New Roman"/>
          <w:sz w:val="26"/>
          <w:szCs w:val="26"/>
        </w:rPr>
        <w:t>That Philadelphia Gas Works’ charging of</w:t>
      </w:r>
      <w:r w:rsidRPr="000936AE">
        <w:rPr>
          <w:rFonts w:ascii="Times New Roman" w:hAnsi="Times New Roman" w:cs="Times New Roman"/>
          <w:sz w:val="26"/>
          <w:szCs w:val="26"/>
        </w:rPr>
        <w:t xml:space="preserve"> residential customers </w:t>
      </w:r>
      <w:r>
        <w:rPr>
          <w:rFonts w:ascii="Times New Roman" w:hAnsi="Times New Roman" w:cs="Times New Roman"/>
          <w:sz w:val="26"/>
          <w:szCs w:val="26"/>
        </w:rPr>
        <w:t xml:space="preserve">late payment fees </w:t>
      </w:r>
      <w:r w:rsidRPr="000936AE">
        <w:rPr>
          <w:rFonts w:ascii="Times New Roman" w:hAnsi="Times New Roman" w:cs="Times New Roman"/>
          <w:sz w:val="26"/>
          <w:szCs w:val="26"/>
        </w:rPr>
        <w:t xml:space="preserve">in excess of the 18% annual </w:t>
      </w:r>
      <w:r>
        <w:rPr>
          <w:rFonts w:ascii="Times New Roman" w:hAnsi="Times New Roman" w:cs="Times New Roman"/>
          <w:sz w:val="26"/>
          <w:szCs w:val="26"/>
        </w:rPr>
        <w:t xml:space="preserve">interest </w:t>
      </w:r>
      <w:r w:rsidRPr="000936AE">
        <w:rPr>
          <w:rFonts w:ascii="Times New Roman" w:hAnsi="Times New Roman" w:cs="Times New Roman"/>
          <w:sz w:val="26"/>
          <w:szCs w:val="26"/>
        </w:rPr>
        <w:t>limit</w:t>
      </w:r>
      <w:r>
        <w:rPr>
          <w:rFonts w:ascii="Times New Roman" w:hAnsi="Times New Roman" w:cs="Times New Roman"/>
          <w:sz w:val="26"/>
          <w:szCs w:val="26"/>
        </w:rPr>
        <w:t xml:space="preserve"> set forth in 52 Pa. Code § 5</w:t>
      </w:r>
      <w:r w:rsidR="00124DB0">
        <w:rPr>
          <w:rFonts w:ascii="Times New Roman" w:hAnsi="Times New Roman" w:cs="Times New Roman"/>
          <w:sz w:val="26"/>
          <w:szCs w:val="26"/>
        </w:rPr>
        <w:t>6</w:t>
      </w:r>
      <w:r>
        <w:rPr>
          <w:rFonts w:ascii="Times New Roman" w:hAnsi="Times New Roman" w:cs="Times New Roman"/>
          <w:sz w:val="26"/>
          <w:szCs w:val="26"/>
        </w:rPr>
        <w:t>.22(a), constitutes a violation of PGW’s obligation to charge “just and reasonable” rates pursuant to 66 Pa. C.S. § 1301.</w:t>
      </w:r>
    </w:p>
    <w:p w:rsidR="000B1445" w:rsidRDefault="000B1445" w:rsidP="000B1445">
      <w:pPr>
        <w:spacing w:after="0" w:line="360" w:lineRule="auto"/>
        <w:ind w:firstLine="1440"/>
        <w:rPr>
          <w:rFonts w:ascii="Times New Roman" w:hAnsi="Times New Roman" w:cs="Times New Roman"/>
          <w:sz w:val="26"/>
          <w:szCs w:val="26"/>
        </w:rPr>
      </w:pPr>
    </w:p>
    <w:p w:rsidR="000B1445" w:rsidRDefault="000B1445" w:rsidP="000B1445">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That Philadelphia Gas Works’ charging of</w:t>
      </w:r>
      <w:r w:rsidRPr="000936AE">
        <w:rPr>
          <w:rFonts w:ascii="Times New Roman" w:hAnsi="Times New Roman" w:cs="Times New Roman"/>
          <w:sz w:val="26"/>
          <w:szCs w:val="26"/>
        </w:rPr>
        <w:t xml:space="preserve"> residential customers </w:t>
      </w:r>
      <w:r>
        <w:rPr>
          <w:rFonts w:ascii="Times New Roman" w:hAnsi="Times New Roman" w:cs="Times New Roman"/>
          <w:sz w:val="26"/>
          <w:szCs w:val="26"/>
        </w:rPr>
        <w:t xml:space="preserve">late payment fees </w:t>
      </w:r>
      <w:r w:rsidRPr="000936AE">
        <w:rPr>
          <w:rFonts w:ascii="Times New Roman" w:hAnsi="Times New Roman" w:cs="Times New Roman"/>
          <w:sz w:val="26"/>
          <w:szCs w:val="26"/>
        </w:rPr>
        <w:t xml:space="preserve">in excess of the 18% annual </w:t>
      </w:r>
      <w:r>
        <w:rPr>
          <w:rFonts w:ascii="Times New Roman" w:hAnsi="Times New Roman" w:cs="Times New Roman"/>
          <w:sz w:val="26"/>
          <w:szCs w:val="26"/>
        </w:rPr>
        <w:t xml:space="preserve">interest </w:t>
      </w:r>
      <w:r w:rsidRPr="000936AE">
        <w:rPr>
          <w:rFonts w:ascii="Times New Roman" w:hAnsi="Times New Roman" w:cs="Times New Roman"/>
          <w:sz w:val="26"/>
          <w:szCs w:val="26"/>
        </w:rPr>
        <w:t>limit</w:t>
      </w:r>
      <w:r>
        <w:rPr>
          <w:rFonts w:ascii="Times New Roman" w:hAnsi="Times New Roman" w:cs="Times New Roman"/>
          <w:sz w:val="26"/>
          <w:szCs w:val="26"/>
        </w:rPr>
        <w:t xml:space="preserve"> set forth in Rule 4.2 of the Company’s Tariff, constitutes a violation of 66 Pa. C.S. § 1303.</w:t>
      </w:r>
    </w:p>
    <w:p w:rsidR="000B1445" w:rsidRDefault="000B1445" w:rsidP="000B1445">
      <w:pPr>
        <w:spacing w:after="0" w:line="360" w:lineRule="auto"/>
        <w:ind w:firstLine="1440"/>
        <w:rPr>
          <w:rFonts w:ascii="Times New Roman" w:hAnsi="Times New Roman" w:cs="Times New Roman"/>
          <w:sz w:val="26"/>
          <w:szCs w:val="26"/>
        </w:rPr>
      </w:pPr>
    </w:p>
    <w:p w:rsidR="0031358C" w:rsidRDefault="000B1445" w:rsidP="0031358C">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r>
      <w:r w:rsidR="0031358C">
        <w:rPr>
          <w:rFonts w:ascii="Times New Roman" w:hAnsi="Times New Roman" w:cs="Times New Roman"/>
          <w:sz w:val="26"/>
          <w:szCs w:val="26"/>
        </w:rPr>
        <w:t xml:space="preserve">That Philadelphia Gas Works shall have ninety (90) days from the entry date of this Opinion and Order to comply with the requirements of </w:t>
      </w:r>
      <w:r w:rsidR="008545E3">
        <w:rPr>
          <w:rFonts w:ascii="Times New Roman" w:hAnsi="Times New Roman" w:cs="Times New Roman"/>
          <w:sz w:val="26"/>
          <w:szCs w:val="26"/>
        </w:rPr>
        <w:t xml:space="preserve">this Order pertaining to the modification of </w:t>
      </w:r>
      <w:r w:rsidR="0031358C">
        <w:rPr>
          <w:rFonts w:ascii="Times New Roman" w:hAnsi="Times New Roman" w:cs="Times New Roman"/>
          <w:sz w:val="26"/>
          <w:szCs w:val="26"/>
        </w:rPr>
        <w:t>its partial payment allocation practices</w:t>
      </w:r>
      <w:r w:rsidR="008545E3">
        <w:rPr>
          <w:rFonts w:ascii="Times New Roman" w:hAnsi="Times New Roman" w:cs="Times New Roman"/>
          <w:sz w:val="26"/>
          <w:szCs w:val="26"/>
        </w:rPr>
        <w:t>,</w:t>
      </w:r>
      <w:r w:rsidR="00522CF7">
        <w:rPr>
          <w:rFonts w:ascii="Times New Roman" w:hAnsi="Times New Roman" w:cs="Times New Roman"/>
          <w:sz w:val="26"/>
          <w:szCs w:val="26"/>
        </w:rPr>
        <w:t xml:space="preserve"> </w:t>
      </w:r>
      <w:r w:rsidR="0031358C">
        <w:rPr>
          <w:rFonts w:ascii="Times New Roman" w:hAnsi="Times New Roman" w:cs="Times New Roman"/>
          <w:sz w:val="26"/>
          <w:szCs w:val="26"/>
        </w:rPr>
        <w:t>consistent with this Opinion and Order.</w:t>
      </w:r>
    </w:p>
    <w:p w:rsidR="00520F89" w:rsidRDefault="00520F89" w:rsidP="0031358C">
      <w:pPr>
        <w:spacing w:after="0" w:line="360" w:lineRule="auto"/>
        <w:ind w:firstLine="1440"/>
        <w:rPr>
          <w:rFonts w:ascii="Times New Roman" w:hAnsi="Times New Roman" w:cs="Times New Roman"/>
          <w:sz w:val="26"/>
          <w:szCs w:val="26"/>
        </w:rPr>
      </w:pPr>
    </w:p>
    <w:p w:rsidR="00CE170F" w:rsidRDefault="000B1445" w:rsidP="00520F89">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11</w:t>
      </w:r>
      <w:r w:rsidR="00370FC1">
        <w:rPr>
          <w:rFonts w:ascii="Times New Roman" w:hAnsi="Times New Roman" w:cs="Times New Roman"/>
          <w:sz w:val="26"/>
          <w:szCs w:val="26"/>
        </w:rPr>
        <w:t>.</w:t>
      </w:r>
      <w:r w:rsidR="00370FC1">
        <w:rPr>
          <w:rFonts w:ascii="Times New Roman" w:hAnsi="Times New Roman" w:cs="Times New Roman"/>
          <w:sz w:val="26"/>
          <w:szCs w:val="26"/>
        </w:rPr>
        <w:tab/>
      </w:r>
      <w:r w:rsidR="006C2B59" w:rsidRPr="00E95541">
        <w:rPr>
          <w:rFonts w:ascii="Times New Roman" w:hAnsi="Times New Roman" w:cs="Times New Roman"/>
          <w:sz w:val="26"/>
          <w:szCs w:val="26"/>
        </w:rPr>
        <w:t>That Philadelphia Gas Works shall comply with all directives, conclusions and recommendations contained in th</w:t>
      </w:r>
      <w:r w:rsidR="00391E7C">
        <w:rPr>
          <w:rFonts w:ascii="Times New Roman" w:hAnsi="Times New Roman" w:cs="Times New Roman"/>
          <w:sz w:val="26"/>
          <w:szCs w:val="26"/>
        </w:rPr>
        <w:t>is</w:t>
      </w:r>
      <w:r w:rsidR="006C2B59" w:rsidRPr="00E95541">
        <w:rPr>
          <w:rFonts w:ascii="Times New Roman" w:hAnsi="Times New Roman" w:cs="Times New Roman"/>
          <w:sz w:val="26"/>
          <w:szCs w:val="26"/>
        </w:rPr>
        <w:t xml:space="preserve"> Opinion and Order that are not the subject of individual ordering paragraphs as fully as if they were the subject of specific ordering paragraphs.</w:t>
      </w:r>
    </w:p>
    <w:p w:rsidR="008861C2" w:rsidRDefault="008861C2" w:rsidP="00520F89">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r>
      <w:r w:rsidRPr="00B64DFC">
        <w:rPr>
          <w:rFonts w:ascii="Times New Roman" w:hAnsi="Times New Roman" w:cs="Times New Roman"/>
          <w:sz w:val="26"/>
          <w:szCs w:val="26"/>
        </w:rPr>
        <w:t xml:space="preserve">That </w:t>
      </w:r>
      <w:r w:rsidR="00B64DFC" w:rsidRPr="00B64DFC">
        <w:rPr>
          <w:rFonts w:ascii="Times New Roman" w:hAnsi="Times New Roman" w:cs="Times New Roman"/>
          <w:sz w:val="26"/>
          <w:szCs w:val="26"/>
        </w:rPr>
        <w:t>Philadelphia Gas Works shall file a verification statement pursuant to 52 Pa. Code § 1.36 with the Secretary’s Bureau at this docket indicating compliance with the requirement of Ordering Paragraph Nos. 10 and 11 within ten (10) days of said completion.</w:t>
      </w:r>
    </w:p>
    <w:p w:rsidR="00CE170F" w:rsidRDefault="00CE170F" w:rsidP="00520F89">
      <w:pPr>
        <w:spacing w:after="0" w:line="360" w:lineRule="auto"/>
        <w:rPr>
          <w:rFonts w:ascii="Times New Roman" w:hAnsi="Times New Roman" w:cs="Times New Roman"/>
          <w:sz w:val="26"/>
          <w:szCs w:val="26"/>
        </w:rPr>
      </w:pPr>
    </w:p>
    <w:p w:rsidR="007A3E55" w:rsidRPr="007A3E55" w:rsidRDefault="00687A79" w:rsidP="00520F89">
      <w:pPr>
        <w:tabs>
          <w:tab w:val="left" w:pos="-720"/>
        </w:tabs>
        <w:spacing w:line="240" w:lineRule="auto"/>
        <w:ind w:firstLine="5040"/>
        <w:rPr>
          <w:rFonts w:ascii="Times New Roman" w:hAnsi="Times New Roman" w:cs="Times New Roman"/>
          <w:sz w:val="26"/>
          <w:szCs w:val="26"/>
        </w:rPr>
      </w:pPr>
      <w:r>
        <w:rPr>
          <w:noProof/>
        </w:rPr>
        <w:drawing>
          <wp:anchor distT="0" distB="0" distL="114300" distR="114300" simplePos="0" relativeHeight="251659264" behindDoc="1" locked="0" layoutInCell="1" allowOverlap="1">
            <wp:simplePos x="0" y="0"/>
            <wp:positionH relativeFrom="column">
              <wp:posOffset>2962275</wp:posOffset>
            </wp:positionH>
            <wp:positionV relativeFrom="paragraph">
              <wp:posOffset>290830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A3E55" w:rsidRPr="007A3E55">
        <w:rPr>
          <w:rFonts w:ascii="Times New Roman" w:hAnsi="Times New Roman" w:cs="Times New Roman"/>
          <w:b/>
          <w:sz w:val="26"/>
          <w:szCs w:val="26"/>
        </w:rPr>
        <w:t>BY THE COMMISSION,</w:t>
      </w:r>
    </w:p>
    <w:p w:rsidR="007A3E55" w:rsidRDefault="007A3E55" w:rsidP="00520F89">
      <w:pPr>
        <w:tabs>
          <w:tab w:val="left" w:pos="-720"/>
        </w:tabs>
        <w:spacing w:after="0" w:line="240" w:lineRule="auto"/>
        <w:rPr>
          <w:rFonts w:ascii="Times New Roman" w:hAnsi="Times New Roman" w:cs="Times New Roman"/>
          <w:sz w:val="26"/>
          <w:szCs w:val="26"/>
        </w:rPr>
      </w:pPr>
    </w:p>
    <w:p w:rsidR="00687A79" w:rsidRDefault="00687A79"/>
    <w:p w:rsidR="00173C46" w:rsidRDefault="00173C46" w:rsidP="00520F89">
      <w:pPr>
        <w:tabs>
          <w:tab w:val="left" w:pos="-720"/>
        </w:tabs>
        <w:spacing w:after="0" w:line="240" w:lineRule="auto"/>
        <w:rPr>
          <w:rFonts w:ascii="Times New Roman" w:hAnsi="Times New Roman" w:cs="Times New Roman"/>
          <w:sz w:val="26"/>
          <w:szCs w:val="26"/>
        </w:rPr>
      </w:pPr>
    </w:p>
    <w:p w:rsidR="007A3E55" w:rsidRPr="007A3E55" w:rsidRDefault="007A3E55" w:rsidP="00520F89">
      <w:pPr>
        <w:tabs>
          <w:tab w:val="left" w:pos="-720"/>
        </w:tabs>
        <w:spacing w:after="0" w:line="240" w:lineRule="auto"/>
        <w:rPr>
          <w:rFonts w:ascii="Times New Roman" w:hAnsi="Times New Roman" w:cs="Times New Roman"/>
          <w:sz w:val="26"/>
          <w:szCs w:val="26"/>
        </w:rPr>
      </w:pPr>
    </w:p>
    <w:p w:rsidR="007A3E55" w:rsidRPr="007A3E55" w:rsidRDefault="007A3E55" w:rsidP="00520F89">
      <w:pPr>
        <w:tabs>
          <w:tab w:val="left" w:pos="-720"/>
        </w:tabs>
        <w:spacing w:after="0" w:line="240" w:lineRule="auto"/>
        <w:rPr>
          <w:rFonts w:ascii="Times New Roman" w:hAnsi="Times New Roman" w:cs="Times New Roman"/>
          <w:sz w:val="26"/>
          <w:szCs w:val="26"/>
        </w:rPr>
      </w:pPr>
    </w:p>
    <w:p w:rsidR="007A3E55" w:rsidRPr="007A3E55" w:rsidRDefault="007A3E55" w:rsidP="00520F89">
      <w:pPr>
        <w:tabs>
          <w:tab w:val="left" w:pos="-720"/>
        </w:tabs>
        <w:spacing w:after="0" w:line="240" w:lineRule="auto"/>
        <w:ind w:firstLine="5040"/>
        <w:rPr>
          <w:rFonts w:ascii="Times New Roman" w:hAnsi="Times New Roman" w:cs="Times New Roman"/>
          <w:b/>
          <w:sz w:val="26"/>
          <w:szCs w:val="26"/>
        </w:rPr>
      </w:pPr>
      <w:r w:rsidRPr="007A3E55">
        <w:rPr>
          <w:rFonts w:ascii="Times New Roman" w:hAnsi="Times New Roman" w:cs="Times New Roman"/>
          <w:sz w:val="26"/>
          <w:szCs w:val="26"/>
        </w:rPr>
        <w:t>Rosemary Chiavetta</w:t>
      </w:r>
    </w:p>
    <w:p w:rsidR="007A3E55" w:rsidRPr="007A3E55" w:rsidRDefault="007A3E55" w:rsidP="00520F89">
      <w:pPr>
        <w:tabs>
          <w:tab w:val="left" w:pos="-720"/>
        </w:tabs>
        <w:ind w:firstLine="5040"/>
        <w:rPr>
          <w:rFonts w:ascii="Times New Roman" w:hAnsi="Times New Roman" w:cs="Times New Roman"/>
          <w:sz w:val="26"/>
          <w:szCs w:val="26"/>
        </w:rPr>
      </w:pPr>
      <w:r w:rsidRPr="007A3E55">
        <w:rPr>
          <w:rFonts w:ascii="Times New Roman" w:hAnsi="Times New Roman" w:cs="Times New Roman"/>
          <w:sz w:val="26"/>
          <w:szCs w:val="26"/>
        </w:rPr>
        <w:t>Secretary</w:t>
      </w:r>
    </w:p>
    <w:p w:rsidR="007A3E55" w:rsidRPr="007A3E55" w:rsidRDefault="007A3E55" w:rsidP="00520F89">
      <w:pPr>
        <w:tabs>
          <w:tab w:val="left" w:pos="-720"/>
        </w:tabs>
        <w:rPr>
          <w:rFonts w:ascii="Times New Roman" w:hAnsi="Times New Roman" w:cs="Times New Roman"/>
          <w:sz w:val="26"/>
          <w:szCs w:val="26"/>
        </w:rPr>
      </w:pPr>
    </w:p>
    <w:p w:rsidR="007A3E55" w:rsidRPr="007A3E55" w:rsidRDefault="007A3E55" w:rsidP="00520F89">
      <w:pPr>
        <w:tabs>
          <w:tab w:val="left" w:pos="-720"/>
        </w:tabs>
        <w:rPr>
          <w:rFonts w:ascii="Times New Roman" w:hAnsi="Times New Roman" w:cs="Times New Roman"/>
          <w:sz w:val="26"/>
          <w:szCs w:val="26"/>
        </w:rPr>
      </w:pPr>
      <w:r w:rsidRPr="007A3E55">
        <w:rPr>
          <w:rFonts w:ascii="Times New Roman" w:hAnsi="Times New Roman" w:cs="Times New Roman"/>
          <w:sz w:val="26"/>
          <w:szCs w:val="26"/>
        </w:rPr>
        <w:t>(SEAL)</w:t>
      </w:r>
    </w:p>
    <w:p w:rsidR="007A3E55" w:rsidRPr="007A3E55" w:rsidRDefault="007A3E55" w:rsidP="00520F89">
      <w:pPr>
        <w:tabs>
          <w:tab w:val="left" w:pos="-720"/>
        </w:tabs>
        <w:rPr>
          <w:rFonts w:ascii="Times New Roman" w:hAnsi="Times New Roman" w:cs="Times New Roman"/>
          <w:sz w:val="26"/>
          <w:szCs w:val="26"/>
        </w:rPr>
      </w:pPr>
      <w:r w:rsidRPr="007A3E55">
        <w:rPr>
          <w:rFonts w:ascii="Times New Roman" w:hAnsi="Times New Roman" w:cs="Times New Roman"/>
          <w:sz w:val="26"/>
          <w:szCs w:val="26"/>
        </w:rPr>
        <w:t xml:space="preserve">ORDER ADOPTED: </w:t>
      </w:r>
      <w:r w:rsidR="00002C4B">
        <w:rPr>
          <w:rFonts w:ascii="Times New Roman" w:hAnsi="Times New Roman" w:cs="Times New Roman"/>
          <w:sz w:val="26"/>
          <w:szCs w:val="26"/>
        </w:rPr>
        <w:t xml:space="preserve"> </w:t>
      </w:r>
      <w:r w:rsidR="007E5BB0">
        <w:rPr>
          <w:rFonts w:ascii="Times New Roman" w:hAnsi="Times New Roman" w:cs="Times New Roman"/>
          <w:sz w:val="26"/>
          <w:szCs w:val="26"/>
        </w:rPr>
        <w:t>May 3</w:t>
      </w:r>
      <w:r>
        <w:rPr>
          <w:rFonts w:ascii="Times New Roman" w:hAnsi="Times New Roman" w:cs="Times New Roman"/>
          <w:sz w:val="26"/>
          <w:szCs w:val="26"/>
        </w:rPr>
        <w:t>, 2018</w:t>
      </w:r>
    </w:p>
    <w:p w:rsidR="007A3E55" w:rsidRPr="007A3E55" w:rsidRDefault="007A3E55" w:rsidP="00520F89">
      <w:pPr>
        <w:tabs>
          <w:tab w:val="left" w:pos="-720"/>
        </w:tabs>
        <w:rPr>
          <w:rFonts w:ascii="Times New Roman" w:hAnsi="Times New Roman" w:cs="Times New Roman"/>
          <w:sz w:val="26"/>
          <w:szCs w:val="26"/>
        </w:rPr>
      </w:pPr>
      <w:r w:rsidRPr="007A3E55">
        <w:rPr>
          <w:rFonts w:ascii="Times New Roman" w:hAnsi="Times New Roman" w:cs="Times New Roman"/>
          <w:sz w:val="26"/>
          <w:szCs w:val="26"/>
        </w:rPr>
        <w:t xml:space="preserve">ORDER ENTERED:  </w:t>
      </w:r>
      <w:r w:rsidR="00687A79">
        <w:rPr>
          <w:rFonts w:ascii="Times New Roman" w:hAnsi="Times New Roman" w:cs="Times New Roman"/>
          <w:sz w:val="26"/>
          <w:szCs w:val="26"/>
        </w:rPr>
        <w:t>May 18, 2018</w:t>
      </w:r>
    </w:p>
    <w:sectPr w:rsidR="007A3E55" w:rsidRPr="007A3E55" w:rsidSect="00B32A9D">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C72" w:rsidRDefault="00D47C72" w:rsidP="00014B45">
      <w:pPr>
        <w:spacing w:after="0" w:line="240" w:lineRule="auto"/>
      </w:pPr>
      <w:r>
        <w:separator/>
      </w:r>
    </w:p>
  </w:endnote>
  <w:endnote w:type="continuationSeparator" w:id="0">
    <w:p w:rsidR="00D47C72" w:rsidRDefault="00D47C72" w:rsidP="00014B45">
      <w:pPr>
        <w:spacing w:after="0" w:line="240" w:lineRule="auto"/>
      </w:pPr>
      <w:r>
        <w:continuationSeparator/>
      </w:r>
    </w:p>
  </w:endnote>
  <w:endnote w:type="continuationNotice" w:id="1">
    <w:p w:rsidR="00D47C72" w:rsidRDefault="00D47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62279"/>
      <w:docPartObj>
        <w:docPartGallery w:val="Page Numbers (Bottom of Page)"/>
        <w:docPartUnique/>
      </w:docPartObj>
    </w:sdtPr>
    <w:sdtEndPr>
      <w:rPr>
        <w:noProof/>
      </w:rPr>
    </w:sdtEndPr>
    <w:sdtContent>
      <w:p w:rsidR="006141C0" w:rsidRDefault="006141C0">
        <w:pPr>
          <w:pStyle w:val="Footer"/>
          <w:jc w:val="center"/>
        </w:pPr>
        <w:r w:rsidRPr="00C61BB0">
          <w:rPr>
            <w:rFonts w:ascii="Times New Roman" w:hAnsi="Times New Roman"/>
          </w:rPr>
          <w:fldChar w:fldCharType="begin"/>
        </w:r>
        <w:r w:rsidRPr="00BE1E1F">
          <w:rPr>
            <w:rFonts w:ascii="Times New Roman" w:hAnsi="Times New Roman" w:cs="Times New Roman"/>
          </w:rPr>
          <w:instrText xml:space="preserve"> PAGE   \* MERGEFORMAT </w:instrText>
        </w:r>
        <w:r w:rsidRPr="00C61BB0">
          <w:rPr>
            <w:rFonts w:ascii="Times New Roman" w:hAnsi="Times New Roman"/>
          </w:rPr>
          <w:fldChar w:fldCharType="separate"/>
        </w:r>
        <w:r w:rsidR="001438BB">
          <w:rPr>
            <w:rFonts w:ascii="Times New Roman" w:hAnsi="Times New Roman" w:cs="Times New Roman"/>
            <w:noProof/>
          </w:rPr>
          <w:t>24</w:t>
        </w:r>
        <w:r w:rsidRPr="00C61BB0">
          <w:rPr>
            <w:rFonts w:ascii="Times New Roman" w:hAnsi="Times New Roman"/>
          </w:rPr>
          <w:fldChar w:fldCharType="end"/>
        </w:r>
      </w:p>
    </w:sdtContent>
  </w:sdt>
  <w:p w:rsidR="006141C0" w:rsidRDefault="00614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C72" w:rsidRDefault="00D47C72" w:rsidP="00014B45">
      <w:pPr>
        <w:spacing w:after="0" w:line="240" w:lineRule="auto"/>
      </w:pPr>
      <w:r>
        <w:separator/>
      </w:r>
    </w:p>
  </w:footnote>
  <w:footnote w:type="continuationSeparator" w:id="0">
    <w:p w:rsidR="00D47C72" w:rsidRDefault="00D47C72" w:rsidP="00014B45">
      <w:pPr>
        <w:spacing w:after="0" w:line="240" w:lineRule="auto"/>
      </w:pPr>
      <w:r>
        <w:continuationSeparator/>
      </w:r>
    </w:p>
  </w:footnote>
  <w:footnote w:type="continuationNotice" w:id="1">
    <w:p w:rsidR="00D47C72" w:rsidRDefault="00D47C72">
      <w:pPr>
        <w:spacing w:after="0" w:line="240" w:lineRule="auto"/>
      </w:pPr>
    </w:p>
  </w:footnote>
  <w:footnote w:id="2">
    <w:p w:rsidR="006141C0" w:rsidRPr="008F4B39" w:rsidRDefault="006141C0" w:rsidP="008F4B39">
      <w:pPr>
        <w:spacing w:after="200" w:line="276" w:lineRule="auto"/>
        <w:ind w:firstLine="720"/>
        <w:rPr>
          <w:rFonts w:ascii="Times New Roman" w:hAnsi="Times New Roman" w:cs="Times New Roman"/>
          <w:b/>
          <w:sz w:val="26"/>
          <w:szCs w:val="26"/>
        </w:rPr>
      </w:pPr>
      <w:r>
        <w:rPr>
          <w:rStyle w:val="FootnoteReference"/>
        </w:rPr>
        <w:footnoteRef/>
      </w:r>
      <w:r>
        <w:tab/>
      </w:r>
      <w:r>
        <w:rPr>
          <w:rFonts w:ascii="Times New Roman" w:hAnsi="Times New Roman" w:cs="Times New Roman"/>
          <w:sz w:val="26"/>
          <w:szCs w:val="26"/>
        </w:rPr>
        <w:t xml:space="preserve">We provide a description of the history of this proceeding as it relates to the subject of the Reconsideration Petition.  For a more extensive description of the procedural history of this proceeding, please see the </w:t>
      </w:r>
      <w:r w:rsidRPr="008F4B39">
        <w:rPr>
          <w:rFonts w:ascii="Times New Roman" w:hAnsi="Times New Roman" w:cs="Times New Roman"/>
          <w:i/>
          <w:sz w:val="26"/>
          <w:szCs w:val="26"/>
        </w:rPr>
        <w:t>November 8 Order</w:t>
      </w:r>
      <w:r>
        <w:rPr>
          <w:rFonts w:ascii="Times New Roman" w:hAnsi="Times New Roman" w:cs="Times New Roman"/>
          <w:sz w:val="26"/>
          <w:szCs w:val="26"/>
        </w:rPr>
        <w:t>.</w:t>
      </w:r>
    </w:p>
    <w:p w:rsidR="006141C0" w:rsidRDefault="006141C0">
      <w:pPr>
        <w:pStyle w:val="FootnoteText"/>
      </w:pPr>
    </w:p>
  </w:footnote>
  <w:footnote w:id="3">
    <w:p w:rsidR="00264D88" w:rsidRDefault="00264D88" w:rsidP="00264D88">
      <w:pPr>
        <w:pStyle w:val="FootnoteText"/>
        <w:ind w:firstLine="720"/>
      </w:pPr>
      <w:r w:rsidRPr="00264D88">
        <w:rPr>
          <w:rStyle w:val="FootnoteReference"/>
          <w:sz w:val="26"/>
          <w:szCs w:val="26"/>
        </w:rPr>
        <w:footnoteRef/>
      </w:r>
      <w:r>
        <w:t xml:space="preserve"> </w:t>
      </w:r>
      <w:r>
        <w:tab/>
      </w:r>
      <w:r>
        <w:rPr>
          <w:sz w:val="26"/>
          <w:szCs w:val="26"/>
        </w:rPr>
        <w:t xml:space="preserve">The discussion in the </w:t>
      </w:r>
      <w:r w:rsidRPr="00D5782D">
        <w:rPr>
          <w:i/>
          <w:sz w:val="26"/>
          <w:szCs w:val="26"/>
        </w:rPr>
        <w:t>November 8 Order</w:t>
      </w:r>
      <w:r>
        <w:rPr>
          <w:i/>
          <w:sz w:val="26"/>
          <w:szCs w:val="26"/>
        </w:rPr>
        <w:t xml:space="preserve"> </w:t>
      </w:r>
      <w:r>
        <w:rPr>
          <w:sz w:val="26"/>
          <w:szCs w:val="26"/>
        </w:rPr>
        <w:t xml:space="preserve">regarding Sections 523 and 526 of the Code was not intended to </w:t>
      </w:r>
      <w:r w:rsidRPr="00E95541">
        <w:rPr>
          <w:sz w:val="26"/>
          <w:szCs w:val="26"/>
        </w:rPr>
        <w:t xml:space="preserve">imply or conclude that an appropriate remedy for a quality of service claim may not be considered by the Commission in a Section 1308(d) </w:t>
      </w:r>
      <w:r>
        <w:rPr>
          <w:sz w:val="26"/>
          <w:szCs w:val="26"/>
        </w:rPr>
        <w:t xml:space="preserve">base rate </w:t>
      </w:r>
      <w:r w:rsidRPr="00E95541">
        <w:rPr>
          <w:sz w:val="26"/>
          <w:szCs w:val="26"/>
        </w:rPr>
        <w:t xml:space="preserve">proceeding, if a rate adjustment under Section 523 or Section 526 of the Code, 66 Pa. C.S. §§ 523, 526, has not been proposed by a party.  Nor did we </w:t>
      </w:r>
      <w:r>
        <w:rPr>
          <w:sz w:val="26"/>
          <w:szCs w:val="26"/>
        </w:rPr>
        <w:t xml:space="preserve">intend to imply </w:t>
      </w:r>
      <w:r w:rsidRPr="00E95541">
        <w:rPr>
          <w:sz w:val="26"/>
          <w:szCs w:val="26"/>
        </w:rPr>
        <w:t xml:space="preserve">that a rate adjustment under Section 523 or 526 is the </w:t>
      </w:r>
      <w:r w:rsidRPr="00E95541">
        <w:rPr>
          <w:i/>
          <w:sz w:val="26"/>
          <w:szCs w:val="26"/>
        </w:rPr>
        <w:t>only</w:t>
      </w:r>
      <w:r w:rsidRPr="00E95541">
        <w:rPr>
          <w:sz w:val="26"/>
          <w:szCs w:val="26"/>
        </w:rPr>
        <w:t xml:space="preserve"> appropriate remedy to address a quality of service issue that is raised during a Section 1308(d) rate proceeding.  </w:t>
      </w:r>
      <w:r>
        <w:rPr>
          <w:sz w:val="26"/>
          <w:szCs w:val="26"/>
        </w:rPr>
        <w:t xml:space="preserve"> </w:t>
      </w:r>
    </w:p>
  </w:footnote>
  <w:footnote w:id="4">
    <w:p w:rsidR="00584186" w:rsidRPr="00994D4B" w:rsidRDefault="00584186" w:rsidP="00994D4B">
      <w:pPr>
        <w:keepNext/>
        <w:keepLines/>
        <w:spacing w:after="0" w:line="240" w:lineRule="auto"/>
        <w:ind w:firstLine="720"/>
        <w:rPr>
          <w:rFonts w:ascii="Times New Roman" w:hAnsi="Times New Roman" w:cs="Times New Roman"/>
          <w:sz w:val="26"/>
          <w:szCs w:val="26"/>
        </w:rPr>
      </w:pPr>
      <w:r>
        <w:rPr>
          <w:rStyle w:val="FootnoteReference"/>
        </w:rPr>
        <w:footnoteRef/>
      </w:r>
      <w:r>
        <w:t xml:space="preserve"> </w:t>
      </w:r>
      <w:r w:rsidR="000F7B55">
        <w:tab/>
      </w:r>
      <w:r w:rsidR="00DA5371">
        <w:rPr>
          <w:rFonts w:ascii="Times New Roman" w:hAnsi="Times New Roman" w:cs="Times New Roman"/>
          <w:sz w:val="26"/>
          <w:szCs w:val="26"/>
        </w:rPr>
        <w:t xml:space="preserve">Because </w:t>
      </w:r>
      <w:r>
        <w:rPr>
          <w:rFonts w:ascii="Times New Roman" w:hAnsi="Times New Roman" w:cs="Times New Roman"/>
          <w:sz w:val="26"/>
          <w:szCs w:val="26"/>
        </w:rPr>
        <w:t>PGW’s Tariff Rule 4.2 mirrors the requirements of our Regulations, at 52 Pa. Code § 56.22(a</w:t>
      </w:r>
      <w:r w:rsidR="000178B6">
        <w:rPr>
          <w:rFonts w:ascii="Times New Roman" w:hAnsi="Times New Roman" w:cs="Times New Roman"/>
          <w:sz w:val="26"/>
          <w:szCs w:val="26"/>
        </w:rPr>
        <w:t>)</w:t>
      </w:r>
      <w:r w:rsidR="00DA5371">
        <w:rPr>
          <w:rFonts w:ascii="Times New Roman" w:hAnsi="Times New Roman" w:cs="Times New Roman"/>
          <w:sz w:val="26"/>
          <w:szCs w:val="26"/>
        </w:rPr>
        <w:t xml:space="preserve"> o</w:t>
      </w:r>
      <w:r>
        <w:rPr>
          <w:rFonts w:ascii="Times New Roman" w:hAnsi="Times New Roman" w:cs="Times New Roman"/>
          <w:sz w:val="26"/>
          <w:szCs w:val="26"/>
        </w:rPr>
        <w:t>n its face, Rule 4.2 is reasonable and consistent with the Commission’s Regulations.  Thus, the relevant question, per 66 Pa. C.S</w:t>
      </w:r>
      <w:r w:rsidRPr="00522CF7">
        <w:rPr>
          <w:rFonts w:ascii="Times New Roman" w:hAnsi="Times New Roman" w:cs="Times New Roman"/>
          <w:sz w:val="26"/>
          <w:szCs w:val="26"/>
        </w:rPr>
        <w:t>.</w:t>
      </w:r>
      <w:r>
        <w:rPr>
          <w:rFonts w:ascii="Times New Roman" w:hAnsi="Times New Roman" w:cs="Times New Roman"/>
          <w:sz w:val="26"/>
          <w:szCs w:val="26"/>
        </w:rPr>
        <w:t xml:space="preserve">§ 1303, is whether PGW’s partial payment allocation practices leads to the charging of interest by PGW in amounts that exceed the 18% </w:t>
      </w:r>
      <w:r w:rsidR="000F7B55">
        <w:rPr>
          <w:rFonts w:ascii="Times New Roman" w:hAnsi="Times New Roman" w:cs="Times New Roman"/>
          <w:sz w:val="26"/>
          <w:szCs w:val="26"/>
        </w:rPr>
        <w:t xml:space="preserve">annual </w:t>
      </w:r>
      <w:r>
        <w:rPr>
          <w:rFonts w:ascii="Times New Roman" w:hAnsi="Times New Roman" w:cs="Times New Roman"/>
          <w:sz w:val="26"/>
          <w:szCs w:val="26"/>
        </w:rPr>
        <w:t xml:space="preserve">limit set forth in </w:t>
      </w:r>
      <w:r w:rsidR="000F7B55">
        <w:rPr>
          <w:rFonts w:ascii="Times New Roman" w:hAnsi="Times New Roman" w:cs="Times New Roman"/>
          <w:sz w:val="26"/>
          <w:szCs w:val="26"/>
        </w:rPr>
        <w:t>Rule 4.2 of its</w:t>
      </w:r>
      <w:r>
        <w:rPr>
          <w:rFonts w:ascii="Times New Roman" w:hAnsi="Times New Roman" w:cs="Times New Roman"/>
          <w:sz w:val="26"/>
          <w:szCs w:val="26"/>
        </w:rPr>
        <w:t xml:space="preserve"> Tariff.</w:t>
      </w:r>
    </w:p>
  </w:footnote>
  <w:footnote w:id="5">
    <w:p w:rsidR="00584186" w:rsidRPr="008F610A" w:rsidRDefault="00584186" w:rsidP="00121362">
      <w:pPr>
        <w:keepNext/>
        <w:keepLines/>
        <w:spacing w:after="120" w:line="240" w:lineRule="auto"/>
        <w:ind w:firstLine="720"/>
        <w:rPr>
          <w:rFonts w:ascii="Times New Roman" w:eastAsia="Times New Roman" w:hAnsi="Times New Roman" w:cs="Times New Roman"/>
          <w:sz w:val="26"/>
          <w:szCs w:val="26"/>
        </w:rPr>
      </w:pPr>
      <w:r w:rsidRPr="00584186">
        <w:rPr>
          <w:rStyle w:val="FootnoteReference"/>
          <w:rFonts w:ascii="Times New Roman" w:hAnsi="Times New Roman" w:cs="Times New Roman"/>
          <w:sz w:val="26"/>
          <w:szCs w:val="26"/>
        </w:rPr>
        <w:footnoteRef/>
      </w:r>
      <w:r w:rsidRPr="00584186">
        <w:rPr>
          <w:rFonts w:ascii="Times New Roman" w:hAnsi="Times New Roman" w:cs="Times New Roman"/>
          <w:sz w:val="26"/>
          <w:szCs w:val="26"/>
        </w:rPr>
        <w:t xml:space="preserve"> </w:t>
      </w:r>
      <w:r>
        <w:tab/>
      </w:r>
      <w:r>
        <w:rPr>
          <w:rFonts w:ascii="Times New Roman" w:eastAsia="Times New Roman" w:hAnsi="Times New Roman" w:cs="Times New Roman"/>
          <w:sz w:val="26"/>
          <w:szCs w:val="26"/>
        </w:rPr>
        <w:t>We note here our disagreement with the assertion in PGW’s Answer (</w:t>
      </w:r>
      <w:r w:rsidRPr="00487206">
        <w:rPr>
          <w:rFonts w:ascii="Times New Roman" w:eastAsia="Times New Roman" w:hAnsi="Times New Roman" w:cs="Times New Roman"/>
          <w:i/>
          <w:sz w:val="26"/>
          <w:szCs w:val="26"/>
        </w:rPr>
        <w:t>see</w:t>
      </w:r>
      <w:r>
        <w:rPr>
          <w:rFonts w:ascii="Times New Roman" w:eastAsia="Times New Roman" w:hAnsi="Times New Roman" w:cs="Times New Roman"/>
          <w:sz w:val="26"/>
          <w:szCs w:val="26"/>
        </w:rPr>
        <w:t xml:space="preserve"> </w:t>
      </w:r>
      <w:r w:rsidR="00433465">
        <w:rPr>
          <w:rFonts w:ascii="Times New Roman" w:eastAsia="Times New Roman" w:hAnsi="Times New Roman" w:cs="Times New Roman"/>
          <w:sz w:val="26"/>
          <w:szCs w:val="26"/>
        </w:rPr>
        <w:t>Answer at</w:t>
      </w:r>
      <w:r>
        <w:rPr>
          <w:rFonts w:ascii="Times New Roman" w:eastAsia="Times New Roman" w:hAnsi="Times New Roman" w:cs="Times New Roman"/>
          <w:sz w:val="26"/>
          <w:szCs w:val="26"/>
        </w:rPr>
        <w:t> 5</w:t>
      </w:r>
      <w:r>
        <w:rPr>
          <w:rFonts w:ascii="Times New Roman" w:eastAsia="Times New Roman" w:hAnsi="Times New Roman" w:cs="Times New Roman"/>
          <w:sz w:val="26"/>
          <w:szCs w:val="26"/>
        </w:rPr>
        <w:noBreakHyphen/>
        <w:t xml:space="preserve">6) that by adopting the ALJ’s decision to dismiss the OCA’s claims in the </w:t>
      </w:r>
      <w:r w:rsidRPr="000D6075">
        <w:rPr>
          <w:rFonts w:ascii="Times New Roman" w:eastAsia="Times New Roman" w:hAnsi="Times New Roman" w:cs="Times New Roman"/>
          <w:i/>
          <w:sz w:val="26"/>
          <w:szCs w:val="26"/>
        </w:rPr>
        <w:t>November 8 Order</w:t>
      </w:r>
      <w:r>
        <w:rPr>
          <w:rFonts w:ascii="Times New Roman" w:eastAsia="Times New Roman" w:hAnsi="Times New Roman" w:cs="Times New Roman"/>
          <w:sz w:val="26"/>
          <w:szCs w:val="26"/>
        </w:rPr>
        <w:t xml:space="preserve">, the Commission determined that the OCA failed to present sufficient evidence </w:t>
      </w:r>
      <w:r w:rsidRPr="00E95541">
        <w:rPr>
          <w:rFonts w:ascii="Times New Roman" w:hAnsi="Times New Roman" w:cs="Times New Roman"/>
          <w:sz w:val="26"/>
          <w:szCs w:val="26"/>
        </w:rPr>
        <w:t xml:space="preserve">showing that PGW’s partial payment allocation practices affect the rates that are charged to customers.  </w:t>
      </w:r>
      <w:r>
        <w:rPr>
          <w:rFonts w:ascii="Times New Roman" w:eastAsia="Times New Roman" w:hAnsi="Times New Roman" w:cs="Times New Roman"/>
          <w:sz w:val="26"/>
          <w:szCs w:val="26"/>
        </w:rPr>
        <w:t>Rather, we will decide the merits of the OCA’s claims within this comprehensive Opinion and Order, in Section D below.</w:t>
      </w:r>
    </w:p>
  </w:footnote>
  <w:footnote w:id="6">
    <w:p w:rsidR="00F0291B" w:rsidRDefault="00F0291B" w:rsidP="00F0291B">
      <w:pPr>
        <w:pStyle w:val="FootnoteText"/>
        <w:ind w:firstLine="720"/>
      </w:pPr>
      <w:r>
        <w:rPr>
          <w:rStyle w:val="FootnoteReference"/>
        </w:rPr>
        <w:footnoteRef/>
      </w:r>
      <w:r>
        <w:t xml:space="preserve"> </w:t>
      </w:r>
      <w:r>
        <w:tab/>
      </w:r>
      <w:r w:rsidRPr="008B3AF5">
        <w:rPr>
          <w:sz w:val="26"/>
          <w:szCs w:val="26"/>
        </w:rPr>
        <w:t xml:space="preserve">As noted in the </w:t>
      </w:r>
      <w:r w:rsidRPr="008B3AF5">
        <w:rPr>
          <w:i/>
          <w:sz w:val="26"/>
          <w:szCs w:val="26"/>
        </w:rPr>
        <w:t>November 8 Order</w:t>
      </w:r>
      <w:r w:rsidRPr="008B3AF5">
        <w:rPr>
          <w:sz w:val="26"/>
          <w:szCs w:val="26"/>
        </w:rPr>
        <w:t xml:space="preserve">, the Commission’s obligation under Section 1308(d) to render a final determination within the statutorily-prescribed time frame pertains only to the general rate increase </w:t>
      </w:r>
      <w:r w:rsidRPr="008B3AF5">
        <w:rPr>
          <w:i/>
          <w:sz w:val="26"/>
          <w:szCs w:val="26"/>
        </w:rPr>
        <w:t>requested by the utility</w:t>
      </w:r>
      <w:r w:rsidRPr="008B3AF5">
        <w:rPr>
          <w:sz w:val="26"/>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04E4"/>
    <w:multiLevelType w:val="hybridMultilevel"/>
    <w:tmpl w:val="057CB7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0C81772"/>
    <w:multiLevelType w:val="hybridMultilevel"/>
    <w:tmpl w:val="875A179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DC056E2"/>
    <w:multiLevelType w:val="hybridMultilevel"/>
    <w:tmpl w:val="749C1B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F23129C"/>
    <w:multiLevelType w:val="hybridMultilevel"/>
    <w:tmpl w:val="2A2092F2"/>
    <w:lvl w:ilvl="0" w:tplc="6CE2AC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64189"/>
    <w:multiLevelType w:val="hybridMultilevel"/>
    <w:tmpl w:val="EE5E17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559556B"/>
    <w:multiLevelType w:val="hybridMultilevel"/>
    <w:tmpl w:val="AB98997C"/>
    <w:lvl w:ilvl="0" w:tplc="0CCC581C">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7A44DE7"/>
    <w:multiLevelType w:val="hybridMultilevel"/>
    <w:tmpl w:val="E54ADEE6"/>
    <w:lvl w:ilvl="0" w:tplc="C0C83164">
      <w:start w:val="1"/>
      <w:numFmt w:val="upperRoman"/>
      <w:lvlText w:val="%1."/>
      <w:lvlJc w:val="left"/>
      <w:pPr>
        <w:ind w:left="1080" w:hanging="720"/>
      </w:pPr>
      <w:rPr>
        <w:rFonts w:hint="default"/>
        <w:i w:val="0"/>
      </w:rPr>
    </w:lvl>
    <w:lvl w:ilvl="1" w:tplc="9870A456">
      <w:start w:val="1"/>
      <w:numFmt w:val="upperLetter"/>
      <w:lvlText w:val="%2."/>
      <w:lvlJc w:val="left"/>
      <w:pPr>
        <w:ind w:left="1440" w:hanging="360"/>
      </w:pPr>
      <w:rPr>
        <w:i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A7244"/>
    <w:multiLevelType w:val="hybridMultilevel"/>
    <w:tmpl w:val="6C2EA1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FDA4810"/>
    <w:multiLevelType w:val="hybridMultilevel"/>
    <w:tmpl w:val="48F07A02"/>
    <w:lvl w:ilvl="0" w:tplc="11AAF5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8"/>
  </w:num>
  <w:num w:numId="4">
    <w:abstractNumId w:val="0"/>
  </w:num>
  <w:num w:numId="5">
    <w:abstractNumId w:val="7"/>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B0"/>
    <w:rsid w:val="0000002B"/>
    <w:rsid w:val="00001983"/>
    <w:rsid w:val="00002C4B"/>
    <w:rsid w:val="00005B52"/>
    <w:rsid w:val="000061D1"/>
    <w:rsid w:val="00014B45"/>
    <w:rsid w:val="0001692C"/>
    <w:rsid w:val="000178B6"/>
    <w:rsid w:val="00020A5A"/>
    <w:rsid w:val="000210A1"/>
    <w:rsid w:val="00021525"/>
    <w:rsid w:val="00023E7D"/>
    <w:rsid w:val="0002508C"/>
    <w:rsid w:val="00031D69"/>
    <w:rsid w:val="00032132"/>
    <w:rsid w:val="00034B31"/>
    <w:rsid w:val="00034C59"/>
    <w:rsid w:val="0003703A"/>
    <w:rsid w:val="0004135A"/>
    <w:rsid w:val="000415B1"/>
    <w:rsid w:val="000416DC"/>
    <w:rsid w:val="0004189C"/>
    <w:rsid w:val="00041920"/>
    <w:rsid w:val="00042362"/>
    <w:rsid w:val="000428DF"/>
    <w:rsid w:val="000428E4"/>
    <w:rsid w:val="0004530D"/>
    <w:rsid w:val="00045578"/>
    <w:rsid w:val="0004627A"/>
    <w:rsid w:val="00047E07"/>
    <w:rsid w:val="00053BBD"/>
    <w:rsid w:val="000541FD"/>
    <w:rsid w:val="00057ED5"/>
    <w:rsid w:val="0006034E"/>
    <w:rsid w:val="0006163D"/>
    <w:rsid w:val="00063315"/>
    <w:rsid w:val="00066530"/>
    <w:rsid w:val="00072D9D"/>
    <w:rsid w:val="000750DF"/>
    <w:rsid w:val="0007759B"/>
    <w:rsid w:val="000825E0"/>
    <w:rsid w:val="0008273F"/>
    <w:rsid w:val="00083D87"/>
    <w:rsid w:val="00084027"/>
    <w:rsid w:val="000847FB"/>
    <w:rsid w:val="00087D18"/>
    <w:rsid w:val="00090593"/>
    <w:rsid w:val="000934A1"/>
    <w:rsid w:val="000936AE"/>
    <w:rsid w:val="0009467D"/>
    <w:rsid w:val="00095153"/>
    <w:rsid w:val="000A0E22"/>
    <w:rsid w:val="000A159E"/>
    <w:rsid w:val="000A4181"/>
    <w:rsid w:val="000A41D6"/>
    <w:rsid w:val="000A51C8"/>
    <w:rsid w:val="000A63A7"/>
    <w:rsid w:val="000A6BC3"/>
    <w:rsid w:val="000A724A"/>
    <w:rsid w:val="000A77C7"/>
    <w:rsid w:val="000B004F"/>
    <w:rsid w:val="000B1445"/>
    <w:rsid w:val="000B1CB0"/>
    <w:rsid w:val="000B24EC"/>
    <w:rsid w:val="000B3BE8"/>
    <w:rsid w:val="000B623B"/>
    <w:rsid w:val="000B6BF1"/>
    <w:rsid w:val="000C12AE"/>
    <w:rsid w:val="000C27CD"/>
    <w:rsid w:val="000C5A32"/>
    <w:rsid w:val="000D26F8"/>
    <w:rsid w:val="000D2A90"/>
    <w:rsid w:val="000D2A9F"/>
    <w:rsid w:val="000D43AE"/>
    <w:rsid w:val="000D4B06"/>
    <w:rsid w:val="000D5606"/>
    <w:rsid w:val="000D6075"/>
    <w:rsid w:val="000E0F2E"/>
    <w:rsid w:val="000E228D"/>
    <w:rsid w:val="000E33DA"/>
    <w:rsid w:val="000E41BA"/>
    <w:rsid w:val="000E4D74"/>
    <w:rsid w:val="000F4CEE"/>
    <w:rsid w:val="000F515B"/>
    <w:rsid w:val="000F7B55"/>
    <w:rsid w:val="00100B61"/>
    <w:rsid w:val="00100BED"/>
    <w:rsid w:val="001015F8"/>
    <w:rsid w:val="00104C7C"/>
    <w:rsid w:val="00111CB0"/>
    <w:rsid w:val="00112498"/>
    <w:rsid w:val="001127CC"/>
    <w:rsid w:val="00120439"/>
    <w:rsid w:val="00121362"/>
    <w:rsid w:val="00121456"/>
    <w:rsid w:val="001217DA"/>
    <w:rsid w:val="00121F91"/>
    <w:rsid w:val="001225A2"/>
    <w:rsid w:val="001249E6"/>
    <w:rsid w:val="00124DB0"/>
    <w:rsid w:val="00126633"/>
    <w:rsid w:val="001324ED"/>
    <w:rsid w:val="00134402"/>
    <w:rsid w:val="00137389"/>
    <w:rsid w:val="001400A3"/>
    <w:rsid w:val="001409B9"/>
    <w:rsid w:val="00142F9E"/>
    <w:rsid w:val="001438BB"/>
    <w:rsid w:val="00145B32"/>
    <w:rsid w:val="00146198"/>
    <w:rsid w:val="00146606"/>
    <w:rsid w:val="00147A15"/>
    <w:rsid w:val="001501B0"/>
    <w:rsid w:val="00150EC0"/>
    <w:rsid w:val="00151959"/>
    <w:rsid w:val="001528A7"/>
    <w:rsid w:val="00153818"/>
    <w:rsid w:val="00154BBC"/>
    <w:rsid w:val="00155411"/>
    <w:rsid w:val="00155DDD"/>
    <w:rsid w:val="001564C0"/>
    <w:rsid w:val="00160CE1"/>
    <w:rsid w:val="00161AB1"/>
    <w:rsid w:val="00162781"/>
    <w:rsid w:val="0016325B"/>
    <w:rsid w:val="001633DE"/>
    <w:rsid w:val="00163949"/>
    <w:rsid w:val="00163DF4"/>
    <w:rsid w:val="00167B7D"/>
    <w:rsid w:val="00173C46"/>
    <w:rsid w:val="0018135F"/>
    <w:rsid w:val="00183797"/>
    <w:rsid w:val="00185DFA"/>
    <w:rsid w:val="00186C7D"/>
    <w:rsid w:val="00186E8E"/>
    <w:rsid w:val="00190FDB"/>
    <w:rsid w:val="00192270"/>
    <w:rsid w:val="001954E2"/>
    <w:rsid w:val="00196C91"/>
    <w:rsid w:val="001974D2"/>
    <w:rsid w:val="00197A3E"/>
    <w:rsid w:val="001A5B70"/>
    <w:rsid w:val="001A62E5"/>
    <w:rsid w:val="001B031A"/>
    <w:rsid w:val="001B1459"/>
    <w:rsid w:val="001C287C"/>
    <w:rsid w:val="001C35D0"/>
    <w:rsid w:val="001C36EF"/>
    <w:rsid w:val="001C3FA8"/>
    <w:rsid w:val="001D0515"/>
    <w:rsid w:val="001D0B1E"/>
    <w:rsid w:val="001D2A93"/>
    <w:rsid w:val="001D2B78"/>
    <w:rsid w:val="001D617B"/>
    <w:rsid w:val="001E410E"/>
    <w:rsid w:val="001E5773"/>
    <w:rsid w:val="001E595F"/>
    <w:rsid w:val="001E600A"/>
    <w:rsid w:val="001E67A2"/>
    <w:rsid w:val="001F4DB3"/>
    <w:rsid w:val="001F59B2"/>
    <w:rsid w:val="001F74FF"/>
    <w:rsid w:val="0020177F"/>
    <w:rsid w:val="002026EA"/>
    <w:rsid w:val="0020271A"/>
    <w:rsid w:val="00204577"/>
    <w:rsid w:val="00205154"/>
    <w:rsid w:val="00205442"/>
    <w:rsid w:val="00206AB8"/>
    <w:rsid w:val="002107BD"/>
    <w:rsid w:val="00211BD9"/>
    <w:rsid w:val="00212E4E"/>
    <w:rsid w:val="002148A1"/>
    <w:rsid w:val="00214956"/>
    <w:rsid w:val="00217AD5"/>
    <w:rsid w:val="00221876"/>
    <w:rsid w:val="002324F8"/>
    <w:rsid w:val="002328A4"/>
    <w:rsid w:val="00233294"/>
    <w:rsid w:val="00237C5D"/>
    <w:rsid w:val="00245778"/>
    <w:rsid w:val="002467DB"/>
    <w:rsid w:val="002518CC"/>
    <w:rsid w:val="00251AE6"/>
    <w:rsid w:val="00253E05"/>
    <w:rsid w:val="00254DE0"/>
    <w:rsid w:val="0025532A"/>
    <w:rsid w:val="00261F55"/>
    <w:rsid w:val="00262384"/>
    <w:rsid w:val="00264D88"/>
    <w:rsid w:val="00264F6F"/>
    <w:rsid w:val="00266D80"/>
    <w:rsid w:val="00270E49"/>
    <w:rsid w:val="00271C77"/>
    <w:rsid w:val="00272E9E"/>
    <w:rsid w:val="00273A67"/>
    <w:rsid w:val="00274245"/>
    <w:rsid w:val="00274BAA"/>
    <w:rsid w:val="0027652E"/>
    <w:rsid w:val="00280907"/>
    <w:rsid w:val="0028110F"/>
    <w:rsid w:val="00284301"/>
    <w:rsid w:val="0028740A"/>
    <w:rsid w:val="00291D3F"/>
    <w:rsid w:val="002A1545"/>
    <w:rsid w:val="002A3E88"/>
    <w:rsid w:val="002A4D54"/>
    <w:rsid w:val="002A6114"/>
    <w:rsid w:val="002A6EFC"/>
    <w:rsid w:val="002B0971"/>
    <w:rsid w:val="002B2FB2"/>
    <w:rsid w:val="002B507C"/>
    <w:rsid w:val="002C6298"/>
    <w:rsid w:val="002C7068"/>
    <w:rsid w:val="002D00A0"/>
    <w:rsid w:val="002D0CF2"/>
    <w:rsid w:val="002D26EB"/>
    <w:rsid w:val="002D62EE"/>
    <w:rsid w:val="002D75E0"/>
    <w:rsid w:val="002E1C4C"/>
    <w:rsid w:val="002E1CEA"/>
    <w:rsid w:val="002E2659"/>
    <w:rsid w:val="002E5FE5"/>
    <w:rsid w:val="002E6AE4"/>
    <w:rsid w:val="002E7657"/>
    <w:rsid w:val="002F0D32"/>
    <w:rsid w:val="002F1918"/>
    <w:rsid w:val="002F20C8"/>
    <w:rsid w:val="002F29DD"/>
    <w:rsid w:val="002F39E6"/>
    <w:rsid w:val="002F3E29"/>
    <w:rsid w:val="002F4DB6"/>
    <w:rsid w:val="00300741"/>
    <w:rsid w:val="0030156E"/>
    <w:rsid w:val="00302035"/>
    <w:rsid w:val="00310895"/>
    <w:rsid w:val="00312753"/>
    <w:rsid w:val="0031358C"/>
    <w:rsid w:val="00314909"/>
    <w:rsid w:val="003151A1"/>
    <w:rsid w:val="00315212"/>
    <w:rsid w:val="00317DC5"/>
    <w:rsid w:val="00320976"/>
    <w:rsid w:val="00321440"/>
    <w:rsid w:val="0032596C"/>
    <w:rsid w:val="00326342"/>
    <w:rsid w:val="00327A77"/>
    <w:rsid w:val="0033135A"/>
    <w:rsid w:val="0033170D"/>
    <w:rsid w:val="003318E9"/>
    <w:rsid w:val="00332343"/>
    <w:rsid w:val="00337D3F"/>
    <w:rsid w:val="003445F6"/>
    <w:rsid w:val="00352C09"/>
    <w:rsid w:val="003545B5"/>
    <w:rsid w:val="0035480A"/>
    <w:rsid w:val="0035540D"/>
    <w:rsid w:val="003567E6"/>
    <w:rsid w:val="00357DFB"/>
    <w:rsid w:val="00360B98"/>
    <w:rsid w:val="00360D68"/>
    <w:rsid w:val="00365D01"/>
    <w:rsid w:val="00366817"/>
    <w:rsid w:val="00370AB8"/>
    <w:rsid w:val="00370FC1"/>
    <w:rsid w:val="00375196"/>
    <w:rsid w:val="00377058"/>
    <w:rsid w:val="003775CD"/>
    <w:rsid w:val="00381DBD"/>
    <w:rsid w:val="003840EB"/>
    <w:rsid w:val="00385A72"/>
    <w:rsid w:val="00385EA5"/>
    <w:rsid w:val="0039008C"/>
    <w:rsid w:val="00391771"/>
    <w:rsid w:val="00391E7C"/>
    <w:rsid w:val="00392A88"/>
    <w:rsid w:val="003942DE"/>
    <w:rsid w:val="00396941"/>
    <w:rsid w:val="003A23FD"/>
    <w:rsid w:val="003A7369"/>
    <w:rsid w:val="003B2937"/>
    <w:rsid w:val="003B4FFA"/>
    <w:rsid w:val="003B59A1"/>
    <w:rsid w:val="003B5FA3"/>
    <w:rsid w:val="003C31F6"/>
    <w:rsid w:val="003C35A8"/>
    <w:rsid w:val="003C43E6"/>
    <w:rsid w:val="003C4913"/>
    <w:rsid w:val="003D039E"/>
    <w:rsid w:val="003D36A2"/>
    <w:rsid w:val="003D5C5F"/>
    <w:rsid w:val="003E04EA"/>
    <w:rsid w:val="003E4449"/>
    <w:rsid w:val="003F0A9B"/>
    <w:rsid w:val="003F1BD4"/>
    <w:rsid w:val="003F2E18"/>
    <w:rsid w:val="003F3807"/>
    <w:rsid w:val="003F4324"/>
    <w:rsid w:val="00401411"/>
    <w:rsid w:val="00405524"/>
    <w:rsid w:val="0040569F"/>
    <w:rsid w:val="00410915"/>
    <w:rsid w:val="00410D36"/>
    <w:rsid w:val="004138AF"/>
    <w:rsid w:val="00415D01"/>
    <w:rsid w:val="00415EBA"/>
    <w:rsid w:val="00417F99"/>
    <w:rsid w:val="0042151D"/>
    <w:rsid w:val="00423DEE"/>
    <w:rsid w:val="004254DB"/>
    <w:rsid w:val="00426323"/>
    <w:rsid w:val="00426A37"/>
    <w:rsid w:val="00426FD1"/>
    <w:rsid w:val="00427387"/>
    <w:rsid w:val="00432A92"/>
    <w:rsid w:val="00433465"/>
    <w:rsid w:val="0043572E"/>
    <w:rsid w:val="00435E85"/>
    <w:rsid w:val="00437B91"/>
    <w:rsid w:val="00441634"/>
    <w:rsid w:val="00442A1E"/>
    <w:rsid w:val="00443B27"/>
    <w:rsid w:val="0044514F"/>
    <w:rsid w:val="00450387"/>
    <w:rsid w:val="00451FE1"/>
    <w:rsid w:val="004605CE"/>
    <w:rsid w:val="004608E8"/>
    <w:rsid w:val="00463E59"/>
    <w:rsid w:val="0046444C"/>
    <w:rsid w:val="004649FA"/>
    <w:rsid w:val="004657DD"/>
    <w:rsid w:val="00466802"/>
    <w:rsid w:val="00467040"/>
    <w:rsid w:val="004706EB"/>
    <w:rsid w:val="004725BD"/>
    <w:rsid w:val="00474566"/>
    <w:rsid w:val="00475F23"/>
    <w:rsid w:val="00481EFE"/>
    <w:rsid w:val="004831A2"/>
    <w:rsid w:val="00483DF7"/>
    <w:rsid w:val="0048536A"/>
    <w:rsid w:val="00487206"/>
    <w:rsid w:val="004901A0"/>
    <w:rsid w:val="00490732"/>
    <w:rsid w:val="004923EB"/>
    <w:rsid w:val="00494BED"/>
    <w:rsid w:val="00495B0F"/>
    <w:rsid w:val="0049715D"/>
    <w:rsid w:val="0049767F"/>
    <w:rsid w:val="004A186A"/>
    <w:rsid w:val="004A44C9"/>
    <w:rsid w:val="004A4598"/>
    <w:rsid w:val="004A5274"/>
    <w:rsid w:val="004B017A"/>
    <w:rsid w:val="004B4722"/>
    <w:rsid w:val="004C4EA6"/>
    <w:rsid w:val="004C7944"/>
    <w:rsid w:val="004D42A5"/>
    <w:rsid w:val="004D4E75"/>
    <w:rsid w:val="004E1CA3"/>
    <w:rsid w:val="004E69BE"/>
    <w:rsid w:val="004E6C40"/>
    <w:rsid w:val="004F0EAA"/>
    <w:rsid w:val="004F139F"/>
    <w:rsid w:val="004F46A8"/>
    <w:rsid w:val="004F6DA0"/>
    <w:rsid w:val="004F7715"/>
    <w:rsid w:val="00500582"/>
    <w:rsid w:val="00502761"/>
    <w:rsid w:val="00511DA7"/>
    <w:rsid w:val="00514935"/>
    <w:rsid w:val="00515380"/>
    <w:rsid w:val="00520F89"/>
    <w:rsid w:val="005221FC"/>
    <w:rsid w:val="00522CF7"/>
    <w:rsid w:val="00523C8B"/>
    <w:rsid w:val="00530B87"/>
    <w:rsid w:val="00532AF9"/>
    <w:rsid w:val="005357CA"/>
    <w:rsid w:val="00536A4B"/>
    <w:rsid w:val="0053715D"/>
    <w:rsid w:val="005372C6"/>
    <w:rsid w:val="00537568"/>
    <w:rsid w:val="00537805"/>
    <w:rsid w:val="005411FB"/>
    <w:rsid w:val="005445C4"/>
    <w:rsid w:val="00545158"/>
    <w:rsid w:val="0054659C"/>
    <w:rsid w:val="0054766D"/>
    <w:rsid w:val="00553AF6"/>
    <w:rsid w:val="00562794"/>
    <w:rsid w:val="005639F3"/>
    <w:rsid w:val="00564035"/>
    <w:rsid w:val="0056469B"/>
    <w:rsid w:val="00564D88"/>
    <w:rsid w:val="00564DBB"/>
    <w:rsid w:val="00564F2E"/>
    <w:rsid w:val="005660BC"/>
    <w:rsid w:val="005664B7"/>
    <w:rsid w:val="005713D9"/>
    <w:rsid w:val="0057297E"/>
    <w:rsid w:val="00573173"/>
    <w:rsid w:val="005755BB"/>
    <w:rsid w:val="00580038"/>
    <w:rsid w:val="00583C7C"/>
    <w:rsid w:val="00584186"/>
    <w:rsid w:val="00587F28"/>
    <w:rsid w:val="00592F4F"/>
    <w:rsid w:val="0059371C"/>
    <w:rsid w:val="0059398A"/>
    <w:rsid w:val="00594BF3"/>
    <w:rsid w:val="00594E83"/>
    <w:rsid w:val="005A3A84"/>
    <w:rsid w:val="005A3C1C"/>
    <w:rsid w:val="005A40E2"/>
    <w:rsid w:val="005A44BC"/>
    <w:rsid w:val="005A526B"/>
    <w:rsid w:val="005A5551"/>
    <w:rsid w:val="005A712B"/>
    <w:rsid w:val="005B14C4"/>
    <w:rsid w:val="005B1607"/>
    <w:rsid w:val="005B6415"/>
    <w:rsid w:val="005C141A"/>
    <w:rsid w:val="005C2BB1"/>
    <w:rsid w:val="005C3358"/>
    <w:rsid w:val="005C54A0"/>
    <w:rsid w:val="005C7F46"/>
    <w:rsid w:val="005D113C"/>
    <w:rsid w:val="005D17F1"/>
    <w:rsid w:val="005D1927"/>
    <w:rsid w:val="005D427F"/>
    <w:rsid w:val="005D520F"/>
    <w:rsid w:val="005D7783"/>
    <w:rsid w:val="005D79AD"/>
    <w:rsid w:val="005E0966"/>
    <w:rsid w:val="005E0FB2"/>
    <w:rsid w:val="005E2923"/>
    <w:rsid w:val="005E46EA"/>
    <w:rsid w:val="005E6C20"/>
    <w:rsid w:val="005E72CC"/>
    <w:rsid w:val="005E7E5B"/>
    <w:rsid w:val="005F1AE7"/>
    <w:rsid w:val="005F1D64"/>
    <w:rsid w:val="005F364E"/>
    <w:rsid w:val="005F4661"/>
    <w:rsid w:val="00603CF2"/>
    <w:rsid w:val="00604908"/>
    <w:rsid w:val="00605F6E"/>
    <w:rsid w:val="00611150"/>
    <w:rsid w:val="00611432"/>
    <w:rsid w:val="00612640"/>
    <w:rsid w:val="00613D4E"/>
    <w:rsid w:val="006141C0"/>
    <w:rsid w:val="006144D2"/>
    <w:rsid w:val="00615720"/>
    <w:rsid w:val="00615E70"/>
    <w:rsid w:val="006177D4"/>
    <w:rsid w:val="00617EB2"/>
    <w:rsid w:val="00620516"/>
    <w:rsid w:val="00622F75"/>
    <w:rsid w:val="00623D08"/>
    <w:rsid w:val="00626495"/>
    <w:rsid w:val="00627720"/>
    <w:rsid w:val="006412DE"/>
    <w:rsid w:val="00643C03"/>
    <w:rsid w:val="006459C0"/>
    <w:rsid w:val="00645D36"/>
    <w:rsid w:val="0064781E"/>
    <w:rsid w:val="00650239"/>
    <w:rsid w:val="00651735"/>
    <w:rsid w:val="0065331A"/>
    <w:rsid w:val="00655DC9"/>
    <w:rsid w:val="00656638"/>
    <w:rsid w:val="00667F54"/>
    <w:rsid w:val="006767D8"/>
    <w:rsid w:val="006818AC"/>
    <w:rsid w:val="00683105"/>
    <w:rsid w:val="00687A79"/>
    <w:rsid w:val="00687C1E"/>
    <w:rsid w:val="006974C7"/>
    <w:rsid w:val="006A5582"/>
    <w:rsid w:val="006A7ACC"/>
    <w:rsid w:val="006B1C6E"/>
    <w:rsid w:val="006B1E34"/>
    <w:rsid w:val="006B4137"/>
    <w:rsid w:val="006B4628"/>
    <w:rsid w:val="006C0636"/>
    <w:rsid w:val="006C2427"/>
    <w:rsid w:val="006C2B59"/>
    <w:rsid w:val="006C3239"/>
    <w:rsid w:val="006C3CB2"/>
    <w:rsid w:val="006C4C70"/>
    <w:rsid w:val="006C583F"/>
    <w:rsid w:val="006C5CBD"/>
    <w:rsid w:val="006D01A3"/>
    <w:rsid w:val="006D2155"/>
    <w:rsid w:val="006D2CC9"/>
    <w:rsid w:val="006D31D1"/>
    <w:rsid w:val="006D42FF"/>
    <w:rsid w:val="006E1B93"/>
    <w:rsid w:val="006E32B5"/>
    <w:rsid w:val="006E3B38"/>
    <w:rsid w:val="006E51F0"/>
    <w:rsid w:val="006E63D2"/>
    <w:rsid w:val="006E64DF"/>
    <w:rsid w:val="006F15D4"/>
    <w:rsid w:val="006F6145"/>
    <w:rsid w:val="007034CE"/>
    <w:rsid w:val="007048AF"/>
    <w:rsid w:val="0071086E"/>
    <w:rsid w:val="00713964"/>
    <w:rsid w:val="007142AE"/>
    <w:rsid w:val="00715344"/>
    <w:rsid w:val="00716B17"/>
    <w:rsid w:val="007224A5"/>
    <w:rsid w:val="007236D7"/>
    <w:rsid w:val="00730ECD"/>
    <w:rsid w:val="007313BA"/>
    <w:rsid w:val="00734EE5"/>
    <w:rsid w:val="007357E6"/>
    <w:rsid w:val="0073621F"/>
    <w:rsid w:val="00737F68"/>
    <w:rsid w:val="00740B11"/>
    <w:rsid w:val="007418F1"/>
    <w:rsid w:val="00742AB2"/>
    <w:rsid w:val="007462BC"/>
    <w:rsid w:val="00747F0E"/>
    <w:rsid w:val="00753365"/>
    <w:rsid w:val="00753E46"/>
    <w:rsid w:val="007637C6"/>
    <w:rsid w:val="00763B1B"/>
    <w:rsid w:val="00766E6A"/>
    <w:rsid w:val="007672D3"/>
    <w:rsid w:val="00767566"/>
    <w:rsid w:val="007712BC"/>
    <w:rsid w:val="00771D46"/>
    <w:rsid w:val="0077601D"/>
    <w:rsid w:val="0077620A"/>
    <w:rsid w:val="00777EF5"/>
    <w:rsid w:val="00780C99"/>
    <w:rsid w:val="0078187F"/>
    <w:rsid w:val="007833DA"/>
    <w:rsid w:val="0078743B"/>
    <w:rsid w:val="0078781E"/>
    <w:rsid w:val="007879CD"/>
    <w:rsid w:val="007947F1"/>
    <w:rsid w:val="00797FFA"/>
    <w:rsid w:val="007A3E55"/>
    <w:rsid w:val="007A4083"/>
    <w:rsid w:val="007A74B9"/>
    <w:rsid w:val="007A78FB"/>
    <w:rsid w:val="007A7CC8"/>
    <w:rsid w:val="007A7EAB"/>
    <w:rsid w:val="007B65F9"/>
    <w:rsid w:val="007B75DE"/>
    <w:rsid w:val="007C1BB1"/>
    <w:rsid w:val="007D1ED8"/>
    <w:rsid w:val="007D3A05"/>
    <w:rsid w:val="007D4DFE"/>
    <w:rsid w:val="007E08F7"/>
    <w:rsid w:val="007E30BA"/>
    <w:rsid w:val="007E5BB0"/>
    <w:rsid w:val="007F22A1"/>
    <w:rsid w:val="007F3B31"/>
    <w:rsid w:val="007F4EAF"/>
    <w:rsid w:val="007F6C99"/>
    <w:rsid w:val="00802CC4"/>
    <w:rsid w:val="00806D6B"/>
    <w:rsid w:val="00807EFE"/>
    <w:rsid w:val="00807F9E"/>
    <w:rsid w:val="00810881"/>
    <w:rsid w:val="00810E1C"/>
    <w:rsid w:val="00811655"/>
    <w:rsid w:val="008116AC"/>
    <w:rsid w:val="00811740"/>
    <w:rsid w:val="00811ED0"/>
    <w:rsid w:val="00815E92"/>
    <w:rsid w:val="00822BFF"/>
    <w:rsid w:val="0082308B"/>
    <w:rsid w:val="00823E18"/>
    <w:rsid w:val="00827DB8"/>
    <w:rsid w:val="008304A8"/>
    <w:rsid w:val="008305B0"/>
    <w:rsid w:val="00831A00"/>
    <w:rsid w:val="008322B0"/>
    <w:rsid w:val="00833D60"/>
    <w:rsid w:val="00836E8B"/>
    <w:rsid w:val="008377A6"/>
    <w:rsid w:val="00844260"/>
    <w:rsid w:val="00845396"/>
    <w:rsid w:val="00847856"/>
    <w:rsid w:val="008528D1"/>
    <w:rsid w:val="00852D65"/>
    <w:rsid w:val="008531C3"/>
    <w:rsid w:val="00853338"/>
    <w:rsid w:val="008545E3"/>
    <w:rsid w:val="00856A70"/>
    <w:rsid w:val="00860ECA"/>
    <w:rsid w:val="008639C5"/>
    <w:rsid w:val="0086532B"/>
    <w:rsid w:val="008666F3"/>
    <w:rsid w:val="0086698E"/>
    <w:rsid w:val="00867803"/>
    <w:rsid w:val="00870AB6"/>
    <w:rsid w:val="008729FA"/>
    <w:rsid w:val="0087509D"/>
    <w:rsid w:val="00883234"/>
    <w:rsid w:val="008838D7"/>
    <w:rsid w:val="00884383"/>
    <w:rsid w:val="008861C2"/>
    <w:rsid w:val="00891F4C"/>
    <w:rsid w:val="00893173"/>
    <w:rsid w:val="00894838"/>
    <w:rsid w:val="0089494F"/>
    <w:rsid w:val="00894BEA"/>
    <w:rsid w:val="00895A6C"/>
    <w:rsid w:val="008A08AC"/>
    <w:rsid w:val="008A15FD"/>
    <w:rsid w:val="008A3D6B"/>
    <w:rsid w:val="008A4EB1"/>
    <w:rsid w:val="008A5D02"/>
    <w:rsid w:val="008A6599"/>
    <w:rsid w:val="008B1A7E"/>
    <w:rsid w:val="008B659C"/>
    <w:rsid w:val="008C38D2"/>
    <w:rsid w:val="008C7210"/>
    <w:rsid w:val="008D00C9"/>
    <w:rsid w:val="008D28D3"/>
    <w:rsid w:val="008D362F"/>
    <w:rsid w:val="008D5E0A"/>
    <w:rsid w:val="008E1A79"/>
    <w:rsid w:val="008E1B20"/>
    <w:rsid w:val="008E4754"/>
    <w:rsid w:val="008F0426"/>
    <w:rsid w:val="008F3945"/>
    <w:rsid w:val="008F411F"/>
    <w:rsid w:val="008F4B39"/>
    <w:rsid w:val="008F610A"/>
    <w:rsid w:val="008F7103"/>
    <w:rsid w:val="00903DAD"/>
    <w:rsid w:val="0090405A"/>
    <w:rsid w:val="0091111C"/>
    <w:rsid w:val="00911689"/>
    <w:rsid w:val="009121F1"/>
    <w:rsid w:val="00913F07"/>
    <w:rsid w:val="00916718"/>
    <w:rsid w:val="00917BCB"/>
    <w:rsid w:val="0092289A"/>
    <w:rsid w:val="00925D7B"/>
    <w:rsid w:val="00926777"/>
    <w:rsid w:val="00926FB4"/>
    <w:rsid w:val="009272A2"/>
    <w:rsid w:val="0092796C"/>
    <w:rsid w:val="00927E32"/>
    <w:rsid w:val="00930C7C"/>
    <w:rsid w:val="009316C9"/>
    <w:rsid w:val="00935B01"/>
    <w:rsid w:val="009374A3"/>
    <w:rsid w:val="00940ECC"/>
    <w:rsid w:val="00943D82"/>
    <w:rsid w:val="00944445"/>
    <w:rsid w:val="00944CF1"/>
    <w:rsid w:val="00946880"/>
    <w:rsid w:val="00947628"/>
    <w:rsid w:val="00952F25"/>
    <w:rsid w:val="009532BF"/>
    <w:rsid w:val="0095346D"/>
    <w:rsid w:val="0095479E"/>
    <w:rsid w:val="00962350"/>
    <w:rsid w:val="00966BB8"/>
    <w:rsid w:val="0096766A"/>
    <w:rsid w:val="0097236E"/>
    <w:rsid w:val="00972D3E"/>
    <w:rsid w:val="00973666"/>
    <w:rsid w:val="00974548"/>
    <w:rsid w:val="00974703"/>
    <w:rsid w:val="00976C6F"/>
    <w:rsid w:val="00986DE0"/>
    <w:rsid w:val="00994D4B"/>
    <w:rsid w:val="009A2016"/>
    <w:rsid w:val="009B12D2"/>
    <w:rsid w:val="009B145E"/>
    <w:rsid w:val="009B3704"/>
    <w:rsid w:val="009C09DC"/>
    <w:rsid w:val="009C1D47"/>
    <w:rsid w:val="009C3E9D"/>
    <w:rsid w:val="009C3FA2"/>
    <w:rsid w:val="009C513D"/>
    <w:rsid w:val="009C6035"/>
    <w:rsid w:val="009C7092"/>
    <w:rsid w:val="009D223A"/>
    <w:rsid w:val="009D28EB"/>
    <w:rsid w:val="009D3795"/>
    <w:rsid w:val="009D47A2"/>
    <w:rsid w:val="009D5AD4"/>
    <w:rsid w:val="009D79E4"/>
    <w:rsid w:val="009D7D47"/>
    <w:rsid w:val="009E20C6"/>
    <w:rsid w:val="009E3535"/>
    <w:rsid w:val="009E60E3"/>
    <w:rsid w:val="009E6CC2"/>
    <w:rsid w:val="009F01E1"/>
    <w:rsid w:val="009F06F5"/>
    <w:rsid w:val="00A031D1"/>
    <w:rsid w:val="00A0643E"/>
    <w:rsid w:val="00A06EE2"/>
    <w:rsid w:val="00A11B72"/>
    <w:rsid w:val="00A140BA"/>
    <w:rsid w:val="00A143AE"/>
    <w:rsid w:val="00A16272"/>
    <w:rsid w:val="00A21CA2"/>
    <w:rsid w:val="00A22EEE"/>
    <w:rsid w:val="00A245AB"/>
    <w:rsid w:val="00A26217"/>
    <w:rsid w:val="00A27E81"/>
    <w:rsid w:val="00A330FF"/>
    <w:rsid w:val="00A35A99"/>
    <w:rsid w:val="00A35DA9"/>
    <w:rsid w:val="00A41881"/>
    <w:rsid w:val="00A41EE0"/>
    <w:rsid w:val="00A42AC8"/>
    <w:rsid w:val="00A43355"/>
    <w:rsid w:val="00A46B31"/>
    <w:rsid w:val="00A521BB"/>
    <w:rsid w:val="00A52D75"/>
    <w:rsid w:val="00A5305C"/>
    <w:rsid w:val="00A54E6F"/>
    <w:rsid w:val="00A575BA"/>
    <w:rsid w:val="00A61805"/>
    <w:rsid w:val="00A61869"/>
    <w:rsid w:val="00A62F6C"/>
    <w:rsid w:val="00A71B2E"/>
    <w:rsid w:val="00A7412D"/>
    <w:rsid w:val="00A74BC9"/>
    <w:rsid w:val="00A800F7"/>
    <w:rsid w:val="00A815F2"/>
    <w:rsid w:val="00A83815"/>
    <w:rsid w:val="00A90E6C"/>
    <w:rsid w:val="00A91039"/>
    <w:rsid w:val="00A9475A"/>
    <w:rsid w:val="00A96372"/>
    <w:rsid w:val="00A9688F"/>
    <w:rsid w:val="00AA0482"/>
    <w:rsid w:val="00AB4DCF"/>
    <w:rsid w:val="00AC051F"/>
    <w:rsid w:val="00AC1E95"/>
    <w:rsid w:val="00AC2B1A"/>
    <w:rsid w:val="00AC37D6"/>
    <w:rsid w:val="00AC711F"/>
    <w:rsid w:val="00AC73C7"/>
    <w:rsid w:val="00AD0983"/>
    <w:rsid w:val="00AD2DFD"/>
    <w:rsid w:val="00AD4AFA"/>
    <w:rsid w:val="00AD542C"/>
    <w:rsid w:val="00AD6606"/>
    <w:rsid w:val="00AE1CBB"/>
    <w:rsid w:val="00AE287E"/>
    <w:rsid w:val="00AE6033"/>
    <w:rsid w:val="00AF1D57"/>
    <w:rsid w:val="00AF21DE"/>
    <w:rsid w:val="00AF5844"/>
    <w:rsid w:val="00AF6375"/>
    <w:rsid w:val="00B00F32"/>
    <w:rsid w:val="00B03A5F"/>
    <w:rsid w:val="00B04E4C"/>
    <w:rsid w:val="00B16B5E"/>
    <w:rsid w:val="00B17C9E"/>
    <w:rsid w:val="00B21E79"/>
    <w:rsid w:val="00B2281A"/>
    <w:rsid w:val="00B236F6"/>
    <w:rsid w:val="00B239AC"/>
    <w:rsid w:val="00B258F1"/>
    <w:rsid w:val="00B2746A"/>
    <w:rsid w:val="00B314C5"/>
    <w:rsid w:val="00B31649"/>
    <w:rsid w:val="00B32A9D"/>
    <w:rsid w:val="00B33B33"/>
    <w:rsid w:val="00B3760F"/>
    <w:rsid w:val="00B37AC0"/>
    <w:rsid w:val="00B40C47"/>
    <w:rsid w:val="00B42E5A"/>
    <w:rsid w:val="00B42F50"/>
    <w:rsid w:val="00B46A22"/>
    <w:rsid w:val="00B51453"/>
    <w:rsid w:val="00B544AB"/>
    <w:rsid w:val="00B57414"/>
    <w:rsid w:val="00B60371"/>
    <w:rsid w:val="00B608D7"/>
    <w:rsid w:val="00B62AD3"/>
    <w:rsid w:val="00B64DFC"/>
    <w:rsid w:val="00B660D1"/>
    <w:rsid w:val="00B66F21"/>
    <w:rsid w:val="00B72C3B"/>
    <w:rsid w:val="00B73A16"/>
    <w:rsid w:val="00B752D5"/>
    <w:rsid w:val="00B77901"/>
    <w:rsid w:val="00B825CF"/>
    <w:rsid w:val="00B82B48"/>
    <w:rsid w:val="00B85C5C"/>
    <w:rsid w:val="00B86376"/>
    <w:rsid w:val="00B875A3"/>
    <w:rsid w:val="00B9069F"/>
    <w:rsid w:val="00B939AE"/>
    <w:rsid w:val="00B95104"/>
    <w:rsid w:val="00B9567B"/>
    <w:rsid w:val="00BA1D81"/>
    <w:rsid w:val="00BB24D0"/>
    <w:rsid w:val="00BB6452"/>
    <w:rsid w:val="00BB6CDA"/>
    <w:rsid w:val="00BB70B2"/>
    <w:rsid w:val="00BB712C"/>
    <w:rsid w:val="00BC4A75"/>
    <w:rsid w:val="00BD0E82"/>
    <w:rsid w:val="00BE0E49"/>
    <w:rsid w:val="00BE1E1F"/>
    <w:rsid w:val="00BE28F7"/>
    <w:rsid w:val="00BE3246"/>
    <w:rsid w:val="00BE32D9"/>
    <w:rsid w:val="00BE5637"/>
    <w:rsid w:val="00BE5D68"/>
    <w:rsid w:val="00BF3C44"/>
    <w:rsid w:val="00BF50D6"/>
    <w:rsid w:val="00BF5F6D"/>
    <w:rsid w:val="00BF6A0B"/>
    <w:rsid w:val="00C0584F"/>
    <w:rsid w:val="00C10AD5"/>
    <w:rsid w:val="00C13D0B"/>
    <w:rsid w:val="00C15774"/>
    <w:rsid w:val="00C15F2B"/>
    <w:rsid w:val="00C16159"/>
    <w:rsid w:val="00C1786C"/>
    <w:rsid w:val="00C200C4"/>
    <w:rsid w:val="00C2090A"/>
    <w:rsid w:val="00C24C92"/>
    <w:rsid w:val="00C26010"/>
    <w:rsid w:val="00C26410"/>
    <w:rsid w:val="00C26BEC"/>
    <w:rsid w:val="00C27D74"/>
    <w:rsid w:val="00C321FA"/>
    <w:rsid w:val="00C33F05"/>
    <w:rsid w:val="00C35D72"/>
    <w:rsid w:val="00C36514"/>
    <w:rsid w:val="00C36787"/>
    <w:rsid w:val="00C37E80"/>
    <w:rsid w:val="00C43A7E"/>
    <w:rsid w:val="00C43CA3"/>
    <w:rsid w:val="00C45E42"/>
    <w:rsid w:val="00C47696"/>
    <w:rsid w:val="00C5294F"/>
    <w:rsid w:val="00C54B64"/>
    <w:rsid w:val="00C5700D"/>
    <w:rsid w:val="00C61BB0"/>
    <w:rsid w:val="00C6423B"/>
    <w:rsid w:val="00C6554E"/>
    <w:rsid w:val="00C65F9E"/>
    <w:rsid w:val="00C679D2"/>
    <w:rsid w:val="00C67B1D"/>
    <w:rsid w:val="00C74581"/>
    <w:rsid w:val="00C87F0E"/>
    <w:rsid w:val="00C926BA"/>
    <w:rsid w:val="00C93116"/>
    <w:rsid w:val="00C947D5"/>
    <w:rsid w:val="00C957F5"/>
    <w:rsid w:val="00C97DC4"/>
    <w:rsid w:val="00CA0DA9"/>
    <w:rsid w:val="00CA32A7"/>
    <w:rsid w:val="00CA40A8"/>
    <w:rsid w:val="00CA6E71"/>
    <w:rsid w:val="00CA7C16"/>
    <w:rsid w:val="00CB2D24"/>
    <w:rsid w:val="00CB4126"/>
    <w:rsid w:val="00CB4EE1"/>
    <w:rsid w:val="00CB6F79"/>
    <w:rsid w:val="00CC2E6D"/>
    <w:rsid w:val="00CC35FD"/>
    <w:rsid w:val="00CC4C4B"/>
    <w:rsid w:val="00CC618A"/>
    <w:rsid w:val="00CD0B73"/>
    <w:rsid w:val="00CD1FAB"/>
    <w:rsid w:val="00CD2128"/>
    <w:rsid w:val="00CD7713"/>
    <w:rsid w:val="00CE0C4D"/>
    <w:rsid w:val="00CE0D10"/>
    <w:rsid w:val="00CE170F"/>
    <w:rsid w:val="00CE3425"/>
    <w:rsid w:val="00CE39C3"/>
    <w:rsid w:val="00CE524F"/>
    <w:rsid w:val="00CE5538"/>
    <w:rsid w:val="00CF1B2F"/>
    <w:rsid w:val="00CF35C9"/>
    <w:rsid w:val="00CF61EC"/>
    <w:rsid w:val="00CF66DB"/>
    <w:rsid w:val="00CF73E3"/>
    <w:rsid w:val="00D00BE4"/>
    <w:rsid w:val="00D014EA"/>
    <w:rsid w:val="00D02B27"/>
    <w:rsid w:val="00D03646"/>
    <w:rsid w:val="00D0418E"/>
    <w:rsid w:val="00D0764F"/>
    <w:rsid w:val="00D12A5A"/>
    <w:rsid w:val="00D14F00"/>
    <w:rsid w:val="00D17D7E"/>
    <w:rsid w:val="00D23A66"/>
    <w:rsid w:val="00D26E3B"/>
    <w:rsid w:val="00D30C11"/>
    <w:rsid w:val="00D31FEC"/>
    <w:rsid w:val="00D33A99"/>
    <w:rsid w:val="00D40E87"/>
    <w:rsid w:val="00D43374"/>
    <w:rsid w:val="00D47C72"/>
    <w:rsid w:val="00D5026A"/>
    <w:rsid w:val="00D503BE"/>
    <w:rsid w:val="00D509FA"/>
    <w:rsid w:val="00D54EAB"/>
    <w:rsid w:val="00D55195"/>
    <w:rsid w:val="00D5660B"/>
    <w:rsid w:val="00D56698"/>
    <w:rsid w:val="00D56F3F"/>
    <w:rsid w:val="00D5782D"/>
    <w:rsid w:val="00D6145F"/>
    <w:rsid w:val="00D61DAD"/>
    <w:rsid w:val="00D628F1"/>
    <w:rsid w:val="00D63C6A"/>
    <w:rsid w:val="00D6555D"/>
    <w:rsid w:val="00D658B8"/>
    <w:rsid w:val="00D663EF"/>
    <w:rsid w:val="00D66701"/>
    <w:rsid w:val="00D73A13"/>
    <w:rsid w:val="00D7736F"/>
    <w:rsid w:val="00D81CBA"/>
    <w:rsid w:val="00D81FAC"/>
    <w:rsid w:val="00D82379"/>
    <w:rsid w:val="00D82EE3"/>
    <w:rsid w:val="00D85186"/>
    <w:rsid w:val="00D91973"/>
    <w:rsid w:val="00D9524D"/>
    <w:rsid w:val="00DA108B"/>
    <w:rsid w:val="00DA34B4"/>
    <w:rsid w:val="00DA3946"/>
    <w:rsid w:val="00DA5013"/>
    <w:rsid w:val="00DA5371"/>
    <w:rsid w:val="00DA5CA2"/>
    <w:rsid w:val="00DA6007"/>
    <w:rsid w:val="00DB30E4"/>
    <w:rsid w:val="00DB35DC"/>
    <w:rsid w:val="00DC002E"/>
    <w:rsid w:val="00DC10E8"/>
    <w:rsid w:val="00DC302E"/>
    <w:rsid w:val="00DC68B6"/>
    <w:rsid w:val="00DC6F0D"/>
    <w:rsid w:val="00DD17CF"/>
    <w:rsid w:val="00DD3B46"/>
    <w:rsid w:val="00DE2033"/>
    <w:rsid w:val="00DE2212"/>
    <w:rsid w:val="00DE24A1"/>
    <w:rsid w:val="00DE261D"/>
    <w:rsid w:val="00DE68A8"/>
    <w:rsid w:val="00DE6D84"/>
    <w:rsid w:val="00DE72B5"/>
    <w:rsid w:val="00DF09ED"/>
    <w:rsid w:val="00DF1248"/>
    <w:rsid w:val="00DF22E3"/>
    <w:rsid w:val="00DF33E2"/>
    <w:rsid w:val="00DF78A9"/>
    <w:rsid w:val="00DF795D"/>
    <w:rsid w:val="00E000FB"/>
    <w:rsid w:val="00E02011"/>
    <w:rsid w:val="00E02251"/>
    <w:rsid w:val="00E027FB"/>
    <w:rsid w:val="00E041A3"/>
    <w:rsid w:val="00E05736"/>
    <w:rsid w:val="00E06EDF"/>
    <w:rsid w:val="00E07D63"/>
    <w:rsid w:val="00E13669"/>
    <w:rsid w:val="00E1497F"/>
    <w:rsid w:val="00E152D2"/>
    <w:rsid w:val="00E16751"/>
    <w:rsid w:val="00E20EFD"/>
    <w:rsid w:val="00E224CA"/>
    <w:rsid w:val="00E24B03"/>
    <w:rsid w:val="00E24B21"/>
    <w:rsid w:val="00E31925"/>
    <w:rsid w:val="00E35E09"/>
    <w:rsid w:val="00E37AC3"/>
    <w:rsid w:val="00E46C0D"/>
    <w:rsid w:val="00E524CE"/>
    <w:rsid w:val="00E5388D"/>
    <w:rsid w:val="00E54C9D"/>
    <w:rsid w:val="00E57DCA"/>
    <w:rsid w:val="00E608DD"/>
    <w:rsid w:val="00E60C96"/>
    <w:rsid w:val="00E6159B"/>
    <w:rsid w:val="00E63EDB"/>
    <w:rsid w:val="00E667EB"/>
    <w:rsid w:val="00E71B0B"/>
    <w:rsid w:val="00E76BB0"/>
    <w:rsid w:val="00E7791C"/>
    <w:rsid w:val="00E77B03"/>
    <w:rsid w:val="00E84F33"/>
    <w:rsid w:val="00E8602A"/>
    <w:rsid w:val="00E8756D"/>
    <w:rsid w:val="00E91E32"/>
    <w:rsid w:val="00E95541"/>
    <w:rsid w:val="00EA00D9"/>
    <w:rsid w:val="00EA536F"/>
    <w:rsid w:val="00EA7747"/>
    <w:rsid w:val="00EA7E89"/>
    <w:rsid w:val="00EA7F76"/>
    <w:rsid w:val="00EB0F03"/>
    <w:rsid w:val="00EB1721"/>
    <w:rsid w:val="00EB34FA"/>
    <w:rsid w:val="00EB6667"/>
    <w:rsid w:val="00EB6E07"/>
    <w:rsid w:val="00EB6EA7"/>
    <w:rsid w:val="00EB74AC"/>
    <w:rsid w:val="00EB759E"/>
    <w:rsid w:val="00EC01AD"/>
    <w:rsid w:val="00EC02C4"/>
    <w:rsid w:val="00EC2C0C"/>
    <w:rsid w:val="00EC468B"/>
    <w:rsid w:val="00EC4B95"/>
    <w:rsid w:val="00EC5DD8"/>
    <w:rsid w:val="00ED1708"/>
    <w:rsid w:val="00ED2562"/>
    <w:rsid w:val="00ED2C81"/>
    <w:rsid w:val="00EE0609"/>
    <w:rsid w:val="00EE2032"/>
    <w:rsid w:val="00EE4641"/>
    <w:rsid w:val="00EE7DDF"/>
    <w:rsid w:val="00EF1A4E"/>
    <w:rsid w:val="00EF3845"/>
    <w:rsid w:val="00EF4AC7"/>
    <w:rsid w:val="00EF7DFD"/>
    <w:rsid w:val="00F00E9A"/>
    <w:rsid w:val="00F02203"/>
    <w:rsid w:val="00F022D9"/>
    <w:rsid w:val="00F0291B"/>
    <w:rsid w:val="00F04B1F"/>
    <w:rsid w:val="00F06BF4"/>
    <w:rsid w:val="00F116C6"/>
    <w:rsid w:val="00F11A3F"/>
    <w:rsid w:val="00F11DA1"/>
    <w:rsid w:val="00F15303"/>
    <w:rsid w:val="00F164A3"/>
    <w:rsid w:val="00F16ED4"/>
    <w:rsid w:val="00F17141"/>
    <w:rsid w:val="00F20595"/>
    <w:rsid w:val="00F21474"/>
    <w:rsid w:val="00F21CFE"/>
    <w:rsid w:val="00F22D18"/>
    <w:rsid w:val="00F244F6"/>
    <w:rsid w:val="00F2522A"/>
    <w:rsid w:val="00F26AF1"/>
    <w:rsid w:val="00F26BAA"/>
    <w:rsid w:val="00F2740F"/>
    <w:rsid w:val="00F277F9"/>
    <w:rsid w:val="00F319D5"/>
    <w:rsid w:val="00F321D8"/>
    <w:rsid w:val="00F32F64"/>
    <w:rsid w:val="00F3489C"/>
    <w:rsid w:val="00F36EEC"/>
    <w:rsid w:val="00F410F4"/>
    <w:rsid w:val="00F419AE"/>
    <w:rsid w:val="00F42C8B"/>
    <w:rsid w:val="00F4673D"/>
    <w:rsid w:val="00F4795D"/>
    <w:rsid w:val="00F513A8"/>
    <w:rsid w:val="00F51909"/>
    <w:rsid w:val="00F529B3"/>
    <w:rsid w:val="00F534C5"/>
    <w:rsid w:val="00F5585D"/>
    <w:rsid w:val="00F57B24"/>
    <w:rsid w:val="00F64E2A"/>
    <w:rsid w:val="00F673D9"/>
    <w:rsid w:val="00F675CE"/>
    <w:rsid w:val="00F72791"/>
    <w:rsid w:val="00F74EC0"/>
    <w:rsid w:val="00F803A3"/>
    <w:rsid w:val="00F80F1D"/>
    <w:rsid w:val="00F81D76"/>
    <w:rsid w:val="00F90EA9"/>
    <w:rsid w:val="00F9183F"/>
    <w:rsid w:val="00F93588"/>
    <w:rsid w:val="00F95379"/>
    <w:rsid w:val="00F97D98"/>
    <w:rsid w:val="00FB36BD"/>
    <w:rsid w:val="00FC0C26"/>
    <w:rsid w:val="00FC0FB0"/>
    <w:rsid w:val="00FC11D5"/>
    <w:rsid w:val="00FC196B"/>
    <w:rsid w:val="00FC2B47"/>
    <w:rsid w:val="00FC2D04"/>
    <w:rsid w:val="00FC3C4F"/>
    <w:rsid w:val="00FC5EE1"/>
    <w:rsid w:val="00FC6EA2"/>
    <w:rsid w:val="00FD0DB1"/>
    <w:rsid w:val="00FD2302"/>
    <w:rsid w:val="00FD2958"/>
    <w:rsid w:val="00FD4AED"/>
    <w:rsid w:val="00FD5B58"/>
    <w:rsid w:val="00FD5CA7"/>
    <w:rsid w:val="00FE4252"/>
    <w:rsid w:val="00FE4599"/>
    <w:rsid w:val="00FE7C10"/>
    <w:rsid w:val="00FF3724"/>
    <w:rsid w:val="00FF48D0"/>
    <w:rsid w:val="00FF4A74"/>
    <w:rsid w:val="00FF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8014"/>
  <w15:chartTrackingRefBased/>
  <w15:docId w15:val="{4F65006F-2511-4086-8147-3730ED31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57DCA"/>
    <w:pPr>
      <w:keepNext/>
      <w:keepLines/>
      <w:widowControl w:val="0"/>
      <w:spacing w:before="40" w:after="0" w:line="360" w:lineRule="auto"/>
      <w:ind w:firstLine="14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E5D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FB0"/>
    <w:pPr>
      <w:ind w:left="720"/>
      <w:contextualSpacing/>
    </w:pPr>
  </w:style>
  <w:style w:type="paragraph" w:styleId="FootnoteText">
    <w:name w:val="footnote text"/>
    <w:basedOn w:val="Normal"/>
    <w:link w:val="FootnoteTextChar"/>
    <w:uiPriority w:val="99"/>
    <w:unhideWhenUsed/>
    <w:rsid w:val="00014B45"/>
    <w:pPr>
      <w:widowControl w:val="0"/>
      <w:spacing w:after="0" w:line="240" w:lineRule="auto"/>
      <w:ind w:firstLine="144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14B45"/>
    <w:rPr>
      <w:rFonts w:ascii="Times New Roman" w:eastAsia="Times New Roman" w:hAnsi="Times New Roman" w:cs="Times New Roman"/>
      <w:sz w:val="20"/>
      <w:szCs w:val="20"/>
    </w:rPr>
  </w:style>
  <w:style w:type="character" w:styleId="FootnoteReference">
    <w:name w:val="footnote reference"/>
    <w:aliases w:val="o,fr,Appel note de bas de p,Style 12,(NECG) Footnote Reference,Style 124,Style 3,Style 13,FR,Style 17,Style 6,Footnote Reference/,Style 42"/>
    <w:basedOn w:val="DefaultParagraphFont"/>
    <w:unhideWhenUsed/>
    <w:rsid w:val="00014B45"/>
    <w:rPr>
      <w:vertAlign w:val="superscript"/>
    </w:rPr>
  </w:style>
  <w:style w:type="paragraph" w:styleId="Header">
    <w:name w:val="header"/>
    <w:basedOn w:val="Normal"/>
    <w:link w:val="HeaderChar"/>
    <w:uiPriority w:val="99"/>
    <w:unhideWhenUsed/>
    <w:rsid w:val="00C74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581"/>
  </w:style>
  <w:style w:type="paragraph" w:styleId="Footer">
    <w:name w:val="footer"/>
    <w:basedOn w:val="Normal"/>
    <w:link w:val="FooterChar"/>
    <w:uiPriority w:val="99"/>
    <w:unhideWhenUsed/>
    <w:rsid w:val="00C74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581"/>
  </w:style>
  <w:style w:type="character" w:customStyle="1" w:styleId="Heading3Char">
    <w:name w:val="Heading 3 Char"/>
    <w:basedOn w:val="DefaultParagraphFont"/>
    <w:link w:val="Heading3"/>
    <w:uiPriority w:val="9"/>
    <w:rsid w:val="00E57DCA"/>
    <w:rPr>
      <w:rFonts w:asciiTheme="majorHAnsi" w:eastAsiaTheme="majorEastAsia" w:hAnsiTheme="majorHAnsi" w:cstheme="majorBidi"/>
      <w:color w:val="1F3763" w:themeColor="accent1" w:themeShade="7F"/>
      <w:sz w:val="24"/>
      <w:szCs w:val="24"/>
    </w:rPr>
  </w:style>
  <w:style w:type="paragraph" w:customStyle="1" w:styleId="Default">
    <w:name w:val="Default"/>
    <w:rsid w:val="00E57DCA"/>
    <w:pPr>
      <w:autoSpaceDE w:val="0"/>
      <w:autoSpaceDN w:val="0"/>
      <w:adjustRightInd w:val="0"/>
      <w:spacing w:after="0" w:line="240" w:lineRule="auto"/>
    </w:pPr>
    <w:rPr>
      <w:rFonts w:ascii="Times New Roman" w:hAnsi="Times New Roman" w:cs="Times New Roman"/>
      <w:color w:val="000000"/>
      <w:sz w:val="24"/>
      <w:szCs w:val="24"/>
    </w:rPr>
  </w:style>
  <w:style w:type="paragraph" w:styleId="BlockText">
    <w:name w:val="Block Text"/>
    <w:basedOn w:val="Normal"/>
    <w:rsid w:val="000C27CD"/>
    <w:pPr>
      <w:widowControl w:val="0"/>
      <w:tabs>
        <w:tab w:val="left" w:pos="-720"/>
      </w:tabs>
      <w:spacing w:after="0" w:line="360" w:lineRule="auto"/>
      <w:ind w:left="1440" w:right="2160"/>
    </w:pPr>
    <w:rPr>
      <w:rFonts w:ascii="Times New Roman" w:eastAsia="Times New Roman" w:hAnsi="Times New Roman" w:cs="Times New Roman"/>
      <w:sz w:val="26"/>
      <w:szCs w:val="20"/>
    </w:rPr>
  </w:style>
  <w:style w:type="character" w:customStyle="1" w:styleId="Heading4Char">
    <w:name w:val="Heading 4 Char"/>
    <w:basedOn w:val="DefaultParagraphFont"/>
    <w:link w:val="Heading4"/>
    <w:uiPriority w:val="9"/>
    <w:semiHidden/>
    <w:rsid w:val="00BE5D68"/>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71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D9"/>
    <w:rPr>
      <w:rFonts w:ascii="Segoe UI" w:hAnsi="Segoe UI" w:cs="Segoe UI"/>
      <w:sz w:val="18"/>
      <w:szCs w:val="18"/>
    </w:rPr>
  </w:style>
  <w:style w:type="table" w:customStyle="1" w:styleId="TableGrid1">
    <w:name w:val="Table Grid1"/>
    <w:basedOn w:val="TableNormal"/>
    <w:next w:val="TableGrid"/>
    <w:uiPriority w:val="59"/>
    <w:rsid w:val="00B32A9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3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3D4E"/>
    <w:rPr>
      <w:sz w:val="16"/>
      <w:szCs w:val="16"/>
    </w:rPr>
  </w:style>
  <w:style w:type="paragraph" w:styleId="CommentText">
    <w:name w:val="annotation text"/>
    <w:basedOn w:val="Normal"/>
    <w:link w:val="CommentTextChar"/>
    <w:uiPriority w:val="99"/>
    <w:semiHidden/>
    <w:unhideWhenUsed/>
    <w:rsid w:val="00613D4E"/>
    <w:pPr>
      <w:spacing w:line="240" w:lineRule="auto"/>
    </w:pPr>
    <w:rPr>
      <w:sz w:val="20"/>
      <w:szCs w:val="20"/>
    </w:rPr>
  </w:style>
  <w:style w:type="character" w:customStyle="1" w:styleId="CommentTextChar">
    <w:name w:val="Comment Text Char"/>
    <w:basedOn w:val="DefaultParagraphFont"/>
    <w:link w:val="CommentText"/>
    <w:uiPriority w:val="99"/>
    <w:semiHidden/>
    <w:rsid w:val="00613D4E"/>
    <w:rPr>
      <w:sz w:val="20"/>
      <w:szCs w:val="20"/>
    </w:rPr>
  </w:style>
  <w:style w:type="paragraph" w:styleId="CommentSubject">
    <w:name w:val="annotation subject"/>
    <w:basedOn w:val="CommentText"/>
    <w:next w:val="CommentText"/>
    <w:link w:val="CommentSubjectChar"/>
    <w:uiPriority w:val="99"/>
    <w:semiHidden/>
    <w:unhideWhenUsed/>
    <w:rsid w:val="00613D4E"/>
    <w:rPr>
      <w:b/>
      <w:bCs/>
    </w:rPr>
  </w:style>
  <w:style w:type="character" w:customStyle="1" w:styleId="CommentSubjectChar">
    <w:name w:val="Comment Subject Char"/>
    <w:basedOn w:val="CommentTextChar"/>
    <w:link w:val="CommentSubject"/>
    <w:uiPriority w:val="99"/>
    <w:semiHidden/>
    <w:rsid w:val="00613D4E"/>
    <w:rPr>
      <w:b/>
      <w:bCs/>
      <w:sz w:val="20"/>
      <w:szCs w:val="20"/>
    </w:rPr>
  </w:style>
  <w:style w:type="paragraph" w:styleId="Revision">
    <w:name w:val="Revision"/>
    <w:hidden/>
    <w:uiPriority w:val="99"/>
    <w:semiHidden/>
    <w:rsid w:val="00C61BB0"/>
    <w:pPr>
      <w:spacing w:after="0" w:line="240" w:lineRule="auto"/>
    </w:pPr>
  </w:style>
  <w:style w:type="paragraph" w:styleId="Subtitle">
    <w:name w:val="Subtitle"/>
    <w:basedOn w:val="Normal"/>
    <w:next w:val="Normal"/>
    <w:link w:val="SubtitleChar"/>
    <w:uiPriority w:val="11"/>
    <w:qFormat/>
    <w:rsid w:val="00212E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2E4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37206">
      <w:bodyDiv w:val="1"/>
      <w:marLeft w:val="0"/>
      <w:marRight w:val="0"/>
      <w:marTop w:val="0"/>
      <w:marBottom w:val="0"/>
      <w:divBdr>
        <w:top w:val="none" w:sz="0" w:space="0" w:color="auto"/>
        <w:left w:val="none" w:sz="0" w:space="0" w:color="auto"/>
        <w:bottom w:val="none" w:sz="0" w:space="0" w:color="auto"/>
        <w:right w:val="none" w:sz="0" w:space="0" w:color="auto"/>
      </w:divBdr>
      <w:divsChild>
        <w:div w:id="40049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738809">
      <w:bodyDiv w:val="1"/>
      <w:marLeft w:val="0"/>
      <w:marRight w:val="0"/>
      <w:marTop w:val="0"/>
      <w:marBottom w:val="0"/>
      <w:divBdr>
        <w:top w:val="none" w:sz="0" w:space="0" w:color="auto"/>
        <w:left w:val="none" w:sz="0" w:space="0" w:color="auto"/>
        <w:bottom w:val="none" w:sz="0" w:space="0" w:color="auto"/>
        <w:right w:val="none" w:sz="0" w:space="0" w:color="auto"/>
      </w:divBdr>
      <w:divsChild>
        <w:div w:id="1239099803">
          <w:marLeft w:val="0"/>
          <w:marRight w:val="0"/>
          <w:marTop w:val="0"/>
          <w:marBottom w:val="0"/>
          <w:divBdr>
            <w:top w:val="none" w:sz="0" w:space="0" w:color="auto"/>
            <w:left w:val="single" w:sz="6" w:space="0" w:color="BBBBBB"/>
            <w:bottom w:val="single" w:sz="6" w:space="0" w:color="BBBBBB"/>
            <w:right w:val="single" w:sz="6" w:space="0" w:color="BBBBBB"/>
          </w:divBdr>
          <w:divsChild>
            <w:div w:id="1353607744">
              <w:marLeft w:val="0"/>
              <w:marRight w:val="0"/>
              <w:marTop w:val="0"/>
              <w:marBottom w:val="0"/>
              <w:divBdr>
                <w:top w:val="none" w:sz="0" w:space="0" w:color="auto"/>
                <w:left w:val="none" w:sz="0" w:space="0" w:color="auto"/>
                <w:bottom w:val="none" w:sz="0" w:space="0" w:color="auto"/>
                <w:right w:val="none" w:sz="0" w:space="0" w:color="auto"/>
              </w:divBdr>
              <w:divsChild>
                <w:div w:id="1623924176">
                  <w:marLeft w:val="0"/>
                  <w:marRight w:val="0"/>
                  <w:marTop w:val="75"/>
                  <w:marBottom w:val="0"/>
                  <w:divBdr>
                    <w:top w:val="none" w:sz="0" w:space="0" w:color="auto"/>
                    <w:left w:val="none" w:sz="0" w:space="0" w:color="auto"/>
                    <w:bottom w:val="none" w:sz="0" w:space="0" w:color="auto"/>
                    <w:right w:val="none" w:sz="0" w:space="0" w:color="auto"/>
                  </w:divBdr>
                  <w:divsChild>
                    <w:div w:id="1589340507">
                      <w:marLeft w:val="0"/>
                      <w:marRight w:val="0"/>
                      <w:marTop w:val="0"/>
                      <w:marBottom w:val="0"/>
                      <w:divBdr>
                        <w:top w:val="none" w:sz="0" w:space="0" w:color="auto"/>
                        <w:left w:val="none" w:sz="0" w:space="0" w:color="auto"/>
                        <w:bottom w:val="none" w:sz="0" w:space="0" w:color="auto"/>
                        <w:right w:val="none" w:sz="0" w:space="0" w:color="auto"/>
                      </w:divBdr>
                      <w:divsChild>
                        <w:div w:id="583534375">
                          <w:marLeft w:val="0"/>
                          <w:marRight w:val="0"/>
                          <w:marTop w:val="0"/>
                          <w:marBottom w:val="0"/>
                          <w:divBdr>
                            <w:top w:val="none" w:sz="0" w:space="0" w:color="auto"/>
                            <w:left w:val="none" w:sz="0" w:space="0" w:color="auto"/>
                            <w:bottom w:val="none" w:sz="0" w:space="0" w:color="auto"/>
                            <w:right w:val="none" w:sz="0" w:space="0" w:color="auto"/>
                          </w:divBdr>
                          <w:divsChild>
                            <w:div w:id="1142313717">
                              <w:marLeft w:val="0"/>
                              <w:marRight w:val="0"/>
                              <w:marTop w:val="0"/>
                              <w:marBottom w:val="0"/>
                              <w:divBdr>
                                <w:top w:val="none" w:sz="0" w:space="0" w:color="auto"/>
                                <w:left w:val="none" w:sz="0" w:space="0" w:color="auto"/>
                                <w:bottom w:val="none" w:sz="0" w:space="0" w:color="auto"/>
                                <w:right w:val="none" w:sz="0" w:space="0" w:color="auto"/>
                              </w:divBdr>
                              <w:divsChild>
                                <w:div w:id="401759824">
                                  <w:marLeft w:val="0"/>
                                  <w:marRight w:val="0"/>
                                  <w:marTop w:val="0"/>
                                  <w:marBottom w:val="0"/>
                                  <w:divBdr>
                                    <w:top w:val="none" w:sz="0" w:space="0" w:color="auto"/>
                                    <w:left w:val="none" w:sz="0" w:space="0" w:color="auto"/>
                                    <w:bottom w:val="none" w:sz="0" w:space="0" w:color="auto"/>
                                    <w:right w:val="none" w:sz="0" w:space="0" w:color="auto"/>
                                  </w:divBdr>
                                  <w:divsChild>
                                    <w:div w:id="1406297216">
                                      <w:marLeft w:val="0"/>
                                      <w:marRight w:val="0"/>
                                      <w:marTop w:val="0"/>
                                      <w:marBottom w:val="0"/>
                                      <w:divBdr>
                                        <w:top w:val="none" w:sz="0" w:space="0" w:color="auto"/>
                                        <w:left w:val="none" w:sz="0" w:space="0" w:color="auto"/>
                                        <w:bottom w:val="none" w:sz="0" w:space="0" w:color="auto"/>
                                        <w:right w:val="none" w:sz="0" w:space="0" w:color="auto"/>
                                      </w:divBdr>
                                      <w:divsChild>
                                        <w:div w:id="1432623028">
                                          <w:marLeft w:val="1200"/>
                                          <w:marRight w:val="1200"/>
                                          <w:marTop w:val="0"/>
                                          <w:marBottom w:val="0"/>
                                          <w:divBdr>
                                            <w:top w:val="none" w:sz="0" w:space="0" w:color="auto"/>
                                            <w:left w:val="none" w:sz="0" w:space="0" w:color="auto"/>
                                            <w:bottom w:val="none" w:sz="0" w:space="0" w:color="auto"/>
                                            <w:right w:val="none" w:sz="0" w:space="0" w:color="auto"/>
                                          </w:divBdr>
                                          <w:divsChild>
                                            <w:div w:id="912394046">
                                              <w:marLeft w:val="0"/>
                                              <w:marRight w:val="0"/>
                                              <w:marTop w:val="0"/>
                                              <w:marBottom w:val="0"/>
                                              <w:divBdr>
                                                <w:top w:val="none" w:sz="0" w:space="0" w:color="auto"/>
                                                <w:left w:val="none" w:sz="0" w:space="0" w:color="auto"/>
                                                <w:bottom w:val="none" w:sz="0" w:space="0" w:color="auto"/>
                                                <w:right w:val="none" w:sz="0" w:space="0" w:color="auto"/>
                                              </w:divBdr>
                                              <w:divsChild>
                                                <w:div w:id="86733933">
                                                  <w:marLeft w:val="0"/>
                                                  <w:marRight w:val="0"/>
                                                  <w:marTop w:val="0"/>
                                                  <w:marBottom w:val="0"/>
                                                  <w:divBdr>
                                                    <w:top w:val="none" w:sz="0" w:space="0" w:color="auto"/>
                                                    <w:left w:val="none" w:sz="0" w:space="0" w:color="auto"/>
                                                    <w:bottom w:val="none" w:sz="0" w:space="0" w:color="auto"/>
                                                    <w:right w:val="none" w:sz="0" w:space="0" w:color="auto"/>
                                                  </w:divBdr>
                                                  <w:divsChild>
                                                    <w:div w:id="2079668028">
                                                      <w:marLeft w:val="0"/>
                                                      <w:marRight w:val="0"/>
                                                      <w:marTop w:val="0"/>
                                                      <w:marBottom w:val="0"/>
                                                      <w:divBdr>
                                                        <w:top w:val="none" w:sz="0" w:space="0" w:color="auto"/>
                                                        <w:left w:val="none" w:sz="0" w:space="0" w:color="auto"/>
                                                        <w:bottom w:val="none" w:sz="0" w:space="0" w:color="auto"/>
                                                        <w:right w:val="none" w:sz="0" w:space="0" w:color="auto"/>
                                                      </w:divBdr>
                                                      <w:divsChild>
                                                        <w:div w:id="220098139">
                                                          <w:marLeft w:val="0"/>
                                                          <w:marRight w:val="0"/>
                                                          <w:marTop w:val="0"/>
                                                          <w:marBottom w:val="0"/>
                                                          <w:divBdr>
                                                            <w:top w:val="none" w:sz="0" w:space="0" w:color="auto"/>
                                                            <w:left w:val="none" w:sz="0" w:space="0" w:color="auto"/>
                                                            <w:bottom w:val="none" w:sz="0" w:space="0" w:color="auto"/>
                                                            <w:right w:val="none" w:sz="0" w:space="0" w:color="auto"/>
                                                          </w:divBdr>
                                                          <w:divsChild>
                                                            <w:div w:id="601842882">
                                                              <w:marLeft w:val="0"/>
                                                              <w:marRight w:val="0"/>
                                                              <w:marTop w:val="0"/>
                                                              <w:marBottom w:val="0"/>
                                                              <w:divBdr>
                                                                <w:top w:val="none" w:sz="0" w:space="0" w:color="auto"/>
                                                                <w:left w:val="none" w:sz="0" w:space="0" w:color="auto"/>
                                                                <w:bottom w:val="none" w:sz="0" w:space="0" w:color="auto"/>
                                                                <w:right w:val="none" w:sz="0" w:space="0" w:color="auto"/>
                                                              </w:divBdr>
                                                              <w:divsChild>
                                                                <w:div w:id="2455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5560">
                                                          <w:marLeft w:val="0"/>
                                                          <w:marRight w:val="0"/>
                                                          <w:marTop w:val="0"/>
                                                          <w:marBottom w:val="0"/>
                                                          <w:divBdr>
                                                            <w:top w:val="none" w:sz="0" w:space="0" w:color="auto"/>
                                                            <w:left w:val="none" w:sz="0" w:space="0" w:color="auto"/>
                                                            <w:bottom w:val="none" w:sz="0" w:space="0" w:color="auto"/>
                                                            <w:right w:val="none" w:sz="0" w:space="0" w:color="auto"/>
                                                          </w:divBdr>
                                                          <w:divsChild>
                                                            <w:div w:id="252981655">
                                                              <w:marLeft w:val="0"/>
                                                              <w:marRight w:val="0"/>
                                                              <w:marTop w:val="0"/>
                                                              <w:marBottom w:val="0"/>
                                                              <w:divBdr>
                                                                <w:top w:val="none" w:sz="0" w:space="0" w:color="auto"/>
                                                                <w:left w:val="none" w:sz="0" w:space="0" w:color="auto"/>
                                                                <w:bottom w:val="none" w:sz="0" w:space="0" w:color="auto"/>
                                                                <w:right w:val="none" w:sz="0" w:space="0" w:color="auto"/>
                                                              </w:divBdr>
                                                              <w:divsChild>
                                                                <w:div w:id="11408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xlink?app=00075&amp;view=full&amp;searchtype=get&amp;search=118+Pa.+Super.+3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B625F-E613-4414-AEE3-AD748073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7934</Words>
  <Characters>45225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Atieh, Melanie</dc:creator>
  <cp:keywords/>
  <dc:description/>
  <cp:lastModifiedBy>Reynolds, Doris</cp:lastModifiedBy>
  <cp:revision>5</cp:revision>
  <cp:lastPrinted>2018-03-07T01:53:00Z</cp:lastPrinted>
  <dcterms:created xsi:type="dcterms:W3CDTF">2018-05-18T15:02:00Z</dcterms:created>
  <dcterms:modified xsi:type="dcterms:W3CDTF">2018-05-18T15:07:00Z</dcterms:modified>
</cp:coreProperties>
</file>