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14" w:rsidRPr="004F5AC1" w:rsidRDefault="008A2A14">
      <w:pPr>
        <w:tabs>
          <w:tab w:val="center" w:pos="4680"/>
        </w:tabs>
        <w:jc w:val="both"/>
        <w:rPr>
          <w:b/>
          <w:sz w:val="24"/>
          <w:szCs w:val="24"/>
        </w:rPr>
      </w:pPr>
      <w:r w:rsidRPr="004F5AC1">
        <w:rPr>
          <w:sz w:val="24"/>
          <w:szCs w:val="24"/>
        </w:rPr>
        <w:tab/>
      </w:r>
      <w:r w:rsidRPr="004F5AC1">
        <w:rPr>
          <w:b/>
          <w:sz w:val="24"/>
          <w:szCs w:val="24"/>
        </w:rPr>
        <w:t>BEFORE THE</w:t>
      </w:r>
    </w:p>
    <w:p w:rsidR="008A2A14" w:rsidRDefault="008A2A14">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rsidR="004A18C2" w:rsidRPr="004F5AC1" w:rsidRDefault="004A18C2">
      <w:pPr>
        <w:tabs>
          <w:tab w:val="center" w:pos="4680"/>
        </w:tabs>
        <w:jc w:val="both"/>
        <w:rPr>
          <w:b/>
          <w:sz w:val="24"/>
          <w:szCs w:val="24"/>
        </w:rPr>
      </w:pPr>
    </w:p>
    <w:p w:rsidR="00BD0A91" w:rsidRDefault="00BD0A91" w:rsidP="00BD0A91">
      <w:pPr>
        <w:tabs>
          <w:tab w:val="left" w:pos="0"/>
        </w:tabs>
        <w:spacing w:line="233" w:lineRule="auto"/>
        <w:jc w:val="both"/>
        <w:rPr>
          <w:b/>
          <w:sz w:val="24"/>
        </w:rPr>
      </w:pPr>
      <w:bookmarkStart w:id="0" w:name="_Hlk514231865"/>
    </w:p>
    <w:p w:rsidR="00BD0A91" w:rsidRDefault="00BD0A91" w:rsidP="00BD0A91">
      <w:pPr>
        <w:tabs>
          <w:tab w:val="left" w:pos="0"/>
        </w:tabs>
        <w:spacing w:line="233" w:lineRule="auto"/>
        <w:jc w:val="both"/>
        <w:rPr>
          <w:b/>
          <w:sz w:val="24"/>
        </w:rPr>
      </w:pPr>
    </w:p>
    <w:p w:rsidR="00BD0A91" w:rsidRDefault="00BD0A91" w:rsidP="00BD0A91">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rsidR="00BD0A91" w:rsidRDefault="00BD0A91" w:rsidP="00BD0A91">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rsidR="00BD0A91" w:rsidRDefault="00BD0A91" w:rsidP="00BD0A91">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rsidR="00BD0A91" w:rsidRDefault="00BD0A91" w:rsidP="00BD0A91">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rsidR="00BD0A91" w:rsidRDefault="00BD0A91" w:rsidP="00BD0A91">
      <w:pPr>
        <w:tabs>
          <w:tab w:val="left" w:pos="0"/>
        </w:tabs>
        <w:spacing w:line="233" w:lineRule="auto"/>
        <w:jc w:val="both"/>
        <w:rPr>
          <w:sz w:val="24"/>
        </w:rPr>
      </w:pPr>
      <w:r>
        <w:rPr>
          <w:sz w:val="24"/>
        </w:rPr>
        <w:t xml:space="preserve">James </w:t>
      </w:r>
      <w:proofErr w:type="spellStart"/>
      <w:r>
        <w:rPr>
          <w:sz w:val="24"/>
        </w:rPr>
        <w:t>Fedell</w:t>
      </w:r>
      <w:proofErr w:type="spellEnd"/>
      <w:r>
        <w:rPr>
          <w:sz w:val="24"/>
        </w:rPr>
        <w:tab/>
      </w:r>
      <w:r>
        <w:rPr>
          <w:sz w:val="24"/>
        </w:rPr>
        <w:tab/>
      </w:r>
      <w:r>
        <w:rPr>
          <w:sz w:val="24"/>
        </w:rPr>
        <w:tab/>
      </w:r>
      <w:r>
        <w:rPr>
          <w:sz w:val="24"/>
        </w:rPr>
        <w:tab/>
      </w:r>
      <w:r>
        <w:rPr>
          <w:sz w:val="24"/>
        </w:rPr>
        <w:tab/>
      </w:r>
      <w:r>
        <w:rPr>
          <w:sz w:val="24"/>
        </w:rPr>
        <w:tab/>
        <w:t>:</w:t>
      </w:r>
      <w:r>
        <w:rPr>
          <w:sz w:val="24"/>
        </w:rPr>
        <w:tab/>
      </w:r>
      <w:r>
        <w:rPr>
          <w:sz w:val="24"/>
        </w:rPr>
        <w:tab/>
        <w:t>C-2018-3001473</w:t>
      </w:r>
    </w:p>
    <w:p w:rsidR="00BD0A91" w:rsidRDefault="00BD0A91" w:rsidP="00BD0A91">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C-2018-3001566</w:t>
      </w:r>
    </w:p>
    <w:p w:rsidR="00BD0A91" w:rsidRDefault="00BD0A91" w:rsidP="00BD0A91">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C-2018-3001713</w:t>
      </w:r>
    </w:p>
    <w:p w:rsidR="00BD0A91" w:rsidRDefault="00BD0A91" w:rsidP="00BD0A91">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rsidR="00BD0A91" w:rsidRDefault="00BD0A91" w:rsidP="00BD0A91">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rsidR="00BD0A91" w:rsidRPr="00F450E2" w:rsidRDefault="00BD0A91" w:rsidP="00BD0A91">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rsidR="00BD0A91" w:rsidRDefault="00BD0A91" w:rsidP="00BD0A91">
      <w:pPr>
        <w:tabs>
          <w:tab w:val="left" w:pos="0"/>
        </w:tabs>
        <w:spacing w:line="233" w:lineRule="auto"/>
        <w:jc w:val="both"/>
        <w:rPr>
          <w:sz w:val="24"/>
        </w:rPr>
      </w:pPr>
      <w:r>
        <w:rPr>
          <w:sz w:val="24"/>
        </w:rPr>
        <w:t xml:space="preserve">Duquesne Light Company </w:t>
      </w:r>
      <w:r>
        <w:rPr>
          <w:sz w:val="24"/>
        </w:rPr>
        <w:tab/>
        <w:t xml:space="preserve"> </w:t>
      </w:r>
      <w:r>
        <w:rPr>
          <w:sz w:val="24"/>
        </w:rPr>
        <w:tab/>
      </w:r>
      <w:r>
        <w:rPr>
          <w:sz w:val="24"/>
        </w:rPr>
        <w:tab/>
      </w:r>
      <w:r>
        <w:rPr>
          <w:sz w:val="24"/>
        </w:rPr>
        <w:tab/>
        <w:t>:</w:t>
      </w:r>
    </w:p>
    <w:p w:rsidR="00BD0A91" w:rsidRDefault="00BD0A91" w:rsidP="00BD0A91">
      <w:pPr>
        <w:tabs>
          <w:tab w:val="left" w:pos="0"/>
        </w:tabs>
        <w:spacing w:line="233" w:lineRule="auto"/>
        <w:jc w:val="both"/>
        <w:rPr>
          <w:sz w:val="24"/>
        </w:rPr>
      </w:pPr>
      <w:r>
        <w:rPr>
          <w:sz w:val="24"/>
        </w:rPr>
        <w:t>1308(d) Proceeding</w:t>
      </w:r>
      <w:r>
        <w:rPr>
          <w:sz w:val="24"/>
        </w:rPr>
        <w:tab/>
      </w:r>
      <w:r>
        <w:rPr>
          <w:sz w:val="24"/>
        </w:rPr>
        <w:tab/>
      </w:r>
      <w:r>
        <w:rPr>
          <w:sz w:val="24"/>
        </w:rPr>
        <w:tab/>
        <w:t xml:space="preserve"> </w:t>
      </w:r>
      <w:r>
        <w:rPr>
          <w:sz w:val="24"/>
        </w:rPr>
        <w:tab/>
      </w:r>
      <w:r>
        <w:rPr>
          <w:sz w:val="24"/>
        </w:rPr>
        <w:tab/>
        <w:t>:</w:t>
      </w:r>
    </w:p>
    <w:p w:rsidR="00BD0A91" w:rsidRDefault="00BD0A91" w:rsidP="00BD0A91">
      <w:pPr>
        <w:tabs>
          <w:tab w:val="left" w:pos="0"/>
        </w:tabs>
        <w:spacing w:line="233" w:lineRule="auto"/>
        <w:jc w:val="both"/>
        <w:rPr>
          <w:sz w:val="24"/>
        </w:rPr>
      </w:pPr>
    </w:p>
    <w:p w:rsidR="004A18C2" w:rsidRDefault="004A18C2" w:rsidP="00BD0A91">
      <w:pPr>
        <w:tabs>
          <w:tab w:val="left" w:pos="0"/>
        </w:tabs>
        <w:spacing w:line="233" w:lineRule="auto"/>
        <w:jc w:val="both"/>
        <w:rPr>
          <w:sz w:val="24"/>
        </w:rPr>
      </w:pPr>
    </w:p>
    <w:p w:rsidR="00BD0A91" w:rsidRDefault="00BD0A91" w:rsidP="00BD0A91">
      <w:pPr>
        <w:tabs>
          <w:tab w:val="left" w:pos="0"/>
        </w:tabs>
        <w:spacing w:line="233" w:lineRule="auto"/>
        <w:jc w:val="both"/>
        <w:rPr>
          <w:sz w:val="24"/>
        </w:rPr>
      </w:pPr>
    </w:p>
    <w:bookmarkEnd w:id="0"/>
    <w:p w:rsidR="00AD4F10" w:rsidRPr="00F3259A" w:rsidRDefault="00B56556" w:rsidP="004F5AC1">
      <w:pPr>
        <w:pStyle w:val="Heading1"/>
        <w:jc w:val="center"/>
        <w:rPr>
          <w:b/>
          <w:szCs w:val="24"/>
          <w:u w:val="single"/>
        </w:rPr>
      </w:pPr>
      <w:r w:rsidRPr="00F3259A">
        <w:rPr>
          <w:b/>
          <w:szCs w:val="24"/>
          <w:u w:val="single"/>
        </w:rPr>
        <w:t>IN</w:t>
      </w:r>
      <w:r w:rsidR="007A52B1">
        <w:rPr>
          <w:b/>
          <w:szCs w:val="24"/>
          <w:u w:val="single"/>
        </w:rPr>
        <w:t xml:space="preserve">TERIM ORDER </w:t>
      </w:r>
    </w:p>
    <w:p w:rsidR="00F3259A" w:rsidRDefault="00F3259A" w:rsidP="003146E7">
      <w:pPr>
        <w:jc w:val="center"/>
        <w:rPr>
          <w:b/>
          <w:sz w:val="24"/>
          <w:szCs w:val="24"/>
        </w:rPr>
      </w:pPr>
      <w:r w:rsidRPr="00F3259A">
        <w:rPr>
          <w:b/>
          <w:sz w:val="24"/>
          <w:szCs w:val="24"/>
        </w:rPr>
        <w:t>Granting Respondent’s</w:t>
      </w:r>
      <w:r w:rsidR="003146E7" w:rsidRPr="00F3259A">
        <w:rPr>
          <w:b/>
          <w:sz w:val="24"/>
          <w:szCs w:val="24"/>
        </w:rPr>
        <w:t xml:space="preserve"> </w:t>
      </w:r>
      <w:r w:rsidR="007A52B1">
        <w:rPr>
          <w:b/>
          <w:sz w:val="24"/>
          <w:szCs w:val="24"/>
        </w:rPr>
        <w:t xml:space="preserve">Motion </w:t>
      </w:r>
      <w:r w:rsidRPr="00F3259A">
        <w:rPr>
          <w:b/>
          <w:sz w:val="24"/>
          <w:szCs w:val="24"/>
        </w:rPr>
        <w:t xml:space="preserve">for </w:t>
      </w:r>
    </w:p>
    <w:p w:rsidR="003146E7" w:rsidRPr="00F3259A" w:rsidRDefault="007A52B1" w:rsidP="003146E7">
      <w:pPr>
        <w:jc w:val="center"/>
        <w:rPr>
          <w:b/>
          <w:sz w:val="24"/>
          <w:szCs w:val="24"/>
        </w:rPr>
      </w:pPr>
      <w:r>
        <w:rPr>
          <w:b/>
          <w:sz w:val="24"/>
          <w:szCs w:val="24"/>
        </w:rPr>
        <w:t xml:space="preserve">Partial </w:t>
      </w:r>
      <w:r w:rsidR="00F3259A" w:rsidRPr="00F3259A">
        <w:rPr>
          <w:b/>
          <w:sz w:val="24"/>
          <w:szCs w:val="24"/>
        </w:rPr>
        <w:t>Judgment on the Pleadings</w:t>
      </w:r>
    </w:p>
    <w:p w:rsidR="00C26A28" w:rsidRPr="00C26A28" w:rsidRDefault="00C26A28" w:rsidP="00C26A28">
      <w:pPr>
        <w:pStyle w:val="Heading1"/>
        <w:jc w:val="center"/>
        <w:rPr>
          <w:szCs w:val="24"/>
        </w:rPr>
      </w:pPr>
    </w:p>
    <w:p w:rsidR="004F5AC1" w:rsidRPr="00AD4F10" w:rsidRDefault="004F5AC1" w:rsidP="00AD4F10">
      <w:pPr>
        <w:jc w:val="center"/>
        <w:rPr>
          <w:sz w:val="24"/>
          <w:szCs w:val="24"/>
        </w:rPr>
      </w:pPr>
    </w:p>
    <w:p w:rsidR="004F5AC1" w:rsidRPr="00183666" w:rsidRDefault="004F5AC1" w:rsidP="004F5AC1">
      <w:pPr>
        <w:jc w:val="center"/>
        <w:rPr>
          <w:sz w:val="24"/>
          <w:szCs w:val="24"/>
        </w:rPr>
      </w:pPr>
      <w:r w:rsidRPr="00183666">
        <w:rPr>
          <w:sz w:val="24"/>
          <w:szCs w:val="24"/>
        </w:rPr>
        <w:t>Before</w:t>
      </w:r>
    </w:p>
    <w:p w:rsidR="004F5AC1" w:rsidRPr="00183666" w:rsidRDefault="004F5AC1" w:rsidP="004F5AC1">
      <w:pPr>
        <w:jc w:val="center"/>
        <w:rPr>
          <w:sz w:val="24"/>
          <w:szCs w:val="24"/>
        </w:rPr>
      </w:pPr>
      <w:r w:rsidRPr="005C5AB6">
        <w:rPr>
          <w:sz w:val="24"/>
          <w:szCs w:val="24"/>
        </w:rPr>
        <w:t>Katrina L. Dunderdale</w:t>
      </w:r>
    </w:p>
    <w:p w:rsidR="004F5AC1" w:rsidRPr="00183666" w:rsidRDefault="004F5AC1" w:rsidP="004F5AC1">
      <w:pPr>
        <w:jc w:val="center"/>
        <w:rPr>
          <w:sz w:val="24"/>
          <w:szCs w:val="24"/>
        </w:rPr>
      </w:pPr>
      <w:r w:rsidRPr="00183666">
        <w:rPr>
          <w:sz w:val="24"/>
          <w:szCs w:val="24"/>
        </w:rPr>
        <w:t>Administrative Law Judge</w:t>
      </w:r>
    </w:p>
    <w:p w:rsidR="004F5AC1" w:rsidRDefault="004F5AC1" w:rsidP="004F5AC1">
      <w:pPr>
        <w:widowControl w:val="0"/>
        <w:autoSpaceDE w:val="0"/>
        <w:autoSpaceDN w:val="0"/>
        <w:adjustRightInd w:val="0"/>
        <w:spacing w:before="120" w:after="120" w:line="253" w:lineRule="exact"/>
        <w:rPr>
          <w:sz w:val="24"/>
          <w:szCs w:val="24"/>
        </w:rPr>
      </w:pPr>
    </w:p>
    <w:p w:rsidR="00252CC1" w:rsidRPr="00D34F31" w:rsidRDefault="00252CC1" w:rsidP="00252CC1">
      <w:pPr>
        <w:tabs>
          <w:tab w:val="center" w:pos="4680"/>
        </w:tabs>
        <w:suppressAutoHyphens/>
        <w:spacing w:line="360" w:lineRule="auto"/>
        <w:jc w:val="center"/>
        <w:rPr>
          <w:sz w:val="24"/>
          <w:szCs w:val="24"/>
          <w:u w:val="single"/>
        </w:rPr>
      </w:pPr>
      <w:r w:rsidRPr="00D34F31">
        <w:rPr>
          <w:sz w:val="24"/>
          <w:szCs w:val="24"/>
          <w:u w:val="single"/>
        </w:rPr>
        <w:t>INTRODUCTION</w:t>
      </w:r>
    </w:p>
    <w:p w:rsidR="00252CC1" w:rsidRDefault="00252CC1" w:rsidP="00252CC1">
      <w:pPr>
        <w:tabs>
          <w:tab w:val="center" w:pos="4680"/>
        </w:tabs>
        <w:suppressAutoHyphens/>
        <w:spacing w:line="360" w:lineRule="auto"/>
        <w:rPr>
          <w:sz w:val="24"/>
          <w:szCs w:val="24"/>
        </w:rPr>
      </w:pPr>
    </w:p>
    <w:p w:rsidR="00BC116D" w:rsidRDefault="00252CC1" w:rsidP="004B1D67">
      <w:pPr>
        <w:suppressAutoHyphens/>
        <w:spacing w:line="360" w:lineRule="auto"/>
        <w:rPr>
          <w:sz w:val="24"/>
          <w:szCs w:val="24"/>
        </w:rPr>
      </w:pPr>
      <w:r>
        <w:rPr>
          <w:sz w:val="24"/>
          <w:szCs w:val="24"/>
        </w:rPr>
        <w:tab/>
      </w:r>
      <w:r>
        <w:rPr>
          <w:sz w:val="24"/>
          <w:szCs w:val="24"/>
        </w:rPr>
        <w:tab/>
      </w:r>
      <w:r w:rsidR="00BC116D">
        <w:rPr>
          <w:sz w:val="24"/>
          <w:szCs w:val="24"/>
        </w:rPr>
        <w:t>This In</w:t>
      </w:r>
      <w:r w:rsidR="004B1D67">
        <w:rPr>
          <w:sz w:val="24"/>
          <w:szCs w:val="24"/>
        </w:rPr>
        <w:t>terim Order g</w:t>
      </w:r>
      <w:r w:rsidR="00BC116D">
        <w:rPr>
          <w:sz w:val="24"/>
          <w:szCs w:val="24"/>
        </w:rPr>
        <w:t xml:space="preserve">rants Duquesne Light Company’s Motion for </w:t>
      </w:r>
      <w:r w:rsidR="004B1D67">
        <w:rPr>
          <w:sz w:val="24"/>
          <w:szCs w:val="24"/>
        </w:rPr>
        <w:t xml:space="preserve">Partial </w:t>
      </w:r>
      <w:r w:rsidR="00BC116D">
        <w:rPr>
          <w:sz w:val="24"/>
          <w:szCs w:val="24"/>
        </w:rPr>
        <w:t>Judgment on the Pleadings and th</w:t>
      </w:r>
      <w:r w:rsidR="00F3259A">
        <w:rPr>
          <w:sz w:val="24"/>
          <w:szCs w:val="24"/>
        </w:rPr>
        <w:t>is In</w:t>
      </w:r>
      <w:r w:rsidR="004B1D67">
        <w:rPr>
          <w:sz w:val="24"/>
          <w:szCs w:val="24"/>
        </w:rPr>
        <w:t xml:space="preserve">terim Order precludes </w:t>
      </w:r>
      <w:r w:rsidR="00BD0A91">
        <w:rPr>
          <w:sz w:val="24"/>
          <w:szCs w:val="24"/>
        </w:rPr>
        <w:t xml:space="preserve">Peoples Natural Gas Company </w:t>
      </w:r>
      <w:r w:rsidR="00FC59CD">
        <w:rPr>
          <w:sz w:val="24"/>
          <w:szCs w:val="24"/>
        </w:rPr>
        <w:t xml:space="preserve">LLC </w:t>
      </w:r>
      <w:r w:rsidR="00BD0A91">
        <w:rPr>
          <w:sz w:val="24"/>
          <w:szCs w:val="24"/>
        </w:rPr>
        <w:t>at Docket No. C-2018-3001152</w:t>
      </w:r>
      <w:r w:rsidR="004B1D67">
        <w:rPr>
          <w:sz w:val="24"/>
          <w:szCs w:val="24"/>
        </w:rPr>
        <w:t xml:space="preserve"> from contesting Tariff Rider No. 16 </w:t>
      </w:r>
      <w:r w:rsidR="00960348" w:rsidRPr="005E390C">
        <w:rPr>
          <w:sz w:val="24"/>
          <w:szCs w:val="24"/>
        </w:rPr>
        <w:t xml:space="preserve">in </w:t>
      </w:r>
      <w:r w:rsidR="00BD0A91">
        <w:rPr>
          <w:sz w:val="24"/>
          <w:szCs w:val="24"/>
        </w:rPr>
        <w:t>the base rate proceeding initiated by Duquesne Light Company</w:t>
      </w:r>
      <w:r w:rsidR="00501961">
        <w:rPr>
          <w:sz w:val="24"/>
          <w:szCs w:val="24"/>
        </w:rPr>
        <w:t xml:space="preserve"> </w:t>
      </w:r>
      <w:r w:rsidR="00D9539B">
        <w:rPr>
          <w:sz w:val="24"/>
          <w:szCs w:val="24"/>
        </w:rPr>
        <w:t>at Docket No. R</w:t>
      </w:r>
      <w:r w:rsidR="00FC59CD">
        <w:rPr>
          <w:sz w:val="24"/>
          <w:szCs w:val="24"/>
        </w:rPr>
        <w:noBreakHyphen/>
      </w:r>
      <w:r w:rsidR="00D9539B">
        <w:rPr>
          <w:sz w:val="24"/>
          <w:szCs w:val="24"/>
        </w:rPr>
        <w:t>2018-3000124</w:t>
      </w:r>
      <w:r w:rsidR="004B1D67">
        <w:rPr>
          <w:sz w:val="24"/>
          <w:szCs w:val="24"/>
        </w:rPr>
        <w:t xml:space="preserve">.  </w:t>
      </w:r>
      <w:r w:rsidR="00D9539B">
        <w:rPr>
          <w:sz w:val="24"/>
          <w:szCs w:val="24"/>
        </w:rPr>
        <w:t xml:space="preserve"> </w:t>
      </w:r>
    </w:p>
    <w:p w:rsidR="00BC116D" w:rsidRDefault="00BC116D" w:rsidP="004F5AC1">
      <w:pPr>
        <w:widowControl w:val="0"/>
        <w:autoSpaceDE w:val="0"/>
        <w:autoSpaceDN w:val="0"/>
        <w:adjustRightInd w:val="0"/>
        <w:spacing w:before="120" w:after="120" w:line="253" w:lineRule="exact"/>
        <w:rPr>
          <w:sz w:val="24"/>
          <w:szCs w:val="24"/>
        </w:rPr>
      </w:pPr>
    </w:p>
    <w:p w:rsidR="004F5AC1" w:rsidRPr="004F5AC1" w:rsidRDefault="004F5AC1" w:rsidP="004F5AC1">
      <w:pPr>
        <w:widowControl w:val="0"/>
        <w:autoSpaceDE w:val="0"/>
        <w:autoSpaceDN w:val="0"/>
        <w:adjustRightInd w:val="0"/>
        <w:spacing w:before="120" w:after="120" w:line="253" w:lineRule="exact"/>
        <w:jc w:val="center"/>
        <w:rPr>
          <w:color w:val="000000"/>
          <w:w w:val="106"/>
          <w:sz w:val="24"/>
          <w:szCs w:val="24"/>
          <w:u w:val="single"/>
        </w:rPr>
      </w:pPr>
      <w:r w:rsidRPr="004F5AC1">
        <w:rPr>
          <w:color w:val="000000"/>
          <w:w w:val="106"/>
          <w:sz w:val="24"/>
          <w:szCs w:val="24"/>
          <w:u w:val="single"/>
        </w:rPr>
        <w:t>HISTORY OF THE PROCEEDING</w:t>
      </w:r>
    </w:p>
    <w:p w:rsidR="00BD0A91" w:rsidRPr="004D26A8" w:rsidRDefault="00BD0A91" w:rsidP="00BD0A91">
      <w:pPr>
        <w:spacing w:line="360" w:lineRule="auto"/>
        <w:rPr>
          <w:rFonts w:eastAsiaTheme="minorHAnsi"/>
          <w:sz w:val="24"/>
          <w:szCs w:val="24"/>
        </w:rPr>
      </w:pP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t xml:space="preserve">On March 28, 2018, Duquesne Light Company (Duquesne Light), Utility        Code 110150, filed Supplement No. 174 to Tariff Electric Pa. P.U.C. No. 24 to become effective May 29, 2018, </w:t>
      </w:r>
      <w:bookmarkStart w:id="1" w:name="_Hlk511024899"/>
      <w:r w:rsidRPr="004D26A8">
        <w:rPr>
          <w:sz w:val="24"/>
          <w:szCs w:val="24"/>
        </w:rPr>
        <w:t xml:space="preserve">containing a proposed </w:t>
      </w:r>
      <w:bookmarkStart w:id="2" w:name="_Hlk511024708"/>
      <w:bookmarkEnd w:id="1"/>
      <w:r w:rsidRPr="004D26A8">
        <w:rPr>
          <w:sz w:val="24"/>
          <w:szCs w:val="24"/>
        </w:rPr>
        <w:t xml:space="preserve">general increase in electric distribution rates of </w:t>
      </w:r>
      <w:r w:rsidRPr="004D26A8">
        <w:rPr>
          <w:sz w:val="24"/>
          <w:szCs w:val="24"/>
        </w:rPr>
        <w:lastRenderedPageBreak/>
        <w:t xml:space="preserve">approximately $133.8 million.  </w:t>
      </w:r>
      <w:bookmarkEnd w:id="2"/>
      <w:r w:rsidR="007E72DE">
        <w:rPr>
          <w:sz w:val="24"/>
          <w:szCs w:val="24"/>
        </w:rPr>
        <w:t xml:space="preserve">In Supplement No. 174, Duquesne Light proposes, </w:t>
      </w:r>
      <w:r w:rsidR="007E72DE" w:rsidRPr="007E72DE">
        <w:rPr>
          <w:i/>
          <w:sz w:val="24"/>
          <w:szCs w:val="24"/>
        </w:rPr>
        <w:t>inter alia</w:t>
      </w:r>
      <w:r w:rsidR="007E72DE">
        <w:rPr>
          <w:sz w:val="24"/>
          <w:szCs w:val="24"/>
        </w:rPr>
        <w:t xml:space="preserve">, to raise the rate for backup service for non-utility generating facilities from the current rate of $2.50 per kWh to $8.00 per kWh, (or 220%).  Duquesne Light proposes to retain the existing tariff language that customers who exceed capability reservation will be charged two times the applicable charge per kilowatt but proposes to increase the charge from the current rate of $5.00 per kWh to $16.00 per kWh.  </w:t>
      </w:r>
    </w:p>
    <w:p w:rsidR="00BD0A91" w:rsidRPr="004D26A8" w:rsidRDefault="00BD0A91" w:rsidP="00BD0A91">
      <w:pPr>
        <w:spacing w:line="360" w:lineRule="auto"/>
        <w:rPr>
          <w:sz w:val="24"/>
          <w:szCs w:val="24"/>
        </w:rPr>
      </w:pPr>
      <w:r w:rsidRPr="004D26A8">
        <w:rPr>
          <w:sz w:val="24"/>
          <w:szCs w:val="24"/>
        </w:rPr>
        <w:tab/>
      </w:r>
    </w:p>
    <w:p w:rsidR="00BD0A91" w:rsidRPr="00A86227" w:rsidRDefault="007F1519" w:rsidP="00BD0A91">
      <w:pPr>
        <w:spacing w:line="360" w:lineRule="auto"/>
        <w:ind w:firstLine="1440"/>
        <w:rPr>
          <w:sz w:val="24"/>
          <w:szCs w:val="24"/>
        </w:rPr>
      </w:pPr>
      <w:r>
        <w:rPr>
          <w:sz w:val="24"/>
          <w:szCs w:val="24"/>
        </w:rPr>
        <w:t xml:space="preserve">On April 10, 2018, </w:t>
      </w:r>
      <w:r w:rsidR="00BD0A91">
        <w:rPr>
          <w:sz w:val="24"/>
          <w:szCs w:val="24"/>
        </w:rPr>
        <w:t xml:space="preserve">the Peoples Natural Gas Company LLC </w:t>
      </w:r>
      <w:r>
        <w:rPr>
          <w:sz w:val="24"/>
          <w:szCs w:val="24"/>
        </w:rPr>
        <w:t xml:space="preserve">(Peoples) filed a formal complaint against Duquesne Light </w:t>
      </w:r>
      <w:r w:rsidR="00BD0A91">
        <w:rPr>
          <w:sz w:val="24"/>
          <w:szCs w:val="24"/>
        </w:rPr>
        <w:t>at Docket No. C-2018-3001152</w:t>
      </w:r>
      <w:r>
        <w:rPr>
          <w:sz w:val="24"/>
          <w:szCs w:val="24"/>
        </w:rPr>
        <w:t xml:space="preserve">.  </w:t>
      </w:r>
      <w:r w:rsidR="00D9539B">
        <w:rPr>
          <w:sz w:val="24"/>
          <w:szCs w:val="24"/>
        </w:rPr>
        <w:t>Peoples objected to provisions in Duquesne Light’s base rate proceeding concerning Tariff Rider 16</w:t>
      </w:r>
      <w:r w:rsidR="00111C84">
        <w:rPr>
          <w:sz w:val="24"/>
          <w:szCs w:val="24"/>
        </w:rPr>
        <w:t xml:space="preserve">.  Peoples specifically objected to </w:t>
      </w:r>
      <w:r w:rsidR="00D9539B">
        <w:rPr>
          <w:sz w:val="24"/>
          <w:szCs w:val="24"/>
        </w:rPr>
        <w:t>Duquesne Light</w:t>
      </w:r>
      <w:r w:rsidR="00111C84">
        <w:rPr>
          <w:sz w:val="24"/>
          <w:szCs w:val="24"/>
        </w:rPr>
        <w:t>’s proposal</w:t>
      </w:r>
      <w:r w:rsidR="00D9539B">
        <w:rPr>
          <w:sz w:val="24"/>
          <w:szCs w:val="24"/>
        </w:rPr>
        <w:t xml:space="preserve"> to more than double the backup service charges imposed on non-utility generating facilities and increase charges when </w:t>
      </w:r>
      <w:r w:rsidR="00E830DB">
        <w:rPr>
          <w:sz w:val="24"/>
          <w:szCs w:val="24"/>
        </w:rPr>
        <w:t xml:space="preserve">distributed generation </w:t>
      </w:r>
      <w:r w:rsidR="00D9539B">
        <w:rPr>
          <w:sz w:val="24"/>
          <w:szCs w:val="24"/>
        </w:rPr>
        <w:t>customers exceed the capacity reservation limits.</w:t>
      </w:r>
      <w:r w:rsidR="00E830DB">
        <w:rPr>
          <w:sz w:val="24"/>
          <w:szCs w:val="24"/>
        </w:rPr>
        <w:t xml:space="preserve">  Peoples averred it had existing customers using distributed generation projects in Duquesne Light’s service territory, including some Combined Heat and Power (CHP) projects.  Peoples contended these actions in the base rate proceeding would adversely affect reliability and public safety.  Peoples also contended the increases in Tariff Rider 16 would have a significant adverse economic impact on Peoples because the higher rates would negatively impact the pursuit of distributed generation projects, contrary to the Commission’s </w:t>
      </w:r>
      <w:r w:rsidR="00E830DB" w:rsidRPr="00D22374">
        <w:rPr>
          <w:i/>
          <w:sz w:val="24"/>
          <w:szCs w:val="24"/>
        </w:rPr>
        <w:t>Final Policy Statement on Combined Heat and Power</w:t>
      </w:r>
      <w:r w:rsidR="00E830DB">
        <w:rPr>
          <w:sz w:val="24"/>
          <w:szCs w:val="24"/>
        </w:rPr>
        <w:t>, at Docket No. M-2016-2530484 (</w:t>
      </w:r>
      <w:r w:rsidR="00FC59CD">
        <w:rPr>
          <w:sz w:val="24"/>
          <w:szCs w:val="24"/>
        </w:rPr>
        <w:t xml:space="preserve">Opinion and </w:t>
      </w:r>
      <w:r w:rsidR="00E830DB">
        <w:rPr>
          <w:sz w:val="24"/>
          <w:szCs w:val="24"/>
        </w:rPr>
        <w:t xml:space="preserve">Order entered April 5, 2018), p. 3.  </w:t>
      </w:r>
    </w:p>
    <w:p w:rsidR="00BD0A91" w:rsidRPr="00A86227" w:rsidRDefault="00BD0A91" w:rsidP="00BD0A91">
      <w:pPr>
        <w:spacing w:line="360" w:lineRule="auto"/>
        <w:ind w:firstLine="1440"/>
        <w:rPr>
          <w:sz w:val="24"/>
          <w:szCs w:val="24"/>
        </w:rPr>
      </w:pPr>
    </w:p>
    <w:p w:rsidR="004B1D67" w:rsidRDefault="00BD0A91" w:rsidP="007F1519">
      <w:pPr>
        <w:widowControl w:val="0"/>
        <w:autoSpaceDE w:val="0"/>
        <w:autoSpaceDN w:val="0"/>
        <w:adjustRightInd w:val="0"/>
        <w:spacing w:line="360" w:lineRule="auto"/>
        <w:ind w:firstLine="1440"/>
        <w:rPr>
          <w:color w:val="000000"/>
          <w:w w:val="107"/>
          <w:sz w:val="24"/>
          <w:szCs w:val="24"/>
        </w:rPr>
      </w:pPr>
      <w:r>
        <w:rPr>
          <w:sz w:val="24"/>
          <w:szCs w:val="24"/>
        </w:rPr>
        <w:t xml:space="preserve">On </w:t>
      </w:r>
      <w:r w:rsidR="007F1519">
        <w:rPr>
          <w:sz w:val="24"/>
          <w:szCs w:val="24"/>
        </w:rPr>
        <w:t xml:space="preserve">May 1, 2018, Duquesne Light filed a Motion for Partial Judgment on the Pleadings </w:t>
      </w:r>
      <w:proofErr w:type="gramStart"/>
      <w:r w:rsidR="007F1519">
        <w:rPr>
          <w:sz w:val="24"/>
          <w:szCs w:val="24"/>
        </w:rPr>
        <w:t>with Regard to</w:t>
      </w:r>
      <w:proofErr w:type="gramEnd"/>
      <w:r w:rsidR="007F1519">
        <w:rPr>
          <w:sz w:val="24"/>
          <w:szCs w:val="24"/>
        </w:rPr>
        <w:t xml:space="preserve"> Averments in the Complaint of Peoples Natural Gas Company LLC Regarding Tariff Rider No. 16</w:t>
      </w:r>
      <w:r w:rsidR="00C557FE">
        <w:rPr>
          <w:sz w:val="24"/>
          <w:szCs w:val="24"/>
        </w:rPr>
        <w:t xml:space="preserve"> (Motion for Partial Judgment)</w:t>
      </w:r>
      <w:r w:rsidR="007F1519">
        <w:rPr>
          <w:sz w:val="24"/>
          <w:szCs w:val="24"/>
        </w:rPr>
        <w:t xml:space="preserve">, </w:t>
      </w:r>
      <w:r w:rsidR="007F1519" w:rsidRPr="006B57A8">
        <w:rPr>
          <w:sz w:val="24"/>
          <w:szCs w:val="24"/>
        </w:rPr>
        <w:t>with a Notice to Plead</w:t>
      </w:r>
      <w:r w:rsidR="007F1519" w:rsidRPr="006B57A8">
        <w:rPr>
          <w:color w:val="000000"/>
          <w:w w:val="107"/>
          <w:sz w:val="24"/>
          <w:szCs w:val="24"/>
        </w:rPr>
        <w:t>,</w:t>
      </w:r>
      <w:r w:rsidR="007F1519">
        <w:rPr>
          <w:color w:val="000000"/>
          <w:w w:val="107"/>
          <w:sz w:val="24"/>
          <w:szCs w:val="24"/>
        </w:rPr>
        <w:t xml:space="preserve"> </w:t>
      </w:r>
      <w:r w:rsidR="00C557FE">
        <w:rPr>
          <w:color w:val="000000"/>
          <w:w w:val="107"/>
          <w:sz w:val="24"/>
          <w:szCs w:val="24"/>
        </w:rPr>
        <w:t>at Docket No. C-2018-3001152</w:t>
      </w:r>
      <w:r w:rsidR="00D837DB">
        <w:rPr>
          <w:color w:val="000000"/>
          <w:w w:val="107"/>
          <w:sz w:val="24"/>
          <w:szCs w:val="24"/>
        </w:rPr>
        <w:t>.  Duquesne Light</w:t>
      </w:r>
      <w:r w:rsidR="007F1519">
        <w:rPr>
          <w:color w:val="000000"/>
          <w:w w:val="107"/>
          <w:sz w:val="24"/>
          <w:szCs w:val="24"/>
        </w:rPr>
        <w:t xml:space="preserve"> indicated Peoples lacked standing to pursue a claim on behalf of Peoples’ customers.  Duquesne Light cited to 52 </w:t>
      </w:r>
      <w:proofErr w:type="spellStart"/>
      <w:proofErr w:type="gramStart"/>
      <w:r w:rsidR="007F1519">
        <w:rPr>
          <w:color w:val="000000"/>
          <w:w w:val="107"/>
          <w:sz w:val="24"/>
          <w:szCs w:val="24"/>
        </w:rPr>
        <w:t>Pa.Code</w:t>
      </w:r>
      <w:proofErr w:type="spellEnd"/>
      <w:proofErr w:type="gramEnd"/>
      <w:r w:rsidR="007F1519">
        <w:rPr>
          <w:color w:val="000000"/>
          <w:w w:val="107"/>
          <w:sz w:val="24"/>
          <w:szCs w:val="24"/>
        </w:rPr>
        <w:t xml:space="preserve"> § 5.102 and §</w:t>
      </w:r>
      <w:r w:rsidR="00A90C78">
        <w:rPr>
          <w:color w:val="000000"/>
          <w:w w:val="107"/>
          <w:sz w:val="24"/>
          <w:szCs w:val="24"/>
        </w:rPr>
        <w:t> </w:t>
      </w:r>
      <w:r w:rsidR="007F1519">
        <w:rPr>
          <w:color w:val="000000"/>
          <w:w w:val="107"/>
          <w:sz w:val="24"/>
          <w:szCs w:val="24"/>
        </w:rPr>
        <w:t>5.103 as authority for its Motion</w:t>
      </w:r>
      <w:r w:rsidR="00C076C3">
        <w:rPr>
          <w:color w:val="000000"/>
          <w:w w:val="107"/>
          <w:sz w:val="24"/>
          <w:szCs w:val="24"/>
        </w:rPr>
        <w:t xml:space="preserve"> and averred there </w:t>
      </w:r>
      <w:r w:rsidR="007F1519">
        <w:rPr>
          <w:color w:val="000000"/>
          <w:w w:val="107"/>
          <w:sz w:val="24"/>
          <w:szCs w:val="24"/>
        </w:rPr>
        <w:t xml:space="preserve">is no legal basis in </w:t>
      </w:r>
      <w:r w:rsidR="000C69D1">
        <w:rPr>
          <w:color w:val="000000"/>
          <w:w w:val="107"/>
          <w:sz w:val="24"/>
          <w:szCs w:val="24"/>
        </w:rPr>
        <w:t>Peoples’</w:t>
      </w:r>
      <w:r w:rsidR="007F1519">
        <w:rPr>
          <w:color w:val="000000"/>
          <w:w w:val="107"/>
          <w:sz w:val="24"/>
          <w:szCs w:val="24"/>
        </w:rPr>
        <w:t xml:space="preserve"> formal complaint to justify the Commission requiring </w:t>
      </w:r>
      <w:r w:rsidR="000C69D1">
        <w:rPr>
          <w:color w:val="000000"/>
          <w:w w:val="107"/>
          <w:sz w:val="24"/>
          <w:szCs w:val="24"/>
        </w:rPr>
        <w:t xml:space="preserve">Duquesne Light to defend its actions </w:t>
      </w:r>
    </w:p>
    <w:p w:rsidR="004B1D67" w:rsidRDefault="004B1D67" w:rsidP="007F1519">
      <w:pPr>
        <w:widowControl w:val="0"/>
        <w:autoSpaceDE w:val="0"/>
        <w:autoSpaceDN w:val="0"/>
        <w:adjustRightInd w:val="0"/>
        <w:spacing w:line="360" w:lineRule="auto"/>
        <w:ind w:firstLine="1440"/>
        <w:rPr>
          <w:color w:val="000000"/>
          <w:w w:val="107"/>
          <w:sz w:val="24"/>
          <w:szCs w:val="24"/>
        </w:rPr>
      </w:pPr>
    </w:p>
    <w:p w:rsidR="004B1D67" w:rsidRDefault="004B1D67" w:rsidP="007F1519">
      <w:pPr>
        <w:widowControl w:val="0"/>
        <w:autoSpaceDE w:val="0"/>
        <w:autoSpaceDN w:val="0"/>
        <w:adjustRightInd w:val="0"/>
        <w:spacing w:line="360" w:lineRule="auto"/>
        <w:ind w:firstLine="1440"/>
        <w:rPr>
          <w:color w:val="000000"/>
          <w:w w:val="107"/>
          <w:sz w:val="24"/>
          <w:szCs w:val="24"/>
        </w:rPr>
      </w:pPr>
    </w:p>
    <w:p w:rsidR="007F1519" w:rsidRDefault="000C69D1" w:rsidP="004B1D67">
      <w:pPr>
        <w:widowControl w:val="0"/>
        <w:autoSpaceDE w:val="0"/>
        <w:autoSpaceDN w:val="0"/>
        <w:adjustRightInd w:val="0"/>
        <w:spacing w:line="360" w:lineRule="auto"/>
        <w:rPr>
          <w:color w:val="000000"/>
          <w:w w:val="107"/>
          <w:sz w:val="24"/>
          <w:szCs w:val="24"/>
        </w:rPr>
      </w:pPr>
      <w:r>
        <w:rPr>
          <w:color w:val="000000"/>
          <w:w w:val="107"/>
          <w:sz w:val="24"/>
          <w:szCs w:val="24"/>
        </w:rPr>
        <w:lastRenderedPageBreak/>
        <w:t>relative to Tariff Rider No. 16 as it relate</w:t>
      </w:r>
      <w:r w:rsidR="00E830DB">
        <w:rPr>
          <w:color w:val="000000"/>
          <w:w w:val="107"/>
          <w:sz w:val="24"/>
          <w:szCs w:val="24"/>
        </w:rPr>
        <w:t>s</w:t>
      </w:r>
      <w:r>
        <w:rPr>
          <w:color w:val="000000"/>
          <w:w w:val="107"/>
          <w:sz w:val="24"/>
          <w:szCs w:val="24"/>
        </w:rPr>
        <w:t xml:space="preserve"> to Peoples</w:t>
      </w:r>
      <w:r w:rsidR="007F1519">
        <w:rPr>
          <w:color w:val="000000"/>
          <w:w w:val="107"/>
          <w:sz w:val="24"/>
          <w:szCs w:val="24"/>
        </w:rPr>
        <w:t>.</w:t>
      </w:r>
      <w:r w:rsidR="004B1D67">
        <w:rPr>
          <w:color w:val="000000"/>
          <w:w w:val="107"/>
          <w:sz w:val="24"/>
          <w:szCs w:val="24"/>
        </w:rPr>
        <w:t xml:space="preserve">  Duquesne Light asked for a determination that Peoples did not have standing to address any issues related to Tariff Rider No. </w:t>
      </w:r>
      <w:r w:rsidR="00CA691F">
        <w:rPr>
          <w:color w:val="000000"/>
          <w:w w:val="107"/>
          <w:sz w:val="24"/>
          <w:szCs w:val="24"/>
        </w:rPr>
        <w:t>1</w:t>
      </w:r>
      <w:r w:rsidR="004B1D67">
        <w:rPr>
          <w:color w:val="000000"/>
          <w:w w:val="107"/>
          <w:sz w:val="24"/>
          <w:szCs w:val="24"/>
        </w:rPr>
        <w:t>6.</w:t>
      </w:r>
    </w:p>
    <w:p w:rsidR="00BD0A91" w:rsidRPr="00A86227" w:rsidRDefault="00BD0A91" w:rsidP="00BD0A91">
      <w:pPr>
        <w:spacing w:line="360" w:lineRule="auto"/>
        <w:ind w:firstLine="1440"/>
        <w:rPr>
          <w:sz w:val="24"/>
          <w:szCs w:val="24"/>
        </w:rPr>
      </w:pPr>
    </w:p>
    <w:p w:rsidR="00C076C3" w:rsidRDefault="007F1519" w:rsidP="00BD0A91">
      <w:pPr>
        <w:spacing w:line="360" w:lineRule="auto"/>
        <w:ind w:firstLine="1440"/>
        <w:rPr>
          <w:spacing w:val="-3"/>
          <w:sz w:val="24"/>
          <w:szCs w:val="24"/>
        </w:rPr>
      </w:pPr>
      <w:r>
        <w:rPr>
          <w:spacing w:val="-3"/>
          <w:sz w:val="24"/>
          <w:szCs w:val="24"/>
        </w:rPr>
        <w:t>On May 11, 2018, Peoples filed its Answer to the</w:t>
      </w:r>
      <w:r w:rsidR="00C557FE">
        <w:rPr>
          <w:spacing w:val="-3"/>
          <w:sz w:val="24"/>
          <w:szCs w:val="24"/>
        </w:rPr>
        <w:t xml:space="preserve"> Motion for Partial Judgment</w:t>
      </w:r>
      <w:r>
        <w:rPr>
          <w:spacing w:val="-3"/>
          <w:sz w:val="24"/>
          <w:szCs w:val="24"/>
        </w:rPr>
        <w:t>.</w:t>
      </w:r>
      <w:r w:rsidR="00E830DB">
        <w:rPr>
          <w:spacing w:val="-3"/>
          <w:sz w:val="24"/>
          <w:szCs w:val="24"/>
        </w:rPr>
        <w:t xml:space="preserve">  Peoples argues the Motion for Partial Judgment should be treated as a </w:t>
      </w:r>
      <w:r w:rsidR="00FC59CD">
        <w:rPr>
          <w:spacing w:val="-3"/>
          <w:sz w:val="24"/>
          <w:szCs w:val="24"/>
        </w:rPr>
        <w:t>p</w:t>
      </w:r>
      <w:r w:rsidR="00E830DB">
        <w:rPr>
          <w:spacing w:val="-3"/>
          <w:sz w:val="24"/>
          <w:szCs w:val="24"/>
        </w:rPr>
        <w:t xml:space="preserve">reliminary </w:t>
      </w:r>
      <w:r w:rsidR="00FC59CD">
        <w:rPr>
          <w:spacing w:val="-3"/>
          <w:sz w:val="24"/>
          <w:szCs w:val="24"/>
        </w:rPr>
        <w:t>o</w:t>
      </w:r>
      <w:r w:rsidR="00E830DB">
        <w:rPr>
          <w:spacing w:val="-3"/>
          <w:sz w:val="24"/>
          <w:szCs w:val="24"/>
        </w:rPr>
        <w:t xml:space="preserve">bjection.  </w:t>
      </w:r>
      <w:r w:rsidR="00D22374">
        <w:rPr>
          <w:spacing w:val="-3"/>
          <w:sz w:val="24"/>
          <w:szCs w:val="24"/>
        </w:rPr>
        <w:t xml:space="preserve">Citing to </w:t>
      </w:r>
      <w:r w:rsidR="00D22374" w:rsidRPr="00D22374">
        <w:rPr>
          <w:i/>
          <w:spacing w:val="-3"/>
          <w:sz w:val="24"/>
          <w:szCs w:val="24"/>
        </w:rPr>
        <w:t>Silvestri v. Verizon Pennsylvania, Inc.</w:t>
      </w:r>
      <w:r w:rsidR="00D22374">
        <w:rPr>
          <w:spacing w:val="-3"/>
          <w:sz w:val="24"/>
          <w:szCs w:val="24"/>
        </w:rPr>
        <w:t>, Docket No. C-2010-2174497 (O</w:t>
      </w:r>
      <w:r w:rsidR="00FC59CD">
        <w:rPr>
          <w:spacing w:val="-3"/>
          <w:sz w:val="24"/>
          <w:szCs w:val="24"/>
        </w:rPr>
        <w:t>pinion and O</w:t>
      </w:r>
      <w:r w:rsidR="00D22374">
        <w:rPr>
          <w:spacing w:val="-3"/>
          <w:sz w:val="24"/>
          <w:szCs w:val="24"/>
        </w:rPr>
        <w:t>rder entered Ju</w:t>
      </w:r>
      <w:r w:rsidR="00A90C78">
        <w:rPr>
          <w:spacing w:val="-3"/>
          <w:sz w:val="24"/>
          <w:szCs w:val="24"/>
        </w:rPr>
        <w:t>l</w:t>
      </w:r>
      <w:r w:rsidR="00D22374">
        <w:rPr>
          <w:spacing w:val="-3"/>
          <w:sz w:val="24"/>
          <w:szCs w:val="24"/>
        </w:rPr>
        <w:t>y</w:t>
      </w:r>
      <w:r w:rsidR="00A90C78">
        <w:rPr>
          <w:spacing w:val="-3"/>
          <w:sz w:val="24"/>
          <w:szCs w:val="24"/>
        </w:rPr>
        <w:t> </w:t>
      </w:r>
      <w:r w:rsidR="00D22374">
        <w:rPr>
          <w:spacing w:val="-3"/>
          <w:sz w:val="24"/>
          <w:szCs w:val="24"/>
        </w:rPr>
        <w:t xml:space="preserve">1, 2011), </w:t>
      </w:r>
      <w:r w:rsidR="00E830DB">
        <w:rPr>
          <w:spacing w:val="-3"/>
          <w:sz w:val="24"/>
          <w:szCs w:val="24"/>
        </w:rPr>
        <w:t xml:space="preserve">Peoples avers that, as a </w:t>
      </w:r>
      <w:r w:rsidR="00FC59CD">
        <w:rPr>
          <w:spacing w:val="-3"/>
          <w:sz w:val="24"/>
          <w:szCs w:val="24"/>
        </w:rPr>
        <w:t>p</w:t>
      </w:r>
      <w:r w:rsidR="00E830DB">
        <w:rPr>
          <w:spacing w:val="-3"/>
          <w:sz w:val="24"/>
          <w:szCs w:val="24"/>
        </w:rPr>
        <w:t xml:space="preserve">reliminary </w:t>
      </w:r>
      <w:r w:rsidR="00FC59CD">
        <w:rPr>
          <w:spacing w:val="-3"/>
          <w:sz w:val="24"/>
          <w:szCs w:val="24"/>
        </w:rPr>
        <w:t>o</w:t>
      </w:r>
      <w:r w:rsidR="00E830DB">
        <w:rPr>
          <w:spacing w:val="-3"/>
          <w:sz w:val="24"/>
          <w:szCs w:val="24"/>
        </w:rPr>
        <w:t>bjection, dismissal</w:t>
      </w:r>
      <w:r>
        <w:rPr>
          <w:spacing w:val="-3"/>
          <w:sz w:val="24"/>
          <w:szCs w:val="24"/>
        </w:rPr>
        <w:t xml:space="preserve"> </w:t>
      </w:r>
      <w:r w:rsidR="00E830DB">
        <w:rPr>
          <w:spacing w:val="-3"/>
          <w:sz w:val="24"/>
          <w:szCs w:val="24"/>
        </w:rPr>
        <w:t>is warranted only when</w:t>
      </w:r>
      <w:r w:rsidR="00BC116D">
        <w:rPr>
          <w:spacing w:val="-3"/>
          <w:sz w:val="24"/>
          <w:szCs w:val="24"/>
        </w:rPr>
        <w:t xml:space="preserve"> the</w:t>
      </w:r>
      <w:r w:rsidR="00E830DB">
        <w:rPr>
          <w:spacing w:val="-3"/>
          <w:sz w:val="24"/>
          <w:szCs w:val="24"/>
        </w:rPr>
        <w:t xml:space="preserve"> dismissal is free from doubt</w:t>
      </w:r>
      <w:r w:rsidR="00D22374">
        <w:rPr>
          <w:spacing w:val="-3"/>
          <w:sz w:val="24"/>
          <w:szCs w:val="24"/>
        </w:rPr>
        <w:t xml:space="preserve">, and the movant prevails only </w:t>
      </w:r>
      <w:r w:rsidR="00BC116D">
        <w:rPr>
          <w:spacing w:val="-3"/>
          <w:sz w:val="24"/>
          <w:szCs w:val="24"/>
        </w:rPr>
        <w:t>based on Peoples’</w:t>
      </w:r>
      <w:r w:rsidR="00D22374">
        <w:rPr>
          <w:spacing w:val="-3"/>
          <w:sz w:val="24"/>
          <w:szCs w:val="24"/>
        </w:rPr>
        <w:t xml:space="preserve"> assertions as a matter of law, assuming all factual allegations in Peoples’ formal complaint are true.  Peoples asserts it is pursuing distributed generation projects, some of which Peoples anticipates will be owned by Peoples.  </w:t>
      </w:r>
    </w:p>
    <w:p w:rsidR="00C076C3" w:rsidRDefault="00C076C3" w:rsidP="00BD0A91">
      <w:pPr>
        <w:spacing w:line="360" w:lineRule="auto"/>
        <w:ind w:firstLine="1440"/>
        <w:rPr>
          <w:spacing w:val="-3"/>
          <w:sz w:val="24"/>
          <w:szCs w:val="24"/>
        </w:rPr>
      </w:pPr>
    </w:p>
    <w:p w:rsidR="007F1519" w:rsidRPr="00A86227" w:rsidRDefault="00D22374" w:rsidP="00BD0A91">
      <w:pPr>
        <w:spacing w:line="360" w:lineRule="auto"/>
        <w:ind w:firstLine="1440"/>
        <w:rPr>
          <w:spacing w:val="-3"/>
          <w:sz w:val="24"/>
          <w:szCs w:val="24"/>
        </w:rPr>
      </w:pPr>
      <w:r>
        <w:rPr>
          <w:spacing w:val="-3"/>
          <w:sz w:val="24"/>
          <w:szCs w:val="24"/>
        </w:rPr>
        <w:t xml:space="preserve">When Peoples owns a distributed generation project, Peoples will be a customer of Duquesne Light receiving service through Tariff Rider 16.  Peoples contends its pursuit of further development of and ownership in distributed generation projects gives it a direct, immediate and substantial interest in Duquesne Light’s proposed increase in rates under Tariff Rider 16.  </w:t>
      </w:r>
      <w:r w:rsidR="00EC0139">
        <w:rPr>
          <w:spacing w:val="-3"/>
          <w:sz w:val="24"/>
          <w:szCs w:val="24"/>
        </w:rPr>
        <w:t>Peoples argues that Duquesne Light’s proposed changes will directly affect the economic viability of the CHP and other distributed generation projects, and may render these project</w:t>
      </w:r>
      <w:r w:rsidR="00C076C3">
        <w:rPr>
          <w:spacing w:val="-3"/>
          <w:sz w:val="24"/>
          <w:szCs w:val="24"/>
        </w:rPr>
        <w:t>s</w:t>
      </w:r>
      <w:r w:rsidR="00EC0139">
        <w:rPr>
          <w:spacing w:val="-3"/>
          <w:sz w:val="24"/>
          <w:szCs w:val="24"/>
        </w:rPr>
        <w:t xml:space="preserve"> uneconomically feasible, if the proposed rate changes are approved by the Commission.  </w:t>
      </w:r>
    </w:p>
    <w:p w:rsidR="0093502C" w:rsidRDefault="0093502C" w:rsidP="00DD004E">
      <w:pPr>
        <w:widowControl w:val="0"/>
        <w:autoSpaceDE w:val="0"/>
        <w:autoSpaceDN w:val="0"/>
        <w:adjustRightInd w:val="0"/>
        <w:spacing w:line="360" w:lineRule="auto"/>
        <w:ind w:firstLine="1440"/>
        <w:rPr>
          <w:color w:val="000000"/>
          <w:w w:val="107"/>
          <w:sz w:val="24"/>
          <w:szCs w:val="24"/>
        </w:rPr>
      </w:pPr>
    </w:p>
    <w:p w:rsidR="000644EB" w:rsidRDefault="0093502C" w:rsidP="001E0B1B">
      <w:pPr>
        <w:widowControl w:val="0"/>
        <w:autoSpaceDE w:val="0"/>
        <w:autoSpaceDN w:val="0"/>
        <w:adjustRightInd w:val="0"/>
        <w:spacing w:line="360" w:lineRule="auto"/>
        <w:ind w:firstLine="1440"/>
        <w:rPr>
          <w:color w:val="000000"/>
          <w:w w:val="107"/>
          <w:sz w:val="24"/>
          <w:szCs w:val="24"/>
        </w:rPr>
      </w:pPr>
      <w:r>
        <w:rPr>
          <w:color w:val="000000"/>
          <w:w w:val="107"/>
          <w:sz w:val="24"/>
          <w:szCs w:val="24"/>
        </w:rPr>
        <w:t>T</w:t>
      </w:r>
      <w:r w:rsidR="00625269">
        <w:rPr>
          <w:color w:val="000000"/>
          <w:w w:val="107"/>
          <w:sz w:val="24"/>
          <w:szCs w:val="24"/>
        </w:rPr>
        <w:t>his matter is now</w:t>
      </w:r>
      <w:r w:rsidR="00C26A28">
        <w:rPr>
          <w:color w:val="000000"/>
          <w:w w:val="107"/>
          <w:sz w:val="24"/>
          <w:szCs w:val="24"/>
        </w:rPr>
        <w:t xml:space="preserve"> ripe for a disposition on </w:t>
      </w:r>
      <w:r w:rsidR="000C69D1">
        <w:rPr>
          <w:color w:val="000000"/>
          <w:w w:val="107"/>
          <w:sz w:val="24"/>
          <w:szCs w:val="24"/>
        </w:rPr>
        <w:t>Duquesne Light’s</w:t>
      </w:r>
      <w:r w:rsidR="00C26A28">
        <w:rPr>
          <w:color w:val="000000"/>
          <w:w w:val="107"/>
          <w:sz w:val="24"/>
          <w:szCs w:val="24"/>
        </w:rPr>
        <w:t xml:space="preserve"> </w:t>
      </w:r>
      <w:r w:rsidR="002E7DD7">
        <w:rPr>
          <w:color w:val="000000"/>
          <w:w w:val="107"/>
          <w:sz w:val="24"/>
          <w:szCs w:val="24"/>
        </w:rPr>
        <w:t>Motion</w:t>
      </w:r>
      <w:r w:rsidR="00C557FE">
        <w:rPr>
          <w:color w:val="000000"/>
          <w:w w:val="107"/>
          <w:sz w:val="24"/>
          <w:szCs w:val="24"/>
        </w:rPr>
        <w:t xml:space="preserve"> for Partial Judgment</w:t>
      </w:r>
      <w:r w:rsidR="00C26A28">
        <w:rPr>
          <w:color w:val="000000"/>
          <w:w w:val="107"/>
          <w:sz w:val="24"/>
          <w:szCs w:val="24"/>
        </w:rPr>
        <w:t>.</w:t>
      </w:r>
      <w:r w:rsidR="000644EB">
        <w:rPr>
          <w:color w:val="000000"/>
          <w:w w:val="107"/>
          <w:sz w:val="24"/>
          <w:szCs w:val="24"/>
        </w:rPr>
        <w:t xml:space="preserve">  </w:t>
      </w:r>
    </w:p>
    <w:p w:rsidR="002C7906" w:rsidRPr="00C95355" w:rsidRDefault="002C7906" w:rsidP="002C7906">
      <w:pPr>
        <w:pStyle w:val="ParaTab1"/>
        <w:tabs>
          <w:tab w:val="num" w:pos="0"/>
          <w:tab w:val="left" w:pos="2160"/>
        </w:tabs>
        <w:spacing w:line="360" w:lineRule="auto"/>
        <w:rPr>
          <w:rFonts w:ascii="Times New Roman" w:hAnsi="Times New Roman" w:cs="Times New Roman"/>
          <w:spacing w:val="-3"/>
        </w:rPr>
      </w:pPr>
    </w:p>
    <w:p w:rsidR="002C7906" w:rsidRPr="00FD1777" w:rsidRDefault="002C7906" w:rsidP="002C7906">
      <w:pPr>
        <w:spacing w:line="360" w:lineRule="auto"/>
        <w:jc w:val="center"/>
        <w:rPr>
          <w:sz w:val="24"/>
          <w:szCs w:val="24"/>
          <w:u w:val="single"/>
        </w:rPr>
      </w:pPr>
      <w:r w:rsidRPr="00FD1777">
        <w:rPr>
          <w:sz w:val="24"/>
          <w:szCs w:val="24"/>
          <w:u w:val="single"/>
        </w:rPr>
        <w:t>FINDINGS OF FACT</w:t>
      </w:r>
    </w:p>
    <w:p w:rsidR="002C7906" w:rsidRPr="00C95355" w:rsidRDefault="002C7906" w:rsidP="002C7906">
      <w:pPr>
        <w:pStyle w:val="ListParagraph"/>
        <w:spacing w:line="360" w:lineRule="auto"/>
        <w:ind w:left="0"/>
        <w:contextualSpacing w:val="0"/>
      </w:pPr>
    </w:p>
    <w:p w:rsidR="002C7906" w:rsidRPr="00C95355" w:rsidRDefault="002C7906" w:rsidP="002C7906">
      <w:pPr>
        <w:pStyle w:val="ListParagraph"/>
        <w:numPr>
          <w:ilvl w:val="0"/>
          <w:numId w:val="10"/>
        </w:numPr>
        <w:spacing w:line="360" w:lineRule="auto"/>
        <w:ind w:left="0" w:firstLine="1440"/>
      </w:pPr>
      <w:r>
        <w:t>C</w:t>
      </w:r>
      <w:r w:rsidRPr="00C95355">
        <w:t xml:space="preserve">omplainant </w:t>
      </w:r>
      <w:r>
        <w:t>is</w:t>
      </w:r>
      <w:r w:rsidR="00DD4146" w:rsidRPr="00DD4146">
        <w:rPr>
          <w:spacing w:val="-3"/>
        </w:rPr>
        <w:t xml:space="preserve"> </w:t>
      </w:r>
      <w:r w:rsidR="00DD4146">
        <w:rPr>
          <w:spacing w:val="-3"/>
        </w:rPr>
        <w:t>Peoples Natural Gas Company LLC, a certificated Natural Gas Distribution Company (NGDC)</w:t>
      </w:r>
      <w:r w:rsidR="00B77B46">
        <w:rPr>
          <w:spacing w:val="-3"/>
        </w:rPr>
        <w:t xml:space="preserve"> </w:t>
      </w:r>
      <w:r w:rsidR="009F0794">
        <w:rPr>
          <w:spacing w:val="-3"/>
        </w:rPr>
        <w:t>and</w:t>
      </w:r>
      <w:r w:rsidR="00B77B46">
        <w:rPr>
          <w:spacing w:val="-3"/>
        </w:rPr>
        <w:t xml:space="preserve"> is a customer of Respondent</w:t>
      </w:r>
      <w:r w:rsidRPr="00C95355">
        <w:t>.</w:t>
      </w:r>
    </w:p>
    <w:p w:rsidR="002C7906" w:rsidRPr="00C95355" w:rsidRDefault="002C7906" w:rsidP="002C7906">
      <w:pPr>
        <w:pStyle w:val="ListParagraph"/>
        <w:spacing w:line="360" w:lineRule="auto"/>
        <w:ind w:left="1440"/>
      </w:pPr>
    </w:p>
    <w:p w:rsidR="002C7906" w:rsidRPr="006723B9" w:rsidRDefault="002C7906" w:rsidP="002C7906">
      <w:pPr>
        <w:pStyle w:val="ListParagraph"/>
        <w:numPr>
          <w:ilvl w:val="0"/>
          <w:numId w:val="10"/>
        </w:numPr>
        <w:spacing w:line="360" w:lineRule="auto"/>
        <w:ind w:left="0" w:firstLine="1440"/>
      </w:pPr>
      <w:r>
        <w:rPr>
          <w:spacing w:val="-3"/>
        </w:rPr>
        <w:t xml:space="preserve">Respondent is </w:t>
      </w:r>
      <w:r w:rsidR="00B20AEF">
        <w:t>Duquesne Light Company</w:t>
      </w:r>
      <w:r w:rsidR="00DD4146">
        <w:t>, a certificated Electric Distribution Company (EDC)</w:t>
      </w:r>
      <w:r w:rsidRPr="00C95355">
        <w:rPr>
          <w:spacing w:val="-3"/>
        </w:rPr>
        <w:t>.</w:t>
      </w:r>
    </w:p>
    <w:p w:rsidR="002C7906" w:rsidRPr="00C95355" w:rsidRDefault="002C7906" w:rsidP="00A6733A">
      <w:pPr>
        <w:pStyle w:val="ListParagraph"/>
        <w:spacing w:line="360" w:lineRule="auto"/>
      </w:pPr>
    </w:p>
    <w:p w:rsidR="002C7906" w:rsidRDefault="002C7906" w:rsidP="002C7906">
      <w:pPr>
        <w:pStyle w:val="ListParagraph"/>
        <w:numPr>
          <w:ilvl w:val="0"/>
          <w:numId w:val="10"/>
        </w:numPr>
        <w:spacing w:line="360" w:lineRule="auto"/>
        <w:ind w:left="0" w:firstLine="1440"/>
      </w:pPr>
      <w:r w:rsidRPr="00C95355">
        <w:t xml:space="preserve">On </w:t>
      </w:r>
      <w:r w:rsidR="000C69D1">
        <w:t>April 10, 2018</w:t>
      </w:r>
      <w:r w:rsidRPr="00C95355">
        <w:t xml:space="preserve">, </w:t>
      </w:r>
      <w:r>
        <w:t>Complainant filed a formal c</w:t>
      </w:r>
      <w:r w:rsidRPr="00C95355">
        <w:t xml:space="preserve">omplaint </w:t>
      </w:r>
      <w:r w:rsidR="00DD4146">
        <w:t xml:space="preserve">at Docket No. C-2018-3001152 </w:t>
      </w:r>
      <w:r w:rsidRPr="00C95355">
        <w:t xml:space="preserve">with the Commission against </w:t>
      </w:r>
      <w:r w:rsidR="000C69D1">
        <w:t>Duquesne Light’s base rate proceeding</w:t>
      </w:r>
      <w:r w:rsidR="00DD4146">
        <w:t xml:space="preserve"> at Docket No. R-2018-3000124</w:t>
      </w:r>
      <w:r>
        <w:t xml:space="preserve">.  </w:t>
      </w:r>
    </w:p>
    <w:p w:rsidR="00EC0139" w:rsidRDefault="00EC0139" w:rsidP="00A6733A">
      <w:pPr>
        <w:pStyle w:val="ListParagraph"/>
        <w:spacing w:line="360" w:lineRule="auto"/>
      </w:pPr>
    </w:p>
    <w:p w:rsidR="002C7906" w:rsidRPr="00C95355" w:rsidRDefault="002C7906" w:rsidP="002C7906">
      <w:pPr>
        <w:pStyle w:val="ListParagraph"/>
        <w:numPr>
          <w:ilvl w:val="0"/>
          <w:numId w:val="10"/>
        </w:numPr>
        <w:spacing w:line="360" w:lineRule="auto"/>
        <w:ind w:left="0" w:firstLine="1440"/>
      </w:pPr>
      <w:r w:rsidRPr="00C95355">
        <w:t xml:space="preserve">On </w:t>
      </w:r>
      <w:r w:rsidR="00C557FE">
        <w:t>May 1, 2018</w:t>
      </w:r>
      <w:r w:rsidRPr="00C95355">
        <w:t xml:space="preserve">, </w:t>
      </w:r>
      <w:r w:rsidR="00C557FE">
        <w:t>Duquesne Light</w:t>
      </w:r>
      <w:r>
        <w:t xml:space="preserve"> filed </w:t>
      </w:r>
      <w:r w:rsidR="00C557FE">
        <w:t xml:space="preserve">a Motion for Partial Judgment on the Pleadings, </w:t>
      </w:r>
      <w:r w:rsidR="006B57A8">
        <w:t>with a Notice to Plead</w:t>
      </w:r>
      <w:r w:rsidR="00C557FE">
        <w:t>, against Peoples</w:t>
      </w:r>
      <w:r w:rsidR="00DD4146">
        <w:t xml:space="preserve"> at Docket No. C-2018-3001152</w:t>
      </w:r>
      <w:r w:rsidRPr="00C95355">
        <w:t>.</w:t>
      </w:r>
    </w:p>
    <w:p w:rsidR="002C7906" w:rsidRPr="00C95355" w:rsidRDefault="002C7906" w:rsidP="00163436">
      <w:pPr>
        <w:pStyle w:val="ListParagraph"/>
        <w:spacing w:line="360" w:lineRule="auto"/>
      </w:pPr>
    </w:p>
    <w:p w:rsidR="006B57A8" w:rsidRDefault="006B57A8" w:rsidP="002C7906">
      <w:pPr>
        <w:pStyle w:val="ListParagraph"/>
        <w:numPr>
          <w:ilvl w:val="0"/>
          <w:numId w:val="10"/>
        </w:numPr>
        <w:spacing w:line="360" w:lineRule="auto"/>
        <w:ind w:left="0" w:firstLine="1440"/>
      </w:pPr>
      <w:r>
        <w:t xml:space="preserve">On </w:t>
      </w:r>
      <w:r w:rsidR="00C557FE">
        <w:t>May 11, 2018</w:t>
      </w:r>
      <w:r>
        <w:t xml:space="preserve">, </w:t>
      </w:r>
      <w:r w:rsidR="00C557FE">
        <w:t>Peoples</w:t>
      </w:r>
      <w:r>
        <w:t xml:space="preserve"> filed a response to </w:t>
      </w:r>
      <w:r w:rsidR="00C557FE">
        <w:t>Duquesne Light’s Motion for Partial Judgment</w:t>
      </w:r>
      <w:r w:rsidR="009F0794">
        <w:t xml:space="preserve"> on the Pleadings</w:t>
      </w:r>
      <w:r>
        <w:t xml:space="preserve">.  </w:t>
      </w:r>
    </w:p>
    <w:p w:rsidR="00EC0139" w:rsidRDefault="00EC0139" w:rsidP="00EC0139">
      <w:pPr>
        <w:rPr>
          <w:sz w:val="24"/>
          <w:szCs w:val="24"/>
          <w:u w:val="single"/>
        </w:rPr>
      </w:pPr>
    </w:p>
    <w:p w:rsidR="00FA1765" w:rsidRPr="006B57A8" w:rsidRDefault="00FA1765" w:rsidP="001B16A2">
      <w:pPr>
        <w:spacing w:line="360" w:lineRule="auto"/>
        <w:jc w:val="center"/>
        <w:rPr>
          <w:sz w:val="24"/>
          <w:szCs w:val="24"/>
          <w:u w:val="single"/>
        </w:rPr>
      </w:pPr>
      <w:r w:rsidRPr="006B57A8">
        <w:rPr>
          <w:sz w:val="24"/>
          <w:szCs w:val="24"/>
          <w:u w:val="single"/>
        </w:rPr>
        <w:t>DISCUSSION</w:t>
      </w:r>
    </w:p>
    <w:p w:rsidR="00FA1765" w:rsidRDefault="00FA1765" w:rsidP="00B43579">
      <w:pPr>
        <w:spacing w:line="360" w:lineRule="auto"/>
        <w:rPr>
          <w:sz w:val="24"/>
          <w:szCs w:val="24"/>
        </w:rPr>
      </w:pPr>
    </w:p>
    <w:p w:rsidR="004A5A5A" w:rsidRDefault="004A5A5A" w:rsidP="004A5A5A">
      <w:pPr>
        <w:spacing w:line="360" w:lineRule="auto"/>
        <w:rPr>
          <w:sz w:val="24"/>
          <w:szCs w:val="24"/>
        </w:rPr>
      </w:pPr>
      <w:r>
        <w:rPr>
          <w:sz w:val="24"/>
          <w:szCs w:val="24"/>
        </w:rPr>
        <w:tab/>
      </w:r>
      <w:r>
        <w:rPr>
          <w:sz w:val="24"/>
          <w:szCs w:val="24"/>
        </w:rPr>
        <w:tab/>
      </w:r>
      <w:r w:rsidRPr="00DD4146">
        <w:rPr>
          <w:sz w:val="24"/>
          <w:szCs w:val="24"/>
        </w:rPr>
        <w:t xml:space="preserve">Respondent </w:t>
      </w:r>
      <w:r>
        <w:rPr>
          <w:sz w:val="24"/>
          <w:szCs w:val="24"/>
        </w:rPr>
        <w:t>filed</w:t>
      </w:r>
      <w:r w:rsidR="00023D99">
        <w:rPr>
          <w:sz w:val="24"/>
          <w:szCs w:val="24"/>
        </w:rPr>
        <w:t xml:space="preserve"> a</w:t>
      </w:r>
      <w:r>
        <w:rPr>
          <w:sz w:val="24"/>
          <w:szCs w:val="24"/>
        </w:rPr>
        <w:t xml:space="preserve"> Motion for Partial Judgment on the Pleadings (Motion) and </w:t>
      </w:r>
      <w:r w:rsidRPr="00DD4146">
        <w:rPr>
          <w:sz w:val="24"/>
          <w:szCs w:val="24"/>
        </w:rPr>
        <w:t xml:space="preserve">avers Complainant lacks standing to file the formal complaint against Respondent in </w:t>
      </w:r>
      <w:r>
        <w:rPr>
          <w:sz w:val="24"/>
          <w:szCs w:val="24"/>
        </w:rPr>
        <w:t>Duquesne Light’s</w:t>
      </w:r>
      <w:r w:rsidRPr="00DD4146">
        <w:rPr>
          <w:sz w:val="24"/>
          <w:szCs w:val="24"/>
        </w:rPr>
        <w:t xml:space="preserve"> base rate proceeding</w:t>
      </w:r>
      <w:r>
        <w:rPr>
          <w:sz w:val="24"/>
          <w:szCs w:val="24"/>
        </w:rPr>
        <w:t xml:space="preserve"> at Docket No. R-2018-3000124</w:t>
      </w:r>
      <w:r w:rsidRPr="00DD4146">
        <w:rPr>
          <w:sz w:val="24"/>
          <w:szCs w:val="24"/>
        </w:rPr>
        <w:t xml:space="preserve">.  Respondent requests the Commission dismiss </w:t>
      </w:r>
      <w:r>
        <w:rPr>
          <w:sz w:val="24"/>
          <w:szCs w:val="24"/>
        </w:rPr>
        <w:t xml:space="preserve">Peoples’ </w:t>
      </w:r>
      <w:r w:rsidRPr="00DD4146">
        <w:rPr>
          <w:sz w:val="24"/>
          <w:szCs w:val="24"/>
        </w:rPr>
        <w:t xml:space="preserve">formal complaint at Docket No. C-2018-3001152.  </w:t>
      </w:r>
      <w:r>
        <w:rPr>
          <w:sz w:val="24"/>
          <w:szCs w:val="24"/>
        </w:rPr>
        <w:t>In response, Peoples contends Duquesne Light should have filed preliminary objections instead of requesting a decision on the pleadings and, in response, Peoples treated the Motion as if it were preliminary objections.</w:t>
      </w:r>
    </w:p>
    <w:p w:rsidR="004A5A5A" w:rsidRDefault="004A5A5A" w:rsidP="004A5A5A">
      <w:pPr>
        <w:spacing w:line="360" w:lineRule="auto"/>
        <w:rPr>
          <w:sz w:val="24"/>
          <w:szCs w:val="24"/>
        </w:rPr>
      </w:pPr>
    </w:p>
    <w:p w:rsidR="00607DF7" w:rsidRDefault="00607DF7" w:rsidP="00607DF7">
      <w:pPr>
        <w:spacing w:line="360" w:lineRule="auto"/>
        <w:rPr>
          <w:sz w:val="24"/>
          <w:szCs w:val="24"/>
        </w:rPr>
      </w:pPr>
      <w:r w:rsidRPr="00DD4146">
        <w:rPr>
          <w:sz w:val="24"/>
          <w:szCs w:val="24"/>
        </w:rPr>
        <w:tab/>
      </w:r>
      <w:r w:rsidRPr="00DD4146">
        <w:rPr>
          <w:sz w:val="24"/>
          <w:szCs w:val="24"/>
        </w:rPr>
        <w:tab/>
        <w:t xml:space="preserve">Pursuant to Section </w:t>
      </w:r>
      <w:r w:rsidRPr="006B57A8">
        <w:rPr>
          <w:sz w:val="24"/>
          <w:szCs w:val="24"/>
        </w:rPr>
        <w:t xml:space="preserve">701 of the Code, 66 </w:t>
      </w:r>
      <w:proofErr w:type="spellStart"/>
      <w:r w:rsidRPr="006B57A8">
        <w:rPr>
          <w:sz w:val="24"/>
          <w:szCs w:val="24"/>
        </w:rPr>
        <w:t>Pa.C.S.A</w:t>
      </w:r>
      <w:proofErr w:type="spellEnd"/>
      <w:r w:rsidRPr="006B57A8">
        <w:rPr>
          <w:sz w:val="24"/>
          <w:szCs w:val="24"/>
        </w:rPr>
        <w:t>. § 701,</w:t>
      </w:r>
      <w:r>
        <w:rPr>
          <w:sz w:val="24"/>
          <w:szCs w:val="24"/>
        </w:rPr>
        <w:t xml:space="preserve"> Peoples was allowed to file a formal complaint averring the existence of any act or thing which a public utility did or did not do in violation of any law over which the Commission </w:t>
      </w:r>
      <w:r w:rsidR="00EB11D3">
        <w:rPr>
          <w:sz w:val="24"/>
          <w:szCs w:val="24"/>
        </w:rPr>
        <w:t>has jurisdiction, provided Peoples has an interest in the subject matter</w:t>
      </w:r>
      <w:r w:rsidRPr="00273F16">
        <w:rPr>
          <w:sz w:val="24"/>
          <w:szCs w:val="24"/>
        </w:rPr>
        <w:t>.</w:t>
      </w:r>
      <w:r w:rsidRPr="00AF65B7">
        <w:rPr>
          <w:rStyle w:val="FootnoteReference"/>
          <w:sz w:val="24"/>
          <w:szCs w:val="24"/>
          <w:vertAlign w:val="superscript"/>
        </w:rPr>
        <w:footnoteReference w:id="1"/>
      </w:r>
      <w:r w:rsidR="00EB11D3">
        <w:rPr>
          <w:sz w:val="24"/>
          <w:szCs w:val="24"/>
          <w:vertAlign w:val="superscript"/>
        </w:rPr>
        <w:t xml:space="preserve"> </w:t>
      </w:r>
      <w:r w:rsidR="00EB11D3">
        <w:rPr>
          <w:sz w:val="24"/>
          <w:szCs w:val="24"/>
        </w:rPr>
        <w:t xml:space="preserve"> Peoples’ formal complaint was </w:t>
      </w:r>
      <w:r w:rsidR="0098292F">
        <w:rPr>
          <w:sz w:val="24"/>
          <w:szCs w:val="24"/>
        </w:rPr>
        <w:t>c</w:t>
      </w:r>
      <w:r w:rsidR="00EB11D3">
        <w:rPr>
          <w:sz w:val="24"/>
          <w:szCs w:val="24"/>
        </w:rPr>
        <w:t>onsolidated with the base rate proceeding by the presiding officer after the prehearing conference in the base rate proceeding because Peoples’ averments s</w:t>
      </w:r>
      <w:r w:rsidR="003C1CAB">
        <w:rPr>
          <w:sz w:val="24"/>
          <w:szCs w:val="24"/>
        </w:rPr>
        <w:t>tated Peoples is a customer, and objected to the base rate increase in general and specifically opposed a</w:t>
      </w:r>
      <w:r w:rsidR="00EB11D3">
        <w:rPr>
          <w:sz w:val="24"/>
          <w:szCs w:val="24"/>
        </w:rPr>
        <w:t xml:space="preserve"> proposed tariff change in Duquesne Light’s initial base rate filing.</w:t>
      </w:r>
    </w:p>
    <w:p w:rsidR="00607DF7" w:rsidRDefault="00607DF7" w:rsidP="004A5A5A">
      <w:pPr>
        <w:spacing w:line="360" w:lineRule="auto"/>
        <w:rPr>
          <w:sz w:val="24"/>
          <w:szCs w:val="24"/>
        </w:rPr>
      </w:pPr>
    </w:p>
    <w:p w:rsidR="004A5A5A" w:rsidRDefault="004A5A5A" w:rsidP="004A5A5A">
      <w:pPr>
        <w:spacing w:line="360" w:lineRule="auto"/>
        <w:rPr>
          <w:sz w:val="24"/>
          <w:szCs w:val="24"/>
        </w:rPr>
      </w:pPr>
      <w:r>
        <w:rPr>
          <w:sz w:val="24"/>
          <w:szCs w:val="24"/>
        </w:rPr>
        <w:tab/>
      </w:r>
      <w:r>
        <w:rPr>
          <w:sz w:val="24"/>
          <w:szCs w:val="24"/>
        </w:rPr>
        <w:tab/>
        <w:t>Under the Commission’s rules</w:t>
      </w:r>
      <w:r w:rsidR="00EB11D3">
        <w:rPr>
          <w:sz w:val="24"/>
          <w:szCs w:val="24"/>
        </w:rPr>
        <w:t xml:space="preserve"> at 52 </w:t>
      </w:r>
      <w:proofErr w:type="spellStart"/>
      <w:proofErr w:type="gramStart"/>
      <w:r w:rsidR="00EB11D3">
        <w:rPr>
          <w:sz w:val="24"/>
          <w:szCs w:val="24"/>
        </w:rPr>
        <w:t>Pa.Code</w:t>
      </w:r>
      <w:proofErr w:type="spellEnd"/>
      <w:proofErr w:type="gramEnd"/>
      <w:r w:rsidR="00EB11D3">
        <w:rPr>
          <w:sz w:val="24"/>
          <w:szCs w:val="24"/>
        </w:rPr>
        <w:t xml:space="preserve"> § 5.61(d)</w:t>
      </w:r>
      <w:r>
        <w:rPr>
          <w:sz w:val="24"/>
          <w:szCs w:val="24"/>
        </w:rPr>
        <w:t xml:space="preserve">, Duquesne Light was not required to file an </w:t>
      </w:r>
      <w:r w:rsidR="0063743D">
        <w:rPr>
          <w:sz w:val="24"/>
          <w:szCs w:val="24"/>
        </w:rPr>
        <w:t>a</w:t>
      </w:r>
      <w:r>
        <w:rPr>
          <w:sz w:val="24"/>
          <w:szCs w:val="24"/>
        </w:rPr>
        <w:t>nswer to Peoples’ formal complaint because the formal complaint at Docket No. C-2018-3001152 was consolidated with and docketed in the Commission-instituted rate proceeding at Docket No. R-2018-3000124.</w:t>
      </w:r>
    </w:p>
    <w:p w:rsidR="004A5A5A" w:rsidRDefault="004A5A5A" w:rsidP="004A5A5A">
      <w:pPr>
        <w:spacing w:line="360" w:lineRule="auto"/>
        <w:rPr>
          <w:sz w:val="24"/>
          <w:szCs w:val="24"/>
        </w:rPr>
      </w:pPr>
    </w:p>
    <w:p w:rsidR="004A5A5A" w:rsidRDefault="004A5A5A" w:rsidP="004A5A5A">
      <w:pPr>
        <w:spacing w:line="360" w:lineRule="auto"/>
        <w:rPr>
          <w:sz w:val="24"/>
          <w:szCs w:val="24"/>
        </w:rPr>
      </w:pPr>
      <w:r>
        <w:rPr>
          <w:sz w:val="24"/>
          <w:szCs w:val="24"/>
        </w:rPr>
        <w:tab/>
      </w:r>
      <w:r>
        <w:rPr>
          <w:sz w:val="24"/>
          <w:szCs w:val="24"/>
        </w:rPr>
        <w:tab/>
        <w:t xml:space="preserve">Pursuant to 52 </w:t>
      </w:r>
      <w:proofErr w:type="spellStart"/>
      <w:proofErr w:type="gramStart"/>
      <w:r>
        <w:rPr>
          <w:sz w:val="24"/>
          <w:szCs w:val="24"/>
        </w:rPr>
        <w:t>Pa.Code</w:t>
      </w:r>
      <w:proofErr w:type="spellEnd"/>
      <w:proofErr w:type="gramEnd"/>
      <w:r>
        <w:rPr>
          <w:sz w:val="24"/>
          <w:szCs w:val="24"/>
        </w:rPr>
        <w:t xml:space="preserve"> § 5.103(b), written motions may be filed at any time in a proceeding, however, according to 52 </w:t>
      </w:r>
      <w:proofErr w:type="spellStart"/>
      <w:r>
        <w:rPr>
          <w:sz w:val="24"/>
          <w:szCs w:val="24"/>
        </w:rPr>
        <w:t>Pa.Code</w:t>
      </w:r>
      <w:proofErr w:type="spellEnd"/>
      <w:r>
        <w:rPr>
          <w:sz w:val="24"/>
          <w:szCs w:val="24"/>
        </w:rPr>
        <w:t xml:space="preserve"> § 5.102(a), a motion for judgment on the pleadings cannot be filed until after the pleadings close.  Peoples filed its complaint on April 10, 2018.  Duquesne Light had twenty (20) days from April 10</w:t>
      </w:r>
      <w:r w:rsidR="00607DF7">
        <w:rPr>
          <w:sz w:val="24"/>
          <w:szCs w:val="24"/>
        </w:rPr>
        <w:t>,</w:t>
      </w:r>
      <w:r>
        <w:rPr>
          <w:sz w:val="24"/>
          <w:szCs w:val="24"/>
        </w:rPr>
        <w:t xml:space="preserve"> 2018 to file an answer</w:t>
      </w:r>
      <w:r w:rsidR="0098292F">
        <w:rPr>
          <w:sz w:val="24"/>
          <w:szCs w:val="24"/>
        </w:rPr>
        <w:t xml:space="preserve">. </w:t>
      </w:r>
      <w:r>
        <w:rPr>
          <w:sz w:val="24"/>
          <w:szCs w:val="24"/>
        </w:rPr>
        <w:t xml:space="preserve"> The plead</w:t>
      </w:r>
      <w:r w:rsidR="00607DF7">
        <w:rPr>
          <w:sz w:val="24"/>
          <w:szCs w:val="24"/>
        </w:rPr>
        <w:t>ing</w:t>
      </w:r>
      <w:r>
        <w:rPr>
          <w:sz w:val="24"/>
          <w:szCs w:val="24"/>
        </w:rPr>
        <w:t xml:space="preserve">s closed twenty </w:t>
      </w:r>
      <w:r w:rsidR="00812B81">
        <w:rPr>
          <w:sz w:val="24"/>
          <w:szCs w:val="24"/>
        </w:rPr>
        <w:t xml:space="preserve">(20) </w:t>
      </w:r>
      <w:r>
        <w:rPr>
          <w:sz w:val="24"/>
          <w:szCs w:val="24"/>
        </w:rPr>
        <w:t>days after April 10, 2018 or, in other words, on April</w:t>
      </w:r>
      <w:r w:rsidR="00A335AC">
        <w:rPr>
          <w:sz w:val="24"/>
          <w:szCs w:val="24"/>
        </w:rPr>
        <w:t> </w:t>
      </w:r>
      <w:r>
        <w:rPr>
          <w:sz w:val="24"/>
          <w:szCs w:val="24"/>
        </w:rPr>
        <w:t xml:space="preserve">30, 2018.  </w:t>
      </w:r>
    </w:p>
    <w:p w:rsidR="004A5A5A" w:rsidRDefault="004A5A5A" w:rsidP="004A5A5A">
      <w:pPr>
        <w:spacing w:line="360" w:lineRule="auto"/>
        <w:rPr>
          <w:sz w:val="24"/>
          <w:szCs w:val="24"/>
        </w:rPr>
      </w:pPr>
    </w:p>
    <w:p w:rsidR="00EB11D3" w:rsidRPr="00EB11D3" w:rsidRDefault="00EB11D3" w:rsidP="004A5A5A">
      <w:pPr>
        <w:spacing w:line="360" w:lineRule="auto"/>
        <w:rPr>
          <w:sz w:val="24"/>
          <w:szCs w:val="24"/>
          <w:u w:val="single"/>
        </w:rPr>
      </w:pPr>
      <w:r w:rsidRPr="00EB11D3">
        <w:rPr>
          <w:sz w:val="24"/>
          <w:szCs w:val="24"/>
          <w:u w:val="single"/>
        </w:rPr>
        <w:t>Partial Judgment on the Pleadings</w:t>
      </w:r>
    </w:p>
    <w:p w:rsidR="00EB11D3" w:rsidRDefault="00EB11D3" w:rsidP="004A5A5A">
      <w:pPr>
        <w:spacing w:line="360" w:lineRule="auto"/>
        <w:rPr>
          <w:sz w:val="24"/>
          <w:szCs w:val="24"/>
        </w:rPr>
      </w:pPr>
    </w:p>
    <w:p w:rsidR="004A5A5A" w:rsidRDefault="004A5A5A" w:rsidP="004A5A5A">
      <w:pPr>
        <w:spacing w:line="360" w:lineRule="auto"/>
        <w:rPr>
          <w:sz w:val="24"/>
          <w:szCs w:val="24"/>
        </w:rPr>
      </w:pPr>
      <w:r>
        <w:rPr>
          <w:sz w:val="24"/>
          <w:szCs w:val="24"/>
        </w:rPr>
        <w:tab/>
      </w:r>
      <w:r>
        <w:rPr>
          <w:sz w:val="24"/>
          <w:szCs w:val="24"/>
        </w:rPr>
        <w:tab/>
        <w:t xml:space="preserve">Instead of filing an answer, Duquesne Light filed the Motion on the day </w:t>
      </w:r>
      <w:r w:rsidRPr="00607DF7">
        <w:rPr>
          <w:sz w:val="24"/>
          <w:szCs w:val="24"/>
          <w:u w:val="single"/>
        </w:rPr>
        <w:t>after</w:t>
      </w:r>
      <w:r>
        <w:rPr>
          <w:sz w:val="24"/>
          <w:szCs w:val="24"/>
        </w:rPr>
        <w:t xml:space="preserve"> the pleadings closed in Peoples</w:t>
      </w:r>
      <w:r w:rsidR="00A335AC">
        <w:rPr>
          <w:sz w:val="24"/>
          <w:szCs w:val="24"/>
        </w:rPr>
        <w:t>’</w:t>
      </w:r>
      <w:r>
        <w:rPr>
          <w:sz w:val="24"/>
          <w:szCs w:val="24"/>
        </w:rPr>
        <w:t xml:space="preserve"> formal complaint proceeding.</w:t>
      </w:r>
      <w:r w:rsidR="00607DF7">
        <w:rPr>
          <w:sz w:val="24"/>
          <w:szCs w:val="24"/>
        </w:rPr>
        <w:t xml:space="preserve">  Duquesne Light was not in error to file the Motion</w:t>
      </w:r>
      <w:r w:rsidR="0098292F">
        <w:rPr>
          <w:sz w:val="24"/>
          <w:szCs w:val="24"/>
        </w:rPr>
        <w:t xml:space="preserve">.  </w:t>
      </w:r>
      <w:r w:rsidR="00607DF7">
        <w:rPr>
          <w:sz w:val="24"/>
          <w:szCs w:val="24"/>
        </w:rPr>
        <w:t xml:space="preserve">Duquesne Light did not enunciate this position </w:t>
      </w:r>
      <w:r w:rsidR="0098292F">
        <w:rPr>
          <w:sz w:val="24"/>
          <w:szCs w:val="24"/>
        </w:rPr>
        <w:t xml:space="preserve">clearly </w:t>
      </w:r>
      <w:r w:rsidR="00607DF7">
        <w:rPr>
          <w:sz w:val="24"/>
          <w:szCs w:val="24"/>
        </w:rPr>
        <w:t xml:space="preserve">in its </w:t>
      </w:r>
      <w:proofErr w:type="gramStart"/>
      <w:r w:rsidR="00607DF7">
        <w:rPr>
          <w:sz w:val="24"/>
          <w:szCs w:val="24"/>
        </w:rPr>
        <w:t>Motion</w:t>
      </w:r>
      <w:proofErr w:type="gramEnd"/>
      <w:r w:rsidR="00607DF7">
        <w:rPr>
          <w:sz w:val="24"/>
          <w:szCs w:val="24"/>
        </w:rPr>
        <w:t xml:space="preserve"> but Duquesne Light </w:t>
      </w:r>
      <w:r w:rsidR="0098292F">
        <w:rPr>
          <w:sz w:val="24"/>
          <w:szCs w:val="24"/>
        </w:rPr>
        <w:t>seeks</w:t>
      </w:r>
      <w:r w:rsidR="00607DF7">
        <w:rPr>
          <w:sz w:val="24"/>
          <w:szCs w:val="24"/>
        </w:rPr>
        <w:t xml:space="preserve"> to eliminate the </w:t>
      </w:r>
      <w:r w:rsidR="0098292F">
        <w:rPr>
          <w:sz w:val="24"/>
          <w:szCs w:val="24"/>
        </w:rPr>
        <w:t>ability</w:t>
      </w:r>
      <w:r w:rsidR="00607DF7">
        <w:rPr>
          <w:sz w:val="24"/>
          <w:szCs w:val="24"/>
        </w:rPr>
        <w:t xml:space="preserve"> of Peoples </w:t>
      </w:r>
      <w:r w:rsidR="0098292F">
        <w:rPr>
          <w:sz w:val="24"/>
          <w:szCs w:val="24"/>
        </w:rPr>
        <w:t xml:space="preserve">to contest or oppose Tariff Rider No. 16 without actually dismissing the formal complaint.  </w:t>
      </w:r>
      <w:r w:rsidR="00607DF7">
        <w:rPr>
          <w:sz w:val="24"/>
          <w:szCs w:val="24"/>
        </w:rPr>
        <w:t xml:space="preserve">For that reason, the appropriate motion to file was one entitled as “partial” because the Motion is intended to affect only one </w:t>
      </w:r>
      <w:r w:rsidR="0098292F">
        <w:rPr>
          <w:sz w:val="24"/>
          <w:szCs w:val="24"/>
        </w:rPr>
        <w:t xml:space="preserve">portion of the </w:t>
      </w:r>
      <w:r w:rsidR="00607DF7">
        <w:rPr>
          <w:sz w:val="24"/>
          <w:szCs w:val="24"/>
        </w:rPr>
        <w:t xml:space="preserve">complaint </w:t>
      </w:r>
      <w:r w:rsidR="0098292F">
        <w:rPr>
          <w:sz w:val="24"/>
          <w:szCs w:val="24"/>
        </w:rPr>
        <w:t>which relates to Tariff Rider No. 16.</w:t>
      </w:r>
      <w:r w:rsidR="00607DF7">
        <w:rPr>
          <w:sz w:val="24"/>
          <w:szCs w:val="24"/>
        </w:rPr>
        <w:t xml:space="preserve">  </w:t>
      </w:r>
    </w:p>
    <w:p w:rsidR="00607DF7" w:rsidRDefault="00607DF7" w:rsidP="004A5A5A">
      <w:pPr>
        <w:spacing w:line="360" w:lineRule="auto"/>
        <w:rPr>
          <w:sz w:val="24"/>
          <w:szCs w:val="24"/>
        </w:rPr>
      </w:pPr>
    </w:p>
    <w:p w:rsidR="00607DF7" w:rsidRPr="00DD4146" w:rsidRDefault="00607DF7" w:rsidP="004A5A5A">
      <w:pPr>
        <w:spacing w:line="360" w:lineRule="auto"/>
        <w:rPr>
          <w:sz w:val="24"/>
          <w:szCs w:val="24"/>
        </w:rPr>
      </w:pPr>
      <w:r>
        <w:rPr>
          <w:sz w:val="24"/>
          <w:szCs w:val="24"/>
        </w:rPr>
        <w:tab/>
      </w:r>
      <w:r>
        <w:rPr>
          <w:sz w:val="24"/>
          <w:szCs w:val="24"/>
        </w:rPr>
        <w:tab/>
        <w:t xml:space="preserve">Under 52 </w:t>
      </w:r>
      <w:proofErr w:type="spellStart"/>
      <w:proofErr w:type="gramStart"/>
      <w:r>
        <w:rPr>
          <w:sz w:val="24"/>
          <w:szCs w:val="24"/>
        </w:rPr>
        <w:t>Pa.Code</w:t>
      </w:r>
      <w:proofErr w:type="spellEnd"/>
      <w:proofErr w:type="gramEnd"/>
      <w:r>
        <w:rPr>
          <w:sz w:val="24"/>
          <w:szCs w:val="24"/>
        </w:rPr>
        <w:t xml:space="preserve"> § 5.102(d)(1), motions for judgment on the pleadings are to be granted if all the applicable pleadings, depositions, answers to interrogatories and admissions, together with affidavits, as applicable, “show that there is no genuine issue as to a material fact and the moving party [Duquesne Light] is entitled to a judgment as a matter of law.”  </w:t>
      </w:r>
    </w:p>
    <w:p w:rsidR="00E45375" w:rsidRPr="00B43579" w:rsidRDefault="00E45375" w:rsidP="00B43579">
      <w:pPr>
        <w:spacing w:line="360" w:lineRule="auto"/>
        <w:rPr>
          <w:sz w:val="24"/>
          <w:szCs w:val="24"/>
        </w:rPr>
      </w:pPr>
    </w:p>
    <w:p w:rsidR="00AB78C1" w:rsidRDefault="00B43579" w:rsidP="003C1CAB">
      <w:pPr>
        <w:spacing w:line="360" w:lineRule="auto"/>
        <w:rPr>
          <w:sz w:val="24"/>
          <w:szCs w:val="24"/>
        </w:rPr>
      </w:pPr>
      <w:r w:rsidRPr="00B43579">
        <w:rPr>
          <w:sz w:val="24"/>
          <w:szCs w:val="24"/>
        </w:rPr>
        <w:tab/>
      </w:r>
      <w:r w:rsidRPr="00B43579">
        <w:rPr>
          <w:sz w:val="24"/>
          <w:szCs w:val="24"/>
        </w:rPr>
        <w:tab/>
      </w:r>
      <w:r w:rsidR="00AB78C1">
        <w:rPr>
          <w:sz w:val="23"/>
          <w:szCs w:val="23"/>
        </w:rPr>
        <w:t>The Commission must view the record in the light most favorable to the non-moving party, giving that party the benefit of all reasonable inferences.</w:t>
      </w:r>
      <w:r w:rsidR="005A5DAC" w:rsidRPr="00A90C78">
        <w:rPr>
          <w:rStyle w:val="FootnoteReference"/>
          <w:sz w:val="23"/>
          <w:szCs w:val="23"/>
          <w:vertAlign w:val="superscript"/>
        </w:rPr>
        <w:footnoteReference w:id="2"/>
      </w:r>
      <w:r w:rsidR="005A5DAC">
        <w:rPr>
          <w:sz w:val="23"/>
          <w:szCs w:val="23"/>
        </w:rPr>
        <w:t xml:space="preserve">  </w:t>
      </w:r>
      <w:r w:rsidR="00AB78C1">
        <w:rPr>
          <w:sz w:val="23"/>
          <w:szCs w:val="23"/>
        </w:rPr>
        <w:t xml:space="preserve">It must accept as true all well-pleaded statements of fact of the </w:t>
      </w:r>
      <w:r w:rsidR="00AB78C1" w:rsidRPr="005A5DAC">
        <w:rPr>
          <w:sz w:val="23"/>
          <w:szCs w:val="23"/>
          <w:u w:val="single"/>
        </w:rPr>
        <w:t>non-moving</w:t>
      </w:r>
      <w:r w:rsidR="00AB78C1">
        <w:rPr>
          <w:sz w:val="23"/>
          <w:szCs w:val="23"/>
        </w:rPr>
        <w:t xml:space="preserve"> party and consider only those facts that the </w:t>
      </w:r>
      <w:r w:rsidR="00AB78C1" w:rsidRPr="005A5DAC">
        <w:rPr>
          <w:sz w:val="23"/>
          <w:szCs w:val="23"/>
          <w:u w:val="single"/>
        </w:rPr>
        <w:t>non-moving</w:t>
      </w:r>
      <w:r w:rsidR="00AB78C1">
        <w:rPr>
          <w:sz w:val="23"/>
          <w:szCs w:val="23"/>
        </w:rPr>
        <w:t xml:space="preserve"> party specifically admits.</w:t>
      </w:r>
      <w:r w:rsidR="005A5DAC" w:rsidRPr="00A90C78">
        <w:rPr>
          <w:rStyle w:val="FootnoteReference"/>
          <w:sz w:val="23"/>
          <w:szCs w:val="23"/>
          <w:vertAlign w:val="superscript"/>
        </w:rPr>
        <w:footnoteReference w:id="3"/>
      </w:r>
      <w:r w:rsidR="00AB78C1">
        <w:rPr>
          <w:sz w:val="23"/>
          <w:szCs w:val="23"/>
        </w:rPr>
        <w:t xml:space="preserve"> </w:t>
      </w:r>
      <w:r w:rsidR="005A5DAC">
        <w:rPr>
          <w:sz w:val="23"/>
          <w:szCs w:val="23"/>
        </w:rPr>
        <w:t xml:space="preserve"> </w:t>
      </w:r>
      <w:r w:rsidR="00AB78C1">
        <w:rPr>
          <w:sz w:val="23"/>
          <w:szCs w:val="23"/>
        </w:rPr>
        <w:t xml:space="preserve">All doubts as to the existence of a genuine issue of material fact must be resolved </w:t>
      </w:r>
      <w:r w:rsidR="00AB78C1" w:rsidRPr="005A5DAC">
        <w:rPr>
          <w:sz w:val="23"/>
          <w:szCs w:val="23"/>
          <w:u w:val="single"/>
        </w:rPr>
        <w:t>against the moving party</w:t>
      </w:r>
      <w:r w:rsidR="00AB78C1">
        <w:rPr>
          <w:sz w:val="23"/>
          <w:szCs w:val="23"/>
        </w:rPr>
        <w:t>.</w:t>
      </w:r>
      <w:r w:rsidR="005A5DAC" w:rsidRPr="00A90C78">
        <w:rPr>
          <w:rStyle w:val="FootnoteReference"/>
          <w:sz w:val="23"/>
          <w:szCs w:val="23"/>
          <w:vertAlign w:val="superscript"/>
        </w:rPr>
        <w:footnoteReference w:id="4"/>
      </w:r>
      <w:r w:rsidR="00AB78C1">
        <w:rPr>
          <w:sz w:val="23"/>
          <w:szCs w:val="23"/>
        </w:rPr>
        <w:t xml:space="preserve"> </w:t>
      </w:r>
      <w:r w:rsidR="005A5DAC">
        <w:rPr>
          <w:sz w:val="23"/>
          <w:szCs w:val="23"/>
        </w:rPr>
        <w:t xml:space="preserve"> </w:t>
      </w:r>
      <w:r w:rsidR="00AB78C1">
        <w:rPr>
          <w:sz w:val="23"/>
          <w:szCs w:val="23"/>
        </w:rPr>
        <w:t>Only in a case where the moving party’s right to prevail is so clear that a trial would be a fruitless exercise should judgment on the pleadings be granted.</w:t>
      </w:r>
      <w:r w:rsidR="005A5DAC" w:rsidRPr="00A90C78">
        <w:rPr>
          <w:rStyle w:val="FootnoteReference"/>
          <w:sz w:val="23"/>
          <w:szCs w:val="23"/>
          <w:vertAlign w:val="superscript"/>
        </w:rPr>
        <w:footnoteReference w:id="5"/>
      </w:r>
      <w:r w:rsidR="00AB78C1">
        <w:rPr>
          <w:sz w:val="23"/>
          <w:szCs w:val="23"/>
        </w:rPr>
        <w:t xml:space="preserve"> </w:t>
      </w:r>
      <w:r w:rsidR="005A5DAC">
        <w:rPr>
          <w:sz w:val="23"/>
          <w:szCs w:val="23"/>
        </w:rPr>
        <w:t xml:space="preserve"> </w:t>
      </w:r>
      <w:r w:rsidR="00AB78C1">
        <w:rPr>
          <w:sz w:val="23"/>
          <w:szCs w:val="23"/>
        </w:rPr>
        <w:t>Judgment on the pleadings should be entered only when the case is clear and free from doubt.</w:t>
      </w:r>
      <w:r w:rsidR="005A5DAC" w:rsidRPr="00A90C78">
        <w:rPr>
          <w:rStyle w:val="FootnoteReference"/>
          <w:sz w:val="23"/>
          <w:szCs w:val="23"/>
          <w:vertAlign w:val="superscript"/>
        </w:rPr>
        <w:footnoteReference w:id="6"/>
      </w:r>
      <w:r w:rsidR="00AB78C1" w:rsidRPr="00A90C78">
        <w:rPr>
          <w:sz w:val="23"/>
          <w:szCs w:val="23"/>
          <w:vertAlign w:val="superscript"/>
        </w:rPr>
        <w:t xml:space="preserve"> </w:t>
      </w:r>
    </w:p>
    <w:p w:rsidR="00853DE7" w:rsidRDefault="00853DE7" w:rsidP="00C47956">
      <w:pPr>
        <w:spacing w:line="360" w:lineRule="auto"/>
        <w:rPr>
          <w:sz w:val="24"/>
          <w:szCs w:val="24"/>
        </w:rPr>
      </w:pPr>
    </w:p>
    <w:p w:rsidR="00EB11D3" w:rsidRPr="00EB11D3" w:rsidRDefault="00EB11D3" w:rsidP="00122223">
      <w:pPr>
        <w:spacing w:line="360" w:lineRule="auto"/>
        <w:rPr>
          <w:sz w:val="24"/>
          <w:szCs w:val="24"/>
          <w:u w:val="single"/>
        </w:rPr>
      </w:pPr>
      <w:r w:rsidRPr="00EB11D3">
        <w:rPr>
          <w:sz w:val="24"/>
          <w:szCs w:val="24"/>
          <w:u w:val="single"/>
        </w:rPr>
        <w:t>Standing</w:t>
      </w:r>
    </w:p>
    <w:p w:rsidR="00EB11D3" w:rsidRPr="00AB0043" w:rsidRDefault="00EB11D3" w:rsidP="00853DE7">
      <w:pPr>
        <w:rPr>
          <w:sz w:val="24"/>
          <w:szCs w:val="24"/>
        </w:rPr>
      </w:pPr>
    </w:p>
    <w:p w:rsidR="00853DE7" w:rsidRPr="00AB0043" w:rsidRDefault="00853DE7" w:rsidP="00853DE7">
      <w:pPr>
        <w:spacing w:line="360" w:lineRule="auto"/>
        <w:rPr>
          <w:sz w:val="24"/>
          <w:szCs w:val="24"/>
        </w:rPr>
      </w:pPr>
      <w:r w:rsidRPr="00AB0043">
        <w:rPr>
          <w:sz w:val="24"/>
          <w:szCs w:val="24"/>
        </w:rPr>
        <w:tab/>
      </w:r>
      <w:r w:rsidRPr="00AB0043">
        <w:rPr>
          <w:sz w:val="24"/>
          <w:szCs w:val="24"/>
        </w:rPr>
        <w:tab/>
        <w:t xml:space="preserve">Here, </w:t>
      </w:r>
      <w:r w:rsidR="00DD4146">
        <w:rPr>
          <w:sz w:val="24"/>
          <w:szCs w:val="24"/>
        </w:rPr>
        <w:t>Duquesne Light</w:t>
      </w:r>
      <w:r w:rsidRPr="00AB0043">
        <w:rPr>
          <w:sz w:val="24"/>
          <w:szCs w:val="24"/>
        </w:rPr>
        <w:t xml:space="preserve">, </w:t>
      </w:r>
      <w:r w:rsidRPr="00AB0043">
        <w:rPr>
          <w:i/>
          <w:sz w:val="24"/>
          <w:szCs w:val="24"/>
        </w:rPr>
        <w:t>inter alia</w:t>
      </w:r>
      <w:r w:rsidRPr="00AB0043">
        <w:rPr>
          <w:sz w:val="24"/>
          <w:szCs w:val="24"/>
        </w:rPr>
        <w:t>, challenge</w:t>
      </w:r>
      <w:r w:rsidR="00DD4146">
        <w:rPr>
          <w:sz w:val="24"/>
          <w:szCs w:val="24"/>
        </w:rPr>
        <w:t>s</w:t>
      </w:r>
      <w:r w:rsidRPr="00AB0043">
        <w:rPr>
          <w:sz w:val="24"/>
          <w:szCs w:val="24"/>
        </w:rPr>
        <w:t xml:space="preserve"> the standing of </w:t>
      </w:r>
      <w:r w:rsidR="00DD4146">
        <w:rPr>
          <w:sz w:val="24"/>
          <w:szCs w:val="24"/>
        </w:rPr>
        <w:t>Peoples</w:t>
      </w:r>
      <w:r w:rsidRPr="00AB0043">
        <w:rPr>
          <w:sz w:val="24"/>
          <w:szCs w:val="24"/>
        </w:rPr>
        <w:t xml:space="preserve"> to</w:t>
      </w:r>
      <w:r w:rsidR="00680FFD">
        <w:rPr>
          <w:sz w:val="24"/>
          <w:szCs w:val="24"/>
        </w:rPr>
        <w:t xml:space="preserve"> contest</w:t>
      </w:r>
      <w:r w:rsidR="00DD4146">
        <w:rPr>
          <w:sz w:val="24"/>
          <w:szCs w:val="24"/>
        </w:rPr>
        <w:t xml:space="preserve"> the </w:t>
      </w:r>
      <w:r w:rsidR="00EC0139">
        <w:rPr>
          <w:sz w:val="24"/>
          <w:szCs w:val="24"/>
        </w:rPr>
        <w:t>proposed changes to Duquesne Light’s</w:t>
      </w:r>
      <w:r w:rsidR="00DD4146">
        <w:rPr>
          <w:sz w:val="24"/>
          <w:szCs w:val="24"/>
        </w:rPr>
        <w:t xml:space="preserve"> Tariff Rider 16</w:t>
      </w:r>
      <w:r w:rsidR="00EC0139">
        <w:rPr>
          <w:sz w:val="24"/>
          <w:szCs w:val="24"/>
        </w:rPr>
        <w:t>, in the context of Duquesne Light’s base rate proceeding (at R-2018-3000124)</w:t>
      </w:r>
      <w:r w:rsidR="00DD4146">
        <w:rPr>
          <w:sz w:val="24"/>
          <w:szCs w:val="24"/>
        </w:rPr>
        <w:t>.  Duquesne Light avers Peoples</w:t>
      </w:r>
      <w:r w:rsidRPr="00AB0043">
        <w:rPr>
          <w:sz w:val="24"/>
          <w:szCs w:val="24"/>
        </w:rPr>
        <w:t xml:space="preserve"> failed to demonstrate how </w:t>
      </w:r>
      <w:r w:rsidR="00DD4146">
        <w:rPr>
          <w:sz w:val="24"/>
          <w:szCs w:val="24"/>
        </w:rPr>
        <w:t>it</w:t>
      </w:r>
      <w:r w:rsidRPr="00AB0043">
        <w:rPr>
          <w:sz w:val="24"/>
          <w:szCs w:val="24"/>
        </w:rPr>
        <w:t xml:space="preserve"> is a “party in interest” as </w:t>
      </w:r>
      <w:r w:rsidR="00EC0139">
        <w:rPr>
          <w:sz w:val="24"/>
          <w:szCs w:val="24"/>
        </w:rPr>
        <w:t xml:space="preserve">required by </w:t>
      </w:r>
      <w:r w:rsidRPr="00AB0043">
        <w:rPr>
          <w:sz w:val="24"/>
          <w:szCs w:val="24"/>
        </w:rPr>
        <w:t xml:space="preserve">the Public Utility Code, 66 </w:t>
      </w:r>
      <w:proofErr w:type="spellStart"/>
      <w:r w:rsidRPr="00AB0043">
        <w:rPr>
          <w:sz w:val="24"/>
          <w:szCs w:val="24"/>
        </w:rPr>
        <w:t>Pa.C.S.</w:t>
      </w:r>
      <w:r w:rsidR="00D66D95">
        <w:rPr>
          <w:sz w:val="24"/>
          <w:szCs w:val="24"/>
        </w:rPr>
        <w:t>A</w:t>
      </w:r>
      <w:proofErr w:type="spellEnd"/>
      <w:r w:rsidR="00D66D95">
        <w:rPr>
          <w:sz w:val="24"/>
          <w:szCs w:val="24"/>
        </w:rPr>
        <w:t>.</w:t>
      </w:r>
      <w:r w:rsidRPr="00AB0043">
        <w:rPr>
          <w:sz w:val="24"/>
          <w:szCs w:val="24"/>
        </w:rPr>
        <w:t xml:space="preserve"> §</w:t>
      </w:r>
      <w:r w:rsidR="00D66D95">
        <w:rPr>
          <w:sz w:val="24"/>
          <w:szCs w:val="24"/>
        </w:rPr>
        <w:t xml:space="preserve"> </w:t>
      </w:r>
      <w:r w:rsidRPr="00AB0043">
        <w:rPr>
          <w:sz w:val="24"/>
          <w:szCs w:val="24"/>
        </w:rPr>
        <w:t>701, and Commission regulations.</w:t>
      </w:r>
      <w:r w:rsidR="00DD4146" w:rsidRPr="00FC59CD">
        <w:rPr>
          <w:rStyle w:val="FootnoteReference"/>
          <w:sz w:val="24"/>
          <w:szCs w:val="24"/>
          <w:vertAlign w:val="superscript"/>
        </w:rPr>
        <w:footnoteReference w:id="7"/>
      </w:r>
      <w:r w:rsidRPr="00AB0043">
        <w:rPr>
          <w:sz w:val="24"/>
          <w:szCs w:val="24"/>
        </w:rPr>
        <w:t xml:space="preserve">  The Commission traditionally require</w:t>
      </w:r>
      <w:r w:rsidR="00D66D95">
        <w:rPr>
          <w:sz w:val="24"/>
          <w:szCs w:val="24"/>
        </w:rPr>
        <w:t>s</w:t>
      </w:r>
      <w:r w:rsidRPr="00AB0043">
        <w:rPr>
          <w:sz w:val="24"/>
          <w:szCs w:val="24"/>
        </w:rPr>
        <w:t xml:space="preserve"> a party to show how its interests will be directly impacted before allowing intervention.  The term “standing” is not itself defined in either the Code or th</w:t>
      </w:r>
      <w:r w:rsidR="00EC0139">
        <w:rPr>
          <w:sz w:val="24"/>
          <w:szCs w:val="24"/>
        </w:rPr>
        <w:t>e</w:t>
      </w:r>
      <w:r w:rsidRPr="00AB0043">
        <w:rPr>
          <w:sz w:val="24"/>
          <w:szCs w:val="24"/>
        </w:rPr>
        <w:t xml:space="preserve"> Commission’s Rules of Administrative Practice and Procedure</w:t>
      </w:r>
      <w:r w:rsidR="00EB11D3">
        <w:rPr>
          <w:sz w:val="24"/>
          <w:szCs w:val="24"/>
        </w:rPr>
        <w:t xml:space="preserve"> but r</w:t>
      </w:r>
      <w:r w:rsidRPr="00AB0043">
        <w:rPr>
          <w:sz w:val="24"/>
          <w:szCs w:val="24"/>
        </w:rPr>
        <w:t>eference to civil practice provides</w:t>
      </w:r>
      <w:r w:rsidR="00EB11D3">
        <w:rPr>
          <w:sz w:val="24"/>
          <w:szCs w:val="24"/>
        </w:rPr>
        <w:t xml:space="preserve"> some</w:t>
      </w:r>
      <w:r w:rsidRPr="00AB0043">
        <w:rPr>
          <w:sz w:val="24"/>
          <w:szCs w:val="24"/>
        </w:rPr>
        <w:t xml:space="preserve"> insight.</w:t>
      </w:r>
    </w:p>
    <w:p w:rsidR="00853DE7" w:rsidRPr="00AB0043" w:rsidRDefault="00853DE7" w:rsidP="00853DE7">
      <w:pPr>
        <w:spacing w:line="360" w:lineRule="auto"/>
        <w:rPr>
          <w:sz w:val="24"/>
          <w:szCs w:val="24"/>
        </w:rPr>
      </w:pPr>
    </w:p>
    <w:p w:rsidR="00AB78C1" w:rsidRDefault="00853DE7" w:rsidP="00853DE7">
      <w:pPr>
        <w:spacing w:line="360" w:lineRule="auto"/>
        <w:rPr>
          <w:sz w:val="24"/>
          <w:szCs w:val="24"/>
        </w:rPr>
      </w:pPr>
      <w:r w:rsidRPr="00AB0043">
        <w:rPr>
          <w:sz w:val="24"/>
          <w:szCs w:val="24"/>
        </w:rPr>
        <w:tab/>
      </w:r>
      <w:r w:rsidRPr="00AB0043">
        <w:rPr>
          <w:sz w:val="24"/>
          <w:szCs w:val="24"/>
        </w:rPr>
        <w:tab/>
        <w:t>To have standing in civil practice, a party must have</w:t>
      </w:r>
      <w:r w:rsidR="00EE4E35">
        <w:rPr>
          <w:sz w:val="24"/>
          <w:szCs w:val="24"/>
        </w:rPr>
        <w:t>:</w:t>
      </w:r>
      <w:r w:rsidR="00FC59CD">
        <w:rPr>
          <w:sz w:val="24"/>
          <w:szCs w:val="24"/>
        </w:rPr>
        <w:t xml:space="preserve"> </w:t>
      </w:r>
      <w:r w:rsidR="00EE4E35">
        <w:rPr>
          <w:sz w:val="24"/>
          <w:szCs w:val="24"/>
        </w:rPr>
        <w:t xml:space="preserve"> (1)</w:t>
      </w:r>
      <w:r w:rsidRPr="00AB0043">
        <w:rPr>
          <w:sz w:val="24"/>
          <w:szCs w:val="24"/>
        </w:rPr>
        <w:t xml:space="preserve"> a substantial interest in the subject matter of the litigation</w:t>
      </w:r>
      <w:r w:rsidR="00AB78C1">
        <w:rPr>
          <w:sz w:val="24"/>
          <w:szCs w:val="24"/>
        </w:rPr>
        <w:t>; (2)</w:t>
      </w:r>
      <w:r w:rsidRPr="00AB0043">
        <w:rPr>
          <w:sz w:val="24"/>
          <w:szCs w:val="24"/>
        </w:rPr>
        <w:t xml:space="preserve"> the interest must be direct</w:t>
      </w:r>
      <w:r w:rsidR="00AB78C1">
        <w:rPr>
          <w:sz w:val="24"/>
          <w:szCs w:val="24"/>
        </w:rPr>
        <w:t>; and (3)</w:t>
      </w:r>
      <w:r w:rsidRPr="00AB0043">
        <w:rPr>
          <w:sz w:val="24"/>
          <w:szCs w:val="24"/>
        </w:rPr>
        <w:t xml:space="preserve"> the interest must be immediate and not a remote consequence.</w:t>
      </w:r>
      <w:r w:rsidR="00AB78C1" w:rsidRPr="00FC59CD">
        <w:rPr>
          <w:rStyle w:val="FootnoteReference"/>
          <w:sz w:val="24"/>
          <w:szCs w:val="24"/>
          <w:vertAlign w:val="superscript"/>
        </w:rPr>
        <w:footnoteReference w:id="8"/>
      </w:r>
      <w:r w:rsidRPr="00AB0043">
        <w:rPr>
          <w:sz w:val="24"/>
          <w:szCs w:val="24"/>
        </w:rPr>
        <w:t xml:space="preserve">  The core concept of the question of “standing” is that a person</w:t>
      </w:r>
      <w:r w:rsidR="00AB78C1">
        <w:rPr>
          <w:sz w:val="24"/>
          <w:szCs w:val="24"/>
        </w:rPr>
        <w:t xml:space="preserve"> or entity,</w:t>
      </w:r>
      <w:r w:rsidRPr="00AB0043">
        <w:rPr>
          <w:sz w:val="24"/>
          <w:szCs w:val="24"/>
        </w:rPr>
        <w:t xml:space="preserve"> who is not adversely affected in any way by the matter </w:t>
      </w:r>
      <w:r w:rsidR="00AB78C1">
        <w:rPr>
          <w:sz w:val="24"/>
          <w:szCs w:val="24"/>
        </w:rPr>
        <w:t>the person or entity seeks</w:t>
      </w:r>
      <w:r w:rsidRPr="00AB0043">
        <w:rPr>
          <w:sz w:val="24"/>
          <w:szCs w:val="24"/>
        </w:rPr>
        <w:t xml:space="preserve"> to challenge, is not “aggrieved” and</w:t>
      </w:r>
      <w:r w:rsidR="00D66D95">
        <w:rPr>
          <w:sz w:val="24"/>
          <w:szCs w:val="24"/>
        </w:rPr>
        <w:t xml:space="preserve">, accordingly, </w:t>
      </w:r>
      <w:r w:rsidRPr="00AB0043">
        <w:rPr>
          <w:sz w:val="24"/>
          <w:szCs w:val="24"/>
        </w:rPr>
        <w:t xml:space="preserve">has no standing to obtain a judicial resolution </w:t>
      </w:r>
      <w:r w:rsidR="00AB78C1">
        <w:rPr>
          <w:sz w:val="24"/>
          <w:szCs w:val="24"/>
        </w:rPr>
        <w:t>of the</w:t>
      </w:r>
      <w:r w:rsidRPr="00AB0043">
        <w:rPr>
          <w:sz w:val="24"/>
          <w:szCs w:val="24"/>
        </w:rPr>
        <w:t xml:space="preserve"> challenge.</w:t>
      </w:r>
      <w:r w:rsidR="00AB78C1" w:rsidRPr="00FC59CD">
        <w:rPr>
          <w:rStyle w:val="FootnoteReference"/>
          <w:sz w:val="24"/>
          <w:szCs w:val="24"/>
          <w:vertAlign w:val="superscript"/>
        </w:rPr>
        <w:footnoteReference w:id="9"/>
      </w:r>
      <w:r w:rsidRPr="00FC59CD">
        <w:rPr>
          <w:sz w:val="24"/>
          <w:szCs w:val="24"/>
          <w:vertAlign w:val="superscript"/>
        </w:rPr>
        <w:t xml:space="preserve"> </w:t>
      </w:r>
      <w:r w:rsidRPr="00AB0043">
        <w:rPr>
          <w:sz w:val="24"/>
          <w:szCs w:val="24"/>
        </w:rPr>
        <w:t xml:space="preserve"> </w:t>
      </w:r>
    </w:p>
    <w:p w:rsidR="00AB78C1" w:rsidRDefault="00AB78C1" w:rsidP="00853DE7">
      <w:pPr>
        <w:spacing w:line="360" w:lineRule="auto"/>
        <w:rPr>
          <w:sz w:val="24"/>
          <w:szCs w:val="24"/>
        </w:rPr>
      </w:pPr>
    </w:p>
    <w:p w:rsidR="00AB78C1" w:rsidRDefault="00853DE7" w:rsidP="00AB78C1">
      <w:pPr>
        <w:spacing w:line="360" w:lineRule="auto"/>
        <w:ind w:firstLine="1440"/>
        <w:rPr>
          <w:sz w:val="24"/>
          <w:szCs w:val="24"/>
        </w:rPr>
      </w:pPr>
      <w:r w:rsidRPr="00AB0043">
        <w:rPr>
          <w:sz w:val="24"/>
          <w:szCs w:val="24"/>
        </w:rPr>
        <w:t xml:space="preserve">The requirement of a “substantial” interest means the litigant must have some discernible adverse effect to some interest other than the abstract interest of all citizens in having others comply with the law.  The requirement that </w:t>
      </w:r>
      <w:r w:rsidR="00AB78C1">
        <w:rPr>
          <w:sz w:val="24"/>
          <w:szCs w:val="24"/>
        </w:rPr>
        <w:t>a</w:t>
      </w:r>
      <w:r w:rsidRPr="00AB0043">
        <w:rPr>
          <w:sz w:val="24"/>
          <w:szCs w:val="24"/>
        </w:rPr>
        <w:t xml:space="preserve"> litigant’s interest</w:t>
      </w:r>
      <w:r w:rsidR="00AB78C1">
        <w:rPr>
          <w:sz w:val="24"/>
          <w:szCs w:val="24"/>
        </w:rPr>
        <w:t xml:space="preserve"> must</w:t>
      </w:r>
      <w:r w:rsidRPr="00AB0043">
        <w:rPr>
          <w:sz w:val="24"/>
          <w:szCs w:val="24"/>
        </w:rPr>
        <w:t xml:space="preserve"> be “direct” simply means the person claiming to be aggrieved must show causation of harm to his/her/its interest as a matter of which he/she/it complains</w:t>
      </w:r>
      <w:r w:rsidR="00AB78C1">
        <w:rPr>
          <w:sz w:val="24"/>
          <w:szCs w:val="24"/>
        </w:rPr>
        <w:t>.</w:t>
      </w:r>
      <w:r w:rsidRPr="00AB0043">
        <w:rPr>
          <w:sz w:val="24"/>
          <w:szCs w:val="24"/>
        </w:rPr>
        <w:t xml:space="preserve">  The interest sought to be protected must be “immediate” and “not a remote consequence of the judgment</w:t>
      </w:r>
      <w:r w:rsidR="00AB78C1">
        <w:rPr>
          <w:sz w:val="24"/>
          <w:szCs w:val="24"/>
        </w:rPr>
        <w:t xml:space="preserve">.”  </w:t>
      </w:r>
    </w:p>
    <w:p w:rsidR="00AB78C1" w:rsidRDefault="00AB78C1" w:rsidP="00EB11D3">
      <w:pPr>
        <w:spacing w:line="360" w:lineRule="auto"/>
        <w:rPr>
          <w:sz w:val="24"/>
          <w:szCs w:val="24"/>
        </w:rPr>
      </w:pPr>
    </w:p>
    <w:p w:rsidR="00EB11D3" w:rsidRPr="00EB11D3" w:rsidRDefault="00EB11D3" w:rsidP="00C62622">
      <w:pPr>
        <w:spacing w:line="360" w:lineRule="auto"/>
        <w:rPr>
          <w:sz w:val="24"/>
          <w:szCs w:val="24"/>
          <w:u w:val="single"/>
        </w:rPr>
      </w:pPr>
      <w:r w:rsidRPr="00EB11D3">
        <w:rPr>
          <w:sz w:val="24"/>
          <w:szCs w:val="24"/>
          <w:u w:val="single"/>
        </w:rPr>
        <w:t>Analysis of Standing</w:t>
      </w:r>
    </w:p>
    <w:p w:rsidR="00EB11D3" w:rsidRDefault="00EB11D3" w:rsidP="00AB78C1">
      <w:pPr>
        <w:spacing w:line="360" w:lineRule="auto"/>
        <w:ind w:firstLine="1440"/>
        <w:rPr>
          <w:sz w:val="24"/>
          <w:szCs w:val="24"/>
        </w:rPr>
      </w:pPr>
    </w:p>
    <w:p w:rsidR="00EB11D3" w:rsidRDefault="00853DE7" w:rsidP="00AB78C1">
      <w:pPr>
        <w:spacing w:line="360" w:lineRule="auto"/>
        <w:ind w:firstLine="1440"/>
        <w:rPr>
          <w:sz w:val="24"/>
          <w:szCs w:val="24"/>
        </w:rPr>
      </w:pPr>
      <w:r w:rsidRPr="00AB0043">
        <w:rPr>
          <w:sz w:val="24"/>
          <w:szCs w:val="24"/>
        </w:rPr>
        <w:t xml:space="preserve">Applying these criteria to this proceeding, </w:t>
      </w:r>
      <w:r w:rsidR="00AB78C1">
        <w:rPr>
          <w:sz w:val="24"/>
          <w:szCs w:val="24"/>
        </w:rPr>
        <w:t xml:space="preserve">Peoples must show that </w:t>
      </w:r>
      <w:r w:rsidR="00D66D95">
        <w:rPr>
          <w:sz w:val="24"/>
          <w:szCs w:val="24"/>
        </w:rPr>
        <w:t xml:space="preserve">some interest Peoples currently possesses will experience </w:t>
      </w:r>
      <w:r w:rsidR="00AB78C1">
        <w:rPr>
          <w:sz w:val="24"/>
          <w:szCs w:val="24"/>
        </w:rPr>
        <w:t>a discernible adverse effect</w:t>
      </w:r>
      <w:r w:rsidR="00D66D95">
        <w:rPr>
          <w:sz w:val="24"/>
          <w:szCs w:val="24"/>
        </w:rPr>
        <w:t xml:space="preserve">.  Peoples’ </w:t>
      </w:r>
      <w:r w:rsidR="00AB78C1">
        <w:rPr>
          <w:sz w:val="24"/>
          <w:szCs w:val="24"/>
        </w:rPr>
        <w:t>interest must be more than an abstract interest</w:t>
      </w:r>
      <w:r w:rsidR="00D66D95">
        <w:rPr>
          <w:sz w:val="24"/>
          <w:szCs w:val="24"/>
        </w:rPr>
        <w:t xml:space="preserve">.  </w:t>
      </w:r>
      <w:r w:rsidR="00AB78C1">
        <w:rPr>
          <w:sz w:val="24"/>
          <w:szCs w:val="24"/>
        </w:rPr>
        <w:t>Peoples</w:t>
      </w:r>
      <w:r w:rsidR="00D66D95">
        <w:rPr>
          <w:sz w:val="24"/>
          <w:szCs w:val="24"/>
        </w:rPr>
        <w:t xml:space="preserve"> </w:t>
      </w:r>
      <w:r w:rsidR="00AB78C1">
        <w:rPr>
          <w:sz w:val="24"/>
          <w:szCs w:val="24"/>
        </w:rPr>
        <w:t xml:space="preserve">must be able to show harm </w:t>
      </w:r>
      <w:r w:rsidR="00EC0139" w:rsidRPr="00EC0139">
        <w:rPr>
          <w:sz w:val="24"/>
          <w:szCs w:val="24"/>
          <w:u w:val="single"/>
        </w:rPr>
        <w:t>to Peoples</w:t>
      </w:r>
      <w:r w:rsidR="00EC0139">
        <w:rPr>
          <w:sz w:val="24"/>
          <w:szCs w:val="24"/>
        </w:rPr>
        <w:t xml:space="preserve"> </w:t>
      </w:r>
      <w:r w:rsidR="00AB78C1">
        <w:rPr>
          <w:sz w:val="24"/>
          <w:szCs w:val="24"/>
        </w:rPr>
        <w:t>will result as a cause-effect from Duquesne Light’s proposed actions</w:t>
      </w:r>
      <w:r w:rsidR="00D66D95">
        <w:rPr>
          <w:sz w:val="24"/>
          <w:szCs w:val="24"/>
        </w:rPr>
        <w:t>.  Lastly</w:t>
      </w:r>
      <w:r w:rsidR="00AB78C1">
        <w:rPr>
          <w:sz w:val="24"/>
          <w:szCs w:val="24"/>
        </w:rPr>
        <w:t>, Peoples’ interest</w:t>
      </w:r>
      <w:r w:rsidR="00D66D95">
        <w:rPr>
          <w:sz w:val="24"/>
          <w:szCs w:val="24"/>
        </w:rPr>
        <w:t>,</w:t>
      </w:r>
      <w:r w:rsidR="00AB78C1">
        <w:rPr>
          <w:sz w:val="24"/>
          <w:szCs w:val="24"/>
        </w:rPr>
        <w:t xml:space="preserve"> which Peoples seeks to protect</w:t>
      </w:r>
      <w:r w:rsidR="00D66D95">
        <w:rPr>
          <w:sz w:val="24"/>
          <w:szCs w:val="24"/>
        </w:rPr>
        <w:t>,</w:t>
      </w:r>
      <w:r w:rsidR="00AB78C1">
        <w:rPr>
          <w:sz w:val="24"/>
          <w:szCs w:val="24"/>
        </w:rPr>
        <w:t xml:space="preserve"> must be an immediate concern.  </w:t>
      </w:r>
    </w:p>
    <w:p w:rsidR="003C1CAB" w:rsidRDefault="003C1CAB" w:rsidP="00AB78C1">
      <w:pPr>
        <w:spacing w:line="360" w:lineRule="auto"/>
        <w:ind w:firstLine="1440"/>
        <w:rPr>
          <w:sz w:val="24"/>
          <w:szCs w:val="24"/>
        </w:rPr>
      </w:pPr>
    </w:p>
    <w:p w:rsidR="00853DE7" w:rsidRPr="00AB0043" w:rsidRDefault="00AB78C1" w:rsidP="00AB78C1">
      <w:pPr>
        <w:spacing w:line="360" w:lineRule="auto"/>
        <w:ind w:firstLine="1440"/>
        <w:rPr>
          <w:sz w:val="24"/>
          <w:szCs w:val="24"/>
        </w:rPr>
      </w:pPr>
      <w:r>
        <w:rPr>
          <w:sz w:val="24"/>
          <w:szCs w:val="24"/>
        </w:rPr>
        <w:t xml:space="preserve">Applying these criteria, </w:t>
      </w:r>
      <w:r w:rsidR="00853DE7" w:rsidRPr="00AB0043">
        <w:rPr>
          <w:sz w:val="24"/>
          <w:szCs w:val="24"/>
        </w:rPr>
        <w:t xml:space="preserve">one can see </w:t>
      </w:r>
      <w:r>
        <w:rPr>
          <w:sz w:val="24"/>
          <w:szCs w:val="24"/>
        </w:rPr>
        <w:t xml:space="preserve">more clearly that Peoples’ interest </w:t>
      </w:r>
      <w:r w:rsidR="00D66D95">
        <w:rPr>
          <w:sz w:val="24"/>
          <w:szCs w:val="24"/>
        </w:rPr>
        <w:t xml:space="preserve">as an owner of a CHP enterprise is </w:t>
      </w:r>
      <w:r w:rsidR="00D66D95" w:rsidRPr="00D66D95">
        <w:rPr>
          <w:sz w:val="24"/>
          <w:szCs w:val="24"/>
          <w:u w:val="single"/>
        </w:rPr>
        <w:t>not</w:t>
      </w:r>
      <w:r>
        <w:rPr>
          <w:sz w:val="24"/>
          <w:szCs w:val="24"/>
        </w:rPr>
        <w:t xml:space="preserve"> at risk</w:t>
      </w:r>
      <w:r w:rsidR="005446D5">
        <w:rPr>
          <w:sz w:val="24"/>
          <w:szCs w:val="24"/>
        </w:rPr>
        <w:t xml:space="preserve"> because Peoples does not currently own a CHP project.  </w:t>
      </w:r>
      <w:r w:rsidR="00D66D95">
        <w:rPr>
          <w:sz w:val="24"/>
          <w:szCs w:val="24"/>
        </w:rPr>
        <w:t xml:space="preserve">Peoples’ investment as an owner in a CHP enterprise is </w:t>
      </w:r>
      <w:r w:rsidR="00D66D95" w:rsidRPr="00D66D95">
        <w:rPr>
          <w:sz w:val="24"/>
          <w:szCs w:val="24"/>
          <w:u w:val="single"/>
        </w:rPr>
        <w:t>not</w:t>
      </w:r>
      <w:r>
        <w:rPr>
          <w:sz w:val="24"/>
          <w:szCs w:val="24"/>
        </w:rPr>
        <w:t xml:space="preserve"> an immediate risk</w:t>
      </w:r>
      <w:r w:rsidR="005446D5">
        <w:rPr>
          <w:sz w:val="24"/>
          <w:szCs w:val="24"/>
        </w:rPr>
        <w:t xml:space="preserve">.  </w:t>
      </w:r>
      <w:r w:rsidR="00D66D95">
        <w:rPr>
          <w:sz w:val="24"/>
          <w:szCs w:val="24"/>
        </w:rPr>
        <w:t>Peoples may have invested sums of money to investigate and prepare to own a CHP enterprise</w:t>
      </w:r>
      <w:r w:rsidR="005446D5">
        <w:rPr>
          <w:sz w:val="24"/>
          <w:szCs w:val="24"/>
        </w:rPr>
        <w:t>, but it does not currently have an ownership interest, according to its formal complaint</w:t>
      </w:r>
      <w:r w:rsidR="00D66D95">
        <w:rPr>
          <w:sz w:val="24"/>
          <w:szCs w:val="24"/>
        </w:rPr>
        <w:t>.  I</w:t>
      </w:r>
      <w:r w:rsidR="00680FFD">
        <w:rPr>
          <w:sz w:val="24"/>
          <w:szCs w:val="24"/>
        </w:rPr>
        <w:t>f</w:t>
      </w:r>
      <w:r w:rsidR="00D66D95">
        <w:rPr>
          <w:sz w:val="24"/>
          <w:szCs w:val="24"/>
        </w:rPr>
        <w:t xml:space="preserve"> Peoples were to own a CHP enterprise, then Peoples </w:t>
      </w:r>
      <w:r w:rsidR="005446D5">
        <w:rPr>
          <w:sz w:val="24"/>
          <w:szCs w:val="24"/>
        </w:rPr>
        <w:t>could</w:t>
      </w:r>
      <w:r w:rsidR="00D66D95">
        <w:rPr>
          <w:sz w:val="24"/>
          <w:szCs w:val="24"/>
        </w:rPr>
        <w:t xml:space="preserve"> experience an adverse impact as a </w:t>
      </w:r>
      <w:r>
        <w:rPr>
          <w:sz w:val="24"/>
          <w:szCs w:val="24"/>
        </w:rPr>
        <w:t>direct result from the proposed action of Duquesne</w:t>
      </w:r>
      <w:r w:rsidR="005446D5">
        <w:rPr>
          <w:sz w:val="24"/>
          <w:szCs w:val="24"/>
        </w:rPr>
        <w:t xml:space="preserve"> Light</w:t>
      </w:r>
      <w:r w:rsidR="00D66D95">
        <w:rPr>
          <w:sz w:val="24"/>
          <w:szCs w:val="24"/>
        </w:rPr>
        <w:t xml:space="preserve">, but that factual scenario was not alleged by Peoples.  When viewing all the facts as averred by Peoples </w:t>
      </w:r>
      <w:proofErr w:type="gramStart"/>
      <w:r w:rsidR="00D66D95">
        <w:rPr>
          <w:sz w:val="24"/>
          <w:szCs w:val="24"/>
        </w:rPr>
        <w:t>in light of</w:t>
      </w:r>
      <w:proofErr w:type="gramEnd"/>
      <w:r w:rsidR="00D66D95">
        <w:rPr>
          <w:sz w:val="24"/>
          <w:szCs w:val="24"/>
        </w:rPr>
        <w:t xml:space="preserve"> the requirements to prove standing</w:t>
      </w:r>
      <w:r>
        <w:rPr>
          <w:sz w:val="24"/>
          <w:szCs w:val="24"/>
        </w:rPr>
        <w:t xml:space="preserve">, Peoples </w:t>
      </w:r>
      <w:r w:rsidR="00D66D95">
        <w:rPr>
          <w:sz w:val="24"/>
          <w:szCs w:val="24"/>
        </w:rPr>
        <w:t>does not have</w:t>
      </w:r>
      <w:r>
        <w:rPr>
          <w:sz w:val="24"/>
          <w:szCs w:val="24"/>
        </w:rPr>
        <w:t xml:space="preserve"> </w:t>
      </w:r>
      <w:r w:rsidR="00853DE7" w:rsidRPr="00AB0043">
        <w:rPr>
          <w:sz w:val="24"/>
          <w:szCs w:val="24"/>
        </w:rPr>
        <w:t xml:space="preserve">standing to </w:t>
      </w:r>
      <w:r w:rsidR="00680FFD">
        <w:rPr>
          <w:sz w:val="24"/>
          <w:szCs w:val="24"/>
        </w:rPr>
        <w:t>contest Tariff Rider No. 16.</w:t>
      </w:r>
    </w:p>
    <w:p w:rsidR="00AB7499" w:rsidRDefault="00AB7499" w:rsidP="00317CD9">
      <w:pPr>
        <w:spacing w:line="360" w:lineRule="auto"/>
        <w:ind w:firstLine="1440"/>
        <w:rPr>
          <w:sz w:val="24"/>
          <w:szCs w:val="24"/>
        </w:rPr>
      </w:pPr>
    </w:p>
    <w:p w:rsidR="0041302C" w:rsidRDefault="00DA4945" w:rsidP="00142CAE">
      <w:pPr>
        <w:widowControl w:val="0"/>
        <w:autoSpaceDE w:val="0"/>
        <w:autoSpaceDN w:val="0"/>
        <w:adjustRightInd w:val="0"/>
        <w:spacing w:line="360" w:lineRule="auto"/>
        <w:ind w:firstLine="1440"/>
        <w:rPr>
          <w:color w:val="000000"/>
          <w:w w:val="106"/>
          <w:sz w:val="24"/>
          <w:szCs w:val="24"/>
        </w:rPr>
      </w:pPr>
      <w:r>
        <w:rPr>
          <w:sz w:val="24"/>
          <w:szCs w:val="24"/>
        </w:rPr>
        <w:t>A</w:t>
      </w:r>
      <w:r w:rsidR="003C0A9A">
        <w:rPr>
          <w:color w:val="000000"/>
          <w:w w:val="106"/>
          <w:sz w:val="24"/>
          <w:szCs w:val="24"/>
        </w:rPr>
        <w:t xml:space="preserve">ccepting as true all well-pleaded facts in </w:t>
      </w:r>
      <w:r w:rsidR="005A5DAC">
        <w:rPr>
          <w:color w:val="000000"/>
          <w:w w:val="106"/>
          <w:sz w:val="24"/>
          <w:szCs w:val="24"/>
        </w:rPr>
        <w:t>Peoples’</w:t>
      </w:r>
      <w:r w:rsidR="003C0A9A">
        <w:rPr>
          <w:color w:val="000000"/>
          <w:w w:val="106"/>
          <w:sz w:val="24"/>
          <w:szCs w:val="24"/>
        </w:rPr>
        <w:t xml:space="preserve"> complaint, I </w:t>
      </w:r>
      <w:r w:rsidR="00806222">
        <w:rPr>
          <w:color w:val="000000"/>
          <w:w w:val="106"/>
          <w:sz w:val="24"/>
          <w:szCs w:val="24"/>
        </w:rPr>
        <w:t xml:space="preserve">find </w:t>
      </w:r>
      <w:r w:rsidR="005A5DAC">
        <w:rPr>
          <w:color w:val="000000"/>
          <w:w w:val="106"/>
          <w:sz w:val="24"/>
          <w:szCs w:val="24"/>
        </w:rPr>
        <w:t>Peoples</w:t>
      </w:r>
      <w:r w:rsidR="003C0A9A">
        <w:rPr>
          <w:color w:val="000000"/>
          <w:w w:val="106"/>
          <w:sz w:val="24"/>
          <w:szCs w:val="24"/>
        </w:rPr>
        <w:t xml:space="preserve"> </w:t>
      </w:r>
      <w:r w:rsidR="00D66D95">
        <w:rPr>
          <w:color w:val="000000"/>
          <w:w w:val="106"/>
          <w:sz w:val="24"/>
          <w:szCs w:val="24"/>
        </w:rPr>
        <w:t xml:space="preserve">did not </w:t>
      </w:r>
      <w:r w:rsidR="003C0A9A">
        <w:rPr>
          <w:color w:val="000000"/>
          <w:w w:val="106"/>
          <w:sz w:val="24"/>
          <w:szCs w:val="24"/>
        </w:rPr>
        <w:t>allege sufficient facts that</w:t>
      </w:r>
      <w:r w:rsidR="003C0A9A" w:rsidRPr="005446D5">
        <w:rPr>
          <w:color w:val="000000"/>
          <w:w w:val="106"/>
          <w:sz w:val="24"/>
          <w:szCs w:val="24"/>
        </w:rPr>
        <w:t>, if proven</w:t>
      </w:r>
      <w:r w:rsidR="003C0A9A">
        <w:rPr>
          <w:color w:val="000000"/>
          <w:w w:val="106"/>
          <w:sz w:val="24"/>
          <w:szCs w:val="24"/>
        </w:rPr>
        <w:t xml:space="preserve">, </w:t>
      </w:r>
      <w:r w:rsidR="00D66D95">
        <w:rPr>
          <w:color w:val="000000"/>
          <w:w w:val="106"/>
          <w:sz w:val="24"/>
          <w:szCs w:val="24"/>
        </w:rPr>
        <w:t>would</w:t>
      </w:r>
      <w:r w:rsidR="003C0A9A">
        <w:rPr>
          <w:color w:val="000000"/>
          <w:w w:val="106"/>
          <w:sz w:val="24"/>
          <w:szCs w:val="24"/>
        </w:rPr>
        <w:t xml:space="preserve"> justify </w:t>
      </w:r>
      <w:r w:rsidR="00142CAE">
        <w:rPr>
          <w:color w:val="000000"/>
          <w:w w:val="106"/>
          <w:sz w:val="24"/>
          <w:szCs w:val="24"/>
        </w:rPr>
        <w:t>the issuance of</w:t>
      </w:r>
      <w:r w:rsidR="00806222">
        <w:rPr>
          <w:color w:val="000000"/>
          <w:w w:val="106"/>
          <w:sz w:val="24"/>
          <w:szCs w:val="24"/>
        </w:rPr>
        <w:t xml:space="preserve"> an Initial Decision </w:t>
      </w:r>
      <w:r w:rsidR="005446D5">
        <w:rPr>
          <w:color w:val="000000"/>
          <w:w w:val="106"/>
          <w:sz w:val="24"/>
          <w:szCs w:val="24"/>
        </w:rPr>
        <w:t xml:space="preserve">against </w:t>
      </w:r>
      <w:r w:rsidR="005A5DAC">
        <w:rPr>
          <w:color w:val="000000"/>
          <w:w w:val="106"/>
          <w:sz w:val="24"/>
          <w:szCs w:val="24"/>
        </w:rPr>
        <w:t>Duquesne Light</w:t>
      </w:r>
      <w:r w:rsidR="005446D5">
        <w:rPr>
          <w:color w:val="000000"/>
          <w:w w:val="106"/>
          <w:sz w:val="24"/>
          <w:szCs w:val="24"/>
        </w:rPr>
        <w:t xml:space="preserve"> for failure</w:t>
      </w:r>
      <w:r>
        <w:rPr>
          <w:color w:val="000000"/>
          <w:w w:val="106"/>
          <w:sz w:val="24"/>
          <w:szCs w:val="24"/>
        </w:rPr>
        <w:t xml:space="preserve"> to provide adequate </w:t>
      </w:r>
      <w:r w:rsidR="00806222">
        <w:rPr>
          <w:color w:val="000000"/>
          <w:w w:val="106"/>
          <w:sz w:val="24"/>
          <w:szCs w:val="24"/>
        </w:rPr>
        <w:t xml:space="preserve">and reasonable </w:t>
      </w:r>
      <w:r w:rsidR="00142CAE">
        <w:rPr>
          <w:color w:val="000000"/>
          <w:w w:val="106"/>
          <w:sz w:val="24"/>
          <w:szCs w:val="24"/>
        </w:rPr>
        <w:t xml:space="preserve">electric </w:t>
      </w:r>
      <w:r w:rsidR="00381526">
        <w:rPr>
          <w:color w:val="000000"/>
          <w:w w:val="106"/>
          <w:sz w:val="24"/>
          <w:szCs w:val="24"/>
        </w:rPr>
        <w:t xml:space="preserve">service and to comply with </w:t>
      </w:r>
      <w:r w:rsidR="00F01703">
        <w:rPr>
          <w:color w:val="000000"/>
          <w:w w:val="106"/>
          <w:sz w:val="24"/>
          <w:szCs w:val="24"/>
        </w:rPr>
        <w:t xml:space="preserve">the </w:t>
      </w:r>
      <w:r w:rsidR="00487BC4">
        <w:rPr>
          <w:color w:val="000000"/>
          <w:w w:val="106"/>
          <w:sz w:val="24"/>
          <w:szCs w:val="24"/>
        </w:rPr>
        <w:t>Commission</w:t>
      </w:r>
      <w:r w:rsidR="00F01703">
        <w:rPr>
          <w:color w:val="000000"/>
          <w:w w:val="106"/>
          <w:sz w:val="24"/>
          <w:szCs w:val="24"/>
        </w:rPr>
        <w:t>’s</w:t>
      </w:r>
      <w:r w:rsidR="00487BC4">
        <w:rPr>
          <w:color w:val="000000"/>
          <w:w w:val="106"/>
          <w:sz w:val="24"/>
          <w:szCs w:val="24"/>
        </w:rPr>
        <w:t xml:space="preserve"> regulations</w:t>
      </w:r>
      <w:r w:rsidR="00680FFD">
        <w:rPr>
          <w:color w:val="000000"/>
          <w:w w:val="106"/>
          <w:sz w:val="24"/>
          <w:szCs w:val="24"/>
        </w:rPr>
        <w:t xml:space="preserve"> concerning Tariff Rider No</w:t>
      </w:r>
      <w:r w:rsidR="00D94D1F">
        <w:rPr>
          <w:color w:val="000000"/>
          <w:w w:val="106"/>
          <w:sz w:val="24"/>
          <w:szCs w:val="24"/>
        </w:rPr>
        <w:t>.</w:t>
      </w:r>
      <w:r w:rsidR="00680FFD">
        <w:rPr>
          <w:color w:val="000000"/>
          <w:w w:val="106"/>
          <w:sz w:val="24"/>
          <w:szCs w:val="24"/>
        </w:rPr>
        <w:t xml:space="preserve"> 16</w:t>
      </w:r>
      <w:r w:rsidR="00806222">
        <w:rPr>
          <w:color w:val="000000"/>
          <w:w w:val="106"/>
          <w:sz w:val="24"/>
          <w:szCs w:val="24"/>
        </w:rPr>
        <w:t xml:space="preserve">.  </w:t>
      </w:r>
      <w:r w:rsidR="001C00E9">
        <w:rPr>
          <w:color w:val="000000"/>
          <w:w w:val="106"/>
          <w:sz w:val="24"/>
          <w:szCs w:val="24"/>
        </w:rPr>
        <w:t xml:space="preserve">Therefore, there is </w:t>
      </w:r>
      <w:r w:rsidR="00487BC4">
        <w:rPr>
          <w:color w:val="000000"/>
          <w:w w:val="106"/>
          <w:sz w:val="24"/>
          <w:szCs w:val="24"/>
        </w:rPr>
        <w:t>in</w:t>
      </w:r>
      <w:r w:rsidR="001C00E9">
        <w:rPr>
          <w:color w:val="000000"/>
          <w:w w:val="106"/>
          <w:sz w:val="24"/>
          <w:szCs w:val="24"/>
        </w:rPr>
        <w:t xml:space="preserve">sufficient basis to </w:t>
      </w:r>
      <w:r w:rsidR="00C52B7B">
        <w:rPr>
          <w:color w:val="000000"/>
          <w:w w:val="106"/>
          <w:sz w:val="24"/>
          <w:szCs w:val="24"/>
        </w:rPr>
        <w:t>provide</w:t>
      </w:r>
      <w:r w:rsidR="001C00E9">
        <w:rPr>
          <w:color w:val="000000"/>
          <w:w w:val="106"/>
          <w:sz w:val="24"/>
          <w:szCs w:val="24"/>
        </w:rPr>
        <w:t xml:space="preserve"> </w:t>
      </w:r>
      <w:r w:rsidR="00C52B7B">
        <w:rPr>
          <w:color w:val="000000"/>
          <w:w w:val="106"/>
          <w:sz w:val="24"/>
          <w:szCs w:val="24"/>
        </w:rPr>
        <w:t>an opportunity to</w:t>
      </w:r>
      <w:r w:rsidR="005A5DAC">
        <w:rPr>
          <w:color w:val="000000"/>
          <w:w w:val="106"/>
          <w:sz w:val="24"/>
          <w:szCs w:val="24"/>
        </w:rPr>
        <w:t xml:space="preserve"> Peoples</w:t>
      </w:r>
      <w:r w:rsidR="005446D5">
        <w:rPr>
          <w:color w:val="000000"/>
          <w:w w:val="106"/>
          <w:sz w:val="24"/>
          <w:szCs w:val="24"/>
        </w:rPr>
        <w:t xml:space="preserve"> </w:t>
      </w:r>
      <w:r w:rsidR="001C00E9">
        <w:rPr>
          <w:color w:val="000000"/>
          <w:w w:val="106"/>
          <w:sz w:val="24"/>
          <w:szCs w:val="24"/>
        </w:rPr>
        <w:t xml:space="preserve">to proceed with </w:t>
      </w:r>
      <w:r w:rsidR="005A5DAC">
        <w:rPr>
          <w:color w:val="000000"/>
          <w:w w:val="106"/>
          <w:sz w:val="24"/>
          <w:szCs w:val="24"/>
        </w:rPr>
        <w:t>its formal</w:t>
      </w:r>
      <w:r w:rsidR="001C00E9">
        <w:rPr>
          <w:color w:val="000000"/>
          <w:w w:val="106"/>
          <w:sz w:val="24"/>
          <w:szCs w:val="24"/>
        </w:rPr>
        <w:t xml:space="preserve"> complaint</w:t>
      </w:r>
      <w:r w:rsidR="00D94D1F">
        <w:rPr>
          <w:color w:val="000000"/>
          <w:w w:val="106"/>
          <w:sz w:val="24"/>
          <w:szCs w:val="24"/>
        </w:rPr>
        <w:t xml:space="preserve"> as it relates to Tariff Rider No. 16.  In all other regards, Peoples has standing as a customer to participate in the base rate proceeding and its formal complaint is included in the base rate proceeding because Duquesne Light did not request dismissal of the entire complaint</w:t>
      </w:r>
      <w:r w:rsidR="001C00E9">
        <w:rPr>
          <w:color w:val="000000"/>
          <w:w w:val="106"/>
          <w:sz w:val="24"/>
          <w:szCs w:val="24"/>
        </w:rPr>
        <w:t>.</w:t>
      </w:r>
      <w:r w:rsidR="001F75E9">
        <w:rPr>
          <w:color w:val="000000"/>
          <w:w w:val="106"/>
          <w:sz w:val="24"/>
          <w:szCs w:val="24"/>
        </w:rPr>
        <w:t xml:space="preserve">  </w:t>
      </w:r>
      <w:r w:rsidR="00A7021A">
        <w:rPr>
          <w:color w:val="000000"/>
          <w:w w:val="106"/>
          <w:sz w:val="24"/>
          <w:szCs w:val="24"/>
        </w:rPr>
        <w:t xml:space="preserve">The </w:t>
      </w:r>
      <w:r w:rsidR="005A5DAC">
        <w:rPr>
          <w:color w:val="000000"/>
          <w:w w:val="106"/>
          <w:sz w:val="24"/>
          <w:szCs w:val="24"/>
        </w:rPr>
        <w:t xml:space="preserve">Motion for </w:t>
      </w:r>
      <w:r w:rsidR="00767194">
        <w:rPr>
          <w:color w:val="000000"/>
          <w:w w:val="106"/>
          <w:sz w:val="24"/>
          <w:szCs w:val="24"/>
        </w:rPr>
        <w:t xml:space="preserve">Partial </w:t>
      </w:r>
      <w:r w:rsidR="005A5DAC">
        <w:rPr>
          <w:color w:val="000000"/>
          <w:w w:val="106"/>
          <w:sz w:val="24"/>
          <w:szCs w:val="24"/>
        </w:rPr>
        <w:t>Judgment on the Pleadings</w:t>
      </w:r>
      <w:r w:rsidR="001F75E9">
        <w:rPr>
          <w:color w:val="000000"/>
          <w:w w:val="106"/>
          <w:sz w:val="24"/>
          <w:szCs w:val="24"/>
        </w:rPr>
        <w:t xml:space="preserve"> is </w:t>
      </w:r>
      <w:r w:rsidR="00487BC4">
        <w:rPr>
          <w:color w:val="000000"/>
          <w:w w:val="106"/>
          <w:sz w:val="24"/>
          <w:szCs w:val="24"/>
        </w:rPr>
        <w:t>granted</w:t>
      </w:r>
      <w:r w:rsidR="001F75E9">
        <w:rPr>
          <w:color w:val="000000"/>
          <w:w w:val="106"/>
          <w:sz w:val="24"/>
          <w:szCs w:val="24"/>
        </w:rPr>
        <w:t xml:space="preserve"> in the ordering paragraph</w:t>
      </w:r>
      <w:r w:rsidR="00A7021A">
        <w:rPr>
          <w:color w:val="000000"/>
          <w:w w:val="106"/>
          <w:sz w:val="24"/>
          <w:szCs w:val="24"/>
        </w:rPr>
        <w:t>s</w:t>
      </w:r>
      <w:r w:rsidR="001F75E9">
        <w:rPr>
          <w:color w:val="000000"/>
          <w:w w:val="106"/>
          <w:sz w:val="24"/>
          <w:szCs w:val="24"/>
        </w:rPr>
        <w:t xml:space="preserve"> below.</w:t>
      </w:r>
    </w:p>
    <w:p w:rsidR="005446D5" w:rsidRDefault="005446D5" w:rsidP="00E93DE8">
      <w:pPr>
        <w:spacing w:line="360" w:lineRule="auto"/>
        <w:jc w:val="center"/>
        <w:rPr>
          <w:sz w:val="24"/>
          <w:szCs w:val="24"/>
          <w:u w:val="single"/>
        </w:rPr>
      </w:pPr>
    </w:p>
    <w:p w:rsidR="001F7583" w:rsidRDefault="001F7583" w:rsidP="00E93DE8">
      <w:pPr>
        <w:spacing w:line="360" w:lineRule="auto"/>
        <w:jc w:val="center"/>
        <w:rPr>
          <w:sz w:val="24"/>
          <w:szCs w:val="24"/>
        </w:rPr>
      </w:pPr>
      <w:r>
        <w:rPr>
          <w:sz w:val="24"/>
          <w:szCs w:val="24"/>
          <w:u w:val="single"/>
        </w:rPr>
        <w:t>CONCLUSIONS OF LAW</w:t>
      </w:r>
    </w:p>
    <w:p w:rsidR="001F7583" w:rsidRDefault="001F7583" w:rsidP="00FB2C03">
      <w:pPr>
        <w:spacing w:line="360" w:lineRule="auto"/>
        <w:rPr>
          <w:sz w:val="24"/>
          <w:szCs w:val="24"/>
        </w:rPr>
      </w:pPr>
    </w:p>
    <w:p w:rsidR="001F7583" w:rsidRDefault="00EA11E4" w:rsidP="00FB2C03">
      <w:pPr>
        <w:spacing w:line="360" w:lineRule="auto"/>
        <w:ind w:firstLine="1440"/>
        <w:rPr>
          <w:sz w:val="24"/>
          <w:szCs w:val="24"/>
        </w:rPr>
      </w:pPr>
      <w:r>
        <w:rPr>
          <w:sz w:val="24"/>
          <w:szCs w:val="24"/>
        </w:rPr>
        <w:t>1.</w:t>
      </w:r>
      <w:r>
        <w:rPr>
          <w:sz w:val="24"/>
          <w:szCs w:val="24"/>
        </w:rPr>
        <w:tab/>
      </w:r>
      <w:r w:rsidR="001F7583">
        <w:rPr>
          <w:sz w:val="24"/>
          <w:szCs w:val="24"/>
        </w:rPr>
        <w:t>The Commission has jurisdiction o</w:t>
      </w:r>
      <w:r w:rsidR="005D0C21">
        <w:rPr>
          <w:sz w:val="24"/>
          <w:szCs w:val="24"/>
        </w:rPr>
        <w:t xml:space="preserve">ver the parties to this dispute and </w:t>
      </w:r>
      <w:r w:rsidR="001F7583">
        <w:rPr>
          <w:sz w:val="24"/>
          <w:szCs w:val="24"/>
        </w:rPr>
        <w:t xml:space="preserve">over the subject matter of this dispute </w:t>
      </w:r>
      <w:r w:rsidR="003D61AD">
        <w:rPr>
          <w:sz w:val="24"/>
          <w:szCs w:val="24"/>
        </w:rPr>
        <w:t xml:space="preserve">to the extent </w:t>
      </w:r>
      <w:r>
        <w:rPr>
          <w:sz w:val="24"/>
          <w:szCs w:val="24"/>
        </w:rPr>
        <w:t xml:space="preserve">the </w:t>
      </w:r>
      <w:r w:rsidR="005446D5">
        <w:rPr>
          <w:sz w:val="24"/>
          <w:szCs w:val="24"/>
        </w:rPr>
        <w:t xml:space="preserve">formal </w:t>
      </w:r>
      <w:r>
        <w:rPr>
          <w:sz w:val="24"/>
          <w:szCs w:val="24"/>
        </w:rPr>
        <w:t>complaint</w:t>
      </w:r>
      <w:r w:rsidR="001F7583">
        <w:rPr>
          <w:sz w:val="24"/>
          <w:szCs w:val="24"/>
        </w:rPr>
        <w:t xml:space="preserve"> involve</w:t>
      </w:r>
      <w:r w:rsidR="00B27948">
        <w:rPr>
          <w:sz w:val="24"/>
          <w:szCs w:val="24"/>
        </w:rPr>
        <w:t>s</w:t>
      </w:r>
      <w:r w:rsidR="001F7583">
        <w:rPr>
          <w:sz w:val="24"/>
          <w:szCs w:val="24"/>
        </w:rPr>
        <w:t xml:space="preserve"> </w:t>
      </w:r>
      <w:r w:rsidR="003D61AD">
        <w:rPr>
          <w:sz w:val="24"/>
          <w:szCs w:val="24"/>
        </w:rPr>
        <w:t xml:space="preserve">allegations of a failure by Respondent to provide </w:t>
      </w:r>
      <w:r w:rsidR="003D61AD">
        <w:rPr>
          <w:color w:val="000000"/>
          <w:w w:val="106"/>
          <w:sz w:val="24"/>
          <w:szCs w:val="24"/>
        </w:rPr>
        <w:t>adequate, efficient, safe and</w:t>
      </w:r>
      <w:r w:rsidR="00450AB9">
        <w:rPr>
          <w:color w:val="000000"/>
          <w:w w:val="106"/>
          <w:sz w:val="24"/>
          <w:szCs w:val="24"/>
        </w:rPr>
        <w:t xml:space="preserve"> reasonable </w:t>
      </w:r>
      <w:r w:rsidR="00955068">
        <w:rPr>
          <w:color w:val="000000"/>
          <w:w w:val="106"/>
          <w:sz w:val="24"/>
          <w:szCs w:val="24"/>
        </w:rPr>
        <w:t>electric</w:t>
      </w:r>
      <w:r w:rsidR="00450AB9">
        <w:rPr>
          <w:color w:val="000000"/>
          <w:w w:val="106"/>
          <w:sz w:val="24"/>
          <w:szCs w:val="24"/>
        </w:rPr>
        <w:t xml:space="preserve"> service </w:t>
      </w:r>
      <w:r w:rsidR="003D61AD">
        <w:rPr>
          <w:color w:val="000000"/>
          <w:w w:val="106"/>
          <w:sz w:val="24"/>
          <w:szCs w:val="24"/>
        </w:rPr>
        <w:t xml:space="preserve">pursuant to </w:t>
      </w:r>
      <w:r w:rsidR="00450AB9">
        <w:rPr>
          <w:color w:val="000000"/>
          <w:w w:val="106"/>
          <w:sz w:val="24"/>
          <w:szCs w:val="24"/>
        </w:rPr>
        <w:t>66</w:t>
      </w:r>
      <w:r w:rsidR="0022202D">
        <w:rPr>
          <w:color w:val="000000"/>
          <w:w w:val="106"/>
          <w:sz w:val="24"/>
          <w:szCs w:val="24"/>
        </w:rPr>
        <w:t> </w:t>
      </w:r>
      <w:proofErr w:type="spellStart"/>
      <w:r w:rsidR="00450AB9">
        <w:rPr>
          <w:color w:val="000000"/>
          <w:w w:val="106"/>
          <w:sz w:val="24"/>
          <w:szCs w:val="24"/>
        </w:rPr>
        <w:t>Pa.C.S.A</w:t>
      </w:r>
      <w:proofErr w:type="spellEnd"/>
      <w:r w:rsidR="00450AB9">
        <w:rPr>
          <w:color w:val="000000"/>
          <w:w w:val="106"/>
          <w:sz w:val="24"/>
          <w:szCs w:val="24"/>
        </w:rPr>
        <w:t>. §</w:t>
      </w:r>
      <w:r w:rsidR="00585752">
        <w:rPr>
          <w:color w:val="000000"/>
          <w:w w:val="106"/>
          <w:sz w:val="24"/>
          <w:szCs w:val="24"/>
        </w:rPr>
        <w:t xml:space="preserve"> </w:t>
      </w:r>
      <w:r w:rsidR="00450AB9">
        <w:rPr>
          <w:color w:val="000000"/>
          <w:w w:val="106"/>
          <w:sz w:val="24"/>
          <w:szCs w:val="24"/>
        </w:rPr>
        <w:t>1501.</w:t>
      </w:r>
    </w:p>
    <w:p w:rsidR="001F7583" w:rsidRDefault="001F7583" w:rsidP="00FB2C03">
      <w:pPr>
        <w:spacing w:line="360" w:lineRule="auto"/>
        <w:ind w:firstLine="1440"/>
        <w:rPr>
          <w:sz w:val="24"/>
          <w:szCs w:val="24"/>
        </w:rPr>
      </w:pPr>
    </w:p>
    <w:p w:rsidR="001F7583" w:rsidRPr="005446D5" w:rsidRDefault="005D0C21" w:rsidP="00FB2C03">
      <w:pPr>
        <w:spacing w:line="360" w:lineRule="auto"/>
        <w:ind w:firstLine="1440"/>
        <w:rPr>
          <w:sz w:val="24"/>
          <w:szCs w:val="24"/>
        </w:rPr>
      </w:pPr>
      <w:r>
        <w:rPr>
          <w:sz w:val="24"/>
          <w:szCs w:val="24"/>
        </w:rPr>
        <w:t>2</w:t>
      </w:r>
      <w:r w:rsidR="00DA4945">
        <w:rPr>
          <w:sz w:val="24"/>
          <w:szCs w:val="24"/>
        </w:rPr>
        <w:t>.</w:t>
      </w:r>
      <w:r w:rsidR="00DA4945">
        <w:rPr>
          <w:sz w:val="24"/>
          <w:szCs w:val="24"/>
        </w:rPr>
        <w:tab/>
      </w:r>
      <w:r w:rsidR="001F7583">
        <w:rPr>
          <w:sz w:val="24"/>
          <w:szCs w:val="24"/>
        </w:rPr>
        <w:t xml:space="preserve"> </w:t>
      </w:r>
      <w:r w:rsidR="005446D5">
        <w:rPr>
          <w:sz w:val="24"/>
          <w:szCs w:val="24"/>
        </w:rPr>
        <w:t xml:space="preserve">The </w:t>
      </w:r>
      <w:r w:rsidR="005446D5" w:rsidRPr="006B57A8">
        <w:rPr>
          <w:sz w:val="24"/>
          <w:szCs w:val="24"/>
        </w:rPr>
        <w:t>Commission’s Rules of Administrative Practice and Procedure permit the filing of a Motion for Judgment on the Pleadings</w:t>
      </w:r>
      <w:r w:rsidR="005446D5">
        <w:rPr>
          <w:sz w:val="24"/>
          <w:szCs w:val="24"/>
        </w:rPr>
        <w:t xml:space="preserve"> which questions the adequacy of the formal complaint, provided the </w:t>
      </w:r>
      <w:r w:rsidR="005446D5" w:rsidRPr="00DD4146">
        <w:rPr>
          <w:sz w:val="24"/>
          <w:szCs w:val="24"/>
        </w:rPr>
        <w:t xml:space="preserve">filing is made </w:t>
      </w:r>
      <w:r w:rsidR="005446D5" w:rsidRPr="00DD4146">
        <w:rPr>
          <w:color w:val="000000"/>
          <w:w w:val="107"/>
          <w:sz w:val="24"/>
          <w:szCs w:val="24"/>
        </w:rPr>
        <w:t>after the pleadings are closed but within such time as to not delay a hearing</w:t>
      </w:r>
      <w:r w:rsidR="005446D5" w:rsidRPr="006B57A8">
        <w:rPr>
          <w:sz w:val="24"/>
          <w:szCs w:val="24"/>
        </w:rPr>
        <w:t xml:space="preserve">.  52 </w:t>
      </w:r>
      <w:proofErr w:type="spellStart"/>
      <w:proofErr w:type="gramStart"/>
      <w:r w:rsidR="005446D5" w:rsidRPr="006B57A8">
        <w:rPr>
          <w:sz w:val="24"/>
          <w:szCs w:val="24"/>
        </w:rPr>
        <w:t>Pa.Code</w:t>
      </w:r>
      <w:proofErr w:type="spellEnd"/>
      <w:proofErr w:type="gramEnd"/>
      <w:r w:rsidR="005446D5" w:rsidRPr="006B57A8">
        <w:rPr>
          <w:sz w:val="24"/>
          <w:szCs w:val="24"/>
        </w:rPr>
        <w:t xml:space="preserve"> § </w:t>
      </w:r>
      <w:r w:rsidR="005446D5">
        <w:rPr>
          <w:sz w:val="24"/>
          <w:szCs w:val="24"/>
        </w:rPr>
        <w:t>5.102(a).</w:t>
      </w:r>
    </w:p>
    <w:p w:rsidR="003D61AD" w:rsidRPr="005446D5" w:rsidRDefault="003D61AD" w:rsidP="00FB2C03">
      <w:pPr>
        <w:spacing w:line="360" w:lineRule="auto"/>
        <w:ind w:firstLine="1440"/>
        <w:rPr>
          <w:sz w:val="24"/>
          <w:szCs w:val="24"/>
        </w:rPr>
      </w:pPr>
    </w:p>
    <w:p w:rsidR="003D61AD" w:rsidRDefault="005D0C21" w:rsidP="00FB2C03">
      <w:pPr>
        <w:spacing w:line="360" w:lineRule="auto"/>
        <w:ind w:firstLine="1440"/>
        <w:rPr>
          <w:sz w:val="24"/>
          <w:szCs w:val="24"/>
        </w:rPr>
      </w:pPr>
      <w:r>
        <w:rPr>
          <w:sz w:val="24"/>
          <w:szCs w:val="24"/>
        </w:rPr>
        <w:t>3</w:t>
      </w:r>
      <w:r w:rsidR="003D61AD">
        <w:rPr>
          <w:sz w:val="24"/>
          <w:szCs w:val="24"/>
        </w:rPr>
        <w:t>.</w:t>
      </w:r>
      <w:r w:rsidR="003D61AD">
        <w:rPr>
          <w:sz w:val="24"/>
          <w:szCs w:val="24"/>
        </w:rPr>
        <w:tab/>
      </w:r>
      <w:r w:rsidR="005446D5" w:rsidRPr="005446D5">
        <w:rPr>
          <w:sz w:val="24"/>
          <w:szCs w:val="24"/>
        </w:rPr>
        <w:t xml:space="preserve">The core concept of the question of “standing” is that a person or entity, who is not adversely affected in any way by the matter the person or entity seeks to challenge, is not “aggrieved” and, accordingly, has no standing to obtain a judicial resolution of the challenge.  </w:t>
      </w:r>
      <w:r w:rsidR="005446D5" w:rsidRPr="00FC59CD">
        <w:rPr>
          <w:i/>
          <w:sz w:val="24"/>
          <w:szCs w:val="24"/>
        </w:rPr>
        <w:t>Wm. Penn Parking Garage, Inc. v. City of Pittsburgh</w:t>
      </w:r>
      <w:r w:rsidR="005446D5" w:rsidRPr="005446D5">
        <w:rPr>
          <w:sz w:val="24"/>
          <w:szCs w:val="24"/>
        </w:rPr>
        <w:t>, 464 Pa. 168, 346 A.2d 269 (1975).</w:t>
      </w:r>
    </w:p>
    <w:p w:rsidR="005D0C21" w:rsidRDefault="005D0C21" w:rsidP="003D61AD">
      <w:pPr>
        <w:spacing w:line="360" w:lineRule="auto"/>
        <w:rPr>
          <w:sz w:val="24"/>
          <w:szCs w:val="24"/>
        </w:rPr>
      </w:pPr>
      <w:r>
        <w:rPr>
          <w:sz w:val="24"/>
          <w:szCs w:val="24"/>
        </w:rPr>
        <w:tab/>
      </w:r>
      <w:r>
        <w:rPr>
          <w:sz w:val="24"/>
          <w:szCs w:val="24"/>
        </w:rPr>
        <w:tab/>
        <w:t>4</w:t>
      </w:r>
      <w:r w:rsidR="003D61AD">
        <w:rPr>
          <w:sz w:val="24"/>
          <w:szCs w:val="24"/>
        </w:rPr>
        <w:t>.</w:t>
      </w:r>
      <w:r w:rsidR="003D61AD">
        <w:rPr>
          <w:sz w:val="24"/>
          <w:szCs w:val="24"/>
        </w:rPr>
        <w:tab/>
      </w:r>
      <w:r w:rsidR="00A7021A">
        <w:rPr>
          <w:sz w:val="24"/>
          <w:szCs w:val="24"/>
        </w:rPr>
        <w:t xml:space="preserve">The formal complaint </w:t>
      </w:r>
      <w:r w:rsidR="005446D5">
        <w:rPr>
          <w:sz w:val="24"/>
          <w:szCs w:val="24"/>
        </w:rPr>
        <w:t xml:space="preserve">of Peoples Natural Gas Company LLC </w:t>
      </w:r>
      <w:r w:rsidR="00A7021A">
        <w:rPr>
          <w:sz w:val="24"/>
          <w:szCs w:val="24"/>
        </w:rPr>
        <w:t xml:space="preserve">fails to raise a claim that, if proven, might show </w:t>
      </w:r>
      <w:r w:rsidR="005446D5">
        <w:rPr>
          <w:sz w:val="24"/>
          <w:szCs w:val="24"/>
        </w:rPr>
        <w:t>Peoples Natural Gas Company LLC</w:t>
      </w:r>
      <w:r w:rsidR="00B859B0">
        <w:rPr>
          <w:sz w:val="24"/>
          <w:szCs w:val="24"/>
        </w:rPr>
        <w:t xml:space="preserve"> has standing to contest Tariff Rider No. 16</w:t>
      </w:r>
      <w:r w:rsidR="00A7021A">
        <w:rPr>
          <w:sz w:val="24"/>
          <w:szCs w:val="24"/>
        </w:rPr>
        <w:t>.</w:t>
      </w:r>
    </w:p>
    <w:p w:rsidR="00C52B7B" w:rsidRDefault="00C52B7B" w:rsidP="00EA11E4">
      <w:pPr>
        <w:spacing w:line="360" w:lineRule="auto"/>
        <w:jc w:val="center"/>
        <w:rPr>
          <w:sz w:val="24"/>
          <w:szCs w:val="24"/>
          <w:u w:val="single"/>
        </w:rPr>
      </w:pPr>
    </w:p>
    <w:p w:rsidR="001F7583" w:rsidRDefault="001F7583" w:rsidP="00EA11E4">
      <w:pPr>
        <w:spacing w:line="360" w:lineRule="auto"/>
        <w:jc w:val="center"/>
        <w:rPr>
          <w:sz w:val="24"/>
          <w:szCs w:val="24"/>
          <w:u w:val="single"/>
        </w:rPr>
      </w:pPr>
      <w:r w:rsidRPr="00A91769">
        <w:rPr>
          <w:sz w:val="24"/>
          <w:szCs w:val="24"/>
          <w:u w:val="single"/>
        </w:rPr>
        <w:t>ORDER</w:t>
      </w:r>
    </w:p>
    <w:p w:rsidR="000F1577" w:rsidRDefault="000F1577" w:rsidP="00EA11E4">
      <w:pPr>
        <w:spacing w:line="360" w:lineRule="auto"/>
        <w:jc w:val="center"/>
        <w:rPr>
          <w:sz w:val="24"/>
          <w:szCs w:val="24"/>
        </w:rPr>
      </w:pPr>
    </w:p>
    <w:p w:rsidR="001F7583" w:rsidRDefault="001F7583" w:rsidP="00FB2C03">
      <w:pPr>
        <w:spacing w:line="360" w:lineRule="auto"/>
        <w:rPr>
          <w:sz w:val="24"/>
          <w:szCs w:val="24"/>
        </w:rPr>
      </w:pPr>
    </w:p>
    <w:p w:rsidR="001F7583" w:rsidRDefault="001F7583" w:rsidP="00FB2C03">
      <w:pPr>
        <w:spacing w:line="360" w:lineRule="auto"/>
        <w:rPr>
          <w:sz w:val="24"/>
          <w:szCs w:val="24"/>
        </w:rPr>
      </w:pPr>
      <w:r>
        <w:rPr>
          <w:sz w:val="24"/>
          <w:szCs w:val="24"/>
        </w:rPr>
        <w:tab/>
      </w:r>
      <w:r>
        <w:rPr>
          <w:sz w:val="24"/>
          <w:szCs w:val="24"/>
        </w:rPr>
        <w:tab/>
        <w:t>THEREFORE,</w:t>
      </w:r>
    </w:p>
    <w:p w:rsidR="001F7583" w:rsidRDefault="001F7583" w:rsidP="00FB2C03">
      <w:pPr>
        <w:spacing w:line="360" w:lineRule="auto"/>
        <w:rPr>
          <w:sz w:val="24"/>
          <w:szCs w:val="24"/>
        </w:rPr>
      </w:pPr>
    </w:p>
    <w:p w:rsidR="001F7583" w:rsidRDefault="001F7583" w:rsidP="00FB2C03">
      <w:pPr>
        <w:spacing w:line="360" w:lineRule="auto"/>
        <w:rPr>
          <w:sz w:val="24"/>
          <w:szCs w:val="24"/>
        </w:rPr>
      </w:pPr>
      <w:r>
        <w:rPr>
          <w:sz w:val="24"/>
          <w:szCs w:val="24"/>
        </w:rPr>
        <w:tab/>
      </w:r>
      <w:r>
        <w:rPr>
          <w:sz w:val="24"/>
          <w:szCs w:val="24"/>
        </w:rPr>
        <w:tab/>
        <w:t>IT IS ORDERED:</w:t>
      </w:r>
    </w:p>
    <w:p w:rsidR="001F7583" w:rsidRDefault="001F7583" w:rsidP="00FB2C03">
      <w:pPr>
        <w:spacing w:line="360" w:lineRule="auto"/>
        <w:rPr>
          <w:sz w:val="24"/>
          <w:szCs w:val="24"/>
        </w:rPr>
      </w:pPr>
    </w:p>
    <w:p w:rsidR="00F17575" w:rsidRDefault="001F7583" w:rsidP="005D0C21">
      <w:pPr>
        <w:spacing w:line="360" w:lineRule="auto"/>
        <w:rPr>
          <w:sz w:val="24"/>
          <w:szCs w:val="24"/>
        </w:rPr>
      </w:pPr>
      <w:r>
        <w:rPr>
          <w:sz w:val="24"/>
          <w:szCs w:val="24"/>
        </w:rPr>
        <w:tab/>
      </w:r>
      <w:r>
        <w:rPr>
          <w:sz w:val="24"/>
          <w:szCs w:val="24"/>
        </w:rPr>
        <w:tab/>
        <w:t>That</w:t>
      </w:r>
      <w:r w:rsidR="00946644">
        <w:rPr>
          <w:sz w:val="24"/>
          <w:szCs w:val="24"/>
        </w:rPr>
        <w:t xml:space="preserve"> the </w:t>
      </w:r>
      <w:r w:rsidR="00A07DD9">
        <w:rPr>
          <w:sz w:val="24"/>
          <w:szCs w:val="24"/>
        </w:rPr>
        <w:t>Motion for Partial Judgment on the Pleadings</w:t>
      </w:r>
      <w:r w:rsidR="00C44410">
        <w:rPr>
          <w:sz w:val="24"/>
          <w:szCs w:val="24"/>
        </w:rPr>
        <w:t xml:space="preserve"> as filed by </w:t>
      </w:r>
      <w:r w:rsidR="00946644">
        <w:rPr>
          <w:sz w:val="24"/>
          <w:szCs w:val="24"/>
        </w:rPr>
        <w:t>Duquesne Light</w:t>
      </w:r>
      <w:r w:rsidR="00955068">
        <w:rPr>
          <w:sz w:val="24"/>
          <w:szCs w:val="24"/>
        </w:rPr>
        <w:t xml:space="preserve"> Company </w:t>
      </w:r>
      <w:r w:rsidR="00A07DD9">
        <w:rPr>
          <w:sz w:val="24"/>
          <w:szCs w:val="24"/>
        </w:rPr>
        <w:t>is</w:t>
      </w:r>
      <w:r w:rsidR="00C52B7B">
        <w:rPr>
          <w:sz w:val="24"/>
          <w:szCs w:val="24"/>
        </w:rPr>
        <w:t xml:space="preserve"> granted</w:t>
      </w:r>
      <w:r w:rsidR="00C44410">
        <w:rPr>
          <w:sz w:val="24"/>
          <w:szCs w:val="24"/>
        </w:rPr>
        <w:t xml:space="preserve"> </w:t>
      </w:r>
      <w:r w:rsidR="00C52B7B">
        <w:rPr>
          <w:sz w:val="24"/>
          <w:szCs w:val="24"/>
        </w:rPr>
        <w:t xml:space="preserve">in that </w:t>
      </w:r>
      <w:r w:rsidR="00A07DD9">
        <w:rPr>
          <w:sz w:val="24"/>
          <w:szCs w:val="24"/>
        </w:rPr>
        <w:t>Peoples Natural Gas Company LLC at Docket No. C-2018-3001152 lack</w:t>
      </w:r>
      <w:r w:rsidR="00246DFC">
        <w:rPr>
          <w:sz w:val="24"/>
          <w:szCs w:val="24"/>
        </w:rPr>
        <w:t>s</w:t>
      </w:r>
      <w:r w:rsidR="00A07DD9">
        <w:rPr>
          <w:sz w:val="24"/>
          <w:szCs w:val="24"/>
        </w:rPr>
        <w:t xml:space="preserve"> standing</w:t>
      </w:r>
      <w:r w:rsidR="00246DFC">
        <w:rPr>
          <w:sz w:val="24"/>
          <w:szCs w:val="24"/>
        </w:rPr>
        <w:t xml:space="preserve"> as concerns Tariff Rider No. 16</w:t>
      </w:r>
      <w:r w:rsidR="003C1CAB">
        <w:rPr>
          <w:sz w:val="24"/>
          <w:szCs w:val="24"/>
        </w:rPr>
        <w:t xml:space="preserve"> and is precluded from opposing Tariff Rider No. 16</w:t>
      </w:r>
      <w:r w:rsidR="00A07DD9">
        <w:rPr>
          <w:sz w:val="24"/>
          <w:szCs w:val="24"/>
        </w:rPr>
        <w:t xml:space="preserve">.  </w:t>
      </w:r>
    </w:p>
    <w:p w:rsidR="00F17575" w:rsidRDefault="00F17575" w:rsidP="00FB2C03">
      <w:pPr>
        <w:spacing w:line="360" w:lineRule="auto"/>
        <w:rPr>
          <w:sz w:val="24"/>
          <w:szCs w:val="24"/>
        </w:rPr>
      </w:pPr>
    </w:p>
    <w:p w:rsidR="00751011" w:rsidRDefault="00751011" w:rsidP="00FB2C03">
      <w:pPr>
        <w:spacing w:line="360" w:lineRule="auto"/>
        <w:rPr>
          <w:sz w:val="24"/>
          <w:szCs w:val="24"/>
        </w:rPr>
      </w:pPr>
    </w:p>
    <w:p w:rsidR="00F867FF" w:rsidRPr="00463CC3" w:rsidRDefault="00F867FF" w:rsidP="00FB2C03">
      <w:pPr>
        <w:spacing w:line="360" w:lineRule="auto"/>
        <w:rPr>
          <w:sz w:val="24"/>
          <w:szCs w:val="24"/>
        </w:rPr>
      </w:pPr>
    </w:p>
    <w:p w:rsidR="00760128" w:rsidRDefault="008A2A14" w:rsidP="00760128">
      <w:r w:rsidRPr="00463CC3">
        <w:rPr>
          <w:sz w:val="24"/>
          <w:szCs w:val="24"/>
        </w:rPr>
        <w:t xml:space="preserve">Date:  </w:t>
      </w:r>
      <w:r w:rsidR="005446D5">
        <w:rPr>
          <w:sz w:val="24"/>
          <w:szCs w:val="24"/>
          <w:u w:val="single"/>
        </w:rPr>
        <w:t xml:space="preserve">May </w:t>
      </w:r>
      <w:r w:rsidR="00EB11D3">
        <w:rPr>
          <w:sz w:val="24"/>
          <w:szCs w:val="24"/>
          <w:u w:val="single"/>
        </w:rPr>
        <w:t>2</w:t>
      </w:r>
      <w:r w:rsidR="00246DFC">
        <w:rPr>
          <w:sz w:val="24"/>
          <w:szCs w:val="24"/>
          <w:u w:val="single"/>
        </w:rPr>
        <w:t>2</w:t>
      </w:r>
      <w:r w:rsidR="005446D5">
        <w:rPr>
          <w:sz w:val="24"/>
          <w:szCs w:val="24"/>
          <w:u w:val="single"/>
        </w:rPr>
        <w:t>, 2018</w:t>
      </w:r>
      <w:r w:rsidR="00955068">
        <w:rPr>
          <w:sz w:val="24"/>
          <w:szCs w:val="24"/>
        </w:rPr>
        <w:tab/>
      </w:r>
      <w:r w:rsidR="00CC3C22" w:rsidRPr="00463CC3">
        <w:rPr>
          <w:sz w:val="24"/>
          <w:szCs w:val="24"/>
        </w:rPr>
        <w:tab/>
      </w:r>
      <w:r w:rsidR="00CC3C22" w:rsidRPr="00463CC3">
        <w:rPr>
          <w:sz w:val="24"/>
          <w:szCs w:val="24"/>
        </w:rPr>
        <w:tab/>
      </w:r>
      <w:r w:rsidR="00CC3C22" w:rsidRPr="00463CC3">
        <w:rPr>
          <w:sz w:val="24"/>
          <w:szCs w:val="24"/>
        </w:rPr>
        <w:tab/>
      </w:r>
      <w:r w:rsidR="002F32E4">
        <w:rPr>
          <w:sz w:val="24"/>
          <w:szCs w:val="24"/>
        </w:rPr>
        <w:tab/>
      </w:r>
      <w:r w:rsidR="00760128">
        <w:rPr>
          <w:u w:val="single"/>
        </w:rPr>
        <w:tab/>
      </w:r>
      <w:r w:rsidR="00760128">
        <w:rPr>
          <w:u w:val="single"/>
        </w:rPr>
        <w:tab/>
      </w:r>
      <w:r w:rsidR="00760128">
        <w:rPr>
          <w:u w:val="single"/>
        </w:rPr>
        <w:tab/>
      </w:r>
      <w:r w:rsidR="00760128">
        <w:rPr>
          <w:u w:val="single"/>
        </w:rPr>
        <w:tab/>
      </w:r>
      <w:r w:rsidR="00760128">
        <w:rPr>
          <w:u w:val="single"/>
        </w:rPr>
        <w:tab/>
      </w:r>
      <w:r w:rsidR="00760128">
        <w:rPr>
          <w:u w:val="single"/>
        </w:rPr>
        <w:tab/>
      </w:r>
    </w:p>
    <w:p w:rsidR="008A2A14" w:rsidRDefault="008A2A14" w:rsidP="00FB2C03">
      <w:pPr>
        <w:rPr>
          <w:sz w:val="24"/>
          <w:szCs w:val="24"/>
        </w:rPr>
      </w:pPr>
      <w:r w:rsidRPr="00463CC3">
        <w:rPr>
          <w:sz w:val="24"/>
          <w:szCs w:val="24"/>
        </w:rPr>
        <w:tab/>
      </w:r>
      <w:r w:rsidRPr="00463CC3">
        <w:rPr>
          <w:sz w:val="24"/>
          <w:szCs w:val="24"/>
        </w:rPr>
        <w:tab/>
      </w:r>
      <w:r w:rsidRPr="00463CC3">
        <w:rPr>
          <w:sz w:val="24"/>
          <w:szCs w:val="24"/>
        </w:rPr>
        <w:tab/>
      </w:r>
      <w:r w:rsidR="003D6796" w:rsidRPr="00463CC3">
        <w:rPr>
          <w:sz w:val="24"/>
          <w:szCs w:val="24"/>
        </w:rPr>
        <w:tab/>
      </w:r>
      <w:r w:rsidR="003D6796" w:rsidRPr="00463CC3">
        <w:rPr>
          <w:sz w:val="24"/>
          <w:szCs w:val="24"/>
        </w:rPr>
        <w:tab/>
      </w:r>
      <w:r w:rsidR="003D6796" w:rsidRPr="00463CC3">
        <w:rPr>
          <w:sz w:val="24"/>
          <w:szCs w:val="24"/>
        </w:rPr>
        <w:tab/>
      </w:r>
      <w:r w:rsidR="003D6796" w:rsidRPr="00463CC3">
        <w:rPr>
          <w:sz w:val="24"/>
          <w:szCs w:val="24"/>
        </w:rPr>
        <w:tab/>
        <w:t>Katrina L. Dunderdale</w:t>
      </w:r>
    </w:p>
    <w:p w:rsidR="00BC6CEC" w:rsidRDefault="00463CC3" w:rsidP="00FE03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32E4">
        <w:rPr>
          <w:sz w:val="24"/>
          <w:szCs w:val="24"/>
        </w:rPr>
        <w:tab/>
      </w:r>
      <w:r w:rsidR="008A2A14" w:rsidRPr="00463CC3">
        <w:rPr>
          <w:sz w:val="24"/>
          <w:szCs w:val="24"/>
        </w:rPr>
        <w:t>Administrative Law Judge</w:t>
      </w:r>
    </w:p>
    <w:p w:rsidR="00EC5DF7" w:rsidRDefault="00EC5DF7">
      <w:pPr>
        <w:rPr>
          <w:sz w:val="24"/>
          <w:szCs w:val="24"/>
        </w:rPr>
      </w:pPr>
      <w:r>
        <w:rPr>
          <w:sz w:val="24"/>
          <w:szCs w:val="24"/>
        </w:rPr>
        <w:br w:type="page"/>
      </w:r>
    </w:p>
    <w:p w:rsidR="000574AD" w:rsidRDefault="000574AD" w:rsidP="00EC5DF7">
      <w:pPr>
        <w:ind w:left="-360"/>
        <w:rPr>
          <w:rFonts w:ascii="Microsoft Sans Serif" w:hAnsi="Microsoft Sans Serif" w:cs="Microsoft Sans Serif"/>
          <w:b/>
          <w:sz w:val="24"/>
          <w:szCs w:val="24"/>
          <w:u w:val="single"/>
        </w:rPr>
        <w:sectPr w:rsidR="000574AD" w:rsidSect="007F1D06">
          <w:footerReference w:type="default" r:id="rId8"/>
          <w:endnotePr>
            <w:numFmt w:val="decimal"/>
          </w:endnotePr>
          <w:pgSz w:w="12240" w:h="15840" w:code="1"/>
          <w:pgMar w:top="1440" w:right="1440" w:bottom="1440" w:left="1440" w:header="1440" w:footer="1440" w:gutter="0"/>
          <w:cols w:space="720"/>
          <w:noEndnote/>
          <w:titlePg/>
          <w:docGrid w:linePitch="272"/>
        </w:sectPr>
      </w:pPr>
    </w:p>
    <w:p w:rsidR="00806B3D" w:rsidRPr="00AA4415" w:rsidRDefault="00806B3D" w:rsidP="00806B3D">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t>R-2018-3000124 – PENNSYLVANIA PUBLIC UTILITY COMMISSION V. DUQUESNE LIGHT COMPANY 1308(D)</w:t>
      </w:r>
    </w:p>
    <w:p w:rsidR="00806B3D" w:rsidRDefault="00806B3D" w:rsidP="00806B3D">
      <w:pPr>
        <w:ind w:left="-360"/>
        <w:contextualSpacing/>
        <w:rPr>
          <w:rFonts w:ascii="Microsoft Sans Serif" w:hAnsi="Microsoft Sans Serif" w:cs="Microsoft Sans Serif"/>
          <w:i/>
          <w:sz w:val="24"/>
          <w:szCs w:val="24"/>
        </w:rPr>
      </w:pPr>
    </w:p>
    <w:p w:rsidR="00806B3D" w:rsidRDefault="00806B3D" w:rsidP="00806B3D">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Revised 5/</w:t>
      </w:r>
      <w:r w:rsidR="00252DA5">
        <w:rPr>
          <w:rFonts w:ascii="Microsoft Sans Serif" w:hAnsi="Microsoft Sans Serif" w:cs="Microsoft Sans Serif"/>
          <w:i/>
          <w:sz w:val="24"/>
          <w:szCs w:val="24"/>
        </w:rPr>
        <w:t>18</w:t>
      </w:r>
      <w:bookmarkStart w:id="3" w:name="_GoBack"/>
      <w:bookmarkEnd w:id="3"/>
      <w:r>
        <w:rPr>
          <w:rFonts w:ascii="Microsoft Sans Serif" w:hAnsi="Microsoft Sans Serif" w:cs="Microsoft Sans Serif"/>
          <w:i/>
          <w:sz w:val="24"/>
          <w:szCs w:val="24"/>
        </w:rPr>
        <w:t>/18)</w:t>
      </w:r>
    </w:p>
    <w:p w:rsidR="00806B3D" w:rsidRPr="001810AA" w:rsidRDefault="00806B3D" w:rsidP="00806B3D">
      <w:pPr>
        <w:ind w:left="-360"/>
        <w:contextualSpacing/>
        <w:rPr>
          <w:rFonts w:ascii="Microsoft Sans Serif" w:hAnsi="Microsoft Sans Serif" w:cs="Microsoft Sans Serif"/>
          <w:i/>
          <w:sz w:val="24"/>
          <w:szCs w:val="24"/>
        </w:rPr>
      </w:pPr>
    </w:p>
    <w:p w:rsidR="00806B3D" w:rsidRDefault="00806B3D" w:rsidP="00806B3D">
      <w:pPr>
        <w:ind w:left="-360"/>
        <w:contextualSpacing/>
        <w:rPr>
          <w:rFonts w:ascii="Microsoft Sans Serif" w:hAnsi="Microsoft Sans Serif" w:cs="Microsoft Sans Serif"/>
          <w:sz w:val="24"/>
          <w:szCs w:val="24"/>
        </w:rPr>
        <w:sectPr w:rsidR="00806B3D" w:rsidSect="00806B3D">
          <w:footerReference w:type="default" r:id="rId9"/>
          <w:pgSz w:w="12240" w:h="15840"/>
          <w:pgMar w:top="1440" w:right="1440" w:bottom="1440" w:left="1440" w:header="720" w:footer="720" w:gutter="0"/>
          <w:cols w:space="720"/>
          <w:docGrid w:linePitch="360"/>
        </w:sect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rsidR="00806B3D" w:rsidRPr="00AA4415"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rsidR="00806B3D" w:rsidRPr="00AA4415" w:rsidRDefault="00806B3D" w:rsidP="00806B3D">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rsidR="00806B3D" w:rsidRPr="00AA4415" w:rsidRDefault="00806B3D" w:rsidP="00806B3D">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rsidR="00806B3D" w:rsidRPr="00AA4415" w:rsidRDefault="00806B3D" w:rsidP="00806B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AA4415">
        <w:rPr>
          <w:rFonts w:ascii="Microsoft Sans Serif" w:hAnsi="Microsoft Sans Serif" w:cs="Microsoft Sans Serif"/>
          <w:b/>
          <w:i/>
          <w:sz w:val="24"/>
          <w:szCs w:val="24"/>
          <w:u w:val="single"/>
        </w:rPr>
        <w:t>Accepts e-Service</w:t>
      </w:r>
    </w:p>
    <w:p w:rsidR="00806B3D" w:rsidRPr="00AA4415" w:rsidRDefault="00806B3D" w:rsidP="00806B3D">
      <w:pPr>
        <w:ind w:hanging="360"/>
        <w:contextualSpacing/>
        <w:rPr>
          <w:rFonts w:ascii="Microsoft Sans Serif" w:hAnsi="Microsoft Sans Serif" w:cs="Microsoft Sans Serif"/>
          <w:b/>
          <w:i/>
          <w:sz w:val="24"/>
          <w:szCs w:val="24"/>
          <w:u w:val="single"/>
        </w:rPr>
      </w:pPr>
    </w:p>
    <w:p w:rsidR="00806B3D" w:rsidRDefault="00806B3D" w:rsidP="00806B3D">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rsidR="00806B3D" w:rsidRPr="00AA4415" w:rsidRDefault="00806B3D" w:rsidP="00806B3D">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rsidR="00806B3D" w:rsidRPr="00646EF2"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rsidR="00806B3D" w:rsidRPr="00AA4415" w:rsidRDefault="00806B3D" w:rsidP="00806B3D">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rsidR="00806B3D" w:rsidRPr="00AA4415" w:rsidRDefault="00806B3D" w:rsidP="00806B3D">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rsidR="00806B3D" w:rsidRPr="00AA4415" w:rsidRDefault="00806B3D" w:rsidP="00806B3D">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rsidR="00806B3D" w:rsidRDefault="00806B3D" w:rsidP="00806B3D">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rsidR="00806B3D" w:rsidRDefault="00806B3D" w:rsidP="00806B3D">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rsidR="00806B3D" w:rsidRDefault="00806B3D" w:rsidP="00806B3D">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rsidR="00806B3D" w:rsidRPr="007363F4"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rsidR="00806B3D" w:rsidRPr="00AA4415" w:rsidRDefault="00806B3D" w:rsidP="00806B3D">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rsidR="00806B3D" w:rsidRDefault="00806B3D" w:rsidP="00806B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AA4415">
        <w:rPr>
          <w:rFonts w:ascii="Microsoft Sans Serif" w:hAnsi="Microsoft Sans Serif" w:cs="Microsoft Sans Serif"/>
          <w:b/>
          <w:i/>
          <w:sz w:val="24"/>
          <w:szCs w:val="24"/>
          <w:u w:val="single"/>
        </w:rPr>
        <w:t>Accepts e-Service</w:t>
      </w:r>
    </w:p>
    <w:p w:rsidR="00806B3D" w:rsidRDefault="00806B3D" w:rsidP="00806B3D">
      <w:pPr>
        <w:ind w:left="-360"/>
        <w:contextualSpacing/>
        <w:rPr>
          <w:rFonts w:ascii="Microsoft Sans Serif" w:hAnsi="Microsoft Sans Serif" w:cs="Microsoft Sans Serif"/>
          <w:b/>
          <w:i/>
          <w:sz w:val="24"/>
          <w:szCs w:val="24"/>
          <w:u w:val="single"/>
        </w:rPr>
      </w:pP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rsidR="00806B3D" w:rsidRDefault="00806B3D" w:rsidP="00806B3D">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rsidR="00806B3D" w:rsidRPr="00AA4415" w:rsidRDefault="00806B3D" w:rsidP="00806B3D">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rsidR="00806B3D" w:rsidRDefault="00806B3D" w:rsidP="00806B3D">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rsidR="00806B3D" w:rsidRDefault="00806B3D" w:rsidP="00806B3D">
      <w:pPr>
        <w:ind w:left="-360"/>
        <w:contextualSpacing/>
        <w:rPr>
          <w:rFonts w:ascii="Microsoft Sans Serif" w:eastAsia="Microsoft Sans Serif" w:hAnsi="Microsoft Sans Serif" w:cs="Microsoft Sans Serif"/>
          <w:b/>
          <w:sz w:val="24"/>
          <w:szCs w:val="24"/>
        </w:rPr>
      </w:pPr>
    </w:p>
    <w:p w:rsidR="00806B3D" w:rsidRDefault="00806B3D" w:rsidP="00806B3D">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rsidR="00806B3D" w:rsidRPr="00583CC2"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rsidR="00806B3D" w:rsidRPr="00E444E0" w:rsidRDefault="00806B3D" w:rsidP="00806B3D">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rsidR="00806B3D" w:rsidRDefault="00806B3D" w:rsidP="00806B3D">
      <w:pPr>
        <w:ind w:left="-360"/>
        <w:contextualSpacing/>
        <w:rPr>
          <w:rFonts w:ascii="Microsoft Sans Serif" w:eastAsia="Microsoft Sans Serif" w:hAnsi="Microsoft Sans Serif" w:cs="Microsoft Sans Serif"/>
          <w:sz w:val="24"/>
          <w:szCs w:val="24"/>
        </w:rPr>
      </w:pPr>
    </w:p>
    <w:p w:rsidR="00806B3D" w:rsidRDefault="00806B3D" w:rsidP="00806B3D">
      <w:pPr>
        <w:ind w:left="-360"/>
        <w:contextualSpacing/>
        <w:rPr>
          <w:rFonts w:ascii="Microsoft Sans Serif" w:eastAsia="Microsoft Sans Serif" w:hAnsi="Microsoft Sans Serif" w:cs="Microsoft Sans Serif"/>
          <w:sz w:val="24"/>
          <w:szCs w:val="24"/>
        </w:rPr>
      </w:pPr>
    </w:p>
    <w:p w:rsidR="00806B3D" w:rsidRDefault="00806B3D" w:rsidP="00806B3D">
      <w:pPr>
        <w:ind w:left="-360"/>
        <w:contextualSpacing/>
        <w:rPr>
          <w:rFonts w:ascii="Microsoft Sans Serif" w:eastAsia="Microsoft Sans Serif" w:hAnsi="Microsoft Sans Serif" w:cs="Microsoft Sans Serif"/>
          <w:sz w:val="24"/>
          <w:szCs w:val="24"/>
        </w:rPr>
      </w:pP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ARON J BEATTY ESQUIRE</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rsidR="00806B3D" w:rsidRDefault="00806B3D" w:rsidP="00806B3D">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rsidR="00806B3D" w:rsidRPr="00AA4415" w:rsidRDefault="00806B3D" w:rsidP="00806B3D">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rsidR="00806B3D" w:rsidRPr="003E1679" w:rsidRDefault="00806B3D" w:rsidP="00806B3D">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rsidR="00806B3D" w:rsidRDefault="00806B3D" w:rsidP="00806B3D">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rsidR="00806B3D" w:rsidRDefault="00806B3D" w:rsidP="00806B3D">
      <w:pPr>
        <w:ind w:left="-360"/>
        <w:contextualSpacing/>
        <w:rPr>
          <w:rFonts w:ascii="Microsoft Sans Serif" w:eastAsia="Microsoft Sans Serif" w:hAnsi="Microsoft Sans Serif" w:cs="Microsoft Sans Serif"/>
          <w:sz w:val="24"/>
          <w:szCs w:val="24"/>
        </w:rPr>
      </w:pP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rsidR="00806B3D" w:rsidRPr="00646EF2"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rsidR="00806B3D" w:rsidRPr="00AA4415" w:rsidRDefault="00806B3D" w:rsidP="00806B3D">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rsidR="00806B3D" w:rsidRPr="00AA4415" w:rsidRDefault="00806B3D" w:rsidP="00806B3D">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rsidR="00806B3D" w:rsidRDefault="00806B3D" w:rsidP="00806B3D">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rsidR="00806B3D" w:rsidRDefault="00806B3D" w:rsidP="00806B3D">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rsidR="00806B3D" w:rsidRPr="00000F54" w:rsidRDefault="00806B3D" w:rsidP="00806B3D">
      <w:pPr>
        <w:ind w:left="-360"/>
        <w:contextualSpacing/>
        <w:rPr>
          <w:rFonts w:ascii="Microsoft Sans Serif" w:hAnsi="Microsoft Sans Serif" w:cs="Microsoft Sans Serif"/>
          <w:b/>
          <w:i/>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rsidR="00806B3D"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rsidR="00806B3D" w:rsidRPr="00AA4415" w:rsidRDefault="00806B3D" w:rsidP="00806B3D">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rsidR="00806B3D"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rsidR="00806B3D" w:rsidRDefault="00806B3D" w:rsidP="00806B3D">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rsidR="00806B3D" w:rsidRPr="00AA4415"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rsidR="00806B3D" w:rsidRPr="00AA4415" w:rsidRDefault="00806B3D" w:rsidP="00806B3D">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rsidR="00806B3D" w:rsidRDefault="00806B3D" w:rsidP="00806B3D">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rsidR="00806B3D" w:rsidRDefault="00806B3D" w:rsidP="00806B3D">
      <w:pPr>
        <w:ind w:left="-360"/>
        <w:contextualSpacing/>
        <w:rPr>
          <w:rFonts w:ascii="Microsoft Sans Serif" w:hAnsi="Microsoft Sans Serif" w:cs="Microsoft Sans Serif"/>
          <w:b/>
          <w:i/>
          <w:sz w:val="24"/>
          <w:szCs w:val="24"/>
          <w:u w:val="single"/>
        </w:rPr>
      </w:pPr>
    </w:p>
    <w:p w:rsidR="00806B3D" w:rsidRDefault="00806B3D"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p>
    <w:p w:rsidR="006E6831" w:rsidRDefault="006E6831" w:rsidP="00806B3D">
      <w:pPr>
        <w:ind w:left="-360"/>
        <w:contextualSpacing/>
        <w:rPr>
          <w:rFonts w:ascii="Microsoft Sans Serif" w:hAnsi="Microsoft Sans Serif" w:cs="Microsoft Sans Serif"/>
          <w:sz w:val="24"/>
          <w:szCs w:val="24"/>
        </w:rPr>
      </w:pPr>
    </w:p>
    <w:p w:rsidR="006E6831" w:rsidRDefault="006E6831" w:rsidP="00806B3D">
      <w:pPr>
        <w:ind w:left="-360"/>
        <w:contextualSpacing/>
        <w:rPr>
          <w:rFonts w:ascii="Microsoft Sans Serif" w:hAnsi="Microsoft Sans Serif" w:cs="Microsoft Sans Serif"/>
          <w:sz w:val="24"/>
          <w:szCs w:val="24"/>
        </w:rPr>
      </w:pPr>
    </w:p>
    <w:p w:rsidR="003E7C7F" w:rsidRDefault="003E7C7F"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L VULLO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rsidR="00806B3D"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rsidR="00806B3D" w:rsidRDefault="00806B3D" w:rsidP="00806B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rsidR="00806B3D" w:rsidRPr="00AF2954" w:rsidRDefault="00806B3D" w:rsidP="00806B3D">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rsidR="00806B3D" w:rsidRDefault="00806B3D" w:rsidP="00806B3D">
      <w:pPr>
        <w:ind w:left="-360"/>
        <w:contextualSpacing/>
        <w:rPr>
          <w:rFonts w:ascii="Microsoft Sans Serif" w:hAnsi="Microsoft Sans Serif" w:cs="Microsoft Sans Serif"/>
          <w:b/>
          <w:i/>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rsidR="00806B3D"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rsidR="00806B3D" w:rsidRDefault="00806B3D" w:rsidP="00806B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rsidR="00806B3D" w:rsidRPr="00AF2954" w:rsidRDefault="00806B3D" w:rsidP="00806B3D">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806B3D" w:rsidRDefault="00806B3D"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806B3D" w:rsidRDefault="00806B3D" w:rsidP="00806B3D">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rsidR="00806B3D" w:rsidRPr="00B017A5"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rsidR="00806B3D" w:rsidRDefault="00806B3D" w:rsidP="00806B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rsidR="00806B3D" w:rsidRDefault="00806B3D" w:rsidP="00806B3D">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806B3D" w:rsidRDefault="00806B3D" w:rsidP="00806B3D">
      <w:pPr>
        <w:ind w:left="-360"/>
        <w:contextualSpacing/>
        <w:rPr>
          <w:rFonts w:ascii="Microsoft Sans Serif" w:hAnsi="Microsoft Sans Serif" w:cs="Microsoft Sans Serif"/>
          <w:b/>
          <w:i/>
          <w:sz w:val="24"/>
          <w:szCs w:val="24"/>
          <w:u w:val="single"/>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806B3D" w:rsidRPr="000F0B7A"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rsidR="00806B3D" w:rsidRDefault="00806B3D" w:rsidP="00806B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rsidR="00806B3D" w:rsidRDefault="00806B3D" w:rsidP="00806B3D">
      <w:pPr>
        <w:ind w:left="-360"/>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806B3D" w:rsidRDefault="00806B3D" w:rsidP="00806B3D">
      <w:pPr>
        <w:ind w:left="-360"/>
        <w:contextualSpacing/>
        <w:rPr>
          <w:rFonts w:ascii="Microsoft Sans Serif" w:hAnsi="Microsoft Sans Serif" w:cs="Microsoft Sans Serif"/>
          <w:i/>
          <w:sz w:val="24"/>
          <w:szCs w:val="24"/>
        </w:rPr>
      </w:pPr>
    </w:p>
    <w:p w:rsidR="00806B3D" w:rsidRDefault="00806B3D" w:rsidP="00806B3D">
      <w:pPr>
        <w:ind w:left="-360"/>
        <w:contextualSpacing/>
        <w:rPr>
          <w:rFonts w:ascii="Microsoft Sans Serif" w:hAnsi="Microsoft Sans Serif" w:cs="Microsoft Sans Serif"/>
          <w:sz w:val="24"/>
          <w:szCs w:val="24"/>
        </w:rPr>
      </w:pPr>
    </w:p>
    <w:p w:rsidR="006E6831" w:rsidRDefault="006E6831" w:rsidP="00806B3D">
      <w:pPr>
        <w:ind w:left="-360"/>
        <w:contextualSpacing/>
        <w:rPr>
          <w:rFonts w:ascii="Microsoft Sans Serif" w:hAnsi="Microsoft Sans Serif" w:cs="Microsoft Sans Serif"/>
          <w:sz w:val="24"/>
          <w:szCs w:val="24"/>
        </w:rPr>
      </w:pPr>
    </w:p>
    <w:p w:rsidR="006E6831" w:rsidRDefault="006E6831"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rsidR="00806B3D" w:rsidRDefault="00806B3D" w:rsidP="00806B3D">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rsidR="00806B3D" w:rsidRDefault="00806B3D" w:rsidP="00806B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rsidR="00806B3D" w:rsidRDefault="00806B3D" w:rsidP="00806B3D">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rsidR="00806B3D" w:rsidRDefault="00806B3D"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rsidR="00806B3D" w:rsidRPr="00454C5B"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rsidR="00806B3D" w:rsidRDefault="00806B3D" w:rsidP="00806B3D">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rsidR="00806B3D" w:rsidRPr="00AF2954" w:rsidRDefault="00806B3D" w:rsidP="00806B3D">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806B3D" w:rsidRDefault="00806B3D"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OTIS MINOTT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rsidR="00806B3D" w:rsidRDefault="00806B3D" w:rsidP="00806B3D">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rsidR="00806B3D" w:rsidRPr="00686D55"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rsidR="00806B3D" w:rsidRDefault="00806B3D" w:rsidP="00806B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rsidR="00806B3D" w:rsidRDefault="00806B3D" w:rsidP="00806B3D">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806B3D" w:rsidRDefault="00806B3D" w:rsidP="00806B3D">
      <w:pPr>
        <w:ind w:left="-360"/>
        <w:contextualSpacing/>
        <w:rPr>
          <w:rFonts w:ascii="Microsoft Sans Serif" w:hAnsi="Microsoft Sans Serif" w:cs="Microsoft Sans Serif"/>
          <w:b/>
          <w:i/>
          <w:sz w:val="24"/>
          <w:szCs w:val="24"/>
          <w:u w:val="single"/>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rsidR="00806B3D" w:rsidRPr="00FF5601" w:rsidRDefault="00806B3D" w:rsidP="00806B3D">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rsidR="00806B3D" w:rsidRDefault="00806B3D" w:rsidP="00806B3D">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rsidR="00806B3D" w:rsidRDefault="00806B3D" w:rsidP="00806B3D">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806B3D" w:rsidRDefault="00806B3D" w:rsidP="00806B3D">
      <w:pPr>
        <w:ind w:left="-360"/>
        <w:contextualSpacing/>
        <w:rPr>
          <w:rFonts w:ascii="Microsoft Sans Serif" w:hAnsi="Microsoft Sans Serif" w:cs="Microsoft Sans Serif"/>
          <w:sz w:val="24"/>
          <w:szCs w:val="24"/>
        </w:rPr>
      </w:pPr>
    </w:p>
    <w:p w:rsidR="00EA3DEC" w:rsidRDefault="00EA3D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EA3DEC" w:rsidRDefault="00EA3DEC" w:rsidP="00806B3D">
      <w:pPr>
        <w:ind w:left="-360"/>
        <w:contextualSpacing/>
        <w:rPr>
          <w:rFonts w:ascii="Microsoft Sans Serif" w:hAnsi="Microsoft Sans Serif" w:cs="Microsoft Sans Serif"/>
          <w:sz w:val="24"/>
          <w:szCs w:val="24"/>
        </w:rPr>
        <w:sectPr w:rsidR="00EA3DEC" w:rsidSect="00806B3D">
          <w:footerReference w:type="default" r:id="rId10"/>
          <w:type w:val="continuous"/>
          <w:pgSz w:w="12240" w:h="15840"/>
          <w:pgMar w:top="1440" w:right="1440" w:bottom="1440" w:left="1440" w:header="720" w:footer="720" w:gutter="0"/>
          <w:cols w:num="2" w:space="720"/>
          <w:docGrid w:linePitch="360"/>
        </w:sectPr>
      </w:pPr>
    </w:p>
    <w:p w:rsidR="006F7711" w:rsidRDefault="006F7711" w:rsidP="00806B3D">
      <w:pPr>
        <w:ind w:left="-360"/>
        <w:contextualSpacing/>
        <w:rPr>
          <w:rFonts w:ascii="Microsoft Sans Serif" w:hAnsi="Microsoft Sans Serif" w:cs="Microsoft Sans Serif"/>
          <w:sz w:val="24"/>
          <w:szCs w:val="24"/>
        </w:rPr>
      </w:pP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rsidR="00806B3D" w:rsidRDefault="00806B3D" w:rsidP="00806B3D">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rsidR="00806B3D" w:rsidRDefault="00806B3D" w:rsidP="00806B3D">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rsidR="00EA3DEC" w:rsidRDefault="00806B3D" w:rsidP="00806B3D">
      <w:pPr>
        <w:ind w:left="-360"/>
        <w:contextualSpacing/>
        <w:rPr>
          <w:rFonts w:ascii="Microsoft Sans Serif" w:eastAsia="Microsoft Sans Serif" w:hAnsi="Microsoft Sans Serif" w:cs="Microsoft Sans Serif"/>
          <w:b/>
          <w:i/>
          <w:sz w:val="24"/>
          <w:szCs w:val="24"/>
          <w:u w:val="single"/>
        </w:rPr>
        <w:sectPr w:rsidR="00EA3DEC" w:rsidSect="00EA3DEC">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i/>
          <w:sz w:val="24"/>
          <w:szCs w:val="24"/>
          <w:u w:val="single"/>
        </w:rPr>
        <w:t>Accepts e-Service</w:t>
      </w:r>
    </w:p>
    <w:p w:rsidR="00806B3D" w:rsidRDefault="00806B3D" w:rsidP="00806B3D">
      <w:pPr>
        <w:ind w:left="-360"/>
        <w:contextualSpacing/>
        <w:rPr>
          <w:rFonts w:ascii="Microsoft Sans Serif" w:eastAsia="Microsoft Sans Serif" w:hAnsi="Microsoft Sans Serif" w:cs="Microsoft Sans Serif"/>
          <w:b/>
          <w:i/>
          <w:sz w:val="24"/>
          <w:szCs w:val="24"/>
          <w:u w:val="single"/>
        </w:rPr>
      </w:pPr>
    </w:p>
    <w:p w:rsidR="00EA3DEC" w:rsidRDefault="00EA3DEC" w:rsidP="00806B3D">
      <w:pPr>
        <w:ind w:left="-360"/>
        <w:contextualSpacing/>
        <w:rPr>
          <w:rFonts w:ascii="Microsoft Sans Serif" w:eastAsia="Microsoft Sans Serif" w:hAnsi="Microsoft Sans Serif" w:cs="Microsoft Sans Serif"/>
          <w:sz w:val="24"/>
          <w:szCs w:val="24"/>
        </w:rPr>
        <w:sectPr w:rsidR="00EA3DEC" w:rsidSect="00806B3D">
          <w:type w:val="continuous"/>
          <w:pgSz w:w="12240" w:h="15840"/>
          <w:pgMar w:top="1440" w:right="1440" w:bottom="1440" w:left="1440" w:header="720" w:footer="720" w:gutter="0"/>
          <w:cols w:num="2" w:space="720"/>
          <w:docGrid w:linePitch="360"/>
        </w:sectPr>
      </w:pP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JAMES FEDELL</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2009 FORGE DRIVE</w:t>
      </w:r>
    </w:p>
    <w:p w:rsidR="00806B3D" w:rsidRDefault="00806B3D" w:rsidP="00806B3D">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ALIQUIPPA PA  15001</w:t>
      </w:r>
    </w:p>
    <w:p w:rsidR="00806B3D" w:rsidRPr="008A7CD2" w:rsidRDefault="00806B3D" w:rsidP="00806B3D">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C-2018-3001473</w:t>
      </w:r>
    </w:p>
    <w:p w:rsidR="00806B3D" w:rsidRDefault="00806B3D" w:rsidP="00806B3D">
      <w:pPr>
        <w:ind w:left="-360"/>
        <w:contextualSpacing/>
        <w:rPr>
          <w:rFonts w:ascii="Microsoft Sans Serif" w:eastAsia="Microsoft Sans Serif" w:hAnsi="Microsoft Sans Serif" w:cs="Microsoft Sans Serif"/>
          <w:sz w:val="24"/>
          <w:szCs w:val="24"/>
        </w:rPr>
        <w:sectPr w:rsidR="00806B3D" w:rsidSect="00EA3DEC">
          <w:type w:val="continuous"/>
          <w:pgSz w:w="12240" w:h="15840"/>
          <w:pgMar w:top="1440" w:right="1440" w:bottom="1440" w:left="1440" w:header="720" w:footer="720" w:gutter="0"/>
          <w:cols w:space="720"/>
          <w:docGrid w:linePitch="360"/>
        </w:sectPr>
      </w:pPr>
    </w:p>
    <w:p w:rsidR="00806B3D" w:rsidRPr="008A7CD2" w:rsidRDefault="00806B3D" w:rsidP="00806B3D">
      <w:pPr>
        <w:ind w:left="-360"/>
        <w:contextualSpacing/>
        <w:rPr>
          <w:rFonts w:ascii="Microsoft Sans Serif" w:eastAsia="Microsoft Sans Serif" w:hAnsi="Microsoft Sans Serif" w:cs="Microsoft Sans Serif"/>
          <w:sz w:val="24"/>
          <w:szCs w:val="24"/>
        </w:rPr>
      </w:pPr>
    </w:p>
    <w:p w:rsidR="00EC5DF7" w:rsidRPr="008A7CD2" w:rsidRDefault="00EC5DF7" w:rsidP="00EC5DF7">
      <w:pPr>
        <w:ind w:left="-360"/>
        <w:contextualSpacing/>
        <w:rPr>
          <w:rFonts w:ascii="Microsoft Sans Serif" w:eastAsia="Microsoft Sans Serif" w:hAnsi="Microsoft Sans Serif" w:cs="Microsoft Sans Serif"/>
          <w:sz w:val="24"/>
          <w:szCs w:val="24"/>
        </w:rPr>
      </w:pPr>
    </w:p>
    <w:p w:rsidR="00EC5DF7" w:rsidRDefault="00EC5DF7">
      <w:pPr>
        <w:rPr>
          <w:sz w:val="24"/>
          <w:szCs w:val="24"/>
        </w:rPr>
      </w:pPr>
      <w:r>
        <w:rPr>
          <w:sz w:val="24"/>
          <w:szCs w:val="24"/>
        </w:rPr>
        <w:br w:type="page"/>
      </w:r>
    </w:p>
    <w:p w:rsidR="001F69D9" w:rsidRPr="00AA4415" w:rsidRDefault="001F69D9" w:rsidP="001F69D9">
      <w:pPr>
        <w:ind w:left="-36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 xml:space="preserve">C-2018-3001152 </w:t>
      </w:r>
      <w:r w:rsidRPr="00AA4415">
        <w:rPr>
          <w:rFonts w:ascii="Microsoft Sans Serif" w:hAnsi="Microsoft Sans Serif" w:cs="Microsoft Sans Serif"/>
          <w:b/>
          <w:sz w:val="24"/>
          <w:szCs w:val="24"/>
          <w:u w:val="single"/>
        </w:rPr>
        <w:t>– PE</w:t>
      </w:r>
      <w:r>
        <w:rPr>
          <w:rFonts w:ascii="Microsoft Sans Serif" w:hAnsi="Microsoft Sans Serif" w:cs="Microsoft Sans Serif"/>
          <w:b/>
          <w:sz w:val="24"/>
          <w:szCs w:val="24"/>
          <w:u w:val="single"/>
        </w:rPr>
        <w:t xml:space="preserve">OPLES NATURAL GAS COMPANY LLC v. </w:t>
      </w:r>
      <w:r w:rsidRPr="00AA4415">
        <w:rPr>
          <w:rFonts w:ascii="Microsoft Sans Serif" w:hAnsi="Microsoft Sans Serif" w:cs="Microsoft Sans Serif"/>
          <w:b/>
          <w:sz w:val="24"/>
          <w:szCs w:val="24"/>
          <w:u w:val="single"/>
        </w:rPr>
        <w:t>DUQUESNE LIGHT COMPANY 1308(D)</w:t>
      </w:r>
    </w:p>
    <w:p w:rsidR="001F69D9" w:rsidRDefault="001F69D9" w:rsidP="001F69D9">
      <w:pPr>
        <w:ind w:left="-360"/>
        <w:contextualSpacing/>
        <w:rPr>
          <w:rFonts w:ascii="Microsoft Sans Serif" w:hAnsi="Microsoft Sans Serif" w:cs="Microsoft Sans Serif"/>
          <w:sz w:val="24"/>
          <w:szCs w:val="24"/>
        </w:rPr>
        <w:sectPr w:rsidR="001F69D9" w:rsidSect="001F69D9">
          <w:type w:val="continuous"/>
          <w:pgSz w:w="12240" w:h="15840"/>
          <w:pgMar w:top="1440" w:right="1440" w:bottom="1440" w:left="1440" w:header="720" w:footer="720" w:gutter="0"/>
          <w:cols w:space="720"/>
          <w:docGrid w:linePitch="360"/>
        </w:sectPr>
      </w:pPr>
    </w:p>
    <w:p w:rsidR="001F69D9" w:rsidRDefault="001F69D9" w:rsidP="001F69D9">
      <w:pPr>
        <w:ind w:left="-360"/>
        <w:contextualSpacing/>
        <w:rPr>
          <w:rFonts w:ascii="Microsoft Sans Serif" w:hAnsi="Microsoft Sans Serif" w:cs="Microsoft Sans Serif"/>
          <w:sz w:val="24"/>
          <w:szCs w:val="24"/>
        </w:rPr>
      </w:pP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rsidR="001F69D9" w:rsidRDefault="001F69D9" w:rsidP="001F69D9">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rsidR="001F69D9" w:rsidRPr="00AA4415" w:rsidRDefault="001F69D9" w:rsidP="001F69D9">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rsidR="001F69D9" w:rsidRDefault="001F69D9" w:rsidP="001F69D9">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rsidR="001F69D9" w:rsidRDefault="001F69D9" w:rsidP="001F69D9">
      <w:pPr>
        <w:ind w:left="-360"/>
        <w:contextualSpacing/>
        <w:rPr>
          <w:rFonts w:ascii="Microsoft Sans Serif" w:eastAsia="Microsoft Sans Serif" w:hAnsi="Microsoft Sans Serif" w:cs="Microsoft Sans Serif"/>
          <w:b/>
          <w:sz w:val="24"/>
          <w:szCs w:val="24"/>
        </w:rPr>
      </w:pPr>
    </w:p>
    <w:p w:rsidR="001F69D9" w:rsidRDefault="001F69D9" w:rsidP="001F69D9">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rsidR="001F69D9"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rsidR="001F69D9" w:rsidRPr="00583CC2" w:rsidRDefault="001F69D9" w:rsidP="001F69D9">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rsidR="001F69D9" w:rsidRPr="00E444E0" w:rsidRDefault="001F69D9" w:rsidP="001F69D9">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rsidR="001F69D9" w:rsidRDefault="001F69D9" w:rsidP="001F69D9">
      <w:pPr>
        <w:ind w:left="-360"/>
        <w:contextualSpacing/>
        <w:rPr>
          <w:rFonts w:ascii="Microsoft Sans Serif" w:eastAsia="Microsoft Sans Serif" w:hAnsi="Microsoft Sans Serif" w:cs="Microsoft Sans Serif"/>
          <w:sz w:val="24"/>
          <w:szCs w:val="24"/>
        </w:rPr>
      </w:pPr>
    </w:p>
    <w:p w:rsidR="001F69D9" w:rsidRDefault="001F69D9" w:rsidP="001F69D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rsidR="001F69D9" w:rsidRDefault="001F69D9" w:rsidP="001F69D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rsidR="001F69D9" w:rsidRDefault="001F69D9" w:rsidP="001F69D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rsidR="001F69D9" w:rsidRDefault="001F69D9" w:rsidP="001F69D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rsidR="001F69D9" w:rsidRDefault="001F69D9" w:rsidP="001F69D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rsidR="001F69D9" w:rsidRDefault="001F69D9" w:rsidP="001F69D9">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1F69D9" w:rsidRDefault="001F69D9" w:rsidP="001F69D9">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rsidR="001F69D9" w:rsidRPr="00B017A5" w:rsidRDefault="001F69D9" w:rsidP="001F69D9">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rsidR="001F69D9" w:rsidRDefault="001F69D9" w:rsidP="001F69D9">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rsidR="001F69D9" w:rsidRDefault="001F69D9" w:rsidP="001F69D9">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rsidR="001F69D9" w:rsidRDefault="001F69D9" w:rsidP="001F69D9">
      <w:pPr>
        <w:ind w:left="-360"/>
        <w:contextualSpacing/>
        <w:rPr>
          <w:rFonts w:ascii="Microsoft Sans Serif" w:hAnsi="Microsoft Sans Serif" w:cs="Microsoft Sans Serif"/>
          <w:b/>
          <w:i/>
          <w:sz w:val="24"/>
          <w:szCs w:val="24"/>
          <w:u w:val="single"/>
        </w:rPr>
      </w:pPr>
    </w:p>
    <w:p w:rsidR="00FE03EA" w:rsidRPr="004F5AC1" w:rsidRDefault="00FE03EA" w:rsidP="00FE03EA">
      <w:pPr>
        <w:rPr>
          <w:sz w:val="24"/>
          <w:szCs w:val="24"/>
        </w:rPr>
      </w:pPr>
    </w:p>
    <w:sectPr w:rsidR="00FE03EA" w:rsidRPr="004F5AC1" w:rsidSect="00EC5DF7">
      <w:endnotePr>
        <w:numFmt w:val="decimal"/>
      </w:endnotePr>
      <w:type w:val="continuous"/>
      <w:pgSz w:w="12240" w:h="15840" w:code="1"/>
      <w:pgMar w:top="1440" w:right="1440" w:bottom="1440" w:left="1440" w:header="1440" w:footer="1440" w:gutter="0"/>
      <w:cols w:num="2"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7BC" w:rsidRDefault="001C47BC">
      <w:r>
        <w:separator/>
      </w:r>
    </w:p>
  </w:endnote>
  <w:endnote w:type="continuationSeparator" w:id="0">
    <w:p w:rsidR="001C47BC" w:rsidRDefault="001C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732292"/>
      <w:docPartObj>
        <w:docPartGallery w:val="Page Numbers (Bottom of Page)"/>
        <w:docPartUnique/>
      </w:docPartObj>
    </w:sdtPr>
    <w:sdtEndPr>
      <w:rPr>
        <w:noProof/>
      </w:rPr>
    </w:sdtEndPr>
    <w:sdtContent>
      <w:p w:rsidR="00067502" w:rsidRPr="00407B70" w:rsidRDefault="00067502">
        <w:pPr>
          <w:pStyle w:val="Footer"/>
          <w:jc w:val="center"/>
        </w:pPr>
        <w:r w:rsidRPr="00407B70">
          <w:fldChar w:fldCharType="begin"/>
        </w:r>
        <w:r w:rsidRPr="00407B70">
          <w:instrText xml:space="preserve"> PAGE   \* MERGEFORMAT </w:instrText>
        </w:r>
        <w:r w:rsidRPr="00407B70">
          <w:fldChar w:fldCharType="separate"/>
        </w:r>
        <w:r w:rsidR="00310D39">
          <w:rPr>
            <w:noProof/>
          </w:rPr>
          <w:t>8</w:t>
        </w:r>
        <w:r w:rsidRPr="00407B70">
          <w:rPr>
            <w:noProof/>
          </w:rPr>
          <w:fldChar w:fldCharType="end"/>
        </w:r>
      </w:p>
    </w:sdtContent>
  </w:sdt>
  <w:p w:rsidR="006825F2" w:rsidRDefault="006825F2">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3D" w:rsidRPr="00407B70" w:rsidRDefault="00806B3D">
    <w:pPr>
      <w:pStyle w:val="Footer"/>
      <w:jc w:val="center"/>
    </w:pPr>
  </w:p>
  <w:p w:rsidR="00806B3D" w:rsidRDefault="00806B3D">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AD" w:rsidRPr="00407B70" w:rsidRDefault="000574AD">
    <w:pPr>
      <w:pStyle w:val="Footer"/>
      <w:jc w:val="center"/>
    </w:pPr>
  </w:p>
  <w:p w:rsidR="000574AD" w:rsidRDefault="000574A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7BC" w:rsidRDefault="001C47BC">
      <w:r>
        <w:separator/>
      </w:r>
    </w:p>
  </w:footnote>
  <w:footnote w:type="continuationSeparator" w:id="0">
    <w:p w:rsidR="001C47BC" w:rsidRDefault="001C47BC">
      <w:r>
        <w:continuationSeparator/>
      </w:r>
    </w:p>
  </w:footnote>
  <w:footnote w:id="1">
    <w:p w:rsidR="00607DF7" w:rsidRPr="00DD4146" w:rsidRDefault="00607DF7" w:rsidP="00607DF7">
      <w:pPr>
        <w:pStyle w:val="FootnoteText"/>
      </w:pPr>
      <w:r w:rsidRPr="00DD4146">
        <w:rPr>
          <w:rStyle w:val="FootnoteReference"/>
          <w:vertAlign w:val="superscript"/>
        </w:rPr>
        <w:footnoteRef/>
      </w:r>
      <w:r w:rsidRPr="00DD4146">
        <w:t xml:space="preserve"> </w:t>
      </w:r>
      <w:r w:rsidRPr="00DD4146">
        <w:tab/>
      </w:r>
      <w:r w:rsidRPr="00DD4146">
        <w:rPr>
          <w:i/>
        </w:rPr>
        <w:t>See also</w:t>
      </w:r>
      <w:r w:rsidRPr="00DD4146">
        <w:t>, 52 Pa.Code § 5.21(a).</w:t>
      </w:r>
    </w:p>
    <w:p w:rsidR="00607DF7" w:rsidRPr="00DD4146" w:rsidRDefault="00607DF7" w:rsidP="00607DF7">
      <w:pPr>
        <w:pStyle w:val="FootnoteText"/>
      </w:pPr>
    </w:p>
  </w:footnote>
  <w:footnote w:id="2">
    <w:p w:rsidR="005A5DAC" w:rsidRPr="005A5DAC" w:rsidRDefault="005A5DAC" w:rsidP="005A5DAC">
      <w:pPr>
        <w:pStyle w:val="FootnoteText"/>
      </w:pPr>
      <w:r w:rsidRPr="00A90C78">
        <w:rPr>
          <w:rStyle w:val="FootnoteReference"/>
          <w:vertAlign w:val="superscript"/>
        </w:rPr>
        <w:footnoteRef/>
      </w:r>
      <w:r w:rsidRPr="00A90C78">
        <w:rPr>
          <w:vertAlign w:val="superscript"/>
        </w:rPr>
        <w:t xml:space="preserve"> </w:t>
      </w:r>
      <w:r w:rsidRPr="005A5DAC">
        <w:tab/>
      </w:r>
      <w:r w:rsidRPr="005A5DAC">
        <w:rPr>
          <w:i/>
          <w:iCs/>
        </w:rPr>
        <w:t>First Mortgage Co. of Pennsylvania v. McCall</w:t>
      </w:r>
      <w:r w:rsidRPr="005A5DAC">
        <w:t>, 459 A.2d 406 (</w:t>
      </w:r>
      <w:proofErr w:type="gramStart"/>
      <w:r w:rsidRPr="005A5DAC">
        <w:t>Pa.Super</w:t>
      </w:r>
      <w:proofErr w:type="gramEnd"/>
      <w:r w:rsidRPr="005A5DAC">
        <w:t xml:space="preserve">. 1983); </w:t>
      </w:r>
      <w:r w:rsidRPr="005A5DAC">
        <w:rPr>
          <w:i/>
          <w:iCs/>
        </w:rPr>
        <w:t>Mertz v. Lakatos</w:t>
      </w:r>
      <w:r w:rsidRPr="005A5DAC">
        <w:t>, 381 A.2d 497 (Pa.Cmwlth. 1978).</w:t>
      </w:r>
    </w:p>
    <w:p w:rsidR="005A5DAC" w:rsidRPr="005A5DAC" w:rsidRDefault="005A5DAC" w:rsidP="005A5DAC">
      <w:pPr>
        <w:pStyle w:val="FootnoteText"/>
      </w:pPr>
    </w:p>
  </w:footnote>
  <w:footnote w:id="3">
    <w:p w:rsidR="005A5DAC" w:rsidRPr="005A5DAC" w:rsidRDefault="005A5DAC" w:rsidP="005A5DAC">
      <w:pPr>
        <w:pStyle w:val="FootnoteText"/>
      </w:pPr>
      <w:r w:rsidRPr="00A90C78">
        <w:rPr>
          <w:rStyle w:val="FootnoteReference"/>
          <w:vertAlign w:val="superscript"/>
        </w:rPr>
        <w:footnoteRef/>
      </w:r>
      <w:r w:rsidRPr="00A90C78">
        <w:rPr>
          <w:vertAlign w:val="superscript"/>
        </w:rPr>
        <w:t xml:space="preserve"> </w:t>
      </w:r>
      <w:r w:rsidRPr="005A5DAC">
        <w:tab/>
      </w:r>
      <w:r w:rsidRPr="005A5DAC">
        <w:rPr>
          <w:i/>
          <w:iCs/>
        </w:rPr>
        <w:t>Weik v. Estate of Brown</w:t>
      </w:r>
      <w:r w:rsidRPr="005A5DAC">
        <w:t>, 794 A.2d 907 (Pa.Super. 2002).</w:t>
      </w:r>
    </w:p>
    <w:p w:rsidR="005A5DAC" w:rsidRPr="005A5DAC" w:rsidRDefault="005A5DAC" w:rsidP="005A5DAC">
      <w:pPr>
        <w:pStyle w:val="FootnoteText"/>
      </w:pPr>
    </w:p>
  </w:footnote>
  <w:footnote w:id="4">
    <w:p w:rsidR="005A5DAC" w:rsidRPr="005A5DAC" w:rsidRDefault="005A5DAC" w:rsidP="005A5DAC">
      <w:pPr>
        <w:pStyle w:val="FootnoteText"/>
      </w:pPr>
      <w:r w:rsidRPr="00A90C78">
        <w:rPr>
          <w:rStyle w:val="FootnoteReference"/>
          <w:vertAlign w:val="superscript"/>
        </w:rPr>
        <w:footnoteRef/>
      </w:r>
      <w:r w:rsidRPr="005A5DAC">
        <w:t xml:space="preserve"> </w:t>
      </w:r>
      <w:r w:rsidRPr="005A5DAC">
        <w:tab/>
      </w:r>
      <w:r w:rsidRPr="005A5DAC">
        <w:rPr>
          <w:i/>
          <w:iCs/>
        </w:rPr>
        <w:t>Thomson Coal Company v. Pike Coal Company</w:t>
      </w:r>
      <w:r w:rsidRPr="005A5DAC">
        <w:t>, 412 A.2d 466 (Pa. 1979).</w:t>
      </w:r>
    </w:p>
    <w:p w:rsidR="005A5DAC" w:rsidRPr="005A5DAC" w:rsidRDefault="005A5DAC" w:rsidP="005A5DAC">
      <w:pPr>
        <w:pStyle w:val="FootnoteText"/>
      </w:pPr>
    </w:p>
  </w:footnote>
  <w:footnote w:id="5">
    <w:p w:rsidR="005A5DAC" w:rsidRPr="005A5DAC" w:rsidRDefault="005A5DAC" w:rsidP="005A5DAC">
      <w:pPr>
        <w:pStyle w:val="FootnoteText"/>
      </w:pPr>
      <w:r w:rsidRPr="00A90C78">
        <w:rPr>
          <w:rStyle w:val="FootnoteReference"/>
          <w:vertAlign w:val="superscript"/>
        </w:rPr>
        <w:footnoteRef/>
      </w:r>
      <w:r w:rsidRPr="005A5DAC">
        <w:t xml:space="preserve"> </w:t>
      </w:r>
      <w:r w:rsidRPr="005A5DAC">
        <w:tab/>
      </w:r>
      <w:r w:rsidRPr="005A5DAC">
        <w:rPr>
          <w:i/>
          <w:iCs/>
        </w:rPr>
        <w:t>Williams v. Lewis</w:t>
      </w:r>
      <w:r w:rsidRPr="005A5DAC">
        <w:t xml:space="preserve">, 466 A.2d 682 (Pa.Super. 1983); </w:t>
      </w:r>
      <w:r w:rsidRPr="005A5DAC">
        <w:rPr>
          <w:i/>
          <w:iCs/>
        </w:rPr>
        <w:t>Service Employees International Union, Local 69, AFL-CIO v. The Peoples Natural Gas Company, d/b/a Dominion Peoples</w:t>
      </w:r>
      <w:r w:rsidRPr="005A5DAC">
        <w:t>, Docket No. C-20028539 (Opinion and Order entered December 19, 2003).</w:t>
      </w:r>
    </w:p>
    <w:p w:rsidR="005A5DAC" w:rsidRPr="005A5DAC" w:rsidRDefault="005A5DAC" w:rsidP="005A5DAC">
      <w:pPr>
        <w:pStyle w:val="FootnoteText"/>
      </w:pPr>
    </w:p>
  </w:footnote>
  <w:footnote w:id="6">
    <w:p w:rsidR="005A5DAC" w:rsidRPr="005A5DAC" w:rsidRDefault="005A5DAC" w:rsidP="005A5DAC">
      <w:r w:rsidRPr="00A90C78">
        <w:rPr>
          <w:rStyle w:val="FootnoteReference"/>
          <w:vertAlign w:val="superscript"/>
        </w:rPr>
        <w:footnoteRef/>
      </w:r>
      <w:r w:rsidRPr="00A90C78">
        <w:rPr>
          <w:vertAlign w:val="superscript"/>
        </w:rPr>
        <w:t xml:space="preserve"> </w:t>
      </w:r>
      <w:r w:rsidRPr="005A5DAC">
        <w:tab/>
      </w:r>
      <w:r w:rsidRPr="005A5DAC">
        <w:rPr>
          <w:i/>
          <w:iCs/>
        </w:rPr>
        <w:t>Reuben v. O’Brien</w:t>
      </w:r>
      <w:r w:rsidRPr="005A5DAC">
        <w:t>, 496 A.2d 913 (Pa.Super 1985).</w:t>
      </w:r>
    </w:p>
    <w:p w:rsidR="005A5DAC" w:rsidRPr="005A5DAC" w:rsidRDefault="005A5DAC" w:rsidP="005A5DAC">
      <w:pPr>
        <w:pStyle w:val="FootnoteText"/>
      </w:pPr>
    </w:p>
  </w:footnote>
  <w:footnote w:id="7">
    <w:p w:rsidR="00DD4146" w:rsidRPr="005A5DAC" w:rsidRDefault="00DD4146" w:rsidP="005A5DAC">
      <w:pPr>
        <w:pStyle w:val="FootnoteText"/>
      </w:pPr>
      <w:r w:rsidRPr="008E4BF4">
        <w:rPr>
          <w:rStyle w:val="FootnoteReference"/>
          <w:vertAlign w:val="superscript"/>
        </w:rPr>
        <w:footnoteRef/>
      </w:r>
      <w:r w:rsidRPr="005A5DAC">
        <w:t xml:space="preserve"> </w:t>
      </w:r>
      <w:r w:rsidRPr="005A5DAC">
        <w:tab/>
      </w:r>
      <w:r w:rsidR="00EC0139" w:rsidRPr="00EC0139">
        <w:rPr>
          <w:i/>
        </w:rPr>
        <w:t>See</w:t>
      </w:r>
      <w:r w:rsidR="00FC59CD">
        <w:rPr>
          <w:i/>
        </w:rPr>
        <w:t>,</w:t>
      </w:r>
      <w:r w:rsidR="00EC0139">
        <w:t xml:space="preserve"> </w:t>
      </w:r>
      <w:r w:rsidR="00702D0E" w:rsidRPr="005A5DAC">
        <w:t>52 Pa.Code §</w:t>
      </w:r>
      <w:r w:rsidR="00E06B24">
        <w:t xml:space="preserve"> </w:t>
      </w:r>
      <w:r w:rsidR="00702D0E" w:rsidRPr="005A5DAC">
        <w:t xml:space="preserve">1.8.  </w:t>
      </w:r>
    </w:p>
    <w:p w:rsidR="00AB78C1" w:rsidRPr="005A5DAC" w:rsidRDefault="00AB78C1" w:rsidP="005A5DAC">
      <w:pPr>
        <w:pStyle w:val="FootnoteText"/>
      </w:pPr>
    </w:p>
  </w:footnote>
  <w:footnote w:id="8">
    <w:p w:rsidR="00AB78C1" w:rsidRPr="005A5DAC" w:rsidRDefault="00AB78C1" w:rsidP="005A5DAC">
      <w:pPr>
        <w:pStyle w:val="FootnoteText"/>
      </w:pPr>
      <w:r w:rsidRPr="008E4BF4">
        <w:rPr>
          <w:rStyle w:val="FootnoteReference"/>
          <w:vertAlign w:val="superscript"/>
        </w:rPr>
        <w:footnoteRef/>
      </w:r>
      <w:r w:rsidRPr="008E4BF4">
        <w:rPr>
          <w:vertAlign w:val="superscript"/>
        </w:rPr>
        <w:t xml:space="preserve"> </w:t>
      </w:r>
      <w:r w:rsidRPr="005A5DAC">
        <w:tab/>
      </w:r>
      <w:r w:rsidRPr="008E4BF4">
        <w:rPr>
          <w:i/>
        </w:rPr>
        <w:t>Franklin Twp. v. Pa. Dept. of Environmental Resources,</w:t>
      </w:r>
      <w:r w:rsidRPr="005A5DAC">
        <w:t xml:space="preserve"> 499 Pa. 162, 452 A.2d 718 (1982).  </w:t>
      </w:r>
    </w:p>
    <w:p w:rsidR="00AB78C1" w:rsidRPr="00AB78C1" w:rsidRDefault="00AB78C1" w:rsidP="00AB78C1">
      <w:pPr>
        <w:pStyle w:val="FootnoteText"/>
      </w:pPr>
    </w:p>
  </w:footnote>
  <w:footnote w:id="9">
    <w:p w:rsidR="00AB78C1" w:rsidRPr="00AB78C1" w:rsidRDefault="00AB78C1">
      <w:pPr>
        <w:pStyle w:val="FootnoteText"/>
      </w:pPr>
      <w:r w:rsidRPr="008E4BF4">
        <w:rPr>
          <w:rStyle w:val="FootnoteReference"/>
          <w:vertAlign w:val="superscript"/>
        </w:rPr>
        <w:footnoteRef/>
      </w:r>
      <w:r w:rsidRPr="008E4BF4">
        <w:rPr>
          <w:vertAlign w:val="superscript"/>
        </w:rPr>
        <w:t xml:space="preserve"> </w:t>
      </w:r>
      <w:r w:rsidRPr="00AB78C1">
        <w:tab/>
      </w:r>
      <w:r w:rsidRPr="008E4BF4">
        <w:rPr>
          <w:i/>
        </w:rPr>
        <w:t>Wm. Penn Parking Garage, Inc. v. City of Pittsburgh,</w:t>
      </w:r>
      <w:r w:rsidRPr="00AB78C1">
        <w:t xml:space="preserve"> 464 Pa. 168, 346 A.2d 269 (1975).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6F6"/>
    <w:multiLevelType w:val="hybridMultilevel"/>
    <w:tmpl w:val="5400EA98"/>
    <w:lvl w:ilvl="0" w:tplc="BBEE34D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C194D4D"/>
    <w:multiLevelType w:val="hybridMultilevel"/>
    <w:tmpl w:val="8038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67EC0"/>
    <w:multiLevelType w:val="hybridMultilevel"/>
    <w:tmpl w:val="B47CA454"/>
    <w:lvl w:ilvl="0" w:tplc="BA3C0B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1CB636FD"/>
    <w:multiLevelType w:val="hybridMultilevel"/>
    <w:tmpl w:val="6BD083B6"/>
    <w:lvl w:ilvl="0" w:tplc="2E9677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5EC1413"/>
    <w:multiLevelType w:val="hybridMultilevel"/>
    <w:tmpl w:val="1A3CF95A"/>
    <w:lvl w:ilvl="0" w:tplc="C7EC2F6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1AC2470"/>
    <w:multiLevelType w:val="hybridMultilevel"/>
    <w:tmpl w:val="A3849572"/>
    <w:lvl w:ilvl="0" w:tplc="51BAD8CC">
      <w:start w:val="3"/>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6DF220A"/>
    <w:multiLevelType w:val="hybridMultilevel"/>
    <w:tmpl w:val="3850C58E"/>
    <w:lvl w:ilvl="0" w:tplc="1040AFF8">
      <w:start w:val="3"/>
      <w:numFmt w:val="decimal"/>
      <w:lvlText w:val="%1."/>
      <w:lvlJc w:val="left"/>
      <w:pPr>
        <w:tabs>
          <w:tab w:val="num" w:pos="1710"/>
        </w:tabs>
        <w:ind w:left="1710" w:hanging="360"/>
      </w:pPr>
      <w:rPr>
        <w:rFonts w:hint="default"/>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15:restartNumberingAfterBreak="0">
    <w:nsid w:val="52B82C7A"/>
    <w:multiLevelType w:val="hybridMultilevel"/>
    <w:tmpl w:val="D30299A8"/>
    <w:lvl w:ilvl="0" w:tplc="3BBE59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7CAF2A89"/>
    <w:multiLevelType w:val="hybridMultilevel"/>
    <w:tmpl w:val="124C3CD4"/>
    <w:lvl w:ilvl="0" w:tplc="F738D84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9"/>
  </w:num>
  <w:num w:numId="4">
    <w:abstractNumId w:val="5"/>
  </w:num>
  <w:num w:numId="5">
    <w:abstractNumId w:val="7"/>
  </w:num>
  <w:num w:numId="6">
    <w:abstractNumId w:val="8"/>
  </w:num>
  <w:num w:numId="7">
    <w:abstractNumId w:val="2"/>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C"/>
    <w:rsid w:val="00005D97"/>
    <w:rsid w:val="00010630"/>
    <w:rsid w:val="00015AD8"/>
    <w:rsid w:val="00023D99"/>
    <w:rsid w:val="00024201"/>
    <w:rsid w:val="00037588"/>
    <w:rsid w:val="00043B6D"/>
    <w:rsid w:val="000518D4"/>
    <w:rsid w:val="00056E8C"/>
    <w:rsid w:val="000574AD"/>
    <w:rsid w:val="00061984"/>
    <w:rsid w:val="000644EB"/>
    <w:rsid w:val="00067502"/>
    <w:rsid w:val="00077527"/>
    <w:rsid w:val="00083AD6"/>
    <w:rsid w:val="00084531"/>
    <w:rsid w:val="000921D5"/>
    <w:rsid w:val="00096DEE"/>
    <w:rsid w:val="00097FE2"/>
    <w:rsid w:val="000C69D1"/>
    <w:rsid w:val="000E468C"/>
    <w:rsid w:val="000F1577"/>
    <w:rsid w:val="000F625C"/>
    <w:rsid w:val="00111C84"/>
    <w:rsid w:val="0011220F"/>
    <w:rsid w:val="00120345"/>
    <w:rsid w:val="00122223"/>
    <w:rsid w:val="00124922"/>
    <w:rsid w:val="00141862"/>
    <w:rsid w:val="001418B9"/>
    <w:rsid w:val="0014193D"/>
    <w:rsid w:val="00142CAE"/>
    <w:rsid w:val="00152206"/>
    <w:rsid w:val="001544EE"/>
    <w:rsid w:val="00156B61"/>
    <w:rsid w:val="00156B69"/>
    <w:rsid w:val="00163436"/>
    <w:rsid w:val="0016771D"/>
    <w:rsid w:val="001705FD"/>
    <w:rsid w:val="00174FA4"/>
    <w:rsid w:val="0018172E"/>
    <w:rsid w:val="00181AE5"/>
    <w:rsid w:val="001949CE"/>
    <w:rsid w:val="001A2615"/>
    <w:rsid w:val="001B16A2"/>
    <w:rsid w:val="001B2595"/>
    <w:rsid w:val="001B7E12"/>
    <w:rsid w:val="001C00E9"/>
    <w:rsid w:val="001C47BC"/>
    <w:rsid w:val="001D5D37"/>
    <w:rsid w:val="001D75A5"/>
    <w:rsid w:val="001E0B1B"/>
    <w:rsid w:val="001E5B3A"/>
    <w:rsid w:val="001E636C"/>
    <w:rsid w:val="001F69D9"/>
    <w:rsid w:val="001F7583"/>
    <w:rsid w:val="001F75E9"/>
    <w:rsid w:val="00204096"/>
    <w:rsid w:val="002058FF"/>
    <w:rsid w:val="00217B60"/>
    <w:rsid w:val="0022202D"/>
    <w:rsid w:val="00223923"/>
    <w:rsid w:val="0022539D"/>
    <w:rsid w:val="00226059"/>
    <w:rsid w:val="00235A85"/>
    <w:rsid w:val="00236455"/>
    <w:rsid w:val="00241583"/>
    <w:rsid w:val="00246DFC"/>
    <w:rsid w:val="00251F27"/>
    <w:rsid w:val="00252CC1"/>
    <w:rsid w:val="00252DA5"/>
    <w:rsid w:val="002607B3"/>
    <w:rsid w:val="00263774"/>
    <w:rsid w:val="00263CED"/>
    <w:rsid w:val="00266A14"/>
    <w:rsid w:val="0027017D"/>
    <w:rsid w:val="00275D87"/>
    <w:rsid w:val="00291C1D"/>
    <w:rsid w:val="002C1F09"/>
    <w:rsid w:val="002C7906"/>
    <w:rsid w:val="002D008B"/>
    <w:rsid w:val="002D1C45"/>
    <w:rsid w:val="002E7DD7"/>
    <w:rsid w:val="002F2632"/>
    <w:rsid w:val="002F32E4"/>
    <w:rsid w:val="002F4A84"/>
    <w:rsid w:val="002F60D7"/>
    <w:rsid w:val="00310D39"/>
    <w:rsid w:val="003146E7"/>
    <w:rsid w:val="00317CD9"/>
    <w:rsid w:val="00320186"/>
    <w:rsid w:val="0032668D"/>
    <w:rsid w:val="00334D44"/>
    <w:rsid w:val="003376D6"/>
    <w:rsid w:val="003628EC"/>
    <w:rsid w:val="00372D81"/>
    <w:rsid w:val="00373601"/>
    <w:rsid w:val="00377BBC"/>
    <w:rsid w:val="00380327"/>
    <w:rsid w:val="00381526"/>
    <w:rsid w:val="00381D37"/>
    <w:rsid w:val="00383264"/>
    <w:rsid w:val="00384CE0"/>
    <w:rsid w:val="0038588B"/>
    <w:rsid w:val="00387454"/>
    <w:rsid w:val="003906BB"/>
    <w:rsid w:val="003911C3"/>
    <w:rsid w:val="00396AAD"/>
    <w:rsid w:val="00396CB9"/>
    <w:rsid w:val="003A09A9"/>
    <w:rsid w:val="003A4B3C"/>
    <w:rsid w:val="003A65F1"/>
    <w:rsid w:val="003A782A"/>
    <w:rsid w:val="003B2B3E"/>
    <w:rsid w:val="003B3329"/>
    <w:rsid w:val="003C0A9A"/>
    <w:rsid w:val="003C1CAB"/>
    <w:rsid w:val="003D418D"/>
    <w:rsid w:val="003D509F"/>
    <w:rsid w:val="003D61AD"/>
    <w:rsid w:val="003D6796"/>
    <w:rsid w:val="003E6752"/>
    <w:rsid w:val="003E68FB"/>
    <w:rsid w:val="003E7C7F"/>
    <w:rsid w:val="003F136C"/>
    <w:rsid w:val="003F3E8A"/>
    <w:rsid w:val="00407B70"/>
    <w:rsid w:val="00411054"/>
    <w:rsid w:val="0041275E"/>
    <w:rsid w:val="0041302C"/>
    <w:rsid w:val="00445B44"/>
    <w:rsid w:val="00446BE1"/>
    <w:rsid w:val="00450AB9"/>
    <w:rsid w:val="00463CC3"/>
    <w:rsid w:val="00465A96"/>
    <w:rsid w:val="0046605E"/>
    <w:rsid w:val="00473C46"/>
    <w:rsid w:val="00474FA1"/>
    <w:rsid w:val="004765EE"/>
    <w:rsid w:val="0048059F"/>
    <w:rsid w:val="0048074B"/>
    <w:rsid w:val="004822FE"/>
    <w:rsid w:val="00487BC4"/>
    <w:rsid w:val="00487FFB"/>
    <w:rsid w:val="00491847"/>
    <w:rsid w:val="004A18C2"/>
    <w:rsid w:val="004A5A5A"/>
    <w:rsid w:val="004A5C8F"/>
    <w:rsid w:val="004B06A1"/>
    <w:rsid w:val="004B1D67"/>
    <w:rsid w:val="004B2E45"/>
    <w:rsid w:val="004E679D"/>
    <w:rsid w:val="004F5AC1"/>
    <w:rsid w:val="00501961"/>
    <w:rsid w:val="005132FB"/>
    <w:rsid w:val="005175F4"/>
    <w:rsid w:val="005446D5"/>
    <w:rsid w:val="00553D57"/>
    <w:rsid w:val="0055769D"/>
    <w:rsid w:val="005653CD"/>
    <w:rsid w:val="00572459"/>
    <w:rsid w:val="00580BB9"/>
    <w:rsid w:val="00585752"/>
    <w:rsid w:val="00585C98"/>
    <w:rsid w:val="00594D3A"/>
    <w:rsid w:val="00596D35"/>
    <w:rsid w:val="005A5DAC"/>
    <w:rsid w:val="005D0A75"/>
    <w:rsid w:val="005D0C21"/>
    <w:rsid w:val="005D1011"/>
    <w:rsid w:val="005E390C"/>
    <w:rsid w:val="005F21B7"/>
    <w:rsid w:val="00604776"/>
    <w:rsid w:val="00607DF7"/>
    <w:rsid w:val="00612718"/>
    <w:rsid w:val="0061308A"/>
    <w:rsid w:val="006132EC"/>
    <w:rsid w:val="0061394D"/>
    <w:rsid w:val="00625269"/>
    <w:rsid w:val="00630F7B"/>
    <w:rsid w:val="00633256"/>
    <w:rsid w:val="006343A9"/>
    <w:rsid w:val="0063743D"/>
    <w:rsid w:val="00640CE6"/>
    <w:rsid w:val="00651431"/>
    <w:rsid w:val="00677BFE"/>
    <w:rsid w:val="00680FFD"/>
    <w:rsid w:val="006825F2"/>
    <w:rsid w:val="00693F48"/>
    <w:rsid w:val="006B03D6"/>
    <w:rsid w:val="006B05A0"/>
    <w:rsid w:val="006B316E"/>
    <w:rsid w:val="006B57A8"/>
    <w:rsid w:val="006C4D18"/>
    <w:rsid w:val="006C6D50"/>
    <w:rsid w:val="006E2656"/>
    <w:rsid w:val="006E6831"/>
    <w:rsid w:val="006F7711"/>
    <w:rsid w:val="00702D0E"/>
    <w:rsid w:val="00713B63"/>
    <w:rsid w:val="007221D4"/>
    <w:rsid w:val="00727F78"/>
    <w:rsid w:val="00750B79"/>
    <w:rsid w:val="00751011"/>
    <w:rsid w:val="0075576A"/>
    <w:rsid w:val="00760128"/>
    <w:rsid w:val="00767194"/>
    <w:rsid w:val="007749F6"/>
    <w:rsid w:val="00787442"/>
    <w:rsid w:val="00792F37"/>
    <w:rsid w:val="007979C1"/>
    <w:rsid w:val="007A4C4B"/>
    <w:rsid w:val="007A52B1"/>
    <w:rsid w:val="007A6573"/>
    <w:rsid w:val="007B2CC5"/>
    <w:rsid w:val="007C555F"/>
    <w:rsid w:val="007D2ADD"/>
    <w:rsid w:val="007E72DE"/>
    <w:rsid w:val="007E73B5"/>
    <w:rsid w:val="007F0E46"/>
    <w:rsid w:val="007F1519"/>
    <w:rsid w:val="007F1D06"/>
    <w:rsid w:val="007F420E"/>
    <w:rsid w:val="00802D87"/>
    <w:rsid w:val="008057D1"/>
    <w:rsid w:val="00806222"/>
    <w:rsid w:val="00806B3D"/>
    <w:rsid w:val="00807C66"/>
    <w:rsid w:val="00810B64"/>
    <w:rsid w:val="00812B81"/>
    <w:rsid w:val="00821966"/>
    <w:rsid w:val="00853DE7"/>
    <w:rsid w:val="00863A60"/>
    <w:rsid w:val="0088567A"/>
    <w:rsid w:val="00897473"/>
    <w:rsid w:val="008A2A14"/>
    <w:rsid w:val="008A375F"/>
    <w:rsid w:val="008A3F87"/>
    <w:rsid w:val="008B2488"/>
    <w:rsid w:val="008C150D"/>
    <w:rsid w:val="008C3D41"/>
    <w:rsid w:val="008D406F"/>
    <w:rsid w:val="008E4BF4"/>
    <w:rsid w:val="008F58FD"/>
    <w:rsid w:val="00902A6C"/>
    <w:rsid w:val="009033E3"/>
    <w:rsid w:val="009045B5"/>
    <w:rsid w:val="009100D9"/>
    <w:rsid w:val="00931362"/>
    <w:rsid w:val="009326A5"/>
    <w:rsid w:val="00934547"/>
    <w:rsid w:val="0093458E"/>
    <w:rsid w:val="0093502C"/>
    <w:rsid w:val="00943667"/>
    <w:rsid w:val="00946644"/>
    <w:rsid w:val="009503B4"/>
    <w:rsid w:val="00955068"/>
    <w:rsid w:val="00960348"/>
    <w:rsid w:val="00960E73"/>
    <w:rsid w:val="00975818"/>
    <w:rsid w:val="0098292F"/>
    <w:rsid w:val="00983BC8"/>
    <w:rsid w:val="009A33F9"/>
    <w:rsid w:val="009B0658"/>
    <w:rsid w:val="009B61FA"/>
    <w:rsid w:val="009B705E"/>
    <w:rsid w:val="009D7079"/>
    <w:rsid w:val="009E229E"/>
    <w:rsid w:val="009F0794"/>
    <w:rsid w:val="00A02A0F"/>
    <w:rsid w:val="00A07DD9"/>
    <w:rsid w:val="00A20B70"/>
    <w:rsid w:val="00A21161"/>
    <w:rsid w:val="00A335AC"/>
    <w:rsid w:val="00A3654F"/>
    <w:rsid w:val="00A63BFD"/>
    <w:rsid w:val="00A65479"/>
    <w:rsid w:val="00A65F86"/>
    <w:rsid w:val="00A6733A"/>
    <w:rsid w:val="00A7021A"/>
    <w:rsid w:val="00A73275"/>
    <w:rsid w:val="00A765EA"/>
    <w:rsid w:val="00A77196"/>
    <w:rsid w:val="00A90C78"/>
    <w:rsid w:val="00A910F1"/>
    <w:rsid w:val="00AA0FB9"/>
    <w:rsid w:val="00AB28A2"/>
    <w:rsid w:val="00AB7499"/>
    <w:rsid w:val="00AB78C1"/>
    <w:rsid w:val="00AD3E00"/>
    <w:rsid w:val="00AD4F10"/>
    <w:rsid w:val="00AE325E"/>
    <w:rsid w:val="00AF0E66"/>
    <w:rsid w:val="00AF65B7"/>
    <w:rsid w:val="00AF772F"/>
    <w:rsid w:val="00B20AEF"/>
    <w:rsid w:val="00B233D4"/>
    <w:rsid w:val="00B26120"/>
    <w:rsid w:val="00B27948"/>
    <w:rsid w:val="00B41714"/>
    <w:rsid w:val="00B43579"/>
    <w:rsid w:val="00B56556"/>
    <w:rsid w:val="00B627EC"/>
    <w:rsid w:val="00B63B78"/>
    <w:rsid w:val="00B64F22"/>
    <w:rsid w:val="00B7344A"/>
    <w:rsid w:val="00B75608"/>
    <w:rsid w:val="00B773CF"/>
    <w:rsid w:val="00B77B46"/>
    <w:rsid w:val="00B859B0"/>
    <w:rsid w:val="00B85ED2"/>
    <w:rsid w:val="00BA1987"/>
    <w:rsid w:val="00BB2494"/>
    <w:rsid w:val="00BB3D1C"/>
    <w:rsid w:val="00BC116D"/>
    <w:rsid w:val="00BC41EA"/>
    <w:rsid w:val="00BC6CEC"/>
    <w:rsid w:val="00BD0A91"/>
    <w:rsid w:val="00BE7F63"/>
    <w:rsid w:val="00C076C3"/>
    <w:rsid w:val="00C16CF8"/>
    <w:rsid w:val="00C2182E"/>
    <w:rsid w:val="00C26A28"/>
    <w:rsid w:val="00C44410"/>
    <w:rsid w:val="00C47956"/>
    <w:rsid w:val="00C52B7B"/>
    <w:rsid w:val="00C557FE"/>
    <w:rsid w:val="00C56D9F"/>
    <w:rsid w:val="00C62622"/>
    <w:rsid w:val="00C64803"/>
    <w:rsid w:val="00C73258"/>
    <w:rsid w:val="00C8656B"/>
    <w:rsid w:val="00C93DB1"/>
    <w:rsid w:val="00C96F51"/>
    <w:rsid w:val="00CA691F"/>
    <w:rsid w:val="00CA6BCC"/>
    <w:rsid w:val="00CB61E8"/>
    <w:rsid w:val="00CC3C22"/>
    <w:rsid w:val="00CC7BAC"/>
    <w:rsid w:val="00CE3159"/>
    <w:rsid w:val="00CE3A5D"/>
    <w:rsid w:val="00D153E7"/>
    <w:rsid w:val="00D16A63"/>
    <w:rsid w:val="00D17296"/>
    <w:rsid w:val="00D22374"/>
    <w:rsid w:val="00D22497"/>
    <w:rsid w:val="00D32A26"/>
    <w:rsid w:val="00D3463D"/>
    <w:rsid w:val="00D43D5A"/>
    <w:rsid w:val="00D45406"/>
    <w:rsid w:val="00D56BAC"/>
    <w:rsid w:val="00D61E67"/>
    <w:rsid w:val="00D65992"/>
    <w:rsid w:val="00D66D95"/>
    <w:rsid w:val="00D813B5"/>
    <w:rsid w:val="00D837DB"/>
    <w:rsid w:val="00D8715C"/>
    <w:rsid w:val="00D87EA0"/>
    <w:rsid w:val="00D949D3"/>
    <w:rsid w:val="00D94D1F"/>
    <w:rsid w:val="00D9539B"/>
    <w:rsid w:val="00DA4945"/>
    <w:rsid w:val="00DB2BCD"/>
    <w:rsid w:val="00DC20BA"/>
    <w:rsid w:val="00DC65D6"/>
    <w:rsid w:val="00DD004E"/>
    <w:rsid w:val="00DD31C6"/>
    <w:rsid w:val="00DD4146"/>
    <w:rsid w:val="00DD65FE"/>
    <w:rsid w:val="00DE1C36"/>
    <w:rsid w:val="00DE566F"/>
    <w:rsid w:val="00DE6763"/>
    <w:rsid w:val="00E06B24"/>
    <w:rsid w:val="00E06C43"/>
    <w:rsid w:val="00E256FE"/>
    <w:rsid w:val="00E41885"/>
    <w:rsid w:val="00E43952"/>
    <w:rsid w:val="00E45375"/>
    <w:rsid w:val="00E4552C"/>
    <w:rsid w:val="00E53329"/>
    <w:rsid w:val="00E54A6B"/>
    <w:rsid w:val="00E64674"/>
    <w:rsid w:val="00E67FB6"/>
    <w:rsid w:val="00E71077"/>
    <w:rsid w:val="00E714A3"/>
    <w:rsid w:val="00E830DB"/>
    <w:rsid w:val="00E90C7C"/>
    <w:rsid w:val="00E93DE8"/>
    <w:rsid w:val="00E94752"/>
    <w:rsid w:val="00E969D2"/>
    <w:rsid w:val="00E97E44"/>
    <w:rsid w:val="00EA11E4"/>
    <w:rsid w:val="00EA3DEC"/>
    <w:rsid w:val="00EB11D3"/>
    <w:rsid w:val="00EC0139"/>
    <w:rsid w:val="00EC5DF7"/>
    <w:rsid w:val="00EC7FB7"/>
    <w:rsid w:val="00ED751B"/>
    <w:rsid w:val="00EE4E35"/>
    <w:rsid w:val="00EF3DCD"/>
    <w:rsid w:val="00EF620A"/>
    <w:rsid w:val="00F01703"/>
    <w:rsid w:val="00F117B1"/>
    <w:rsid w:val="00F155A7"/>
    <w:rsid w:val="00F17575"/>
    <w:rsid w:val="00F2281D"/>
    <w:rsid w:val="00F3259A"/>
    <w:rsid w:val="00F348F6"/>
    <w:rsid w:val="00F73D2D"/>
    <w:rsid w:val="00F74440"/>
    <w:rsid w:val="00F80D84"/>
    <w:rsid w:val="00F82238"/>
    <w:rsid w:val="00F85F4C"/>
    <w:rsid w:val="00F867FF"/>
    <w:rsid w:val="00F91936"/>
    <w:rsid w:val="00F94ED0"/>
    <w:rsid w:val="00F97F67"/>
    <w:rsid w:val="00FA1765"/>
    <w:rsid w:val="00FA6671"/>
    <w:rsid w:val="00FB2C03"/>
    <w:rsid w:val="00FC19CF"/>
    <w:rsid w:val="00FC428D"/>
    <w:rsid w:val="00FC59CD"/>
    <w:rsid w:val="00FD1777"/>
    <w:rsid w:val="00FE03EA"/>
    <w:rsid w:val="00FE108B"/>
    <w:rsid w:val="00FE11A2"/>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EBC4BC"/>
  <w15:docId w15:val="{71A2E9EC-F6D6-44F4-8C30-0C906AD1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A6573"/>
  </w:style>
  <w:style w:type="paragraph" w:styleId="Header">
    <w:name w:val="header"/>
    <w:basedOn w:val="Normal"/>
    <w:rsid w:val="007C555F"/>
    <w:pPr>
      <w:tabs>
        <w:tab w:val="center" w:pos="4320"/>
        <w:tab w:val="right" w:pos="8640"/>
      </w:tabs>
    </w:pPr>
  </w:style>
  <w:style w:type="paragraph" w:styleId="FootnoteText">
    <w:name w:val="footnote text"/>
    <w:basedOn w:val="Normal"/>
    <w:semiHidden/>
    <w:rsid w:val="001F7583"/>
  </w:style>
  <w:style w:type="paragraph" w:styleId="BalloonText">
    <w:name w:val="Balloon Text"/>
    <w:basedOn w:val="Normal"/>
    <w:link w:val="BalloonTextChar"/>
    <w:rsid w:val="008057D1"/>
    <w:rPr>
      <w:rFonts w:ascii="Tahoma" w:hAnsi="Tahoma" w:cs="Tahoma"/>
      <w:sz w:val="16"/>
      <w:szCs w:val="16"/>
    </w:rPr>
  </w:style>
  <w:style w:type="character" w:customStyle="1" w:styleId="BalloonTextChar">
    <w:name w:val="Balloon Text Char"/>
    <w:basedOn w:val="DefaultParagraphFont"/>
    <w:link w:val="BalloonText"/>
    <w:rsid w:val="008057D1"/>
    <w:rPr>
      <w:rFonts w:ascii="Tahoma" w:hAnsi="Tahoma" w:cs="Tahoma"/>
      <w:sz w:val="16"/>
      <w:szCs w:val="16"/>
    </w:rPr>
  </w:style>
  <w:style w:type="character" w:customStyle="1" w:styleId="FooterChar">
    <w:name w:val="Footer Char"/>
    <w:basedOn w:val="DefaultParagraphFont"/>
    <w:link w:val="Footer"/>
    <w:uiPriority w:val="99"/>
    <w:rsid w:val="00067502"/>
  </w:style>
  <w:style w:type="paragraph" w:customStyle="1" w:styleId="ParaTab1">
    <w:name w:val="ParaTab 1"/>
    <w:rsid w:val="002C7906"/>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2C790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27BC-5FFF-4182-821A-119B3DA4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2849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Oldynski, Sandra</cp:lastModifiedBy>
  <cp:revision>51</cp:revision>
  <cp:lastPrinted>2018-05-22T12:02:00Z</cp:lastPrinted>
  <dcterms:created xsi:type="dcterms:W3CDTF">2018-05-21T19:10:00Z</dcterms:created>
  <dcterms:modified xsi:type="dcterms:W3CDTF">2018-05-22T14:50:00Z</dcterms:modified>
</cp:coreProperties>
</file>