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1BA9" w14:textId="6409F4C9"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2AA1F9B0"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22F4AB5F" w14:textId="77777777" w:rsidR="00587D3D" w:rsidRPr="004F5AC1" w:rsidRDefault="00587D3D" w:rsidP="00587D3D">
      <w:pPr>
        <w:tabs>
          <w:tab w:val="center" w:pos="4680"/>
        </w:tabs>
        <w:jc w:val="both"/>
        <w:rPr>
          <w:b/>
          <w:sz w:val="24"/>
          <w:szCs w:val="24"/>
        </w:rPr>
      </w:pPr>
    </w:p>
    <w:p w14:paraId="1F5F0FDA" w14:textId="77777777" w:rsidR="00587D3D" w:rsidRDefault="00587D3D" w:rsidP="00587D3D">
      <w:pPr>
        <w:tabs>
          <w:tab w:val="left" w:pos="0"/>
        </w:tabs>
        <w:spacing w:line="233" w:lineRule="auto"/>
        <w:jc w:val="both"/>
        <w:rPr>
          <w:b/>
          <w:sz w:val="24"/>
        </w:rPr>
      </w:pPr>
    </w:p>
    <w:p w14:paraId="1CEFE019" w14:textId="77777777" w:rsidR="00587D3D" w:rsidRDefault="00587D3D" w:rsidP="00587D3D">
      <w:pPr>
        <w:tabs>
          <w:tab w:val="left" w:pos="0"/>
        </w:tabs>
        <w:spacing w:line="233" w:lineRule="auto"/>
        <w:jc w:val="both"/>
        <w:rPr>
          <w:b/>
          <w:sz w:val="24"/>
        </w:rPr>
      </w:pPr>
    </w:p>
    <w:p w14:paraId="3974DC43" w14:textId="77777777" w:rsidR="00587D3D" w:rsidRDefault="00587D3D" w:rsidP="00587D3D">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5332C8DF"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r>
        <w:rPr>
          <w:sz w:val="24"/>
        </w:rPr>
        <w:tab/>
      </w:r>
      <w:r>
        <w:rPr>
          <w:sz w:val="24"/>
        </w:rPr>
        <w:tab/>
        <w:t>R-2018-3000829</w:t>
      </w:r>
    </w:p>
    <w:p w14:paraId="5E5102F4"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64EB32B7" w14:textId="77777777" w:rsidR="00587D3D" w:rsidRDefault="00587D3D" w:rsidP="00587D3D">
      <w:pPr>
        <w:tabs>
          <w:tab w:val="left" w:pos="0"/>
        </w:tabs>
        <w:spacing w:line="233" w:lineRule="auto"/>
        <w:jc w:val="both"/>
        <w:rPr>
          <w:sz w:val="24"/>
        </w:rPr>
      </w:pPr>
      <w:r>
        <w:rPr>
          <w:sz w:val="24"/>
        </w:rPr>
        <w:t>Office of Consumer Advocate</w:t>
      </w:r>
      <w:r>
        <w:rPr>
          <w:sz w:val="24"/>
        </w:rPr>
        <w:tab/>
      </w:r>
      <w:r>
        <w:rPr>
          <w:sz w:val="24"/>
        </w:rPr>
        <w:tab/>
      </w:r>
      <w:r>
        <w:rPr>
          <w:sz w:val="24"/>
        </w:rPr>
        <w:tab/>
        <w:t>:</w:t>
      </w:r>
      <w:r>
        <w:rPr>
          <w:sz w:val="24"/>
        </w:rPr>
        <w:tab/>
      </w:r>
      <w:r>
        <w:rPr>
          <w:sz w:val="24"/>
        </w:rPr>
        <w:tab/>
        <w:t>C-2018-3001029</w:t>
      </w:r>
    </w:p>
    <w:p w14:paraId="2E057BC9" w14:textId="77777777" w:rsidR="00587D3D" w:rsidRDefault="00587D3D" w:rsidP="00587D3D">
      <w:pPr>
        <w:tabs>
          <w:tab w:val="left" w:pos="0"/>
        </w:tabs>
        <w:spacing w:line="233" w:lineRule="auto"/>
        <w:jc w:val="both"/>
        <w:rPr>
          <w:sz w:val="24"/>
        </w:rPr>
      </w:pPr>
      <w:r>
        <w:rPr>
          <w:sz w:val="24"/>
        </w:rPr>
        <w:t>Jason Dolby</w:t>
      </w:r>
      <w:r>
        <w:rPr>
          <w:sz w:val="24"/>
        </w:rPr>
        <w:tab/>
      </w:r>
      <w:r>
        <w:rPr>
          <w:sz w:val="24"/>
        </w:rPr>
        <w:tab/>
      </w:r>
      <w:r>
        <w:rPr>
          <w:sz w:val="24"/>
        </w:rPr>
        <w:tab/>
      </w:r>
      <w:r>
        <w:rPr>
          <w:sz w:val="24"/>
        </w:rPr>
        <w:tab/>
      </w:r>
      <w:r>
        <w:rPr>
          <w:sz w:val="24"/>
        </w:rPr>
        <w:tab/>
      </w:r>
      <w:r>
        <w:rPr>
          <w:sz w:val="24"/>
        </w:rPr>
        <w:tab/>
        <w:t>:</w:t>
      </w:r>
      <w:r>
        <w:rPr>
          <w:sz w:val="24"/>
        </w:rPr>
        <w:tab/>
      </w:r>
      <w:r>
        <w:rPr>
          <w:sz w:val="24"/>
        </w:rPr>
        <w:tab/>
        <w:t>C-2018-3001074</w:t>
      </w:r>
    </w:p>
    <w:p w14:paraId="236A97AD" w14:textId="77777777" w:rsidR="00587D3D" w:rsidRDefault="00587D3D" w:rsidP="00587D3D">
      <w:pPr>
        <w:tabs>
          <w:tab w:val="left" w:pos="0"/>
        </w:tabs>
        <w:spacing w:line="233" w:lineRule="auto"/>
        <w:jc w:val="both"/>
        <w:rPr>
          <w:sz w:val="24"/>
        </w:rPr>
      </w:pPr>
      <w:r>
        <w:rPr>
          <w:sz w:val="24"/>
        </w:rPr>
        <w:t>Peoples Natural Gas Company LLC</w:t>
      </w:r>
      <w:r>
        <w:rPr>
          <w:sz w:val="24"/>
        </w:rPr>
        <w:tab/>
      </w:r>
      <w:r>
        <w:rPr>
          <w:sz w:val="24"/>
        </w:rPr>
        <w:tab/>
      </w:r>
      <w:r>
        <w:rPr>
          <w:sz w:val="24"/>
        </w:rPr>
        <w:tab/>
        <w:t>:</w:t>
      </w:r>
      <w:r>
        <w:rPr>
          <w:sz w:val="24"/>
        </w:rPr>
        <w:tab/>
      </w:r>
      <w:r>
        <w:rPr>
          <w:sz w:val="24"/>
        </w:rPr>
        <w:tab/>
        <w:t>C-2018-3001152</w:t>
      </w:r>
    </w:p>
    <w:p w14:paraId="4B499087" w14:textId="77777777" w:rsidR="00587D3D" w:rsidRDefault="00587D3D" w:rsidP="00587D3D">
      <w:pPr>
        <w:tabs>
          <w:tab w:val="left" w:pos="0"/>
        </w:tabs>
        <w:spacing w:line="233" w:lineRule="auto"/>
        <w:ind w:left="720" w:hanging="720"/>
        <w:jc w:val="both"/>
        <w:rPr>
          <w:sz w:val="24"/>
        </w:rPr>
      </w:pPr>
      <w:r>
        <w:rPr>
          <w:sz w:val="24"/>
        </w:rPr>
        <w:t>Office of Small Business Advocate</w:t>
      </w:r>
      <w:r>
        <w:rPr>
          <w:sz w:val="24"/>
        </w:rPr>
        <w:tab/>
      </w:r>
      <w:r>
        <w:rPr>
          <w:sz w:val="24"/>
        </w:rPr>
        <w:tab/>
      </w:r>
      <w:r>
        <w:rPr>
          <w:sz w:val="24"/>
        </w:rPr>
        <w:tab/>
        <w:t>:</w:t>
      </w:r>
      <w:r>
        <w:rPr>
          <w:sz w:val="24"/>
        </w:rPr>
        <w:tab/>
      </w:r>
      <w:r>
        <w:rPr>
          <w:sz w:val="24"/>
        </w:rPr>
        <w:tab/>
        <w:t>C-2018-3001566</w:t>
      </w:r>
    </w:p>
    <w:p w14:paraId="603A6C39" w14:textId="77777777" w:rsidR="00587D3D" w:rsidRDefault="00587D3D" w:rsidP="00587D3D">
      <w:pPr>
        <w:tabs>
          <w:tab w:val="left" w:pos="0"/>
        </w:tabs>
        <w:spacing w:line="233" w:lineRule="auto"/>
        <w:ind w:left="720" w:hanging="720"/>
        <w:jc w:val="both"/>
        <w:rPr>
          <w:sz w:val="24"/>
        </w:rPr>
      </w:pPr>
      <w:r>
        <w:rPr>
          <w:sz w:val="24"/>
        </w:rPr>
        <w:t>Duquesne Industrial Intervenors</w:t>
      </w:r>
      <w:r>
        <w:rPr>
          <w:sz w:val="24"/>
        </w:rPr>
        <w:tab/>
      </w:r>
      <w:r>
        <w:rPr>
          <w:sz w:val="24"/>
        </w:rPr>
        <w:tab/>
      </w:r>
      <w:r>
        <w:rPr>
          <w:sz w:val="24"/>
        </w:rPr>
        <w:tab/>
        <w:t>:</w:t>
      </w:r>
      <w:r>
        <w:rPr>
          <w:sz w:val="24"/>
        </w:rPr>
        <w:tab/>
      </w:r>
      <w:r>
        <w:rPr>
          <w:sz w:val="24"/>
        </w:rPr>
        <w:tab/>
        <w:t>C-2018-3001713</w:t>
      </w:r>
    </w:p>
    <w:p w14:paraId="3C56B71A" w14:textId="77777777" w:rsidR="00587D3D" w:rsidRDefault="00587D3D" w:rsidP="00587D3D">
      <w:pPr>
        <w:tabs>
          <w:tab w:val="left" w:pos="0"/>
        </w:tabs>
        <w:spacing w:line="233" w:lineRule="auto"/>
        <w:ind w:left="720" w:hanging="720"/>
        <w:jc w:val="both"/>
        <w:rPr>
          <w:sz w:val="24"/>
        </w:rPr>
      </w:pPr>
      <w:r>
        <w:rPr>
          <w:sz w:val="24"/>
        </w:rPr>
        <w:t>Leonard Coyer</w:t>
      </w:r>
      <w:r>
        <w:rPr>
          <w:sz w:val="24"/>
        </w:rPr>
        <w:tab/>
      </w:r>
      <w:r>
        <w:rPr>
          <w:sz w:val="24"/>
        </w:rPr>
        <w:tab/>
      </w:r>
      <w:r>
        <w:rPr>
          <w:sz w:val="24"/>
        </w:rPr>
        <w:tab/>
      </w:r>
      <w:r>
        <w:rPr>
          <w:sz w:val="24"/>
        </w:rPr>
        <w:tab/>
      </w:r>
      <w:r>
        <w:rPr>
          <w:sz w:val="24"/>
        </w:rPr>
        <w:tab/>
        <w:t>:</w:t>
      </w:r>
      <w:r>
        <w:rPr>
          <w:sz w:val="24"/>
        </w:rPr>
        <w:tab/>
      </w:r>
      <w:r>
        <w:rPr>
          <w:sz w:val="24"/>
        </w:rPr>
        <w:tab/>
        <w:t>C-2018-3002424</w:t>
      </w:r>
    </w:p>
    <w:p w14:paraId="65BB259A" w14:textId="77777777" w:rsidR="00587D3D" w:rsidRDefault="00587D3D" w:rsidP="00587D3D">
      <w:pPr>
        <w:tabs>
          <w:tab w:val="left" w:pos="0"/>
        </w:tabs>
        <w:spacing w:line="233" w:lineRule="auto"/>
        <w:ind w:left="720" w:hanging="720"/>
        <w:jc w:val="both"/>
        <w:rPr>
          <w:sz w:val="24"/>
        </w:rPr>
      </w:pPr>
      <w:r>
        <w:rPr>
          <w:sz w:val="24"/>
        </w:rPr>
        <w:t>NRG Energy Center Pittsburgh LLC</w:t>
      </w:r>
      <w:r>
        <w:rPr>
          <w:sz w:val="24"/>
        </w:rPr>
        <w:tab/>
      </w:r>
      <w:r>
        <w:rPr>
          <w:sz w:val="24"/>
        </w:rPr>
        <w:tab/>
      </w:r>
      <w:r>
        <w:rPr>
          <w:sz w:val="24"/>
        </w:rPr>
        <w:tab/>
        <w:t>:</w:t>
      </w:r>
      <w:r>
        <w:rPr>
          <w:sz w:val="24"/>
        </w:rPr>
        <w:tab/>
      </w:r>
      <w:r>
        <w:rPr>
          <w:sz w:val="24"/>
        </w:rPr>
        <w:tab/>
        <w:t>C-2018-3002755</w:t>
      </w:r>
    </w:p>
    <w:p w14:paraId="579E77E2" w14:textId="77777777" w:rsidR="00587D3D" w:rsidRDefault="00587D3D" w:rsidP="00587D3D">
      <w:pPr>
        <w:tabs>
          <w:tab w:val="left" w:pos="0"/>
        </w:tabs>
        <w:spacing w:line="233" w:lineRule="auto"/>
        <w:jc w:val="both"/>
        <w:rPr>
          <w:sz w:val="24"/>
        </w:rPr>
      </w:pPr>
      <w:r>
        <w:rPr>
          <w:sz w:val="24"/>
        </w:rPr>
        <w:tab/>
      </w:r>
      <w:r>
        <w:rPr>
          <w:sz w:val="24"/>
        </w:rPr>
        <w:tab/>
      </w:r>
      <w:r>
        <w:rPr>
          <w:sz w:val="24"/>
        </w:rPr>
        <w:tab/>
      </w:r>
      <w:r>
        <w:rPr>
          <w:sz w:val="24"/>
        </w:rPr>
        <w:tab/>
      </w:r>
      <w:r>
        <w:rPr>
          <w:sz w:val="24"/>
        </w:rPr>
        <w:tab/>
      </w:r>
      <w:r>
        <w:rPr>
          <w:sz w:val="24"/>
        </w:rPr>
        <w:tab/>
      </w:r>
      <w:r>
        <w:rPr>
          <w:sz w:val="24"/>
        </w:rPr>
        <w:tab/>
        <w:t>:</w:t>
      </w:r>
    </w:p>
    <w:p w14:paraId="756A0B5D" w14:textId="77777777" w:rsidR="00587D3D" w:rsidRDefault="00587D3D" w:rsidP="00587D3D">
      <w:pPr>
        <w:tabs>
          <w:tab w:val="left" w:pos="0"/>
        </w:tabs>
        <w:spacing w:line="233" w:lineRule="auto"/>
        <w:jc w:val="both"/>
        <w:rPr>
          <w:b/>
          <w:sz w:val="24"/>
        </w:rPr>
      </w:pPr>
      <w:r>
        <w:rPr>
          <w:sz w:val="24"/>
        </w:rPr>
        <w:tab/>
        <w:t>v.</w:t>
      </w:r>
      <w:r>
        <w:rPr>
          <w:sz w:val="24"/>
        </w:rPr>
        <w:tab/>
      </w:r>
      <w:r>
        <w:rPr>
          <w:sz w:val="24"/>
        </w:rPr>
        <w:tab/>
      </w:r>
      <w:r>
        <w:rPr>
          <w:sz w:val="24"/>
        </w:rPr>
        <w:tab/>
      </w:r>
      <w:r>
        <w:rPr>
          <w:sz w:val="24"/>
        </w:rPr>
        <w:tab/>
      </w:r>
      <w:r>
        <w:rPr>
          <w:sz w:val="24"/>
        </w:rPr>
        <w:tab/>
      </w:r>
      <w:r>
        <w:rPr>
          <w:sz w:val="24"/>
        </w:rPr>
        <w:tab/>
      </w:r>
      <w:r w:rsidRPr="00560DC5">
        <w:rPr>
          <w:sz w:val="24"/>
        </w:rPr>
        <w:t>:</w:t>
      </w:r>
      <w:r>
        <w:rPr>
          <w:b/>
          <w:sz w:val="24"/>
        </w:rPr>
        <w:tab/>
      </w:r>
    </w:p>
    <w:p w14:paraId="0042EF11" w14:textId="77777777" w:rsidR="00587D3D" w:rsidRPr="00F450E2" w:rsidRDefault="00587D3D" w:rsidP="00587D3D">
      <w:pPr>
        <w:tabs>
          <w:tab w:val="left" w:pos="0"/>
        </w:tabs>
        <w:spacing w:line="233" w:lineRule="auto"/>
        <w:jc w:val="both"/>
        <w:rPr>
          <w:sz w:val="24"/>
        </w:rPr>
      </w:pPr>
      <w:r>
        <w:rPr>
          <w:b/>
          <w:sz w:val="24"/>
        </w:rPr>
        <w:tab/>
      </w:r>
      <w:r>
        <w:rPr>
          <w:b/>
          <w:sz w:val="24"/>
        </w:rPr>
        <w:tab/>
      </w:r>
      <w:r>
        <w:rPr>
          <w:b/>
          <w:sz w:val="24"/>
        </w:rPr>
        <w:tab/>
      </w:r>
      <w:r>
        <w:rPr>
          <w:b/>
          <w:sz w:val="24"/>
        </w:rPr>
        <w:tab/>
      </w:r>
      <w:r>
        <w:rPr>
          <w:b/>
          <w:sz w:val="24"/>
        </w:rPr>
        <w:tab/>
      </w:r>
      <w:r>
        <w:rPr>
          <w:b/>
          <w:sz w:val="24"/>
        </w:rPr>
        <w:tab/>
      </w:r>
      <w:r>
        <w:rPr>
          <w:b/>
          <w:sz w:val="24"/>
        </w:rPr>
        <w:tab/>
      </w:r>
      <w:r w:rsidRPr="00F450E2">
        <w:rPr>
          <w:sz w:val="24"/>
        </w:rPr>
        <w:t>:</w:t>
      </w:r>
    </w:p>
    <w:p w14:paraId="22DA1174" w14:textId="77777777" w:rsidR="00587D3D" w:rsidRDefault="00587D3D" w:rsidP="00587D3D">
      <w:pPr>
        <w:tabs>
          <w:tab w:val="left" w:pos="0"/>
        </w:tabs>
        <w:spacing w:line="233" w:lineRule="auto"/>
        <w:jc w:val="both"/>
        <w:rPr>
          <w:sz w:val="24"/>
        </w:rPr>
      </w:pPr>
      <w:r>
        <w:rPr>
          <w:sz w:val="24"/>
        </w:rPr>
        <w:t xml:space="preserve">Duquesne Light Company </w:t>
      </w:r>
      <w:r>
        <w:rPr>
          <w:sz w:val="24"/>
        </w:rPr>
        <w:tab/>
        <w:t xml:space="preserve"> </w:t>
      </w:r>
      <w:r>
        <w:rPr>
          <w:sz w:val="24"/>
        </w:rPr>
        <w:tab/>
      </w:r>
      <w:r>
        <w:rPr>
          <w:sz w:val="24"/>
        </w:rPr>
        <w:tab/>
      </w:r>
      <w:r>
        <w:rPr>
          <w:sz w:val="24"/>
        </w:rPr>
        <w:tab/>
        <w:t>:</w:t>
      </w:r>
    </w:p>
    <w:p w14:paraId="22DC646A" w14:textId="77777777" w:rsidR="00587D3D" w:rsidRDefault="00587D3D" w:rsidP="00587D3D">
      <w:pPr>
        <w:tabs>
          <w:tab w:val="left" w:pos="0"/>
        </w:tabs>
        <w:spacing w:line="233" w:lineRule="auto"/>
        <w:jc w:val="both"/>
        <w:rPr>
          <w:sz w:val="24"/>
        </w:rPr>
      </w:pPr>
      <w:r>
        <w:rPr>
          <w:sz w:val="24"/>
        </w:rPr>
        <w:t>1308(d) Proceeding</w:t>
      </w:r>
      <w:r>
        <w:rPr>
          <w:sz w:val="24"/>
        </w:rPr>
        <w:tab/>
      </w:r>
      <w:r>
        <w:rPr>
          <w:sz w:val="24"/>
        </w:rPr>
        <w:tab/>
      </w:r>
      <w:r>
        <w:rPr>
          <w:sz w:val="24"/>
        </w:rPr>
        <w:tab/>
        <w:t xml:space="preserve"> </w:t>
      </w:r>
      <w:r>
        <w:rPr>
          <w:sz w:val="24"/>
        </w:rPr>
        <w:tab/>
      </w:r>
      <w:r>
        <w:rPr>
          <w:sz w:val="24"/>
        </w:rPr>
        <w:tab/>
        <w:t>:</w:t>
      </w:r>
    </w:p>
    <w:p w14:paraId="7C04ED21" w14:textId="77777777" w:rsidR="00587D3D" w:rsidRDefault="00587D3D" w:rsidP="00587D3D">
      <w:pPr>
        <w:tabs>
          <w:tab w:val="left" w:pos="0"/>
        </w:tabs>
        <w:spacing w:line="233" w:lineRule="auto"/>
        <w:jc w:val="both"/>
        <w:rPr>
          <w:sz w:val="24"/>
        </w:rPr>
      </w:pPr>
    </w:p>
    <w:p w14:paraId="3760A7F6" w14:textId="74E694E6" w:rsidR="00635EF4" w:rsidRDefault="00635EF4" w:rsidP="00587D3D">
      <w:pPr>
        <w:tabs>
          <w:tab w:val="center" w:pos="4680"/>
        </w:tabs>
        <w:jc w:val="both"/>
        <w:rPr>
          <w:sz w:val="24"/>
        </w:rPr>
      </w:pPr>
    </w:p>
    <w:p w14:paraId="12184A88" w14:textId="77777777" w:rsidR="00635EF4" w:rsidRDefault="00635EF4" w:rsidP="00635EF4">
      <w:pPr>
        <w:tabs>
          <w:tab w:val="left" w:pos="0"/>
        </w:tabs>
        <w:spacing w:line="233" w:lineRule="auto"/>
        <w:jc w:val="both"/>
        <w:rPr>
          <w:sz w:val="24"/>
        </w:rPr>
      </w:pPr>
    </w:p>
    <w:bookmarkEnd w:id="0"/>
    <w:p w14:paraId="6055F65D" w14:textId="10E7E02F" w:rsidR="007812A5" w:rsidRDefault="002C6080" w:rsidP="00292335">
      <w:pPr>
        <w:spacing w:line="233" w:lineRule="auto"/>
        <w:jc w:val="center"/>
        <w:rPr>
          <w:b/>
          <w:sz w:val="24"/>
          <w:szCs w:val="24"/>
          <w:u w:val="single"/>
        </w:rPr>
      </w:pPr>
      <w:r>
        <w:rPr>
          <w:b/>
          <w:sz w:val="24"/>
          <w:szCs w:val="24"/>
          <w:u w:val="single"/>
        </w:rPr>
        <w:t>EIGHTH</w:t>
      </w:r>
      <w:r w:rsidR="00B70134">
        <w:rPr>
          <w:b/>
          <w:sz w:val="24"/>
          <w:szCs w:val="24"/>
          <w:u w:val="single"/>
        </w:rPr>
        <w:t xml:space="preserve"> </w:t>
      </w:r>
      <w:r w:rsidR="00D16530">
        <w:rPr>
          <w:b/>
          <w:sz w:val="24"/>
          <w:szCs w:val="24"/>
          <w:u w:val="single"/>
        </w:rPr>
        <w:t xml:space="preserve">INTERIM </w:t>
      </w:r>
      <w:r w:rsidR="007812A5" w:rsidRPr="00292335">
        <w:rPr>
          <w:b/>
          <w:sz w:val="24"/>
          <w:szCs w:val="24"/>
          <w:u w:val="single"/>
        </w:rPr>
        <w:t>ORDER</w:t>
      </w:r>
    </w:p>
    <w:p w14:paraId="5CD935A2" w14:textId="77777777" w:rsidR="00884E1F" w:rsidRDefault="00884E1F" w:rsidP="00292335">
      <w:pPr>
        <w:spacing w:line="233" w:lineRule="auto"/>
        <w:jc w:val="center"/>
        <w:rPr>
          <w:b/>
          <w:sz w:val="24"/>
          <w:szCs w:val="24"/>
          <w:u w:val="single"/>
        </w:rPr>
      </w:pPr>
    </w:p>
    <w:p w14:paraId="339F8277" w14:textId="77777777" w:rsidR="002C6080" w:rsidRDefault="00CC12C2" w:rsidP="002C6080">
      <w:pPr>
        <w:spacing w:line="233" w:lineRule="auto"/>
        <w:jc w:val="center"/>
        <w:rPr>
          <w:sz w:val="24"/>
          <w:szCs w:val="24"/>
          <w:u w:val="single"/>
        </w:rPr>
      </w:pPr>
      <w:r>
        <w:rPr>
          <w:sz w:val="24"/>
          <w:szCs w:val="24"/>
          <w:u w:val="single"/>
        </w:rPr>
        <w:t>Grant</w:t>
      </w:r>
      <w:r w:rsidR="002C6080">
        <w:rPr>
          <w:sz w:val="24"/>
          <w:szCs w:val="24"/>
          <w:u w:val="single"/>
        </w:rPr>
        <w:t xml:space="preserve"> Motion of </w:t>
      </w:r>
    </w:p>
    <w:p w14:paraId="2536B33E" w14:textId="2940BD00" w:rsidR="002C6080" w:rsidRDefault="002C6080" w:rsidP="002C6080">
      <w:pPr>
        <w:spacing w:line="233" w:lineRule="auto"/>
        <w:jc w:val="center"/>
        <w:rPr>
          <w:sz w:val="24"/>
          <w:szCs w:val="24"/>
          <w:u w:val="single"/>
        </w:rPr>
      </w:pPr>
      <w:r>
        <w:rPr>
          <w:sz w:val="24"/>
          <w:szCs w:val="24"/>
          <w:u w:val="single"/>
        </w:rPr>
        <w:t xml:space="preserve">Peoples Natural Gas Company LLC </w:t>
      </w:r>
    </w:p>
    <w:p w14:paraId="60E2741D" w14:textId="77777777" w:rsidR="002C6080" w:rsidRDefault="002C6080" w:rsidP="002C6080">
      <w:pPr>
        <w:spacing w:line="233" w:lineRule="auto"/>
        <w:jc w:val="center"/>
        <w:rPr>
          <w:sz w:val="24"/>
          <w:szCs w:val="24"/>
          <w:u w:val="single"/>
        </w:rPr>
      </w:pPr>
      <w:r>
        <w:rPr>
          <w:sz w:val="24"/>
          <w:szCs w:val="24"/>
          <w:u w:val="single"/>
        </w:rPr>
        <w:t xml:space="preserve">to Dismiss Objections </w:t>
      </w:r>
    </w:p>
    <w:p w14:paraId="1DD5AC53" w14:textId="77777777" w:rsidR="002C6080" w:rsidRDefault="002C6080" w:rsidP="002C6080">
      <w:pPr>
        <w:spacing w:line="233" w:lineRule="auto"/>
        <w:jc w:val="center"/>
        <w:rPr>
          <w:sz w:val="24"/>
          <w:szCs w:val="24"/>
          <w:u w:val="single"/>
        </w:rPr>
      </w:pPr>
      <w:r>
        <w:rPr>
          <w:sz w:val="24"/>
          <w:szCs w:val="24"/>
          <w:u w:val="single"/>
        </w:rPr>
        <w:t xml:space="preserve">and </w:t>
      </w:r>
    </w:p>
    <w:p w14:paraId="13EB7E9E" w14:textId="095CE46D" w:rsidR="002C6080" w:rsidRDefault="002C6080" w:rsidP="002C6080">
      <w:pPr>
        <w:spacing w:line="233" w:lineRule="auto"/>
        <w:jc w:val="center"/>
        <w:rPr>
          <w:sz w:val="24"/>
          <w:szCs w:val="24"/>
          <w:u w:val="single"/>
        </w:rPr>
      </w:pPr>
      <w:r>
        <w:rPr>
          <w:sz w:val="24"/>
          <w:szCs w:val="24"/>
          <w:u w:val="single"/>
        </w:rPr>
        <w:t>Compel Answers to Interrogatories (Set II)</w:t>
      </w:r>
    </w:p>
    <w:p w14:paraId="3F6E1E27" w14:textId="77777777" w:rsidR="00635EF4" w:rsidRPr="004D26A8" w:rsidRDefault="00635EF4" w:rsidP="00635EF4">
      <w:pPr>
        <w:spacing w:line="360" w:lineRule="auto"/>
        <w:rPr>
          <w:sz w:val="24"/>
          <w:szCs w:val="24"/>
        </w:rPr>
      </w:pP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r>
      <w:r w:rsidRPr="004D26A8">
        <w:rPr>
          <w:sz w:val="24"/>
          <w:szCs w:val="24"/>
        </w:rPr>
        <w:tab/>
        <w:t xml:space="preserve">On March 28, 2018, Duquesne Light Company (Duquesne Light), Utility        Code 110150, filed Supplement No. 174 to Tariff Electric Pa. P.U.C. No. 24 to become effective May 29, 2018, </w:t>
      </w:r>
      <w:bookmarkStart w:id="1" w:name="_Hlk511024899"/>
      <w:r w:rsidRPr="004D26A8">
        <w:rPr>
          <w:sz w:val="24"/>
          <w:szCs w:val="24"/>
        </w:rPr>
        <w:t xml:space="preserve">containing a proposed </w:t>
      </w:r>
      <w:bookmarkStart w:id="2" w:name="_Hlk511024708"/>
      <w:bookmarkEnd w:id="1"/>
      <w:r w:rsidRPr="004D26A8">
        <w:rPr>
          <w:sz w:val="24"/>
          <w:szCs w:val="24"/>
        </w:rPr>
        <w:t xml:space="preserve">general increase in electric distribution rates of approximately $133.8 million.  </w:t>
      </w:r>
      <w:bookmarkEnd w:id="2"/>
      <w:r w:rsidRPr="004D26A8">
        <w:rPr>
          <w:sz w:val="24"/>
          <w:szCs w:val="24"/>
        </w:rPr>
        <w:tab/>
      </w:r>
    </w:p>
    <w:p w14:paraId="7E878C3D" w14:textId="77777777" w:rsidR="00635EF4" w:rsidRPr="004D26A8" w:rsidRDefault="00635EF4" w:rsidP="00635EF4">
      <w:pPr>
        <w:spacing w:line="360" w:lineRule="auto"/>
        <w:rPr>
          <w:sz w:val="24"/>
          <w:szCs w:val="24"/>
        </w:rPr>
      </w:pPr>
      <w:r w:rsidRPr="004D26A8">
        <w:rPr>
          <w:sz w:val="24"/>
          <w:szCs w:val="24"/>
        </w:rPr>
        <w:tab/>
      </w:r>
    </w:p>
    <w:p w14:paraId="311C0AB4" w14:textId="77777777" w:rsidR="00635EF4" w:rsidRDefault="00635EF4" w:rsidP="00635EF4">
      <w:pPr>
        <w:spacing w:line="360" w:lineRule="auto"/>
        <w:rPr>
          <w:sz w:val="24"/>
          <w:szCs w:val="24"/>
        </w:rPr>
      </w:pPr>
      <w:r w:rsidRPr="00A86227">
        <w:rPr>
          <w:sz w:val="24"/>
          <w:szCs w:val="24"/>
        </w:rPr>
        <w:tab/>
      </w:r>
      <w:r w:rsidRPr="00A86227">
        <w:rPr>
          <w:sz w:val="24"/>
          <w:szCs w:val="24"/>
        </w:rPr>
        <w:tab/>
        <w:t xml:space="preserve">By </w:t>
      </w:r>
      <w:r w:rsidRPr="00944775">
        <w:rPr>
          <w:sz w:val="24"/>
          <w:szCs w:val="24"/>
        </w:rPr>
        <w:t>Order entered April 19, 2018, the Commission suspended the implementation of Supplement No. 174 to Tariff Electric Pa. P.U.C. No. 24 by operation of law, pursuant to 66</w:t>
      </w:r>
      <w:r>
        <w:rPr>
          <w:sz w:val="24"/>
          <w:szCs w:val="24"/>
        </w:rPr>
        <w:t> </w:t>
      </w:r>
      <w:proofErr w:type="spellStart"/>
      <w:r w:rsidRPr="00944775">
        <w:rPr>
          <w:sz w:val="24"/>
          <w:szCs w:val="24"/>
        </w:rPr>
        <w:t>Pa.C.S.A</w:t>
      </w:r>
      <w:proofErr w:type="spellEnd"/>
      <w:r w:rsidRPr="00944775">
        <w:rPr>
          <w:sz w:val="24"/>
          <w:szCs w:val="24"/>
        </w:rPr>
        <w:t>. § 1308(d), until December</w:t>
      </w:r>
      <w:r w:rsidRPr="00A86227">
        <w:rPr>
          <w:sz w:val="24"/>
          <w:szCs w:val="24"/>
        </w:rPr>
        <w:t> </w:t>
      </w:r>
      <w:r>
        <w:rPr>
          <w:sz w:val="24"/>
          <w:szCs w:val="24"/>
        </w:rPr>
        <w:t>2</w:t>
      </w:r>
      <w:r w:rsidRPr="00A86227">
        <w:rPr>
          <w:sz w:val="24"/>
          <w:szCs w:val="24"/>
        </w:rPr>
        <w:t>9, 201</w:t>
      </w:r>
      <w:r>
        <w:rPr>
          <w:sz w:val="24"/>
          <w:szCs w:val="24"/>
        </w:rPr>
        <w:t>8</w:t>
      </w:r>
      <w:r w:rsidRPr="00A86227">
        <w:rPr>
          <w:sz w:val="24"/>
          <w:szCs w:val="24"/>
        </w:rPr>
        <w:t xml:space="preserve">, and instituted an investigation into the lawfulness, justness, and reasonableness of the rates, rules, and regulations proposed in Supplement No. </w:t>
      </w:r>
      <w:r>
        <w:rPr>
          <w:sz w:val="24"/>
          <w:szCs w:val="24"/>
        </w:rPr>
        <w:t>174</w:t>
      </w:r>
      <w:r w:rsidRPr="00A86227">
        <w:rPr>
          <w:sz w:val="24"/>
          <w:szCs w:val="24"/>
        </w:rPr>
        <w:t xml:space="preserve">.  </w:t>
      </w:r>
    </w:p>
    <w:p w14:paraId="1BD36FB0" w14:textId="77777777" w:rsidR="00635EF4" w:rsidRDefault="00635EF4" w:rsidP="00635EF4">
      <w:pPr>
        <w:spacing w:line="360" w:lineRule="auto"/>
        <w:rPr>
          <w:sz w:val="24"/>
          <w:szCs w:val="24"/>
        </w:rPr>
      </w:pPr>
    </w:p>
    <w:p w14:paraId="197073AE" w14:textId="3555E560" w:rsidR="00635EF4" w:rsidRDefault="00635EF4" w:rsidP="00635EF4">
      <w:pPr>
        <w:spacing w:line="360" w:lineRule="auto"/>
        <w:ind w:firstLine="1440"/>
        <w:rPr>
          <w:sz w:val="24"/>
          <w:szCs w:val="24"/>
        </w:rPr>
      </w:pPr>
      <w:r w:rsidRPr="00A86227">
        <w:rPr>
          <w:sz w:val="24"/>
          <w:szCs w:val="24"/>
        </w:rPr>
        <w:lastRenderedPageBreak/>
        <w:t xml:space="preserve">On </w:t>
      </w:r>
      <w:r>
        <w:rPr>
          <w:sz w:val="24"/>
          <w:szCs w:val="24"/>
        </w:rPr>
        <w:t>May 3, 2018</w:t>
      </w:r>
      <w:r w:rsidRPr="00A86227">
        <w:rPr>
          <w:sz w:val="24"/>
          <w:szCs w:val="24"/>
        </w:rPr>
        <w:t xml:space="preserve">, Administrative Law Judge Katrina L. Dunderdale conducted a call-in telephonic prehearing conference </w:t>
      </w:r>
      <w:r w:rsidR="00CC12C2">
        <w:rPr>
          <w:sz w:val="24"/>
          <w:szCs w:val="24"/>
        </w:rPr>
        <w:t>at which the</w:t>
      </w:r>
      <w:r>
        <w:rPr>
          <w:sz w:val="24"/>
          <w:szCs w:val="24"/>
        </w:rPr>
        <w:t xml:space="preserve"> participants discussed v</w:t>
      </w:r>
      <w:r w:rsidRPr="00A86227">
        <w:rPr>
          <w:sz w:val="24"/>
          <w:szCs w:val="24"/>
        </w:rPr>
        <w:t xml:space="preserve">arious procedural matters and </w:t>
      </w:r>
      <w:r>
        <w:rPr>
          <w:sz w:val="24"/>
          <w:szCs w:val="24"/>
        </w:rPr>
        <w:t xml:space="preserve">established </w:t>
      </w:r>
      <w:r w:rsidRPr="00A86227">
        <w:rPr>
          <w:sz w:val="24"/>
          <w:szCs w:val="24"/>
        </w:rPr>
        <w:t xml:space="preserve">a litigation schedule.  </w:t>
      </w:r>
      <w:r>
        <w:rPr>
          <w:sz w:val="24"/>
          <w:szCs w:val="24"/>
        </w:rPr>
        <w:t>Afterwards, on May 8, 2018, the presiding officer issued a</w:t>
      </w:r>
      <w:r w:rsidRPr="00A86227">
        <w:rPr>
          <w:sz w:val="24"/>
          <w:szCs w:val="24"/>
        </w:rPr>
        <w:t xml:space="preserve"> prehearing order </w:t>
      </w:r>
      <w:r>
        <w:rPr>
          <w:sz w:val="24"/>
          <w:szCs w:val="24"/>
        </w:rPr>
        <w:t>which</w:t>
      </w:r>
      <w:r w:rsidR="002C6080">
        <w:rPr>
          <w:sz w:val="24"/>
          <w:szCs w:val="24"/>
        </w:rPr>
        <w:t xml:space="preserve">, </w:t>
      </w:r>
      <w:r w:rsidR="002C6080" w:rsidRPr="000B0412">
        <w:rPr>
          <w:i/>
          <w:sz w:val="24"/>
          <w:szCs w:val="24"/>
        </w:rPr>
        <w:t>inter alia</w:t>
      </w:r>
      <w:r w:rsidR="002C6080">
        <w:rPr>
          <w:sz w:val="24"/>
          <w:szCs w:val="24"/>
        </w:rPr>
        <w:t xml:space="preserve">, consolidated the formal complaint filed by Peoples Natural Gas Company LLC (Peoples) against Duquesne Light </w:t>
      </w:r>
      <w:r w:rsidR="007955B7">
        <w:rPr>
          <w:sz w:val="24"/>
          <w:szCs w:val="24"/>
        </w:rPr>
        <w:t xml:space="preserve">on April 10, 2018 </w:t>
      </w:r>
      <w:r w:rsidR="002C6080">
        <w:rPr>
          <w:sz w:val="24"/>
          <w:szCs w:val="24"/>
        </w:rPr>
        <w:t>in the base rate proceeding.</w:t>
      </w:r>
    </w:p>
    <w:p w14:paraId="3297E16E" w14:textId="07AFF8A7" w:rsidR="002C6080" w:rsidRDefault="002C6080" w:rsidP="00635EF4">
      <w:pPr>
        <w:spacing w:line="360" w:lineRule="auto"/>
        <w:ind w:firstLine="1440"/>
        <w:rPr>
          <w:sz w:val="24"/>
          <w:szCs w:val="24"/>
        </w:rPr>
      </w:pPr>
    </w:p>
    <w:p w14:paraId="04E2E148" w14:textId="4978FDAE" w:rsidR="002C6080" w:rsidRDefault="002C6080" w:rsidP="00635EF4">
      <w:pPr>
        <w:spacing w:line="360" w:lineRule="auto"/>
        <w:ind w:firstLine="1440"/>
        <w:rPr>
          <w:sz w:val="24"/>
          <w:szCs w:val="24"/>
        </w:rPr>
      </w:pPr>
      <w:r>
        <w:rPr>
          <w:sz w:val="24"/>
          <w:szCs w:val="24"/>
        </w:rPr>
        <w:t xml:space="preserve">Thereafter, </w:t>
      </w:r>
      <w:r w:rsidR="00B74DAB">
        <w:rPr>
          <w:sz w:val="24"/>
          <w:szCs w:val="24"/>
        </w:rPr>
        <w:t xml:space="preserve">on May 29, 2018, Peoples filed its Motion to Dismiss Objections and Compel Answer to Interrogatories and Requests for Production of Documents (Set II) concerning Nos. 1-27, 32, 33 and 42-44.  In its Motion, Peoples averred it served </w:t>
      </w:r>
      <w:r>
        <w:rPr>
          <w:sz w:val="24"/>
          <w:szCs w:val="24"/>
        </w:rPr>
        <w:t>Set II</w:t>
      </w:r>
      <w:r w:rsidR="00B74DAB">
        <w:rPr>
          <w:sz w:val="24"/>
          <w:szCs w:val="24"/>
        </w:rPr>
        <w:t>, consisting of items numbered 1-44,</w:t>
      </w:r>
      <w:r>
        <w:rPr>
          <w:sz w:val="24"/>
          <w:szCs w:val="24"/>
        </w:rPr>
        <w:t xml:space="preserve"> upon Duquesne Light</w:t>
      </w:r>
      <w:r w:rsidR="00B74DAB">
        <w:rPr>
          <w:sz w:val="24"/>
          <w:szCs w:val="24"/>
        </w:rPr>
        <w:t xml:space="preserve"> on May 16, 2018</w:t>
      </w:r>
      <w:r>
        <w:rPr>
          <w:sz w:val="24"/>
          <w:szCs w:val="24"/>
        </w:rPr>
        <w:t xml:space="preserve">.  </w:t>
      </w:r>
      <w:r w:rsidR="00B74DAB">
        <w:rPr>
          <w:sz w:val="24"/>
          <w:szCs w:val="24"/>
        </w:rPr>
        <w:t xml:space="preserve">Peoples averred </w:t>
      </w:r>
      <w:r>
        <w:rPr>
          <w:sz w:val="24"/>
          <w:szCs w:val="24"/>
        </w:rPr>
        <w:t>Duquesne</w:t>
      </w:r>
      <w:r w:rsidR="00B74DAB">
        <w:rPr>
          <w:sz w:val="24"/>
          <w:szCs w:val="24"/>
        </w:rPr>
        <w:t xml:space="preserve"> </w:t>
      </w:r>
      <w:r w:rsidR="00800E12">
        <w:rPr>
          <w:sz w:val="24"/>
          <w:szCs w:val="24"/>
        </w:rPr>
        <w:t xml:space="preserve">Light </w:t>
      </w:r>
      <w:r w:rsidR="00B74DAB">
        <w:rPr>
          <w:sz w:val="24"/>
          <w:szCs w:val="24"/>
        </w:rPr>
        <w:t>co</w:t>
      </w:r>
      <w:r>
        <w:rPr>
          <w:sz w:val="24"/>
          <w:szCs w:val="24"/>
        </w:rPr>
        <w:t xml:space="preserve">mmunicated orally </w:t>
      </w:r>
      <w:r w:rsidR="00B74DAB">
        <w:rPr>
          <w:sz w:val="24"/>
          <w:szCs w:val="24"/>
        </w:rPr>
        <w:t xml:space="preserve">to Peoples </w:t>
      </w:r>
      <w:r>
        <w:rPr>
          <w:sz w:val="24"/>
          <w:szCs w:val="24"/>
        </w:rPr>
        <w:t>its objections</w:t>
      </w:r>
      <w:r w:rsidR="00B74DAB">
        <w:rPr>
          <w:sz w:val="24"/>
          <w:szCs w:val="24"/>
        </w:rPr>
        <w:t xml:space="preserve"> to four interrogatories and document requests on</w:t>
      </w:r>
      <w:r>
        <w:rPr>
          <w:sz w:val="24"/>
          <w:szCs w:val="24"/>
        </w:rPr>
        <w:t xml:space="preserve"> May 21, 2018</w:t>
      </w:r>
      <w:r w:rsidR="00B74DAB">
        <w:rPr>
          <w:sz w:val="24"/>
          <w:szCs w:val="24"/>
        </w:rPr>
        <w:t>, as required by the May 8, 2018 Prehearing Order</w:t>
      </w:r>
      <w:r>
        <w:rPr>
          <w:sz w:val="24"/>
          <w:szCs w:val="24"/>
        </w:rPr>
        <w:t xml:space="preserve">.  </w:t>
      </w:r>
      <w:r w:rsidR="00B74DAB">
        <w:rPr>
          <w:sz w:val="24"/>
          <w:szCs w:val="24"/>
        </w:rPr>
        <w:t>Peoples contends, pursuant to the Prehearing Order, Duquesne Light was required to serve notice of the unresolved objections upon the presiding officer by May 23, 2018.  Instead, Peoples points out that Duquesne Light serviced its Objections to Various Interrogatories in Peoples Natural Gas Company LLC’s Interrogatories and Requests for Production of Documents – Set II (Objections) concerning Nos. 1-27, 32, 33 and 42-44.  Peoples asserted it made another attempt to resolve the discovery dispute with Duquesne Light on May 29, 2018 but the parties were not successful.</w:t>
      </w:r>
    </w:p>
    <w:p w14:paraId="018800D5" w14:textId="5994A2AD" w:rsidR="00B74DAB" w:rsidRDefault="00B74DAB" w:rsidP="00635EF4">
      <w:pPr>
        <w:spacing w:line="360" w:lineRule="auto"/>
        <w:ind w:firstLine="1440"/>
        <w:rPr>
          <w:sz w:val="24"/>
          <w:szCs w:val="24"/>
        </w:rPr>
      </w:pPr>
    </w:p>
    <w:p w14:paraId="23FA4F11" w14:textId="5B9D1DE4" w:rsidR="00A075B9" w:rsidRDefault="00A075B9" w:rsidP="00635EF4">
      <w:pPr>
        <w:spacing w:line="360" w:lineRule="auto"/>
        <w:ind w:firstLine="1440"/>
        <w:rPr>
          <w:sz w:val="24"/>
          <w:szCs w:val="24"/>
        </w:rPr>
      </w:pPr>
      <w:r>
        <w:rPr>
          <w:sz w:val="24"/>
          <w:szCs w:val="24"/>
        </w:rPr>
        <w:t>Immediately prior and within the context of</w:t>
      </w:r>
      <w:r w:rsidR="00B74DAB">
        <w:rPr>
          <w:sz w:val="24"/>
          <w:szCs w:val="24"/>
        </w:rPr>
        <w:t xml:space="preserve"> this discovery</w:t>
      </w:r>
      <w:r w:rsidR="007955B7">
        <w:rPr>
          <w:sz w:val="24"/>
          <w:szCs w:val="24"/>
        </w:rPr>
        <w:t xml:space="preserve"> dispute, Duquesne Light filed preliminary objections</w:t>
      </w:r>
      <w:r w:rsidR="007955B7">
        <w:rPr>
          <w:rStyle w:val="FootnoteReference"/>
          <w:sz w:val="24"/>
          <w:szCs w:val="24"/>
        </w:rPr>
        <w:footnoteReference w:id="1"/>
      </w:r>
      <w:r w:rsidR="007955B7">
        <w:rPr>
          <w:sz w:val="24"/>
          <w:szCs w:val="24"/>
        </w:rPr>
        <w:t xml:space="preserve"> to Peoples’ formal complaint dated April 10, 2018.  After receiving Peoples’ answer to the preliminary objections, the presiding officer issued an Interim Order on </w:t>
      </w:r>
      <w:r>
        <w:rPr>
          <w:sz w:val="24"/>
          <w:szCs w:val="24"/>
        </w:rPr>
        <w:t xml:space="preserve">May 22, 2018 </w:t>
      </w:r>
      <w:r w:rsidR="007955B7">
        <w:rPr>
          <w:sz w:val="24"/>
          <w:szCs w:val="24"/>
        </w:rPr>
        <w:t>which granted</w:t>
      </w:r>
      <w:r>
        <w:rPr>
          <w:sz w:val="24"/>
          <w:szCs w:val="24"/>
        </w:rPr>
        <w:t xml:space="preserve"> Duquesne Light’s request to dismiss the portion of Peoples’ formal complaint which concerned proposed changes to Tariff Rider 16 on the basis Peoples lacked standing.  </w:t>
      </w:r>
    </w:p>
    <w:p w14:paraId="353A24E9" w14:textId="77777777" w:rsidR="00A075B9" w:rsidRDefault="00A075B9" w:rsidP="00635EF4">
      <w:pPr>
        <w:spacing w:line="360" w:lineRule="auto"/>
        <w:ind w:firstLine="1440"/>
        <w:rPr>
          <w:sz w:val="24"/>
          <w:szCs w:val="24"/>
        </w:rPr>
      </w:pPr>
    </w:p>
    <w:p w14:paraId="3631A2A3" w14:textId="41A8CB09" w:rsidR="00B74DAB" w:rsidRDefault="00A075B9" w:rsidP="00635EF4">
      <w:pPr>
        <w:spacing w:line="360" w:lineRule="auto"/>
        <w:ind w:firstLine="1440"/>
        <w:rPr>
          <w:sz w:val="24"/>
          <w:szCs w:val="24"/>
        </w:rPr>
      </w:pPr>
      <w:r>
        <w:rPr>
          <w:sz w:val="24"/>
          <w:szCs w:val="24"/>
        </w:rPr>
        <w:t>Thereafter, Peoples filed a Petition for Interlocutory Review and Answer to Material Question on an Expedited Basis with the Commission.  Peoples requested the Commission rever</w:t>
      </w:r>
      <w:r w:rsidR="00800E12">
        <w:rPr>
          <w:sz w:val="24"/>
          <w:szCs w:val="24"/>
        </w:rPr>
        <w:t>s</w:t>
      </w:r>
      <w:r>
        <w:rPr>
          <w:sz w:val="24"/>
          <w:szCs w:val="24"/>
        </w:rPr>
        <w:t xml:space="preserve">e the presiding officer’s Interim Order dated May 22, 2018 and further </w:t>
      </w:r>
      <w:r>
        <w:rPr>
          <w:sz w:val="24"/>
          <w:szCs w:val="24"/>
        </w:rPr>
        <w:lastRenderedPageBreak/>
        <w:t xml:space="preserve">requested the Commission find that Peoples had standing to pursue its claims concerning Tariff Rider 16.  On June 14, 2018, the Commission granted Peoples’ Petition for Interlocutory Review, and reversed the Interim Order dated May 22, 2018.  </w:t>
      </w:r>
    </w:p>
    <w:p w14:paraId="05BFE8FC" w14:textId="2E59D19B" w:rsidR="00A075B9" w:rsidRDefault="00A075B9" w:rsidP="00635EF4">
      <w:pPr>
        <w:spacing w:line="360" w:lineRule="auto"/>
        <w:ind w:firstLine="1440"/>
        <w:rPr>
          <w:sz w:val="24"/>
          <w:szCs w:val="24"/>
        </w:rPr>
      </w:pPr>
    </w:p>
    <w:p w14:paraId="5087DF29" w14:textId="77777777" w:rsidR="0009372D" w:rsidRDefault="00A075B9" w:rsidP="00635EF4">
      <w:pPr>
        <w:spacing w:line="360" w:lineRule="auto"/>
        <w:ind w:firstLine="1440"/>
        <w:rPr>
          <w:sz w:val="24"/>
          <w:szCs w:val="24"/>
        </w:rPr>
      </w:pPr>
      <w:r>
        <w:rPr>
          <w:sz w:val="24"/>
          <w:szCs w:val="24"/>
        </w:rPr>
        <w:t>Meanwhile, on June 7, 2018, Duquesne Light filed its Answer to the</w:t>
      </w:r>
      <w:r w:rsidR="0009372D">
        <w:rPr>
          <w:sz w:val="24"/>
          <w:szCs w:val="24"/>
        </w:rPr>
        <w:t xml:space="preserve"> Set II motion.  Duquesne Light asserted it objected to Nos. 1-27, 32, 33 and 42-44 (the identified interrogatories) because those items inquired into matters and issues related to the contested Tariff Rider 16.  Duquesne Light acknowledged the parties had determined the dispute was likely settled concerning all the identified interrogatories except Nos. 12, 15-17, 21 and 24.  </w:t>
      </w:r>
    </w:p>
    <w:p w14:paraId="312AD768" w14:textId="77777777" w:rsidR="0009372D" w:rsidRDefault="0009372D" w:rsidP="00635EF4">
      <w:pPr>
        <w:spacing w:line="360" w:lineRule="auto"/>
        <w:ind w:firstLine="1440"/>
        <w:rPr>
          <w:sz w:val="24"/>
          <w:szCs w:val="24"/>
        </w:rPr>
      </w:pPr>
    </w:p>
    <w:p w14:paraId="46CAFAC7" w14:textId="4E234C08" w:rsidR="00A075B9" w:rsidRDefault="0009372D" w:rsidP="00635EF4">
      <w:pPr>
        <w:spacing w:line="360" w:lineRule="auto"/>
        <w:ind w:firstLine="1440"/>
        <w:rPr>
          <w:sz w:val="24"/>
          <w:szCs w:val="24"/>
        </w:rPr>
      </w:pPr>
      <w:r>
        <w:rPr>
          <w:sz w:val="24"/>
          <w:szCs w:val="24"/>
        </w:rPr>
        <w:t xml:space="preserve">Duquesne Light confirmed it objected to Nos. 21 and 24 because the two interrogatories requested customer-specific data from a single customer and Duquesne Light needed time to confer with the customer.  The customer had since given Duquesne Light permission to provide Peoples with the requested information, and no objection remained concerning those two identified interrogatories.  </w:t>
      </w:r>
    </w:p>
    <w:p w14:paraId="3B28B7A8" w14:textId="241A7F53" w:rsidR="0009372D" w:rsidRDefault="0009372D" w:rsidP="00635EF4">
      <w:pPr>
        <w:spacing w:line="360" w:lineRule="auto"/>
        <w:ind w:firstLine="1440"/>
        <w:rPr>
          <w:sz w:val="24"/>
          <w:szCs w:val="24"/>
        </w:rPr>
      </w:pPr>
    </w:p>
    <w:p w14:paraId="27935E15" w14:textId="112CAE70" w:rsidR="0009372D" w:rsidRDefault="0009372D" w:rsidP="00635EF4">
      <w:pPr>
        <w:spacing w:line="360" w:lineRule="auto"/>
        <w:ind w:firstLine="1440"/>
        <w:rPr>
          <w:sz w:val="24"/>
          <w:szCs w:val="24"/>
        </w:rPr>
      </w:pPr>
      <w:r>
        <w:rPr>
          <w:sz w:val="24"/>
          <w:szCs w:val="24"/>
        </w:rPr>
        <w:t xml:space="preserve">As concerned the remaining four identified interrogatories (Nos. 12, 15, 16 and 17), Duquesne Light objected to those interrogatories on the basis Peoples was attempting to exploit the discovery process </w:t>
      </w:r>
      <w:proofErr w:type="gramStart"/>
      <w:r>
        <w:rPr>
          <w:sz w:val="24"/>
          <w:szCs w:val="24"/>
        </w:rPr>
        <w:t>in order to</w:t>
      </w:r>
      <w:proofErr w:type="gramEnd"/>
      <w:r>
        <w:rPr>
          <w:sz w:val="24"/>
          <w:szCs w:val="24"/>
        </w:rPr>
        <w:t xml:space="preserve"> obtain information to help Peoples to promote sales of gas to gas-fueled combined heat and power (CHP) projects.  Duquesne Light insisted it has not proposed any CHP project in the base rate </w:t>
      </w:r>
      <w:r w:rsidR="009B6027">
        <w:rPr>
          <w:sz w:val="24"/>
          <w:szCs w:val="24"/>
        </w:rPr>
        <w:t xml:space="preserve">proceeding </w:t>
      </w:r>
      <w:r>
        <w:rPr>
          <w:sz w:val="24"/>
          <w:szCs w:val="24"/>
        </w:rPr>
        <w:t xml:space="preserve">and has not included any CHP-related costs in the revenue requirement in the base rate proceeding.  </w:t>
      </w:r>
      <w:r w:rsidR="009B6027">
        <w:rPr>
          <w:sz w:val="24"/>
          <w:szCs w:val="24"/>
        </w:rPr>
        <w:t xml:space="preserve">Further, Duquesne Light contends Peoples wants to argue in this base rate proceeding that Duquesne Light should expend funds, which will be incorporated into the base rate, </w:t>
      </w:r>
      <w:proofErr w:type="gramStart"/>
      <w:r w:rsidR="009B6027">
        <w:rPr>
          <w:sz w:val="24"/>
          <w:szCs w:val="24"/>
        </w:rPr>
        <w:t>for the purpose of</w:t>
      </w:r>
      <w:proofErr w:type="gramEnd"/>
      <w:r w:rsidR="009B6027">
        <w:rPr>
          <w:sz w:val="24"/>
          <w:szCs w:val="24"/>
        </w:rPr>
        <w:t xml:space="preserve"> promoting CHP projects, which Duquesne Light argues is beyond the scope of this base rate proceedi</w:t>
      </w:r>
      <w:r w:rsidR="0022339C">
        <w:rPr>
          <w:sz w:val="24"/>
          <w:szCs w:val="24"/>
        </w:rPr>
        <w:t>ng.</w:t>
      </w:r>
    </w:p>
    <w:p w14:paraId="14699E64" w14:textId="32EE1D4C" w:rsidR="009B6027" w:rsidRDefault="009B6027" w:rsidP="00635EF4">
      <w:pPr>
        <w:spacing w:line="360" w:lineRule="auto"/>
        <w:ind w:firstLine="1440"/>
        <w:rPr>
          <w:sz w:val="24"/>
          <w:szCs w:val="24"/>
        </w:rPr>
      </w:pPr>
    </w:p>
    <w:p w14:paraId="73E6C493" w14:textId="738F105A" w:rsidR="009B6027" w:rsidRPr="00625250" w:rsidRDefault="009B6027" w:rsidP="00635EF4">
      <w:pPr>
        <w:spacing w:line="360" w:lineRule="auto"/>
        <w:ind w:firstLine="1440"/>
        <w:rPr>
          <w:sz w:val="24"/>
          <w:szCs w:val="24"/>
        </w:rPr>
      </w:pPr>
      <w:r>
        <w:rPr>
          <w:sz w:val="24"/>
          <w:szCs w:val="24"/>
        </w:rPr>
        <w:t xml:space="preserve">On June 14, 2018, the parties convened together </w:t>
      </w:r>
      <w:proofErr w:type="gramStart"/>
      <w:r>
        <w:rPr>
          <w:sz w:val="24"/>
          <w:szCs w:val="24"/>
        </w:rPr>
        <w:t>for the purpose of</w:t>
      </w:r>
      <w:proofErr w:type="gramEnd"/>
      <w:r>
        <w:rPr>
          <w:sz w:val="24"/>
          <w:szCs w:val="24"/>
        </w:rPr>
        <w:t xml:space="preserve"> conducting two public input hearings in Duquesne Light’s service territory.  Upon learning of the Commission’s Opinion and Order, which reversed the presiding officer’s Interim Order dated May 22, 2018, the presiding officer initiated an off-the-record discussion at the bench with the </w:t>
      </w:r>
      <w:r w:rsidRPr="00625250">
        <w:rPr>
          <w:sz w:val="24"/>
          <w:szCs w:val="24"/>
        </w:rPr>
        <w:lastRenderedPageBreak/>
        <w:t xml:space="preserve">parties who were present.  During the off-the-record discussion, Duquesne Light’s counsel indicated its objections included only Nos. 12 and 15 of the identified interrogatories.  </w:t>
      </w:r>
    </w:p>
    <w:p w14:paraId="409B6302" w14:textId="24320C56" w:rsidR="00B74DAB" w:rsidRPr="00625250" w:rsidRDefault="00B74DAB" w:rsidP="00635EF4">
      <w:pPr>
        <w:spacing w:line="360" w:lineRule="auto"/>
        <w:ind w:firstLine="1440"/>
        <w:rPr>
          <w:sz w:val="24"/>
          <w:szCs w:val="24"/>
        </w:rPr>
      </w:pPr>
    </w:p>
    <w:p w14:paraId="2F0FF318" w14:textId="5B1E2A06" w:rsidR="00B74DAB" w:rsidRPr="00625250" w:rsidRDefault="00B74DAB" w:rsidP="00635EF4">
      <w:pPr>
        <w:spacing w:line="360" w:lineRule="auto"/>
        <w:ind w:firstLine="1440"/>
        <w:rPr>
          <w:sz w:val="24"/>
          <w:szCs w:val="24"/>
        </w:rPr>
      </w:pPr>
      <w:r w:rsidRPr="00625250">
        <w:rPr>
          <w:sz w:val="24"/>
          <w:szCs w:val="24"/>
        </w:rPr>
        <w:t xml:space="preserve">Pursuant to that </w:t>
      </w:r>
      <w:r w:rsidR="0022339C" w:rsidRPr="00625250">
        <w:rPr>
          <w:sz w:val="24"/>
          <w:szCs w:val="24"/>
        </w:rPr>
        <w:t>oral averment, this Interim Order will speak to the continuing objections of Duquesne Light to the identified interrogatories Nos. 12 and 15.</w:t>
      </w:r>
    </w:p>
    <w:p w14:paraId="3B352302" w14:textId="77777777" w:rsidR="00625250" w:rsidRPr="00625250" w:rsidRDefault="00625250" w:rsidP="00625250">
      <w:pPr>
        <w:spacing w:line="360" w:lineRule="auto"/>
        <w:ind w:firstLine="1440"/>
        <w:rPr>
          <w:sz w:val="24"/>
          <w:szCs w:val="24"/>
        </w:rPr>
      </w:pPr>
    </w:p>
    <w:p w14:paraId="008CE4B0" w14:textId="77777777" w:rsidR="00625250" w:rsidRPr="00625250" w:rsidRDefault="00625250" w:rsidP="00625250">
      <w:pPr>
        <w:spacing w:line="360" w:lineRule="auto"/>
        <w:jc w:val="center"/>
        <w:rPr>
          <w:sz w:val="24"/>
          <w:szCs w:val="24"/>
        </w:rPr>
      </w:pPr>
      <w:r w:rsidRPr="00625250">
        <w:rPr>
          <w:sz w:val="24"/>
          <w:szCs w:val="24"/>
          <w:u w:val="single"/>
        </w:rPr>
        <w:t>DISCUSSION</w:t>
      </w:r>
    </w:p>
    <w:p w14:paraId="382DE910" w14:textId="77777777" w:rsidR="00625250" w:rsidRPr="00625250" w:rsidRDefault="00625250" w:rsidP="00625250">
      <w:pPr>
        <w:spacing w:line="360" w:lineRule="auto"/>
        <w:rPr>
          <w:sz w:val="24"/>
          <w:szCs w:val="24"/>
        </w:rPr>
      </w:pPr>
    </w:p>
    <w:p w14:paraId="5452DC56" w14:textId="77777777" w:rsidR="00625250" w:rsidRPr="00625250" w:rsidRDefault="00625250" w:rsidP="00625250">
      <w:pPr>
        <w:spacing w:line="360" w:lineRule="auto"/>
        <w:rPr>
          <w:sz w:val="24"/>
          <w:szCs w:val="24"/>
        </w:rPr>
      </w:pPr>
      <w:r w:rsidRPr="00625250">
        <w:rPr>
          <w:sz w:val="24"/>
          <w:szCs w:val="24"/>
        </w:rPr>
        <w:tab/>
      </w:r>
      <w:r w:rsidRPr="00625250">
        <w:rPr>
          <w:sz w:val="24"/>
          <w:szCs w:val="24"/>
        </w:rPr>
        <w:tab/>
        <w:t xml:space="preserve">Section 5.321(c) of the Commission’s Rules of Administrative Practice and Procedure, 52 </w:t>
      </w:r>
      <w:proofErr w:type="spellStart"/>
      <w:proofErr w:type="gramStart"/>
      <w:r w:rsidRPr="00625250">
        <w:rPr>
          <w:sz w:val="24"/>
          <w:szCs w:val="24"/>
        </w:rPr>
        <w:t>Pa.Code</w:t>
      </w:r>
      <w:proofErr w:type="spellEnd"/>
      <w:proofErr w:type="gramEnd"/>
      <w:r w:rsidRPr="00625250">
        <w:rPr>
          <w:sz w:val="24"/>
          <w:szCs w:val="24"/>
        </w:rPr>
        <w:t xml:space="preserve"> § 5.321(c), specifically provides that “a party may obtain discovery regarding any matter, not privileged, which is relevant to the subject matter involved in the pending action.”  Discovery is permitted regardless of whether the information sought “relates to the claim or defense of the party seeking discovery or to the claim or defense of another party or participant.”  </w:t>
      </w:r>
      <w:r w:rsidRPr="00625250">
        <w:rPr>
          <w:i/>
          <w:sz w:val="24"/>
          <w:szCs w:val="24"/>
        </w:rPr>
        <w:t>Id</w:t>
      </w:r>
      <w:r w:rsidRPr="00625250">
        <w:rPr>
          <w:sz w:val="24"/>
          <w:szCs w:val="24"/>
        </w:rPr>
        <w:t xml:space="preserve">.  Information may be discoverable, even if it would be inadmissible at a hearing.  “It is not grounds for objection that the information sought will be inadmissible at hearing if the information sought appears reasonably calculated to lead to the discovery of admissible evidence.”  </w:t>
      </w:r>
      <w:r w:rsidRPr="00625250">
        <w:rPr>
          <w:i/>
          <w:sz w:val="24"/>
          <w:szCs w:val="24"/>
        </w:rPr>
        <w:t>Id</w:t>
      </w:r>
      <w:r w:rsidRPr="00625250">
        <w:rPr>
          <w:sz w:val="24"/>
          <w:szCs w:val="24"/>
        </w:rPr>
        <w:t xml:space="preserve">.  Consistently, the Commission has allowed participants wide latitude in discovery matters.  </w:t>
      </w:r>
      <w:bookmarkStart w:id="3" w:name="_Hlk514845474"/>
      <w:r w:rsidRPr="00625250">
        <w:rPr>
          <w:sz w:val="24"/>
          <w:szCs w:val="24"/>
          <w:u w:val="single"/>
        </w:rPr>
        <w:t xml:space="preserve">Pa. Pub. Util. Comm’n </w:t>
      </w:r>
      <w:bookmarkEnd w:id="3"/>
      <w:r w:rsidRPr="00625250">
        <w:rPr>
          <w:sz w:val="24"/>
          <w:szCs w:val="24"/>
          <w:u w:val="single"/>
        </w:rPr>
        <w:t>v. The Peoples Natural Gas Company</w:t>
      </w:r>
      <w:r w:rsidRPr="00625250">
        <w:rPr>
          <w:sz w:val="24"/>
          <w:szCs w:val="24"/>
        </w:rPr>
        <w:t xml:space="preserve">, 62 Pa. PUC 56 (August 26, 1986); and </w:t>
      </w:r>
      <w:r w:rsidRPr="00625250">
        <w:rPr>
          <w:sz w:val="24"/>
          <w:szCs w:val="24"/>
          <w:u w:val="single"/>
        </w:rPr>
        <w:t>Pa. Pub. Util. Comm’n v. Equitable Gas Company</w:t>
      </w:r>
      <w:r w:rsidRPr="00625250">
        <w:rPr>
          <w:sz w:val="24"/>
          <w:szCs w:val="24"/>
        </w:rPr>
        <w:t>, 61 Pa. PUC 468 (</w:t>
      </w:r>
      <w:smartTag w:uri="urn:schemas-microsoft-com:office:smarttags" w:element="date">
        <w:smartTagPr>
          <w:attr w:name="Year" w:val="1986"/>
          <w:attr w:name="Day" w:val="16"/>
          <w:attr w:name="Month" w:val="5"/>
        </w:smartTagPr>
        <w:r w:rsidRPr="00625250">
          <w:rPr>
            <w:sz w:val="24"/>
            <w:szCs w:val="24"/>
          </w:rPr>
          <w:t>May 16, 1986</w:t>
        </w:r>
      </w:smartTag>
      <w:r w:rsidRPr="00625250">
        <w:rPr>
          <w:sz w:val="24"/>
          <w:szCs w:val="24"/>
        </w:rPr>
        <w:t>).</w:t>
      </w:r>
    </w:p>
    <w:p w14:paraId="09DBA62A" w14:textId="77777777" w:rsidR="00625250" w:rsidRPr="00625250" w:rsidRDefault="00625250" w:rsidP="00625250">
      <w:pPr>
        <w:spacing w:line="360" w:lineRule="auto"/>
        <w:rPr>
          <w:sz w:val="24"/>
          <w:szCs w:val="24"/>
        </w:rPr>
      </w:pPr>
    </w:p>
    <w:p w14:paraId="4A824158" w14:textId="77777777" w:rsidR="00625250" w:rsidRPr="00625250" w:rsidRDefault="00625250" w:rsidP="00625250">
      <w:pPr>
        <w:spacing w:line="360" w:lineRule="auto"/>
        <w:rPr>
          <w:sz w:val="24"/>
          <w:szCs w:val="24"/>
        </w:rPr>
      </w:pPr>
      <w:r w:rsidRPr="00625250">
        <w:rPr>
          <w:sz w:val="24"/>
          <w:szCs w:val="24"/>
        </w:rPr>
        <w:tab/>
      </w:r>
      <w:r w:rsidRPr="00625250">
        <w:rPr>
          <w:sz w:val="24"/>
          <w:szCs w:val="24"/>
        </w:rPr>
        <w:tab/>
        <w:t xml:space="preserve">When evaluating a base rate filing by a certificated utility, the Commission must determine if the proposed rate change is a just and reasonable rate to be charged or applied for the utility service.  See 66 </w:t>
      </w:r>
      <w:proofErr w:type="spellStart"/>
      <w:r w:rsidRPr="00625250">
        <w:rPr>
          <w:sz w:val="24"/>
          <w:szCs w:val="24"/>
        </w:rPr>
        <w:t>Pa.C.S.A</w:t>
      </w:r>
      <w:proofErr w:type="spellEnd"/>
      <w:r w:rsidRPr="00625250">
        <w:rPr>
          <w:sz w:val="24"/>
          <w:szCs w:val="24"/>
        </w:rPr>
        <w:t>. § 1308(c).</w:t>
      </w:r>
    </w:p>
    <w:p w14:paraId="52EF2396" w14:textId="77777777" w:rsidR="00625250" w:rsidRPr="00625250" w:rsidRDefault="00625250" w:rsidP="0022339C">
      <w:pPr>
        <w:spacing w:line="360" w:lineRule="auto"/>
        <w:rPr>
          <w:sz w:val="24"/>
          <w:szCs w:val="24"/>
        </w:rPr>
      </w:pPr>
    </w:p>
    <w:p w14:paraId="7ACFA3C2" w14:textId="71F58D92" w:rsidR="0022339C" w:rsidRPr="00625250" w:rsidRDefault="0022339C" w:rsidP="0022339C">
      <w:pPr>
        <w:spacing w:line="360" w:lineRule="auto"/>
        <w:rPr>
          <w:sz w:val="24"/>
          <w:szCs w:val="24"/>
          <w:u w:val="single"/>
        </w:rPr>
      </w:pPr>
      <w:r w:rsidRPr="00625250">
        <w:rPr>
          <w:sz w:val="24"/>
          <w:szCs w:val="24"/>
          <w:u w:val="single"/>
        </w:rPr>
        <w:t>Identified Interrogatory No. 12</w:t>
      </w:r>
    </w:p>
    <w:p w14:paraId="74451152" w14:textId="2453F7C2" w:rsidR="0022339C" w:rsidRPr="00625250" w:rsidRDefault="0022339C" w:rsidP="0022339C">
      <w:pPr>
        <w:spacing w:line="360" w:lineRule="auto"/>
        <w:rPr>
          <w:sz w:val="24"/>
          <w:szCs w:val="24"/>
        </w:rPr>
      </w:pPr>
    </w:p>
    <w:p w14:paraId="44549C14" w14:textId="2BB06828" w:rsidR="0022339C" w:rsidRPr="00625250" w:rsidRDefault="0022339C" w:rsidP="0022339C">
      <w:pPr>
        <w:spacing w:line="360" w:lineRule="auto"/>
        <w:rPr>
          <w:sz w:val="24"/>
          <w:szCs w:val="24"/>
        </w:rPr>
      </w:pPr>
      <w:r w:rsidRPr="00625250">
        <w:rPr>
          <w:sz w:val="24"/>
          <w:szCs w:val="24"/>
        </w:rPr>
        <w:tab/>
      </w:r>
      <w:r w:rsidRPr="00625250">
        <w:rPr>
          <w:sz w:val="24"/>
          <w:szCs w:val="24"/>
        </w:rPr>
        <w:tab/>
        <w:t xml:space="preserve">No. 12 asks: </w:t>
      </w:r>
      <w:r w:rsidR="00800E12">
        <w:rPr>
          <w:sz w:val="24"/>
          <w:szCs w:val="24"/>
        </w:rPr>
        <w:t xml:space="preserve"> </w:t>
      </w:r>
      <w:r w:rsidRPr="00625250">
        <w:rPr>
          <w:sz w:val="24"/>
          <w:szCs w:val="24"/>
        </w:rPr>
        <w:t xml:space="preserve">Has Duquesne Light estimated the potential for additional CHP deployment in its service territory?  Duquesne Light </w:t>
      </w:r>
      <w:r w:rsidR="000A443C" w:rsidRPr="00625250">
        <w:rPr>
          <w:sz w:val="24"/>
          <w:szCs w:val="24"/>
        </w:rPr>
        <w:t xml:space="preserve">argues </w:t>
      </w:r>
      <w:r w:rsidRPr="00625250">
        <w:rPr>
          <w:sz w:val="24"/>
          <w:szCs w:val="24"/>
        </w:rPr>
        <w:t xml:space="preserve">No. 12 lacks relevancy to the base rate proceeding.  </w:t>
      </w:r>
    </w:p>
    <w:p w14:paraId="0B30A162" w14:textId="63ABD942" w:rsidR="00026D3F" w:rsidRPr="00625250" w:rsidRDefault="00026D3F" w:rsidP="0022339C">
      <w:pPr>
        <w:spacing w:line="360" w:lineRule="auto"/>
        <w:rPr>
          <w:sz w:val="24"/>
          <w:szCs w:val="24"/>
        </w:rPr>
      </w:pPr>
    </w:p>
    <w:p w14:paraId="760D7C7C" w14:textId="16C418C9" w:rsidR="00026D3F" w:rsidRDefault="00026D3F" w:rsidP="0022339C">
      <w:pPr>
        <w:spacing w:line="360" w:lineRule="auto"/>
        <w:rPr>
          <w:sz w:val="24"/>
          <w:szCs w:val="24"/>
        </w:rPr>
      </w:pPr>
      <w:r w:rsidRPr="00625250">
        <w:rPr>
          <w:sz w:val="24"/>
          <w:szCs w:val="24"/>
        </w:rPr>
        <w:lastRenderedPageBreak/>
        <w:tab/>
      </w:r>
      <w:r w:rsidRPr="00625250">
        <w:rPr>
          <w:sz w:val="24"/>
          <w:szCs w:val="24"/>
        </w:rPr>
        <w:tab/>
        <w:t>If Duquesne Light generated an estimate of the number of CHP projects it expects will be deployed within its service</w:t>
      </w:r>
      <w:r>
        <w:rPr>
          <w:sz w:val="24"/>
          <w:szCs w:val="24"/>
        </w:rPr>
        <w:t xml:space="preserve"> territory, then that estimate could be relevant because the level of deployment would affect the revenue received and the costs incurred by Duquesne Light.  For example, if the estimate is high, then the revenue received will be greatly impacted and that impact would </w:t>
      </w:r>
      <w:proofErr w:type="gramStart"/>
      <w:r>
        <w:rPr>
          <w:sz w:val="24"/>
          <w:szCs w:val="24"/>
        </w:rPr>
        <w:t>have an effect on</w:t>
      </w:r>
      <w:proofErr w:type="gramEnd"/>
      <w:r>
        <w:rPr>
          <w:sz w:val="24"/>
          <w:szCs w:val="24"/>
        </w:rPr>
        <w:t xml:space="preserve"> the revenue requirement as well as the rate of return.  If the estimate is low, then CHP projects are likely to have a zero-sum effect.  Knowing this information might lead to a better and more fully developed understanding of how CHP </w:t>
      </w:r>
      <w:r w:rsidR="00DD1F04">
        <w:rPr>
          <w:sz w:val="24"/>
          <w:szCs w:val="24"/>
        </w:rPr>
        <w:t xml:space="preserve">projects </w:t>
      </w:r>
      <w:r>
        <w:rPr>
          <w:sz w:val="24"/>
          <w:szCs w:val="24"/>
        </w:rPr>
        <w:t xml:space="preserve">are impacting the </w:t>
      </w:r>
      <w:r w:rsidR="00800E12">
        <w:rPr>
          <w:sz w:val="24"/>
          <w:szCs w:val="24"/>
        </w:rPr>
        <w:t>base rate</w:t>
      </w:r>
      <w:r>
        <w:rPr>
          <w:sz w:val="24"/>
          <w:szCs w:val="24"/>
        </w:rPr>
        <w:t xml:space="preserve">, if at all.  </w:t>
      </w:r>
      <w:r w:rsidR="00DD1F04">
        <w:rPr>
          <w:sz w:val="24"/>
          <w:szCs w:val="24"/>
        </w:rPr>
        <w:t>Duquesne Light insists the costs and revenues of the CHP-related costs are not included in the ba</w:t>
      </w:r>
      <w:r w:rsidR="00800E12">
        <w:rPr>
          <w:sz w:val="24"/>
          <w:szCs w:val="24"/>
        </w:rPr>
        <w:t>se</w:t>
      </w:r>
      <w:r w:rsidR="00DD1F04">
        <w:rPr>
          <w:sz w:val="24"/>
          <w:szCs w:val="24"/>
        </w:rPr>
        <w:t xml:space="preserve"> rate revenue requirement.  If true, the verified answer to this interrogatory will provide Peoples and the Commission with information that should verify the impact of Tariff Rider 16.  </w:t>
      </w:r>
      <w:r>
        <w:rPr>
          <w:sz w:val="24"/>
          <w:szCs w:val="24"/>
        </w:rPr>
        <w:t>Accordingly, this question is clearly relevant to the base rate proceeding, and Duquesne Light will be compelled to answer the identified interrogatory No. 12.</w:t>
      </w:r>
    </w:p>
    <w:p w14:paraId="3219708C" w14:textId="14FF8440" w:rsidR="00026D3F" w:rsidRDefault="00026D3F" w:rsidP="0022339C">
      <w:pPr>
        <w:spacing w:line="360" w:lineRule="auto"/>
        <w:rPr>
          <w:sz w:val="24"/>
          <w:szCs w:val="24"/>
        </w:rPr>
      </w:pPr>
    </w:p>
    <w:p w14:paraId="2981597A" w14:textId="513A985C" w:rsidR="00026D3F" w:rsidRDefault="00026D3F" w:rsidP="0022339C">
      <w:pPr>
        <w:spacing w:line="360" w:lineRule="auto"/>
        <w:rPr>
          <w:sz w:val="24"/>
          <w:szCs w:val="24"/>
        </w:rPr>
      </w:pPr>
      <w:r>
        <w:rPr>
          <w:sz w:val="24"/>
          <w:szCs w:val="24"/>
        </w:rPr>
        <w:tab/>
      </w:r>
      <w:r>
        <w:rPr>
          <w:sz w:val="24"/>
          <w:szCs w:val="24"/>
        </w:rPr>
        <w:tab/>
        <w:t xml:space="preserve">It should be noted that Duquesne Light’s extensive concern about attempts Peoples may or may not be making to expand the number and scope of substantive issues in this base rate proceeding can be handled during the submission of written testimony through </w:t>
      </w:r>
      <w:proofErr w:type="spellStart"/>
      <w:r>
        <w:rPr>
          <w:sz w:val="24"/>
          <w:szCs w:val="24"/>
        </w:rPr>
        <w:t>surrebuttal</w:t>
      </w:r>
      <w:proofErr w:type="spellEnd"/>
      <w:r>
        <w:rPr>
          <w:sz w:val="24"/>
          <w:szCs w:val="24"/>
        </w:rPr>
        <w:t xml:space="preserve"> and especially </w:t>
      </w:r>
      <w:r w:rsidR="00DD1F04">
        <w:rPr>
          <w:sz w:val="24"/>
          <w:szCs w:val="24"/>
        </w:rPr>
        <w:t>during cross-examination of Peoples’ witnesses, if necessary.</w:t>
      </w:r>
    </w:p>
    <w:p w14:paraId="2BFCB4A4" w14:textId="3081FEBE" w:rsidR="0022339C" w:rsidRDefault="0022339C" w:rsidP="0022339C">
      <w:pPr>
        <w:spacing w:line="360" w:lineRule="auto"/>
        <w:rPr>
          <w:sz w:val="24"/>
          <w:szCs w:val="24"/>
        </w:rPr>
      </w:pPr>
    </w:p>
    <w:p w14:paraId="27D1578D" w14:textId="387E954D" w:rsidR="0022339C" w:rsidRPr="0022339C" w:rsidRDefault="0022339C" w:rsidP="0022339C">
      <w:pPr>
        <w:spacing w:line="360" w:lineRule="auto"/>
        <w:rPr>
          <w:sz w:val="24"/>
          <w:szCs w:val="24"/>
          <w:u w:val="single"/>
        </w:rPr>
      </w:pPr>
      <w:r w:rsidRPr="0022339C">
        <w:rPr>
          <w:sz w:val="24"/>
          <w:szCs w:val="24"/>
          <w:u w:val="single"/>
        </w:rPr>
        <w:t>Identified Interrogatory No. 1</w:t>
      </w:r>
      <w:r>
        <w:rPr>
          <w:sz w:val="24"/>
          <w:szCs w:val="24"/>
          <w:u w:val="single"/>
        </w:rPr>
        <w:t>5</w:t>
      </w:r>
    </w:p>
    <w:p w14:paraId="06167D4B" w14:textId="6B326E55" w:rsidR="0022339C" w:rsidRDefault="0022339C" w:rsidP="0022339C">
      <w:pPr>
        <w:spacing w:line="360" w:lineRule="auto"/>
        <w:rPr>
          <w:sz w:val="24"/>
          <w:szCs w:val="24"/>
        </w:rPr>
      </w:pPr>
    </w:p>
    <w:p w14:paraId="350CA9BE" w14:textId="3581E22A" w:rsidR="00DD1F04" w:rsidRDefault="0022339C" w:rsidP="0022339C">
      <w:pPr>
        <w:spacing w:line="360" w:lineRule="auto"/>
        <w:rPr>
          <w:sz w:val="24"/>
          <w:szCs w:val="24"/>
        </w:rPr>
      </w:pPr>
      <w:r>
        <w:rPr>
          <w:sz w:val="24"/>
          <w:szCs w:val="24"/>
        </w:rPr>
        <w:tab/>
      </w:r>
      <w:r>
        <w:rPr>
          <w:sz w:val="24"/>
          <w:szCs w:val="24"/>
        </w:rPr>
        <w:tab/>
        <w:t xml:space="preserve">No. 15 states: </w:t>
      </w:r>
      <w:r w:rsidR="00800E12">
        <w:rPr>
          <w:sz w:val="24"/>
          <w:szCs w:val="24"/>
        </w:rPr>
        <w:t xml:space="preserve"> </w:t>
      </w:r>
      <w:r>
        <w:rPr>
          <w:sz w:val="24"/>
          <w:szCs w:val="24"/>
        </w:rPr>
        <w:t xml:space="preserve">Please describe the efforts that Duquesne Light has taken to identify any potential CHP hosts in its service territory.  </w:t>
      </w:r>
      <w:r w:rsidR="00DD1F04">
        <w:rPr>
          <w:sz w:val="24"/>
          <w:szCs w:val="24"/>
        </w:rPr>
        <w:t xml:space="preserve">Duquesne Light objects to this identified interrogatory on the same grounds as No. 12 – </w:t>
      </w:r>
      <w:r w:rsidR="00C03C8C">
        <w:rPr>
          <w:sz w:val="24"/>
          <w:szCs w:val="24"/>
        </w:rPr>
        <w:t xml:space="preserve">namely, that </w:t>
      </w:r>
      <w:r w:rsidR="00DD1F04">
        <w:rPr>
          <w:sz w:val="24"/>
          <w:szCs w:val="24"/>
        </w:rPr>
        <w:t xml:space="preserve">there is no relevance when determining the appropriate, just and legal base rate </w:t>
      </w:r>
      <w:r w:rsidR="00C03C8C">
        <w:rPr>
          <w:sz w:val="24"/>
          <w:szCs w:val="24"/>
        </w:rPr>
        <w:t>for</w:t>
      </w:r>
      <w:r w:rsidR="00DD1F04">
        <w:rPr>
          <w:sz w:val="24"/>
          <w:szCs w:val="24"/>
        </w:rPr>
        <w:t xml:space="preserve"> the Commission </w:t>
      </w:r>
      <w:r w:rsidR="00E37C68">
        <w:rPr>
          <w:sz w:val="24"/>
          <w:szCs w:val="24"/>
        </w:rPr>
        <w:t>to</w:t>
      </w:r>
      <w:bookmarkStart w:id="4" w:name="_GoBack"/>
      <w:bookmarkEnd w:id="4"/>
      <w:r w:rsidR="00DD1F04">
        <w:rPr>
          <w:sz w:val="24"/>
          <w:szCs w:val="24"/>
        </w:rPr>
        <w:t xml:space="preserve"> know what efforts, if any, Duquesne Light used to identify if it had any potential CHP hosts within its service territory.  </w:t>
      </w:r>
    </w:p>
    <w:p w14:paraId="3196D085" w14:textId="77777777" w:rsidR="00DD1F04" w:rsidRDefault="00DD1F04" w:rsidP="0022339C">
      <w:pPr>
        <w:spacing w:line="360" w:lineRule="auto"/>
        <w:rPr>
          <w:sz w:val="24"/>
          <w:szCs w:val="24"/>
        </w:rPr>
      </w:pPr>
    </w:p>
    <w:p w14:paraId="08BF9809" w14:textId="0E4DD4DA" w:rsidR="0022339C" w:rsidRDefault="00DD1F04" w:rsidP="0022339C">
      <w:pPr>
        <w:spacing w:line="360" w:lineRule="auto"/>
        <w:rPr>
          <w:sz w:val="24"/>
          <w:szCs w:val="24"/>
        </w:rPr>
      </w:pPr>
      <w:r>
        <w:rPr>
          <w:sz w:val="24"/>
          <w:szCs w:val="24"/>
        </w:rPr>
        <w:tab/>
      </w:r>
      <w:r>
        <w:rPr>
          <w:sz w:val="24"/>
          <w:szCs w:val="24"/>
        </w:rPr>
        <w:tab/>
        <w:t>Duquesne Light is greatly expanding the amounts it proposes to charge CHP hosts and any entity or individual who may receive service under Tariff Rider 16.  It is hard to imagine how it would be irrelevant if Duquesne Light and the Commission knew how many potential customers Duquesne Light knows it will have or suspects it will have under this tariff provision.  Put simply, it is relevant for the Commission to know how many CHP hosts and potentially-</w:t>
      </w:r>
      <w:r>
        <w:rPr>
          <w:sz w:val="24"/>
          <w:szCs w:val="24"/>
        </w:rPr>
        <w:lastRenderedPageBreak/>
        <w:t xml:space="preserve">affected customers are in Duquesne Light’s territory.  If the answer from Duquesne Light is “none” or “only a few,” then </w:t>
      </w:r>
      <w:r w:rsidRPr="00DD1F04">
        <w:rPr>
          <w:sz w:val="24"/>
          <w:szCs w:val="24"/>
          <w:u w:val="single"/>
        </w:rPr>
        <w:t>at that point</w:t>
      </w:r>
      <w:r>
        <w:rPr>
          <w:sz w:val="24"/>
          <w:szCs w:val="24"/>
        </w:rPr>
        <w:t xml:space="preserve"> the efforts Duquesne Light took to identify such affected customers would be pertinent and germane to the base rate proceeding.  </w:t>
      </w:r>
    </w:p>
    <w:p w14:paraId="5AEB727B" w14:textId="1593B6DF" w:rsidR="00DD1F04" w:rsidRDefault="00DD1F04" w:rsidP="0022339C">
      <w:pPr>
        <w:spacing w:line="360" w:lineRule="auto"/>
        <w:rPr>
          <w:sz w:val="24"/>
          <w:szCs w:val="24"/>
        </w:rPr>
      </w:pPr>
    </w:p>
    <w:p w14:paraId="4EEDC37F" w14:textId="6F79B35C" w:rsidR="00DD1F04" w:rsidRPr="00625250" w:rsidRDefault="00DD1F04" w:rsidP="00DD1F04">
      <w:pPr>
        <w:spacing w:line="360" w:lineRule="auto"/>
        <w:rPr>
          <w:sz w:val="24"/>
          <w:szCs w:val="24"/>
        </w:rPr>
      </w:pPr>
      <w:r>
        <w:rPr>
          <w:sz w:val="24"/>
          <w:szCs w:val="24"/>
        </w:rPr>
        <w:tab/>
      </w:r>
      <w:r>
        <w:rPr>
          <w:sz w:val="24"/>
          <w:szCs w:val="24"/>
        </w:rPr>
        <w:tab/>
        <w:t xml:space="preserve">Accordingly, this question is clearly relevant to the base rate proceeding, and </w:t>
      </w:r>
      <w:r w:rsidRPr="00625250">
        <w:rPr>
          <w:sz w:val="24"/>
          <w:szCs w:val="24"/>
        </w:rPr>
        <w:t xml:space="preserve">Duquesne Light will be compelled to answer the identified </w:t>
      </w:r>
      <w:r w:rsidR="005F02E7">
        <w:rPr>
          <w:sz w:val="24"/>
          <w:szCs w:val="24"/>
        </w:rPr>
        <w:t>i</w:t>
      </w:r>
      <w:r w:rsidRPr="00625250">
        <w:rPr>
          <w:sz w:val="24"/>
          <w:szCs w:val="24"/>
        </w:rPr>
        <w:t>nterrogatory No. 1</w:t>
      </w:r>
      <w:r w:rsidR="00D674D1" w:rsidRPr="00625250">
        <w:rPr>
          <w:sz w:val="24"/>
          <w:szCs w:val="24"/>
        </w:rPr>
        <w:t>5</w:t>
      </w:r>
      <w:r w:rsidRPr="00625250">
        <w:rPr>
          <w:sz w:val="24"/>
          <w:szCs w:val="24"/>
        </w:rPr>
        <w:t>.</w:t>
      </w:r>
    </w:p>
    <w:p w14:paraId="4E837F8F" w14:textId="612EED48" w:rsidR="00CC12C2" w:rsidRPr="00625250" w:rsidRDefault="00CC12C2" w:rsidP="009F26CB">
      <w:pPr>
        <w:spacing w:line="360" w:lineRule="auto"/>
        <w:rPr>
          <w:sz w:val="24"/>
          <w:szCs w:val="24"/>
        </w:rPr>
      </w:pPr>
    </w:p>
    <w:p w14:paraId="3FDCB9FC" w14:textId="3BF8DB03" w:rsidR="00625250" w:rsidRPr="00625250" w:rsidRDefault="00625250" w:rsidP="00625250">
      <w:pPr>
        <w:spacing w:line="360" w:lineRule="auto"/>
        <w:ind w:firstLine="1440"/>
        <w:rPr>
          <w:sz w:val="24"/>
          <w:szCs w:val="24"/>
        </w:rPr>
      </w:pPr>
      <w:r w:rsidRPr="00625250">
        <w:rPr>
          <w:sz w:val="24"/>
          <w:szCs w:val="24"/>
        </w:rPr>
        <w:t xml:space="preserve">The information </w:t>
      </w:r>
      <w:r>
        <w:rPr>
          <w:sz w:val="24"/>
          <w:szCs w:val="24"/>
        </w:rPr>
        <w:t xml:space="preserve">Peoples requests is both </w:t>
      </w:r>
      <w:r w:rsidRPr="00625250">
        <w:rPr>
          <w:sz w:val="24"/>
          <w:szCs w:val="24"/>
        </w:rPr>
        <w:t>relevant and discoverable</w:t>
      </w:r>
      <w:r>
        <w:rPr>
          <w:sz w:val="24"/>
          <w:szCs w:val="24"/>
        </w:rPr>
        <w:t xml:space="preserve"> and </w:t>
      </w:r>
      <w:r w:rsidR="003F0684">
        <w:rPr>
          <w:sz w:val="24"/>
          <w:szCs w:val="24"/>
        </w:rPr>
        <w:t>is</w:t>
      </w:r>
      <w:r>
        <w:rPr>
          <w:sz w:val="24"/>
          <w:szCs w:val="24"/>
        </w:rPr>
        <w:t xml:space="preserve"> not excessive in </w:t>
      </w:r>
      <w:r w:rsidR="003F0684">
        <w:rPr>
          <w:sz w:val="24"/>
          <w:szCs w:val="24"/>
        </w:rPr>
        <w:t>the</w:t>
      </w:r>
      <w:r w:rsidRPr="00625250">
        <w:rPr>
          <w:sz w:val="24"/>
          <w:szCs w:val="24"/>
        </w:rPr>
        <w:t xml:space="preserve"> scope of requested information or requested documentation.  Duquesne Light was in error to refuse to provide the requested information.  In the Ordering Paragraphs below, Duquesne Light will be required to respond to Peoples’ Set II Interrogatories Nos. 1-27, 32, 33 and 42-44.</w:t>
      </w:r>
    </w:p>
    <w:p w14:paraId="143EEB35" w14:textId="77777777" w:rsidR="00625250" w:rsidRPr="00625250" w:rsidRDefault="00625250" w:rsidP="00625250">
      <w:pPr>
        <w:spacing w:line="360" w:lineRule="auto"/>
        <w:rPr>
          <w:sz w:val="24"/>
          <w:szCs w:val="24"/>
        </w:rPr>
      </w:pPr>
    </w:p>
    <w:p w14:paraId="4CD21C28" w14:textId="77777777" w:rsidR="00625250" w:rsidRPr="00625250" w:rsidRDefault="00625250" w:rsidP="00625250">
      <w:pPr>
        <w:spacing w:line="360" w:lineRule="auto"/>
        <w:ind w:left="720" w:firstLine="720"/>
        <w:rPr>
          <w:sz w:val="24"/>
          <w:szCs w:val="24"/>
        </w:rPr>
      </w:pPr>
      <w:r w:rsidRPr="00625250">
        <w:rPr>
          <w:sz w:val="24"/>
          <w:szCs w:val="24"/>
        </w:rPr>
        <w:t xml:space="preserve">THEREFORE, </w:t>
      </w:r>
    </w:p>
    <w:p w14:paraId="338F0472" w14:textId="77777777" w:rsidR="00625250" w:rsidRPr="00625250" w:rsidRDefault="00625250" w:rsidP="00625250">
      <w:pPr>
        <w:spacing w:line="360" w:lineRule="auto"/>
        <w:ind w:left="720" w:firstLine="720"/>
        <w:rPr>
          <w:sz w:val="24"/>
          <w:szCs w:val="24"/>
        </w:rPr>
      </w:pPr>
    </w:p>
    <w:p w14:paraId="10AA620F" w14:textId="77777777" w:rsidR="00625250" w:rsidRPr="00625250" w:rsidRDefault="00625250" w:rsidP="00625250">
      <w:pPr>
        <w:spacing w:line="360" w:lineRule="auto"/>
        <w:ind w:left="720" w:firstLine="720"/>
        <w:rPr>
          <w:sz w:val="24"/>
          <w:szCs w:val="24"/>
        </w:rPr>
      </w:pPr>
      <w:r w:rsidRPr="00625250">
        <w:rPr>
          <w:sz w:val="24"/>
          <w:szCs w:val="24"/>
        </w:rPr>
        <w:t>IT IS ORDERED:</w:t>
      </w:r>
    </w:p>
    <w:p w14:paraId="7380885A" w14:textId="77777777" w:rsidR="00625250" w:rsidRPr="00625250" w:rsidRDefault="00625250" w:rsidP="00625250">
      <w:pPr>
        <w:spacing w:line="360" w:lineRule="auto"/>
        <w:rPr>
          <w:sz w:val="24"/>
          <w:szCs w:val="24"/>
        </w:rPr>
      </w:pPr>
    </w:p>
    <w:p w14:paraId="24FBD9A9" w14:textId="0DED2905" w:rsidR="00625250" w:rsidRPr="00625250" w:rsidRDefault="00625250" w:rsidP="00625250">
      <w:pPr>
        <w:spacing w:line="360" w:lineRule="auto"/>
        <w:ind w:firstLine="1440"/>
        <w:rPr>
          <w:sz w:val="24"/>
          <w:szCs w:val="24"/>
        </w:rPr>
      </w:pPr>
      <w:r w:rsidRPr="00625250">
        <w:rPr>
          <w:sz w:val="24"/>
          <w:szCs w:val="24"/>
        </w:rPr>
        <w:t xml:space="preserve">1. </w:t>
      </w:r>
      <w:r w:rsidRPr="00625250">
        <w:rPr>
          <w:sz w:val="24"/>
          <w:szCs w:val="24"/>
        </w:rPr>
        <w:tab/>
        <w:t xml:space="preserve">That the </w:t>
      </w:r>
      <w:r w:rsidR="003F0684">
        <w:rPr>
          <w:sz w:val="24"/>
          <w:szCs w:val="24"/>
        </w:rPr>
        <w:t>Motion dated May 29, 2018 to Dismiss Objections and Compel Answers to Interrogatories and Requests for Production of Documents Propounded by Peoples Natural Gas Company LLC to Duquesne Light Company – Set II, Nos. 1-27,</w:t>
      </w:r>
      <w:r w:rsidR="00800E12">
        <w:rPr>
          <w:sz w:val="24"/>
          <w:szCs w:val="24"/>
        </w:rPr>
        <w:t xml:space="preserve"> </w:t>
      </w:r>
      <w:r w:rsidR="003F0684">
        <w:rPr>
          <w:sz w:val="24"/>
          <w:szCs w:val="24"/>
        </w:rPr>
        <w:t xml:space="preserve">32, 33 and 42-44, on May 16, 2018, </w:t>
      </w:r>
      <w:r w:rsidRPr="00625250">
        <w:rPr>
          <w:sz w:val="24"/>
          <w:szCs w:val="24"/>
        </w:rPr>
        <w:t xml:space="preserve">is hereby granted.  </w:t>
      </w:r>
    </w:p>
    <w:p w14:paraId="6CD9F0B3" w14:textId="77777777" w:rsidR="00625250" w:rsidRPr="00625250" w:rsidRDefault="00625250" w:rsidP="00625250">
      <w:pPr>
        <w:spacing w:line="360" w:lineRule="auto"/>
        <w:rPr>
          <w:sz w:val="24"/>
          <w:szCs w:val="24"/>
        </w:rPr>
      </w:pPr>
    </w:p>
    <w:p w14:paraId="7FF3E7BA" w14:textId="32FD71E7" w:rsidR="00625250" w:rsidRPr="00625250" w:rsidRDefault="00625250" w:rsidP="00625250">
      <w:pPr>
        <w:spacing w:line="360" w:lineRule="auto"/>
        <w:ind w:firstLine="1440"/>
        <w:rPr>
          <w:sz w:val="24"/>
          <w:szCs w:val="24"/>
        </w:rPr>
      </w:pPr>
      <w:r w:rsidRPr="00625250">
        <w:rPr>
          <w:sz w:val="24"/>
          <w:szCs w:val="24"/>
        </w:rPr>
        <w:t xml:space="preserve">2. </w:t>
      </w:r>
      <w:r w:rsidRPr="00625250">
        <w:rPr>
          <w:sz w:val="24"/>
          <w:szCs w:val="24"/>
        </w:rPr>
        <w:tab/>
        <w:t xml:space="preserve">That on or before 4:00 p.m. on </w:t>
      </w:r>
      <w:r w:rsidR="003F0684">
        <w:rPr>
          <w:sz w:val="24"/>
          <w:szCs w:val="24"/>
        </w:rPr>
        <w:t>Friday, June 22</w:t>
      </w:r>
      <w:r w:rsidRPr="00625250">
        <w:rPr>
          <w:sz w:val="24"/>
          <w:szCs w:val="24"/>
        </w:rPr>
        <w:t xml:space="preserve">, 2018, Duquesne Light Company shall serve the following documentation noted in paragraph 4 below upon </w:t>
      </w:r>
      <w:r w:rsidR="003F0684">
        <w:rPr>
          <w:sz w:val="24"/>
          <w:szCs w:val="24"/>
        </w:rPr>
        <w:t>Peoples Natural Gas Company LLC</w:t>
      </w:r>
      <w:r w:rsidRPr="00625250">
        <w:rPr>
          <w:sz w:val="24"/>
          <w:szCs w:val="24"/>
        </w:rPr>
        <w:t>.</w:t>
      </w:r>
    </w:p>
    <w:p w14:paraId="4B0DCF91" w14:textId="77777777" w:rsidR="00625250" w:rsidRPr="00625250" w:rsidRDefault="00625250" w:rsidP="00625250">
      <w:pPr>
        <w:spacing w:line="360" w:lineRule="auto"/>
        <w:rPr>
          <w:sz w:val="24"/>
          <w:szCs w:val="24"/>
        </w:rPr>
      </w:pPr>
    </w:p>
    <w:p w14:paraId="6BE0D766" w14:textId="77777777" w:rsidR="00625250" w:rsidRPr="00625250" w:rsidRDefault="00625250" w:rsidP="00625250">
      <w:pPr>
        <w:spacing w:line="360" w:lineRule="auto"/>
        <w:rPr>
          <w:sz w:val="24"/>
          <w:szCs w:val="24"/>
        </w:rPr>
      </w:pPr>
      <w:r w:rsidRPr="00625250">
        <w:rPr>
          <w:sz w:val="24"/>
          <w:szCs w:val="24"/>
        </w:rPr>
        <w:tab/>
      </w:r>
      <w:r w:rsidRPr="00625250">
        <w:rPr>
          <w:sz w:val="24"/>
          <w:szCs w:val="24"/>
        </w:rPr>
        <w:tab/>
        <w:t xml:space="preserve">3. </w:t>
      </w:r>
      <w:r w:rsidRPr="00625250">
        <w:rPr>
          <w:sz w:val="24"/>
          <w:szCs w:val="24"/>
        </w:rPr>
        <w:tab/>
        <w:t xml:space="preserve">That failure of Duquesne Light Company to comply with paragraph 2 above may result in an order consistent with the provisions of 52 </w:t>
      </w:r>
      <w:proofErr w:type="spellStart"/>
      <w:proofErr w:type="gramStart"/>
      <w:r w:rsidRPr="00625250">
        <w:rPr>
          <w:sz w:val="24"/>
          <w:szCs w:val="24"/>
        </w:rPr>
        <w:t>Pa.Code</w:t>
      </w:r>
      <w:proofErr w:type="spellEnd"/>
      <w:proofErr w:type="gramEnd"/>
      <w:r w:rsidRPr="00625250">
        <w:rPr>
          <w:sz w:val="24"/>
          <w:szCs w:val="24"/>
        </w:rPr>
        <w:t xml:space="preserve"> § 5.372(a).</w:t>
      </w:r>
    </w:p>
    <w:p w14:paraId="2BB44936" w14:textId="77777777" w:rsidR="00625250" w:rsidRPr="00625250" w:rsidRDefault="00625250" w:rsidP="00625250">
      <w:pPr>
        <w:spacing w:line="360" w:lineRule="auto"/>
        <w:rPr>
          <w:sz w:val="24"/>
          <w:szCs w:val="24"/>
        </w:rPr>
      </w:pPr>
    </w:p>
    <w:p w14:paraId="3E69587C" w14:textId="09847E12" w:rsidR="00625250" w:rsidRPr="00625250" w:rsidRDefault="00625250" w:rsidP="00625250">
      <w:pPr>
        <w:spacing w:line="360" w:lineRule="auto"/>
        <w:ind w:firstLine="1440"/>
        <w:rPr>
          <w:sz w:val="24"/>
          <w:szCs w:val="24"/>
        </w:rPr>
      </w:pPr>
      <w:r w:rsidRPr="00625250">
        <w:rPr>
          <w:sz w:val="24"/>
          <w:szCs w:val="24"/>
        </w:rPr>
        <w:lastRenderedPageBreak/>
        <w:t xml:space="preserve">4. </w:t>
      </w:r>
      <w:r w:rsidRPr="00625250">
        <w:rPr>
          <w:sz w:val="24"/>
          <w:szCs w:val="24"/>
        </w:rPr>
        <w:tab/>
        <w:t xml:space="preserve">That Duquesne Light Company shall </w:t>
      </w:r>
      <w:r w:rsidRPr="00625250">
        <w:rPr>
          <w:spacing w:val="-3"/>
          <w:sz w:val="24"/>
          <w:szCs w:val="24"/>
          <w:u w:val="single"/>
        </w:rPr>
        <w:t>fully</w:t>
      </w:r>
      <w:r w:rsidRPr="00625250">
        <w:rPr>
          <w:spacing w:val="-3"/>
          <w:sz w:val="24"/>
          <w:szCs w:val="24"/>
        </w:rPr>
        <w:t xml:space="preserve"> answer </w:t>
      </w:r>
      <w:r w:rsidRPr="00625250">
        <w:rPr>
          <w:sz w:val="24"/>
          <w:szCs w:val="24"/>
        </w:rPr>
        <w:t xml:space="preserve">the </w:t>
      </w:r>
      <w:r w:rsidR="003F0684">
        <w:rPr>
          <w:sz w:val="24"/>
          <w:szCs w:val="24"/>
        </w:rPr>
        <w:t>Interrogatories and Requests for Production of Documents Propounded by Peoples Natural Gas Company LLC to Duquesne Light Company – Set II, Nos. 1-27,</w:t>
      </w:r>
      <w:r w:rsidR="00800E12">
        <w:rPr>
          <w:sz w:val="24"/>
          <w:szCs w:val="24"/>
        </w:rPr>
        <w:t xml:space="preserve"> </w:t>
      </w:r>
      <w:r w:rsidR="003F0684">
        <w:rPr>
          <w:sz w:val="24"/>
          <w:szCs w:val="24"/>
        </w:rPr>
        <w:t>32, 33 and 42-44, on May 16, 2018</w:t>
      </w:r>
      <w:r w:rsidRPr="00625250">
        <w:rPr>
          <w:spacing w:val="-3"/>
          <w:sz w:val="24"/>
          <w:szCs w:val="24"/>
        </w:rPr>
        <w:t>.</w:t>
      </w:r>
    </w:p>
    <w:p w14:paraId="6A746BE7" w14:textId="77777777" w:rsidR="00625250" w:rsidRPr="00625250" w:rsidRDefault="00625250" w:rsidP="00625250">
      <w:pPr>
        <w:spacing w:line="360" w:lineRule="auto"/>
        <w:rPr>
          <w:sz w:val="24"/>
          <w:szCs w:val="24"/>
        </w:rPr>
      </w:pPr>
    </w:p>
    <w:p w14:paraId="0F5C7B7A" w14:textId="77777777" w:rsidR="00625250" w:rsidRPr="00625250" w:rsidRDefault="00625250" w:rsidP="00625250">
      <w:pPr>
        <w:spacing w:line="360" w:lineRule="auto"/>
        <w:rPr>
          <w:sz w:val="24"/>
          <w:szCs w:val="24"/>
        </w:rPr>
      </w:pPr>
    </w:p>
    <w:p w14:paraId="69F9A2C7" w14:textId="77777777" w:rsidR="00625250" w:rsidRPr="00625250" w:rsidRDefault="00625250" w:rsidP="00625250">
      <w:pPr>
        <w:rPr>
          <w:sz w:val="24"/>
          <w:szCs w:val="24"/>
        </w:rPr>
      </w:pPr>
    </w:p>
    <w:p w14:paraId="28E6939F" w14:textId="2374A334" w:rsidR="00625250" w:rsidRPr="00625250" w:rsidRDefault="00625250" w:rsidP="00625250">
      <w:pPr>
        <w:rPr>
          <w:sz w:val="24"/>
          <w:szCs w:val="24"/>
        </w:rPr>
      </w:pPr>
      <w:r w:rsidRPr="00625250">
        <w:rPr>
          <w:sz w:val="24"/>
          <w:szCs w:val="24"/>
        </w:rPr>
        <w:t xml:space="preserve">Date:  </w:t>
      </w:r>
      <w:r w:rsidR="003F0684">
        <w:rPr>
          <w:sz w:val="24"/>
          <w:szCs w:val="24"/>
          <w:u w:val="single"/>
        </w:rPr>
        <w:t>June 20</w:t>
      </w:r>
      <w:r w:rsidRPr="00625250">
        <w:rPr>
          <w:sz w:val="24"/>
          <w:szCs w:val="24"/>
          <w:u w:val="single"/>
        </w:rPr>
        <w:t>, 2018</w:t>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____________________________________</w:t>
      </w:r>
    </w:p>
    <w:p w14:paraId="30BA00BF"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Katrina L. Dunderdale</w:t>
      </w:r>
    </w:p>
    <w:p w14:paraId="6ABB6BE3" w14:textId="77777777" w:rsidR="00625250" w:rsidRPr="00625250" w:rsidRDefault="00625250" w:rsidP="00625250">
      <w:pPr>
        <w:rPr>
          <w:sz w:val="24"/>
          <w:szCs w:val="24"/>
        </w:rPr>
      </w:pP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r>
      <w:r w:rsidRPr="00625250">
        <w:rPr>
          <w:sz w:val="24"/>
          <w:szCs w:val="24"/>
        </w:rPr>
        <w:tab/>
        <w:t xml:space="preserve">       </w:t>
      </w:r>
      <w:r w:rsidRPr="00625250">
        <w:rPr>
          <w:sz w:val="24"/>
          <w:szCs w:val="24"/>
        </w:rPr>
        <w:tab/>
        <w:t>Administrative Law Judge</w:t>
      </w:r>
    </w:p>
    <w:p w14:paraId="0D6D07C6" w14:textId="77777777" w:rsidR="00554D3D" w:rsidRPr="00625250" w:rsidRDefault="00554D3D">
      <w:pPr>
        <w:rPr>
          <w:b/>
          <w:i/>
          <w:sz w:val="24"/>
          <w:szCs w:val="24"/>
        </w:rPr>
      </w:pPr>
      <w:r w:rsidRPr="00625250">
        <w:rPr>
          <w:b/>
          <w:i/>
          <w:sz w:val="24"/>
          <w:szCs w:val="24"/>
        </w:rPr>
        <w:br w:type="page"/>
      </w:r>
    </w:p>
    <w:p w14:paraId="2ACFF56C" w14:textId="77777777" w:rsidR="00554D3D" w:rsidRDefault="00554D3D" w:rsidP="00554D3D">
      <w:pPr>
        <w:ind w:left="-360"/>
        <w:rPr>
          <w:rFonts w:ascii="Microsoft Sans Serif" w:hAnsi="Microsoft Sans Serif" w:cs="Microsoft Sans Serif"/>
          <w:b/>
          <w:sz w:val="24"/>
          <w:szCs w:val="24"/>
          <w:u w:val="single"/>
        </w:rPr>
        <w:sectPr w:rsidR="00554D3D" w:rsidSect="002E28DF">
          <w:footerReference w:type="even" r:id="rId7"/>
          <w:footerReference w:type="default" r:id="rId8"/>
          <w:pgSz w:w="12240" w:h="15840"/>
          <w:pgMar w:top="1440" w:right="1440" w:bottom="1440" w:left="1440" w:header="720" w:footer="720" w:gutter="0"/>
          <w:cols w:space="720"/>
          <w:titlePg/>
          <w:docGrid w:linePitch="272"/>
        </w:sectPr>
      </w:pPr>
    </w:p>
    <w:p w14:paraId="3ED5039E" w14:textId="3165CEAB" w:rsidR="0058151F" w:rsidRDefault="0058151F" w:rsidP="0058151F">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lastRenderedPageBreak/>
        <w:t>R-2018-3000124 – PENNSYLVANIA PUBLIC UTILITY COMMISSION V. DUQUESNE LIGHT COMPANY 1308(D)</w:t>
      </w:r>
    </w:p>
    <w:p w14:paraId="29B63A75" w14:textId="77777777" w:rsidR="006D25A7" w:rsidRPr="00AA4415" w:rsidRDefault="006D25A7" w:rsidP="0058151F">
      <w:pPr>
        <w:ind w:left="-360"/>
        <w:rPr>
          <w:rFonts w:ascii="Microsoft Sans Serif" w:hAnsi="Microsoft Sans Serif" w:cs="Microsoft Sans Serif"/>
          <w:b/>
          <w:sz w:val="24"/>
          <w:szCs w:val="24"/>
          <w:u w:val="single"/>
        </w:rPr>
      </w:pPr>
    </w:p>
    <w:p w14:paraId="0CF89A1F" w14:textId="77777777" w:rsidR="0058151F" w:rsidRDefault="0058151F" w:rsidP="0058151F">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6/18/18)</w:t>
      </w:r>
    </w:p>
    <w:p w14:paraId="383D42F2" w14:textId="77777777" w:rsidR="0058151F" w:rsidRPr="001810AA" w:rsidRDefault="0058151F" w:rsidP="0058151F">
      <w:pPr>
        <w:ind w:left="-360"/>
        <w:contextualSpacing/>
        <w:rPr>
          <w:rFonts w:ascii="Microsoft Sans Serif" w:hAnsi="Microsoft Sans Serif" w:cs="Microsoft Sans Serif"/>
          <w:i/>
          <w:sz w:val="24"/>
          <w:szCs w:val="24"/>
        </w:rPr>
      </w:pPr>
    </w:p>
    <w:p w14:paraId="213E13C9" w14:textId="77777777" w:rsidR="0058151F" w:rsidRDefault="0058151F" w:rsidP="0058151F">
      <w:pPr>
        <w:ind w:left="-360"/>
        <w:contextualSpacing/>
        <w:rPr>
          <w:rFonts w:ascii="Microsoft Sans Serif" w:hAnsi="Microsoft Sans Serif" w:cs="Microsoft Sans Serif"/>
          <w:sz w:val="24"/>
          <w:szCs w:val="24"/>
        </w:rPr>
        <w:sectPr w:rsidR="0058151F">
          <w:footerReference w:type="default" r:id="rId9"/>
          <w:pgSz w:w="12240" w:h="15840"/>
          <w:pgMar w:top="1440" w:right="1440" w:bottom="1440" w:left="1440" w:header="720" w:footer="720" w:gutter="0"/>
          <w:cols w:space="720"/>
          <w:docGrid w:linePitch="360"/>
        </w:sectPr>
      </w:pPr>
    </w:p>
    <w:p w14:paraId="6589BFA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7089C434" w14:textId="77777777" w:rsidR="0058151F" w:rsidRPr="00AA4415"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7038DF9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50E7C3C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664EB495"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7472ABAA"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6E309C68"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59ED212A"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791E2AEF" w14:textId="77777777" w:rsidR="0058151F" w:rsidRPr="00AA4415"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15621B7F" w14:textId="77777777" w:rsidR="0058151F" w:rsidRDefault="0058151F" w:rsidP="0058151F">
      <w:pPr>
        <w:ind w:hanging="360"/>
        <w:contextualSpacing/>
        <w:rPr>
          <w:rFonts w:ascii="Microsoft Sans Serif" w:hAnsi="Microsoft Sans Serif" w:cs="Microsoft Sans Serif"/>
          <w:b/>
          <w:i/>
          <w:sz w:val="24"/>
          <w:szCs w:val="24"/>
          <w:u w:val="single"/>
        </w:rPr>
      </w:pPr>
    </w:p>
    <w:p w14:paraId="6FC59699" w14:textId="77777777" w:rsidR="0058151F"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0A2F6605" w14:textId="77777777" w:rsidR="0058151F" w:rsidRPr="00AA4415"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576979CC" w14:textId="77777777" w:rsidR="0058151F" w:rsidRPr="00646EF2"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047278D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369312B2"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434105CA"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3087E908"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690398CB"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4A098920" w14:textId="77777777" w:rsidR="0058151F" w:rsidRDefault="0058151F" w:rsidP="0058151F">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6ADE613F"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704598CF" w14:textId="77777777" w:rsidR="0058151F" w:rsidRPr="007363F4"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39041ED5"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E1F9EED"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4E20EA39" w14:textId="77777777" w:rsidR="0058151F" w:rsidRDefault="0058151F" w:rsidP="0058151F">
      <w:pPr>
        <w:ind w:left="-360"/>
        <w:contextualSpacing/>
        <w:rPr>
          <w:rFonts w:ascii="Microsoft Sans Serif" w:hAnsi="Microsoft Sans Serif" w:cs="Microsoft Sans Serif"/>
          <w:b/>
          <w:i/>
          <w:sz w:val="24"/>
          <w:szCs w:val="24"/>
          <w:u w:val="single"/>
        </w:rPr>
      </w:pPr>
    </w:p>
    <w:p w14:paraId="5FC67DE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5CD9B22E"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26957AA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4F905B99"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7016D61E" w14:textId="77777777" w:rsidR="0058151F" w:rsidRDefault="0058151F" w:rsidP="0058151F">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37213F6D"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118AFC43"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1BFC4AA4" w14:textId="77777777" w:rsidR="0058151F" w:rsidRDefault="0058151F" w:rsidP="0058151F">
      <w:pPr>
        <w:ind w:left="-360"/>
        <w:contextualSpacing/>
        <w:rPr>
          <w:rFonts w:ascii="Microsoft Sans Serif" w:eastAsia="Microsoft Sans Serif" w:hAnsi="Microsoft Sans Serif" w:cs="Microsoft Sans Serif"/>
          <w:sz w:val="24"/>
          <w:szCs w:val="24"/>
        </w:rPr>
      </w:pPr>
    </w:p>
    <w:p w14:paraId="38C8472D" w14:textId="77777777" w:rsidR="0058151F" w:rsidRDefault="0058151F" w:rsidP="0058151F">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765F5BC4"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435066EA"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7E88EA7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6597875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012FB966" w14:textId="77777777" w:rsidR="0058151F" w:rsidRPr="00583CC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1EE838A7" w14:textId="77777777" w:rsidR="0058151F" w:rsidRPr="00E444E0" w:rsidRDefault="0058151F" w:rsidP="0058151F">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4DD213CB" w14:textId="77777777" w:rsidR="0058151F" w:rsidRDefault="0058151F" w:rsidP="0058151F">
      <w:pPr>
        <w:ind w:left="-360"/>
        <w:contextualSpacing/>
        <w:rPr>
          <w:rFonts w:ascii="Microsoft Sans Serif" w:eastAsia="Microsoft Sans Serif" w:hAnsi="Microsoft Sans Serif" w:cs="Microsoft Sans Serif"/>
          <w:sz w:val="24"/>
          <w:szCs w:val="24"/>
        </w:rPr>
      </w:pPr>
    </w:p>
    <w:p w14:paraId="0F4E2FC6"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58B72A1" w14:textId="77777777" w:rsidR="0058151F" w:rsidRDefault="0058151F" w:rsidP="0058151F">
      <w:pPr>
        <w:ind w:left="-360"/>
        <w:contextualSpacing/>
        <w:rPr>
          <w:rFonts w:ascii="Microsoft Sans Serif" w:eastAsia="Microsoft Sans Serif" w:hAnsi="Microsoft Sans Serif" w:cs="Microsoft Sans Serif"/>
          <w:sz w:val="24"/>
          <w:szCs w:val="24"/>
        </w:rPr>
      </w:pPr>
    </w:p>
    <w:p w14:paraId="11B9711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12336635"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58E4A83D"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ARON J BEATTY ESQUIRE</w:t>
      </w:r>
    </w:p>
    <w:p w14:paraId="571713B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2B5C080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04ABF4D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53DDAEB5"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7A842939" w14:textId="77777777" w:rsidR="0058151F" w:rsidRPr="00AA4415"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3B2E56E2" w14:textId="77777777" w:rsidR="0058151F" w:rsidRPr="003E1679" w:rsidRDefault="0058151F" w:rsidP="0058151F">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7BC7FA9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41E52834" w14:textId="77777777" w:rsidR="0058151F" w:rsidRDefault="0058151F" w:rsidP="0058151F">
      <w:pPr>
        <w:ind w:left="-360"/>
        <w:contextualSpacing/>
        <w:rPr>
          <w:rFonts w:ascii="Microsoft Sans Serif" w:eastAsia="Microsoft Sans Serif" w:hAnsi="Microsoft Sans Serif" w:cs="Microsoft Sans Serif"/>
          <w:sz w:val="24"/>
          <w:szCs w:val="24"/>
        </w:rPr>
      </w:pPr>
    </w:p>
    <w:p w14:paraId="0F443952"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4757BDE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0C1C3855" w14:textId="77777777" w:rsidR="0058151F" w:rsidRPr="00646EF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31A9D55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5B69665B" w14:textId="77777777" w:rsidR="0058151F" w:rsidRPr="00AA4415" w:rsidRDefault="0058151F" w:rsidP="0058151F">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75889A6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1498707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371F08E7"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3CA55BF0" w14:textId="77777777" w:rsidR="0058151F"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2EC4CDBF" w14:textId="77777777" w:rsidR="0058151F" w:rsidRDefault="0058151F" w:rsidP="0058151F">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4F15DDC5" w14:textId="77777777" w:rsidR="0058151F" w:rsidRPr="00000F54" w:rsidRDefault="0058151F" w:rsidP="0058151F">
      <w:pPr>
        <w:ind w:left="-360"/>
        <w:contextualSpacing/>
        <w:rPr>
          <w:rFonts w:ascii="Microsoft Sans Serif" w:hAnsi="Microsoft Sans Serif" w:cs="Microsoft Sans Serif"/>
          <w:b/>
          <w:i/>
          <w:sz w:val="24"/>
          <w:szCs w:val="24"/>
        </w:rPr>
      </w:pPr>
    </w:p>
    <w:p w14:paraId="14E9B00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6413A243" w14:textId="77777777" w:rsidR="0058151F"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6044BF6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486EBA5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5AEE733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08C7E5B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77C58A2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7051FC17"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1440FD5D" w14:textId="77777777" w:rsidR="0058151F" w:rsidRPr="00AA441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1C4487C5"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0C193FC6"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3FB0530A" w14:textId="77777777" w:rsidR="0058151F" w:rsidRDefault="0058151F" w:rsidP="0058151F">
      <w:pPr>
        <w:ind w:left="-360"/>
        <w:contextualSpacing/>
        <w:rPr>
          <w:rFonts w:ascii="Microsoft Sans Serif" w:hAnsi="Microsoft Sans Serif" w:cs="Microsoft Sans Serif"/>
          <w:b/>
          <w:i/>
          <w:sz w:val="24"/>
          <w:szCs w:val="24"/>
          <w:u w:val="single"/>
        </w:rPr>
      </w:pPr>
    </w:p>
    <w:p w14:paraId="6A6E84BE" w14:textId="77777777" w:rsidR="0058151F" w:rsidRDefault="0058151F" w:rsidP="005815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2CE74C4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L VULLO ESQUIRE</w:t>
      </w:r>
    </w:p>
    <w:p w14:paraId="406554A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0A6D21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17ABD48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3604A6B1"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6B7BACDD"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02A38EF4"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57AFD312" w14:textId="77777777" w:rsidR="0058151F" w:rsidRDefault="0058151F" w:rsidP="0058151F">
      <w:pPr>
        <w:ind w:left="-360"/>
        <w:contextualSpacing/>
        <w:rPr>
          <w:rFonts w:ascii="Microsoft Sans Serif" w:hAnsi="Microsoft Sans Serif" w:cs="Microsoft Sans Serif"/>
          <w:b/>
          <w:i/>
          <w:sz w:val="24"/>
          <w:szCs w:val="24"/>
        </w:rPr>
      </w:pPr>
    </w:p>
    <w:p w14:paraId="0F414EB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577629B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6B2AF36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69C95AF0"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6CB287D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18116CF1"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F8D1185" w14:textId="77777777" w:rsidR="0058151F" w:rsidRDefault="0058151F" w:rsidP="0058151F">
      <w:pPr>
        <w:ind w:left="-360"/>
        <w:contextualSpacing/>
        <w:rPr>
          <w:rFonts w:ascii="Microsoft Sans Serif" w:hAnsi="Microsoft Sans Serif" w:cs="Microsoft Sans Serif"/>
          <w:sz w:val="24"/>
          <w:szCs w:val="24"/>
        </w:rPr>
      </w:pPr>
    </w:p>
    <w:p w14:paraId="11E60F7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41EBC3F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0CC980A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295910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58D4774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69F0B5E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5280752E" w14:textId="77777777" w:rsidR="0058151F" w:rsidRDefault="0058151F" w:rsidP="0058151F">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251C3A02" w14:textId="77777777" w:rsidR="0058151F" w:rsidRPr="00B017A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46EA1F7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1EC5EFAD"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A88725A" w14:textId="77777777" w:rsidR="0058151F" w:rsidRDefault="0058151F" w:rsidP="0058151F">
      <w:pPr>
        <w:ind w:left="-360"/>
        <w:contextualSpacing/>
        <w:rPr>
          <w:rFonts w:ascii="Microsoft Sans Serif" w:hAnsi="Microsoft Sans Serif" w:cs="Microsoft Sans Serif"/>
          <w:sz w:val="24"/>
          <w:szCs w:val="24"/>
        </w:rPr>
      </w:pPr>
    </w:p>
    <w:p w14:paraId="4F97AA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0874FF7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0B79419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45D5EAA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3A98471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7EEAF95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176C783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374CA854"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12E269E6"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130545B2" w14:textId="77777777" w:rsidR="0058151F" w:rsidRPr="002223DD" w:rsidRDefault="0058151F" w:rsidP="0058151F">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4C4F666D" w14:textId="77777777" w:rsidR="0058151F" w:rsidRDefault="0058151F" w:rsidP="0058151F">
      <w:pPr>
        <w:ind w:left="-360"/>
        <w:contextualSpacing/>
        <w:rPr>
          <w:rFonts w:ascii="Microsoft Sans Serif" w:hAnsi="Microsoft Sans Serif" w:cs="Microsoft Sans Serif"/>
          <w:i/>
          <w:sz w:val="24"/>
          <w:szCs w:val="24"/>
        </w:rPr>
      </w:pPr>
    </w:p>
    <w:p w14:paraId="1D19363F" w14:textId="4EED6728" w:rsidR="0058151F" w:rsidRDefault="0058151F" w:rsidP="0058151F">
      <w:pPr>
        <w:ind w:left="-360"/>
        <w:contextualSpacing/>
        <w:rPr>
          <w:rFonts w:ascii="Microsoft Sans Serif" w:hAnsi="Microsoft Sans Serif" w:cs="Microsoft Sans Serif"/>
          <w:i/>
          <w:sz w:val="24"/>
          <w:szCs w:val="24"/>
        </w:rPr>
      </w:pPr>
    </w:p>
    <w:p w14:paraId="049B3C68" w14:textId="52691136" w:rsidR="006D25A7" w:rsidRDefault="006D25A7" w:rsidP="0058151F">
      <w:pPr>
        <w:ind w:left="-360"/>
        <w:contextualSpacing/>
        <w:rPr>
          <w:rFonts w:ascii="Microsoft Sans Serif" w:hAnsi="Microsoft Sans Serif" w:cs="Microsoft Sans Serif"/>
          <w:i/>
          <w:sz w:val="24"/>
          <w:szCs w:val="24"/>
        </w:rPr>
      </w:pPr>
    </w:p>
    <w:p w14:paraId="23C61DA2" w14:textId="026BA19A" w:rsidR="006D25A7" w:rsidRDefault="006D25A7" w:rsidP="0058151F">
      <w:pPr>
        <w:ind w:left="-360"/>
        <w:contextualSpacing/>
        <w:rPr>
          <w:rFonts w:ascii="Microsoft Sans Serif" w:hAnsi="Microsoft Sans Serif" w:cs="Microsoft Sans Serif"/>
          <w:i/>
          <w:sz w:val="24"/>
          <w:szCs w:val="24"/>
        </w:rPr>
      </w:pPr>
    </w:p>
    <w:p w14:paraId="76234AF0" w14:textId="77777777" w:rsidR="006D25A7" w:rsidRPr="0015335F" w:rsidRDefault="006D25A7" w:rsidP="0058151F">
      <w:pPr>
        <w:ind w:left="-360"/>
        <w:contextualSpacing/>
        <w:rPr>
          <w:rFonts w:ascii="Microsoft Sans Serif" w:hAnsi="Microsoft Sans Serif" w:cs="Microsoft Sans Serif"/>
          <w:i/>
          <w:sz w:val="24"/>
          <w:szCs w:val="24"/>
        </w:rPr>
      </w:pPr>
    </w:p>
    <w:p w14:paraId="6B42CFC6" w14:textId="77777777" w:rsidR="0058151F" w:rsidRDefault="0058151F" w:rsidP="0058151F">
      <w:pPr>
        <w:ind w:left="-360"/>
        <w:contextualSpacing/>
        <w:rPr>
          <w:rFonts w:ascii="Microsoft Sans Serif" w:hAnsi="Microsoft Sans Serif" w:cs="Microsoft Sans Serif"/>
          <w:sz w:val="24"/>
          <w:szCs w:val="24"/>
        </w:rPr>
      </w:pPr>
    </w:p>
    <w:p w14:paraId="7D29C44E" w14:textId="77777777" w:rsidR="0058151F" w:rsidRPr="0015335F" w:rsidRDefault="0058151F" w:rsidP="0058151F">
      <w:pPr>
        <w:ind w:left="-360"/>
        <w:contextualSpacing/>
        <w:rPr>
          <w:rFonts w:ascii="Microsoft Sans Serif" w:hAnsi="Microsoft Sans Serif" w:cs="Microsoft Sans Serif"/>
          <w:sz w:val="24"/>
          <w:szCs w:val="24"/>
        </w:rPr>
      </w:pPr>
    </w:p>
    <w:p w14:paraId="465CDB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7359A3A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50E8486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7A2FB372" w14:textId="77777777" w:rsidR="0058151F" w:rsidRPr="009C196D"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1304168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1EE1D5B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58CFE9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3B3EAE0B" w14:textId="77777777" w:rsidR="0058151F" w:rsidRPr="000F0B7A"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6EA7B934"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3378FE98"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3CBED0D" w14:textId="77777777" w:rsidR="0058151F" w:rsidRDefault="0058151F" w:rsidP="0058151F">
      <w:pPr>
        <w:ind w:left="-360"/>
        <w:contextualSpacing/>
        <w:rPr>
          <w:rFonts w:ascii="Microsoft Sans Serif" w:hAnsi="Microsoft Sans Serif" w:cs="Microsoft Sans Serif"/>
          <w:sz w:val="24"/>
          <w:szCs w:val="24"/>
        </w:rPr>
      </w:pPr>
    </w:p>
    <w:p w14:paraId="0151F1C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3FB521E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22E2871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676653E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5BAE969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53D51E56" w14:textId="77777777" w:rsidR="0058151F" w:rsidRDefault="0058151F" w:rsidP="0058151F">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31F9BB8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549B4424"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391F1B7" w14:textId="77777777" w:rsidR="0058151F" w:rsidRDefault="0058151F" w:rsidP="0058151F">
      <w:pPr>
        <w:ind w:left="-360"/>
        <w:contextualSpacing/>
        <w:rPr>
          <w:rFonts w:ascii="Microsoft Sans Serif" w:hAnsi="Microsoft Sans Serif" w:cs="Microsoft Sans Serif"/>
          <w:sz w:val="24"/>
          <w:szCs w:val="24"/>
        </w:rPr>
      </w:pPr>
    </w:p>
    <w:p w14:paraId="70F2F51C" w14:textId="77777777" w:rsidR="0058151F" w:rsidRDefault="0058151F" w:rsidP="0058151F">
      <w:pPr>
        <w:ind w:left="-360"/>
        <w:contextualSpacing/>
        <w:rPr>
          <w:rFonts w:ascii="Microsoft Sans Serif" w:hAnsi="Microsoft Sans Serif" w:cs="Microsoft Sans Serif"/>
          <w:sz w:val="24"/>
          <w:szCs w:val="24"/>
        </w:rPr>
      </w:pPr>
      <w:r w:rsidRPr="00703ABD">
        <w:rPr>
          <w:rFonts w:ascii="Microsoft Sans Serif" w:hAnsi="Microsoft Sans Serif" w:cs="Microsoft Sans Serif"/>
          <w:b/>
          <w:sz w:val="24"/>
          <w:szCs w:val="24"/>
        </w:rPr>
        <w:t>*</w:t>
      </w:r>
      <w:r>
        <w:rPr>
          <w:rFonts w:ascii="Microsoft Sans Serif" w:hAnsi="Microsoft Sans Serif" w:cs="Microsoft Sans Serif"/>
          <w:sz w:val="24"/>
          <w:szCs w:val="24"/>
        </w:rPr>
        <w:t>PATRICK C AUTH ESQUIRE</w:t>
      </w:r>
    </w:p>
    <w:p w14:paraId="33B2282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54BA8F0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140D97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687AA7F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4489FEE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7D05A84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5D15B85B"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254E71F9"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4D771B0C"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D558109" w14:textId="77777777" w:rsidR="0058151F" w:rsidRDefault="0058151F" w:rsidP="0058151F">
      <w:pPr>
        <w:ind w:left="-360"/>
        <w:contextualSpacing/>
        <w:rPr>
          <w:rFonts w:ascii="Microsoft Sans Serif" w:hAnsi="Microsoft Sans Serif" w:cs="Microsoft Sans Serif"/>
          <w:sz w:val="24"/>
          <w:szCs w:val="24"/>
        </w:rPr>
      </w:pPr>
    </w:p>
    <w:p w14:paraId="044422C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44F693A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428ADDA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64656EA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2252347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46B282A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494A4171" w14:textId="77777777" w:rsidR="0058151F" w:rsidRPr="00454C5B"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40BD558E" w14:textId="77777777" w:rsidR="0058151F" w:rsidRDefault="0058151F" w:rsidP="0058151F">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3A8809B2"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38B1529" w14:textId="77777777" w:rsidR="006D25A7" w:rsidRDefault="006D25A7" w:rsidP="0058151F">
      <w:pPr>
        <w:ind w:left="-360"/>
        <w:contextualSpacing/>
        <w:rPr>
          <w:rFonts w:ascii="Microsoft Sans Serif" w:hAnsi="Microsoft Sans Serif" w:cs="Microsoft Sans Serif"/>
          <w:sz w:val="24"/>
          <w:szCs w:val="24"/>
        </w:rPr>
      </w:pPr>
    </w:p>
    <w:p w14:paraId="2640CC68" w14:textId="77777777" w:rsidR="006D25A7" w:rsidRDefault="006D25A7" w:rsidP="0058151F">
      <w:pPr>
        <w:ind w:left="-360"/>
        <w:contextualSpacing/>
        <w:rPr>
          <w:rFonts w:ascii="Microsoft Sans Serif" w:hAnsi="Microsoft Sans Serif" w:cs="Microsoft Sans Serif"/>
          <w:sz w:val="24"/>
          <w:szCs w:val="24"/>
        </w:rPr>
      </w:pPr>
    </w:p>
    <w:p w14:paraId="3FE80A83" w14:textId="77777777" w:rsidR="006D25A7" w:rsidRDefault="006D25A7" w:rsidP="0058151F">
      <w:pPr>
        <w:ind w:left="-360"/>
        <w:contextualSpacing/>
        <w:rPr>
          <w:rFonts w:ascii="Microsoft Sans Serif" w:hAnsi="Microsoft Sans Serif" w:cs="Microsoft Sans Serif"/>
          <w:sz w:val="24"/>
          <w:szCs w:val="24"/>
        </w:rPr>
      </w:pPr>
    </w:p>
    <w:p w14:paraId="0FE8B4BA" w14:textId="1EEE881A"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OTIS MINOTT ESQUIRE</w:t>
      </w:r>
    </w:p>
    <w:p w14:paraId="6D6A0CD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187BD36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6169BF8D" w14:textId="77777777" w:rsidR="0058151F" w:rsidRDefault="0058151F" w:rsidP="0058151F">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30E679B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14D80DC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3F94D917" w14:textId="77777777" w:rsidR="0058151F" w:rsidRPr="00686D5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4C592CB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1415F8EC"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9FB3A4C" w14:textId="77777777" w:rsidR="0058151F" w:rsidRDefault="0058151F" w:rsidP="0058151F">
      <w:pPr>
        <w:ind w:left="-360"/>
        <w:contextualSpacing/>
        <w:rPr>
          <w:rFonts w:ascii="Microsoft Sans Serif" w:hAnsi="Microsoft Sans Serif" w:cs="Microsoft Sans Serif"/>
          <w:sz w:val="24"/>
          <w:szCs w:val="24"/>
        </w:rPr>
      </w:pPr>
    </w:p>
    <w:p w14:paraId="25F830C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3D75155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4FC0A7E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2CF57DE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60EC5AA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665F11B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68383B4D"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5047E94A"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71CDA06F"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7890B962"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6324D691" w14:textId="77777777" w:rsidR="0058151F" w:rsidRPr="00057341" w:rsidRDefault="0058151F" w:rsidP="0058151F">
      <w:pPr>
        <w:ind w:left="-360"/>
        <w:contextualSpacing/>
        <w:rPr>
          <w:rFonts w:ascii="Microsoft Sans Serif" w:hAnsi="Microsoft Sans Serif" w:cs="Microsoft Sans Serif"/>
          <w:i/>
          <w:sz w:val="24"/>
          <w:szCs w:val="24"/>
        </w:rPr>
      </w:pPr>
    </w:p>
    <w:p w14:paraId="17485D2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4E2A914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521386F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522E74F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5B4A3ED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4A5A65EC" w14:textId="77777777" w:rsidR="0058151F" w:rsidRPr="00FF5601"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0904ED13"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1D079951"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79180BB" w14:textId="77777777" w:rsidR="0058151F" w:rsidRDefault="0058151F" w:rsidP="0058151F">
      <w:pPr>
        <w:ind w:left="-360"/>
        <w:contextualSpacing/>
        <w:rPr>
          <w:rFonts w:ascii="Microsoft Sans Serif" w:hAnsi="Microsoft Sans Serif" w:cs="Microsoft Sans Serif"/>
          <w:sz w:val="24"/>
          <w:szCs w:val="24"/>
        </w:rPr>
      </w:pPr>
    </w:p>
    <w:p w14:paraId="34046AA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287BCDD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3094E77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5B8137D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074925D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1C3DECB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0EB018FB"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14BB1480"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14:paraId="680E38A1"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49F794B" w14:textId="77777777" w:rsidR="0058151F" w:rsidRDefault="0058151F" w:rsidP="0058151F">
      <w:pPr>
        <w:ind w:left="-360"/>
        <w:contextualSpacing/>
        <w:rPr>
          <w:rFonts w:ascii="Microsoft Sans Serif" w:hAnsi="Microsoft Sans Serif" w:cs="Microsoft Sans Serif"/>
          <w:sz w:val="24"/>
          <w:szCs w:val="24"/>
        </w:rPr>
      </w:pPr>
    </w:p>
    <w:p w14:paraId="74FCEEEF" w14:textId="77777777" w:rsidR="0058151F" w:rsidRDefault="0058151F" w:rsidP="0058151F">
      <w:pPr>
        <w:ind w:left="-360"/>
        <w:contextualSpacing/>
        <w:rPr>
          <w:rFonts w:ascii="Microsoft Sans Serif" w:hAnsi="Microsoft Sans Serif" w:cs="Microsoft Sans Serif"/>
          <w:sz w:val="24"/>
          <w:szCs w:val="24"/>
        </w:rPr>
      </w:pPr>
    </w:p>
    <w:p w14:paraId="26674BF9" w14:textId="77777777" w:rsidR="0058151F" w:rsidRDefault="0058151F" w:rsidP="0058151F">
      <w:pPr>
        <w:ind w:left="-360"/>
        <w:contextualSpacing/>
        <w:rPr>
          <w:rFonts w:ascii="Microsoft Sans Serif" w:hAnsi="Microsoft Sans Serif" w:cs="Microsoft Sans Serif"/>
          <w:sz w:val="24"/>
          <w:szCs w:val="24"/>
        </w:rPr>
      </w:pPr>
    </w:p>
    <w:p w14:paraId="3AF4742D" w14:textId="77777777" w:rsidR="006D25A7" w:rsidRDefault="006D25A7" w:rsidP="0058151F">
      <w:pPr>
        <w:ind w:left="-360"/>
        <w:contextualSpacing/>
        <w:rPr>
          <w:rFonts w:ascii="Microsoft Sans Serif" w:hAnsi="Microsoft Sans Serif" w:cs="Microsoft Sans Serif"/>
          <w:sz w:val="24"/>
          <w:szCs w:val="24"/>
        </w:rPr>
      </w:pPr>
    </w:p>
    <w:p w14:paraId="2907B29A" w14:textId="77777777" w:rsidR="006D25A7" w:rsidRDefault="006D25A7" w:rsidP="0058151F">
      <w:pPr>
        <w:ind w:left="-360"/>
        <w:contextualSpacing/>
        <w:rPr>
          <w:rFonts w:ascii="Microsoft Sans Serif" w:hAnsi="Microsoft Sans Serif" w:cs="Microsoft Sans Serif"/>
          <w:sz w:val="24"/>
          <w:szCs w:val="24"/>
        </w:rPr>
      </w:pPr>
    </w:p>
    <w:p w14:paraId="7F36F30F" w14:textId="77777777" w:rsidR="006D25A7" w:rsidRDefault="006D25A7" w:rsidP="0058151F">
      <w:pPr>
        <w:ind w:left="-360"/>
        <w:contextualSpacing/>
        <w:rPr>
          <w:rFonts w:ascii="Microsoft Sans Serif" w:hAnsi="Microsoft Sans Serif" w:cs="Microsoft Sans Serif"/>
          <w:sz w:val="24"/>
          <w:szCs w:val="24"/>
        </w:rPr>
      </w:pPr>
    </w:p>
    <w:p w14:paraId="63DA60C1" w14:textId="275B9384"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4BBEA90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6C672E0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4D5CF2F8" w14:textId="77777777" w:rsidR="0058151F" w:rsidRDefault="0058151F" w:rsidP="0058151F">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01E1F1D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540734C5"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338052D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5CF6FAD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0A00EF4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60E952D5" w14:textId="77777777" w:rsidR="0058151F" w:rsidRPr="00703ABD" w:rsidRDefault="0058151F" w:rsidP="0058151F">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721BAADD"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2A76D94C" w14:textId="77777777" w:rsidR="0058151F" w:rsidRPr="008A7CD2" w:rsidRDefault="0058151F" w:rsidP="0058151F">
      <w:pPr>
        <w:ind w:left="-360"/>
        <w:contextualSpacing/>
        <w:rPr>
          <w:rFonts w:ascii="Microsoft Sans Serif" w:eastAsia="Microsoft Sans Serif" w:hAnsi="Microsoft Sans Serif" w:cs="Microsoft Sans Serif"/>
          <w:sz w:val="24"/>
          <w:szCs w:val="24"/>
        </w:rPr>
      </w:pPr>
    </w:p>
    <w:p w14:paraId="098A85DC" w14:textId="77777777" w:rsidR="00D450AD" w:rsidRPr="0058151F" w:rsidRDefault="00D450AD" w:rsidP="00A84121">
      <w:pPr>
        <w:ind w:left="-360"/>
      </w:pPr>
    </w:p>
    <w:sectPr w:rsidR="00D450AD" w:rsidRPr="0058151F" w:rsidSect="0013252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FF96" w14:textId="77777777" w:rsidR="008D5CC8" w:rsidRDefault="008D5CC8">
      <w:r>
        <w:separator/>
      </w:r>
    </w:p>
  </w:endnote>
  <w:endnote w:type="continuationSeparator" w:id="0">
    <w:p w14:paraId="10AAE2E7" w14:textId="77777777" w:rsidR="008D5CC8" w:rsidRDefault="008D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CA0B"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4AF68" w14:textId="77777777" w:rsidR="00106209" w:rsidRDefault="0010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7B8F" w14:textId="77777777"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133">
      <w:rPr>
        <w:rStyle w:val="PageNumber"/>
        <w:noProof/>
      </w:rPr>
      <w:t>4</w:t>
    </w:r>
    <w:r>
      <w:rPr>
        <w:rStyle w:val="PageNumber"/>
      </w:rPr>
      <w:fldChar w:fldCharType="end"/>
    </w:r>
  </w:p>
  <w:p w14:paraId="544ADC30" w14:textId="77777777" w:rsidR="00106209" w:rsidRDefault="00106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1487" w14:textId="5CD8CE39" w:rsidR="0058151F" w:rsidRDefault="0058151F" w:rsidP="00114B66">
    <w:pPr>
      <w:pStyle w:val="Footer"/>
      <w:framePr w:wrap="around" w:vAnchor="text" w:hAnchor="margin" w:xAlign="center" w:y="1"/>
      <w:rPr>
        <w:rStyle w:val="PageNumber"/>
      </w:rPr>
    </w:pPr>
  </w:p>
  <w:p w14:paraId="1FB77A3A" w14:textId="77777777" w:rsidR="0058151F" w:rsidRDefault="00581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49A8C" w14:textId="77777777" w:rsidR="008D5CC8" w:rsidRDefault="008D5CC8">
      <w:r>
        <w:separator/>
      </w:r>
    </w:p>
  </w:footnote>
  <w:footnote w:type="continuationSeparator" w:id="0">
    <w:p w14:paraId="7894CA9F" w14:textId="77777777" w:rsidR="008D5CC8" w:rsidRDefault="008D5CC8">
      <w:r>
        <w:continuationSeparator/>
      </w:r>
    </w:p>
  </w:footnote>
  <w:footnote w:id="1">
    <w:p w14:paraId="3E399AE6" w14:textId="0381F569" w:rsidR="007955B7" w:rsidRDefault="007955B7">
      <w:pPr>
        <w:pStyle w:val="FootnoteText"/>
      </w:pPr>
      <w:r>
        <w:rPr>
          <w:rStyle w:val="FootnoteReference"/>
        </w:rPr>
        <w:footnoteRef/>
      </w:r>
      <w:r>
        <w:t xml:space="preserve"> </w:t>
      </w:r>
      <w:r>
        <w:tab/>
        <w:t xml:space="preserve">The preliminary objections were entitled </w:t>
      </w:r>
      <w:r w:rsidR="00A075B9">
        <w:t>“Motion for Partial Judgment on the Pleadings”</w:t>
      </w:r>
      <w:r w:rsidR="00800E1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7"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8"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9"/>
  </w:num>
  <w:num w:numId="3">
    <w:abstractNumId w:val="7"/>
  </w:num>
  <w:num w:numId="4">
    <w:abstractNumId w:val="6"/>
  </w:num>
  <w:num w:numId="5">
    <w:abstractNumId w:val="3"/>
  </w:num>
  <w:num w:numId="6">
    <w:abstractNumId w:val="10"/>
  </w:num>
  <w:num w:numId="7">
    <w:abstractNumId w:val="11"/>
  </w:num>
  <w:num w:numId="8">
    <w:abstractNumId w:val="5"/>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18CE"/>
    <w:rsid w:val="00013F6C"/>
    <w:rsid w:val="00016860"/>
    <w:rsid w:val="00020406"/>
    <w:rsid w:val="00026D3F"/>
    <w:rsid w:val="000369E7"/>
    <w:rsid w:val="000418B4"/>
    <w:rsid w:val="0005163E"/>
    <w:rsid w:val="000567AC"/>
    <w:rsid w:val="0009372D"/>
    <w:rsid w:val="00095381"/>
    <w:rsid w:val="00095EBA"/>
    <w:rsid w:val="000A443C"/>
    <w:rsid w:val="000A52A9"/>
    <w:rsid w:val="000B0412"/>
    <w:rsid w:val="000B47DA"/>
    <w:rsid w:val="000B6967"/>
    <w:rsid w:val="00106127"/>
    <w:rsid w:val="00106209"/>
    <w:rsid w:val="00114B66"/>
    <w:rsid w:val="00154556"/>
    <w:rsid w:val="00164AC1"/>
    <w:rsid w:val="00176B72"/>
    <w:rsid w:val="001B0EDA"/>
    <w:rsid w:val="001B36FF"/>
    <w:rsid w:val="001B4837"/>
    <w:rsid w:val="001C0335"/>
    <w:rsid w:val="001C4133"/>
    <w:rsid w:val="001D42AB"/>
    <w:rsid w:val="00202E78"/>
    <w:rsid w:val="0022339C"/>
    <w:rsid w:val="00292335"/>
    <w:rsid w:val="002A5E32"/>
    <w:rsid w:val="002B24A0"/>
    <w:rsid w:val="002C6080"/>
    <w:rsid w:val="002D0901"/>
    <w:rsid w:val="002E28DF"/>
    <w:rsid w:val="002E4F28"/>
    <w:rsid w:val="002E6D5A"/>
    <w:rsid w:val="002F1811"/>
    <w:rsid w:val="00300553"/>
    <w:rsid w:val="00302A4A"/>
    <w:rsid w:val="00310557"/>
    <w:rsid w:val="00354C4C"/>
    <w:rsid w:val="00360ED2"/>
    <w:rsid w:val="003865B8"/>
    <w:rsid w:val="00386FBE"/>
    <w:rsid w:val="003871D0"/>
    <w:rsid w:val="003C3DC9"/>
    <w:rsid w:val="003D3A94"/>
    <w:rsid w:val="003F0129"/>
    <w:rsid w:val="003F0684"/>
    <w:rsid w:val="00413FEE"/>
    <w:rsid w:val="00422CB0"/>
    <w:rsid w:val="00424D69"/>
    <w:rsid w:val="004255BA"/>
    <w:rsid w:val="0042732B"/>
    <w:rsid w:val="004358F8"/>
    <w:rsid w:val="00441F5F"/>
    <w:rsid w:val="004A2DA1"/>
    <w:rsid w:val="004C410E"/>
    <w:rsid w:val="004D1547"/>
    <w:rsid w:val="004D7A5D"/>
    <w:rsid w:val="004F3169"/>
    <w:rsid w:val="00505D80"/>
    <w:rsid w:val="00513445"/>
    <w:rsid w:val="00527A4B"/>
    <w:rsid w:val="00530B40"/>
    <w:rsid w:val="00533BA2"/>
    <w:rsid w:val="00554D3D"/>
    <w:rsid w:val="00573340"/>
    <w:rsid w:val="0058151F"/>
    <w:rsid w:val="00587D3D"/>
    <w:rsid w:val="0059450D"/>
    <w:rsid w:val="00597150"/>
    <w:rsid w:val="005C521B"/>
    <w:rsid w:val="005D39AE"/>
    <w:rsid w:val="005E2FD1"/>
    <w:rsid w:val="005F02E7"/>
    <w:rsid w:val="006009FB"/>
    <w:rsid w:val="00616410"/>
    <w:rsid w:val="00617530"/>
    <w:rsid w:val="00625250"/>
    <w:rsid w:val="00635EF4"/>
    <w:rsid w:val="00653538"/>
    <w:rsid w:val="00654577"/>
    <w:rsid w:val="00682DD2"/>
    <w:rsid w:val="006D25A7"/>
    <w:rsid w:val="00700F9F"/>
    <w:rsid w:val="0071531C"/>
    <w:rsid w:val="0073760E"/>
    <w:rsid w:val="00740164"/>
    <w:rsid w:val="007441C0"/>
    <w:rsid w:val="00751E38"/>
    <w:rsid w:val="0076181B"/>
    <w:rsid w:val="007812A5"/>
    <w:rsid w:val="00781641"/>
    <w:rsid w:val="00787C70"/>
    <w:rsid w:val="00790B7D"/>
    <w:rsid w:val="007955B7"/>
    <w:rsid w:val="00797B9E"/>
    <w:rsid w:val="007B0C4C"/>
    <w:rsid w:val="007B678C"/>
    <w:rsid w:val="007D2642"/>
    <w:rsid w:val="007D7945"/>
    <w:rsid w:val="007E2AF3"/>
    <w:rsid w:val="007E463B"/>
    <w:rsid w:val="007E64BD"/>
    <w:rsid w:val="00800E12"/>
    <w:rsid w:val="00805DC0"/>
    <w:rsid w:val="00814152"/>
    <w:rsid w:val="00822EB9"/>
    <w:rsid w:val="00832D96"/>
    <w:rsid w:val="008433DC"/>
    <w:rsid w:val="00864835"/>
    <w:rsid w:val="00884E1F"/>
    <w:rsid w:val="0089299D"/>
    <w:rsid w:val="008B2145"/>
    <w:rsid w:val="008C12D5"/>
    <w:rsid w:val="008D4270"/>
    <w:rsid w:val="008D5BFF"/>
    <w:rsid w:val="008D5CC8"/>
    <w:rsid w:val="008D7EA0"/>
    <w:rsid w:val="00934F78"/>
    <w:rsid w:val="009A0590"/>
    <w:rsid w:val="009A3B1C"/>
    <w:rsid w:val="009B6027"/>
    <w:rsid w:val="009C555B"/>
    <w:rsid w:val="009D04BD"/>
    <w:rsid w:val="009D2383"/>
    <w:rsid w:val="009E1C6D"/>
    <w:rsid w:val="009F26CB"/>
    <w:rsid w:val="00A075B9"/>
    <w:rsid w:val="00A10AD3"/>
    <w:rsid w:val="00A24827"/>
    <w:rsid w:val="00A379C4"/>
    <w:rsid w:val="00A37E58"/>
    <w:rsid w:val="00A55835"/>
    <w:rsid w:val="00A71A58"/>
    <w:rsid w:val="00A84121"/>
    <w:rsid w:val="00AB629C"/>
    <w:rsid w:val="00AE0D85"/>
    <w:rsid w:val="00B04C50"/>
    <w:rsid w:val="00B134C1"/>
    <w:rsid w:val="00B179C7"/>
    <w:rsid w:val="00B25D92"/>
    <w:rsid w:val="00B44961"/>
    <w:rsid w:val="00B54471"/>
    <w:rsid w:val="00B70134"/>
    <w:rsid w:val="00B74DAB"/>
    <w:rsid w:val="00B91274"/>
    <w:rsid w:val="00BA2805"/>
    <w:rsid w:val="00BA6BA0"/>
    <w:rsid w:val="00BB5A19"/>
    <w:rsid w:val="00BB5ED7"/>
    <w:rsid w:val="00BC3075"/>
    <w:rsid w:val="00BD60DD"/>
    <w:rsid w:val="00C03C8C"/>
    <w:rsid w:val="00C0442D"/>
    <w:rsid w:val="00C06634"/>
    <w:rsid w:val="00C15461"/>
    <w:rsid w:val="00C31467"/>
    <w:rsid w:val="00C50372"/>
    <w:rsid w:val="00C66C6C"/>
    <w:rsid w:val="00C8417D"/>
    <w:rsid w:val="00CA360C"/>
    <w:rsid w:val="00CC12C2"/>
    <w:rsid w:val="00CC4192"/>
    <w:rsid w:val="00CD2CA0"/>
    <w:rsid w:val="00D16530"/>
    <w:rsid w:val="00D16ADB"/>
    <w:rsid w:val="00D21C59"/>
    <w:rsid w:val="00D230CA"/>
    <w:rsid w:val="00D236F9"/>
    <w:rsid w:val="00D450AD"/>
    <w:rsid w:val="00D46893"/>
    <w:rsid w:val="00D53B14"/>
    <w:rsid w:val="00D674D1"/>
    <w:rsid w:val="00D70AC0"/>
    <w:rsid w:val="00D711DE"/>
    <w:rsid w:val="00D7795D"/>
    <w:rsid w:val="00DC2E88"/>
    <w:rsid w:val="00DD1F04"/>
    <w:rsid w:val="00DD63F2"/>
    <w:rsid w:val="00DF76F2"/>
    <w:rsid w:val="00E0053F"/>
    <w:rsid w:val="00E03F81"/>
    <w:rsid w:val="00E044E8"/>
    <w:rsid w:val="00E13787"/>
    <w:rsid w:val="00E32BBE"/>
    <w:rsid w:val="00E37C68"/>
    <w:rsid w:val="00E40B0B"/>
    <w:rsid w:val="00E40B7F"/>
    <w:rsid w:val="00E40BF6"/>
    <w:rsid w:val="00E539D9"/>
    <w:rsid w:val="00E56260"/>
    <w:rsid w:val="00E72133"/>
    <w:rsid w:val="00EC0292"/>
    <w:rsid w:val="00EC27D1"/>
    <w:rsid w:val="00ED2109"/>
    <w:rsid w:val="00EE261E"/>
    <w:rsid w:val="00EE689C"/>
    <w:rsid w:val="00EF05C1"/>
    <w:rsid w:val="00F13E6F"/>
    <w:rsid w:val="00F33E27"/>
    <w:rsid w:val="00F41BAE"/>
    <w:rsid w:val="00F45446"/>
    <w:rsid w:val="00F62B4C"/>
    <w:rsid w:val="00F87EF1"/>
    <w:rsid w:val="00FA771D"/>
    <w:rsid w:val="00FC257A"/>
    <w:rsid w:val="00FC751B"/>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50D4CB24"/>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semiHidden/>
    <w:rsid w:val="00C50372"/>
  </w:style>
  <w:style w:type="character" w:styleId="FootnoteReference">
    <w:name w:val="footnote reference"/>
    <w:semiHidden/>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2405</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18</cp:revision>
  <cp:lastPrinted>2018-06-20T17:58:00Z</cp:lastPrinted>
  <dcterms:created xsi:type="dcterms:W3CDTF">2018-06-20T17:35:00Z</dcterms:created>
  <dcterms:modified xsi:type="dcterms:W3CDTF">2018-06-20T18:06:00Z</dcterms:modified>
</cp:coreProperties>
</file>