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CD80" w14:textId="77777777" w:rsidR="00857765" w:rsidRPr="00857765" w:rsidRDefault="00857765" w:rsidP="00857765">
      <w:pPr>
        <w:keepNext/>
        <w:spacing w:before="240" w:line="340" w:lineRule="atLeast"/>
        <w:jc w:val="center"/>
        <w:rPr>
          <w:rFonts w:ascii="Times New Roman" w:hAnsi="Times New Roman" w:cs="Times New Roman"/>
          <w:b/>
          <w:sz w:val="32"/>
          <w:szCs w:val="32"/>
        </w:rPr>
      </w:pPr>
      <w:r w:rsidRPr="00857765">
        <w:rPr>
          <w:rFonts w:ascii="Times New Roman" w:hAnsi="Times New Roman" w:cs="Times New Roman"/>
          <w:b/>
          <w:sz w:val="32"/>
          <w:szCs w:val="32"/>
        </w:rPr>
        <w:t xml:space="preserve">47 </w:t>
      </w:r>
      <w:proofErr w:type="spellStart"/>
      <w:r w:rsidRPr="00857765">
        <w:rPr>
          <w:rFonts w:ascii="Times New Roman" w:hAnsi="Times New Roman" w:cs="Times New Roman"/>
          <w:b/>
          <w:sz w:val="32"/>
          <w:szCs w:val="32"/>
        </w:rPr>
        <w:t>U.S.C</w:t>
      </w:r>
      <w:bookmarkStart w:id="0" w:name="_GoBack"/>
      <w:bookmarkEnd w:id="0"/>
      <w:proofErr w:type="spellEnd"/>
      <w:r w:rsidRPr="00857765">
        <w:rPr>
          <w:rFonts w:ascii="Times New Roman" w:hAnsi="Times New Roman" w:cs="Times New Roman"/>
          <w:b/>
          <w:sz w:val="32"/>
          <w:szCs w:val="32"/>
        </w:rPr>
        <w:t>. § 224</w:t>
      </w:r>
    </w:p>
    <w:p w14:paraId="72128409" w14:textId="77777777" w:rsidR="00C8082F" w:rsidRPr="00C330E7" w:rsidRDefault="00C330E7">
      <w:pPr>
        <w:keepNext/>
        <w:spacing w:before="240" w:line="340" w:lineRule="atLeast"/>
        <w:rPr>
          <w:rFonts w:ascii="Times New Roman" w:hAnsi="Times New Roman" w:cs="Times New Roman"/>
          <w:sz w:val="24"/>
        </w:rPr>
      </w:pPr>
      <w:r w:rsidRPr="00C330E7">
        <w:rPr>
          <w:rFonts w:ascii="Times New Roman" w:hAnsi="Times New Roman" w:cs="Times New Roman"/>
          <w:b/>
          <w:color w:val="000000"/>
          <w:sz w:val="24"/>
        </w:rPr>
        <w:t>§ 224. Pole attachments</w:t>
      </w:r>
    </w:p>
    <w:p w14:paraId="4B60339F" w14:textId="77777777" w:rsidR="00C8082F" w:rsidRPr="00C330E7" w:rsidRDefault="00C8082F">
      <w:pPr>
        <w:spacing w:line="60" w:lineRule="exact"/>
        <w:rPr>
          <w:rFonts w:ascii="Times New Roman" w:hAnsi="Times New Roman" w:cs="Times New Roman"/>
          <w:sz w:val="24"/>
        </w:rPr>
      </w:pPr>
    </w:p>
    <w:p w14:paraId="44A93965"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(a)  </w:t>
      </w:r>
      <w:bookmarkStart w:id="1" w:name="Bookmark__a"/>
      <w:bookmarkEnd w:id="1"/>
      <w:r w:rsidRPr="00C330E7">
        <w:rPr>
          <w:rFonts w:ascii="Times New Roman" w:hAnsi="Times New Roman" w:cs="Times New Roman"/>
          <w:color w:val="000000"/>
          <w:sz w:val="24"/>
        </w:rPr>
        <w:t>Definitions.  As used in this section:</w:t>
      </w:r>
    </w:p>
    <w:p w14:paraId="2B0BC158"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2" w:name="Bookmark__a_1"/>
      <w:bookmarkEnd w:id="2"/>
      <w:r w:rsidRPr="00C330E7">
        <w:rPr>
          <w:rFonts w:ascii="Times New Roman" w:hAnsi="Times New Roman" w:cs="Times New Roman"/>
          <w:color w:val="000000"/>
          <w:sz w:val="24"/>
        </w:rPr>
        <w:t xml:space="preserve">The term "utility" means any person who is a local exchange carrier or an electric, gas, water, steam, or other public utility, and who </w:t>
      </w:r>
      <w:proofErr w:type="gramStart"/>
      <w:r w:rsidRPr="00C330E7">
        <w:rPr>
          <w:rFonts w:ascii="Times New Roman" w:hAnsi="Times New Roman" w:cs="Times New Roman"/>
          <w:color w:val="000000"/>
          <w:sz w:val="24"/>
        </w:rPr>
        <w:t>owns</w:t>
      </w:r>
      <w:proofErr w:type="gramEnd"/>
      <w:r w:rsidRPr="00C330E7">
        <w:rPr>
          <w:rFonts w:ascii="Times New Roman" w:hAnsi="Times New Roman" w:cs="Times New Roman"/>
          <w:color w:val="000000"/>
          <w:sz w:val="24"/>
        </w:rPr>
        <w:t xml:space="preserve"> or controls poles, ducts, conduits, or rights-of-way used, in whole or in part, for any wire communications. Such term does not include any railroad, any person who is cooperatively organized, or any person owned by the Federal Government or any State.</w:t>
      </w:r>
    </w:p>
    <w:p w14:paraId="7D0504C9"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3" w:name="Bookmark__a_2"/>
      <w:bookmarkEnd w:id="3"/>
      <w:r w:rsidRPr="00C330E7">
        <w:rPr>
          <w:rFonts w:ascii="Times New Roman" w:hAnsi="Times New Roman" w:cs="Times New Roman"/>
          <w:color w:val="000000"/>
          <w:sz w:val="24"/>
        </w:rPr>
        <w:t>The term "Federal Government" means the Government of the United States or any agency or instrumentality thereof.</w:t>
      </w:r>
    </w:p>
    <w:p w14:paraId="44959F96"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(3)  </w:t>
      </w:r>
      <w:bookmarkStart w:id="4" w:name="Bookmark__a_3"/>
      <w:bookmarkEnd w:id="4"/>
      <w:r w:rsidRPr="00C330E7">
        <w:rPr>
          <w:rFonts w:ascii="Times New Roman" w:hAnsi="Times New Roman" w:cs="Times New Roman"/>
          <w:color w:val="000000"/>
          <w:sz w:val="24"/>
        </w:rPr>
        <w:t>The term "State" means any State, territory, or possession of the United States, the District of Columbia, or any political subdivision, agency, or instrumentality thereof.</w:t>
      </w:r>
    </w:p>
    <w:p w14:paraId="3B180E0A"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(4)  </w:t>
      </w:r>
      <w:bookmarkStart w:id="5" w:name="Bookmark__a_4"/>
      <w:bookmarkEnd w:id="5"/>
      <w:r w:rsidRPr="00C330E7">
        <w:rPr>
          <w:rFonts w:ascii="Times New Roman" w:hAnsi="Times New Roman" w:cs="Times New Roman"/>
          <w:color w:val="000000"/>
          <w:sz w:val="24"/>
        </w:rPr>
        <w:t>The term "pole attachment" means any attachment by a cable television system or provider of telecommunications service to a pole, duct, conduit, or right-of-way owned or controlled by a utility.</w:t>
      </w:r>
    </w:p>
    <w:p w14:paraId="24DF7997"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(5)  </w:t>
      </w:r>
      <w:bookmarkStart w:id="6" w:name="Bookmark__a_5"/>
      <w:bookmarkEnd w:id="6"/>
      <w:r w:rsidRPr="00C330E7">
        <w:rPr>
          <w:rFonts w:ascii="Times New Roman" w:hAnsi="Times New Roman" w:cs="Times New Roman"/>
          <w:color w:val="000000"/>
          <w:sz w:val="24"/>
        </w:rPr>
        <w:t>For purposes of this section, the term "telecommunications carrier" (as defined in section 3 of this Act [47 USCS § 153(49)] does not include any incumbent local exchange carrier as defined in section 251(h) [47 USCS § 251(h)].</w:t>
      </w:r>
    </w:p>
    <w:p w14:paraId="2C48552C"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(b)  </w:t>
      </w:r>
      <w:bookmarkStart w:id="7" w:name="Bookmark__b"/>
      <w:bookmarkEnd w:id="7"/>
      <w:r w:rsidRPr="00C330E7">
        <w:rPr>
          <w:rFonts w:ascii="Times New Roman" w:hAnsi="Times New Roman" w:cs="Times New Roman"/>
          <w:color w:val="000000"/>
          <w:sz w:val="24"/>
        </w:rPr>
        <w:t>Authority of Commission to regulate rates, terms, and conditions; enforcement powers; promulgation of regulations.</w:t>
      </w:r>
    </w:p>
    <w:p w14:paraId="6DF83F1D"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8" w:name="Bookmark__b_1"/>
      <w:bookmarkEnd w:id="8"/>
      <w:r w:rsidRPr="00C330E7">
        <w:rPr>
          <w:rFonts w:ascii="Times New Roman" w:hAnsi="Times New Roman" w:cs="Times New Roman"/>
          <w:color w:val="000000"/>
          <w:sz w:val="24"/>
        </w:rPr>
        <w:t>Subject to the provisions of subsection (c) of this section, the Commission shall regulate the rates, terms, and conditions for pole attachments to provide that such rates, terms, and conditions are just and reasonable, and shall adopt procedures necessary and appropriate to hear and resolve complaints concerning such rates, terms, and conditions. For purposes of enforcing any determinations resulting from complaint procedures established pursuant to this subsection, the Commission shall take such action as it deems appropriate and necessary, including issuing cease and desist orders, as authorized by section 312(b) of title III of the Communications Act of 1934 [47 USCS § 312(b)], as amended.</w:t>
      </w:r>
    </w:p>
    <w:p w14:paraId="679A3C56"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9" w:name="Bookmark__b_2"/>
      <w:bookmarkEnd w:id="9"/>
      <w:r w:rsidRPr="00C330E7">
        <w:rPr>
          <w:rFonts w:ascii="Times New Roman" w:hAnsi="Times New Roman" w:cs="Times New Roman"/>
          <w:color w:val="000000"/>
          <w:sz w:val="24"/>
        </w:rPr>
        <w:t>The Commission shall prescribe by rule regulations to carry out the provisions of this section.</w:t>
      </w:r>
    </w:p>
    <w:p w14:paraId="23099260"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lastRenderedPageBreak/>
        <w:t xml:space="preserve">(c)  </w:t>
      </w:r>
      <w:bookmarkStart w:id="10" w:name="Bookmark__c"/>
      <w:bookmarkEnd w:id="10"/>
      <w:r w:rsidRPr="00C330E7">
        <w:rPr>
          <w:rFonts w:ascii="Times New Roman" w:hAnsi="Times New Roman" w:cs="Times New Roman"/>
          <w:color w:val="000000"/>
          <w:sz w:val="24"/>
        </w:rPr>
        <w:t>State regulatory authority over rates, terms, and conditions; preemption; certification; circumstances constituting State regulation.</w:t>
      </w:r>
    </w:p>
    <w:p w14:paraId="41412C44"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11" w:name="Bookmark__c_1"/>
      <w:bookmarkEnd w:id="11"/>
      <w:r w:rsidRPr="00C330E7">
        <w:rPr>
          <w:rFonts w:ascii="Times New Roman" w:hAnsi="Times New Roman" w:cs="Times New Roman"/>
          <w:color w:val="000000"/>
          <w:sz w:val="24"/>
        </w:rPr>
        <w:t>Nothing in this section shall be construed to apply to, or to give the Commission jurisdiction with respect to rates, terms, and conditions, or access to poles, ducts, conduits, and rights-of-way as provided in subsection (f), for pole attachments in any case where such matters are regulated by a State.</w:t>
      </w:r>
    </w:p>
    <w:p w14:paraId="7C4BF9CD"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12" w:name="Bookmark__c_2"/>
      <w:bookmarkEnd w:id="12"/>
      <w:r w:rsidRPr="00C330E7">
        <w:rPr>
          <w:rFonts w:ascii="Times New Roman" w:hAnsi="Times New Roman" w:cs="Times New Roman"/>
          <w:color w:val="000000"/>
          <w:sz w:val="24"/>
        </w:rPr>
        <w:t>Each State which regulates the rates, terms, and conditions for pole attachments shall certify to the Commission that--</w:t>
      </w:r>
    </w:p>
    <w:p w14:paraId="09BB2A28" w14:textId="77777777" w:rsidR="00C8082F" w:rsidRPr="00C330E7" w:rsidRDefault="00C330E7">
      <w:pPr>
        <w:spacing w:before="120" w:line="320" w:lineRule="atLeast"/>
        <w:ind w:left="1440"/>
        <w:rPr>
          <w:rFonts w:ascii="Times New Roman" w:hAnsi="Times New Roman" w:cs="Times New Roman"/>
          <w:sz w:val="24"/>
        </w:rPr>
      </w:pPr>
      <w:r w:rsidRPr="00C330E7">
        <w:rPr>
          <w:rFonts w:ascii="Times New Roman" w:hAnsi="Times New Roman" w:cs="Times New Roman"/>
          <w:b/>
          <w:sz w:val="24"/>
        </w:rPr>
        <w:t xml:space="preserve">(A)  </w:t>
      </w:r>
      <w:bookmarkStart w:id="13" w:name="Bookmark__c_2_a"/>
      <w:bookmarkEnd w:id="13"/>
      <w:r w:rsidRPr="00C330E7">
        <w:rPr>
          <w:rFonts w:ascii="Times New Roman" w:hAnsi="Times New Roman" w:cs="Times New Roman"/>
          <w:color w:val="000000"/>
          <w:sz w:val="24"/>
        </w:rPr>
        <w:t>it regulates such rates, terms, and conditions; and</w:t>
      </w:r>
    </w:p>
    <w:p w14:paraId="6C4CFD98" w14:textId="77777777" w:rsidR="00C8082F" w:rsidRPr="00C330E7" w:rsidRDefault="00C330E7">
      <w:pPr>
        <w:spacing w:before="120" w:line="320" w:lineRule="atLeast"/>
        <w:ind w:left="1440"/>
        <w:rPr>
          <w:rFonts w:ascii="Times New Roman" w:hAnsi="Times New Roman" w:cs="Times New Roman"/>
          <w:sz w:val="24"/>
        </w:rPr>
      </w:pPr>
      <w:r w:rsidRPr="00C330E7">
        <w:rPr>
          <w:rFonts w:ascii="Times New Roman" w:hAnsi="Times New Roman" w:cs="Times New Roman"/>
          <w:b/>
          <w:sz w:val="24"/>
        </w:rPr>
        <w:t xml:space="preserve">(B)  </w:t>
      </w:r>
      <w:bookmarkStart w:id="14" w:name="Bookmark__c_2_b"/>
      <w:bookmarkEnd w:id="14"/>
      <w:r w:rsidRPr="00C330E7">
        <w:rPr>
          <w:rFonts w:ascii="Times New Roman" w:hAnsi="Times New Roman" w:cs="Times New Roman"/>
          <w:color w:val="000000"/>
          <w:sz w:val="24"/>
        </w:rPr>
        <w:t>in so regulating such rates, terms, and conditions, the State has the authority to consider and does consider the interests of the subscribers of the services offered via such attachments, as well as the interests of the consumers of the utility services.</w:t>
      </w:r>
    </w:p>
    <w:p w14:paraId="60A9B1D8"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(3)  </w:t>
      </w:r>
      <w:bookmarkStart w:id="15" w:name="Bookmark__c_3"/>
      <w:bookmarkEnd w:id="15"/>
      <w:r w:rsidRPr="00C330E7">
        <w:rPr>
          <w:rFonts w:ascii="Times New Roman" w:hAnsi="Times New Roman" w:cs="Times New Roman"/>
          <w:color w:val="000000"/>
          <w:sz w:val="24"/>
        </w:rPr>
        <w:t>For purposes of this subsection, a State shall not be considered to regulate the rates, terms, and conditions for pole attachments--</w:t>
      </w:r>
    </w:p>
    <w:p w14:paraId="69188E99" w14:textId="77777777" w:rsidR="00C8082F" w:rsidRPr="00C330E7" w:rsidRDefault="00C330E7">
      <w:pPr>
        <w:spacing w:before="120" w:line="320" w:lineRule="atLeast"/>
        <w:ind w:left="1440"/>
        <w:rPr>
          <w:rFonts w:ascii="Times New Roman" w:hAnsi="Times New Roman" w:cs="Times New Roman"/>
          <w:sz w:val="24"/>
        </w:rPr>
      </w:pPr>
      <w:r w:rsidRPr="00C330E7">
        <w:rPr>
          <w:rFonts w:ascii="Times New Roman" w:hAnsi="Times New Roman" w:cs="Times New Roman"/>
          <w:b/>
          <w:sz w:val="24"/>
        </w:rPr>
        <w:t xml:space="preserve">(A)  </w:t>
      </w:r>
      <w:bookmarkStart w:id="16" w:name="Bookmark__c_3_a"/>
      <w:bookmarkEnd w:id="16"/>
      <w:r w:rsidRPr="00C330E7">
        <w:rPr>
          <w:rFonts w:ascii="Times New Roman" w:hAnsi="Times New Roman" w:cs="Times New Roman"/>
          <w:color w:val="000000"/>
          <w:sz w:val="24"/>
        </w:rPr>
        <w:t>unless the State has issued and made effective rules and regulations implementing the State's regulatory authority over pole attachments; and</w:t>
      </w:r>
    </w:p>
    <w:p w14:paraId="6E236955" w14:textId="77777777" w:rsidR="00C8082F" w:rsidRPr="00C330E7" w:rsidRDefault="00C330E7">
      <w:pPr>
        <w:spacing w:before="120" w:line="320" w:lineRule="atLeast"/>
        <w:ind w:left="1440"/>
        <w:rPr>
          <w:rFonts w:ascii="Times New Roman" w:hAnsi="Times New Roman" w:cs="Times New Roman"/>
          <w:sz w:val="24"/>
        </w:rPr>
      </w:pPr>
      <w:r w:rsidRPr="00C330E7">
        <w:rPr>
          <w:rFonts w:ascii="Times New Roman" w:hAnsi="Times New Roman" w:cs="Times New Roman"/>
          <w:b/>
          <w:sz w:val="24"/>
        </w:rPr>
        <w:t xml:space="preserve">(B)  </w:t>
      </w:r>
      <w:bookmarkStart w:id="17" w:name="Bookmark__c_3_b"/>
      <w:bookmarkEnd w:id="17"/>
      <w:r w:rsidRPr="00C330E7">
        <w:rPr>
          <w:rFonts w:ascii="Times New Roman" w:hAnsi="Times New Roman" w:cs="Times New Roman"/>
          <w:color w:val="000000"/>
          <w:sz w:val="24"/>
        </w:rPr>
        <w:t>with respect to any individual matter, unless the State takes final action on a complaint regarding such matter--</w:t>
      </w:r>
    </w:p>
    <w:p w14:paraId="5F8CD558" w14:textId="77777777" w:rsidR="00C8082F" w:rsidRPr="00C330E7" w:rsidRDefault="00C330E7">
      <w:pPr>
        <w:spacing w:before="120" w:line="320" w:lineRule="atLeast"/>
        <w:ind w:left="1800"/>
        <w:rPr>
          <w:rFonts w:ascii="Times New Roman" w:hAnsi="Times New Roman" w:cs="Times New Roman"/>
          <w:sz w:val="24"/>
        </w:rPr>
      </w:pPr>
      <w:r w:rsidRPr="00C330E7">
        <w:rPr>
          <w:rFonts w:ascii="Times New Roman" w:hAnsi="Times New Roman" w:cs="Times New Roman"/>
          <w:b/>
          <w:sz w:val="24"/>
        </w:rPr>
        <w:t>(</w:t>
      </w:r>
      <w:proofErr w:type="spellStart"/>
      <w:r w:rsidRPr="00C330E7">
        <w:rPr>
          <w:rFonts w:ascii="Times New Roman" w:hAnsi="Times New Roman" w:cs="Times New Roman"/>
          <w:b/>
          <w:sz w:val="24"/>
        </w:rPr>
        <w:t>i</w:t>
      </w:r>
      <w:proofErr w:type="spellEnd"/>
      <w:r w:rsidRPr="00C330E7">
        <w:rPr>
          <w:rFonts w:ascii="Times New Roman" w:hAnsi="Times New Roman" w:cs="Times New Roman"/>
          <w:b/>
          <w:sz w:val="24"/>
        </w:rPr>
        <w:t xml:space="preserve">)  </w:t>
      </w:r>
      <w:bookmarkStart w:id="18" w:name="Bookmark__c_3_b_i"/>
      <w:bookmarkEnd w:id="18"/>
      <w:r w:rsidRPr="00C330E7">
        <w:rPr>
          <w:rFonts w:ascii="Times New Roman" w:hAnsi="Times New Roman" w:cs="Times New Roman"/>
          <w:color w:val="000000"/>
          <w:sz w:val="24"/>
        </w:rPr>
        <w:t>within 180 days after the complaint is filed with the State, or</w:t>
      </w:r>
    </w:p>
    <w:p w14:paraId="38E1675D" w14:textId="77777777" w:rsidR="00C8082F" w:rsidRPr="00C330E7" w:rsidRDefault="00C330E7">
      <w:pPr>
        <w:spacing w:before="120" w:line="320" w:lineRule="atLeast"/>
        <w:ind w:left="1800"/>
        <w:rPr>
          <w:rFonts w:ascii="Times New Roman" w:hAnsi="Times New Roman" w:cs="Times New Roman"/>
          <w:sz w:val="24"/>
        </w:rPr>
      </w:pPr>
      <w:r w:rsidRPr="00C330E7">
        <w:rPr>
          <w:rFonts w:ascii="Times New Roman" w:hAnsi="Times New Roman" w:cs="Times New Roman"/>
          <w:b/>
          <w:sz w:val="24"/>
        </w:rPr>
        <w:t xml:space="preserve">(ii)  </w:t>
      </w:r>
      <w:bookmarkStart w:id="19" w:name="Bookmark__c_3_b_ii"/>
      <w:bookmarkEnd w:id="19"/>
      <w:r w:rsidRPr="00C330E7">
        <w:rPr>
          <w:rFonts w:ascii="Times New Roman" w:hAnsi="Times New Roman" w:cs="Times New Roman"/>
          <w:color w:val="000000"/>
          <w:sz w:val="24"/>
        </w:rPr>
        <w:t>within the applicable period prescribed for such final action in such rules and regulations of the State, if the prescribed period does not extend beyond 360 days after the filing of such complaint.</w:t>
      </w:r>
    </w:p>
    <w:p w14:paraId="3A471ED2"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(d)  </w:t>
      </w:r>
      <w:bookmarkStart w:id="20" w:name="Bookmark__d"/>
      <w:bookmarkEnd w:id="20"/>
      <w:r w:rsidRPr="00C330E7">
        <w:rPr>
          <w:rFonts w:ascii="Times New Roman" w:hAnsi="Times New Roman" w:cs="Times New Roman"/>
          <w:color w:val="000000"/>
          <w:sz w:val="24"/>
        </w:rPr>
        <w:t>Determination of just and reasonable rates; "usable space" defined.</w:t>
      </w:r>
    </w:p>
    <w:p w14:paraId="5576356E"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21" w:name="Bookmark__d_1"/>
      <w:bookmarkEnd w:id="21"/>
      <w:r w:rsidRPr="00C330E7">
        <w:rPr>
          <w:rFonts w:ascii="Times New Roman" w:hAnsi="Times New Roman" w:cs="Times New Roman"/>
          <w:color w:val="000000"/>
          <w:sz w:val="24"/>
        </w:rPr>
        <w:t>For purposes of subsection (b) of this section, a rate is just and reasonable if it assures a utility the recovery of not less than the additional costs of providing pole attachments, nor more than an amount determined by multiplying the percentage of the total usable space, or the percentage of the total duct or conduit capacity, which is occupied by the pole attachment by the sum of the operating expenses and actual capital costs of the utility attributable to the entire pole, duct, conduit, or right-of-way.</w:t>
      </w:r>
    </w:p>
    <w:p w14:paraId="32ECA051"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22" w:name="Bookmark__d_2"/>
      <w:bookmarkEnd w:id="22"/>
      <w:r w:rsidRPr="00C330E7">
        <w:rPr>
          <w:rFonts w:ascii="Times New Roman" w:hAnsi="Times New Roman" w:cs="Times New Roman"/>
          <w:color w:val="000000"/>
          <w:sz w:val="24"/>
        </w:rPr>
        <w:t>As used in this subsection, the term "usable space" means the space above the minimum grade level which can be used for the attachment of wires, cables, and associated equipment.</w:t>
      </w:r>
    </w:p>
    <w:p w14:paraId="3ACF17B9"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lastRenderedPageBreak/>
        <w:t xml:space="preserve">(3)  </w:t>
      </w:r>
      <w:bookmarkStart w:id="23" w:name="Bookmark__d_3"/>
      <w:bookmarkEnd w:id="23"/>
      <w:r w:rsidRPr="00C330E7">
        <w:rPr>
          <w:rFonts w:ascii="Times New Roman" w:hAnsi="Times New Roman" w:cs="Times New Roman"/>
          <w:color w:val="000000"/>
          <w:sz w:val="24"/>
        </w:rPr>
        <w:t>This subsection shall apply to the rate for any pole attachment used by a cable television system solely to provide cable service. Until the effective date of the regulations required under subsection (e), this subsection shall also apply to the rate for any pole attachment used by a cable system or any telecommunications carrier (to the extent such carrier is not a party to a pole attachment agreement) to provide any telecommunications service.</w:t>
      </w:r>
    </w:p>
    <w:p w14:paraId="35CDD4F2"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(e)  </w:t>
      </w:r>
      <w:bookmarkStart w:id="24" w:name="Bookmark__e"/>
      <w:bookmarkEnd w:id="24"/>
      <w:r w:rsidRPr="00C330E7">
        <w:rPr>
          <w:rFonts w:ascii="Times New Roman" w:hAnsi="Times New Roman" w:cs="Times New Roman"/>
          <w:color w:val="000000"/>
          <w:sz w:val="24"/>
        </w:rPr>
        <w:t>Regulations governing charges; apportionment of costs of providing space.</w:t>
      </w:r>
    </w:p>
    <w:p w14:paraId="346F1F5B"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25" w:name="Bookmark__e_1"/>
      <w:bookmarkEnd w:id="25"/>
      <w:r w:rsidRPr="00C330E7">
        <w:rPr>
          <w:rFonts w:ascii="Times New Roman" w:hAnsi="Times New Roman" w:cs="Times New Roman"/>
          <w:color w:val="000000"/>
          <w:sz w:val="24"/>
        </w:rPr>
        <w:t>The Commission shall, no later than 2 years after the date of enactment of the Telecommunications Act of 1996 [enacted Feb. 8, 1996], prescribe regulations in accordance with this subsection to govern the charges for pole attachments used by telecommunications carriers to provide telecommunications services, when the parties fail to resolve a dispute over such charges. Such regulations shall ensure that a utility charges just, reasonable, and nondiscriminatory rates for pole attachments.</w:t>
      </w:r>
    </w:p>
    <w:p w14:paraId="2612BEED"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26" w:name="Bookmark__e_2"/>
      <w:bookmarkEnd w:id="26"/>
      <w:r w:rsidRPr="00C330E7">
        <w:rPr>
          <w:rFonts w:ascii="Times New Roman" w:hAnsi="Times New Roman" w:cs="Times New Roman"/>
          <w:color w:val="000000"/>
          <w:sz w:val="24"/>
        </w:rPr>
        <w:t>A utility shall apportion the cost of providing space on a pole, duct, conduit, or right-of-way other than the usable space among entities so that such apportionment equals two-thirds of the costs of providing space other than the usable space that would be allocated to such entity under an equal apportionment of such costs among all attaching entities.</w:t>
      </w:r>
    </w:p>
    <w:p w14:paraId="38334DE9"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(3)  </w:t>
      </w:r>
      <w:bookmarkStart w:id="27" w:name="Bookmark__e_3"/>
      <w:bookmarkEnd w:id="27"/>
      <w:r w:rsidRPr="00C330E7">
        <w:rPr>
          <w:rFonts w:ascii="Times New Roman" w:hAnsi="Times New Roman" w:cs="Times New Roman"/>
          <w:color w:val="000000"/>
          <w:sz w:val="24"/>
        </w:rPr>
        <w:t>A utility shall apportion the cost of providing usable space among all entities according to the percentage of usable space required for each entity.</w:t>
      </w:r>
    </w:p>
    <w:p w14:paraId="2340A5E2"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(4)  </w:t>
      </w:r>
      <w:bookmarkStart w:id="28" w:name="Bookmark__e_4"/>
      <w:bookmarkEnd w:id="28"/>
      <w:r w:rsidRPr="00C330E7">
        <w:rPr>
          <w:rFonts w:ascii="Times New Roman" w:hAnsi="Times New Roman" w:cs="Times New Roman"/>
          <w:color w:val="000000"/>
          <w:sz w:val="24"/>
        </w:rPr>
        <w:t>The regulations required under paragraph (1) shall become effective 5 years after the date of enactment of the Telecommunications Act of 1996 [enacted Feb. 8, 1996]. Any increase in the rates for pole attachments that result from the adoption of the regulations required by this subsection shall be phased in equal annual increments over a period of 5 years beginning on the effective date of such regulations.</w:t>
      </w:r>
    </w:p>
    <w:p w14:paraId="02289876"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(f)  </w:t>
      </w:r>
      <w:bookmarkStart w:id="29" w:name="Bookmark__f"/>
      <w:bookmarkEnd w:id="29"/>
      <w:r w:rsidRPr="00C330E7">
        <w:rPr>
          <w:rFonts w:ascii="Times New Roman" w:hAnsi="Times New Roman" w:cs="Times New Roman"/>
          <w:color w:val="000000"/>
          <w:sz w:val="24"/>
        </w:rPr>
        <w:t>Nondiscriminatory access.</w:t>
      </w:r>
    </w:p>
    <w:p w14:paraId="6A6D93AC"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(1)  </w:t>
      </w:r>
      <w:bookmarkStart w:id="30" w:name="Bookmark__f_1"/>
      <w:bookmarkEnd w:id="30"/>
      <w:r w:rsidRPr="00C330E7">
        <w:rPr>
          <w:rFonts w:ascii="Times New Roman" w:hAnsi="Times New Roman" w:cs="Times New Roman"/>
          <w:color w:val="000000"/>
          <w:sz w:val="24"/>
        </w:rPr>
        <w:t>A utility shall provide a cable television system or any telecommunications carrier with nondiscriminatory access to any pole, duct, conduit, or right-of-way owned or controlled by it.</w:t>
      </w:r>
    </w:p>
    <w:p w14:paraId="08C71F28" w14:textId="77777777" w:rsidR="00C8082F" w:rsidRPr="00C330E7" w:rsidRDefault="00C330E7">
      <w:pPr>
        <w:spacing w:before="120" w:line="320" w:lineRule="atLeast"/>
        <w:ind w:left="1080"/>
        <w:rPr>
          <w:rFonts w:ascii="Times New Roman" w:hAnsi="Times New Roman" w:cs="Times New Roman"/>
          <w:sz w:val="24"/>
        </w:rPr>
      </w:pPr>
      <w:r w:rsidRPr="00C330E7">
        <w:rPr>
          <w:rFonts w:ascii="Times New Roman" w:hAnsi="Times New Roman" w:cs="Times New Roman"/>
          <w:b/>
          <w:sz w:val="24"/>
        </w:rPr>
        <w:t xml:space="preserve">(2)  </w:t>
      </w:r>
      <w:bookmarkStart w:id="31" w:name="Bookmark__f_2"/>
      <w:bookmarkEnd w:id="31"/>
      <w:r w:rsidRPr="00C330E7">
        <w:rPr>
          <w:rFonts w:ascii="Times New Roman" w:hAnsi="Times New Roman" w:cs="Times New Roman"/>
          <w:color w:val="000000"/>
          <w:sz w:val="24"/>
        </w:rPr>
        <w:t>Notwithstanding paragraph (1), a utility providing electric service may deny a cable television system or any telecommunications carrier access to its poles, ducts, conduits, or rights-of-way, on a non-discriminatory [nondiscriminatory] basis where there is insufficient capacity and for reasons of safety, reliability and generally applicable engineering purposes.</w:t>
      </w:r>
    </w:p>
    <w:p w14:paraId="5A02FAB3"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(g)  </w:t>
      </w:r>
      <w:bookmarkStart w:id="32" w:name="Bookmark__g"/>
      <w:bookmarkEnd w:id="32"/>
      <w:r w:rsidRPr="00C330E7">
        <w:rPr>
          <w:rFonts w:ascii="Times New Roman" w:hAnsi="Times New Roman" w:cs="Times New Roman"/>
          <w:color w:val="000000"/>
          <w:sz w:val="24"/>
        </w:rPr>
        <w:t xml:space="preserve">Imputation to costs of pole attachment rate.  A utility that engages in the provision of telecommunications services or cable services shall impute to its costs of providing such </w:t>
      </w:r>
      <w:r w:rsidRPr="00C330E7">
        <w:rPr>
          <w:rFonts w:ascii="Times New Roman" w:hAnsi="Times New Roman" w:cs="Times New Roman"/>
          <w:color w:val="000000"/>
          <w:sz w:val="24"/>
        </w:rPr>
        <w:lastRenderedPageBreak/>
        <w:t>services (and charge any affiliate, subsidiary, or associate company engaged in the provision of such services) an equal amount to the pole attachment rate for which such company would be liable under this section.</w:t>
      </w:r>
    </w:p>
    <w:p w14:paraId="3F589592"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 xml:space="preserve">(h)  </w:t>
      </w:r>
      <w:bookmarkStart w:id="33" w:name="Bookmark__h"/>
      <w:bookmarkEnd w:id="33"/>
      <w:r w:rsidRPr="00C330E7">
        <w:rPr>
          <w:rFonts w:ascii="Times New Roman" w:hAnsi="Times New Roman" w:cs="Times New Roman"/>
          <w:color w:val="000000"/>
          <w:sz w:val="24"/>
        </w:rPr>
        <w:t>Modification or alteration of pole, duct, conduit, or right-of-way.  Whenever the owner of a pole, duct, conduit, or right-of-way intends to modify or alter such pole, duct, conduit, or right-of-way, the owner shall provide written notification of such action to any entity that has obtained an attachment to such conduit or right-of-way so that such entity may have a reasonable opportunity to add to or modify its existing attachment. Any entity that adds to or modifies its existing attachment after receiving such notification shall bear a proportionate share of the costs incurred by the owner in making such pole, duct, conduit, or right-of-way accessible.</w:t>
      </w:r>
    </w:p>
    <w:p w14:paraId="446ED522" w14:textId="77777777" w:rsidR="00C8082F" w:rsidRPr="00C330E7" w:rsidRDefault="00C330E7">
      <w:pPr>
        <w:spacing w:before="120" w:line="320" w:lineRule="atLeast"/>
        <w:ind w:left="720"/>
        <w:rPr>
          <w:rFonts w:ascii="Times New Roman" w:hAnsi="Times New Roman" w:cs="Times New Roman"/>
          <w:sz w:val="24"/>
        </w:rPr>
      </w:pPr>
      <w:r w:rsidRPr="00C330E7">
        <w:rPr>
          <w:rFonts w:ascii="Times New Roman" w:hAnsi="Times New Roman" w:cs="Times New Roman"/>
          <w:b/>
          <w:sz w:val="24"/>
        </w:rPr>
        <w:t>(</w:t>
      </w:r>
      <w:proofErr w:type="spellStart"/>
      <w:r w:rsidRPr="00C330E7">
        <w:rPr>
          <w:rFonts w:ascii="Times New Roman" w:hAnsi="Times New Roman" w:cs="Times New Roman"/>
          <w:b/>
          <w:sz w:val="24"/>
        </w:rPr>
        <w:t>i</w:t>
      </w:r>
      <w:proofErr w:type="spellEnd"/>
      <w:r w:rsidRPr="00C330E7">
        <w:rPr>
          <w:rFonts w:ascii="Times New Roman" w:hAnsi="Times New Roman" w:cs="Times New Roman"/>
          <w:b/>
          <w:sz w:val="24"/>
        </w:rPr>
        <w:t xml:space="preserve">)  </w:t>
      </w:r>
      <w:bookmarkStart w:id="34" w:name="Bookmark__i"/>
      <w:bookmarkEnd w:id="34"/>
      <w:r w:rsidRPr="00C330E7">
        <w:rPr>
          <w:rFonts w:ascii="Times New Roman" w:hAnsi="Times New Roman" w:cs="Times New Roman"/>
          <w:color w:val="000000"/>
          <w:sz w:val="24"/>
        </w:rPr>
        <w:t xml:space="preserve">Costs of rearranging or replacing attachment.  An entity that obtains an attachment to a pole, conduit, or right-of-way shall not be required to bear any of the costs of rearranging or replacing its attachment, if such rearrangement or replacement is required </w:t>
      </w:r>
      <w:proofErr w:type="gramStart"/>
      <w:r w:rsidRPr="00C330E7">
        <w:rPr>
          <w:rFonts w:ascii="Times New Roman" w:hAnsi="Times New Roman" w:cs="Times New Roman"/>
          <w:color w:val="000000"/>
          <w:sz w:val="24"/>
        </w:rPr>
        <w:t>as a result of</w:t>
      </w:r>
      <w:proofErr w:type="gramEnd"/>
      <w:r w:rsidRPr="00C330E7">
        <w:rPr>
          <w:rFonts w:ascii="Times New Roman" w:hAnsi="Times New Roman" w:cs="Times New Roman"/>
          <w:color w:val="000000"/>
          <w:sz w:val="24"/>
        </w:rPr>
        <w:t xml:space="preserve"> an additional attachment or the modification of an existing attachment sought by any other entity (including the owner of such pole, duct, conduit, or right-of-way).</w:t>
      </w:r>
    </w:p>
    <w:sectPr w:rsidR="00C8082F" w:rsidRPr="00C330E7" w:rsidSect="00FE4C46">
      <w:headerReference w:type="default" r:id="rId6"/>
      <w:footerReference w:type="default" r:id="rId7"/>
      <w:footerReference w:type="first" r:id="rId8"/>
      <w:type w:val="continuous"/>
      <w:pgSz w:w="12240" w:h="15840"/>
      <w:pgMar w:top="1440" w:right="1440" w:bottom="1440" w:left="1440" w:header="403" w:footer="403"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3B28" w14:textId="77777777" w:rsidR="009E5F1C" w:rsidRDefault="009E5F1C">
      <w:r>
        <w:separator/>
      </w:r>
    </w:p>
  </w:endnote>
  <w:endnote w:type="continuationSeparator" w:id="0">
    <w:p w14:paraId="0A391791" w14:textId="77777777" w:rsidR="009E5F1C" w:rsidRDefault="009E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C8082F" w14:paraId="2BB3FC29" w14:textId="77777777">
      <w:trPr>
        <w:jc w:val="center"/>
      </w:trPr>
      <w:tc>
        <w:tcPr>
          <w:tcW w:w="2600" w:type="dxa"/>
          <w:tcMar>
            <w:top w:w="200" w:type="dxa"/>
          </w:tcMar>
          <w:vAlign w:val="center"/>
        </w:tcPr>
        <w:p w14:paraId="3122BC44" w14:textId="77777777" w:rsidR="00C8082F" w:rsidRDefault="00C8082F"/>
      </w:tc>
      <w:tc>
        <w:tcPr>
          <w:tcW w:w="4880" w:type="dxa"/>
          <w:tcMar>
            <w:top w:w="200" w:type="dxa"/>
          </w:tcMar>
          <w:vAlign w:val="center"/>
        </w:tcPr>
        <w:p w14:paraId="1C9D4550" w14:textId="77777777" w:rsidR="00C8082F" w:rsidRDefault="00C8082F">
          <w:pPr>
            <w:jc w:val="center"/>
          </w:pPr>
        </w:p>
      </w:tc>
      <w:tc>
        <w:tcPr>
          <w:tcW w:w="2600" w:type="dxa"/>
          <w:tcMar>
            <w:top w:w="200" w:type="dxa"/>
          </w:tcMar>
          <w:vAlign w:val="center"/>
        </w:tcPr>
        <w:p w14:paraId="5878C1E9" w14:textId="77777777" w:rsidR="00C8082F" w:rsidRDefault="00C8082F"/>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C84B" w14:textId="77777777" w:rsidR="00C8082F" w:rsidRDefault="00C8082F">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D231" w14:textId="77777777" w:rsidR="009E5F1C" w:rsidRDefault="009E5F1C">
      <w:r>
        <w:separator/>
      </w:r>
    </w:p>
  </w:footnote>
  <w:footnote w:type="continuationSeparator" w:id="0">
    <w:p w14:paraId="4F938FC8" w14:textId="77777777" w:rsidR="009E5F1C" w:rsidRDefault="009E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C8082F" w14:paraId="6F49F14A" w14:textId="77777777">
      <w:trPr>
        <w:jc w:val="center"/>
      </w:trPr>
      <w:tc>
        <w:tcPr>
          <w:tcW w:w="10080" w:type="dxa"/>
          <w:vAlign w:val="center"/>
        </w:tcPr>
        <w:p w14:paraId="2AFE0D1E" w14:textId="77777777" w:rsidR="00C8082F" w:rsidRDefault="00C330E7">
          <w:pPr>
            <w:jc w:val="right"/>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tc>
    </w:tr>
    <w:tr w:rsidR="00C8082F" w14:paraId="4DFEE8B0" w14:textId="77777777">
      <w:trPr>
        <w:jc w:val="center"/>
      </w:trPr>
      <w:tc>
        <w:tcPr>
          <w:tcW w:w="10080" w:type="dxa"/>
        </w:tcPr>
        <w:p w14:paraId="02BAA956" w14:textId="77777777" w:rsidR="00C8082F" w:rsidRPr="00857765" w:rsidRDefault="00857765">
          <w:pPr>
            <w:spacing w:before="60" w:after="200"/>
            <w:jc w:val="center"/>
            <w:rPr>
              <w:rFonts w:ascii="Times New Roman" w:hAnsi="Times New Roman" w:cs="Times New Roman"/>
            </w:rPr>
          </w:pPr>
          <w:r w:rsidRPr="00857765">
            <w:rPr>
              <w:rFonts w:ascii="Times New Roman" w:hAnsi="Times New Roman" w:cs="Times New Roman"/>
              <w:sz w:val="24"/>
            </w:rPr>
            <w:t>47 U.S.C. § 224</w:t>
          </w:r>
        </w:p>
      </w:tc>
    </w:tr>
    <w:tr w:rsidR="00857765" w14:paraId="4F4A0F1E" w14:textId="77777777">
      <w:trPr>
        <w:jc w:val="center"/>
      </w:trPr>
      <w:tc>
        <w:tcPr>
          <w:tcW w:w="10080" w:type="dxa"/>
        </w:tcPr>
        <w:p w14:paraId="4731745E" w14:textId="77777777" w:rsidR="00857765" w:rsidRDefault="00857765" w:rsidP="00857765">
          <w:pPr>
            <w:spacing w:before="60" w:after="200"/>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35BC"/>
    <w:rsid w:val="005A6B10"/>
    <w:rsid w:val="00857765"/>
    <w:rsid w:val="009E5F1C"/>
    <w:rsid w:val="009F1FE2"/>
    <w:rsid w:val="00A77B3E"/>
    <w:rsid w:val="00B23460"/>
    <w:rsid w:val="00C330E7"/>
    <w:rsid w:val="00C8082F"/>
    <w:rsid w:val="00CA2342"/>
    <w:rsid w:val="00CA2A55"/>
    <w:rsid w:val="00FD6A1A"/>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A7D87"/>
  <w15:docId w15:val="{B8ABA5AC-F3B6-4FB1-97EF-5BA94CB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Times" w:hAnsi="Times" w:cs="Times"/>
      <w:sz w:val="26"/>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30E7"/>
    <w:pPr>
      <w:tabs>
        <w:tab w:val="center" w:pos="4680"/>
        <w:tab w:val="right" w:pos="9360"/>
      </w:tabs>
    </w:pPr>
  </w:style>
  <w:style w:type="character" w:customStyle="1" w:styleId="HeaderChar">
    <w:name w:val="Header Char"/>
    <w:basedOn w:val="DefaultParagraphFont"/>
    <w:link w:val="Header"/>
    <w:rsid w:val="00C330E7"/>
    <w:rPr>
      <w:rFonts w:ascii="Times" w:eastAsia="Times" w:hAnsi="Times" w:cs="Times"/>
      <w:sz w:val="26"/>
      <w:szCs w:val="24"/>
    </w:rPr>
  </w:style>
  <w:style w:type="paragraph" w:styleId="Footer">
    <w:name w:val="footer"/>
    <w:basedOn w:val="Normal"/>
    <w:link w:val="FooterChar"/>
    <w:unhideWhenUsed/>
    <w:rsid w:val="00C330E7"/>
    <w:pPr>
      <w:tabs>
        <w:tab w:val="center" w:pos="4680"/>
        <w:tab w:val="right" w:pos="9360"/>
      </w:tabs>
    </w:pPr>
  </w:style>
  <w:style w:type="character" w:customStyle="1" w:styleId="FooterChar">
    <w:name w:val="Footer Char"/>
    <w:basedOn w:val="DefaultParagraphFont"/>
    <w:link w:val="Footer"/>
    <w:rsid w:val="00C330E7"/>
    <w:rPr>
      <w:rFonts w:ascii="Times" w:eastAsia="Times" w:hAnsi="Times" w:cs="Time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47 USCS § 224</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USCS § 224</dc:title>
  <dc:creator>Sparks, Shaun A</dc:creator>
  <cp:lastModifiedBy>Scheiber, LeAnn</cp:lastModifiedBy>
  <cp:revision>4</cp:revision>
  <dcterms:created xsi:type="dcterms:W3CDTF">2018-07-13T15:28:00Z</dcterms:created>
  <dcterms:modified xsi:type="dcterms:W3CDTF">2018-07-13T15:44:00Z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69920114</vt:lpwstr>
  </property>
  <property fmtid="{D5CDD505-2E9C-101B-9397-08002B2CF9AE}" pid="3" name="LADocCount">
    <vt:lpwstr>1</vt:lpwstr>
  </property>
  <property fmtid="{D5CDD505-2E9C-101B-9397-08002B2CF9AE}" pid="4" name="UserPermID">
    <vt:lpwstr>urn:user:PA6465945</vt:lpwstr>
  </property>
</Properties>
</file>