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429"/>
      </w:tblGrid>
      <w:tr w:rsidR="00AB4865" w:rsidRPr="00B82254" w:rsidTr="00273AF2">
        <w:tc>
          <w:tcPr>
            <w:tcW w:w="9360" w:type="dxa"/>
          </w:tcPr>
          <w:p w:rsidR="00273AF2" w:rsidRPr="00273AF2" w:rsidRDefault="00273AF2" w:rsidP="00273AF2">
            <w:pPr>
              <w:jc w:val="center"/>
              <w:rPr>
                <w:b/>
                <w:sz w:val="26"/>
                <w:szCs w:val="26"/>
              </w:rPr>
            </w:pPr>
            <w:r w:rsidRPr="00273AF2">
              <w:rPr>
                <w:b/>
                <w:sz w:val="26"/>
                <w:szCs w:val="26"/>
              </w:rPr>
              <w:t>BEFORE THE</w:t>
            </w:r>
          </w:p>
          <w:p w:rsidR="00273AF2" w:rsidRPr="00273AF2" w:rsidRDefault="00273AF2" w:rsidP="00273AF2">
            <w:pPr>
              <w:jc w:val="center"/>
              <w:rPr>
                <w:sz w:val="26"/>
                <w:szCs w:val="26"/>
              </w:rPr>
            </w:pPr>
            <w:r w:rsidRPr="00273AF2">
              <w:rPr>
                <w:b/>
                <w:sz w:val="26"/>
                <w:szCs w:val="26"/>
              </w:rPr>
              <w:t>PENNSYLVANIA PUBLIC UTILITY COMMISSION</w:t>
            </w:r>
          </w:p>
          <w:p w:rsidR="00273AF2" w:rsidRPr="00B82254" w:rsidRDefault="00273AF2" w:rsidP="00273AF2">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1262"/>
              <w:gridCol w:w="3028"/>
            </w:tblGrid>
            <w:tr w:rsidR="00273AF2" w:rsidRPr="00B82254" w:rsidTr="00E00CF6">
              <w:tc>
                <w:tcPr>
                  <w:tcW w:w="4854" w:type="dxa"/>
                </w:tcPr>
                <w:p w:rsidR="00273AF2" w:rsidRPr="00B82254" w:rsidRDefault="00273AF2" w:rsidP="00273AF2">
                  <w:pPr>
                    <w:widowControl/>
                    <w:rPr>
                      <w:sz w:val="26"/>
                      <w:szCs w:val="26"/>
                    </w:rPr>
                  </w:pPr>
                </w:p>
              </w:tc>
              <w:tc>
                <w:tcPr>
                  <w:tcW w:w="4290" w:type="dxa"/>
                  <w:gridSpan w:val="2"/>
                </w:tcPr>
                <w:p w:rsidR="00273AF2" w:rsidRPr="00B82254" w:rsidRDefault="00273AF2" w:rsidP="00273AF2">
                  <w:pPr>
                    <w:widowControl/>
                    <w:ind w:left="-121"/>
                    <w:jc w:val="right"/>
                    <w:rPr>
                      <w:sz w:val="26"/>
                      <w:szCs w:val="26"/>
                    </w:rPr>
                  </w:pPr>
                  <w:r w:rsidRPr="00B82254">
                    <w:rPr>
                      <w:sz w:val="26"/>
                      <w:szCs w:val="26"/>
                    </w:rPr>
                    <w:t xml:space="preserve">Public Meeting held </w:t>
                  </w:r>
                  <w:r w:rsidR="00C525DD">
                    <w:rPr>
                      <w:sz w:val="26"/>
                      <w:szCs w:val="26"/>
                    </w:rPr>
                    <w:t>July 12, 2018</w:t>
                  </w:r>
                </w:p>
                <w:p w:rsidR="00273AF2" w:rsidRPr="00B82254" w:rsidRDefault="00273AF2" w:rsidP="00273AF2">
                  <w:pPr>
                    <w:widowControl/>
                    <w:jc w:val="right"/>
                    <w:rPr>
                      <w:sz w:val="26"/>
                      <w:szCs w:val="26"/>
                    </w:rPr>
                  </w:pPr>
                </w:p>
                <w:p w:rsidR="00273AF2" w:rsidRPr="00B82254" w:rsidRDefault="00273AF2" w:rsidP="00273AF2">
                  <w:pPr>
                    <w:widowControl/>
                    <w:jc w:val="right"/>
                    <w:rPr>
                      <w:sz w:val="26"/>
                      <w:szCs w:val="26"/>
                    </w:rPr>
                  </w:pPr>
                </w:p>
              </w:tc>
            </w:tr>
            <w:tr w:rsidR="00273AF2" w:rsidRPr="00B82254" w:rsidTr="00E00CF6">
              <w:tc>
                <w:tcPr>
                  <w:tcW w:w="4854" w:type="dxa"/>
                </w:tcPr>
                <w:p w:rsidR="00273AF2" w:rsidRPr="00B82254" w:rsidRDefault="00273AF2" w:rsidP="00273AF2">
                  <w:pPr>
                    <w:widowControl/>
                    <w:rPr>
                      <w:sz w:val="26"/>
                      <w:szCs w:val="26"/>
                    </w:rPr>
                  </w:pPr>
                  <w:r w:rsidRPr="00B82254">
                    <w:rPr>
                      <w:sz w:val="26"/>
                      <w:szCs w:val="26"/>
                    </w:rPr>
                    <w:t>Commissioners Present:</w:t>
                  </w:r>
                </w:p>
                <w:p w:rsidR="00273AF2" w:rsidRPr="00B82254" w:rsidRDefault="00273AF2" w:rsidP="00273AF2">
                  <w:pPr>
                    <w:widowControl/>
                    <w:rPr>
                      <w:sz w:val="26"/>
                      <w:szCs w:val="26"/>
                    </w:rPr>
                  </w:pPr>
                </w:p>
                <w:p w:rsidR="00273AF2" w:rsidRPr="00B82254" w:rsidRDefault="00273AF2" w:rsidP="00273AF2">
                  <w:pPr>
                    <w:widowControl/>
                    <w:ind w:left="720"/>
                    <w:rPr>
                      <w:sz w:val="26"/>
                      <w:szCs w:val="26"/>
                    </w:rPr>
                  </w:pPr>
                  <w:r w:rsidRPr="00B82254">
                    <w:rPr>
                      <w:sz w:val="26"/>
                      <w:szCs w:val="26"/>
                    </w:rPr>
                    <w:t>Gladys M. Brown, Chairman</w:t>
                  </w:r>
                </w:p>
                <w:p w:rsidR="00273AF2" w:rsidRPr="00B82254" w:rsidRDefault="00273AF2" w:rsidP="00273AF2">
                  <w:pPr>
                    <w:widowControl/>
                    <w:ind w:left="720"/>
                    <w:rPr>
                      <w:sz w:val="26"/>
                      <w:szCs w:val="26"/>
                    </w:rPr>
                  </w:pPr>
                  <w:r w:rsidRPr="00B82254">
                    <w:rPr>
                      <w:sz w:val="26"/>
                      <w:szCs w:val="26"/>
                    </w:rPr>
                    <w:t>Andrew G. Place, Vice Chairman</w:t>
                  </w:r>
                </w:p>
                <w:p w:rsidR="00273AF2" w:rsidRPr="00B82254" w:rsidRDefault="00273AF2" w:rsidP="00273AF2">
                  <w:pPr>
                    <w:widowControl/>
                    <w:ind w:left="720"/>
                    <w:rPr>
                      <w:sz w:val="26"/>
                      <w:szCs w:val="26"/>
                    </w:rPr>
                  </w:pPr>
                  <w:r w:rsidRPr="00B82254">
                    <w:rPr>
                      <w:sz w:val="26"/>
                      <w:szCs w:val="26"/>
                    </w:rPr>
                    <w:t>Norman J. Kennard</w:t>
                  </w:r>
                </w:p>
                <w:p w:rsidR="00273AF2" w:rsidRPr="00B82254" w:rsidRDefault="00273AF2" w:rsidP="00273AF2">
                  <w:pPr>
                    <w:widowControl/>
                    <w:ind w:left="720"/>
                    <w:rPr>
                      <w:sz w:val="26"/>
                      <w:szCs w:val="26"/>
                    </w:rPr>
                  </w:pPr>
                  <w:r w:rsidRPr="00B82254">
                    <w:rPr>
                      <w:sz w:val="26"/>
                      <w:szCs w:val="26"/>
                    </w:rPr>
                    <w:t>David W. Sweet</w:t>
                  </w:r>
                </w:p>
                <w:p w:rsidR="00273AF2" w:rsidRPr="00B82254" w:rsidRDefault="00273AF2" w:rsidP="00273AF2">
                  <w:pPr>
                    <w:widowControl/>
                    <w:tabs>
                      <w:tab w:val="left" w:pos="705"/>
                    </w:tabs>
                    <w:ind w:firstLine="720"/>
                    <w:rPr>
                      <w:sz w:val="26"/>
                      <w:szCs w:val="26"/>
                    </w:rPr>
                  </w:pPr>
                  <w:r w:rsidRPr="00B82254">
                    <w:rPr>
                      <w:sz w:val="26"/>
                      <w:szCs w:val="26"/>
                    </w:rPr>
                    <w:t>John F. Coleman, Jr.</w:t>
                  </w:r>
                </w:p>
                <w:p w:rsidR="00273AF2" w:rsidRPr="00B82254" w:rsidRDefault="00273AF2" w:rsidP="00273AF2">
                  <w:pPr>
                    <w:widowControl/>
                    <w:rPr>
                      <w:sz w:val="26"/>
                      <w:szCs w:val="26"/>
                    </w:rPr>
                  </w:pPr>
                </w:p>
                <w:p w:rsidR="00273AF2" w:rsidRPr="00B82254" w:rsidRDefault="00273AF2" w:rsidP="00273AF2">
                  <w:pPr>
                    <w:widowControl/>
                    <w:rPr>
                      <w:sz w:val="26"/>
                      <w:szCs w:val="26"/>
                    </w:rPr>
                  </w:pPr>
                </w:p>
              </w:tc>
              <w:tc>
                <w:tcPr>
                  <w:tcW w:w="4290" w:type="dxa"/>
                  <w:gridSpan w:val="2"/>
                </w:tcPr>
                <w:p w:rsidR="00273AF2" w:rsidRPr="00B82254" w:rsidRDefault="00273AF2" w:rsidP="00273AF2">
                  <w:pPr>
                    <w:widowControl/>
                    <w:jc w:val="right"/>
                    <w:rPr>
                      <w:sz w:val="26"/>
                      <w:szCs w:val="26"/>
                    </w:rPr>
                  </w:pPr>
                </w:p>
                <w:p w:rsidR="00273AF2" w:rsidRPr="00B82254" w:rsidRDefault="00273AF2" w:rsidP="00273AF2">
                  <w:pPr>
                    <w:widowControl/>
                    <w:jc w:val="right"/>
                    <w:rPr>
                      <w:sz w:val="26"/>
                      <w:szCs w:val="26"/>
                    </w:rPr>
                  </w:pPr>
                </w:p>
              </w:tc>
            </w:tr>
            <w:tr w:rsidR="00273AF2" w:rsidRPr="00B82254" w:rsidTr="00E00CF6">
              <w:tc>
                <w:tcPr>
                  <w:tcW w:w="6116" w:type="dxa"/>
                  <w:gridSpan w:val="2"/>
                </w:tcPr>
                <w:p w:rsidR="00273AF2" w:rsidRPr="00B82254" w:rsidRDefault="00273AF2" w:rsidP="00273AF2">
                  <w:pPr>
                    <w:widowControl/>
                    <w:rPr>
                      <w:sz w:val="26"/>
                      <w:szCs w:val="26"/>
                    </w:rPr>
                  </w:pPr>
                </w:p>
              </w:tc>
              <w:tc>
                <w:tcPr>
                  <w:tcW w:w="3028" w:type="dxa"/>
                </w:tcPr>
                <w:p w:rsidR="00273AF2" w:rsidRPr="00B82254" w:rsidRDefault="00273AF2" w:rsidP="00273AF2">
                  <w:pPr>
                    <w:widowControl/>
                    <w:jc w:val="right"/>
                    <w:rPr>
                      <w:sz w:val="26"/>
                      <w:szCs w:val="26"/>
                    </w:rPr>
                  </w:pPr>
                </w:p>
              </w:tc>
            </w:tr>
            <w:tr w:rsidR="00273AF2" w:rsidRPr="00B82254" w:rsidTr="00E00CF6">
              <w:tc>
                <w:tcPr>
                  <w:tcW w:w="6116" w:type="dxa"/>
                  <w:gridSpan w:val="2"/>
                </w:tcPr>
                <w:p w:rsidR="00273AF2" w:rsidRPr="00B82254" w:rsidRDefault="00273AF2" w:rsidP="00273AF2">
                  <w:pPr>
                    <w:widowControl/>
                    <w:rPr>
                      <w:sz w:val="26"/>
                      <w:szCs w:val="26"/>
                    </w:rPr>
                  </w:pPr>
                </w:p>
              </w:tc>
              <w:tc>
                <w:tcPr>
                  <w:tcW w:w="3028" w:type="dxa"/>
                </w:tcPr>
                <w:p w:rsidR="00273AF2" w:rsidRPr="00B82254" w:rsidRDefault="00273AF2" w:rsidP="00273AF2">
                  <w:pPr>
                    <w:widowControl/>
                    <w:rPr>
                      <w:sz w:val="26"/>
                      <w:szCs w:val="26"/>
                    </w:rPr>
                  </w:pPr>
                </w:p>
              </w:tc>
            </w:tr>
            <w:tr w:rsidR="00273AF2" w:rsidRPr="00B82254" w:rsidTr="00E00CF6">
              <w:trPr>
                <w:trHeight w:val="1440"/>
              </w:trPr>
              <w:tc>
                <w:tcPr>
                  <w:tcW w:w="6116" w:type="dxa"/>
                  <w:gridSpan w:val="2"/>
                </w:tcPr>
                <w:p w:rsidR="00273AF2" w:rsidRPr="00B82254" w:rsidRDefault="00273AF2" w:rsidP="00273AF2">
                  <w:pPr>
                    <w:widowControl/>
                    <w:rPr>
                      <w:spacing w:val="-3"/>
                      <w:sz w:val="26"/>
                      <w:szCs w:val="26"/>
                    </w:rPr>
                  </w:pPr>
                </w:p>
                <w:p w:rsidR="00C525DD" w:rsidRDefault="00C525DD" w:rsidP="00C525DD">
                  <w:pPr>
                    <w:rPr>
                      <w:sz w:val="26"/>
                      <w:szCs w:val="26"/>
                    </w:rPr>
                  </w:pPr>
                  <w:r>
                    <w:rPr>
                      <w:sz w:val="26"/>
                      <w:szCs w:val="26"/>
                    </w:rPr>
                    <w:t>Pennsylvania Public Utility Commission,</w:t>
                  </w:r>
                </w:p>
                <w:p w:rsidR="00C525DD" w:rsidRDefault="00C525DD" w:rsidP="00C525DD">
                  <w:pPr>
                    <w:rPr>
                      <w:sz w:val="26"/>
                      <w:szCs w:val="26"/>
                    </w:rPr>
                  </w:pPr>
                  <w:r>
                    <w:rPr>
                      <w:sz w:val="26"/>
                      <w:szCs w:val="26"/>
                    </w:rPr>
                    <w:t xml:space="preserve">Bureau of Investigation and Enforcement  </w:t>
                  </w:r>
                </w:p>
                <w:p w:rsidR="00C525DD" w:rsidRDefault="00C525DD" w:rsidP="00C525DD">
                  <w:pPr>
                    <w:rPr>
                      <w:sz w:val="26"/>
                      <w:szCs w:val="26"/>
                    </w:rPr>
                  </w:pPr>
                </w:p>
                <w:p w:rsidR="00C525DD" w:rsidRDefault="00C525DD" w:rsidP="00C525DD">
                  <w:pPr>
                    <w:rPr>
                      <w:sz w:val="26"/>
                      <w:szCs w:val="26"/>
                    </w:rPr>
                  </w:pPr>
                  <w:r>
                    <w:rPr>
                      <w:sz w:val="26"/>
                      <w:szCs w:val="26"/>
                    </w:rPr>
                    <w:tab/>
                  </w:r>
                  <w:r>
                    <w:rPr>
                      <w:sz w:val="26"/>
                      <w:szCs w:val="26"/>
                    </w:rPr>
                    <w:tab/>
                    <w:t>v.</w:t>
                  </w:r>
                </w:p>
                <w:p w:rsidR="00C525DD" w:rsidRDefault="00C525DD" w:rsidP="00C525DD">
                  <w:pPr>
                    <w:rPr>
                      <w:sz w:val="26"/>
                      <w:szCs w:val="26"/>
                    </w:rPr>
                  </w:pPr>
                </w:p>
                <w:p w:rsidR="00C525DD" w:rsidRDefault="00C525DD" w:rsidP="00C525DD">
                  <w:pPr>
                    <w:rPr>
                      <w:sz w:val="26"/>
                      <w:szCs w:val="26"/>
                    </w:rPr>
                  </w:pPr>
                  <w:r>
                    <w:rPr>
                      <w:sz w:val="26"/>
                      <w:szCs w:val="26"/>
                    </w:rPr>
                    <w:t>Residents Energy, LLC</w:t>
                  </w:r>
                </w:p>
                <w:p w:rsidR="00273AF2" w:rsidRPr="00B82254" w:rsidRDefault="00273AF2" w:rsidP="00C525DD">
                  <w:pPr>
                    <w:widowControl/>
                    <w:rPr>
                      <w:sz w:val="26"/>
                      <w:szCs w:val="26"/>
                    </w:rPr>
                  </w:pPr>
                </w:p>
              </w:tc>
              <w:tc>
                <w:tcPr>
                  <w:tcW w:w="3028" w:type="dxa"/>
                </w:tcPr>
                <w:p w:rsidR="00273AF2" w:rsidRDefault="00273AF2" w:rsidP="00273AF2">
                  <w:pPr>
                    <w:widowControl/>
                    <w:jc w:val="right"/>
                    <w:rPr>
                      <w:sz w:val="26"/>
                      <w:szCs w:val="26"/>
                    </w:rPr>
                  </w:pPr>
                </w:p>
                <w:p w:rsidR="00C525DD" w:rsidRPr="00C525DD" w:rsidRDefault="00273AF2" w:rsidP="00C525DD">
                  <w:pPr>
                    <w:suppressAutoHyphens/>
                    <w:ind w:right="252"/>
                    <w:jc w:val="right"/>
                    <w:rPr>
                      <w:sz w:val="26"/>
                      <w:szCs w:val="26"/>
                    </w:rPr>
                  </w:pPr>
                  <w:r>
                    <w:rPr>
                      <w:sz w:val="26"/>
                      <w:szCs w:val="26"/>
                    </w:rPr>
                    <w:t xml:space="preserve">           </w:t>
                  </w:r>
                  <w:r w:rsidR="00C525DD" w:rsidRPr="00C525DD">
                    <w:rPr>
                      <w:sz w:val="26"/>
                      <w:szCs w:val="26"/>
                    </w:rPr>
                    <w:t>M-2017-2511372</w:t>
                  </w:r>
                </w:p>
                <w:p w:rsidR="00273AF2" w:rsidRPr="00B82254" w:rsidRDefault="00273AF2" w:rsidP="00273AF2">
                  <w:pPr>
                    <w:widowControl/>
                    <w:rPr>
                      <w:sz w:val="26"/>
                      <w:szCs w:val="26"/>
                    </w:rPr>
                  </w:pPr>
                </w:p>
              </w:tc>
            </w:tr>
          </w:tbl>
          <w:p w:rsidR="00E64FC8" w:rsidRPr="00E91487" w:rsidRDefault="00E64FC8" w:rsidP="001E6ADF">
            <w:pPr>
              <w:widowControl/>
              <w:rPr>
                <w:b/>
                <w:sz w:val="26"/>
                <w:szCs w:val="26"/>
              </w:rPr>
            </w:pPr>
          </w:p>
        </w:tc>
        <w:tc>
          <w:tcPr>
            <w:tcW w:w="3429" w:type="dxa"/>
          </w:tcPr>
          <w:p w:rsidR="00AB4865" w:rsidRPr="00B82254" w:rsidRDefault="00AB4865" w:rsidP="001E6ADF">
            <w:pPr>
              <w:widowControl/>
              <w:jc w:val="right"/>
              <w:rPr>
                <w:sz w:val="26"/>
                <w:szCs w:val="26"/>
              </w:rPr>
            </w:pPr>
          </w:p>
        </w:tc>
      </w:tr>
    </w:tbl>
    <w:p w:rsidR="00273AF2" w:rsidRDefault="00273AF2" w:rsidP="00AB4865">
      <w:pPr>
        <w:widowControl/>
        <w:jc w:val="center"/>
        <w:rPr>
          <w:b/>
          <w:bCs/>
          <w:sz w:val="24"/>
          <w:szCs w:val="24"/>
          <w:u w:val="single"/>
        </w:rPr>
      </w:pPr>
    </w:p>
    <w:p w:rsidR="00AB4865" w:rsidRPr="00AB4865" w:rsidRDefault="00AB4865" w:rsidP="00AB4865">
      <w:pPr>
        <w:widowControl/>
        <w:jc w:val="center"/>
        <w:rPr>
          <w:sz w:val="22"/>
          <w:szCs w:val="22"/>
        </w:rPr>
      </w:pPr>
      <w:r w:rsidRPr="00AB4865">
        <w:rPr>
          <w:b/>
          <w:bCs/>
          <w:sz w:val="24"/>
          <w:szCs w:val="24"/>
          <w:u w:val="single"/>
        </w:rPr>
        <w:t xml:space="preserve">ERRATA NOTICE </w:t>
      </w:r>
    </w:p>
    <w:p w:rsidR="00AB4865" w:rsidRDefault="00AB4865"/>
    <w:p w:rsidR="00AB4865" w:rsidRDefault="00AB4865"/>
    <w:p w:rsidR="00AB4865" w:rsidRPr="00AB4865" w:rsidRDefault="00AB4865" w:rsidP="00AB4865">
      <w:pPr>
        <w:widowControl/>
        <w:spacing w:line="360" w:lineRule="auto"/>
        <w:ind w:firstLine="1440"/>
        <w:jc w:val="both"/>
        <w:rPr>
          <w:sz w:val="26"/>
          <w:szCs w:val="26"/>
        </w:rPr>
      </w:pPr>
      <w:r w:rsidRPr="00AB4865">
        <w:rPr>
          <w:sz w:val="26"/>
          <w:szCs w:val="26"/>
        </w:rPr>
        <w:t xml:space="preserve">This is to advise all parties of record that </w:t>
      </w:r>
      <w:r w:rsidR="008A209F">
        <w:rPr>
          <w:sz w:val="26"/>
          <w:szCs w:val="26"/>
        </w:rPr>
        <w:t>the</w:t>
      </w:r>
      <w:r w:rsidRPr="000774CF">
        <w:rPr>
          <w:sz w:val="26"/>
          <w:szCs w:val="26"/>
        </w:rPr>
        <w:t xml:space="preserve"> Opinion and Order </w:t>
      </w:r>
      <w:r w:rsidR="00341FF5">
        <w:rPr>
          <w:sz w:val="26"/>
          <w:szCs w:val="26"/>
        </w:rPr>
        <w:t>entered</w:t>
      </w:r>
      <w:r w:rsidRPr="000774CF">
        <w:rPr>
          <w:sz w:val="26"/>
          <w:szCs w:val="26"/>
        </w:rPr>
        <w:t xml:space="preserve"> </w:t>
      </w:r>
      <w:r w:rsidRPr="00AB4865">
        <w:rPr>
          <w:sz w:val="26"/>
          <w:szCs w:val="26"/>
        </w:rPr>
        <w:t xml:space="preserve">on </w:t>
      </w:r>
      <w:r w:rsidR="00C525DD">
        <w:rPr>
          <w:sz w:val="26"/>
          <w:szCs w:val="26"/>
        </w:rPr>
        <w:t>July 12, 2018</w:t>
      </w:r>
      <w:r w:rsidR="00736DDB">
        <w:rPr>
          <w:sz w:val="26"/>
          <w:szCs w:val="26"/>
        </w:rPr>
        <w:t>,</w:t>
      </w:r>
      <w:r w:rsidR="00C525DD">
        <w:rPr>
          <w:sz w:val="26"/>
          <w:szCs w:val="26"/>
        </w:rPr>
        <w:t xml:space="preserve"> </w:t>
      </w:r>
      <w:r w:rsidRPr="00AB4865">
        <w:rPr>
          <w:sz w:val="26"/>
          <w:szCs w:val="26"/>
        </w:rPr>
        <w:t xml:space="preserve">in the above-captioned proceeding, contains </w:t>
      </w:r>
      <w:r w:rsidR="00C525DD">
        <w:rPr>
          <w:sz w:val="26"/>
          <w:szCs w:val="26"/>
        </w:rPr>
        <w:t xml:space="preserve">an </w:t>
      </w:r>
      <w:r w:rsidR="000774CF">
        <w:rPr>
          <w:sz w:val="26"/>
          <w:szCs w:val="26"/>
        </w:rPr>
        <w:t>error</w:t>
      </w:r>
      <w:r w:rsidRPr="00AB4865">
        <w:rPr>
          <w:sz w:val="26"/>
          <w:szCs w:val="26"/>
        </w:rPr>
        <w:t xml:space="preserve"> </w:t>
      </w:r>
      <w:r w:rsidR="00341FF5">
        <w:rPr>
          <w:sz w:val="26"/>
          <w:szCs w:val="26"/>
        </w:rPr>
        <w:t xml:space="preserve">in Ordering Paragraph No. 4 </w:t>
      </w:r>
      <w:r w:rsidRPr="00AB4865">
        <w:rPr>
          <w:sz w:val="26"/>
          <w:szCs w:val="26"/>
        </w:rPr>
        <w:t xml:space="preserve">on </w:t>
      </w:r>
      <w:r w:rsidR="00341FF5">
        <w:rPr>
          <w:sz w:val="26"/>
          <w:szCs w:val="26"/>
        </w:rPr>
        <w:t>p</w:t>
      </w:r>
      <w:r w:rsidRPr="00AB4865">
        <w:rPr>
          <w:sz w:val="26"/>
          <w:szCs w:val="26"/>
        </w:rPr>
        <w:t>age</w:t>
      </w:r>
      <w:r w:rsidR="00C525DD">
        <w:rPr>
          <w:sz w:val="26"/>
          <w:szCs w:val="26"/>
        </w:rPr>
        <w:t xml:space="preserve"> 12</w:t>
      </w:r>
      <w:r w:rsidRPr="000774CF">
        <w:rPr>
          <w:sz w:val="26"/>
          <w:szCs w:val="26"/>
        </w:rPr>
        <w:t>.</w:t>
      </w:r>
      <w:r w:rsidRPr="00AB4865">
        <w:rPr>
          <w:sz w:val="26"/>
          <w:szCs w:val="26"/>
        </w:rPr>
        <w:t xml:space="preserve"> </w:t>
      </w:r>
    </w:p>
    <w:p w:rsidR="00AB4865" w:rsidRDefault="00AB4865"/>
    <w:p w:rsidR="00AB4865" w:rsidRDefault="00AB4865" w:rsidP="00AB4865">
      <w:pPr>
        <w:widowControl/>
        <w:spacing w:line="360" w:lineRule="auto"/>
        <w:rPr>
          <w:sz w:val="26"/>
          <w:szCs w:val="26"/>
        </w:rPr>
      </w:pPr>
      <w:r>
        <w:tab/>
      </w:r>
      <w:r>
        <w:tab/>
      </w:r>
      <w:r w:rsidR="00C525DD" w:rsidRPr="00FA03D5">
        <w:rPr>
          <w:sz w:val="26"/>
          <w:szCs w:val="26"/>
        </w:rPr>
        <w:t xml:space="preserve">Ordering Paragraph </w:t>
      </w:r>
      <w:r w:rsidR="00341FF5">
        <w:rPr>
          <w:sz w:val="26"/>
          <w:szCs w:val="26"/>
        </w:rPr>
        <w:t xml:space="preserve">No. </w:t>
      </w:r>
      <w:r w:rsidR="00FA03D5" w:rsidRPr="00FA03D5">
        <w:rPr>
          <w:sz w:val="26"/>
          <w:szCs w:val="26"/>
        </w:rPr>
        <w:t>4</w:t>
      </w:r>
      <w:r w:rsidR="00C525DD" w:rsidRPr="00FA03D5">
        <w:rPr>
          <w:sz w:val="26"/>
          <w:szCs w:val="26"/>
        </w:rPr>
        <w:t xml:space="preserve"> </w:t>
      </w:r>
      <w:r>
        <w:rPr>
          <w:sz w:val="26"/>
          <w:szCs w:val="26"/>
        </w:rPr>
        <w:t>reads as follows:</w:t>
      </w:r>
    </w:p>
    <w:p w:rsidR="00E00CF6" w:rsidRDefault="00E00CF6" w:rsidP="00AB4865">
      <w:pPr>
        <w:widowControl/>
        <w:spacing w:line="360" w:lineRule="auto"/>
        <w:rPr>
          <w:sz w:val="26"/>
          <w:szCs w:val="26"/>
        </w:rPr>
      </w:pPr>
    </w:p>
    <w:p w:rsidR="00AB4865" w:rsidRDefault="00FA03D5" w:rsidP="00055D31">
      <w:pPr>
        <w:widowControl/>
        <w:ind w:left="1440" w:right="1440"/>
        <w:rPr>
          <w:sz w:val="26"/>
          <w:szCs w:val="26"/>
        </w:rPr>
      </w:pPr>
      <w:r>
        <w:rPr>
          <w:sz w:val="26"/>
          <w:szCs w:val="26"/>
        </w:rPr>
        <w:t>4.</w:t>
      </w:r>
      <w:r>
        <w:rPr>
          <w:sz w:val="26"/>
          <w:szCs w:val="26"/>
        </w:rPr>
        <w:tab/>
        <w:t xml:space="preserve">That for a term of twelve (12) months starting after the entry of this Order, Residents Energy, LLC, shall provide a quarterly report to the Commission’s Bureau of Technical Utility Services, in the first week of each calendar quarter, capturing the following data from the prior quarter concerning customer complaints filed directly with Residents </w:t>
      </w:r>
      <w:r>
        <w:rPr>
          <w:sz w:val="26"/>
          <w:szCs w:val="26"/>
        </w:rPr>
        <w:lastRenderedPageBreak/>
        <w:t xml:space="preserve">Energy, LLC: (a) the number of complaints by category, </w:t>
      </w:r>
      <w:r>
        <w:rPr>
          <w:i/>
          <w:sz w:val="26"/>
          <w:szCs w:val="26"/>
        </w:rPr>
        <w:t>i.e.</w:t>
      </w:r>
      <w:r>
        <w:rPr>
          <w:sz w:val="26"/>
          <w:szCs w:val="26"/>
        </w:rPr>
        <w:t xml:space="preserve">, slamming, do-not-call violations, incorrect charges, </w:t>
      </w:r>
      <w:r>
        <w:rPr>
          <w:i/>
          <w:sz w:val="26"/>
          <w:szCs w:val="26"/>
        </w:rPr>
        <w:t>etc.</w:t>
      </w:r>
      <w:r>
        <w:rPr>
          <w:sz w:val="26"/>
          <w:szCs w:val="26"/>
        </w:rPr>
        <w:t xml:space="preserve">; and (b) any process improvements, organizational changes, </w:t>
      </w:r>
      <w:r>
        <w:rPr>
          <w:i/>
          <w:sz w:val="26"/>
          <w:szCs w:val="26"/>
        </w:rPr>
        <w:t>etc.</w:t>
      </w:r>
      <w:r>
        <w:rPr>
          <w:sz w:val="26"/>
          <w:szCs w:val="26"/>
        </w:rPr>
        <w:t>, that were implemented to reduce or eliminate similar complaints going forward.</w:t>
      </w:r>
    </w:p>
    <w:p w:rsidR="00055D31" w:rsidRPr="00055D31" w:rsidRDefault="00055D31" w:rsidP="00055D31">
      <w:pPr>
        <w:keepNext/>
        <w:keepLines/>
        <w:widowControl/>
        <w:ind w:left="1440"/>
        <w:rPr>
          <w:sz w:val="26"/>
          <w:szCs w:val="26"/>
        </w:rPr>
      </w:pPr>
    </w:p>
    <w:p w:rsidR="00AB4865" w:rsidRDefault="00AB4865" w:rsidP="00AB4865">
      <w:pPr>
        <w:widowControl/>
        <w:ind w:left="720" w:firstLine="720"/>
        <w:rPr>
          <w:rFonts w:eastAsia="Calibri"/>
          <w:sz w:val="26"/>
          <w:szCs w:val="26"/>
        </w:rPr>
      </w:pPr>
    </w:p>
    <w:p w:rsidR="00AB4865" w:rsidRDefault="00AB4865" w:rsidP="00055D31">
      <w:pPr>
        <w:widowControl/>
        <w:spacing w:line="360" w:lineRule="auto"/>
        <w:rPr>
          <w:sz w:val="26"/>
          <w:szCs w:val="26"/>
        </w:rPr>
      </w:pPr>
      <w:r>
        <w:rPr>
          <w:sz w:val="26"/>
          <w:szCs w:val="26"/>
        </w:rPr>
        <w:t>The corrected language</w:t>
      </w:r>
      <w:r w:rsidR="000774CF">
        <w:rPr>
          <w:sz w:val="26"/>
          <w:szCs w:val="26"/>
        </w:rPr>
        <w:t xml:space="preserve"> </w:t>
      </w:r>
      <w:r w:rsidR="00F93C25">
        <w:rPr>
          <w:sz w:val="26"/>
          <w:szCs w:val="26"/>
        </w:rPr>
        <w:t xml:space="preserve">in Ordering Paragraph </w:t>
      </w:r>
      <w:r w:rsidR="001504E0">
        <w:rPr>
          <w:sz w:val="26"/>
          <w:szCs w:val="26"/>
        </w:rPr>
        <w:t>No. 4</w:t>
      </w:r>
      <w:r>
        <w:rPr>
          <w:sz w:val="26"/>
          <w:szCs w:val="26"/>
        </w:rPr>
        <w:t xml:space="preserve"> should read</w:t>
      </w:r>
      <w:r w:rsidR="00FA03D5">
        <w:rPr>
          <w:sz w:val="26"/>
          <w:szCs w:val="26"/>
        </w:rPr>
        <w:t>:</w:t>
      </w:r>
    </w:p>
    <w:p w:rsidR="00F93C25" w:rsidRDefault="00F93C25" w:rsidP="000774CF">
      <w:pPr>
        <w:widowControl/>
        <w:spacing w:line="360" w:lineRule="auto"/>
        <w:ind w:left="720" w:firstLine="720"/>
        <w:rPr>
          <w:sz w:val="26"/>
          <w:szCs w:val="26"/>
        </w:rPr>
      </w:pPr>
    </w:p>
    <w:p w:rsidR="00FA03D5" w:rsidRDefault="00FA03D5" w:rsidP="00736DDB">
      <w:pPr>
        <w:widowControl/>
        <w:ind w:left="1440" w:right="1440"/>
        <w:rPr>
          <w:sz w:val="26"/>
          <w:szCs w:val="26"/>
        </w:rPr>
      </w:pPr>
      <w:r>
        <w:rPr>
          <w:sz w:val="26"/>
          <w:szCs w:val="26"/>
        </w:rPr>
        <w:t>4.</w:t>
      </w:r>
      <w:r>
        <w:rPr>
          <w:sz w:val="26"/>
          <w:szCs w:val="26"/>
        </w:rPr>
        <w:tab/>
        <w:t xml:space="preserve">That for a term of twelve (12) months starting after the entry of this Order, Residents Energy, LLC, shall provide a quarterly report to the Commission’s </w:t>
      </w:r>
      <w:r w:rsidRPr="00FA03D5">
        <w:rPr>
          <w:b/>
          <w:sz w:val="26"/>
          <w:szCs w:val="26"/>
        </w:rPr>
        <w:t>Bureau of Consumer Services</w:t>
      </w:r>
      <w:r>
        <w:rPr>
          <w:sz w:val="26"/>
          <w:szCs w:val="26"/>
        </w:rPr>
        <w:t xml:space="preserve">, in the first week of each calendar quarter, capturing the following data from the prior quarter concerning customer complaints filed directly with Residents Energy, LLC: (a) the number of complaints by category, </w:t>
      </w:r>
      <w:r>
        <w:rPr>
          <w:i/>
          <w:sz w:val="26"/>
          <w:szCs w:val="26"/>
        </w:rPr>
        <w:t>i.e.</w:t>
      </w:r>
      <w:r>
        <w:rPr>
          <w:sz w:val="26"/>
          <w:szCs w:val="26"/>
        </w:rPr>
        <w:t xml:space="preserve">, slamming, do-not-call violations, incorrect charges, </w:t>
      </w:r>
      <w:r>
        <w:rPr>
          <w:i/>
          <w:sz w:val="26"/>
          <w:szCs w:val="26"/>
        </w:rPr>
        <w:t>etc.</w:t>
      </w:r>
      <w:r>
        <w:rPr>
          <w:sz w:val="26"/>
          <w:szCs w:val="26"/>
        </w:rPr>
        <w:t xml:space="preserve">; and (b) any process improvements, organizational changes, </w:t>
      </w:r>
      <w:r>
        <w:rPr>
          <w:i/>
          <w:sz w:val="26"/>
          <w:szCs w:val="26"/>
        </w:rPr>
        <w:t>etc.</w:t>
      </w:r>
      <w:r>
        <w:rPr>
          <w:sz w:val="26"/>
          <w:szCs w:val="26"/>
        </w:rPr>
        <w:t>, that were implemented to reduce or eliminate similar complaints going forward.</w:t>
      </w:r>
    </w:p>
    <w:p w:rsidR="00FA03D5" w:rsidRDefault="00FA03D5" w:rsidP="00FA03D5">
      <w:pPr>
        <w:widowControl/>
        <w:ind w:left="1440"/>
        <w:rPr>
          <w:sz w:val="26"/>
          <w:szCs w:val="26"/>
        </w:rPr>
      </w:pPr>
    </w:p>
    <w:p w:rsidR="00055D31" w:rsidRDefault="00055D31" w:rsidP="00FA03D5">
      <w:pPr>
        <w:widowControl/>
        <w:ind w:left="1440"/>
        <w:rPr>
          <w:sz w:val="26"/>
          <w:szCs w:val="26"/>
        </w:rPr>
      </w:pPr>
    </w:p>
    <w:p w:rsidR="00FA03D5" w:rsidRPr="00FA03D5" w:rsidRDefault="00FA03D5" w:rsidP="00FA03D5">
      <w:pPr>
        <w:widowControl/>
        <w:spacing w:line="360" w:lineRule="auto"/>
        <w:ind w:firstLine="1440"/>
        <w:jc w:val="both"/>
        <w:rPr>
          <w:sz w:val="26"/>
          <w:szCs w:val="26"/>
        </w:rPr>
      </w:pPr>
      <w:r w:rsidRPr="00FA03D5">
        <w:rPr>
          <w:sz w:val="26"/>
          <w:szCs w:val="26"/>
        </w:rPr>
        <w:t>The corrected page of the Opinion and Order are attached to this notice.  Please replace the incorrect page</w:t>
      </w:r>
      <w:bookmarkStart w:id="0" w:name="_GoBack"/>
      <w:bookmarkEnd w:id="0"/>
      <w:r w:rsidRPr="00FA03D5">
        <w:rPr>
          <w:sz w:val="26"/>
          <w:szCs w:val="26"/>
        </w:rPr>
        <w:t xml:space="preserve"> in your copy of the </w:t>
      </w:r>
      <w:r>
        <w:rPr>
          <w:sz w:val="26"/>
          <w:szCs w:val="26"/>
        </w:rPr>
        <w:t>Opinion and Order</w:t>
      </w:r>
      <w:r w:rsidRPr="00FA03D5">
        <w:rPr>
          <w:sz w:val="26"/>
          <w:szCs w:val="26"/>
        </w:rPr>
        <w:t>.</w:t>
      </w:r>
    </w:p>
    <w:p w:rsidR="00FA03D5" w:rsidRPr="00FA03D5" w:rsidRDefault="00FA03D5" w:rsidP="00FA03D5">
      <w:pPr>
        <w:widowControl/>
        <w:spacing w:line="360" w:lineRule="auto"/>
        <w:ind w:left="1440" w:right="1440" w:firstLine="720"/>
        <w:rPr>
          <w:sz w:val="24"/>
          <w:szCs w:val="24"/>
        </w:rPr>
      </w:pPr>
    </w:p>
    <w:p w:rsidR="00584E17" w:rsidRDefault="00FA03D5" w:rsidP="00FA03D5">
      <w:pPr>
        <w:widowControl/>
        <w:spacing w:line="360" w:lineRule="auto"/>
        <w:ind w:firstLine="1440"/>
        <w:jc w:val="both"/>
        <w:rPr>
          <w:sz w:val="26"/>
          <w:szCs w:val="26"/>
        </w:rPr>
      </w:pPr>
      <w:r w:rsidRPr="00FA03D5">
        <w:rPr>
          <w:sz w:val="26"/>
          <w:szCs w:val="26"/>
        </w:rPr>
        <w:t xml:space="preserve">The Opinion and Order on the PA PUC website will be corrected as indicated above.  Please accept our apologies for any inconvenience this may have caused you.  </w:t>
      </w:r>
    </w:p>
    <w:p w:rsidR="00584E17" w:rsidRDefault="00584E17" w:rsidP="00FA03D5">
      <w:pPr>
        <w:widowControl/>
        <w:spacing w:line="360" w:lineRule="auto"/>
        <w:ind w:firstLine="1440"/>
        <w:jc w:val="both"/>
        <w:rPr>
          <w:sz w:val="26"/>
          <w:szCs w:val="26"/>
        </w:rPr>
      </w:pPr>
    </w:p>
    <w:p w:rsidR="00584E17" w:rsidRDefault="00FA03D5" w:rsidP="00FA03D5">
      <w:pPr>
        <w:widowControl/>
        <w:spacing w:line="360" w:lineRule="auto"/>
        <w:ind w:firstLine="1440"/>
        <w:jc w:val="both"/>
        <w:rPr>
          <w:sz w:val="26"/>
          <w:szCs w:val="26"/>
        </w:rPr>
        <w:sectPr w:rsidR="00584E17" w:rsidSect="00736DDB">
          <w:footerReference w:type="default" r:id="rId8"/>
          <w:pgSz w:w="12240" w:h="15840"/>
          <w:pgMar w:top="1440" w:right="1440" w:bottom="1440" w:left="1440" w:header="720" w:footer="720" w:gutter="0"/>
          <w:cols w:space="720"/>
          <w:docGrid w:linePitch="272"/>
        </w:sectPr>
      </w:pPr>
      <w:r w:rsidRPr="00FA03D5">
        <w:rPr>
          <w:sz w:val="26"/>
          <w:szCs w:val="26"/>
        </w:rPr>
        <w:t>Thank you.</w:t>
      </w:r>
    </w:p>
    <w:p w:rsidR="005B31B5" w:rsidRDefault="005B31B5" w:rsidP="005B31B5">
      <w:pPr>
        <w:keepNext/>
        <w:keepLines/>
        <w:spacing w:line="360" w:lineRule="auto"/>
        <w:ind w:left="720" w:firstLine="720"/>
        <w:rPr>
          <w:b/>
          <w:sz w:val="26"/>
          <w:szCs w:val="26"/>
        </w:rPr>
      </w:pPr>
      <w:r>
        <w:rPr>
          <w:b/>
          <w:sz w:val="26"/>
          <w:szCs w:val="26"/>
        </w:rPr>
        <w:lastRenderedPageBreak/>
        <w:t>IT IS ORDERED:</w:t>
      </w:r>
    </w:p>
    <w:p w:rsidR="005B31B5" w:rsidRDefault="005B31B5" w:rsidP="005B31B5">
      <w:pPr>
        <w:keepNext/>
        <w:keepLines/>
        <w:spacing w:line="360" w:lineRule="auto"/>
        <w:ind w:left="720" w:firstLine="720"/>
        <w:rPr>
          <w:b/>
          <w:sz w:val="26"/>
          <w:szCs w:val="26"/>
        </w:rPr>
      </w:pPr>
    </w:p>
    <w:p w:rsidR="005B31B5" w:rsidRDefault="005B31B5" w:rsidP="005B31B5">
      <w:pPr>
        <w:spacing w:line="360" w:lineRule="auto"/>
        <w:ind w:firstLine="1440"/>
        <w:rPr>
          <w:sz w:val="26"/>
          <w:szCs w:val="26"/>
        </w:rPr>
      </w:pPr>
      <w:r>
        <w:rPr>
          <w:sz w:val="26"/>
          <w:szCs w:val="26"/>
        </w:rPr>
        <w:t>1.</w:t>
      </w:r>
      <w:r>
        <w:rPr>
          <w:sz w:val="26"/>
          <w:szCs w:val="26"/>
        </w:rPr>
        <w:tab/>
        <w:t>That the Joint Settlement Petition filed on May 12, 2017, between the Commission’s Bureau of Investigation and Enforcement and Residents Energy, LLC, is approved.</w:t>
      </w:r>
    </w:p>
    <w:p w:rsidR="005B31B5" w:rsidRDefault="005B31B5" w:rsidP="005B31B5">
      <w:pPr>
        <w:spacing w:line="360" w:lineRule="auto"/>
        <w:rPr>
          <w:sz w:val="26"/>
          <w:szCs w:val="26"/>
        </w:rPr>
      </w:pPr>
    </w:p>
    <w:p w:rsidR="005B31B5" w:rsidRDefault="005B31B5" w:rsidP="005B31B5">
      <w:pPr>
        <w:spacing w:line="360" w:lineRule="auto"/>
        <w:ind w:firstLine="1440"/>
        <w:rPr>
          <w:sz w:val="26"/>
        </w:rPr>
      </w:pPr>
      <w:r>
        <w:rPr>
          <w:sz w:val="26"/>
          <w:szCs w:val="26"/>
        </w:rPr>
        <w:t>2.</w:t>
      </w:r>
      <w:r>
        <w:rPr>
          <w:sz w:val="26"/>
          <w:szCs w:val="26"/>
        </w:rPr>
        <w:tab/>
        <w:t xml:space="preserve">That, within </w:t>
      </w:r>
      <w:r>
        <w:rPr>
          <w:sz w:val="26"/>
        </w:rPr>
        <w:t xml:space="preserve">sixty (60) days of entry of this Order, </w:t>
      </w:r>
      <w:r>
        <w:rPr>
          <w:sz w:val="26"/>
          <w:szCs w:val="26"/>
        </w:rPr>
        <w:t>Residents Energy, LLC,</w:t>
      </w:r>
      <w:r>
        <w:rPr>
          <w:sz w:val="26"/>
        </w:rPr>
        <w:t xml:space="preserve"> shall pay a civil penalty in the amount of $6,000.  Said payment shall be made by certified check or money order payable to “Commonwealth of Pennsylvania” and shall be sent to:</w:t>
      </w:r>
    </w:p>
    <w:p w:rsidR="005B31B5" w:rsidRDefault="005B31B5" w:rsidP="005B31B5">
      <w:pPr>
        <w:spacing w:line="360" w:lineRule="auto"/>
        <w:ind w:firstLine="1440"/>
        <w:rPr>
          <w:sz w:val="26"/>
        </w:rPr>
      </w:pPr>
    </w:p>
    <w:p w:rsidR="005B31B5" w:rsidRDefault="005B31B5" w:rsidP="005B31B5">
      <w:pPr>
        <w:keepNext/>
        <w:ind w:firstLine="2160"/>
        <w:rPr>
          <w:sz w:val="26"/>
        </w:rPr>
      </w:pPr>
      <w:r>
        <w:rPr>
          <w:sz w:val="26"/>
        </w:rPr>
        <w:t>Rosemary Chiavetta, Secretary</w:t>
      </w:r>
    </w:p>
    <w:p w:rsidR="005B31B5" w:rsidRDefault="005B31B5" w:rsidP="005B31B5">
      <w:pPr>
        <w:keepNext/>
        <w:ind w:firstLine="2160"/>
        <w:rPr>
          <w:sz w:val="26"/>
        </w:rPr>
      </w:pPr>
      <w:r>
        <w:rPr>
          <w:sz w:val="26"/>
        </w:rPr>
        <w:t>Pennsylvania Public Utility Commission</w:t>
      </w:r>
    </w:p>
    <w:p w:rsidR="005B31B5" w:rsidRDefault="005B31B5" w:rsidP="005B31B5">
      <w:pPr>
        <w:keepNext/>
        <w:ind w:firstLine="2160"/>
        <w:rPr>
          <w:sz w:val="26"/>
        </w:rPr>
      </w:pPr>
      <w:r>
        <w:rPr>
          <w:sz w:val="26"/>
        </w:rPr>
        <w:t>Commonwealth Keystone Building</w:t>
      </w:r>
    </w:p>
    <w:p w:rsidR="005B31B5" w:rsidRDefault="005B31B5" w:rsidP="005B31B5">
      <w:pPr>
        <w:keepNext/>
        <w:ind w:firstLine="2160"/>
        <w:rPr>
          <w:sz w:val="26"/>
        </w:rPr>
      </w:pPr>
      <w:r>
        <w:rPr>
          <w:sz w:val="26"/>
        </w:rPr>
        <w:t>400 North Street</w:t>
      </w:r>
    </w:p>
    <w:p w:rsidR="005B31B5" w:rsidRDefault="005B31B5" w:rsidP="005B31B5">
      <w:pPr>
        <w:ind w:firstLine="2160"/>
        <w:rPr>
          <w:sz w:val="26"/>
        </w:rPr>
      </w:pPr>
      <w:r>
        <w:rPr>
          <w:sz w:val="26"/>
        </w:rPr>
        <w:t>Harrisburg, PA  17120</w:t>
      </w:r>
    </w:p>
    <w:p w:rsidR="005B31B5" w:rsidRDefault="005B31B5" w:rsidP="005B31B5">
      <w:pPr>
        <w:ind w:firstLine="2160"/>
        <w:rPr>
          <w:sz w:val="26"/>
        </w:rPr>
      </w:pPr>
    </w:p>
    <w:p w:rsidR="005B31B5" w:rsidRDefault="005B31B5" w:rsidP="005B31B5">
      <w:pPr>
        <w:ind w:firstLine="2160"/>
        <w:rPr>
          <w:sz w:val="26"/>
        </w:rPr>
      </w:pPr>
    </w:p>
    <w:p w:rsidR="005B31B5" w:rsidRDefault="005B31B5" w:rsidP="005B31B5">
      <w:pPr>
        <w:spacing w:line="360" w:lineRule="auto"/>
        <w:ind w:firstLine="1440"/>
        <w:rPr>
          <w:sz w:val="26"/>
          <w:szCs w:val="26"/>
        </w:rPr>
      </w:pPr>
      <w:r>
        <w:rPr>
          <w:sz w:val="26"/>
          <w:szCs w:val="26"/>
        </w:rPr>
        <w:t>3.</w:t>
      </w:r>
      <w:r>
        <w:rPr>
          <w:sz w:val="26"/>
          <w:szCs w:val="26"/>
        </w:rPr>
        <w:tab/>
        <w:t>That within thirty (30) days of entry of this Order, Residents Energy, LLC,</w:t>
      </w:r>
      <w:r>
        <w:rPr>
          <w:sz w:val="26"/>
        </w:rPr>
        <w:t xml:space="preserve"> shall refund the affected customer the entire electric generation supply portion of the customer’s bill for the seventeen (17) days that the customer was served by </w:t>
      </w:r>
      <w:r>
        <w:rPr>
          <w:sz w:val="26"/>
          <w:szCs w:val="26"/>
        </w:rPr>
        <w:t xml:space="preserve">Residents Energy, LLC, pursuant to 52 Pa. Code § 57.177(b), and provide documentation to the Bureau of Investigation and Enforcement that such refund has been made.  The amount of the refund may </w:t>
      </w:r>
      <w:proofErr w:type="gramStart"/>
      <w:r>
        <w:rPr>
          <w:sz w:val="26"/>
          <w:szCs w:val="26"/>
        </w:rPr>
        <w:t>take into account</w:t>
      </w:r>
      <w:proofErr w:type="gramEnd"/>
      <w:r>
        <w:rPr>
          <w:sz w:val="26"/>
          <w:szCs w:val="26"/>
        </w:rPr>
        <w:t xml:space="preserve"> the refund that Residents Energy, LLC, already provided, which represented the difference between Residents Energy, LLC’s electric generation supply rate and the default service rate.</w:t>
      </w:r>
    </w:p>
    <w:p w:rsidR="005B31B5" w:rsidRDefault="005B31B5" w:rsidP="005B31B5">
      <w:pPr>
        <w:spacing w:line="360" w:lineRule="auto"/>
        <w:ind w:firstLine="1440"/>
        <w:rPr>
          <w:sz w:val="26"/>
          <w:szCs w:val="26"/>
        </w:rPr>
      </w:pPr>
    </w:p>
    <w:p w:rsidR="00FA03D5" w:rsidRDefault="005B31B5" w:rsidP="00736DDB">
      <w:pPr>
        <w:spacing w:line="360" w:lineRule="auto"/>
        <w:ind w:firstLine="1440"/>
        <w:rPr>
          <w:sz w:val="26"/>
          <w:szCs w:val="26"/>
        </w:rPr>
      </w:pPr>
      <w:r>
        <w:rPr>
          <w:sz w:val="26"/>
          <w:szCs w:val="26"/>
        </w:rPr>
        <w:t>4.</w:t>
      </w:r>
      <w:r>
        <w:rPr>
          <w:sz w:val="26"/>
          <w:szCs w:val="26"/>
        </w:rPr>
        <w:tab/>
        <w:t xml:space="preserve">That for a term of twelve (12) months starting after the entry of this Order, Residents Energy, LLC, shall provide a quarterly report to the Commission’s Bureau of Consumer Services, in the first week of each calendar quarter, capturing the following data from the prior quarter concerning customer complaints filed directly </w:t>
      </w:r>
    </w:p>
    <w:sectPr w:rsidR="00FA03D5" w:rsidSect="00736DDB">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A3" w:rsidRDefault="008621A3" w:rsidP="00450824">
      <w:r>
        <w:separator/>
      </w:r>
    </w:p>
  </w:endnote>
  <w:endnote w:type="continuationSeparator" w:id="0">
    <w:p w:rsidR="008621A3" w:rsidRDefault="008621A3" w:rsidP="0045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DDB" w:rsidRDefault="00736DDB" w:rsidP="00736D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17" w:rsidRDefault="00584E17" w:rsidP="00736DDB">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A3" w:rsidRDefault="008621A3" w:rsidP="00450824">
      <w:r>
        <w:separator/>
      </w:r>
    </w:p>
  </w:footnote>
  <w:footnote w:type="continuationSeparator" w:id="0">
    <w:p w:rsidR="008621A3" w:rsidRDefault="008621A3" w:rsidP="0045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8EE"/>
    <w:multiLevelType w:val="hybridMultilevel"/>
    <w:tmpl w:val="CEB6C046"/>
    <w:lvl w:ilvl="0" w:tplc="E5DCE10A">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65"/>
    <w:rsid w:val="00055D31"/>
    <w:rsid w:val="000774CF"/>
    <w:rsid w:val="0011359E"/>
    <w:rsid w:val="001504E0"/>
    <w:rsid w:val="0015139A"/>
    <w:rsid w:val="001B2BEF"/>
    <w:rsid w:val="00201F69"/>
    <w:rsid w:val="0027213D"/>
    <w:rsid w:val="00273AF2"/>
    <w:rsid w:val="00297F81"/>
    <w:rsid w:val="003335E1"/>
    <w:rsid w:val="00341FF5"/>
    <w:rsid w:val="00450824"/>
    <w:rsid w:val="00484583"/>
    <w:rsid w:val="004C0858"/>
    <w:rsid w:val="00584E17"/>
    <w:rsid w:val="005B31B5"/>
    <w:rsid w:val="00605ACC"/>
    <w:rsid w:val="006419F7"/>
    <w:rsid w:val="00675A10"/>
    <w:rsid w:val="00736DDB"/>
    <w:rsid w:val="00767F99"/>
    <w:rsid w:val="007A5128"/>
    <w:rsid w:val="00841AC0"/>
    <w:rsid w:val="008621A3"/>
    <w:rsid w:val="008A209F"/>
    <w:rsid w:val="008E3408"/>
    <w:rsid w:val="008E5F27"/>
    <w:rsid w:val="009A2989"/>
    <w:rsid w:val="00A00C7D"/>
    <w:rsid w:val="00AB4865"/>
    <w:rsid w:val="00B06F3F"/>
    <w:rsid w:val="00BD45AB"/>
    <w:rsid w:val="00C525DD"/>
    <w:rsid w:val="00C65D9D"/>
    <w:rsid w:val="00CD66AE"/>
    <w:rsid w:val="00D00FFA"/>
    <w:rsid w:val="00D453CB"/>
    <w:rsid w:val="00D60C1C"/>
    <w:rsid w:val="00D62859"/>
    <w:rsid w:val="00DD6A28"/>
    <w:rsid w:val="00E00CF6"/>
    <w:rsid w:val="00E64FC8"/>
    <w:rsid w:val="00E91487"/>
    <w:rsid w:val="00F90FB6"/>
    <w:rsid w:val="00F93C25"/>
    <w:rsid w:val="00FA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8714E-777A-40AD-8D3C-21C268BA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865"/>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1AC0"/>
    <w:pPr>
      <w:tabs>
        <w:tab w:val="center" w:pos="4680"/>
        <w:tab w:val="right" w:pos="9360"/>
      </w:tabs>
    </w:pPr>
  </w:style>
  <w:style w:type="character" w:customStyle="1" w:styleId="HeaderChar">
    <w:name w:val="Header Char"/>
    <w:basedOn w:val="DefaultParagraphFont"/>
    <w:link w:val="Header"/>
    <w:uiPriority w:val="99"/>
    <w:rsid w:val="00841A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1AC0"/>
    <w:pPr>
      <w:tabs>
        <w:tab w:val="center" w:pos="4680"/>
        <w:tab w:val="right" w:pos="9360"/>
      </w:tabs>
    </w:pPr>
  </w:style>
  <w:style w:type="character" w:customStyle="1" w:styleId="FooterChar">
    <w:name w:val="Footer Char"/>
    <w:basedOn w:val="DefaultParagraphFont"/>
    <w:link w:val="Footer"/>
    <w:uiPriority w:val="99"/>
    <w:rsid w:val="00841A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91207">
      <w:bodyDiv w:val="1"/>
      <w:marLeft w:val="0"/>
      <w:marRight w:val="0"/>
      <w:marTop w:val="0"/>
      <w:marBottom w:val="0"/>
      <w:divBdr>
        <w:top w:val="none" w:sz="0" w:space="0" w:color="auto"/>
        <w:left w:val="none" w:sz="0" w:space="0" w:color="auto"/>
        <w:bottom w:val="none" w:sz="0" w:space="0" w:color="auto"/>
        <w:right w:val="none" w:sz="0" w:space="0" w:color="auto"/>
      </w:divBdr>
    </w:div>
    <w:div w:id="1338801676">
      <w:bodyDiv w:val="1"/>
      <w:marLeft w:val="0"/>
      <w:marRight w:val="0"/>
      <w:marTop w:val="0"/>
      <w:marBottom w:val="0"/>
      <w:divBdr>
        <w:top w:val="none" w:sz="0" w:space="0" w:color="auto"/>
        <w:left w:val="none" w:sz="0" w:space="0" w:color="auto"/>
        <w:bottom w:val="none" w:sz="0" w:space="0" w:color="auto"/>
        <w:right w:val="none" w:sz="0" w:space="0" w:color="auto"/>
      </w:divBdr>
    </w:div>
    <w:div w:id="20950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5A9C-A62E-4365-959C-C02EE3D0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Kimberly</dc:creator>
  <cp:keywords/>
  <dc:description/>
  <cp:lastModifiedBy>Hafner, Kimberly</cp:lastModifiedBy>
  <cp:revision>2</cp:revision>
  <cp:lastPrinted>2018-07-16T20:16:00Z</cp:lastPrinted>
  <dcterms:created xsi:type="dcterms:W3CDTF">2018-07-17T19:22:00Z</dcterms:created>
  <dcterms:modified xsi:type="dcterms:W3CDTF">2018-07-17T19:22:00Z</dcterms:modified>
</cp:coreProperties>
</file>