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83" w:rsidRPr="005F5149" w:rsidRDefault="009E5583" w:rsidP="009E5583">
      <w:pPr>
        <w:pStyle w:val="Subtitle"/>
        <w:rPr>
          <w:sz w:val="26"/>
          <w:szCs w:val="26"/>
        </w:rPr>
      </w:pPr>
      <w:r w:rsidRPr="005F5149">
        <w:rPr>
          <w:sz w:val="26"/>
          <w:szCs w:val="26"/>
        </w:rPr>
        <w:t>PENNSYLVANIA</w:t>
      </w:r>
    </w:p>
    <w:p w:rsidR="009E5583" w:rsidRPr="005F5149" w:rsidRDefault="009E5583" w:rsidP="009E5583">
      <w:pPr>
        <w:pStyle w:val="Subtitle"/>
        <w:rPr>
          <w:sz w:val="26"/>
          <w:szCs w:val="26"/>
        </w:rPr>
      </w:pPr>
      <w:r w:rsidRPr="005F5149">
        <w:rPr>
          <w:sz w:val="26"/>
          <w:szCs w:val="26"/>
        </w:rPr>
        <w:t>PUBLIC UTILITY COMMISSION</w:t>
      </w:r>
    </w:p>
    <w:p w:rsidR="009E5583" w:rsidRDefault="009E5583" w:rsidP="009E5583">
      <w:pPr>
        <w:pStyle w:val="Subtitle"/>
        <w:rPr>
          <w:sz w:val="26"/>
          <w:szCs w:val="26"/>
        </w:rPr>
      </w:pPr>
      <w:r w:rsidRPr="005F5149">
        <w:rPr>
          <w:sz w:val="26"/>
          <w:szCs w:val="26"/>
        </w:rPr>
        <w:t>Harrisburg, PA 17105-3265</w:t>
      </w:r>
    </w:p>
    <w:p w:rsidR="009E5583" w:rsidRDefault="009E5583" w:rsidP="003F001F">
      <w:pPr>
        <w:pStyle w:val="Subtitle"/>
        <w:spacing w:line="360" w:lineRule="auto"/>
        <w:jc w:val="left"/>
        <w:rPr>
          <w:sz w:val="26"/>
          <w:szCs w:val="26"/>
        </w:rPr>
      </w:pPr>
    </w:p>
    <w:p w:rsidR="009E5583" w:rsidRDefault="009E5583" w:rsidP="003F001F">
      <w:pPr>
        <w:jc w:val="right"/>
        <w:rPr>
          <w:sz w:val="26"/>
          <w:szCs w:val="26"/>
        </w:rPr>
      </w:pPr>
      <w:r>
        <w:rPr>
          <w:sz w:val="26"/>
          <w:szCs w:val="26"/>
        </w:rPr>
        <w:t>Public Meeting held</w:t>
      </w:r>
      <w:r w:rsidR="00DF4A16">
        <w:rPr>
          <w:sz w:val="26"/>
          <w:szCs w:val="26"/>
        </w:rPr>
        <w:t xml:space="preserve"> August 2</w:t>
      </w:r>
      <w:r w:rsidR="00DA15BB">
        <w:rPr>
          <w:sz w:val="26"/>
          <w:szCs w:val="26"/>
        </w:rPr>
        <w:t>, 201</w:t>
      </w:r>
      <w:r w:rsidR="00DF4A16">
        <w:rPr>
          <w:sz w:val="26"/>
          <w:szCs w:val="26"/>
        </w:rPr>
        <w:t>8</w:t>
      </w:r>
    </w:p>
    <w:p w:rsidR="009E5583" w:rsidRPr="005F5149" w:rsidRDefault="009E5583" w:rsidP="003F001F">
      <w:pPr>
        <w:jc w:val="right"/>
        <w:rPr>
          <w:sz w:val="26"/>
          <w:szCs w:val="26"/>
        </w:rPr>
      </w:pPr>
    </w:p>
    <w:p w:rsidR="009E5583" w:rsidRDefault="009E5583" w:rsidP="003F001F">
      <w:pPr>
        <w:spacing w:line="240" w:lineRule="auto"/>
        <w:rPr>
          <w:sz w:val="26"/>
          <w:szCs w:val="26"/>
        </w:rPr>
      </w:pPr>
      <w:r w:rsidRPr="005F5149">
        <w:rPr>
          <w:sz w:val="26"/>
          <w:szCs w:val="26"/>
        </w:rPr>
        <w:t>Commissioners Present:</w:t>
      </w:r>
    </w:p>
    <w:p w:rsidR="0036738E" w:rsidRDefault="0036738E" w:rsidP="003F001F">
      <w:pPr>
        <w:spacing w:line="240" w:lineRule="auto"/>
        <w:rPr>
          <w:sz w:val="26"/>
          <w:szCs w:val="26"/>
        </w:rPr>
      </w:pPr>
    </w:p>
    <w:p w:rsidR="00DF4A16" w:rsidRPr="003D0DCD" w:rsidRDefault="00DF4A16" w:rsidP="00DF4A16">
      <w:pPr>
        <w:tabs>
          <w:tab w:val="left" w:pos="705"/>
        </w:tabs>
        <w:spacing w:line="240" w:lineRule="auto"/>
        <w:ind w:firstLine="720"/>
        <w:contextualSpacing/>
        <w:rPr>
          <w:sz w:val="26"/>
          <w:szCs w:val="26"/>
        </w:rPr>
      </w:pPr>
      <w:r w:rsidRPr="003D0DCD">
        <w:rPr>
          <w:sz w:val="26"/>
          <w:szCs w:val="26"/>
        </w:rPr>
        <w:t>Gladys M. Brown, Chairman</w:t>
      </w:r>
    </w:p>
    <w:p w:rsidR="00DF4A16" w:rsidRDefault="00DF4A16" w:rsidP="00DF4A16">
      <w:pPr>
        <w:tabs>
          <w:tab w:val="left" w:pos="705"/>
        </w:tabs>
        <w:spacing w:line="240" w:lineRule="auto"/>
        <w:ind w:firstLine="720"/>
        <w:contextualSpacing/>
        <w:rPr>
          <w:sz w:val="26"/>
          <w:szCs w:val="26"/>
        </w:rPr>
      </w:pPr>
      <w:r w:rsidRPr="003D0DCD">
        <w:rPr>
          <w:sz w:val="26"/>
          <w:szCs w:val="26"/>
        </w:rPr>
        <w:t>Andrew G. Place, Vice Chairman</w:t>
      </w:r>
    </w:p>
    <w:p w:rsidR="00DF4A16" w:rsidRDefault="00DF4A16" w:rsidP="00DF4A16">
      <w:pPr>
        <w:spacing w:line="240" w:lineRule="auto"/>
        <w:ind w:firstLine="720"/>
        <w:rPr>
          <w:color w:val="000000"/>
          <w:sz w:val="26"/>
          <w:szCs w:val="26"/>
        </w:rPr>
      </w:pPr>
      <w:r>
        <w:rPr>
          <w:color w:val="000000"/>
          <w:sz w:val="26"/>
          <w:szCs w:val="26"/>
        </w:rPr>
        <w:t>Norman J. Kennard</w:t>
      </w:r>
    </w:p>
    <w:p w:rsidR="00DF4A16" w:rsidRPr="003D0DCD" w:rsidRDefault="00DF4A16" w:rsidP="00DF4A16">
      <w:pPr>
        <w:tabs>
          <w:tab w:val="left" w:pos="705"/>
        </w:tabs>
        <w:spacing w:line="240" w:lineRule="auto"/>
        <w:ind w:firstLine="720"/>
        <w:contextualSpacing/>
        <w:rPr>
          <w:sz w:val="26"/>
          <w:szCs w:val="26"/>
        </w:rPr>
      </w:pPr>
      <w:r w:rsidRPr="003D0DCD">
        <w:rPr>
          <w:sz w:val="26"/>
          <w:szCs w:val="26"/>
        </w:rPr>
        <w:t>David W. Sweet</w:t>
      </w:r>
    </w:p>
    <w:p w:rsidR="00DF4A16" w:rsidRPr="00A9787D" w:rsidRDefault="00DF4A16" w:rsidP="00DF4A16">
      <w:pPr>
        <w:tabs>
          <w:tab w:val="left" w:pos="705"/>
        </w:tabs>
        <w:spacing w:line="240" w:lineRule="auto"/>
        <w:ind w:firstLine="720"/>
        <w:contextualSpacing/>
        <w:rPr>
          <w:sz w:val="26"/>
          <w:szCs w:val="26"/>
        </w:rPr>
      </w:pPr>
      <w:r>
        <w:rPr>
          <w:sz w:val="26"/>
          <w:szCs w:val="26"/>
        </w:rPr>
        <w:t>John F. Coleman, Jr.</w:t>
      </w:r>
    </w:p>
    <w:p w:rsidR="003F001F" w:rsidRDefault="003F001F" w:rsidP="00DF4A16">
      <w:pPr>
        <w:spacing w:line="240" w:lineRule="auto"/>
        <w:rPr>
          <w:sz w:val="26"/>
          <w:szCs w:val="26"/>
        </w:rPr>
      </w:pPr>
    </w:p>
    <w:p w:rsidR="00E05523" w:rsidRDefault="00E05523" w:rsidP="00211EB8">
      <w:pPr>
        <w:autoSpaceDE w:val="0"/>
        <w:autoSpaceDN w:val="0"/>
        <w:spacing w:line="240" w:lineRule="auto"/>
        <w:ind w:right="-14"/>
        <w:rPr>
          <w:sz w:val="26"/>
          <w:szCs w:val="26"/>
        </w:rPr>
      </w:pPr>
      <w:r>
        <w:rPr>
          <w:sz w:val="26"/>
          <w:szCs w:val="26"/>
        </w:rPr>
        <w:t>Pennsylvania Public Utility Commission</w:t>
      </w:r>
      <w:r w:rsidR="00DA15BB">
        <w:rPr>
          <w:sz w:val="26"/>
          <w:szCs w:val="26"/>
        </w:rPr>
        <w:t>,</w:t>
      </w:r>
      <w:r>
        <w:rPr>
          <w:sz w:val="26"/>
          <w:szCs w:val="26"/>
        </w:rPr>
        <w:t xml:space="preserve"> </w:t>
      </w:r>
      <w:r w:rsidRPr="0012405A">
        <w:rPr>
          <w:i/>
          <w:sz w:val="26"/>
          <w:szCs w:val="26"/>
        </w:rPr>
        <w:t>et al</w:t>
      </w:r>
      <w:r w:rsidR="00DA15BB">
        <w:rPr>
          <w:sz w:val="26"/>
          <w:szCs w:val="26"/>
        </w:rPr>
        <w:t>.</w:t>
      </w:r>
      <w:r>
        <w:rPr>
          <w:sz w:val="26"/>
          <w:szCs w:val="26"/>
        </w:rPr>
        <w:tab/>
      </w:r>
      <w:r>
        <w:rPr>
          <w:sz w:val="26"/>
          <w:szCs w:val="26"/>
        </w:rPr>
        <w:tab/>
      </w:r>
      <w:r>
        <w:rPr>
          <w:sz w:val="26"/>
          <w:szCs w:val="26"/>
        </w:rPr>
        <w:tab/>
      </w:r>
      <w:r w:rsidR="00211EB8">
        <w:rPr>
          <w:sz w:val="26"/>
          <w:szCs w:val="26"/>
        </w:rPr>
        <w:tab/>
      </w:r>
      <w:r w:rsidR="00B76A0A">
        <w:rPr>
          <w:sz w:val="26"/>
          <w:szCs w:val="26"/>
        </w:rPr>
        <w:t xml:space="preserve">     </w:t>
      </w:r>
      <w:r>
        <w:rPr>
          <w:sz w:val="26"/>
          <w:szCs w:val="26"/>
        </w:rPr>
        <w:t>R-201</w:t>
      </w:r>
      <w:r w:rsidR="00522B3A">
        <w:rPr>
          <w:sz w:val="26"/>
          <w:szCs w:val="26"/>
        </w:rPr>
        <w:t>7</w:t>
      </w:r>
      <w:r>
        <w:rPr>
          <w:sz w:val="26"/>
          <w:szCs w:val="26"/>
        </w:rPr>
        <w:t>-2</w:t>
      </w:r>
      <w:r w:rsidR="00522B3A">
        <w:rPr>
          <w:sz w:val="26"/>
          <w:szCs w:val="26"/>
        </w:rPr>
        <w:t>631441</w:t>
      </w:r>
    </w:p>
    <w:p w:rsidR="00522B3A" w:rsidRDefault="00522B3A" w:rsidP="00211EB8">
      <w:pPr>
        <w:autoSpaceDE w:val="0"/>
        <w:autoSpaceDN w:val="0"/>
        <w:spacing w:line="240" w:lineRule="auto"/>
        <w:ind w:right="-14"/>
        <w:rPr>
          <w:sz w:val="26"/>
          <w:szCs w:val="26"/>
        </w:rPr>
      </w:pPr>
      <w:r>
        <w:rPr>
          <w:sz w:val="26"/>
          <w:szCs w:val="26"/>
        </w:rPr>
        <w:t>James Vessella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C-2017-2634797</w:t>
      </w:r>
    </w:p>
    <w:p w:rsidR="00522B3A" w:rsidRDefault="00522B3A" w:rsidP="00211EB8">
      <w:pPr>
        <w:autoSpaceDE w:val="0"/>
        <w:autoSpaceDN w:val="0"/>
        <w:spacing w:line="240" w:lineRule="auto"/>
        <w:ind w:right="-14"/>
        <w:rPr>
          <w:sz w:val="26"/>
          <w:szCs w:val="26"/>
        </w:rPr>
      </w:pPr>
      <w:r>
        <w:rPr>
          <w:sz w:val="26"/>
          <w:szCs w:val="26"/>
        </w:rPr>
        <w:t>Bea DeCianco</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w:t>
      </w:r>
      <w:r w:rsidR="00397773">
        <w:rPr>
          <w:sz w:val="26"/>
          <w:szCs w:val="26"/>
        </w:rPr>
        <w:t>-2017-</w:t>
      </w:r>
      <w:r w:rsidR="00550D12">
        <w:rPr>
          <w:sz w:val="26"/>
          <w:szCs w:val="26"/>
        </w:rPr>
        <w:t>2635838</w:t>
      </w:r>
    </w:p>
    <w:p w:rsidR="00211EB8" w:rsidRPr="00211EB8" w:rsidRDefault="00211EB8" w:rsidP="00A725FB">
      <w:pPr>
        <w:autoSpaceDE w:val="0"/>
        <w:autoSpaceDN w:val="0"/>
        <w:spacing w:line="240" w:lineRule="auto"/>
        <w:ind w:right="-14"/>
        <w:rPr>
          <w:sz w:val="26"/>
          <w:szCs w:val="26"/>
        </w:rPr>
      </w:pPr>
      <w:r w:rsidRPr="00211EB8">
        <w:rPr>
          <w:sz w:val="26"/>
          <w:szCs w:val="26"/>
        </w:rPr>
        <w:t xml:space="preserve">Office of </w:t>
      </w:r>
      <w:r w:rsidR="00550D12" w:rsidRPr="00211EB8">
        <w:rPr>
          <w:sz w:val="26"/>
          <w:szCs w:val="26"/>
        </w:rPr>
        <w:t>Consumer Advocate</w:t>
      </w:r>
      <w:r w:rsidRPr="00211EB8">
        <w:rPr>
          <w:sz w:val="26"/>
          <w:szCs w:val="26"/>
        </w:rPr>
        <w:tab/>
      </w:r>
      <w:r w:rsidRPr="00A725FB">
        <w:rPr>
          <w:sz w:val="26"/>
          <w:szCs w:val="26"/>
        </w:rPr>
        <w:tab/>
      </w:r>
      <w:r w:rsidR="00A725FB">
        <w:rPr>
          <w:sz w:val="26"/>
          <w:szCs w:val="26"/>
        </w:rPr>
        <w:tab/>
      </w:r>
      <w:r w:rsidRPr="00211EB8">
        <w:rPr>
          <w:sz w:val="26"/>
          <w:szCs w:val="26"/>
        </w:rPr>
        <w:tab/>
      </w:r>
      <w:r w:rsidRPr="00211EB8">
        <w:rPr>
          <w:sz w:val="26"/>
          <w:szCs w:val="26"/>
        </w:rPr>
        <w:tab/>
      </w:r>
      <w:r w:rsidR="00B76A0A">
        <w:rPr>
          <w:sz w:val="26"/>
          <w:szCs w:val="26"/>
        </w:rPr>
        <w:t xml:space="preserve">      </w:t>
      </w:r>
      <w:r w:rsidR="00550D12">
        <w:rPr>
          <w:sz w:val="26"/>
          <w:szCs w:val="26"/>
        </w:rPr>
        <w:tab/>
        <w:t xml:space="preserve">     </w:t>
      </w:r>
      <w:r w:rsidRPr="00211EB8">
        <w:rPr>
          <w:sz w:val="26"/>
          <w:szCs w:val="26"/>
        </w:rPr>
        <w:t>C-201</w:t>
      </w:r>
      <w:r w:rsidR="00522B3A">
        <w:rPr>
          <w:sz w:val="26"/>
          <w:szCs w:val="26"/>
        </w:rPr>
        <w:t>7-</w:t>
      </w:r>
      <w:r w:rsidR="00550D12">
        <w:rPr>
          <w:sz w:val="26"/>
          <w:szCs w:val="26"/>
        </w:rPr>
        <w:t>2636654</w:t>
      </w:r>
    </w:p>
    <w:p w:rsidR="00211EB8" w:rsidRPr="00211EB8" w:rsidRDefault="00550D12" w:rsidP="00A725FB">
      <w:pPr>
        <w:autoSpaceDE w:val="0"/>
        <w:autoSpaceDN w:val="0"/>
        <w:spacing w:line="240" w:lineRule="auto"/>
        <w:ind w:right="-14"/>
        <w:rPr>
          <w:sz w:val="26"/>
          <w:szCs w:val="26"/>
        </w:rPr>
      </w:pPr>
      <w:r>
        <w:rPr>
          <w:sz w:val="26"/>
          <w:szCs w:val="26"/>
        </w:rPr>
        <w:t>John D’Urso</w:t>
      </w:r>
      <w:r w:rsidR="00211EB8" w:rsidRPr="00211EB8">
        <w:rPr>
          <w:sz w:val="26"/>
          <w:szCs w:val="26"/>
        </w:rPr>
        <w:tab/>
      </w:r>
      <w:r w:rsidR="00A725FB">
        <w:rPr>
          <w:sz w:val="26"/>
          <w:szCs w:val="26"/>
        </w:rPr>
        <w:tab/>
      </w:r>
      <w:r w:rsidR="00A725FB">
        <w:rPr>
          <w:sz w:val="26"/>
          <w:szCs w:val="26"/>
        </w:rPr>
        <w:tab/>
      </w:r>
      <w:r w:rsidR="00211EB8" w:rsidRPr="00A725FB">
        <w:rPr>
          <w:sz w:val="26"/>
          <w:szCs w:val="26"/>
        </w:rPr>
        <w:tab/>
      </w:r>
      <w:r w:rsidR="00211EB8" w:rsidRPr="00211EB8">
        <w:rPr>
          <w:sz w:val="26"/>
          <w:szCs w:val="26"/>
        </w:rPr>
        <w:tab/>
      </w:r>
      <w:r w:rsidR="00B76A0A">
        <w:rPr>
          <w:sz w:val="26"/>
          <w:szCs w:val="26"/>
        </w:rPr>
        <w:t xml:space="preserve">     </w:t>
      </w:r>
      <w:r>
        <w:rPr>
          <w:sz w:val="26"/>
          <w:szCs w:val="26"/>
        </w:rPr>
        <w:tab/>
      </w:r>
      <w:r>
        <w:rPr>
          <w:sz w:val="26"/>
          <w:szCs w:val="26"/>
        </w:rPr>
        <w:tab/>
      </w:r>
      <w:r>
        <w:rPr>
          <w:sz w:val="26"/>
          <w:szCs w:val="26"/>
        </w:rPr>
        <w:tab/>
      </w:r>
      <w:r>
        <w:rPr>
          <w:sz w:val="26"/>
          <w:szCs w:val="26"/>
        </w:rPr>
        <w:tab/>
        <w:t xml:space="preserve">     </w:t>
      </w:r>
      <w:r w:rsidR="00211EB8" w:rsidRPr="00211EB8">
        <w:rPr>
          <w:sz w:val="26"/>
          <w:szCs w:val="26"/>
        </w:rPr>
        <w:t>C-201</w:t>
      </w:r>
      <w:r>
        <w:rPr>
          <w:sz w:val="26"/>
          <w:szCs w:val="26"/>
        </w:rPr>
        <w:t>7</w:t>
      </w:r>
      <w:r w:rsidR="00211EB8" w:rsidRPr="00211EB8">
        <w:rPr>
          <w:sz w:val="26"/>
          <w:szCs w:val="26"/>
        </w:rPr>
        <w:t>-2</w:t>
      </w:r>
      <w:r>
        <w:rPr>
          <w:sz w:val="26"/>
          <w:szCs w:val="26"/>
        </w:rPr>
        <w:t>636679</w:t>
      </w:r>
    </w:p>
    <w:p w:rsidR="00211EB8" w:rsidRPr="00211EB8" w:rsidRDefault="00550D12" w:rsidP="00A725FB">
      <w:pPr>
        <w:autoSpaceDE w:val="0"/>
        <w:autoSpaceDN w:val="0"/>
        <w:spacing w:line="240" w:lineRule="auto"/>
        <w:ind w:right="-14"/>
        <w:rPr>
          <w:sz w:val="26"/>
          <w:szCs w:val="26"/>
        </w:rPr>
      </w:pPr>
      <w:r>
        <w:rPr>
          <w:sz w:val="26"/>
          <w:szCs w:val="26"/>
        </w:rPr>
        <w:t>Margaret Foust</w:t>
      </w:r>
      <w:r>
        <w:rPr>
          <w:sz w:val="26"/>
          <w:szCs w:val="26"/>
        </w:rPr>
        <w:tab/>
      </w:r>
      <w:r>
        <w:rPr>
          <w:sz w:val="26"/>
          <w:szCs w:val="26"/>
        </w:rPr>
        <w:tab/>
      </w:r>
      <w:r>
        <w:rPr>
          <w:sz w:val="26"/>
          <w:szCs w:val="26"/>
        </w:rPr>
        <w:tab/>
      </w:r>
      <w:r w:rsidR="00211EB8" w:rsidRPr="00211EB8">
        <w:rPr>
          <w:sz w:val="26"/>
          <w:szCs w:val="26"/>
        </w:rPr>
        <w:tab/>
      </w:r>
      <w:r w:rsidR="00A725FB">
        <w:rPr>
          <w:sz w:val="26"/>
          <w:szCs w:val="26"/>
        </w:rPr>
        <w:tab/>
      </w:r>
      <w:r w:rsidR="00A725FB">
        <w:rPr>
          <w:sz w:val="26"/>
          <w:szCs w:val="26"/>
        </w:rPr>
        <w:tab/>
      </w:r>
      <w:r w:rsidR="00A725FB">
        <w:rPr>
          <w:sz w:val="26"/>
          <w:szCs w:val="26"/>
        </w:rPr>
        <w:tab/>
      </w:r>
      <w:r w:rsidR="00211EB8" w:rsidRPr="00A725FB">
        <w:rPr>
          <w:sz w:val="26"/>
          <w:szCs w:val="26"/>
        </w:rPr>
        <w:tab/>
      </w:r>
      <w:r w:rsidR="00B76A0A">
        <w:rPr>
          <w:sz w:val="26"/>
          <w:szCs w:val="26"/>
        </w:rPr>
        <w:t xml:space="preserve">     </w:t>
      </w:r>
      <w:r w:rsidR="00211EB8" w:rsidRPr="00211EB8">
        <w:rPr>
          <w:sz w:val="26"/>
          <w:szCs w:val="26"/>
        </w:rPr>
        <w:t>C-201</w:t>
      </w:r>
      <w:r>
        <w:rPr>
          <w:sz w:val="26"/>
          <w:szCs w:val="26"/>
        </w:rPr>
        <w:t>8</w:t>
      </w:r>
      <w:r w:rsidR="00211EB8" w:rsidRPr="00211EB8">
        <w:rPr>
          <w:sz w:val="26"/>
          <w:szCs w:val="26"/>
        </w:rPr>
        <w:t>-2</w:t>
      </w:r>
      <w:r>
        <w:rPr>
          <w:sz w:val="26"/>
          <w:szCs w:val="26"/>
        </w:rPr>
        <w:t>644372</w:t>
      </w:r>
    </w:p>
    <w:p w:rsidR="00211EB8" w:rsidRPr="00211EB8" w:rsidRDefault="00550D12" w:rsidP="00A725FB">
      <w:pPr>
        <w:autoSpaceDE w:val="0"/>
        <w:autoSpaceDN w:val="0"/>
        <w:spacing w:line="240" w:lineRule="auto"/>
        <w:ind w:right="-14"/>
        <w:rPr>
          <w:sz w:val="26"/>
          <w:szCs w:val="26"/>
        </w:rPr>
      </w:pPr>
      <w:r>
        <w:rPr>
          <w:sz w:val="26"/>
          <w:szCs w:val="26"/>
        </w:rPr>
        <w:t>Plem Patterson</w:t>
      </w:r>
      <w:r w:rsidR="00211EB8" w:rsidRPr="00211EB8">
        <w:rPr>
          <w:sz w:val="26"/>
          <w:szCs w:val="26"/>
        </w:rPr>
        <w:tab/>
      </w:r>
      <w:r w:rsidR="00211EB8" w:rsidRPr="00211EB8">
        <w:rPr>
          <w:sz w:val="26"/>
          <w:szCs w:val="26"/>
        </w:rPr>
        <w:tab/>
      </w:r>
      <w:r w:rsidR="00211EB8" w:rsidRPr="00211EB8">
        <w:rPr>
          <w:sz w:val="26"/>
          <w:szCs w:val="26"/>
        </w:rPr>
        <w:tab/>
      </w:r>
      <w:r w:rsidR="00211EB8" w:rsidRPr="00211EB8">
        <w:rPr>
          <w:sz w:val="26"/>
          <w:szCs w:val="26"/>
        </w:rPr>
        <w:tab/>
      </w:r>
      <w:r w:rsidR="00A725FB">
        <w:rPr>
          <w:sz w:val="26"/>
          <w:szCs w:val="26"/>
        </w:rPr>
        <w:tab/>
      </w:r>
      <w:r w:rsidR="00A725FB">
        <w:rPr>
          <w:sz w:val="26"/>
          <w:szCs w:val="26"/>
        </w:rPr>
        <w:tab/>
      </w:r>
      <w:r w:rsidR="00A725FB">
        <w:rPr>
          <w:sz w:val="26"/>
          <w:szCs w:val="26"/>
        </w:rPr>
        <w:tab/>
      </w:r>
      <w:r w:rsidR="00211EB8" w:rsidRPr="00A725FB">
        <w:rPr>
          <w:sz w:val="26"/>
          <w:szCs w:val="26"/>
        </w:rPr>
        <w:tab/>
      </w:r>
      <w:r w:rsidR="00B76A0A">
        <w:rPr>
          <w:sz w:val="26"/>
          <w:szCs w:val="26"/>
        </w:rPr>
        <w:t xml:space="preserve">     </w:t>
      </w:r>
      <w:r w:rsidR="00211EB8" w:rsidRPr="00211EB8">
        <w:rPr>
          <w:sz w:val="26"/>
          <w:szCs w:val="26"/>
        </w:rPr>
        <w:t>C-201</w:t>
      </w:r>
      <w:r>
        <w:rPr>
          <w:sz w:val="26"/>
          <w:szCs w:val="26"/>
        </w:rPr>
        <w:t>8</w:t>
      </w:r>
      <w:r w:rsidR="00211EB8" w:rsidRPr="00211EB8">
        <w:rPr>
          <w:sz w:val="26"/>
          <w:szCs w:val="26"/>
        </w:rPr>
        <w:t>-2</w:t>
      </w:r>
      <w:r>
        <w:rPr>
          <w:sz w:val="26"/>
          <w:szCs w:val="26"/>
        </w:rPr>
        <w:t>647045</w:t>
      </w:r>
    </w:p>
    <w:p w:rsidR="00211EB8" w:rsidRPr="00211EB8" w:rsidRDefault="00550D12" w:rsidP="00A725FB">
      <w:pPr>
        <w:autoSpaceDE w:val="0"/>
        <w:autoSpaceDN w:val="0"/>
        <w:spacing w:line="240" w:lineRule="auto"/>
        <w:ind w:right="-14"/>
        <w:rPr>
          <w:sz w:val="26"/>
          <w:szCs w:val="26"/>
        </w:rPr>
      </w:pPr>
      <w:r>
        <w:rPr>
          <w:sz w:val="26"/>
          <w:szCs w:val="26"/>
        </w:rPr>
        <w:t>Matthew Nestor</w:t>
      </w:r>
      <w:r w:rsidR="00211EB8" w:rsidRPr="00211EB8">
        <w:rPr>
          <w:sz w:val="26"/>
          <w:szCs w:val="26"/>
        </w:rPr>
        <w:tab/>
      </w:r>
      <w:r w:rsidR="00211EB8" w:rsidRPr="00211EB8">
        <w:rPr>
          <w:sz w:val="26"/>
          <w:szCs w:val="26"/>
        </w:rPr>
        <w:tab/>
      </w:r>
      <w:r w:rsidR="00211EB8" w:rsidRPr="00211EB8">
        <w:rPr>
          <w:sz w:val="26"/>
          <w:szCs w:val="26"/>
        </w:rPr>
        <w:tab/>
      </w:r>
      <w:r w:rsidR="00211EB8" w:rsidRPr="00211EB8">
        <w:rPr>
          <w:sz w:val="26"/>
          <w:szCs w:val="26"/>
        </w:rPr>
        <w:tab/>
      </w:r>
      <w:r w:rsidR="00A725FB">
        <w:rPr>
          <w:sz w:val="26"/>
          <w:szCs w:val="26"/>
        </w:rPr>
        <w:tab/>
      </w:r>
      <w:r w:rsidR="00A725FB">
        <w:rPr>
          <w:sz w:val="26"/>
          <w:szCs w:val="26"/>
        </w:rPr>
        <w:tab/>
      </w:r>
      <w:r w:rsidR="00A725FB">
        <w:rPr>
          <w:sz w:val="26"/>
          <w:szCs w:val="26"/>
        </w:rPr>
        <w:tab/>
      </w:r>
      <w:r w:rsidR="00211EB8" w:rsidRPr="00A725FB">
        <w:rPr>
          <w:sz w:val="26"/>
          <w:szCs w:val="26"/>
        </w:rPr>
        <w:tab/>
      </w:r>
      <w:r w:rsidR="00B76A0A">
        <w:rPr>
          <w:sz w:val="26"/>
          <w:szCs w:val="26"/>
        </w:rPr>
        <w:t xml:space="preserve">     </w:t>
      </w:r>
      <w:r w:rsidR="00211EB8" w:rsidRPr="00211EB8">
        <w:rPr>
          <w:sz w:val="26"/>
          <w:szCs w:val="26"/>
        </w:rPr>
        <w:t>C-201</w:t>
      </w:r>
      <w:r>
        <w:rPr>
          <w:sz w:val="26"/>
          <w:szCs w:val="26"/>
        </w:rPr>
        <w:t>8</w:t>
      </w:r>
      <w:r w:rsidR="00211EB8" w:rsidRPr="00211EB8">
        <w:rPr>
          <w:sz w:val="26"/>
          <w:szCs w:val="26"/>
        </w:rPr>
        <w:t>-2</w:t>
      </w:r>
      <w:r>
        <w:rPr>
          <w:sz w:val="26"/>
          <w:szCs w:val="26"/>
        </w:rPr>
        <w:t>647060</w:t>
      </w:r>
    </w:p>
    <w:p w:rsidR="00211EB8" w:rsidRPr="00211EB8" w:rsidRDefault="00550D12" w:rsidP="00A725FB">
      <w:pPr>
        <w:autoSpaceDE w:val="0"/>
        <w:autoSpaceDN w:val="0"/>
        <w:spacing w:line="240" w:lineRule="auto"/>
        <w:ind w:right="-14"/>
        <w:rPr>
          <w:sz w:val="26"/>
          <w:szCs w:val="26"/>
        </w:rPr>
      </w:pPr>
      <w:r>
        <w:rPr>
          <w:sz w:val="26"/>
          <w:szCs w:val="26"/>
        </w:rPr>
        <w:t>Ryan Foust</w:t>
      </w:r>
      <w:r>
        <w:rPr>
          <w:sz w:val="26"/>
          <w:szCs w:val="26"/>
        </w:rPr>
        <w:tab/>
      </w:r>
      <w:r w:rsidR="00211EB8" w:rsidRPr="00211EB8">
        <w:rPr>
          <w:sz w:val="26"/>
          <w:szCs w:val="26"/>
        </w:rPr>
        <w:tab/>
      </w:r>
      <w:r w:rsidR="00211EB8" w:rsidRPr="00211EB8">
        <w:rPr>
          <w:sz w:val="26"/>
          <w:szCs w:val="26"/>
        </w:rPr>
        <w:tab/>
      </w:r>
      <w:r w:rsidR="00211EB8" w:rsidRPr="00211EB8">
        <w:rPr>
          <w:sz w:val="26"/>
          <w:szCs w:val="26"/>
        </w:rPr>
        <w:tab/>
      </w:r>
      <w:r w:rsidR="00211EB8" w:rsidRPr="00211EB8">
        <w:rPr>
          <w:sz w:val="26"/>
          <w:szCs w:val="26"/>
        </w:rPr>
        <w:tab/>
      </w:r>
      <w:r w:rsidR="00A725FB">
        <w:rPr>
          <w:sz w:val="26"/>
          <w:szCs w:val="26"/>
        </w:rPr>
        <w:tab/>
      </w:r>
      <w:r w:rsidR="00A725FB">
        <w:rPr>
          <w:sz w:val="26"/>
          <w:szCs w:val="26"/>
        </w:rPr>
        <w:tab/>
      </w:r>
      <w:r w:rsidR="00A725FB">
        <w:rPr>
          <w:sz w:val="26"/>
          <w:szCs w:val="26"/>
        </w:rPr>
        <w:tab/>
      </w:r>
      <w:r w:rsidR="00211EB8" w:rsidRPr="00A725FB">
        <w:rPr>
          <w:sz w:val="26"/>
          <w:szCs w:val="26"/>
        </w:rPr>
        <w:tab/>
      </w:r>
      <w:r w:rsidR="00B76A0A">
        <w:rPr>
          <w:sz w:val="26"/>
          <w:szCs w:val="26"/>
        </w:rPr>
        <w:t xml:space="preserve">     </w:t>
      </w:r>
      <w:r w:rsidR="00211EB8" w:rsidRPr="00211EB8">
        <w:rPr>
          <w:sz w:val="26"/>
          <w:szCs w:val="26"/>
        </w:rPr>
        <w:t>C-201</w:t>
      </w:r>
      <w:r>
        <w:rPr>
          <w:sz w:val="26"/>
          <w:szCs w:val="26"/>
        </w:rPr>
        <w:t>8</w:t>
      </w:r>
      <w:r w:rsidR="00211EB8" w:rsidRPr="00211EB8">
        <w:rPr>
          <w:sz w:val="26"/>
          <w:szCs w:val="26"/>
        </w:rPr>
        <w:t>-2</w:t>
      </w:r>
      <w:r>
        <w:rPr>
          <w:sz w:val="26"/>
          <w:szCs w:val="26"/>
        </w:rPr>
        <w:t>647069</w:t>
      </w:r>
    </w:p>
    <w:p w:rsidR="00832768" w:rsidRDefault="00550D12" w:rsidP="007A151B">
      <w:pPr>
        <w:autoSpaceDE w:val="0"/>
        <w:autoSpaceDN w:val="0"/>
        <w:spacing w:line="240" w:lineRule="auto"/>
        <w:rPr>
          <w:sz w:val="26"/>
          <w:szCs w:val="26"/>
        </w:rPr>
      </w:pPr>
      <w:r>
        <w:rPr>
          <w:sz w:val="26"/>
          <w:szCs w:val="26"/>
        </w:rPr>
        <w:t>Brain Hills</w:t>
      </w:r>
      <w:r>
        <w:rPr>
          <w:sz w:val="26"/>
          <w:szCs w:val="26"/>
        </w:rPr>
        <w:tab/>
      </w:r>
      <w:r w:rsidR="00211EB8" w:rsidRPr="00211EB8">
        <w:rPr>
          <w:sz w:val="26"/>
          <w:szCs w:val="26"/>
        </w:rPr>
        <w:tab/>
      </w:r>
      <w:r w:rsidR="00211EB8" w:rsidRPr="00211EB8">
        <w:rPr>
          <w:sz w:val="26"/>
          <w:szCs w:val="26"/>
        </w:rPr>
        <w:tab/>
      </w:r>
      <w:r w:rsidR="00211EB8" w:rsidRPr="00211EB8">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211EB8" w:rsidRPr="00A725FB">
        <w:rPr>
          <w:sz w:val="26"/>
          <w:szCs w:val="26"/>
        </w:rPr>
        <w:tab/>
      </w:r>
      <w:r w:rsidR="00B76A0A">
        <w:rPr>
          <w:sz w:val="26"/>
          <w:szCs w:val="26"/>
        </w:rPr>
        <w:t xml:space="preserve">     </w:t>
      </w:r>
      <w:r w:rsidR="00211EB8" w:rsidRPr="00211EB8">
        <w:rPr>
          <w:sz w:val="26"/>
          <w:szCs w:val="26"/>
        </w:rPr>
        <w:t>C-201</w:t>
      </w:r>
      <w:r>
        <w:rPr>
          <w:sz w:val="26"/>
          <w:szCs w:val="26"/>
        </w:rPr>
        <w:t>8</w:t>
      </w:r>
      <w:r w:rsidR="00211EB8" w:rsidRPr="00211EB8">
        <w:rPr>
          <w:sz w:val="26"/>
          <w:szCs w:val="26"/>
        </w:rPr>
        <w:t>-</w:t>
      </w:r>
      <w:r w:rsidR="00832768">
        <w:rPr>
          <w:sz w:val="26"/>
          <w:szCs w:val="26"/>
        </w:rPr>
        <w:t>2647070</w:t>
      </w:r>
    </w:p>
    <w:p w:rsidR="00832768" w:rsidRDefault="00550D12" w:rsidP="007A151B">
      <w:pPr>
        <w:autoSpaceDE w:val="0"/>
        <w:autoSpaceDN w:val="0"/>
        <w:spacing w:line="240" w:lineRule="auto"/>
        <w:rPr>
          <w:sz w:val="26"/>
          <w:szCs w:val="26"/>
        </w:rPr>
      </w:pPr>
      <w:r>
        <w:rPr>
          <w:sz w:val="26"/>
          <w:szCs w:val="26"/>
        </w:rPr>
        <w:t>Laurel Litwiler</w:t>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Pr>
          <w:sz w:val="26"/>
          <w:szCs w:val="26"/>
        </w:rPr>
        <w:tab/>
        <w:t xml:space="preserve">                </w:t>
      </w:r>
      <w:r w:rsidR="00A725FB" w:rsidRPr="00A725FB">
        <w:rPr>
          <w:sz w:val="26"/>
          <w:szCs w:val="26"/>
        </w:rPr>
        <w:t>C-201</w:t>
      </w:r>
      <w:r>
        <w:rPr>
          <w:sz w:val="26"/>
          <w:szCs w:val="26"/>
        </w:rPr>
        <w:t>8</w:t>
      </w:r>
      <w:r w:rsidR="00A725FB" w:rsidRPr="00A725FB">
        <w:rPr>
          <w:sz w:val="26"/>
          <w:szCs w:val="26"/>
        </w:rPr>
        <w:t>-</w:t>
      </w:r>
      <w:r w:rsidR="00832768" w:rsidRPr="00A725FB">
        <w:rPr>
          <w:sz w:val="26"/>
          <w:szCs w:val="26"/>
        </w:rPr>
        <w:t>2</w:t>
      </w:r>
      <w:r w:rsidR="00832768">
        <w:rPr>
          <w:sz w:val="26"/>
          <w:szCs w:val="26"/>
        </w:rPr>
        <w:t>647272</w:t>
      </w:r>
    </w:p>
    <w:p w:rsidR="00A725FB" w:rsidRPr="00A725FB" w:rsidRDefault="00550D12" w:rsidP="007A151B">
      <w:pPr>
        <w:autoSpaceDE w:val="0"/>
        <w:autoSpaceDN w:val="0"/>
        <w:spacing w:line="240" w:lineRule="auto"/>
        <w:rPr>
          <w:sz w:val="26"/>
          <w:szCs w:val="26"/>
        </w:rPr>
      </w:pPr>
      <w:r>
        <w:rPr>
          <w:sz w:val="26"/>
          <w:szCs w:val="26"/>
        </w:rPr>
        <w:t>Thomas Hanzes</w:t>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Pr>
          <w:sz w:val="26"/>
          <w:szCs w:val="26"/>
        </w:rPr>
        <w:tab/>
      </w:r>
      <w:r w:rsidR="00A725FB" w:rsidRPr="00A725FB">
        <w:rPr>
          <w:sz w:val="26"/>
          <w:szCs w:val="26"/>
        </w:rPr>
        <w:tab/>
      </w:r>
      <w:r w:rsidR="00A725FB" w:rsidRPr="00A725FB">
        <w:rPr>
          <w:sz w:val="26"/>
          <w:szCs w:val="26"/>
        </w:rPr>
        <w:tab/>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-2</w:t>
      </w:r>
      <w:r>
        <w:rPr>
          <w:sz w:val="26"/>
          <w:szCs w:val="26"/>
        </w:rPr>
        <w:t>647305</w:t>
      </w:r>
    </w:p>
    <w:p w:rsidR="00A725FB" w:rsidRPr="00A725FB" w:rsidRDefault="00550D12" w:rsidP="00A725FB">
      <w:pPr>
        <w:autoSpaceDE w:val="0"/>
        <w:autoSpaceDN w:val="0"/>
        <w:spacing w:line="240" w:lineRule="auto"/>
        <w:rPr>
          <w:sz w:val="26"/>
          <w:szCs w:val="26"/>
        </w:rPr>
      </w:pPr>
      <w:r>
        <w:rPr>
          <w:sz w:val="26"/>
          <w:szCs w:val="26"/>
        </w:rPr>
        <w:t>Clark Eberhart</w:t>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Pr>
          <w:sz w:val="26"/>
          <w:szCs w:val="26"/>
        </w:rPr>
        <w:tab/>
      </w:r>
      <w:r w:rsidR="00A725FB" w:rsidRPr="00A725FB">
        <w:rPr>
          <w:sz w:val="26"/>
          <w:szCs w:val="26"/>
        </w:rPr>
        <w:tab/>
      </w:r>
      <w:r w:rsidR="00A725FB" w:rsidRPr="00A725FB">
        <w:rPr>
          <w:sz w:val="26"/>
          <w:szCs w:val="26"/>
        </w:rPr>
        <w:tab/>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-2</w:t>
      </w:r>
      <w:r>
        <w:rPr>
          <w:sz w:val="26"/>
          <w:szCs w:val="26"/>
        </w:rPr>
        <w:t>647318</w:t>
      </w:r>
    </w:p>
    <w:p w:rsidR="00A725FB" w:rsidRPr="00A725FB" w:rsidRDefault="00550D12" w:rsidP="00A725FB">
      <w:pPr>
        <w:autoSpaceDE w:val="0"/>
        <w:autoSpaceDN w:val="0"/>
        <w:spacing w:line="240" w:lineRule="auto"/>
        <w:rPr>
          <w:sz w:val="26"/>
          <w:szCs w:val="26"/>
        </w:rPr>
      </w:pPr>
      <w:r>
        <w:rPr>
          <w:sz w:val="26"/>
          <w:szCs w:val="26"/>
        </w:rPr>
        <w:t>Mildred J. Heile</w:t>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Pr>
          <w:sz w:val="26"/>
          <w:szCs w:val="26"/>
        </w:rPr>
        <w:tab/>
      </w:r>
      <w:r w:rsidR="00A725FB" w:rsidRPr="00A725FB">
        <w:rPr>
          <w:sz w:val="26"/>
          <w:szCs w:val="26"/>
        </w:rPr>
        <w:tab/>
      </w:r>
      <w:r w:rsidR="00A725FB" w:rsidRPr="00A725FB">
        <w:rPr>
          <w:sz w:val="26"/>
          <w:szCs w:val="26"/>
        </w:rPr>
        <w:tab/>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w:t>
      </w:r>
      <w:r>
        <w:rPr>
          <w:sz w:val="26"/>
          <w:szCs w:val="26"/>
        </w:rPr>
        <w:t>3000054</w:t>
      </w:r>
    </w:p>
    <w:p w:rsidR="00A725FB" w:rsidRPr="00A725FB" w:rsidRDefault="00550D12" w:rsidP="00A725FB">
      <w:pPr>
        <w:autoSpaceDE w:val="0"/>
        <w:autoSpaceDN w:val="0"/>
        <w:spacing w:line="240" w:lineRule="auto"/>
        <w:rPr>
          <w:sz w:val="26"/>
          <w:szCs w:val="26"/>
        </w:rPr>
      </w:pPr>
      <w:r>
        <w:rPr>
          <w:sz w:val="26"/>
          <w:szCs w:val="26"/>
        </w:rPr>
        <w:t>Helene Canady</w:t>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A725FB" w:rsidRPr="00A725FB">
        <w:rPr>
          <w:sz w:val="26"/>
          <w:szCs w:val="26"/>
        </w:rPr>
        <w:tab/>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w:t>
      </w:r>
      <w:r>
        <w:rPr>
          <w:sz w:val="26"/>
          <w:szCs w:val="26"/>
        </w:rPr>
        <w:t>3000065</w:t>
      </w:r>
    </w:p>
    <w:p w:rsidR="00A725FB" w:rsidRPr="00A725FB" w:rsidRDefault="00550D12" w:rsidP="00A725FB">
      <w:pPr>
        <w:autoSpaceDE w:val="0"/>
        <w:autoSpaceDN w:val="0"/>
        <w:spacing w:line="240" w:lineRule="auto"/>
        <w:rPr>
          <w:sz w:val="26"/>
          <w:szCs w:val="26"/>
        </w:rPr>
      </w:pPr>
      <w:r>
        <w:rPr>
          <w:sz w:val="26"/>
          <w:szCs w:val="26"/>
        </w:rPr>
        <w:t>Lucas Schilling</w:t>
      </w:r>
      <w:r w:rsidR="00A725FB" w:rsidRP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sidRPr="00A725FB">
        <w:rPr>
          <w:sz w:val="26"/>
          <w:szCs w:val="26"/>
        </w:rPr>
        <w:tab/>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w:t>
      </w:r>
      <w:r>
        <w:rPr>
          <w:sz w:val="26"/>
          <w:szCs w:val="26"/>
        </w:rPr>
        <w:t>3000087</w:t>
      </w:r>
    </w:p>
    <w:p w:rsidR="00A725FB" w:rsidRPr="00A725FB" w:rsidRDefault="00550D12" w:rsidP="00A725FB">
      <w:pPr>
        <w:autoSpaceDE w:val="0"/>
        <w:autoSpaceDN w:val="0"/>
        <w:spacing w:line="240" w:lineRule="auto"/>
        <w:rPr>
          <w:sz w:val="26"/>
          <w:szCs w:val="26"/>
        </w:rPr>
      </w:pPr>
      <w:r>
        <w:rPr>
          <w:sz w:val="26"/>
          <w:szCs w:val="26"/>
        </w:rPr>
        <w:t>Diana Cole</w:t>
      </w:r>
      <w:r w:rsidR="00A725FB" w:rsidRP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B76A0A">
        <w:rPr>
          <w:sz w:val="26"/>
          <w:szCs w:val="26"/>
        </w:rPr>
        <w:t xml:space="preserve">    </w:t>
      </w:r>
      <w:r>
        <w:rPr>
          <w:sz w:val="26"/>
          <w:szCs w:val="26"/>
        </w:rPr>
        <w:tab/>
        <w:t xml:space="preserve">    </w:t>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w:t>
      </w:r>
      <w:r>
        <w:rPr>
          <w:sz w:val="26"/>
          <w:szCs w:val="26"/>
        </w:rPr>
        <w:t>3000207</w:t>
      </w:r>
    </w:p>
    <w:p w:rsidR="00A725FB" w:rsidRPr="00A725FB" w:rsidRDefault="001D751B" w:rsidP="00A725FB">
      <w:pPr>
        <w:autoSpaceDE w:val="0"/>
        <w:autoSpaceDN w:val="0"/>
        <w:spacing w:line="240" w:lineRule="auto"/>
        <w:rPr>
          <w:sz w:val="26"/>
          <w:szCs w:val="26"/>
        </w:rPr>
      </w:pPr>
      <w:r>
        <w:rPr>
          <w:sz w:val="26"/>
          <w:szCs w:val="26"/>
        </w:rPr>
        <w:t>Gilbert V. and Marilyn A. Brant</w:t>
      </w:r>
      <w:r w:rsidR="00A725FB" w:rsidRPr="00A725FB">
        <w:rPr>
          <w:sz w:val="26"/>
          <w:szCs w:val="26"/>
        </w:rPr>
        <w:tab/>
      </w:r>
      <w:r w:rsidR="00A725FB" w:rsidRPr="00A725FB">
        <w:rPr>
          <w:sz w:val="26"/>
          <w:szCs w:val="26"/>
        </w:rPr>
        <w:tab/>
      </w:r>
      <w:r w:rsidR="00A725FB">
        <w:rPr>
          <w:sz w:val="26"/>
          <w:szCs w:val="26"/>
        </w:rPr>
        <w:tab/>
      </w:r>
      <w:r w:rsidR="00A725FB">
        <w:rPr>
          <w:sz w:val="26"/>
          <w:szCs w:val="26"/>
        </w:rPr>
        <w:tab/>
      </w:r>
      <w:r>
        <w:rPr>
          <w:sz w:val="26"/>
          <w:szCs w:val="26"/>
        </w:rPr>
        <w:tab/>
      </w:r>
      <w:r>
        <w:rPr>
          <w:sz w:val="26"/>
          <w:szCs w:val="26"/>
        </w:rPr>
        <w:tab/>
        <w:t xml:space="preserve">     </w:t>
      </w:r>
      <w:r w:rsidR="00A725FB" w:rsidRPr="00A725FB">
        <w:rPr>
          <w:sz w:val="26"/>
          <w:szCs w:val="26"/>
        </w:rPr>
        <w:t>C-201</w:t>
      </w:r>
      <w:r>
        <w:rPr>
          <w:sz w:val="26"/>
          <w:szCs w:val="26"/>
        </w:rPr>
        <w:t>8</w:t>
      </w:r>
      <w:r w:rsidR="00A725FB" w:rsidRPr="00A725FB">
        <w:rPr>
          <w:sz w:val="26"/>
          <w:szCs w:val="26"/>
        </w:rPr>
        <w:t>-</w:t>
      </w:r>
      <w:r>
        <w:rPr>
          <w:sz w:val="26"/>
          <w:szCs w:val="26"/>
        </w:rPr>
        <w:t>3000208</w:t>
      </w:r>
    </w:p>
    <w:p w:rsidR="00A725FB" w:rsidRPr="00A725FB" w:rsidRDefault="001D751B" w:rsidP="00A725FB">
      <w:pPr>
        <w:autoSpaceDE w:val="0"/>
        <w:autoSpaceDN w:val="0"/>
        <w:spacing w:line="240" w:lineRule="auto"/>
        <w:rPr>
          <w:sz w:val="26"/>
          <w:szCs w:val="26"/>
        </w:rPr>
      </w:pPr>
      <w:r>
        <w:rPr>
          <w:sz w:val="26"/>
          <w:szCs w:val="26"/>
        </w:rPr>
        <w:t>David R. Roeder, Sr.</w:t>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sidRPr="00A725FB">
        <w:rPr>
          <w:sz w:val="26"/>
          <w:szCs w:val="26"/>
        </w:rPr>
        <w:tab/>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w:t>
      </w:r>
      <w:r>
        <w:rPr>
          <w:sz w:val="26"/>
          <w:szCs w:val="26"/>
        </w:rPr>
        <w:t>3000250</w:t>
      </w:r>
    </w:p>
    <w:p w:rsidR="00A725FB" w:rsidRPr="00A725FB" w:rsidRDefault="001D751B" w:rsidP="00A725FB">
      <w:pPr>
        <w:autoSpaceDE w:val="0"/>
        <w:autoSpaceDN w:val="0"/>
        <w:spacing w:line="240" w:lineRule="auto"/>
        <w:rPr>
          <w:sz w:val="26"/>
          <w:szCs w:val="26"/>
        </w:rPr>
      </w:pPr>
      <w:r>
        <w:rPr>
          <w:sz w:val="26"/>
          <w:szCs w:val="26"/>
        </w:rPr>
        <w:t>Natalie M. McCloskey</w:t>
      </w:r>
      <w:r w:rsidR="00A725FB" w:rsidRP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Pr>
          <w:sz w:val="26"/>
          <w:szCs w:val="26"/>
        </w:rPr>
        <w:tab/>
        <w:t xml:space="preserve">     </w:t>
      </w:r>
      <w:r w:rsidR="00A725FB" w:rsidRPr="00A725FB">
        <w:rPr>
          <w:sz w:val="26"/>
          <w:szCs w:val="26"/>
        </w:rPr>
        <w:t>C-201</w:t>
      </w:r>
      <w:r>
        <w:rPr>
          <w:sz w:val="26"/>
          <w:szCs w:val="26"/>
        </w:rPr>
        <w:t>8</w:t>
      </w:r>
      <w:r w:rsidR="00A725FB" w:rsidRPr="00A725FB">
        <w:rPr>
          <w:sz w:val="26"/>
          <w:szCs w:val="26"/>
        </w:rPr>
        <w:t>-</w:t>
      </w:r>
      <w:r>
        <w:rPr>
          <w:sz w:val="26"/>
          <w:szCs w:val="26"/>
        </w:rPr>
        <w:t>3000419</w:t>
      </w:r>
    </w:p>
    <w:p w:rsidR="00A725FB" w:rsidRPr="00A725FB" w:rsidRDefault="001D751B" w:rsidP="00A725FB">
      <w:pPr>
        <w:autoSpaceDE w:val="0"/>
        <w:autoSpaceDN w:val="0"/>
        <w:spacing w:line="240" w:lineRule="auto"/>
        <w:rPr>
          <w:sz w:val="26"/>
          <w:szCs w:val="26"/>
        </w:rPr>
      </w:pPr>
      <w:r>
        <w:rPr>
          <w:sz w:val="26"/>
          <w:szCs w:val="26"/>
        </w:rPr>
        <w:t>Marie T. Potts</w:t>
      </w:r>
      <w:r w:rsidR="00A725FB" w:rsidRPr="00A725FB">
        <w:rPr>
          <w:sz w:val="26"/>
          <w:szCs w:val="26"/>
        </w:rPr>
        <w:tab/>
      </w:r>
      <w:r w:rsidR="00A725FB" w:rsidRP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sidRPr="00A725FB">
        <w:rPr>
          <w:sz w:val="26"/>
          <w:szCs w:val="26"/>
        </w:rPr>
        <w:tab/>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w:t>
      </w:r>
      <w:r>
        <w:rPr>
          <w:sz w:val="26"/>
          <w:szCs w:val="26"/>
        </w:rPr>
        <w:t>3000505</w:t>
      </w:r>
    </w:p>
    <w:p w:rsidR="00A725FB" w:rsidRPr="00A725FB" w:rsidRDefault="001D751B" w:rsidP="00A725FB">
      <w:pPr>
        <w:autoSpaceDE w:val="0"/>
        <w:autoSpaceDN w:val="0"/>
        <w:spacing w:after="120" w:line="240" w:lineRule="auto"/>
        <w:rPr>
          <w:sz w:val="26"/>
          <w:szCs w:val="26"/>
        </w:rPr>
      </w:pPr>
      <w:r>
        <w:rPr>
          <w:sz w:val="26"/>
          <w:szCs w:val="26"/>
        </w:rPr>
        <w:t xml:space="preserve">Sean Belback </w:t>
      </w:r>
      <w:r>
        <w:rPr>
          <w:sz w:val="26"/>
          <w:szCs w:val="26"/>
        </w:rPr>
        <w:tab/>
      </w:r>
      <w:r w:rsidR="00A725FB" w:rsidRP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00B76A0A">
        <w:rPr>
          <w:sz w:val="26"/>
          <w:szCs w:val="26"/>
        </w:rPr>
        <w:t xml:space="preserve">     </w:t>
      </w:r>
      <w:r w:rsidR="00A725FB" w:rsidRPr="00A725FB">
        <w:rPr>
          <w:sz w:val="26"/>
          <w:szCs w:val="26"/>
        </w:rPr>
        <w:t>C-201</w:t>
      </w:r>
      <w:r>
        <w:rPr>
          <w:sz w:val="26"/>
          <w:szCs w:val="26"/>
        </w:rPr>
        <w:t>8</w:t>
      </w:r>
      <w:r w:rsidR="00A725FB" w:rsidRPr="00A725FB">
        <w:rPr>
          <w:sz w:val="26"/>
          <w:szCs w:val="26"/>
        </w:rPr>
        <w:t>-</w:t>
      </w:r>
      <w:r>
        <w:rPr>
          <w:sz w:val="26"/>
          <w:szCs w:val="26"/>
        </w:rPr>
        <w:t>3000566</w:t>
      </w:r>
    </w:p>
    <w:p w:rsidR="00E05523" w:rsidRDefault="00DA15BB" w:rsidP="00151CED">
      <w:pPr>
        <w:autoSpaceDE w:val="0"/>
        <w:autoSpaceDN w:val="0"/>
        <w:spacing w:after="120" w:line="240" w:lineRule="auto"/>
        <w:ind w:right="-14"/>
        <w:rPr>
          <w:sz w:val="26"/>
          <w:szCs w:val="26"/>
        </w:rPr>
      </w:pPr>
      <w:r>
        <w:rPr>
          <w:sz w:val="26"/>
          <w:szCs w:val="26"/>
        </w:rPr>
        <w:tab/>
      </w:r>
      <w:r>
        <w:rPr>
          <w:sz w:val="26"/>
          <w:szCs w:val="26"/>
        </w:rPr>
        <w:tab/>
      </w:r>
      <w:r w:rsidR="00E05523" w:rsidRPr="00815548">
        <w:rPr>
          <w:sz w:val="26"/>
          <w:szCs w:val="26"/>
        </w:rPr>
        <w:t>v.</w:t>
      </w:r>
    </w:p>
    <w:p w:rsidR="00283E0D" w:rsidRDefault="00283E0D" w:rsidP="00151CED">
      <w:pPr>
        <w:autoSpaceDE w:val="0"/>
        <w:autoSpaceDN w:val="0"/>
        <w:spacing w:after="120" w:line="240" w:lineRule="auto"/>
        <w:ind w:right="-14"/>
        <w:rPr>
          <w:sz w:val="26"/>
          <w:szCs w:val="26"/>
        </w:rPr>
      </w:pPr>
    </w:p>
    <w:p w:rsidR="00E05523" w:rsidRDefault="001D751B" w:rsidP="00151CED">
      <w:pPr>
        <w:autoSpaceDE w:val="0"/>
        <w:autoSpaceDN w:val="0"/>
        <w:spacing w:after="120" w:line="240" w:lineRule="auto"/>
        <w:ind w:right="-14"/>
        <w:rPr>
          <w:sz w:val="26"/>
          <w:szCs w:val="26"/>
        </w:rPr>
      </w:pPr>
      <w:r>
        <w:rPr>
          <w:sz w:val="26"/>
          <w:szCs w:val="26"/>
        </w:rPr>
        <w:t>Reynolds Water Company</w:t>
      </w:r>
    </w:p>
    <w:p w:rsidR="000B24E9" w:rsidRDefault="000B24E9" w:rsidP="00BE145B">
      <w:pPr>
        <w:pStyle w:val="Heading1"/>
        <w:sectPr w:rsidR="000B24E9" w:rsidSect="00F53B40">
          <w:headerReference w:type="default" r:id="rId8"/>
          <w:footerReference w:type="default" r:id="rId9"/>
          <w:footerReference w:type="first" r:id="rId10"/>
          <w:pgSz w:w="12240" w:h="15840"/>
          <w:pgMar w:top="1440" w:right="1440" w:bottom="1440" w:left="1440" w:header="720" w:footer="720" w:gutter="0"/>
          <w:pgNumType w:fmt="lowerRoman" w:start="1"/>
          <w:cols w:space="720"/>
          <w:docGrid w:linePitch="360"/>
        </w:sectPr>
      </w:pPr>
    </w:p>
    <w:p w:rsidR="009E5583" w:rsidRPr="005F5149" w:rsidRDefault="009E5583" w:rsidP="00D63267">
      <w:pPr>
        <w:pStyle w:val="BodyTextIndent"/>
        <w:keepNext/>
        <w:spacing w:after="0"/>
        <w:ind w:left="0"/>
        <w:rPr>
          <w:b/>
          <w:sz w:val="26"/>
          <w:szCs w:val="26"/>
        </w:rPr>
      </w:pPr>
      <w:r w:rsidRPr="005F5149">
        <w:rPr>
          <w:b/>
          <w:sz w:val="26"/>
          <w:szCs w:val="26"/>
        </w:rPr>
        <w:lastRenderedPageBreak/>
        <w:t>BY THE COMMISSION:</w:t>
      </w:r>
    </w:p>
    <w:p w:rsidR="003F001F" w:rsidRDefault="003F001F" w:rsidP="00D63267">
      <w:pPr>
        <w:pStyle w:val="BodyTextIndent"/>
        <w:keepNext/>
        <w:spacing w:after="0"/>
        <w:ind w:left="0"/>
        <w:rPr>
          <w:b/>
          <w:sz w:val="26"/>
          <w:szCs w:val="26"/>
        </w:rPr>
      </w:pPr>
    </w:p>
    <w:p w:rsidR="003F001F" w:rsidRPr="00BE145B" w:rsidRDefault="003F001F" w:rsidP="00BE145B">
      <w:pPr>
        <w:pStyle w:val="Heading1"/>
      </w:pPr>
      <w:bookmarkStart w:id="0" w:name="_Toc471747989"/>
      <w:bookmarkStart w:id="1" w:name="_Toc471748127"/>
      <w:r w:rsidRPr="00BE145B">
        <w:t>I.</w:t>
      </w:r>
      <w:r w:rsidRPr="00BE145B">
        <w:tab/>
        <w:t>Matter Before the Commission</w:t>
      </w:r>
      <w:bookmarkEnd w:id="0"/>
      <w:bookmarkEnd w:id="1"/>
    </w:p>
    <w:p w:rsidR="003F001F" w:rsidRPr="005F5149" w:rsidRDefault="003F001F" w:rsidP="00D63267">
      <w:pPr>
        <w:pStyle w:val="BodyTextIndent"/>
        <w:keepNext/>
        <w:spacing w:after="0"/>
        <w:ind w:left="0"/>
        <w:rPr>
          <w:b/>
          <w:sz w:val="26"/>
          <w:szCs w:val="26"/>
        </w:rPr>
      </w:pPr>
    </w:p>
    <w:p w:rsidR="002C548B" w:rsidRDefault="009E5583" w:rsidP="006C6511">
      <w:pPr>
        <w:pStyle w:val="BodyTextIndent"/>
        <w:spacing w:after="0"/>
        <w:ind w:left="0" w:firstLine="1440"/>
        <w:rPr>
          <w:sz w:val="26"/>
          <w:szCs w:val="26"/>
        </w:rPr>
      </w:pPr>
      <w:r w:rsidRPr="005F5149">
        <w:rPr>
          <w:sz w:val="26"/>
          <w:szCs w:val="26"/>
        </w:rPr>
        <w:t>Before the Pennsylvania Public Utility Commission (Commission) for consideration and disposit</w:t>
      </w:r>
      <w:r>
        <w:rPr>
          <w:sz w:val="26"/>
          <w:szCs w:val="26"/>
        </w:rPr>
        <w:t xml:space="preserve">ion are </w:t>
      </w:r>
      <w:r w:rsidRPr="005F5149">
        <w:rPr>
          <w:sz w:val="26"/>
          <w:szCs w:val="26"/>
        </w:rPr>
        <w:t xml:space="preserve">the Exceptions </w:t>
      </w:r>
      <w:r>
        <w:rPr>
          <w:sz w:val="26"/>
          <w:szCs w:val="26"/>
        </w:rPr>
        <w:t>of</w:t>
      </w:r>
      <w:r w:rsidR="00753896">
        <w:rPr>
          <w:sz w:val="26"/>
          <w:szCs w:val="26"/>
        </w:rPr>
        <w:t xml:space="preserve"> </w:t>
      </w:r>
      <w:r w:rsidR="00066819">
        <w:rPr>
          <w:sz w:val="26"/>
          <w:szCs w:val="26"/>
        </w:rPr>
        <w:t xml:space="preserve">the </w:t>
      </w:r>
      <w:r w:rsidR="001C11DB">
        <w:rPr>
          <w:sz w:val="26"/>
          <w:szCs w:val="26"/>
        </w:rPr>
        <w:t xml:space="preserve">following individual </w:t>
      </w:r>
      <w:r w:rsidR="00DC2BE7">
        <w:rPr>
          <w:sz w:val="26"/>
          <w:szCs w:val="26"/>
        </w:rPr>
        <w:t>Complainant</w:t>
      </w:r>
      <w:r w:rsidR="00EB330A">
        <w:rPr>
          <w:sz w:val="26"/>
          <w:szCs w:val="26"/>
        </w:rPr>
        <w:t>s:</w:t>
      </w:r>
      <w:r w:rsidR="00EB330A">
        <w:rPr>
          <w:rStyle w:val="FootnoteReference"/>
          <w:sz w:val="26"/>
          <w:szCs w:val="26"/>
        </w:rPr>
        <w:footnoteReference w:id="2"/>
      </w:r>
      <w:r w:rsidR="00FF4C6C">
        <w:rPr>
          <w:sz w:val="26"/>
          <w:szCs w:val="26"/>
        </w:rPr>
        <w:t xml:space="preserve"> </w:t>
      </w:r>
      <w:r w:rsidR="00FE478E">
        <w:rPr>
          <w:sz w:val="26"/>
          <w:szCs w:val="26"/>
        </w:rPr>
        <w:t>Mildred Heile</w:t>
      </w:r>
      <w:r w:rsidR="00EF3E18">
        <w:rPr>
          <w:sz w:val="26"/>
          <w:szCs w:val="26"/>
        </w:rPr>
        <w:t xml:space="preserve">, </w:t>
      </w:r>
      <w:r w:rsidR="00FE478E">
        <w:rPr>
          <w:sz w:val="26"/>
          <w:szCs w:val="26"/>
        </w:rPr>
        <w:t xml:space="preserve">Gilbert V. and Marilyn A. Brant </w:t>
      </w:r>
      <w:r w:rsidR="00EF3E18">
        <w:rPr>
          <w:sz w:val="26"/>
          <w:szCs w:val="26"/>
        </w:rPr>
        <w:t xml:space="preserve">and Matthew Nestor </w:t>
      </w:r>
      <w:r w:rsidR="00FE478E">
        <w:rPr>
          <w:sz w:val="26"/>
          <w:szCs w:val="26"/>
        </w:rPr>
        <w:t>filed on June 6, 2018, Thomas Hanzes</w:t>
      </w:r>
      <w:r w:rsidR="00EF3E18">
        <w:rPr>
          <w:sz w:val="26"/>
          <w:szCs w:val="26"/>
        </w:rPr>
        <w:t xml:space="preserve"> and </w:t>
      </w:r>
      <w:r w:rsidR="00FE478E">
        <w:rPr>
          <w:sz w:val="26"/>
          <w:szCs w:val="26"/>
        </w:rPr>
        <w:t xml:space="preserve">Clark Eberhart, filed on June 7, 2018, </w:t>
      </w:r>
      <w:r w:rsidR="006C6511" w:rsidRPr="00DC2BE7">
        <w:rPr>
          <w:sz w:val="26"/>
          <w:szCs w:val="26"/>
        </w:rPr>
        <w:t xml:space="preserve">David Roeder, Sr., Ryan Foust, Margaret Foust, </w:t>
      </w:r>
      <w:r w:rsidR="006C6511">
        <w:rPr>
          <w:sz w:val="26"/>
          <w:szCs w:val="26"/>
        </w:rPr>
        <w:t xml:space="preserve">and </w:t>
      </w:r>
      <w:r w:rsidR="006C6511" w:rsidRPr="00DC2BE7">
        <w:rPr>
          <w:sz w:val="26"/>
          <w:szCs w:val="26"/>
        </w:rPr>
        <w:t>Plem Patterson</w:t>
      </w:r>
      <w:r w:rsidR="006C6511">
        <w:rPr>
          <w:sz w:val="26"/>
          <w:szCs w:val="26"/>
        </w:rPr>
        <w:t xml:space="preserve"> filed on June 8, 2018,</w:t>
      </w:r>
      <w:r w:rsidR="008C4E8C">
        <w:rPr>
          <w:sz w:val="26"/>
          <w:szCs w:val="26"/>
        </w:rPr>
        <w:t xml:space="preserve"> </w:t>
      </w:r>
      <w:r w:rsidR="006C6511" w:rsidRPr="00DC2BE7">
        <w:rPr>
          <w:sz w:val="26"/>
          <w:szCs w:val="26"/>
        </w:rPr>
        <w:t xml:space="preserve">Laurel Litwiler, Lucas Shilling, </w:t>
      </w:r>
      <w:r w:rsidR="00DC2BE7" w:rsidRPr="00DC2BE7">
        <w:rPr>
          <w:sz w:val="26"/>
          <w:szCs w:val="26"/>
        </w:rPr>
        <w:t xml:space="preserve">James Vessella, </w:t>
      </w:r>
      <w:r w:rsidR="006C6511" w:rsidRPr="00DC2BE7">
        <w:rPr>
          <w:sz w:val="26"/>
          <w:szCs w:val="26"/>
        </w:rPr>
        <w:t>Brian Hills, John D’Urso, Helen Canady</w:t>
      </w:r>
      <w:r w:rsidR="00FE478E">
        <w:rPr>
          <w:sz w:val="26"/>
          <w:szCs w:val="26"/>
        </w:rPr>
        <w:t>, Diana Cole</w:t>
      </w:r>
      <w:r w:rsidR="006C6511">
        <w:rPr>
          <w:sz w:val="26"/>
          <w:szCs w:val="26"/>
        </w:rPr>
        <w:t xml:space="preserve"> </w:t>
      </w:r>
      <w:r w:rsidR="006C6511" w:rsidRPr="00DC2BE7">
        <w:rPr>
          <w:sz w:val="26"/>
          <w:szCs w:val="26"/>
        </w:rPr>
        <w:t>and Sean Belback</w:t>
      </w:r>
      <w:r w:rsidR="006C6511">
        <w:rPr>
          <w:sz w:val="26"/>
          <w:szCs w:val="26"/>
        </w:rPr>
        <w:t xml:space="preserve"> </w:t>
      </w:r>
      <w:r>
        <w:rPr>
          <w:sz w:val="26"/>
          <w:szCs w:val="26"/>
        </w:rPr>
        <w:t>filed</w:t>
      </w:r>
      <w:r w:rsidR="00693818">
        <w:rPr>
          <w:sz w:val="26"/>
          <w:szCs w:val="26"/>
        </w:rPr>
        <w:t xml:space="preserve"> on </w:t>
      </w:r>
      <w:r w:rsidR="006C6511">
        <w:rPr>
          <w:sz w:val="26"/>
          <w:szCs w:val="26"/>
        </w:rPr>
        <w:t>June 11, 2018</w:t>
      </w:r>
      <w:r>
        <w:rPr>
          <w:sz w:val="26"/>
          <w:szCs w:val="26"/>
        </w:rPr>
        <w:t xml:space="preserve">, </w:t>
      </w:r>
      <w:r w:rsidR="008C4E8C">
        <w:rPr>
          <w:sz w:val="26"/>
          <w:szCs w:val="26"/>
        </w:rPr>
        <w:t>and Marie T. Potts filed on June 1</w:t>
      </w:r>
      <w:r w:rsidR="00BA411F">
        <w:rPr>
          <w:sz w:val="26"/>
          <w:szCs w:val="26"/>
        </w:rPr>
        <w:t>4</w:t>
      </w:r>
      <w:r w:rsidR="008C4E8C">
        <w:rPr>
          <w:sz w:val="26"/>
          <w:szCs w:val="26"/>
        </w:rPr>
        <w:t xml:space="preserve">, 2018, </w:t>
      </w:r>
      <w:r>
        <w:rPr>
          <w:sz w:val="26"/>
          <w:szCs w:val="26"/>
        </w:rPr>
        <w:t>to</w:t>
      </w:r>
      <w:r w:rsidRPr="005F5149">
        <w:rPr>
          <w:sz w:val="26"/>
          <w:szCs w:val="26"/>
        </w:rPr>
        <w:t xml:space="preserve"> the Recommended Decision (R.D.) of Administrative Law Judge</w:t>
      </w:r>
      <w:r w:rsidR="00000DE2">
        <w:rPr>
          <w:sz w:val="26"/>
          <w:szCs w:val="26"/>
        </w:rPr>
        <w:t xml:space="preserve"> </w:t>
      </w:r>
      <w:r w:rsidRPr="005F5149">
        <w:rPr>
          <w:sz w:val="26"/>
          <w:szCs w:val="26"/>
        </w:rPr>
        <w:t>(ALJ</w:t>
      </w:r>
      <w:r w:rsidR="00693818">
        <w:rPr>
          <w:sz w:val="26"/>
          <w:szCs w:val="26"/>
        </w:rPr>
        <w:t xml:space="preserve">) </w:t>
      </w:r>
      <w:r w:rsidR="006C6511">
        <w:rPr>
          <w:sz w:val="26"/>
          <w:szCs w:val="26"/>
        </w:rPr>
        <w:t>Katrina</w:t>
      </w:r>
      <w:r w:rsidR="000F0472">
        <w:rPr>
          <w:sz w:val="26"/>
          <w:szCs w:val="26"/>
        </w:rPr>
        <w:t> </w:t>
      </w:r>
      <w:r w:rsidR="006C6511">
        <w:rPr>
          <w:sz w:val="26"/>
          <w:szCs w:val="26"/>
        </w:rPr>
        <w:t>L. Dunderdale</w:t>
      </w:r>
      <w:r w:rsidR="00693818">
        <w:rPr>
          <w:sz w:val="26"/>
          <w:szCs w:val="26"/>
        </w:rPr>
        <w:t xml:space="preserve">, issued </w:t>
      </w:r>
      <w:r w:rsidR="006C6511">
        <w:rPr>
          <w:sz w:val="26"/>
          <w:szCs w:val="26"/>
        </w:rPr>
        <w:t>on May 29</w:t>
      </w:r>
      <w:r w:rsidRPr="00753896">
        <w:rPr>
          <w:sz w:val="26"/>
          <w:szCs w:val="26"/>
        </w:rPr>
        <w:t>,</w:t>
      </w:r>
      <w:r w:rsidRPr="005F5149">
        <w:rPr>
          <w:sz w:val="26"/>
          <w:szCs w:val="26"/>
        </w:rPr>
        <w:t xml:space="preserve"> 201</w:t>
      </w:r>
      <w:r w:rsidR="006C6511">
        <w:rPr>
          <w:sz w:val="26"/>
          <w:szCs w:val="26"/>
        </w:rPr>
        <w:t>8</w:t>
      </w:r>
      <w:r w:rsidR="00000DE2">
        <w:rPr>
          <w:sz w:val="26"/>
          <w:szCs w:val="26"/>
        </w:rPr>
        <w:t xml:space="preserve">, </w:t>
      </w:r>
      <w:r>
        <w:rPr>
          <w:sz w:val="26"/>
          <w:szCs w:val="26"/>
        </w:rPr>
        <w:t xml:space="preserve">relative to the above-captioned </w:t>
      </w:r>
      <w:r w:rsidR="00066819">
        <w:rPr>
          <w:sz w:val="26"/>
          <w:szCs w:val="26"/>
        </w:rPr>
        <w:t>proceeding</w:t>
      </w:r>
      <w:r w:rsidR="000C7C19">
        <w:rPr>
          <w:sz w:val="26"/>
          <w:szCs w:val="26"/>
        </w:rPr>
        <w:t>s</w:t>
      </w:r>
      <w:r w:rsidR="00102BCA">
        <w:rPr>
          <w:sz w:val="26"/>
          <w:szCs w:val="26"/>
        </w:rPr>
        <w:t>.</w:t>
      </w:r>
      <w:r w:rsidR="00563664">
        <w:rPr>
          <w:rStyle w:val="FootnoteReference"/>
          <w:sz w:val="26"/>
          <w:szCs w:val="26"/>
        </w:rPr>
        <w:footnoteReference w:id="3"/>
      </w:r>
      <w:r w:rsidR="00102BCA">
        <w:rPr>
          <w:sz w:val="26"/>
          <w:szCs w:val="26"/>
        </w:rPr>
        <w:t xml:space="preserve">  </w:t>
      </w:r>
      <w:r w:rsidR="005165D6">
        <w:rPr>
          <w:sz w:val="26"/>
          <w:szCs w:val="26"/>
        </w:rPr>
        <w:t>Repl</w:t>
      </w:r>
      <w:r w:rsidR="00693818">
        <w:rPr>
          <w:sz w:val="26"/>
          <w:szCs w:val="26"/>
        </w:rPr>
        <w:t xml:space="preserve">ies to Exceptions were filed </w:t>
      </w:r>
      <w:r w:rsidR="002C19F6">
        <w:rPr>
          <w:sz w:val="26"/>
          <w:szCs w:val="26"/>
        </w:rPr>
        <w:t xml:space="preserve">on </w:t>
      </w:r>
      <w:r w:rsidR="006C6511" w:rsidRPr="00C620E6">
        <w:rPr>
          <w:sz w:val="26"/>
          <w:szCs w:val="26"/>
        </w:rPr>
        <w:t>June 2</w:t>
      </w:r>
      <w:r w:rsidR="00C620E6" w:rsidRPr="00C620E6">
        <w:rPr>
          <w:sz w:val="26"/>
          <w:szCs w:val="26"/>
        </w:rPr>
        <w:t>6</w:t>
      </w:r>
      <w:r w:rsidR="002C19F6" w:rsidRPr="00C620E6">
        <w:rPr>
          <w:sz w:val="26"/>
          <w:szCs w:val="26"/>
        </w:rPr>
        <w:t>,</w:t>
      </w:r>
      <w:r w:rsidR="002C19F6">
        <w:rPr>
          <w:sz w:val="26"/>
          <w:szCs w:val="26"/>
        </w:rPr>
        <w:t xml:space="preserve"> 201</w:t>
      </w:r>
      <w:r w:rsidR="006C6511">
        <w:rPr>
          <w:sz w:val="26"/>
          <w:szCs w:val="26"/>
        </w:rPr>
        <w:t>8</w:t>
      </w:r>
      <w:r w:rsidR="002C19F6">
        <w:rPr>
          <w:sz w:val="26"/>
          <w:szCs w:val="26"/>
        </w:rPr>
        <w:t xml:space="preserve">, </w:t>
      </w:r>
      <w:r w:rsidR="00693818">
        <w:rPr>
          <w:sz w:val="26"/>
          <w:szCs w:val="26"/>
        </w:rPr>
        <w:t xml:space="preserve">by </w:t>
      </w:r>
      <w:r w:rsidR="00C620E6">
        <w:rPr>
          <w:sz w:val="26"/>
          <w:szCs w:val="26"/>
        </w:rPr>
        <w:t xml:space="preserve">the Commission’s Bureau of Investigation and Enforcement (I&amp;E) and by </w:t>
      </w:r>
      <w:r w:rsidR="006C6511">
        <w:rPr>
          <w:sz w:val="26"/>
          <w:szCs w:val="26"/>
        </w:rPr>
        <w:t>Reynolds Water</w:t>
      </w:r>
      <w:r w:rsidR="00693818">
        <w:rPr>
          <w:sz w:val="26"/>
          <w:szCs w:val="26"/>
        </w:rPr>
        <w:t xml:space="preserve"> Company (</w:t>
      </w:r>
      <w:r w:rsidR="006C6511">
        <w:rPr>
          <w:sz w:val="26"/>
          <w:szCs w:val="26"/>
        </w:rPr>
        <w:t>Reynolds</w:t>
      </w:r>
      <w:r w:rsidR="00C540FF">
        <w:rPr>
          <w:sz w:val="26"/>
          <w:szCs w:val="26"/>
        </w:rPr>
        <w:t xml:space="preserve"> or Company</w:t>
      </w:r>
      <w:r w:rsidR="006C6511">
        <w:rPr>
          <w:sz w:val="26"/>
          <w:szCs w:val="26"/>
        </w:rPr>
        <w:t>)</w:t>
      </w:r>
      <w:r w:rsidR="00C620E6">
        <w:rPr>
          <w:sz w:val="26"/>
          <w:szCs w:val="26"/>
        </w:rPr>
        <w:t xml:space="preserve"> </w:t>
      </w:r>
      <w:r w:rsidR="00C620E6" w:rsidRPr="00E654EF">
        <w:rPr>
          <w:sz w:val="26"/>
          <w:szCs w:val="26"/>
        </w:rPr>
        <w:t>on June 28, 2018</w:t>
      </w:r>
      <w:r w:rsidR="006C6511" w:rsidRPr="00E654EF">
        <w:rPr>
          <w:sz w:val="26"/>
          <w:szCs w:val="26"/>
        </w:rPr>
        <w:t>.</w:t>
      </w:r>
      <w:r w:rsidR="006C6511">
        <w:rPr>
          <w:sz w:val="26"/>
          <w:szCs w:val="26"/>
        </w:rPr>
        <w:t xml:space="preserve">  </w:t>
      </w:r>
      <w:r w:rsidR="00510CB9">
        <w:rPr>
          <w:sz w:val="26"/>
          <w:szCs w:val="26"/>
        </w:rPr>
        <w:t xml:space="preserve">In her </w:t>
      </w:r>
      <w:r w:rsidR="0019718C">
        <w:rPr>
          <w:sz w:val="26"/>
          <w:szCs w:val="26"/>
        </w:rPr>
        <w:t>Recommended Decision</w:t>
      </w:r>
      <w:r w:rsidR="00510CB9">
        <w:rPr>
          <w:sz w:val="26"/>
          <w:szCs w:val="26"/>
        </w:rPr>
        <w:t xml:space="preserve">, ALJ Dunderdale </w:t>
      </w:r>
      <w:r w:rsidR="0019718C">
        <w:rPr>
          <w:sz w:val="26"/>
          <w:szCs w:val="26"/>
        </w:rPr>
        <w:t>recommend</w:t>
      </w:r>
      <w:r w:rsidR="00E22790">
        <w:rPr>
          <w:sz w:val="26"/>
          <w:szCs w:val="26"/>
        </w:rPr>
        <w:t>ed</w:t>
      </w:r>
      <w:r w:rsidR="0019718C">
        <w:rPr>
          <w:sz w:val="26"/>
          <w:szCs w:val="26"/>
        </w:rPr>
        <w:t xml:space="preserve"> that </w:t>
      </w:r>
      <w:r w:rsidR="006F02C2">
        <w:rPr>
          <w:sz w:val="26"/>
          <w:szCs w:val="26"/>
        </w:rPr>
        <w:t>the Commission</w:t>
      </w:r>
      <w:r w:rsidR="007F1CE5">
        <w:rPr>
          <w:sz w:val="26"/>
          <w:szCs w:val="26"/>
        </w:rPr>
        <w:t xml:space="preserve"> </w:t>
      </w:r>
      <w:r w:rsidR="00DC3C7C">
        <w:rPr>
          <w:sz w:val="26"/>
          <w:szCs w:val="26"/>
        </w:rPr>
        <w:t xml:space="preserve">grant </w:t>
      </w:r>
      <w:r w:rsidR="003D5688">
        <w:rPr>
          <w:sz w:val="26"/>
          <w:szCs w:val="26"/>
        </w:rPr>
        <w:t>the</w:t>
      </w:r>
      <w:r w:rsidR="0012405A">
        <w:rPr>
          <w:sz w:val="26"/>
          <w:szCs w:val="26"/>
        </w:rPr>
        <w:t xml:space="preserve"> Joint</w:t>
      </w:r>
      <w:r w:rsidR="00693F31">
        <w:rPr>
          <w:sz w:val="26"/>
          <w:szCs w:val="26"/>
        </w:rPr>
        <w:t xml:space="preserve"> Petition for</w:t>
      </w:r>
      <w:r w:rsidR="007F1CE5">
        <w:rPr>
          <w:sz w:val="26"/>
          <w:szCs w:val="26"/>
        </w:rPr>
        <w:t xml:space="preserve"> </w:t>
      </w:r>
      <w:r w:rsidR="00775D09" w:rsidRPr="00775D09">
        <w:rPr>
          <w:sz w:val="26"/>
          <w:szCs w:val="26"/>
        </w:rPr>
        <w:t>Settlement</w:t>
      </w:r>
      <w:r w:rsidR="005C3519">
        <w:rPr>
          <w:sz w:val="26"/>
          <w:szCs w:val="26"/>
        </w:rPr>
        <w:t xml:space="preserve"> </w:t>
      </w:r>
      <w:r w:rsidR="007F1CE5">
        <w:rPr>
          <w:sz w:val="26"/>
          <w:szCs w:val="26"/>
        </w:rPr>
        <w:t xml:space="preserve">of Rate Investigation </w:t>
      </w:r>
      <w:r w:rsidR="005C3519">
        <w:rPr>
          <w:sz w:val="26"/>
          <w:szCs w:val="26"/>
        </w:rPr>
        <w:t>(</w:t>
      </w:r>
      <w:r w:rsidR="00051D79">
        <w:rPr>
          <w:sz w:val="26"/>
          <w:szCs w:val="26"/>
        </w:rPr>
        <w:t xml:space="preserve">Joint Petition) </w:t>
      </w:r>
      <w:r w:rsidR="00940B8B">
        <w:rPr>
          <w:sz w:val="26"/>
          <w:szCs w:val="26"/>
        </w:rPr>
        <w:t xml:space="preserve">filed by </w:t>
      </w:r>
      <w:r w:rsidR="00940B8B" w:rsidRPr="00102BCA">
        <w:rPr>
          <w:sz w:val="26"/>
          <w:szCs w:val="26"/>
        </w:rPr>
        <w:t xml:space="preserve">the Office of Consumer Advocate </w:t>
      </w:r>
      <w:r w:rsidR="00940B8B">
        <w:rPr>
          <w:sz w:val="26"/>
          <w:szCs w:val="26"/>
        </w:rPr>
        <w:t xml:space="preserve">(OCA) and </w:t>
      </w:r>
      <w:r w:rsidR="00940B8B">
        <w:rPr>
          <w:sz w:val="26"/>
          <w:szCs w:val="26"/>
        </w:rPr>
        <w:lastRenderedPageBreak/>
        <w:t xml:space="preserve">I&amp;E (collectively, Joint Petitioners) on April 6, 2016, and that the Joint </w:t>
      </w:r>
      <w:r w:rsidR="005C3519">
        <w:rPr>
          <w:sz w:val="26"/>
          <w:szCs w:val="26"/>
        </w:rPr>
        <w:t>Settlement</w:t>
      </w:r>
      <w:r w:rsidR="00940B8B">
        <w:rPr>
          <w:sz w:val="26"/>
          <w:szCs w:val="26"/>
        </w:rPr>
        <w:t xml:space="preserve"> (Settlement) contained therein be approved</w:t>
      </w:r>
      <w:r w:rsidR="003D5688">
        <w:rPr>
          <w:sz w:val="26"/>
          <w:szCs w:val="26"/>
        </w:rPr>
        <w:t>.</w:t>
      </w:r>
      <w:r w:rsidR="00102BCA">
        <w:rPr>
          <w:rStyle w:val="FootnoteReference"/>
          <w:sz w:val="26"/>
          <w:szCs w:val="26"/>
        </w:rPr>
        <w:footnoteReference w:id="4"/>
      </w:r>
    </w:p>
    <w:p w:rsidR="00C321EA" w:rsidRDefault="00C321EA" w:rsidP="006C6511">
      <w:pPr>
        <w:pStyle w:val="BodyTextIndent"/>
        <w:spacing w:after="0"/>
        <w:ind w:left="0" w:firstLine="1440"/>
        <w:rPr>
          <w:sz w:val="26"/>
          <w:szCs w:val="26"/>
        </w:rPr>
      </w:pPr>
    </w:p>
    <w:p w:rsidR="009E5583" w:rsidRPr="00600FC7" w:rsidRDefault="003F001F" w:rsidP="00BA4EB5">
      <w:pPr>
        <w:pStyle w:val="Heading1"/>
        <w:keepNext/>
        <w:keepLines/>
      </w:pPr>
      <w:bookmarkStart w:id="2" w:name="_Toc385423060"/>
      <w:bookmarkStart w:id="3" w:name="_Toc471747990"/>
      <w:bookmarkStart w:id="4" w:name="_Toc471748128"/>
      <w:r w:rsidRPr="00600FC7">
        <w:t>II.</w:t>
      </w:r>
      <w:r w:rsidRPr="00600FC7">
        <w:tab/>
      </w:r>
      <w:r w:rsidR="009E5583" w:rsidRPr="00600FC7">
        <w:t>History of the Proceeding</w:t>
      </w:r>
      <w:bookmarkEnd w:id="2"/>
      <w:bookmarkEnd w:id="3"/>
      <w:bookmarkEnd w:id="4"/>
    </w:p>
    <w:p w:rsidR="00693818" w:rsidRDefault="00693818" w:rsidP="00C321EA">
      <w:pPr>
        <w:keepNext/>
        <w:keepLines/>
        <w:tabs>
          <w:tab w:val="left" w:pos="4680"/>
        </w:tabs>
        <w:ind w:firstLine="1440"/>
        <w:rPr>
          <w:sz w:val="26"/>
          <w:szCs w:val="26"/>
        </w:rPr>
      </w:pPr>
    </w:p>
    <w:p w:rsidR="00C540FF" w:rsidRDefault="00C540FF" w:rsidP="00C540FF">
      <w:pPr>
        <w:rPr>
          <w:sz w:val="26"/>
          <w:szCs w:val="26"/>
        </w:rPr>
      </w:pPr>
      <w:r>
        <w:rPr>
          <w:sz w:val="26"/>
          <w:szCs w:val="26"/>
        </w:rPr>
        <w:tab/>
      </w:r>
      <w:r>
        <w:rPr>
          <w:sz w:val="26"/>
          <w:szCs w:val="26"/>
        </w:rPr>
        <w:tab/>
      </w:r>
      <w:r w:rsidRPr="00C540FF">
        <w:rPr>
          <w:sz w:val="26"/>
          <w:szCs w:val="26"/>
        </w:rPr>
        <w:t>On October 30, 2017, Reynolds filed Supplement No. 5 To Tariff – Water Pa. P.U.C. No. 4 to become effective January 1, 2018</w:t>
      </w:r>
      <w:r w:rsidR="00217DFC">
        <w:rPr>
          <w:sz w:val="26"/>
          <w:szCs w:val="26"/>
        </w:rPr>
        <w:t xml:space="preserve"> </w:t>
      </w:r>
      <w:r>
        <w:rPr>
          <w:sz w:val="26"/>
          <w:szCs w:val="26"/>
        </w:rPr>
        <w:t>(Supplement No. 5)</w:t>
      </w:r>
      <w:r w:rsidRPr="00C540FF">
        <w:rPr>
          <w:sz w:val="26"/>
          <w:szCs w:val="26"/>
        </w:rPr>
        <w:t>.</w:t>
      </w:r>
      <w:r w:rsidR="001826E9">
        <w:rPr>
          <w:rStyle w:val="FootnoteReference"/>
          <w:sz w:val="26"/>
          <w:szCs w:val="26"/>
        </w:rPr>
        <w:footnoteReference w:id="5"/>
      </w:r>
      <w:r w:rsidRPr="00C540FF">
        <w:rPr>
          <w:sz w:val="26"/>
          <w:szCs w:val="26"/>
        </w:rPr>
        <w:t xml:space="preserve">  </w:t>
      </w:r>
      <w:r>
        <w:rPr>
          <w:sz w:val="26"/>
          <w:szCs w:val="26"/>
        </w:rPr>
        <w:t xml:space="preserve">Supplement No. 5 </w:t>
      </w:r>
      <w:r w:rsidRPr="00C540FF">
        <w:rPr>
          <w:sz w:val="26"/>
          <w:szCs w:val="26"/>
        </w:rPr>
        <w:t>propose</w:t>
      </w:r>
      <w:r w:rsidR="008D72FF">
        <w:rPr>
          <w:sz w:val="26"/>
          <w:szCs w:val="26"/>
        </w:rPr>
        <w:t>d</w:t>
      </w:r>
      <w:r w:rsidRPr="00C540FF">
        <w:rPr>
          <w:sz w:val="26"/>
          <w:szCs w:val="26"/>
        </w:rPr>
        <w:t xml:space="preserve"> to increase Reynold</w:t>
      </w:r>
      <w:r>
        <w:rPr>
          <w:sz w:val="26"/>
          <w:szCs w:val="26"/>
        </w:rPr>
        <w:t>s’</w:t>
      </w:r>
      <w:r w:rsidRPr="00C540FF">
        <w:rPr>
          <w:sz w:val="26"/>
          <w:szCs w:val="26"/>
        </w:rPr>
        <w:t xml:space="preserve"> total annual operating revenues by approximately $236,829 or 45.4% above the level of pro forma revenues for the future test year ending June 30, 2018</w:t>
      </w:r>
      <w:r w:rsidR="00AA05A8">
        <w:rPr>
          <w:sz w:val="26"/>
          <w:szCs w:val="26"/>
        </w:rPr>
        <w:t xml:space="preserve">, to </w:t>
      </w:r>
      <w:r w:rsidR="00AA05A8" w:rsidRPr="00AA05A8">
        <w:rPr>
          <w:sz w:val="26"/>
          <w:szCs w:val="26"/>
        </w:rPr>
        <w:t>become effective on or about January 1, 2018</w:t>
      </w:r>
      <w:r w:rsidR="00AA05A8">
        <w:rPr>
          <w:sz w:val="26"/>
          <w:szCs w:val="26"/>
        </w:rPr>
        <w:t xml:space="preserve">.  </w:t>
      </w:r>
      <w:r w:rsidR="00A97EE8">
        <w:rPr>
          <w:sz w:val="26"/>
          <w:szCs w:val="26"/>
        </w:rPr>
        <w:t xml:space="preserve">According to </w:t>
      </w:r>
      <w:r w:rsidR="00AA05A8">
        <w:rPr>
          <w:sz w:val="26"/>
          <w:szCs w:val="26"/>
        </w:rPr>
        <w:t xml:space="preserve">Supplement No. 5, the average bill of a typical </w:t>
      </w:r>
      <w:r w:rsidR="00AA05A8" w:rsidRPr="00AA05A8">
        <w:rPr>
          <w:sz w:val="26"/>
          <w:szCs w:val="26"/>
        </w:rPr>
        <w:t>residential customer using 9,000 gallons per quarte</w:t>
      </w:r>
      <w:r w:rsidR="00AA05A8">
        <w:rPr>
          <w:sz w:val="26"/>
          <w:szCs w:val="26"/>
        </w:rPr>
        <w:t xml:space="preserve">r would increase </w:t>
      </w:r>
      <w:r w:rsidR="00AA05A8" w:rsidRPr="00AA05A8">
        <w:rPr>
          <w:sz w:val="26"/>
          <w:szCs w:val="26"/>
        </w:rPr>
        <w:t>from $92.76 per quarter to $134.87 per quarter</w:t>
      </w:r>
      <w:r w:rsidR="00B5383C">
        <w:rPr>
          <w:sz w:val="26"/>
          <w:szCs w:val="26"/>
        </w:rPr>
        <w:t xml:space="preserve"> or by </w:t>
      </w:r>
      <w:r w:rsidR="00B5383C" w:rsidRPr="00AA05A8">
        <w:rPr>
          <w:sz w:val="26"/>
          <w:szCs w:val="26"/>
        </w:rPr>
        <w:t>45.4%</w:t>
      </w:r>
      <w:r w:rsidR="00AA05A8" w:rsidRPr="00AA05A8">
        <w:rPr>
          <w:sz w:val="26"/>
          <w:szCs w:val="26"/>
        </w:rPr>
        <w:t>.</w:t>
      </w:r>
      <w:r w:rsidR="00B25ABA">
        <w:rPr>
          <w:rStyle w:val="FootnoteReference"/>
          <w:sz w:val="26"/>
          <w:szCs w:val="26"/>
        </w:rPr>
        <w:footnoteReference w:id="6"/>
      </w:r>
    </w:p>
    <w:p w:rsidR="00217DFC" w:rsidRDefault="00217DFC" w:rsidP="00C540FF">
      <w:pPr>
        <w:rPr>
          <w:sz w:val="26"/>
          <w:szCs w:val="26"/>
        </w:rPr>
      </w:pPr>
    </w:p>
    <w:p w:rsidR="00217DFC" w:rsidRDefault="00217DFC" w:rsidP="00217DFC">
      <w:pPr>
        <w:ind w:firstLine="1440"/>
        <w:rPr>
          <w:sz w:val="26"/>
          <w:szCs w:val="26"/>
        </w:rPr>
      </w:pPr>
      <w:r w:rsidRPr="00217DFC">
        <w:rPr>
          <w:sz w:val="26"/>
          <w:szCs w:val="26"/>
        </w:rPr>
        <w:t xml:space="preserve">On December 1, 2017, the OCA filed a </w:t>
      </w:r>
      <w:r>
        <w:rPr>
          <w:sz w:val="26"/>
          <w:szCs w:val="26"/>
        </w:rPr>
        <w:t>F</w:t>
      </w:r>
      <w:r w:rsidRPr="00217DFC">
        <w:rPr>
          <w:sz w:val="26"/>
          <w:szCs w:val="26"/>
        </w:rPr>
        <w:t xml:space="preserve">ormal </w:t>
      </w:r>
      <w:r>
        <w:rPr>
          <w:sz w:val="26"/>
          <w:szCs w:val="26"/>
        </w:rPr>
        <w:t>C</w:t>
      </w:r>
      <w:r w:rsidRPr="00217DFC">
        <w:rPr>
          <w:sz w:val="26"/>
          <w:szCs w:val="26"/>
        </w:rPr>
        <w:t>omplaint against Reynolds at Docket No. C-2017-2636654.  On December 5, 2017,</w:t>
      </w:r>
      <w:r>
        <w:rPr>
          <w:sz w:val="26"/>
          <w:szCs w:val="26"/>
        </w:rPr>
        <w:t xml:space="preserve"> </w:t>
      </w:r>
      <w:r w:rsidR="003E00ED">
        <w:rPr>
          <w:sz w:val="26"/>
          <w:szCs w:val="26"/>
        </w:rPr>
        <w:t>I&amp;E</w:t>
      </w:r>
      <w:r w:rsidR="003E00ED" w:rsidRPr="00217DFC">
        <w:rPr>
          <w:sz w:val="26"/>
          <w:szCs w:val="26"/>
        </w:rPr>
        <w:t xml:space="preserve"> </w:t>
      </w:r>
      <w:r w:rsidRPr="00217DFC">
        <w:rPr>
          <w:sz w:val="26"/>
          <w:szCs w:val="26"/>
        </w:rPr>
        <w:t xml:space="preserve">filed its Notice of Appearance.  </w:t>
      </w:r>
      <w:r w:rsidR="00BD4FDC">
        <w:rPr>
          <w:sz w:val="26"/>
          <w:szCs w:val="26"/>
        </w:rPr>
        <w:t xml:space="preserve">Subsequently, </w:t>
      </w:r>
      <w:r w:rsidR="00355D38">
        <w:rPr>
          <w:sz w:val="26"/>
          <w:szCs w:val="26"/>
        </w:rPr>
        <w:t xml:space="preserve">twenty customers of the </w:t>
      </w:r>
      <w:r w:rsidR="00B40654">
        <w:rPr>
          <w:sz w:val="26"/>
          <w:szCs w:val="26"/>
        </w:rPr>
        <w:t xml:space="preserve">Company </w:t>
      </w:r>
      <w:r w:rsidR="00355D38">
        <w:rPr>
          <w:sz w:val="26"/>
          <w:szCs w:val="26"/>
        </w:rPr>
        <w:t xml:space="preserve">filed </w:t>
      </w:r>
      <w:r w:rsidR="00BD4FDC">
        <w:rPr>
          <w:sz w:val="26"/>
          <w:szCs w:val="26"/>
        </w:rPr>
        <w:t>Formal Complainant</w:t>
      </w:r>
      <w:r w:rsidR="00355D38">
        <w:rPr>
          <w:sz w:val="26"/>
          <w:szCs w:val="26"/>
        </w:rPr>
        <w:t>s</w:t>
      </w:r>
      <w:r w:rsidR="00BD4FDC">
        <w:rPr>
          <w:sz w:val="26"/>
          <w:szCs w:val="26"/>
        </w:rPr>
        <w:t>.</w:t>
      </w:r>
    </w:p>
    <w:p w:rsidR="00C97342" w:rsidRPr="00C540FF" w:rsidRDefault="00C97342" w:rsidP="00217DFC">
      <w:pPr>
        <w:ind w:firstLine="1440"/>
        <w:rPr>
          <w:sz w:val="26"/>
          <w:szCs w:val="26"/>
        </w:rPr>
      </w:pPr>
    </w:p>
    <w:p w:rsidR="002B3766" w:rsidRDefault="00796A72" w:rsidP="002B3766">
      <w:pPr>
        <w:rPr>
          <w:sz w:val="26"/>
          <w:szCs w:val="26"/>
        </w:rPr>
      </w:pPr>
      <w:r>
        <w:tab/>
      </w:r>
      <w:r w:rsidR="00DE26AD">
        <w:tab/>
      </w:r>
      <w:r w:rsidR="00693818" w:rsidRPr="00796A72">
        <w:rPr>
          <w:sz w:val="26"/>
          <w:szCs w:val="26"/>
        </w:rPr>
        <w:t xml:space="preserve">By </w:t>
      </w:r>
      <w:r w:rsidR="00CA3BB9">
        <w:rPr>
          <w:sz w:val="26"/>
          <w:szCs w:val="26"/>
        </w:rPr>
        <w:t>O</w:t>
      </w:r>
      <w:r w:rsidR="00693818" w:rsidRPr="00796A72">
        <w:rPr>
          <w:sz w:val="26"/>
          <w:szCs w:val="26"/>
        </w:rPr>
        <w:t>rder entered</w:t>
      </w:r>
      <w:r w:rsidR="007823D9">
        <w:rPr>
          <w:sz w:val="26"/>
          <w:szCs w:val="26"/>
        </w:rPr>
        <w:t xml:space="preserve"> December 21</w:t>
      </w:r>
      <w:r w:rsidR="00693818" w:rsidRPr="00796A72">
        <w:rPr>
          <w:sz w:val="26"/>
          <w:szCs w:val="26"/>
        </w:rPr>
        <w:t>, 201</w:t>
      </w:r>
      <w:r w:rsidR="007823D9">
        <w:rPr>
          <w:sz w:val="26"/>
          <w:szCs w:val="26"/>
        </w:rPr>
        <w:t>7</w:t>
      </w:r>
      <w:r w:rsidR="00693818" w:rsidRPr="00796A72">
        <w:rPr>
          <w:sz w:val="26"/>
          <w:szCs w:val="26"/>
        </w:rPr>
        <w:t xml:space="preserve">, the Commission suspended </w:t>
      </w:r>
      <w:r w:rsidR="002B3766">
        <w:rPr>
          <w:sz w:val="26"/>
          <w:szCs w:val="26"/>
        </w:rPr>
        <w:t>Supplement No. 5</w:t>
      </w:r>
      <w:r w:rsidR="001D400A">
        <w:rPr>
          <w:sz w:val="26"/>
          <w:szCs w:val="26"/>
        </w:rPr>
        <w:t xml:space="preserve"> for investigation,</w:t>
      </w:r>
      <w:r w:rsidR="00693818" w:rsidRPr="00796A72">
        <w:rPr>
          <w:sz w:val="26"/>
          <w:szCs w:val="26"/>
        </w:rPr>
        <w:t xml:space="preserve"> pursuant to Section 1308(d) of the Public Utility Code</w:t>
      </w:r>
      <w:r w:rsidR="009072D6">
        <w:rPr>
          <w:sz w:val="26"/>
          <w:szCs w:val="26"/>
        </w:rPr>
        <w:t xml:space="preserve"> (Code)</w:t>
      </w:r>
      <w:r w:rsidR="00693818" w:rsidRPr="00796A72">
        <w:rPr>
          <w:sz w:val="26"/>
          <w:szCs w:val="26"/>
        </w:rPr>
        <w:t xml:space="preserve">, </w:t>
      </w:r>
      <w:r w:rsidR="009B6EAA">
        <w:rPr>
          <w:sz w:val="26"/>
          <w:szCs w:val="26"/>
        </w:rPr>
        <w:t xml:space="preserve">66 Pa. C.S. § 1308(d), </w:t>
      </w:r>
      <w:r w:rsidR="00411148">
        <w:rPr>
          <w:sz w:val="26"/>
          <w:szCs w:val="26"/>
        </w:rPr>
        <w:t xml:space="preserve">to determine the lawfulness, justness and reasonableness </w:t>
      </w:r>
      <w:r w:rsidR="009072D6">
        <w:rPr>
          <w:sz w:val="26"/>
          <w:szCs w:val="26"/>
        </w:rPr>
        <w:t xml:space="preserve">of the rates, </w:t>
      </w:r>
      <w:r w:rsidR="00693818" w:rsidRPr="00796A72">
        <w:rPr>
          <w:sz w:val="26"/>
          <w:szCs w:val="26"/>
        </w:rPr>
        <w:t>until</w:t>
      </w:r>
      <w:r w:rsidR="002B3766">
        <w:rPr>
          <w:sz w:val="26"/>
          <w:szCs w:val="26"/>
        </w:rPr>
        <w:t xml:space="preserve"> August 1</w:t>
      </w:r>
      <w:r w:rsidR="00693818" w:rsidRPr="00796A72">
        <w:rPr>
          <w:sz w:val="26"/>
          <w:szCs w:val="26"/>
        </w:rPr>
        <w:t>, 201</w:t>
      </w:r>
      <w:r w:rsidR="002B3766">
        <w:rPr>
          <w:sz w:val="26"/>
          <w:szCs w:val="26"/>
        </w:rPr>
        <w:t>8</w:t>
      </w:r>
      <w:r w:rsidR="00693818" w:rsidRPr="00796A72">
        <w:rPr>
          <w:sz w:val="26"/>
          <w:szCs w:val="26"/>
        </w:rPr>
        <w:t>, unless permitted by Commission Order to become effective at an earlier date</w:t>
      </w:r>
      <w:r w:rsidR="00F125E3">
        <w:rPr>
          <w:sz w:val="26"/>
          <w:szCs w:val="26"/>
        </w:rPr>
        <w:t xml:space="preserve"> </w:t>
      </w:r>
      <w:r w:rsidR="00F125E3" w:rsidRPr="004D0E27">
        <w:rPr>
          <w:sz w:val="26"/>
          <w:szCs w:val="26"/>
        </w:rPr>
        <w:t>(</w:t>
      </w:r>
      <w:r w:rsidR="00F125E3" w:rsidRPr="00F125E3">
        <w:rPr>
          <w:i/>
          <w:sz w:val="26"/>
          <w:szCs w:val="26"/>
        </w:rPr>
        <w:t>December 2017 Order</w:t>
      </w:r>
      <w:r w:rsidR="00F125E3" w:rsidRPr="004D0E27">
        <w:rPr>
          <w:sz w:val="26"/>
          <w:szCs w:val="26"/>
        </w:rPr>
        <w:t>)</w:t>
      </w:r>
      <w:r w:rsidR="00693818" w:rsidRPr="00796A72">
        <w:rPr>
          <w:sz w:val="26"/>
          <w:szCs w:val="26"/>
        </w:rPr>
        <w:t>.</w:t>
      </w:r>
      <w:r w:rsidR="00355E5D">
        <w:rPr>
          <w:sz w:val="26"/>
          <w:szCs w:val="26"/>
        </w:rPr>
        <w:t xml:space="preserve">  </w:t>
      </w:r>
      <w:r w:rsidR="0024257E">
        <w:rPr>
          <w:sz w:val="26"/>
          <w:szCs w:val="26"/>
        </w:rPr>
        <w:t>T</w:t>
      </w:r>
      <w:r w:rsidR="002B3766" w:rsidRPr="002B3766">
        <w:rPr>
          <w:sz w:val="26"/>
          <w:szCs w:val="26"/>
        </w:rPr>
        <w:t>he</w:t>
      </w:r>
      <w:r w:rsidR="0024257E">
        <w:rPr>
          <w:sz w:val="26"/>
          <w:szCs w:val="26"/>
        </w:rPr>
        <w:t>reafter,</w:t>
      </w:r>
      <w:r w:rsidR="002B3766" w:rsidRPr="002B3766">
        <w:rPr>
          <w:sz w:val="26"/>
          <w:szCs w:val="26"/>
        </w:rPr>
        <w:t xml:space="preserve"> </w:t>
      </w:r>
      <w:r w:rsidR="0024257E">
        <w:rPr>
          <w:sz w:val="26"/>
          <w:szCs w:val="26"/>
        </w:rPr>
        <w:t xml:space="preserve">the </w:t>
      </w:r>
      <w:r w:rsidR="002B3766" w:rsidRPr="002B3766">
        <w:rPr>
          <w:sz w:val="26"/>
          <w:szCs w:val="26"/>
        </w:rPr>
        <w:t>matter was assigned to the Office of Administrative Law Judge (OALJ) to schedule such hearings as necessary to develop a record in this proceeding.</w:t>
      </w:r>
    </w:p>
    <w:p w:rsidR="00A366DC" w:rsidRPr="002B3766" w:rsidRDefault="00A366DC" w:rsidP="002B3766">
      <w:pPr>
        <w:rPr>
          <w:sz w:val="26"/>
          <w:szCs w:val="26"/>
        </w:rPr>
      </w:pPr>
    </w:p>
    <w:p w:rsidR="008D72FF" w:rsidRPr="007D2340" w:rsidRDefault="008D72FF" w:rsidP="007974FE">
      <w:pPr>
        <w:ind w:firstLine="1440"/>
        <w:rPr>
          <w:sz w:val="26"/>
          <w:szCs w:val="26"/>
        </w:rPr>
      </w:pPr>
      <w:r w:rsidRPr="007D2340">
        <w:rPr>
          <w:sz w:val="26"/>
          <w:szCs w:val="26"/>
        </w:rPr>
        <w:t xml:space="preserve">On December 28, 2017, </w:t>
      </w:r>
      <w:r w:rsidR="00945D0D">
        <w:rPr>
          <w:sz w:val="26"/>
          <w:szCs w:val="26"/>
        </w:rPr>
        <w:t xml:space="preserve">the Company </w:t>
      </w:r>
      <w:r w:rsidRPr="007D2340">
        <w:rPr>
          <w:sz w:val="26"/>
          <w:szCs w:val="26"/>
        </w:rPr>
        <w:t>filed Supplement No. 6 to Reynolds’ Tariff Water – Pa. P.U.C. No. 4, which suspended the effective date of Supplement No.</w:t>
      </w:r>
      <w:r w:rsidR="0024257E">
        <w:rPr>
          <w:sz w:val="26"/>
          <w:szCs w:val="26"/>
        </w:rPr>
        <w:t> </w:t>
      </w:r>
      <w:r w:rsidRPr="007D2340">
        <w:rPr>
          <w:sz w:val="26"/>
          <w:szCs w:val="26"/>
        </w:rPr>
        <w:t>5 from January 1, 2018</w:t>
      </w:r>
      <w:r w:rsidR="0024257E">
        <w:rPr>
          <w:sz w:val="26"/>
          <w:szCs w:val="26"/>
        </w:rPr>
        <w:t>,</w:t>
      </w:r>
      <w:r w:rsidRPr="007D2340">
        <w:rPr>
          <w:sz w:val="26"/>
          <w:szCs w:val="26"/>
        </w:rPr>
        <w:t xml:space="preserve"> until August 1, 2018 (Supplement No. 6). </w:t>
      </w:r>
    </w:p>
    <w:p w:rsidR="008D72FF" w:rsidRPr="007D2340" w:rsidRDefault="008D72FF" w:rsidP="00F5115B">
      <w:pPr>
        <w:pStyle w:val="FootnoteText"/>
      </w:pPr>
    </w:p>
    <w:p w:rsidR="00827890" w:rsidRPr="007D2340" w:rsidRDefault="00B27569" w:rsidP="00F5115B">
      <w:pPr>
        <w:pStyle w:val="FootnoteText"/>
      </w:pPr>
      <w:r w:rsidRPr="007D2340">
        <w:t>On December 29, 2017, the ALJ convened a Prehearing Conference.  Reynolds, the OCA, I</w:t>
      </w:r>
      <w:r w:rsidR="00AF6B4B">
        <w:t>&amp;</w:t>
      </w:r>
      <w:r w:rsidRPr="007D2340">
        <w:t xml:space="preserve">E, and </w:t>
      </w:r>
      <w:r w:rsidR="00CA3BB9">
        <w:t xml:space="preserve">Complainant </w:t>
      </w:r>
      <w:r w:rsidRPr="007D2340">
        <w:t>James Vessella</w:t>
      </w:r>
      <w:r w:rsidR="00945D0D">
        <w:t xml:space="preserve"> </w:t>
      </w:r>
      <w:r w:rsidRPr="007D2340">
        <w:t>participated.</w:t>
      </w:r>
    </w:p>
    <w:p w:rsidR="00827890" w:rsidRPr="007D2340" w:rsidRDefault="00827890" w:rsidP="00F5115B">
      <w:pPr>
        <w:pStyle w:val="FootnoteText"/>
      </w:pPr>
    </w:p>
    <w:p w:rsidR="00930582" w:rsidRPr="007D2340" w:rsidRDefault="00827890" w:rsidP="00F5115B">
      <w:pPr>
        <w:pStyle w:val="FootnoteText"/>
      </w:pPr>
      <w:r w:rsidRPr="007D2340">
        <w:t>O</w:t>
      </w:r>
      <w:r w:rsidR="00B27569" w:rsidRPr="007D2340">
        <w:t xml:space="preserve">n January 2, 2018, the </w:t>
      </w:r>
      <w:r w:rsidRPr="007D2340">
        <w:t>ALJ</w:t>
      </w:r>
      <w:r w:rsidR="00B27569" w:rsidRPr="007D2340">
        <w:t xml:space="preserve"> issued </w:t>
      </w:r>
      <w:r w:rsidR="000401E8">
        <w:t xml:space="preserve">a </w:t>
      </w:r>
      <w:r w:rsidR="00B27569" w:rsidRPr="007D2340">
        <w:t xml:space="preserve">Prehearing Order which memorialized the discussions at the </w:t>
      </w:r>
      <w:r w:rsidRPr="007D2340">
        <w:t>P</w:t>
      </w:r>
      <w:r w:rsidR="00B27569" w:rsidRPr="007D2340">
        <w:t xml:space="preserve">rehearing </w:t>
      </w:r>
      <w:r w:rsidRPr="007D2340">
        <w:t>C</w:t>
      </w:r>
      <w:r w:rsidR="00B27569" w:rsidRPr="007D2340">
        <w:t xml:space="preserve">onference and consolidated the </w:t>
      </w:r>
      <w:r w:rsidRPr="007D2340">
        <w:t>F</w:t>
      </w:r>
      <w:r w:rsidR="00B27569" w:rsidRPr="007D2340">
        <w:t xml:space="preserve">ormal </w:t>
      </w:r>
      <w:r w:rsidRPr="007D2340">
        <w:t>C</w:t>
      </w:r>
      <w:r w:rsidR="00B27569" w:rsidRPr="007D2340">
        <w:t xml:space="preserve">omplaints.  The </w:t>
      </w:r>
      <w:r w:rsidR="00E5076C">
        <w:t>P</w:t>
      </w:r>
      <w:r w:rsidR="00B27569" w:rsidRPr="007D2340">
        <w:t xml:space="preserve">arties asserted a willingness to engage in the Commission’s mediation process, and the </w:t>
      </w:r>
      <w:r w:rsidRPr="007D2340">
        <w:t>ALJ</w:t>
      </w:r>
      <w:r w:rsidR="00B27569" w:rsidRPr="007D2340">
        <w:t xml:space="preserve"> agreed not to establish a litigation schedule.</w:t>
      </w:r>
    </w:p>
    <w:p w:rsidR="00930582" w:rsidRPr="007D2340" w:rsidRDefault="00930582" w:rsidP="00F5115B">
      <w:pPr>
        <w:pStyle w:val="FootnoteText"/>
      </w:pPr>
    </w:p>
    <w:p w:rsidR="009072D6" w:rsidRDefault="009072D6" w:rsidP="000B55AE">
      <w:pPr>
        <w:rPr>
          <w:sz w:val="26"/>
          <w:szCs w:val="26"/>
        </w:rPr>
      </w:pPr>
      <w:r>
        <w:rPr>
          <w:sz w:val="26"/>
          <w:szCs w:val="26"/>
        </w:rPr>
        <w:tab/>
      </w:r>
      <w:r>
        <w:rPr>
          <w:sz w:val="26"/>
          <w:szCs w:val="26"/>
        </w:rPr>
        <w:tab/>
      </w:r>
      <w:r w:rsidR="00D9350B" w:rsidRPr="00D9350B">
        <w:rPr>
          <w:sz w:val="26"/>
          <w:szCs w:val="26"/>
        </w:rPr>
        <w:t xml:space="preserve">On January 11, 2018, the </w:t>
      </w:r>
      <w:r w:rsidR="00D9350B">
        <w:rPr>
          <w:sz w:val="26"/>
          <w:szCs w:val="26"/>
        </w:rPr>
        <w:t>ALJ</w:t>
      </w:r>
      <w:r w:rsidR="00D9350B" w:rsidRPr="00D9350B">
        <w:rPr>
          <w:sz w:val="26"/>
          <w:szCs w:val="26"/>
        </w:rPr>
        <w:t xml:space="preserve"> issued a Protective Order in response to a Petition for Protective Order filed by Reynolds on January 2, 2018.</w:t>
      </w:r>
    </w:p>
    <w:p w:rsidR="00D9350B" w:rsidRDefault="00D9350B" w:rsidP="002B170B">
      <w:pPr>
        <w:rPr>
          <w:sz w:val="26"/>
          <w:szCs w:val="26"/>
        </w:rPr>
      </w:pPr>
    </w:p>
    <w:p w:rsidR="00D9350B" w:rsidRDefault="00D9350B" w:rsidP="00D9350B">
      <w:pPr>
        <w:ind w:firstLine="1440"/>
        <w:rPr>
          <w:sz w:val="26"/>
          <w:szCs w:val="26"/>
        </w:rPr>
      </w:pPr>
      <w:r w:rsidRPr="00D9350B">
        <w:rPr>
          <w:sz w:val="26"/>
          <w:szCs w:val="26"/>
        </w:rPr>
        <w:t xml:space="preserve">On February 2, 2018, the </w:t>
      </w:r>
      <w:r w:rsidR="008511EE">
        <w:rPr>
          <w:sz w:val="26"/>
          <w:szCs w:val="26"/>
        </w:rPr>
        <w:t>ALJ</w:t>
      </w:r>
      <w:r w:rsidRPr="00D9350B">
        <w:rPr>
          <w:sz w:val="26"/>
          <w:szCs w:val="26"/>
        </w:rPr>
        <w:t xml:space="preserve"> issued </w:t>
      </w:r>
      <w:r w:rsidR="00AF6B4B">
        <w:rPr>
          <w:sz w:val="26"/>
          <w:szCs w:val="26"/>
        </w:rPr>
        <w:t>an</w:t>
      </w:r>
      <w:r w:rsidRPr="00D9350B">
        <w:rPr>
          <w:sz w:val="26"/>
          <w:szCs w:val="26"/>
        </w:rPr>
        <w:t xml:space="preserve"> Interim Order which consolidated the </w:t>
      </w:r>
      <w:r w:rsidR="008511EE">
        <w:rPr>
          <w:sz w:val="26"/>
          <w:szCs w:val="26"/>
        </w:rPr>
        <w:t>F</w:t>
      </w:r>
      <w:r w:rsidRPr="00D9350B">
        <w:rPr>
          <w:sz w:val="26"/>
          <w:szCs w:val="26"/>
        </w:rPr>
        <w:t xml:space="preserve">ormal </w:t>
      </w:r>
      <w:r w:rsidR="008511EE">
        <w:rPr>
          <w:sz w:val="26"/>
          <w:szCs w:val="26"/>
        </w:rPr>
        <w:t>C</w:t>
      </w:r>
      <w:r w:rsidRPr="00D9350B">
        <w:rPr>
          <w:sz w:val="26"/>
          <w:szCs w:val="26"/>
        </w:rPr>
        <w:t>omplaint of Margaret Foust</w:t>
      </w:r>
      <w:r w:rsidR="00E44508">
        <w:rPr>
          <w:sz w:val="26"/>
          <w:szCs w:val="26"/>
        </w:rPr>
        <w:t xml:space="preserve">, </w:t>
      </w:r>
      <w:r w:rsidR="008511EE">
        <w:rPr>
          <w:sz w:val="26"/>
          <w:szCs w:val="26"/>
        </w:rPr>
        <w:t>one of the Complainants</w:t>
      </w:r>
      <w:r w:rsidR="00E44508">
        <w:rPr>
          <w:sz w:val="26"/>
          <w:szCs w:val="26"/>
        </w:rPr>
        <w:t>,</w:t>
      </w:r>
      <w:r w:rsidRPr="00D9350B">
        <w:rPr>
          <w:sz w:val="26"/>
          <w:szCs w:val="26"/>
        </w:rPr>
        <w:t xml:space="preserve"> at Docket No. C</w:t>
      </w:r>
      <w:r w:rsidR="00D129D2">
        <w:rPr>
          <w:sz w:val="26"/>
          <w:szCs w:val="26"/>
        </w:rPr>
        <w:noBreakHyphen/>
      </w:r>
      <w:r w:rsidRPr="00D9350B">
        <w:rPr>
          <w:sz w:val="26"/>
          <w:szCs w:val="26"/>
        </w:rPr>
        <w:t>2018-2644372.  On the same date, Reynolds filed Supplement No. 7 to suspend the proposed rates</w:t>
      </w:r>
      <w:r w:rsidR="00C257F7">
        <w:rPr>
          <w:sz w:val="26"/>
          <w:szCs w:val="26"/>
        </w:rPr>
        <w:t xml:space="preserve"> in </w:t>
      </w:r>
      <w:r w:rsidR="00C257F7" w:rsidRPr="007D2340">
        <w:rPr>
          <w:sz w:val="26"/>
          <w:szCs w:val="26"/>
        </w:rPr>
        <w:t>Supplement No. 6</w:t>
      </w:r>
      <w:r w:rsidRPr="00D9350B">
        <w:rPr>
          <w:sz w:val="26"/>
          <w:szCs w:val="26"/>
        </w:rPr>
        <w:t xml:space="preserve"> until October 1, 2018</w:t>
      </w:r>
      <w:r w:rsidR="00C257F7">
        <w:rPr>
          <w:sz w:val="26"/>
          <w:szCs w:val="26"/>
        </w:rPr>
        <w:t>,</w:t>
      </w:r>
      <w:r w:rsidRPr="00D9350B">
        <w:rPr>
          <w:sz w:val="26"/>
          <w:szCs w:val="26"/>
        </w:rPr>
        <w:t xml:space="preserve"> to </w:t>
      </w:r>
      <w:r w:rsidR="009452EE">
        <w:rPr>
          <w:sz w:val="26"/>
          <w:szCs w:val="26"/>
        </w:rPr>
        <w:t>allow</w:t>
      </w:r>
      <w:r w:rsidRPr="00D9350B">
        <w:rPr>
          <w:sz w:val="26"/>
          <w:szCs w:val="26"/>
        </w:rPr>
        <w:t xml:space="preserve"> time for the mediation process</w:t>
      </w:r>
      <w:r w:rsidR="008511EE">
        <w:rPr>
          <w:sz w:val="26"/>
          <w:szCs w:val="26"/>
        </w:rPr>
        <w:t xml:space="preserve"> (Supplement No. 7)</w:t>
      </w:r>
      <w:r w:rsidRPr="00D9350B">
        <w:rPr>
          <w:sz w:val="26"/>
          <w:szCs w:val="26"/>
        </w:rPr>
        <w:t>.</w:t>
      </w:r>
    </w:p>
    <w:p w:rsidR="00AB16B5" w:rsidRDefault="00AB16B5" w:rsidP="00D9350B">
      <w:pPr>
        <w:ind w:firstLine="1440"/>
        <w:rPr>
          <w:sz w:val="26"/>
          <w:szCs w:val="26"/>
        </w:rPr>
      </w:pPr>
      <w:r w:rsidRPr="00AB16B5">
        <w:rPr>
          <w:sz w:val="26"/>
          <w:szCs w:val="26"/>
        </w:rPr>
        <w:lastRenderedPageBreak/>
        <w:t xml:space="preserve">On February 14, 2018, the </w:t>
      </w:r>
      <w:r>
        <w:rPr>
          <w:sz w:val="26"/>
          <w:szCs w:val="26"/>
        </w:rPr>
        <w:t>ALJ</w:t>
      </w:r>
      <w:r w:rsidRPr="00AB16B5">
        <w:rPr>
          <w:sz w:val="26"/>
          <w:szCs w:val="26"/>
        </w:rPr>
        <w:t xml:space="preserve"> issued </w:t>
      </w:r>
      <w:r w:rsidR="00AF6B4B">
        <w:rPr>
          <w:sz w:val="26"/>
          <w:szCs w:val="26"/>
        </w:rPr>
        <w:t>another</w:t>
      </w:r>
      <w:r w:rsidRPr="00AB16B5">
        <w:rPr>
          <w:sz w:val="26"/>
          <w:szCs w:val="26"/>
        </w:rPr>
        <w:t xml:space="preserve"> Interim Order which added an additional seven </w:t>
      </w:r>
      <w:r>
        <w:rPr>
          <w:sz w:val="26"/>
          <w:szCs w:val="26"/>
        </w:rPr>
        <w:t>F</w:t>
      </w:r>
      <w:r w:rsidRPr="00AB16B5">
        <w:rPr>
          <w:sz w:val="26"/>
          <w:szCs w:val="26"/>
        </w:rPr>
        <w:t xml:space="preserve">ormal </w:t>
      </w:r>
      <w:r>
        <w:rPr>
          <w:sz w:val="26"/>
          <w:szCs w:val="26"/>
        </w:rPr>
        <w:t>C</w:t>
      </w:r>
      <w:r w:rsidRPr="00AB16B5">
        <w:rPr>
          <w:sz w:val="26"/>
          <w:szCs w:val="26"/>
        </w:rPr>
        <w:t>omplaints to the rate proceeding.  Th</w:t>
      </w:r>
      <w:r>
        <w:rPr>
          <w:sz w:val="26"/>
          <w:szCs w:val="26"/>
        </w:rPr>
        <w:t>e</w:t>
      </w:r>
      <w:r w:rsidRPr="00AB16B5">
        <w:rPr>
          <w:sz w:val="26"/>
          <w:szCs w:val="26"/>
        </w:rPr>
        <w:t xml:space="preserve"> seven </w:t>
      </w:r>
      <w:r>
        <w:rPr>
          <w:sz w:val="26"/>
          <w:szCs w:val="26"/>
        </w:rPr>
        <w:t>F</w:t>
      </w:r>
      <w:r w:rsidRPr="00AB16B5">
        <w:rPr>
          <w:sz w:val="26"/>
          <w:szCs w:val="26"/>
        </w:rPr>
        <w:t xml:space="preserve">ormal </w:t>
      </w:r>
      <w:r w:rsidR="00CA7F21">
        <w:rPr>
          <w:sz w:val="26"/>
          <w:szCs w:val="26"/>
        </w:rPr>
        <w:t>C</w:t>
      </w:r>
      <w:r w:rsidRPr="00AB16B5">
        <w:rPr>
          <w:sz w:val="26"/>
          <w:szCs w:val="26"/>
        </w:rPr>
        <w:t xml:space="preserve">omplaints </w:t>
      </w:r>
      <w:r>
        <w:rPr>
          <w:sz w:val="26"/>
          <w:szCs w:val="26"/>
        </w:rPr>
        <w:t>were</w:t>
      </w:r>
      <w:r w:rsidRPr="00AB16B5">
        <w:rPr>
          <w:sz w:val="26"/>
          <w:szCs w:val="26"/>
        </w:rPr>
        <w:t xml:space="preserve"> filed after the First Interim Order</w:t>
      </w:r>
      <w:r w:rsidR="00AF6B4B">
        <w:rPr>
          <w:sz w:val="26"/>
          <w:szCs w:val="26"/>
        </w:rPr>
        <w:t xml:space="preserve"> was issued</w:t>
      </w:r>
      <w:r w:rsidRPr="00AB16B5">
        <w:rPr>
          <w:sz w:val="26"/>
          <w:szCs w:val="26"/>
        </w:rPr>
        <w:t xml:space="preserve">. </w:t>
      </w:r>
      <w:r w:rsidR="00C42AA7">
        <w:rPr>
          <w:sz w:val="26"/>
          <w:szCs w:val="26"/>
        </w:rPr>
        <w:t xml:space="preserve"> With the additional seven </w:t>
      </w:r>
      <w:r w:rsidR="008B3459">
        <w:rPr>
          <w:sz w:val="26"/>
          <w:szCs w:val="26"/>
        </w:rPr>
        <w:t>C</w:t>
      </w:r>
      <w:r w:rsidR="00C42AA7">
        <w:rPr>
          <w:sz w:val="26"/>
          <w:szCs w:val="26"/>
        </w:rPr>
        <w:t xml:space="preserve">omplaints, the total </w:t>
      </w:r>
      <w:r w:rsidR="007A151B">
        <w:rPr>
          <w:sz w:val="26"/>
          <w:szCs w:val="26"/>
        </w:rPr>
        <w:t xml:space="preserve">number of </w:t>
      </w:r>
      <w:r w:rsidR="008B3459">
        <w:rPr>
          <w:sz w:val="26"/>
          <w:szCs w:val="26"/>
        </w:rPr>
        <w:t>C</w:t>
      </w:r>
      <w:r w:rsidR="00C42AA7">
        <w:rPr>
          <w:sz w:val="26"/>
          <w:szCs w:val="26"/>
        </w:rPr>
        <w:t xml:space="preserve">omplaints </w:t>
      </w:r>
      <w:r w:rsidR="007A151B">
        <w:rPr>
          <w:sz w:val="26"/>
          <w:szCs w:val="26"/>
        </w:rPr>
        <w:t>filed in this case stands</w:t>
      </w:r>
      <w:r w:rsidR="00C42AA7">
        <w:rPr>
          <w:sz w:val="26"/>
          <w:szCs w:val="26"/>
        </w:rPr>
        <w:t xml:space="preserve"> at twenty</w:t>
      </w:r>
      <w:r w:rsidR="00E40399">
        <w:rPr>
          <w:sz w:val="26"/>
          <w:szCs w:val="26"/>
        </w:rPr>
        <w:t xml:space="preserve">-one including the OCA’s </w:t>
      </w:r>
      <w:r w:rsidR="008B3459">
        <w:rPr>
          <w:sz w:val="26"/>
          <w:szCs w:val="26"/>
        </w:rPr>
        <w:t>Formal C</w:t>
      </w:r>
      <w:r w:rsidR="00E40399">
        <w:rPr>
          <w:sz w:val="26"/>
          <w:szCs w:val="26"/>
        </w:rPr>
        <w:t>omplaint</w:t>
      </w:r>
      <w:r w:rsidR="00C42AA7">
        <w:rPr>
          <w:sz w:val="26"/>
          <w:szCs w:val="26"/>
        </w:rPr>
        <w:t>.</w:t>
      </w:r>
    </w:p>
    <w:p w:rsidR="00D9350B" w:rsidRDefault="00D9350B" w:rsidP="00ED7ED6">
      <w:pPr>
        <w:rPr>
          <w:sz w:val="26"/>
          <w:szCs w:val="26"/>
        </w:rPr>
      </w:pPr>
    </w:p>
    <w:p w:rsidR="008B187A" w:rsidRDefault="008650D3" w:rsidP="008B187A">
      <w:pPr>
        <w:ind w:firstLine="1440"/>
        <w:rPr>
          <w:sz w:val="26"/>
          <w:szCs w:val="26"/>
        </w:rPr>
      </w:pPr>
      <w:r w:rsidRPr="008650D3">
        <w:rPr>
          <w:sz w:val="26"/>
          <w:szCs w:val="26"/>
        </w:rPr>
        <w:t>On April 6, 2018, Reynolds filed</w:t>
      </w:r>
      <w:r>
        <w:rPr>
          <w:sz w:val="26"/>
          <w:szCs w:val="26"/>
        </w:rPr>
        <w:t xml:space="preserve"> the </w:t>
      </w:r>
      <w:r w:rsidRPr="008650D3">
        <w:rPr>
          <w:sz w:val="26"/>
          <w:szCs w:val="26"/>
        </w:rPr>
        <w:t>Settlement</w:t>
      </w:r>
      <w:r>
        <w:rPr>
          <w:sz w:val="26"/>
          <w:szCs w:val="26"/>
        </w:rPr>
        <w:t xml:space="preserve"> </w:t>
      </w:r>
      <w:r w:rsidRPr="008650D3">
        <w:rPr>
          <w:sz w:val="26"/>
          <w:szCs w:val="26"/>
        </w:rPr>
        <w:t xml:space="preserve">on behalf of the </w:t>
      </w:r>
      <w:r>
        <w:rPr>
          <w:sz w:val="26"/>
          <w:szCs w:val="26"/>
        </w:rPr>
        <w:t>J</w:t>
      </w:r>
      <w:r w:rsidRPr="008650D3">
        <w:rPr>
          <w:sz w:val="26"/>
          <w:szCs w:val="26"/>
        </w:rPr>
        <w:t xml:space="preserve">oint </w:t>
      </w:r>
      <w:r>
        <w:rPr>
          <w:sz w:val="26"/>
          <w:szCs w:val="26"/>
        </w:rPr>
        <w:t>P</w:t>
      </w:r>
      <w:r w:rsidRPr="008650D3">
        <w:rPr>
          <w:sz w:val="26"/>
          <w:szCs w:val="26"/>
        </w:rPr>
        <w:t>etitioner</w:t>
      </w:r>
      <w:r>
        <w:rPr>
          <w:sz w:val="26"/>
          <w:szCs w:val="26"/>
        </w:rPr>
        <w:t>s</w:t>
      </w:r>
      <w:r w:rsidRPr="008650D3">
        <w:rPr>
          <w:sz w:val="26"/>
          <w:szCs w:val="26"/>
        </w:rPr>
        <w:t>.</w:t>
      </w:r>
      <w:r w:rsidR="008B187A">
        <w:rPr>
          <w:sz w:val="26"/>
          <w:szCs w:val="26"/>
        </w:rPr>
        <w:t xml:space="preserve">  </w:t>
      </w:r>
      <w:r w:rsidR="008B187A" w:rsidRPr="008B187A">
        <w:rPr>
          <w:sz w:val="26"/>
          <w:szCs w:val="26"/>
        </w:rPr>
        <w:t>On</w:t>
      </w:r>
      <w:r w:rsidR="008B187A">
        <w:rPr>
          <w:sz w:val="26"/>
          <w:szCs w:val="26"/>
        </w:rPr>
        <w:t xml:space="preserve"> the same day</w:t>
      </w:r>
      <w:r w:rsidR="008B187A" w:rsidRPr="008B187A">
        <w:rPr>
          <w:sz w:val="26"/>
          <w:szCs w:val="26"/>
        </w:rPr>
        <w:t xml:space="preserve">, </w:t>
      </w:r>
      <w:r w:rsidR="008B187A">
        <w:rPr>
          <w:sz w:val="26"/>
          <w:szCs w:val="26"/>
        </w:rPr>
        <w:t xml:space="preserve">the </w:t>
      </w:r>
      <w:r w:rsidR="008B187A" w:rsidRPr="008B187A">
        <w:rPr>
          <w:sz w:val="26"/>
          <w:szCs w:val="26"/>
        </w:rPr>
        <w:t xml:space="preserve">OCA provided a copy of the Settlement to the </w:t>
      </w:r>
      <w:r w:rsidR="00912221">
        <w:rPr>
          <w:sz w:val="26"/>
          <w:szCs w:val="26"/>
        </w:rPr>
        <w:t xml:space="preserve">other </w:t>
      </w:r>
      <w:r w:rsidR="008B187A" w:rsidRPr="008B187A">
        <w:rPr>
          <w:sz w:val="26"/>
          <w:szCs w:val="26"/>
        </w:rPr>
        <w:t xml:space="preserve">twenty Complainants </w:t>
      </w:r>
      <w:r w:rsidR="008B187A">
        <w:rPr>
          <w:sz w:val="26"/>
          <w:szCs w:val="26"/>
        </w:rPr>
        <w:t xml:space="preserve">in the instant proceeding </w:t>
      </w:r>
      <w:r w:rsidR="008B187A" w:rsidRPr="008B187A">
        <w:rPr>
          <w:sz w:val="26"/>
          <w:szCs w:val="26"/>
        </w:rPr>
        <w:t xml:space="preserve">and explained </w:t>
      </w:r>
      <w:r w:rsidR="002E6CEA">
        <w:rPr>
          <w:sz w:val="26"/>
          <w:szCs w:val="26"/>
        </w:rPr>
        <w:t xml:space="preserve">to them that </w:t>
      </w:r>
      <w:r w:rsidR="00F96E1E">
        <w:rPr>
          <w:sz w:val="26"/>
          <w:szCs w:val="26"/>
        </w:rPr>
        <w:t>the ALJ</w:t>
      </w:r>
      <w:r w:rsidR="008B187A" w:rsidRPr="008B187A">
        <w:rPr>
          <w:sz w:val="26"/>
          <w:szCs w:val="26"/>
        </w:rPr>
        <w:t xml:space="preserve"> would provide instructions on how to </w:t>
      </w:r>
      <w:r w:rsidR="00F96E1E">
        <w:rPr>
          <w:sz w:val="26"/>
          <w:szCs w:val="26"/>
        </w:rPr>
        <w:t>c</w:t>
      </w:r>
      <w:r w:rsidR="008B187A" w:rsidRPr="008B187A">
        <w:rPr>
          <w:sz w:val="26"/>
          <w:szCs w:val="26"/>
        </w:rPr>
        <w:t>onsent or object to the Settlement.</w:t>
      </w:r>
    </w:p>
    <w:p w:rsidR="007A151B" w:rsidRDefault="007A151B" w:rsidP="008B187A">
      <w:pPr>
        <w:ind w:firstLine="1440"/>
        <w:rPr>
          <w:sz w:val="26"/>
          <w:szCs w:val="26"/>
        </w:rPr>
      </w:pPr>
    </w:p>
    <w:p w:rsidR="003369EC" w:rsidRPr="003369EC" w:rsidRDefault="003369EC" w:rsidP="003369EC">
      <w:pPr>
        <w:ind w:firstLine="1440"/>
        <w:rPr>
          <w:sz w:val="26"/>
          <w:szCs w:val="26"/>
        </w:rPr>
      </w:pPr>
      <w:r w:rsidRPr="003369EC">
        <w:rPr>
          <w:sz w:val="26"/>
          <w:szCs w:val="26"/>
        </w:rPr>
        <w:t xml:space="preserve">On April 9, 2018, the </w:t>
      </w:r>
      <w:r>
        <w:rPr>
          <w:sz w:val="26"/>
          <w:szCs w:val="26"/>
        </w:rPr>
        <w:t>ALJ</w:t>
      </w:r>
      <w:r w:rsidRPr="003369EC">
        <w:rPr>
          <w:sz w:val="26"/>
          <w:szCs w:val="26"/>
        </w:rPr>
        <w:t xml:space="preserve"> sent a letter to all</w:t>
      </w:r>
      <w:r w:rsidR="00312B2A">
        <w:rPr>
          <w:sz w:val="26"/>
          <w:szCs w:val="26"/>
        </w:rPr>
        <w:t xml:space="preserve"> </w:t>
      </w:r>
      <w:r>
        <w:rPr>
          <w:sz w:val="26"/>
          <w:szCs w:val="26"/>
        </w:rPr>
        <w:t>P</w:t>
      </w:r>
      <w:r w:rsidRPr="003369EC">
        <w:rPr>
          <w:sz w:val="26"/>
          <w:szCs w:val="26"/>
        </w:rPr>
        <w:t xml:space="preserve">arties </w:t>
      </w:r>
      <w:r w:rsidR="00100514">
        <w:rPr>
          <w:sz w:val="26"/>
          <w:szCs w:val="26"/>
        </w:rPr>
        <w:t xml:space="preserve">advising </w:t>
      </w:r>
      <w:r w:rsidRPr="003369EC">
        <w:rPr>
          <w:sz w:val="26"/>
          <w:szCs w:val="26"/>
        </w:rPr>
        <w:t>the Complainants that they ha</w:t>
      </w:r>
      <w:r w:rsidR="00AF6B4B">
        <w:rPr>
          <w:sz w:val="26"/>
          <w:szCs w:val="26"/>
        </w:rPr>
        <w:t>ve</w:t>
      </w:r>
      <w:r w:rsidRPr="003369EC">
        <w:rPr>
          <w:sz w:val="26"/>
          <w:szCs w:val="26"/>
        </w:rPr>
        <w:t xml:space="preserve"> a right to join </w:t>
      </w:r>
      <w:r w:rsidR="00E5076C">
        <w:rPr>
          <w:sz w:val="26"/>
          <w:szCs w:val="26"/>
        </w:rPr>
        <w:t xml:space="preserve">in or object to </w:t>
      </w:r>
      <w:r w:rsidRPr="003369EC">
        <w:rPr>
          <w:sz w:val="26"/>
          <w:szCs w:val="26"/>
        </w:rPr>
        <w:t xml:space="preserve">the Settlement.  The letter </w:t>
      </w:r>
      <w:r w:rsidR="00BA7255">
        <w:rPr>
          <w:sz w:val="26"/>
          <w:szCs w:val="26"/>
        </w:rPr>
        <w:t xml:space="preserve">explained how to file written comments and </w:t>
      </w:r>
      <w:r w:rsidRPr="003369EC">
        <w:rPr>
          <w:sz w:val="26"/>
          <w:szCs w:val="26"/>
        </w:rPr>
        <w:t xml:space="preserve">advised the Complainants that comments must be </w:t>
      </w:r>
      <w:r w:rsidR="00BA7255">
        <w:rPr>
          <w:sz w:val="26"/>
          <w:szCs w:val="26"/>
        </w:rPr>
        <w:t>filed with the Commission on or before</w:t>
      </w:r>
      <w:r w:rsidRPr="003369EC">
        <w:rPr>
          <w:sz w:val="26"/>
          <w:szCs w:val="26"/>
        </w:rPr>
        <w:t xml:space="preserve"> April 20, 2018.  The letter </w:t>
      </w:r>
      <w:r>
        <w:rPr>
          <w:sz w:val="26"/>
          <w:szCs w:val="26"/>
        </w:rPr>
        <w:t xml:space="preserve">also </w:t>
      </w:r>
      <w:r w:rsidR="001C0CF7">
        <w:rPr>
          <w:sz w:val="26"/>
          <w:szCs w:val="26"/>
        </w:rPr>
        <w:t>indicated</w:t>
      </w:r>
      <w:r w:rsidRPr="003369EC">
        <w:rPr>
          <w:sz w:val="26"/>
          <w:szCs w:val="26"/>
        </w:rPr>
        <w:t xml:space="preserve"> that the other </w:t>
      </w:r>
      <w:r>
        <w:rPr>
          <w:sz w:val="26"/>
          <w:szCs w:val="26"/>
        </w:rPr>
        <w:t>P</w:t>
      </w:r>
      <w:r w:rsidRPr="003369EC">
        <w:rPr>
          <w:sz w:val="26"/>
          <w:szCs w:val="26"/>
        </w:rPr>
        <w:t xml:space="preserve">arties would be </w:t>
      </w:r>
      <w:r w:rsidR="004F25FC">
        <w:rPr>
          <w:sz w:val="26"/>
          <w:szCs w:val="26"/>
        </w:rPr>
        <w:t>allowed to</w:t>
      </w:r>
      <w:r w:rsidRPr="003369EC">
        <w:rPr>
          <w:sz w:val="26"/>
          <w:szCs w:val="26"/>
        </w:rPr>
        <w:t xml:space="preserve"> respond to any written comments </w:t>
      </w:r>
      <w:r w:rsidR="004F25FC">
        <w:rPr>
          <w:sz w:val="26"/>
          <w:szCs w:val="26"/>
        </w:rPr>
        <w:t>on or before</w:t>
      </w:r>
      <w:r w:rsidRPr="003369EC">
        <w:rPr>
          <w:sz w:val="26"/>
          <w:szCs w:val="26"/>
        </w:rPr>
        <w:t xml:space="preserve"> April 27, 2018, after which the </w:t>
      </w:r>
      <w:r>
        <w:rPr>
          <w:sz w:val="26"/>
          <w:szCs w:val="26"/>
        </w:rPr>
        <w:t>ALJ</w:t>
      </w:r>
      <w:r w:rsidRPr="003369EC">
        <w:rPr>
          <w:sz w:val="26"/>
          <w:szCs w:val="26"/>
        </w:rPr>
        <w:t xml:space="preserve"> would close the hearing record and issue a Recommended Decision. </w:t>
      </w:r>
    </w:p>
    <w:p w:rsidR="003369EC" w:rsidRDefault="003369EC" w:rsidP="008650D3">
      <w:pPr>
        <w:ind w:firstLine="1440"/>
        <w:rPr>
          <w:sz w:val="26"/>
          <w:szCs w:val="26"/>
        </w:rPr>
      </w:pPr>
    </w:p>
    <w:p w:rsidR="00F1699E" w:rsidRPr="00F1699E" w:rsidRDefault="00F1699E" w:rsidP="00F1699E">
      <w:pPr>
        <w:ind w:firstLine="1440"/>
        <w:rPr>
          <w:sz w:val="26"/>
          <w:szCs w:val="26"/>
        </w:rPr>
      </w:pPr>
      <w:r w:rsidRPr="00F1699E">
        <w:rPr>
          <w:sz w:val="26"/>
          <w:szCs w:val="26"/>
        </w:rPr>
        <w:t xml:space="preserve">On April 12, 2018, the </w:t>
      </w:r>
      <w:r>
        <w:rPr>
          <w:sz w:val="26"/>
          <w:szCs w:val="26"/>
        </w:rPr>
        <w:t>ALJ</w:t>
      </w:r>
      <w:r w:rsidRPr="00F1699E">
        <w:rPr>
          <w:sz w:val="26"/>
          <w:szCs w:val="26"/>
        </w:rPr>
        <w:t xml:space="preserve"> issued</w:t>
      </w:r>
      <w:r w:rsidR="00AF6B4B">
        <w:rPr>
          <w:sz w:val="26"/>
          <w:szCs w:val="26"/>
        </w:rPr>
        <w:t xml:space="preserve"> a</w:t>
      </w:r>
      <w:r w:rsidRPr="00F1699E">
        <w:rPr>
          <w:sz w:val="26"/>
          <w:szCs w:val="26"/>
        </w:rPr>
        <w:t xml:space="preserve"> </w:t>
      </w:r>
      <w:r w:rsidR="00AF6B4B">
        <w:rPr>
          <w:sz w:val="26"/>
          <w:szCs w:val="26"/>
        </w:rPr>
        <w:t>t</w:t>
      </w:r>
      <w:r w:rsidRPr="00F1699E">
        <w:rPr>
          <w:sz w:val="26"/>
          <w:szCs w:val="26"/>
        </w:rPr>
        <w:t xml:space="preserve">hird Interim Order which consolidated nine </w:t>
      </w:r>
      <w:r>
        <w:rPr>
          <w:sz w:val="26"/>
          <w:szCs w:val="26"/>
        </w:rPr>
        <w:t>F</w:t>
      </w:r>
      <w:r w:rsidRPr="00F1699E">
        <w:rPr>
          <w:sz w:val="26"/>
          <w:szCs w:val="26"/>
        </w:rPr>
        <w:t xml:space="preserve">ormal </w:t>
      </w:r>
      <w:r>
        <w:rPr>
          <w:sz w:val="26"/>
          <w:szCs w:val="26"/>
        </w:rPr>
        <w:t>C</w:t>
      </w:r>
      <w:r w:rsidRPr="00F1699E">
        <w:rPr>
          <w:sz w:val="26"/>
          <w:szCs w:val="26"/>
        </w:rPr>
        <w:t xml:space="preserve">omplaints with the rate proceeding.  The nine </w:t>
      </w:r>
      <w:r>
        <w:rPr>
          <w:sz w:val="26"/>
          <w:szCs w:val="26"/>
        </w:rPr>
        <w:t>F</w:t>
      </w:r>
      <w:r w:rsidRPr="00F1699E">
        <w:rPr>
          <w:sz w:val="26"/>
          <w:szCs w:val="26"/>
        </w:rPr>
        <w:t xml:space="preserve">ormal complaints </w:t>
      </w:r>
      <w:r>
        <w:rPr>
          <w:sz w:val="26"/>
          <w:szCs w:val="26"/>
        </w:rPr>
        <w:t>were</w:t>
      </w:r>
      <w:r w:rsidRPr="00F1699E">
        <w:rPr>
          <w:sz w:val="26"/>
          <w:szCs w:val="26"/>
        </w:rPr>
        <w:t xml:space="preserve"> filed </w:t>
      </w:r>
      <w:r>
        <w:rPr>
          <w:sz w:val="26"/>
          <w:szCs w:val="26"/>
        </w:rPr>
        <w:t>after</w:t>
      </w:r>
      <w:r w:rsidRPr="00F1699E">
        <w:rPr>
          <w:sz w:val="26"/>
          <w:szCs w:val="26"/>
        </w:rPr>
        <w:t xml:space="preserve"> the Second Interim Order</w:t>
      </w:r>
      <w:r w:rsidR="00922A67">
        <w:rPr>
          <w:sz w:val="26"/>
          <w:szCs w:val="26"/>
        </w:rPr>
        <w:t xml:space="preserve"> was issued</w:t>
      </w:r>
      <w:r w:rsidRPr="00F1699E">
        <w:rPr>
          <w:sz w:val="26"/>
          <w:szCs w:val="26"/>
        </w:rPr>
        <w:t>.</w:t>
      </w:r>
    </w:p>
    <w:p w:rsidR="00F1699E" w:rsidRDefault="00F1699E" w:rsidP="008650D3">
      <w:pPr>
        <w:ind w:firstLine="1440"/>
        <w:rPr>
          <w:sz w:val="26"/>
          <w:szCs w:val="26"/>
        </w:rPr>
      </w:pPr>
    </w:p>
    <w:p w:rsidR="005A5419" w:rsidRDefault="005A5419" w:rsidP="005A5419">
      <w:pPr>
        <w:ind w:firstLine="1440"/>
        <w:rPr>
          <w:sz w:val="26"/>
          <w:szCs w:val="26"/>
        </w:rPr>
      </w:pPr>
      <w:r w:rsidRPr="005A5419">
        <w:rPr>
          <w:sz w:val="26"/>
          <w:szCs w:val="26"/>
        </w:rPr>
        <w:t xml:space="preserve">By April 20, 2018, the </w:t>
      </w:r>
      <w:r>
        <w:rPr>
          <w:sz w:val="26"/>
          <w:szCs w:val="26"/>
        </w:rPr>
        <w:t>ALJ</w:t>
      </w:r>
      <w:r w:rsidRPr="005A5419">
        <w:rPr>
          <w:sz w:val="26"/>
          <w:szCs w:val="26"/>
        </w:rPr>
        <w:t xml:space="preserve"> received </w:t>
      </w:r>
      <w:r w:rsidR="003F798A">
        <w:rPr>
          <w:sz w:val="26"/>
          <w:szCs w:val="26"/>
        </w:rPr>
        <w:t>comments</w:t>
      </w:r>
      <w:r w:rsidRPr="005A5419">
        <w:rPr>
          <w:sz w:val="26"/>
          <w:szCs w:val="26"/>
        </w:rPr>
        <w:t xml:space="preserve"> </w:t>
      </w:r>
      <w:r w:rsidR="009305E2">
        <w:rPr>
          <w:sz w:val="26"/>
          <w:szCs w:val="26"/>
        </w:rPr>
        <w:t xml:space="preserve">regarding the Settlement </w:t>
      </w:r>
      <w:r w:rsidRPr="005A5419">
        <w:rPr>
          <w:sz w:val="26"/>
          <w:szCs w:val="26"/>
        </w:rPr>
        <w:t>from the following Complainants: James Vessella, Bea DeCiancio, John D’Urso, Margaret Foust, Plem Patterson, Matthew Nestor, Ryan Foust, Brian Hills, Laurel Litwiler, Thomas Hanzes, Clark Eberhart (on behalf of the Reynolds Veterans of Foreign Wars</w:t>
      </w:r>
      <w:r w:rsidR="009305E2">
        <w:rPr>
          <w:sz w:val="26"/>
          <w:szCs w:val="26"/>
        </w:rPr>
        <w:t xml:space="preserve"> - VFW</w:t>
      </w:r>
      <w:r w:rsidRPr="005A5419">
        <w:rPr>
          <w:sz w:val="26"/>
          <w:szCs w:val="26"/>
        </w:rPr>
        <w:t>), Mildred J. Heile, Helen Canady, Lucas Shilling, Diana Cole, Gilbert and Marilyn Brant, David Roeder, Sr., Natalie McCloskey, Marie Potts and Sean Belback.</w:t>
      </w:r>
      <w:r w:rsidR="00373B91">
        <w:rPr>
          <w:sz w:val="26"/>
          <w:szCs w:val="26"/>
        </w:rPr>
        <w:t xml:space="preserve"> </w:t>
      </w:r>
      <w:r w:rsidRPr="005A5419">
        <w:rPr>
          <w:sz w:val="26"/>
          <w:szCs w:val="26"/>
        </w:rPr>
        <w:t xml:space="preserve"> </w:t>
      </w:r>
      <w:r w:rsidRPr="005A5419">
        <w:rPr>
          <w:sz w:val="26"/>
          <w:szCs w:val="26"/>
        </w:rPr>
        <w:lastRenderedPageBreak/>
        <w:t xml:space="preserve">Many </w:t>
      </w:r>
      <w:r w:rsidR="00714A85">
        <w:rPr>
          <w:sz w:val="26"/>
          <w:szCs w:val="26"/>
        </w:rPr>
        <w:t xml:space="preserve">of the </w:t>
      </w:r>
      <w:r w:rsidR="003F798A">
        <w:rPr>
          <w:sz w:val="26"/>
          <w:szCs w:val="26"/>
        </w:rPr>
        <w:t>comments</w:t>
      </w:r>
      <w:r w:rsidR="003F798A" w:rsidRPr="005A5419">
        <w:rPr>
          <w:sz w:val="26"/>
          <w:szCs w:val="26"/>
        </w:rPr>
        <w:t xml:space="preserve"> </w:t>
      </w:r>
      <w:r w:rsidR="009305E2">
        <w:rPr>
          <w:sz w:val="26"/>
          <w:szCs w:val="26"/>
        </w:rPr>
        <w:t>were similar in nature and</w:t>
      </w:r>
      <w:r w:rsidRPr="005A5419">
        <w:rPr>
          <w:sz w:val="26"/>
          <w:szCs w:val="26"/>
        </w:rPr>
        <w:t xml:space="preserve"> format</w:t>
      </w:r>
      <w:r w:rsidR="00CB3B05">
        <w:rPr>
          <w:sz w:val="26"/>
          <w:szCs w:val="26"/>
        </w:rPr>
        <w:t>.</w:t>
      </w:r>
      <w:r w:rsidRPr="005A5419">
        <w:rPr>
          <w:sz w:val="26"/>
          <w:szCs w:val="26"/>
        </w:rPr>
        <w:t xml:space="preserve"> </w:t>
      </w:r>
      <w:r w:rsidR="00CB3B05">
        <w:rPr>
          <w:sz w:val="26"/>
          <w:szCs w:val="26"/>
        </w:rPr>
        <w:t xml:space="preserve"> T</w:t>
      </w:r>
      <w:r w:rsidR="0033451F">
        <w:rPr>
          <w:sz w:val="26"/>
          <w:szCs w:val="26"/>
        </w:rPr>
        <w:t xml:space="preserve">he Complainants </w:t>
      </w:r>
      <w:r w:rsidRPr="005A5419">
        <w:rPr>
          <w:sz w:val="26"/>
          <w:szCs w:val="26"/>
        </w:rPr>
        <w:t>express</w:t>
      </w:r>
      <w:r w:rsidR="0033451F">
        <w:rPr>
          <w:sz w:val="26"/>
          <w:szCs w:val="26"/>
        </w:rPr>
        <w:t>ed</w:t>
      </w:r>
      <w:r w:rsidRPr="005A5419">
        <w:rPr>
          <w:sz w:val="26"/>
          <w:szCs w:val="26"/>
        </w:rPr>
        <w:t xml:space="preserve"> the</w:t>
      </w:r>
      <w:r w:rsidR="00714A85">
        <w:rPr>
          <w:sz w:val="26"/>
          <w:szCs w:val="26"/>
        </w:rPr>
        <w:t>ir</w:t>
      </w:r>
      <w:r w:rsidRPr="005A5419">
        <w:rPr>
          <w:sz w:val="26"/>
          <w:szCs w:val="26"/>
        </w:rPr>
        <w:t xml:space="preserve"> objections </w:t>
      </w:r>
      <w:r w:rsidR="00B92F4A">
        <w:rPr>
          <w:sz w:val="26"/>
          <w:szCs w:val="26"/>
        </w:rPr>
        <w:t xml:space="preserve">to the rate increase filing </w:t>
      </w:r>
      <w:r w:rsidR="00727AFC">
        <w:rPr>
          <w:sz w:val="26"/>
          <w:szCs w:val="26"/>
        </w:rPr>
        <w:t xml:space="preserve">and </w:t>
      </w:r>
      <w:r w:rsidRPr="005A5419">
        <w:rPr>
          <w:sz w:val="26"/>
          <w:szCs w:val="26"/>
        </w:rPr>
        <w:t xml:space="preserve">opposed Reynolds’ claims in its filing </w:t>
      </w:r>
      <w:r w:rsidR="0033451F">
        <w:rPr>
          <w:sz w:val="26"/>
          <w:szCs w:val="26"/>
        </w:rPr>
        <w:t>and</w:t>
      </w:r>
      <w:r w:rsidRPr="005A5419">
        <w:rPr>
          <w:sz w:val="26"/>
          <w:szCs w:val="26"/>
        </w:rPr>
        <w:t xml:space="preserve"> the Settlement</w:t>
      </w:r>
      <w:r w:rsidR="003F798A">
        <w:rPr>
          <w:sz w:val="26"/>
          <w:szCs w:val="26"/>
        </w:rPr>
        <w:t xml:space="preserve"> (Settlement Objections)</w:t>
      </w:r>
      <w:r w:rsidRPr="005A5419">
        <w:rPr>
          <w:sz w:val="26"/>
          <w:szCs w:val="26"/>
        </w:rPr>
        <w:t>.</w:t>
      </w:r>
      <w:r w:rsidR="00373B91">
        <w:rPr>
          <w:rStyle w:val="FootnoteReference"/>
          <w:sz w:val="26"/>
          <w:szCs w:val="26"/>
        </w:rPr>
        <w:footnoteReference w:id="7"/>
      </w:r>
    </w:p>
    <w:p w:rsidR="005A5419" w:rsidRDefault="005A5419" w:rsidP="005A5419">
      <w:pPr>
        <w:ind w:firstLine="1440"/>
        <w:rPr>
          <w:sz w:val="26"/>
          <w:szCs w:val="26"/>
        </w:rPr>
      </w:pPr>
    </w:p>
    <w:p w:rsidR="005A5419" w:rsidRDefault="005A5419" w:rsidP="005A5419">
      <w:pPr>
        <w:ind w:firstLine="1440"/>
        <w:rPr>
          <w:sz w:val="26"/>
          <w:szCs w:val="26"/>
        </w:rPr>
      </w:pPr>
      <w:r w:rsidRPr="005A5419">
        <w:rPr>
          <w:sz w:val="26"/>
          <w:szCs w:val="26"/>
        </w:rPr>
        <w:t xml:space="preserve">On April 27, 2018, Reynolds filed </w:t>
      </w:r>
      <w:r w:rsidR="00553636">
        <w:rPr>
          <w:sz w:val="26"/>
          <w:szCs w:val="26"/>
        </w:rPr>
        <w:t>a R</w:t>
      </w:r>
      <w:r w:rsidRPr="005A5419">
        <w:rPr>
          <w:sz w:val="26"/>
          <w:szCs w:val="26"/>
        </w:rPr>
        <w:t>eply to the</w:t>
      </w:r>
      <w:r w:rsidR="00553636">
        <w:rPr>
          <w:sz w:val="26"/>
          <w:szCs w:val="26"/>
        </w:rPr>
        <w:t xml:space="preserve"> Settlement Objections</w:t>
      </w:r>
      <w:r w:rsidR="00CA63E3">
        <w:rPr>
          <w:sz w:val="26"/>
          <w:szCs w:val="26"/>
        </w:rPr>
        <w:t xml:space="preserve"> (Re</w:t>
      </w:r>
      <w:r w:rsidR="004B4CCB">
        <w:rPr>
          <w:sz w:val="26"/>
          <w:szCs w:val="26"/>
        </w:rPr>
        <w:t>ply</w:t>
      </w:r>
      <w:r w:rsidR="006D36CD">
        <w:rPr>
          <w:sz w:val="26"/>
          <w:szCs w:val="26"/>
        </w:rPr>
        <w:t xml:space="preserve"> to Settlement Objections</w:t>
      </w:r>
      <w:r w:rsidR="004B4CCB">
        <w:rPr>
          <w:sz w:val="26"/>
          <w:szCs w:val="26"/>
        </w:rPr>
        <w:t>)</w:t>
      </w:r>
      <w:r w:rsidRPr="005A5419">
        <w:rPr>
          <w:sz w:val="26"/>
          <w:szCs w:val="26"/>
        </w:rPr>
        <w:t xml:space="preserve">.  Reynolds emphasized </w:t>
      </w:r>
      <w:r w:rsidR="005E0A47">
        <w:rPr>
          <w:sz w:val="26"/>
          <w:szCs w:val="26"/>
        </w:rPr>
        <w:t xml:space="preserve">that </w:t>
      </w:r>
      <w:r w:rsidRPr="005A5419">
        <w:rPr>
          <w:sz w:val="26"/>
          <w:szCs w:val="26"/>
        </w:rPr>
        <w:t xml:space="preserve">the Settlement resulted out of mediation, which furthers the public interest, and is fully supported by the financial information in the original filing.  Reynolds contends the </w:t>
      </w:r>
      <w:r w:rsidR="00553636">
        <w:rPr>
          <w:sz w:val="26"/>
          <w:szCs w:val="26"/>
        </w:rPr>
        <w:t>Settlement Objections</w:t>
      </w:r>
      <w:r w:rsidRPr="005A5419">
        <w:rPr>
          <w:sz w:val="26"/>
          <w:szCs w:val="26"/>
        </w:rPr>
        <w:t xml:space="preserve"> d</w:t>
      </w:r>
      <w:r w:rsidR="00765095">
        <w:rPr>
          <w:sz w:val="26"/>
          <w:szCs w:val="26"/>
        </w:rPr>
        <w:t>id</w:t>
      </w:r>
      <w:r w:rsidRPr="005A5419">
        <w:rPr>
          <w:sz w:val="26"/>
          <w:szCs w:val="26"/>
        </w:rPr>
        <w:t xml:space="preserve"> not provide a</w:t>
      </w:r>
      <w:r w:rsidR="00545334">
        <w:rPr>
          <w:sz w:val="26"/>
          <w:szCs w:val="26"/>
        </w:rPr>
        <w:t>ny</w:t>
      </w:r>
      <w:r w:rsidRPr="005A5419">
        <w:rPr>
          <w:sz w:val="26"/>
          <w:szCs w:val="26"/>
        </w:rPr>
        <w:t xml:space="preserve"> factual or legal basis to reject the Settlement. </w:t>
      </w:r>
    </w:p>
    <w:p w:rsidR="00A907C1" w:rsidRPr="005A5419" w:rsidRDefault="00A907C1" w:rsidP="005A5419">
      <w:pPr>
        <w:ind w:firstLine="1440"/>
        <w:rPr>
          <w:sz w:val="26"/>
          <w:szCs w:val="26"/>
        </w:rPr>
      </w:pPr>
    </w:p>
    <w:p w:rsidR="00E160C4" w:rsidRPr="00843C39" w:rsidRDefault="00765095" w:rsidP="00ED5252">
      <w:pPr>
        <w:ind w:firstLine="1440"/>
        <w:rPr>
          <w:sz w:val="26"/>
          <w:szCs w:val="26"/>
        </w:rPr>
      </w:pPr>
      <w:r w:rsidRPr="00765095">
        <w:rPr>
          <w:sz w:val="26"/>
          <w:szCs w:val="26"/>
        </w:rPr>
        <w:t xml:space="preserve">On May </w:t>
      </w:r>
      <w:r w:rsidR="00CA63E3">
        <w:rPr>
          <w:sz w:val="26"/>
          <w:szCs w:val="26"/>
        </w:rPr>
        <w:t>2</w:t>
      </w:r>
      <w:r w:rsidRPr="00765095">
        <w:rPr>
          <w:sz w:val="26"/>
          <w:szCs w:val="26"/>
        </w:rPr>
        <w:t xml:space="preserve">, 2018, the </w:t>
      </w:r>
      <w:r>
        <w:rPr>
          <w:sz w:val="26"/>
          <w:szCs w:val="26"/>
        </w:rPr>
        <w:t>ALJ</w:t>
      </w:r>
      <w:r w:rsidRPr="00765095">
        <w:rPr>
          <w:sz w:val="26"/>
          <w:szCs w:val="26"/>
        </w:rPr>
        <w:t xml:space="preserve"> issued </w:t>
      </w:r>
      <w:r w:rsidR="00266119">
        <w:rPr>
          <w:sz w:val="26"/>
          <w:szCs w:val="26"/>
        </w:rPr>
        <w:t>a</w:t>
      </w:r>
      <w:r w:rsidRPr="00765095">
        <w:rPr>
          <w:sz w:val="26"/>
          <w:szCs w:val="26"/>
        </w:rPr>
        <w:t xml:space="preserve"> F</w:t>
      </w:r>
      <w:r w:rsidR="00AD2688">
        <w:rPr>
          <w:sz w:val="26"/>
          <w:szCs w:val="26"/>
        </w:rPr>
        <w:t>ourth</w:t>
      </w:r>
      <w:r w:rsidRPr="00765095">
        <w:rPr>
          <w:sz w:val="26"/>
          <w:szCs w:val="26"/>
        </w:rPr>
        <w:t xml:space="preserve"> Interim Order</w:t>
      </w:r>
      <w:r w:rsidR="00AD2688">
        <w:rPr>
          <w:rStyle w:val="FootnoteReference"/>
          <w:sz w:val="26"/>
          <w:szCs w:val="26"/>
        </w:rPr>
        <w:footnoteReference w:id="8"/>
      </w:r>
      <w:r w:rsidRPr="00765095">
        <w:rPr>
          <w:sz w:val="26"/>
          <w:szCs w:val="26"/>
        </w:rPr>
        <w:t xml:space="preserve"> </w:t>
      </w:r>
      <w:r w:rsidR="00FF098C">
        <w:rPr>
          <w:sz w:val="26"/>
          <w:szCs w:val="26"/>
        </w:rPr>
        <w:t>c</w:t>
      </w:r>
      <w:r w:rsidRPr="00765095">
        <w:rPr>
          <w:sz w:val="26"/>
          <w:szCs w:val="26"/>
        </w:rPr>
        <w:t xml:space="preserve">losing the </w:t>
      </w:r>
      <w:r w:rsidR="00FF098C">
        <w:rPr>
          <w:sz w:val="26"/>
          <w:szCs w:val="26"/>
        </w:rPr>
        <w:t>record</w:t>
      </w:r>
      <w:r w:rsidR="00CA63E3">
        <w:rPr>
          <w:sz w:val="26"/>
          <w:szCs w:val="26"/>
        </w:rPr>
        <w:t xml:space="preserve"> </w:t>
      </w:r>
      <w:r w:rsidR="00B0421B">
        <w:rPr>
          <w:sz w:val="26"/>
          <w:szCs w:val="26"/>
        </w:rPr>
        <w:t xml:space="preserve">after </w:t>
      </w:r>
      <w:r w:rsidR="00B22A21">
        <w:rPr>
          <w:sz w:val="26"/>
          <w:szCs w:val="26"/>
        </w:rPr>
        <w:t>having</w:t>
      </w:r>
      <w:r w:rsidR="00CA63E3">
        <w:rPr>
          <w:sz w:val="26"/>
          <w:szCs w:val="26"/>
        </w:rPr>
        <w:t xml:space="preserve"> receiv</w:t>
      </w:r>
      <w:r w:rsidR="00B06AA3">
        <w:rPr>
          <w:sz w:val="26"/>
          <w:szCs w:val="26"/>
        </w:rPr>
        <w:t>ed</w:t>
      </w:r>
      <w:r w:rsidR="00CA63E3">
        <w:rPr>
          <w:sz w:val="26"/>
          <w:szCs w:val="26"/>
        </w:rPr>
        <w:t xml:space="preserve"> the </w:t>
      </w:r>
      <w:r w:rsidR="00A84332">
        <w:rPr>
          <w:sz w:val="26"/>
          <w:szCs w:val="26"/>
        </w:rPr>
        <w:t>Settlement,</w:t>
      </w:r>
      <w:r w:rsidR="006010AF">
        <w:rPr>
          <w:sz w:val="26"/>
          <w:szCs w:val="26"/>
        </w:rPr>
        <w:t xml:space="preserve"> the respective </w:t>
      </w:r>
      <w:r w:rsidR="00A84332">
        <w:rPr>
          <w:sz w:val="26"/>
          <w:szCs w:val="26"/>
        </w:rPr>
        <w:t xml:space="preserve">Statements </w:t>
      </w:r>
      <w:r w:rsidR="006010AF">
        <w:rPr>
          <w:sz w:val="26"/>
          <w:szCs w:val="26"/>
        </w:rPr>
        <w:t>of Support</w:t>
      </w:r>
      <w:r w:rsidR="00A84332">
        <w:rPr>
          <w:sz w:val="26"/>
          <w:szCs w:val="26"/>
        </w:rPr>
        <w:t xml:space="preserve">, the </w:t>
      </w:r>
      <w:r w:rsidR="00CA63E3">
        <w:rPr>
          <w:sz w:val="26"/>
          <w:szCs w:val="26"/>
        </w:rPr>
        <w:t>Settlement Objections</w:t>
      </w:r>
      <w:r w:rsidR="00A84332">
        <w:rPr>
          <w:sz w:val="26"/>
          <w:szCs w:val="26"/>
        </w:rPr>
        <w:t>,</w:t>
      </w:r>
      <w:r w:rsidR="00CA63E3">
        <w:rPr>
          <w:sz w:val="26"/>
          <w:szCs w:val="26"/>
        </w:rPr>
        <w:t xml:space="preserve"> and </w:t>
      </w:r>
      <w:r w:rsidR="007F31AA">
        <w:rPr>
          <w:sz w:val="26"/>
          <w:szCs w:val="26"/>
        </w:rPr>
        <w:t xml:space="preserve">the </w:t>
      </w:r>
      <w:r w:rsidR="00CA63E3">
        <w:rPr>
          <w:sz w:val="26"/>
          <w:szCs w:val="26"/>
        </w:rPr>
        <w:t>Reply</w:t>
      </w:r>
      <w:r w:rsidR="007F31AA">
        <w:rPr>
          <w:sz w:val="26"/>
          <w:szCs w:val="26"/>
        </w:rPr>
        <w:t xml:space="preserve"> to Settlement Objections</w:t>
      </w:r>
      <w:r w:rsidRPr="00765095">
        <w:rPr>
          <w:sz w:val="26"/>
          <w:szCs w:val="26"/>
        </w:rPr>
        <w:t>.</w:t>
      </w:r>
      <w:r w:rsidR="007574ED">
        <w:rPr>
          <w:sz w:val="26"/>
          <w:szCs w:val="26"/>
        </w:rPr>
        <w:t xml:space="preserve">  </w:t>
      </w:r>
      <w:r w:rsidR="000C7903" w:rsidRPr="00843C39">
        <w:rPr>
          <w:sz w:val="26"/>
          <w:szCs w:val="26"/>
        </w:rPr>
        <w:t>The ALJ’s Recommended Decision was issued on</w:t>
      </w:r>
      <w:r w:rsidR="00843C39" w:rsidRPr="00843C39">
        <w:rPr>
          <w:sz w:val="26"/>
          <w:szCs w:val="26"/>
        </w:rPr>
        <w:t xml:space="preserve"> May 29</w:t>
      </w:r>
      <w:r w:rsidR="00BB178D" w:rsidRPr="00843C39">
        <w:rPr>
          <w:sz w:val="26"/>
          <w:szCs w:val="26"/>
        </w:rPr>
        <w:t>, 201</w:t>
      </w:r>
      <w:r w:rsidR="00843C39" w:rsidRPr="00843C39">
        <w:rPr>
          <w:sz w:val="26"/>
          <w:szCs w:val="26"/>
        </w:rPr>
        <w:t>8</w:t>
      </w:r>
      <w:r w:rsidR="008A6A18" w:rsidRPr="00843C39">
        <w:rPr>
          <w:sz w:val="26"/>
          <w:szCs w:val="26"/>
        </w:rPr>
        <w:t xml:space="preserve">, wherein </w:t>
      </w:r>
      <w:r w:rsidR="00BB178D" w:rsidRPr="00843C39">
        <w:rPr>
          <w:sz w:val="26"/>
          <w:szCs w:val="26"/>
        </w:rPr>
        <w:t>s</w:t>
      </w:r>
      <w:r w:rsidR="008A6A18" w:rsidRPr="00843C39">
        <w:rPr>
          <w:sz w:val="26"/>
          <w:szCs w:val="26"/>
        </w:rPr>
        <w:t>he recommended a</w:t>
      </w:r>
      <w:r w:rsidR="00BB178D" w:rsidRPr="00843C39">
        <w:rPr>
          <w:sz w:val="26"/>
          <w:szCs w:val="26"/>
        </w:rPr>
        <w:t xml:space="preserve">pproval of the Settlement with </w:t>
      </w:r>
      <w:r w:rsidR="00FF098C">
        <w:rPr>
          <w:sz w:val="26"/>
          <w:szCs w:val="26"/>
        </w:rPr>
        <w:t xml:space="preserve">minor </w:t>
      </w:r>
      <w:r w:rsidR="00BB178D" w:rsidRPr="00843C39">
        <w:rPr>
          <w:sz w:val="26"/>
          <w:szCs w:val="26"/>
        </w:rPr>
        <w:t>modification</w:t>
      </w:r>
      <w:r w:rsidR="007F31AA">
        <w:rPr>
          <w:sz w:val="26"/>
          <w:szCs w:val="26"/>
        </w:rPr>
        <w:t>s.</w:t>
      </w:r>
      <w:r w:rsidR="007F31AA">
        <w:rPr>
          <w:rStyle w:val="FootnoteReference"/>
          <w:sz w:val="26"/>
          <w:szCs w:val="26"/>
        </w:rPr>
        <w:footnoteReference w:id="9"/>
      </w:r>
    </w:p>
    <w:p w:rsidR="00BB178D" w:rsidRPr="00843C39" w:rsidRDefault="00BB178D" w:rsidP="00BB178D">
      <w:pPr>
        <w:tabs>
          <w:tab w:val="left" w:pos="1710"/>
        </w:tabs>
        <w:rPr>
          <w:sz w:val="26"/>
          <w:szCs w:val="26"/>
        </w:rPr>
      </w:pPr>
    </w:p>
    <w:p w:rsidR="00994240" w:rsidRDefault="00A84EC4" w:rsidP="00A84EC4">
      <w:pPr>
        <w:pStyle w:val="Footer"/>
        <w:spacing w:line="360" w:lineRule="auto"/>
        <w:ind w:firstLine="1440"/>
        <w:rPr>
          <w:sz w:val="26"/>
          <w:szCs w:val="26"/>
        </w:rPr>
      </w:pPr>
      <w:r>
        <w:rPr>
          <w:sz w:val="26"/>
          <w:szCs w:val="26"/>
        </w:rPr>
        <w:t xml:space="preserve">As </w:t>
      </w:r>
      <w:r w:rsidR="00E160C4">
        <w:rPr>
          <w:sz w:val="26"/>
          <w:szCs w:val="26"/>
        </w:rPr>
        <w:t xml:space="preserve">noted, </w:t>
      </w:r>
      <w:r w:rsidR="00DE2361">
        <w:rPr>
          <w:sz w:val="26"/>
          <w:szCs w:val="26"/>
        </w:rPr>
        <w:t>Excep</w:t>
      </w:r>
      <w:r w:rsidR="00A94819">
        <w:rPr>
          <w:sz w:val="26"/>
          <w:szCs w:val="26"/>
        </w:rPr>
        <w:t>tions we</w:t>
      </w:r>
      <w:r w:rsidR="00D46BEF">
        <w:rPr>
          <w:sz w:val="26"/>
          <w:szCs w:val="26"/>
        </w:rPr>
        <w:t xml:space="preserve">re filed by the </w:t>
      </w:r>
      <w:r w:rsidR="00ED5252">
        <w:rPr>
          <w:sz w:val="26"/>
          <w:szCs w:val="26"/>
        </w:rPr>
        <w:t>Complainants</w:t>
      </w:r>
      <w:r w:rsidR="00D46BEF">
        <w:rPr>
          <w:sz w:val="26"/>
          <w:szCs w:val="26"/>
        </w:rPr>
        <w:t xml:space="preserve"> on </w:t>
      </w:r>
      <w:r w:rsidR="00ED5252">
        <w:rPr>
          <w:sz w:val="26"/>
          <w:szCs w:val="26"/>
        </w:rPr>
        <w:t xml:space="preserve">June </w:t>
      </w:r>
      <w:r w:rsidR="00D47813">
        <w:rPr>
          <w:sz w:val="26"/>
          <w:szCs w:val="26"/>
        </w:rPr>
        <w:t xml:space="preserve">6, 7, </w:t>
      </w:r>
      <w:r w:rsidR="00ED5252">
        <w:rPr>
          <w:sz w:val="26"/>
          <w:szCs w:val="26"/>
        </w:rPr>
        <w:t>8</w:t>
      </w:r>
      <w:r w:rsidR="00843C39">
        <w:rPr>
          <w:sz w:val="26"/>
          <w:szCs w:val="26"/>
        </w:rPr>
        <w:t xml:space="preserve">, </w:t>
      </w:r>
      <w:r w:rsidR="00ED5252">
        <w:rPr>
          <w:sz w:val="26"/>
          <w:szCs w:val="26"/>
        </w:rPr>
        <w:t>11,</w:t>
      </w:r>
      <w:r w:rsidR="001A3BD4">
        <w:rPr>
          <w:sz w:val="26"/>
          <w:szCs w:val="26"/>
        </w:rPr>
        <w:t xml:space="preserve"> </w:t>
      </w:r>
      <w:r w:rsidR="00843C39">
        <w:rPr>
          <w:sz w:val="26"/>
          <w:szCs w:val="26"/>
        </w:rPr>
        <w:t>1</w:t>
      </w:r>
      <w:r w:rsidR="0018543E">
        <w:rPr>
          <w:sz w:val="26"/>
          <w:szCs w:val="26"/>
        </w:rPr>
        <w:t>4</w:t>
      </w:r>
      <w:r w:rsidR="001A3BD4">
        <w:rPr>
          <w:sz w:val="26"/>
          <w:szCs w:val="26"/>
        </w:rPr>
        <w:t xml:space="preserve"> and </w:t>
      </w:r>
      <w:r w:rsidR="00B53B0A">
        <w:rPr>
          <w:sz w:val="26"/>
          <w:szCs w:val="26"/>
        </w:rPr>
        <w:t>20, 2018</w:t>
      </w:r>
      <w:r w:rsidR="00ED5252">
        <w:rPr>
          <w:sz w:val="26"/>
          <w:szCs w:val="26"/>
        </w:rPr>
        <w:t>, and</w:t>
      </w:r>
      <w:r w:rsidR="000C7903">
        <w:rPr>
          <w:sz w:val="26"/>
          <w:szCs w:val="26"/>
        </w:rPr>
        <w:t xml:space="preserve"> </w:t>
      </w:r>
      <w:r w:rsidR="00B77DA8">
        <w:rPr>
          <w:sz w:val="26"/>
          <w:szCs w:val="26"/>
        </w:rPr>
        <w:t xml:space="preserve">Replies to Exceptions were filed by </w:t>
      </w:r>
      <w:r w:rsidR="00343E1F">
        <w:rPr>
          <w:sz w:val="26"/>
          <w:szCs w:val="26"/>
        </w:rPr>
        <w:t xml:space="preserve">I&amp;E on June 26, 2018, and by </w:t>
      </w:r>
      <w:r w:rsidR="00ED5252">
        <w:rPr>
          <w:sz w:val="26"/>
          <w:szCs w:val="26"/>
        </w:rPr>
        <w:t>Reynolds</w:t>
      </w:r>
      <w:r w:rsidR="00D46BEF">
        <w:rPr>
          <w:sz w:val="26"/>
          <w:szCs w:val="26"/>
        </w:rPr>
        <w:t xml:space="preserve"> on </w:t>
      </w:r>
      <w:r w:rsidR="00ED5252" w:rsidRPr="009E4CBF">
        <w:rPr>
          <w:sz w:val="26"/>
          <w:szCs w:val="26"/>
        </w:rPr>
        <w:t>June 2</w:t>
      </w:r>
      <w:r w:rsidR="001A3BD4" w:rsidRPr="009E4CBF">
        <w:rPr>
          <w:sz w:val="26"/>
          <w:szCs w:val="26"/>
        </w:rPr>
        <w:t>8</w:t>
      </w:r>
      <w:r w:rsidR="00ED5252" w:rsidRPr="009E4CBF">
        <w:rPr>
          <w:sz w:val="26"/>
          <w:szCs w:val="26"/>
        </w:rPr>
        <w:t>,</w:t>
      </w:r>
      <w:r w:rsidR="00ED5252">
        <w:rPr>
          <w:sz w:val="26"/>
          <w:szCs w:val="26"/>
        </w:rPr>
        <w:t xml:space="preserve"> 2018</w:t>
      </w:r>
      <w:r w:rsidR="00B77DA8">
        <w:rPr>
          <w:sz w:val="26"/>
          <w:szCs w:val="26"/>
        </w:rPr>
        <w:t>.</w:t>
      </w:r>
    </w:p>
    <w:p w:rsidR="00E160C4" w:rsidRPr="00600FC7" w:rsidRDefault="00E160C4" w:rsidP="00BA4EB5">
      <w:pPr>
        <w:pStyle w:val="Heading1"/>
        <w:keepNext/>
        <w:keepLines/>
      </w:pPr>
      <w:bookmarkStart w:id="5" w:name="_Toc471747991"/>
      <w:bookmarkStart w:id="6" w:name="_Toc471748129"/>
      <w:r w:rsidRPr="00600FC7">
        <w:lastRenderedPageBreak/>
        <w:t>II</w:t>
      </w:r>
      <w:r w:rsidR="003F001F" w:rsidRPr="00600FC7">
        <w:t>I</w:t>
      </w:r>
      <w:r w:rsidRPr="00600FC7">
        <w:t>.</w:t>
      </w:r>
      <w:r w:rsidRPr="00600FC7">
        <w:tab/>
        <w:t>Discussion of the Settlement</w:t>
      </w:r>
      <w:bookmarkEnd w:id="5"/>
      <w:bookmarkEnd w:id="6"/>
      <w:r w:rsidR="00CB3B05">
        <w:t xml:space="preserve"> and </w:t>
      </w:r>
      <w:r w:rsidR="00822BAB">
        <w:t xml:space="preserve">Settlement </w:t>
      </w:r>
      <w:r w:rsidR="00CB3B05">
        <w:t>Objections</w:t>
      </w:r>
    </w:p>
    <w:p w:rsidR="000F1E54" w:rsidRPr="00BA4EB5" w:rsidRDefault="000F1E54" w:rsidP="00BA4EB5">
      <w:pPr>
        <w:keepNext/>
        <w:keepLines/>
        <w:rPr>
          <w:sz w:val="26"/>
        </w:rPr>
      </w:pPr>
    </w:p>
    <w:p w:rsidR="00CB3B05" w:rsidRPr="00CB3B05" w:rsidRDefault="00CB3B05" w:rsidP="00CB3B05">
      <w:pPr>
        <w:spacing w:after="200"/>
        <w:ind w:firstLine="1440"/>
        <w:contextualSpacing/>
        <w:rPr>
          <w:sz w:val="26"/>
          <w:szCs w:val="26"/>
        </w:rPr>
      </w:pPr>
      <w:r w:rsidRPr="00CB3B05">
        <w:rPr>
          <w:sz w:val="26"/>
          <w:szCs w:val="26"/>
        </w:rPr>
        <w:t xml:space="preserve">As a preliminary matter, we note that any issue or exception that we do not specifically delineate shall be deemed to have been duly considered and denied without further discussion.  We are not required to consider expressly or at length each contention or argument raised by the parties.  </w:t>
      </w:r>
      <w:r w:rsidRPr="00CB3B05">
        <w:rPr>
          <w:i/>
          <w:sz w:val="26"/>
          <w:szCs w:val="26"/>
        </w:rPr>
        <w:t>Consolidated Rail Corp. v. Pa. PUC</w:t>
      </w:r>
      <w:r w:rsidRPr="00CB3B05">
        <w:rPr>
          <w:sz w:val="26"/>
          <w:szCs w:val="26"/>
        </w:rPr>
        <w:t xml:space="preserve">, 625 A.2d 741 (Pa. Cmwlth. 1993); </w:t>
      </w:r>
      <w:r w:rsidRPr="00CB3B05">
        <w:rPr>
          <w:i/>
          <w:sz w:val="26"/>
          <w:szCs w:val="26"/>
        </w:rPr>
        <w:t>also see,</w:t>
      </w:r>
      <w:r w:rsidRPr="00CB3B05">
        <w:rPr>
          <w:sz w:val="26"/>
          <w:szCs w:val="26"/>
        </w:rPr>
        <w:t xml:space="preserve"> </w:t>
      </w:r>
      <w:r w:rsidRPr="00CB3B05">
        <w:rPr>
          <w:i/>
          <w:sz w:val="26"/>
          <w:szCs w:val="26"/>
        </w:rPr>
        <w:t>generally</w:t>
      </w:r>
      <w:r w:rsidRPr="00CB3B05">
        <w:rPr>
          <w:sz w:val="26"/>
          <w:szCs w:val="26"/>
        </w:rPr>
        <w:t xml:space="preserve">, </w:t>
      </w:r>
      <w:r w:rsidRPr="00CB3B05">
        <w:rPr>
          <w:i/>
          <w:sz w:val="26"/>
          <w:szCs w:val="26"/>
        </w:rPr>
        <w:t>University of Pennsylvania v. Pa. PUC</w:t>
      </w:r>
      <w:r w:rsidRPr="00CB3B05">
        <w:rPr>
          <w:sz w:val="26"/>
          <w:szCs w:val="26"/>
        </w:rPr>
        <w:t>, 485 A.2d 1217 (Pa. Cmwlth. 1984).</w:t>
      </w:r>
    </w:p>
    <w:p w:rsidR="00CB3B05" w:rsidRPr="00CB3B05" w:rsidRDefault="00CB3B05" w:rsidP="00CB3B05">
      <w:pPr>
        <w:spacing w:after="200"/>
        <w:ind w:firstLine="1440"/>
        <w:contextualSpacing/>
        <w:rPr>
          <w:sz w:val="26"/>
          <w:szCs w:val="26"/>
        </w:rPr>
      </w:pPr>
    </w:p>
    <w:p w:rsidR="00CB3B05" w:rsidRPr="00CB3B05" w:rsidRDefault="00CB3B05" w:rsidP="00CB3B05">
      <w:pPr>
        <w:spacing w:after="200"/>
        <w:ind w:firstLine="1440"/>
        <w:contextualSpacing/>
        <w:rPr>
          <w:sz w:val="26"/>
          <w:szCs w:val="26"/>
        </w:rPr>
      </w:pPr>
      <w:r w:rsidRPr="00CB3B05">
        <w:rPr>
          <w:sz w:val="26"/>
          <w:szCs w:val="26"/>
        </w:rPr>
        <w:t xml:space="preserve">In </w:t>
      </w:r>
      <w:r>
        <w:rPr>
          <w:sz w:val="26"/>
          <w:szCs w:val="26"/>
        </w:rPr>
        <w:t>her</w:t>
      </w:r>
      <w:r w:rsidRPr="00CB3B05">
        <w:rPr>
          <w:sz w:val="26"/>
          <w:szCs w:val="26"/>
        </w:rPr>
        <w:t xml:space="preserve"> Recommended Decision, the ALJ reached </w:t>
      </w:r>
      <w:r>
        <w:rPr>
          <w:sz w:val="26"/>
          <w:szCs w:val="26"/>
        </w:rPr>
        <w:t>three</w:t>
      </w:r>
      <w:r w:rsidRPr="00CB3B05">
        <w:rPr>
          <w:sz w:val="26"/>
          <w:szCs w:val="26"/>
        </w:rPr>
        <w:t xml:space="preserve"> Conclusions of Law.  R.D. at </w:t>
      </w:r>
      <w:r>
        <w:rPr>
          <w:sz w:val="26"/>
          <w:szCs w:val="26"/>
        </w:rPr>
        <w:t>26-27</w:t>
      </w:r>
      <w:r w:rsidRPr="00CB3B05">
        <w:rPr>
          <w:sz w:val="26"/>
          <w:szCs w:val="26"/>
        </w:rPr>
        <w:t>.  The Conclusions of Law are incorporated herein by reference and are adopted without comment unless they are either expressly or by necessary implication rejected or modified by this Opinion and Order.</w:t>
      </w:r>
    </w:p>
    <w:p w:rsidR="00CB3B05" w:rsidRPr="00CB3B05" w:rsidRDefault="00CB3B05" w:rsidP="00BA4EB5">
      <w:pPr>
        <w:rPr>
          <w:sz w:val="26"/>
          <w:szCs w:val="26"/>
        </w:rPr>
      </w:pPr>
    </w:p>
    <w:p w:rsidR="00CB3B05" w:rsidRDefault="00E160C4" w:rsidP="00BA4EB5">
      <w:pPr>
        <w:pStyle w:val="Heading2"/>
        <w:keepLines/>
      </w:pPr>
      <w:bookmarkStart w:id="7" w:name="_Toc471747992"/>
      <w:bookmarkStart w:id="8" w:name="_Toc471748130"/>
      <w:r w:rsidRPr="00BE145B">
        <w:t>A.</w:t>
      </w:r>
      <w:r w:rsidRPr="00BE145B">
        <w:tab/>
      </w:r>
      <w:r w:rsidR="00CB3B05">
        <w:t>Legal Standard</w:t>
      </w:r>
    </w:p>
    <w:p w:rsidR="00CB3B05" w:rsidRDefault="00CB3B05" w:rsidP="00BA4EB5">
      <w:pPr>
        <w:keepNext/>
        <w:keepLines/>
      </w:pPr>
    </w:p>
    <w:p w:rsidR="00CB3B05" w:rsidRDefault="00CB3B05" w:rsidP="00CB3B05">
      <w:pPr>
        <w:ind w:firstLine="1440"/>
        <w:rPr>
          <w:sz w:val="26"/>
          <w:szCs w:val="26"/>
        </w:rPr>
      </w:pPr>
      <w:r w:rsidRPr="00674F88">
        <w:rPr>
          <w:sz w:val="26"/>
          <w:szCs w:val="26"/>
        </w:rPr>
        <w:t xml:space="preserve">The purpose of this investigation is to establish distribution rates for </w:t>
      </w:r>
      <w:r>
        <w:rPr>
          <w:sz w:val="26"/>
          <w:szCs w:val="26"/>
        </w:rPr>
        <w:t>Reynolds’</w:t>
      </w:r>
      <w:r w:rsidRPr="00674F88">
        <w:rPr>
          <w:sz w:val="26"/>
          <w:szCs w:val="26"/>
        </w:rPr>
        <w:t xml:space="preserve"> customers that are “just and reasonable” pursuant to Section 1</w:t>
      </w:r>
      <w:r>
        <w:rPr>
          <w:sz w:val="26"/>
          <w:szCs w:val="26"/>
        </w:rPr>
        <w:t>301 of the Code</w:t>
      </w:r>
      <w:r w:rsidRPr="00674F88">
        <w:rPr>
          <w:sz w:val="26"/>
          <w:szCs w:val="26"/>
        </w:rPr>
        <w:t xml:space="preserve">, 66 Pa. C.S. § 1301.  A public utility seeking a general rate increase is entitled to an opportunity to earn a fair rate of return on the value of the property dedicated to public service.  </w:t>
      </w:r>
      <w:r w:rsidRPr="00674F88">
        <w:rPr>
          <w:i/>
          <w:sz w:val="26"/>
          <w:szCs w:val="26"/>
        </w:rPr>
        <w:t>Bluefield Water Works and Improvement Co. v. Public Service Comm’n of West Virginia,</w:t>
      </w:r>
      <w:r w:rsidRPr="00674F88">
        <w:rPr>
          <w:sz w:val="26"/>
          <w:szCs w:val="26"/>
        </w:rPr>
        <w:t xml:space="preserve"> 262 U.S. 679 (1923)</w:t>
      </w:r>
      <w:r>
        <w:rPr>
          <w:sz w:val="26"/>
          <w:szCs w:val="26"/>
        </w:rPr>
        <w:t>.</w:t>
      </w:r>
    </w:p>
    <w:p w:rsidR="00CB3B05" w:rsidRDefault="00CB3B05" w:rsidP="00CB3B05">
      <w:pPr>
        <w:rPr>
          <w:sz w:val="26"/>
          <w:szCs w:val="26"/>
        </w:rPr>
      </w:pPr>
    </w:p>
    <w:p w:rsidR="00CB3B05" w:rsidRPr="00674F88" w:rsidRDefault="00CB3B05" w:rsidP="00CB3B05">
      <w:pPr>
        <w:ind w:firstLine="1440"/>
        <w:rPr>
          <w:sz w:val="26"/>
          <w:szCs w:val="26"/>
        </w:rPr>
      </w:pPr>
      <w:r w:rsidRPr="00674F88">
        <w:rPr>
          <w:sz w:val="26"/>
          <w:szCs w:val="26"/>
        </w:rPr>
        <w:t xml:space="preserve">In determining what constitutes a fair rate of return, the Commission is guided by the criteria set forth in </w:t>
      </w:r>
      <w:r>
        <w:rPr>
          <w:i/>
          <w:sz w:val="26"/>
          <w:szCs w:val="26"/>
        </w:rPr>
        <w:t xml:space="preserve">Bluefield, supra, </w:t>
      </w:r>
      <w:r w:rsidRPr="00674F88">
        <w:rPr>
          <w:sz w:val="26"/>
          <w:szCs w:val="26"/>
        </w:rPr>
        <w:t xml:space="preserve">and </w:t>
      </w:r>
      <w:r w:rsidRPr="00674F88">
        <w:rPr>
          <w:i/>
          <w:sz w:val="26"/>
          <w:szCs w:val="26"/>
        </w:rPr>
        <w:t>Federal Power Comm’n v. Hope Natural Gas Co.</w:t>
      </w:r>
      <w:r w:rsidRPr="00674F88">
        <w:rPr>
          <w:sz w:val="26"/>
          <w:szCs w:val="26"/>
        </w:rPr>
        <w:t xml:space="preserve">, 320 U.S. 591 (1944).  In </w:t>
      </w:r>
      <w:r w:rsidRPr="00674F88">
        <w:rPr>
          <w:i/>
          <w:sz w:val="26"/>
          <w:szCs w:val="26"/>
        </w:rPr>
        <w:t>Bluefield</w:t>
      </w:r>
      <w:r w:rsidRPr="00674F88">
        <w:rPr>
          <w:sz w:val="26"/>
          <w:szCs w:val="26"/>
        </w:rPr>
        <w:t xml:space="preserve"> the United States Supreme Court stated:</w:t>
      </w:r>
    </w:p>
    <w:p w:rsidR="00CB3B05" w:rsidRPr="00674F88" w:rsidRDefault="00CB3B05" w:rsidP="00CB3B05">
      <w:pPr>
        <w:rPr>
          <w:sz w:val="26"/>
          <w:szCs w:val="26"/>
        </w:rPr>
      </w:pPr>
    </w:p>
    <w:p w:rsidR="00CB3B05" w:rsidRPr="00674F88" w:rsidRDefault="00CB3B05" w:rsidP="00CB3B05">
      <w:pPr>
        <w:spacing w:line="240" w:lineRule="auto"/>
        <w:ind w:left="1440" w:right="1440"/>
        <w:rPr>
          <w:sz w:val="26"/>
          <w:szCs w:val="26"/>
        </w:rPr>
      </w:pPr>
      <w:r w:rsidRPr="00674F88">
        <w:rPr>
          <w:sz w:val="26"/>
          <w:szCs w:val="26"/>
        </w:rPr>
        <w:lastRenderedPageBreak/>
        <w:tab/>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p>
    <w:p w:rsidR="00CB3B05" w:rsidRDefault="00CB3B05" w:rsidP="00CB3B05">
      <w:pPr>
        <w:keepNext/>
        <w:spacing w:line="240" w:lineRule="auto"/>
        <w:ind w:left="1440" w:right="1440"/>
        <w:rPr>
          <w:sz w:val="26"/>
          <w:szCs w:val="26"/>
        </w:rPr>
      </w:pPr>
      <w:r w:rsidRPr="00674F88">
        <w:rPr>
          <w:sz w:val="26"/>
          <w:szCs w:val="26"/>
        </w:rPr>
        <w:t>A rate of return may be too high or too low by changes affecting opportunities for investment, the money market and business conditions generally.</w:t>
      </w:r>
    </w:p>
    <w:p w:rsidR="00CB3B05" w:rsidRPr="00674F88" w:rsidRDefault="00CB3B05" w:rsidP="00CB3B05">
      <w:pPr>
        <w:keepNext/>
        <w:spacing w:line="240" w:lineRule="auto"/>
        <w:ind w:left="1440" w:right="1440"/>
        <w:rPr>
          <w:sz w:val="26"/>
          <w:szCs w:val="26"/>
        </w:rPr>
      </w:pPr>
    </w:p>
    <w:p w:rsidR="00CB3B05" w:rsidRPr="00674F88" w:rsidRDefault="00CB3B05" w:rsidP="00CB3B05">
      <w:pPr>
        <w:keepNext/>
        <w:spacing w:line="240" w:lineRule="auto"/>
        <w:ind w:left="1440" w:right="1440"/>
        <w:rPr>
          <w:sz w:val="26"/>
          <w:szCs w:val="26"/>
        </w:rPr>
      </w:pPr>
    </w:p>
    <w:p w:rsidR="00CB3B05" w:rsidRPr="00674F88" w:rsidRDefault="00CB3B05" w:rsidP="00CB3B05">
      <w:pPr>
        <w:pStyle w:val="BodyText"/>
        <w:keepNext/>
        <w:spacing w:line="240" w:lineRule="auto"/>
        <w:jc w:val="both"/>
        <w:rPr>
          <w:sz w:val="26"/>
          <w:szCs w:val="26"/>
        </w:rPr>
      </w:pPr>
      <w:r w:rsidRPr="00674F88">
        <w:rPr>
          <w:i/>
          <w:sz w:val="26"/>
          <w:szCs w:val="26"/>
        </w:rPr>
        <w:t xml:space="preserve">Bluefield, </w:t>
      </w:r>
      <w:r w:rsidRPr="00674F88">
        <w:rPr>
          <w:sz w:val="26"/>
          <w:szCs w:val="26"/>
        </w:rPr>
        <w:t>262 U.S. at 692-3.</w:t>
      </w:r>
    </w:p>
    <w:p w:rsidR="00CB3B05" w:rsidRPr="00674F88" w:rsidRDefault="00CB3B05" w:rsidP="00CB3B05">
      <w:pPr>
        <w:rPr>
          <w:sz w:val="26"/>
          <w:szCs w:val="26"/>
        </w:rPr>
      </w:pPr>
    </w:p>
    <w:p w:rsidR="00CB3B05" w:rsidRPr="003E6C84" w:rsidRDefault="00CB3B05" w:rsidP="004D0E27">
      <w:pPr>
        <w:ind w:firstLine="1440"/>
        <w:rPr>
          <w:sz w:val="26"/>
          <w:szCs w:val="26"/>
        </w:rPr>
      </w:pPr>
      <w:r w:rsidRPr="00674F88">
        <w:rPr>
          <w:sz w:val="26"/>
          <w:szCs w:val="26"/>
        </w:rPr>
        <w:t>The policy of the Commission is to encourage settlements</w:t>
      </w:r>
      <w:r>
        <w:rPr>
          <w:sz w:val="26"/>
          <w:szCs w:val="26"/>
        </w:rPr>
        <w:t>,</w:t>
      </w:r>
      <w:r w:rsidRPr="00674F88">
        <w:rPr>
          <w:sz w:val="26"/>
          <w:szCs w:val="26"/>
        </w:rPr>
        <w:t xml:space="preserve">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w:t>
      </w:r>
    </w:p>
    <w:p w:rsidR="00CB3B05" w:rsidRPr="00674F88" w:rsidRDefault="00CB3B05" w:rsidP="00CB3B05">
      <w:pPr>
        <w:suppressAutoHyphens/>
        <w:jc w:val="both"/>
        <w:rPr>
          <w:sz w:val="26"/>
          <w:szCs w:val="26"/>
        </w:rPr>
      </w:pPr>
    </w:p>
    <w:p w:rsidR="00CB3B05" w:rsidRPr="00674F88" w:rsidRDefault="00CB3B05" w:rsidP="00CB3B05">
      <w:pPr>
        <w:suppressAutoHyphens/>
        <w:ind w:firstLine="1440"/>
        <w:rPr>
          <w:sz w:val="26"/>
          <w:szCs w:val="26"/>
        </w:rPr>
      </w:pPr>
      <w:r w:rsidRPr="00674F88">
        <w:rPr>
          <w:sz w:val="26"/>
          <w:szCs w:val="26"/>
        </w:rPr>
        <w:t>Rate cases are expensive to litigate</w:t>
      </w:r>
      <w:r>
        <w:rPr>
          <w:sz w:val="26"/>
          <w:szCs w:val="26"/>
        </w:rPr>
        <w:t>,</w:t>
      </w:r>
      <w:r w:rsidRPr="00674F88">
        <w:rPr>
          <w:sz w:val="26"/>
          <w:szCs w:val="26"/>
        </w:rPr>
        <w:t xml:space="preserv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w:t>
      </w:r>
      <w:r>
        <w:rPr>
          <w:sz w:val="26"/>
          <w:szCs w:val="26"/>
        </w:rPr>
        <w:t>ply briefs, exceptions and replies</w:t>
      </w:r>
      <w:r w:rsidRPr="00674F88">
        <w:rPr>
          <w:sz w:val="26"/>
          <w:szCs w:val="26"/>
        </w:rPr>
        <w:t xml:space="preserve"> </w:t>
      </w:r>
      <w:r>
        <w:rPr>
          <w:sz w:val="26"/>
          <w:szCs w:val="26"/>
        </w:rPr>
        <w:t xml:space="preserve">to </w:t>
      </w:r>
      <w:r w:rsidRPr="00674F88">
        <w:rPr>
          <w:sz w:val="26"/>
          <w:szCs w:val="26"/>
        </w:rPr>
        <w:t xml:space="preserve">exceptions, together with the briefs and reply briefs necessitated by any appeal of the Commission’s </w:t>
      </w:r>
      <w:r w:rsidRPr="00674F88">
        <w:rPr>
          <w:sz w:val="26"/>
          <w:szCs w:val="26"/>
        </w:rPr>
        <w:lastRenderedPageBreak/>
        <w:t>decision, yielding significant expense savings for the company’s customers.  For this and other sound reasons, settlements are encouraged by long-standing Commission policy.</w:t>
      </w:r>
    </w:p>
    <w:p w:rsidR="00CB3B05" w:rsidRPr="00674F88" w:rsidRDefault="00CB3B05" w:rsidP="00CB3B05">
      <w:pPr>
        <w:suppressAutoHyphens/>
        <w:ind w:firstLine="1440"/>
        <w:rPr>
          <w:sz w:val="26"/>
          <w:szCs w:val="26"/>
        </w:rPr>
      </w:pPr>
    </w:p>
    <w:p w:rsidR="00CB3B05" w:rsidRPr="00674F88" w:rsidRDefault="00CB3B05" w:rsidP="00CB3B05">
      <w:pPr>
        <w:ind w:firstLine="1440"/>
        <w:rPr>
          <w:sz w:val="26"/>
          <w:szCs w:val="26"/>
        </w:rPr>
      </w:pPr>
      <w:r w:rsidRPr="00674F88">
        <w:rPr>
          <w:sz w:val="26"/>
          <w:szCs w:val="26"/>
        </w:rPr>
        <w:t xml:space="preserve">Despite the policy favoring settlements, the Commission does not simply rubber stamp settlements without further inquiry.  In order to accept a rate case settlement such as that proposed here, the Commission must determine that the proposed terms and conditions are in the public interest.  </w:t>
      </w:r>
      <w:r w:rsidRPr="00674F88">
        <w:rPr>
          <w:i/>
          <w:sz w:val="26"/>
          <w:szCs w:val="26"/>
        </w:rPr>
        <w:t>Pa. PUC v. York Water Co.</w:t>
      </w:r>
      <w:r w:rsidRPr="00674F88">
        <w:rPr>
          <w:sz w:val="26"/>
          <w:szCs w:val="26"/>
        </w:rPr>
        <w:t xml:space="preserve">, Docket No. </w:t>
      </w:r>
    </w:p>
    <w:p w:rsidR="00CB3B05" w:rsidRDefault="00CB3B05" w:rsidP="00CB3B05">
      <w:pPr>
        <w:rPr>
          <w:sz w:val="26"/>
          <w:szCs w:val="26"/>
        </w:rPr>
      </w:pPr>
      <w:r w:rsidRPr="00674F88">
        <w:rPr>
          <w:sz w:val="26"/>
          <w:szCs w:val="26"/>
        </w:rPr>
        <w:t xml:space="preserve">R-00049165 (Order entered October 4, 2004); </w:t>
      </w:r>
      <w:r w:rsidRPr="00674F88">
        <w:rPr>
          <w:i/>
          <w:sz w:val="26"/>
          <w:szCs w:val="26"/>
        </w:rPr>
        <w:t>Pa. PUC v. C. S. Water and Sewer Assoc.</w:t>
      </w:r>
      <w:r w:rsidRPr="00674F88">
        <w:rPr>
          <w:sz w:val="26"/>
          <w:szCs w:val="26"/>
        </w:rPr>
        <w:t>, 74 Pa. P</w:t>
      </w:r>
      <w:r>
        <w:rPr>
          <w:sz w:val="26"/>
          <w:szCs w:val="26"/>
        </w:rPr>
        <w:t>.</w:t>
      </w:r>
      <w:r w:rsidRPr="00674F88">
        <w:rPr>
          <w:sz w:val="26"/>
          <w:szCs w:val="26"/>
        </w:rPr>
        <w:t>U</w:t>
      </w:r>
      <w:r>
        <w:rPr>
          <w:sz w:val="26"/>
          <w:szCs w:val="26"/>
        </w:rPr>
        <w:t>.</w:t>
      </w:r>
      <w:r w:rsidRPr="00674F88">
        <w:rPr>
          <w:sz w:val="26"/>
          <w:szCs w:val="26"/>
        </w:rPr>
        <w:t>C</w:t>
      </w:r>
      <w:r>
        <w:rPr>
          <w:sz w:val="26"/>
          <w:szCs w:val="26"/>
        </w:rPr>
        <w:t>.</w:t>
      </w:r>
      <w:r w:rsidRPr="00674F88">
        <w:rPr>
          <w:sz w:val="26"/>
          <w:szCs w:val="26"/>
        </w:rPr>
        <w:t xml:space="preserve"> 767 (1991).</w:t>
      </w:r>
    </w:p>
    <w:p w:rsidR="00CB3B05" w:rsidRPr="00674F88" w:rsidRDefault="00CB3B05" w:rsidP="00CB3B05">
      <w:pPr>
        <w:rPr>
          <w:sz w:val="26"/>
          <w:szCs w:val="26"/>
        </w:rPr>
      </w:pPr>
    </w:p>
    <w:p w:rsidR="00CB3B05" w:rsidRDefault="00CB3B05" w:rsidP="00CB3B05">
      <w:pPr>
        <w:ind w:firstLine="1440"/>
        <w:rPr>
          <w:sz w:val="26"/>
          <w:szCs w:val="26"/>
        </w:rPr>
      </w:pPr>
      <w:r w:rsidRPr="00674F88">
        <w:rPr>
          <w:sz w:val="26"/>
          <w:szCs w:val="26"/>
        </w:rPr>
        <w:t>With regard to the burden of proof in this matter, Section 315(a) of the Code provides:</w:t>
      </w:r>
    </w:p>
    <w:p w:rsidR="00CB3B05" w:rsidRPr="00674F88" w:rsidRDefault="00CB3B05" w:rsidP="00CB3B05">
      <w:pPr>
        <w:ind w:firstLine="1440"/>
        <w:rPr>
          <w:sz w:val="26"/>
          <w:szCs w:val="26"/>
        </w:rPr>
      </w:pPr>
    </w:p>
    <w:p w:rsidR="00CB3B05" w:rsidRPr="00674F88" w:rsidRDefault="00CB3B05" w:rsidP="00CB3B05">
      <w:pPr>
        <w:keepNext/>
        <w:ind w:left="1440"/>
        <w:jc w:val="both"/>
        <w:rPr>
          <w:b/>
          <w:sz w:val="26"/>
          <w:szCs w:val="26"/>
        </w:rPr>
      </w:pPr>
      <w:r w:rsidRPr="00674F88">
        <w:rPr>
          <w:b/>
          <w:sz w:val="26"/>
          <w:szCs w:val="26"/>
        </w:rPr>
        <w:t>§ 315.  Burden of proof</w:t>
      </w:r>
    </w:p>
    <w:p w:rsidR="00CB3B05" w:rsidRDefault="00CB3B05" w:rsidP="00CB3B05">
      <w:pPr>
        <w:keepNext/>
        <w:numPr>
          <w:ilvl w:val="0"/>
          <w:numId w:val="4"/>
        </w:numPr>
        <w:spacing w:line="240" w:lineRule="auto"/>
        <w:ind w:left="1440" w:right="1440" w:firstLine="360"/>
        <w:rPr>
          <w:sz w:val="26"/>
          <w:szCs w:val="26"/>
        </w:rPr>
      </w:pPr>
      <w:r w:rsidRPr="00674F88">
        <w:rPr>
          <w:b/>
          <w:sz w:val="26"/>
          <w:szCs w:val="26"/>
        </w:rPr>
        <w:t>Reasonableness of rates.—</w:t>
      </w:r>
      <w:r w:rsidRPr="00674F88">
        <w:rPr>
          <w:sz w:val="26"/>
          <w:szCs w:val="26"/>
        </w:rPr>
        <w:t>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preference over all other proceedings, and decide the same as speedily as possible.</w:t>
      </w:r>
    </w:p>
    <w:p w:rsidR="003A2496" w:rsidRPr="00674F88" w:rsidRDefault="003A2496" w:rsidP="00BA4EB5">
      <w:pPr>
        <w:spacing w:line="240" w:lineRule="auto"/>
        <w:ind w:right="1440"/>
        <w:rPr>
          <w:sz w:val="26"/>
          <w:szCs w:val="26"/>
        </w:rPr>
      </w:pPr>
    </w:p>
    <w:p w:rsidR="00CB3B05" w:rsidRPr="00674F88" w:rsidRDefault="00CB3B05" w:rsidP="00CB3B05">
      <w:pPr>
        <w:ind w:right="1440"/>
        <w:rPr>
          <w:sz w:val="26"/>
          <w:szCs w:val="26"/>
        </w:rPr>
      </w:pPr>
    </w:p>
    <w:p w:rsidR="00CB3B05" w:rsidRDefault="00CB3B05" w:rsidP="00CB3B05">
      <w:pPr>
        <w:rPr>
          <w:sz w:val="26"/>
          <w:szCs w:val="26"/>
        </w:rPr>
      </w:pPr>
      <w:r w:rsidRPr="00674F88">
        <w:rPr>
          <w:sz w:val="26"/>
          <w:szCs w:val="26"/>
        </w:rPr>
        <w:t>66 Pa. C.S. § 315(a).  Consequently</w:t>
      </w:r>
      <w:r>
        <w:rPr>
          <w:sz w:val="26"/>
          <w:szCs w:val="26"/>
        </w:rPr>
        <w:t>,</w:t>
      </w:r>
      <w:r w:rsidRPr="00674F88">
        <w:rPr>
          <w:sz w:val="26"/>
          <w:szCs w:val="26"/>
        </w:rPr>
        <w:t xml:space="preserve"> in this proceeding, </w:t>
      </w:r>
      <w:r>
        <w:rPr>
          <w:sz w:val="26"/>
          <w:szCs w:val="26"/>
        </w:rPr>
        <w:t>Reynolds has</w:t>
      </w:r>
      <w:r w:rsidRPr="00674F88">
        <w:rPr>
          <w:sz w:val="26"/>
          <w:szCs w:val="26"/>
        </w:rPr>
        <w:t xml:space="preserve"> the burden to prove that the rate increase proposed by the Settlement </w:t>
      </w:r>
      <w:r>
        <w:rPr>
          <w:sz w:val="26"/>
          <w:szCs w:val="26"/>
        </w:rPr>
        <w:t xml:space="preserve">is </w:t>
      </w:r>
      <w:r w:rsidRPr="00674F88">
        <w:rPr>
          <w:sz w:val="26"/>
          <w:szCs w:val="26"/>
        </w:rPr>
        <w:t xml:space="preserve">just and reasonable.  The Joint Petitioners have reached an accord on the issues and claims that arose in this proceeding and submitted the Settlement.  The Joint Petitioners have the burden to prove that the </w:t>
      </w:r>
      <w:r>
        <w:rPr>
          <w:sz w:val="26"/>
          <w:szCs w:val="26"/>
        </w:rPr>
        <w:t>Settlement is</w:t>
      </w:r>
      <w:r w:rsidRPr="00674F88">
        <w:rPr>
          <w:sz w:val="26"/>
          <w:szCs w:val="26"/>
        </w:rPr>
        <w:t xml:space="preserve"> in the public interest. </w:t>
      </w:r>
    </w:p>
    <w:p w:rsidR="00CB3B05" w:rsidRDefault="00CB3B05" w:rsidP="00CB3B05">
      <w:pPr>
        <w:rPr>
          <w:sz w:val="26"/>
          <w:szCs w:val="26"/>
        </w:rPr>
      </w:pPr>
    </w:p>
    <w:p w:rsidR="00CB3B05" w:rsidRPr="00CB3B05" w:rsidRDefault="00CB3B05" w:rsidP="00BA4EB5">
      <w:pPr>
        <w:tabs>
          <w:tab w:val="left" w:pos="0"/>
        </w:tabs>
      </w:pPr>
      <w:r>
        <w:rPr>
          <w:sz w:val="26"/>
          <w:szCs w:val="26"/>
        </w:rPr>
        <w:lastRenderedPageBreak/>
        <w:tab/>
      </w:r>
      <w:r>
        <w:rPr>
          <w:sz w:val="26"/>
          <w:szCs w:val="26"/>
        </w:rPr>
        <w:tab/>
      </w:r>
      <w:r w:rsidRPr="00674F88">
        <w:rPr>
          <w:sz w:val="26"/>
          <w:szCs w:val="26"/>
        </w:rPr>
        <w:t>The ALJ found that the proposed Settlement</w:t>
      </w:r>
      <w:r>
        <w:rPr>
          <w:sz w:val="26"/>
          <w:szCs w:val="26"/>
        </w:rPr>
        <w:t xml:space="preserve"> is</w:t>
      </w:r>
      <w:r w:rsidRPr="00674F88">
        <w:rPr>
          <w:sz w:val="26"/>
          <w:szCs w:val="26"/>
        </w:rPr>
        <w:t xml:space="preserve"> in the public interest</w:t>
      </w:r>
      <w:r>
        <w:rPr>
          <w:sz w:val="26"/>
          <w:szCs w:val="26"/>
        </w:rPr>
        <w:t xml:space="preserve">.  Although the ALJ acknowledged that the Settlement does not grant all of the Complainants’ concerns, the ALJ, nonetheless, noted that “those concerns were considered and, in the Settlement, have been balanced and met as reasonably as the circumstances will permit.”  R.D. at 26.  According to the ALJ, Reynolds will have the increased revenue needed to accomplish its improvement projects, and to earn a reasonable return on its investment.  </w:t>
      </w:r>
      <w:r w:rsidRPr="002825A8">
        <w:rPr>
          <w:i/>
          <w:sz w:val="26"/>
          <w:szCs w:val="26"/>
        </w:rPr>
        <w:t>Id.</w:t>
      </w:r>
      <w:r>
        <w:rPr>
          <w:sz w:val="26"/>
          <w:szCs w:val="26"/>
        </w:rPr>
        <w:t xml:space="preserve">  In addition, although the Complainants oppose the Settlement, the ALJ recommended an approval of the Settlement stating that with the minor modifications specified in Attachment A to the Recommended Decision, the Settlement represents a fair, just, lawful and reasonable solution to the issues raised in the instant proceeding.  </w:t>
      </w:r>
      <w:r w:rsidRPr="002825A8">
        <w:rPr>
          <w:i/>
          <w:sz w:val="26"/>
          <w:szCs w:val="26"/>
        </w:rPr>
        <w:t>Id.</w:t>
      </w:r>
    </w:p>
    <w:p w:rsidR="00CB3B05" w:rsidRDefault="00CB3B05" w:rsidP="00BA4EB5">
      <w:pPr>
        <w:pStyle w:val="Heading2"/>
        <w:keepNext w:val="0"/>
      </w:pPr>
    </w:p>
    <w:p w:rsidR="00E160C4" w:rsidRPr="00BE145B" w:rsidRDefault="00CB3B05" w:rsidP="00BE145B">
      <w:pPr>
        <w:pStyle w:val="Heading2"/>
      </w:pPr>
      <w:r>
        <w:t xml:space="preserve">B. </w:t>
      </w:r>
      <w:r w:rsidR="001B445B">
        <w:tab/>
      </w:r>
      <w:r w:rsidR="00E160C4" w:rsidRPr="00BE145B">
        <w:t>Terms and Conditions of the</w:t>
      </w:r>
      <w:r w:rsidR="00E23AD8">
        <w:t xml:space="preserve"> </w:t>
      </w:r>
      <w:r w:rsidR="00E160C4" w:rsidRPr="00BE145B">
        <w:t>Settlement</w:t>
      </w:r>
      <w:bookmarkEnd w:id="7"/>
      <w:bookmarkEnd w:id="8"/>
    </w:p>
    <w:p w:rsidR="00873FEA" w:rsidRPr="00A058F8" w:rsidRDefault="00873FEA" w:rsidP="00EF7CFB">
      <w:pPr>
        <w:keepNext/>
        <w:rPr>
          <w:b/>
          <w:sz w:val="26"/>
          <w:szCs w:val="26"/>
        </w:rPr>
      </w:pPr>
    </w:p>
    <w:p w:rsidR="00E23AD8" w:rsidRDefault="00873FEA" w:rsidP="001E2A7D">
      <w:pPr>
        <w:rPr>
          <w:sz w:val="26"/>
          <w:szCs w:val="26"/>
        </w:rPr>
      </w:pPr>
      <w:r w:rsidRPr="00A058F8">
        <w:rPr>
          <w:b/>
          <w:sz w:val="26"/>
          <w:szCs w:val="26"/>
        </w:rPr>
        <w:tab/>
      </w:r>
      <w:r w:rsidRPr="00A058F8">
        <w:rPr>
          <w:b/>
          <w:sz w:val="26"/>
          <w:szCs w:val="26"/>
        </w:rPr>
        <w:tab/>
      </w:r>
      <w:r w:rsidR="00D43C9E" w:rsidRPr="00B27723">
        <w:rPr>
          <w:sz w:val="26"/>
          <w:szCs w:val="26"/>
        </w:rPr>
        <w:t xml:space="preserve">The </w:t>
      </w:r>
      <w:r w:rsidR="002242FD" w:rsidRPr="00B27723">
        <w:rPr>
          <w:sz w:val="26"/>
          <w:szCs w:val="26"/>
        </w:rPr>
        <w:t>Joint Petitioners</w:t>
      </w:r>
      <w:r w:rsidR="00D43C9E" w:rsidRPr="00B27723">
        <w:rPr>
          <w:sz w:val="26"/>
          <w:szCs w:val="26"/>
        </w:rPr>
        <w:t xml:space="preserve"> agreed to the </w:t>
      </w:r>
      <w:r w:rsidR="00F02694" w:rsidRPr="00B27723">
        <w:rPr>
          <w:sz w:val="26"/>
          <w:szCs w:val="26"/>
        </w:rPr>
        <w:t xml:space="preserve">Settlement addressing </w:t>
      </w:r>
      <w:r w:rsidR="002242FD" w:rsidRPr="00B27723">
        <w:rPr>
          <w:sz w:val="26"/>
          <w:szCs w:val="26"/>
        </w:rPr>
        <w:t>every issue</w:t>
      </w:r>
      <w:r w:rsidR="00146955">
        <w:rPr>
          <w:sz w:val="26"/>
          <w:szCs w:val="26"/>
        </w:rPr>
        <w:t>,</w:t>
      </w:r>
      <w:r w:rsidR="00E23AD8">
        <w:rPr>
          <w:sz w:val="26"/>
          <w:szCs w:val="26"/>
        </w:rPr>
        <w:t xml:space="preserve"> including Appendix A to the Settlement contain</w:t>
      </w:r>
      <w:r w:rsidR="00146955">
        <w:rPr>
          <w:sz w:val="26"/>
          <w:szCs w:val="26"/>
        </w:rPr>
        <w:t>ing</w:t>
      </w:r>
      <w:r w:rsidR="00E23AD8">
        <w:rPr>
          <w:sz w:val="26"/>
          <w:szCs w:val="26"/>
        </w:rPr>
        <w:t xml:space="preserve"> the proposed tariff pages to be filed upon approval of the Settlement, Appendix B containing the Revenue Verification at Phase I and Phase II Settlement Rates, </w:t>
      </w:r>
      <w:r w:rsidR="002305E6">
        <w:rPr>
          <w:sz w:val="26"/>
          <w:szCs w:val="26"/>
        </w:rPr>
        <w:t xml:space="preserve">and </w:t>
      </w:r>
      <w:r w:rsidR="00E23AD8">
        <w:rPr>
          <w:sz w:val="26"/>
          <w:szCs w:val="26"/>
        </w:rPr>
        <w:t>Appendices C, D, and E</w:t>
      </w:r>
      <w:r w:rsidR="00A316A8">
        <w:rPr>
          <w:sz w:val="26"/>
          <w:szCs w:val="26"/>
        </w:rPr>
        <w:t>,</w:t>
      </w:r>
      <w:r w:rsidR="00E23AD8">
        <w:rPr>
          <w:sz w:val="26"/>
          <w:szCs w:val="26"/>
        </w:rPr>
        <w:t xml:space="preserve"> containing the respective Statements in Support of the Settlement of the Joint Petitioners.  R.D. at 5.</w:t>
      </w:r>
    </w:p>
    <w:p w:rsidR="0058089C" w:rsidRDefault="002242FD" w:rsidP="00E23AD8">
      <w:pPr>
        <w:rPr>
          <w:sz w:val="26"/>
          <w:szCs w:val="26"/>
        </w:rPr>
      </w:pPr>
      <w:r w:rsidRPr="00B27723">
        <w:rPr>
          <w:sz w:val="26"/>
          <w:szCs w:val="26"/>
        </w:rPr>
        <w:t xml:space="preserve"> </w:t>
      </w:r>
    </w:p>
    <w:p w:rsidR="00F027FE" w:rsidRDefault="00A9264D" w:rsidP="0058089C">
      <w:pPr>
        <w:rPr>
          <w:sz w:val="26"/>
          <w:szCs w:val="26"/>
        </w:rPr>
      </w:pPr>
      <w:r w:rsidRPr="00A058F8">
        <w:rPr>
          <w:sz w:val="26"/>
          <w:szCs w:val="26"/>
        </w:rPr>
        <w:tab/>
      </w:r>
      <w:r w:rsidR="0058089C">
        <w:rPr>
          <w:sz w:val="26"/>
          <w:szCs w:val="26"/>
        </w:rPr>
        <w:tab/>
      </w:r>
      <w:r w:rsidRPr="00A058F8">
        <w:rPr>
          <w:sz w:val="26"/>
          <w:szCs w:val="26"/>
        </w:rPr>
        <w:t xml:space="preserve">The </w:t>
      </w:r>
      <w:r w:rsidR="009A0B34">
        <w:rPr>
          <w:sz w:val="26"/>
          <w:szCs w:val="26"/>
        </w:rPr>
        <w:t xml:space="preserve">“Terms and Conditions” and “Other Provisions” of </w:t>
      </w:r>
      <w:r w:rsidR="00E23AD8">
        <w:rPr>
          <w:sz w:val="26"/>
          <w:szCs w:val="26"/>
        </w:rPr>
        <w:t xml:space="preserve">the </w:t>
      </w:r>
      <w:r w:rsidRPr="00A058F8">
        <w:rPr>
          <w:sz w:val="26"/>
          <w:szCs w:val="26"/>
        </w:rPr>
        <w:t xml:space="preserve">Settlement are set forth in </w:t>
      </w:r>
      <w:r w:rsidR="00E23AD8">
        <w:rPr>
          <w:sz w:val="26"/>
          <w:szCs w:val="26"/>
        </w:rPr>
        <w:t xml:space="preserve">Paragraphs 10 and </w:t>
      </w:r>
      <w:r w:rsidR="00E23AD8" w:rsidRPr="005C5623">
        <w:rPr>
          <w:sz w:val="26"/>
          <w:szCs w:val="26"/>
        </w:rPr>
        <w:t>11</w:t>
      </w:r>
      <w:r w:rsidR="00BA4EB5" w:rsidRPr="005C5623">
        <w:rPr>
          <w:sz w:val="26"/>
          <w:szCs w:val="26"/>
        </w:rPr>
        <w:t>-17</w:t>
      </w:r>
      <w:r w:rsidR="009A0B34" w:rsidRPr="005C5623">
        <w:rPr>
          <w:sz w:val="26"/>
          <w:szCs w:val="26"/>
        </w:rPr>
        <w:t xml:space="preserve">, </w:t>
      </w:r>
      <w:r w:rsidR="009A0B34">
        <w:rPr>
          <w:sz w:val="26"/>
          <w:szCs w:val="26"/>
        </w:rPr>
        <w:t>respectively,</w:t>
      </w:r>
      <w:r w:rsidR="00E23AD8">
        <w:rPr>
          <w:sz w:val="26"/>
          <w:szCs w:val="26"/>
        </w:rPr>
        <w:t xml:space="preserve"> of the </w:t>
      </w:r>
      <w:r w:rsidR="000D17DD">
        <w:rPr>
          <w:sz w:val="26"/>
          <w:szCs w:val="26"/>
        </w:rPr>
        <w:t>Settlement</w:t>
      </w:r>
      <w:r w:rsidR="00C063A3">
        <w:rPr>
          <w:sz w:val="26"/>
          <w:szCs w:val="26"/>
        </w:rPr>
        <w:t xml:space="preserve">.  </w:t>
      </w:r>
      <w:r w:rsidR="00530335">
        <w:rPr>
          <w:sz w:val="26"/>
          <w:szCs w:val="26"/>
        </w:rPr>
        <w:t xml:space="preserve">The terms and conditions </w:t>
      </w:r>
      <w:r w:rsidR="00615810">
        <w:rPr>
          <w:sz w:val="26"/>
          <w:szCs w:val="26"/>
        </w:rPr>
        <w:t xml:space="preserve">address </w:t>
      </w:r>
      <w:r w:rsidR="00E779CE">
        <w:rPr>
          <w:sz w:val="26"/>
          <w:szCs w:val="26"/>
        </w:rPr>
        <w:t xml:space="preserve">the </w:t>
      </w:r>
      <w:r w:rsidR="00E23AD8">
        <w:rPr>
          <w:sz w:val="26"/>
          <w:szCs w:val="26"/>
        </w:rPr>
        <w:t>Revenue Increase and Phase In, Federal Taxes, Monthly Billing</w:t>
      </w:r>
      <w:r w:rsidR="00F027FE">
        <w:rPr>
          <w:sz w:val="26"/>
          <w:szCs w:val="26"/>
        </w:rPr>
        <w:t xml:space="preserve">, Rate Design, Billing Format, and Stay Out as highlighted in Paragraph 10.  </w:t>
      </w:r>
      <w:r w:rsidR="00615810">
        <w:rPr>
          <w:sz w:val="26"/>
          <w:szCs w:val="26"/>
        </w:rPr>
        <w:t xml:space="preserve">The other provisions contained in </w:t>
      </w:r>
      <w:r w:rsidR="00F027FE">
        <w:rPr>
          <w:sz w:val="26"/>
          <w:szCs w:val="26"/>
        </w:rPr>
        <w:t xml:space="preserve">Paragraph </w:t>
      </w:r>
      <w:r w:rsidR="00F027FE" w:rsidRPr="005C5623">
        <w:rPr>
          <w:sz w:val="26"/>
          <w:szCs w:val="26"/>
        </w:rPr>
        <w:t>11</w:t>
      </w:r>
      <w:r w:rsidR="00BA4EB5" w:rsidRPr="005C5623">
        <w:rPr>
          <w:sz w:val="26"/>
          <w:szCs w:val="26"/>
        </w:rPr>
        <w:t>-17</w:t>
      </w:r>
      <w:r w:rsidR="00615810" w:rsidRPr="005C5623">
        <w:rPr>
          <w:sz w:val="26"/>
          <w:szCs w:val="26"/>
        </w:rPr>
        <w:t xml:space="preserve"> </w:t>
      </w:r>
      <w:r w:rsidR="00615810">
        <w:rPr>
          <w:sz w:val="26"/>
          <w:szCs w:val="26"/>
        </w:rPr>
        <w:t xml:space="preserve">discuss more general matters </w:t>
      </w:r>
      <w:r w:rsidR="008146D0">
        <w:rPr>
          <w:sz w:val="26"/>
          <w:szCs w:val="26"/>
        </w:rPr>
        <w:t xml:space="preserve">including, but not limited to, </w:t>
      </w:r>
      <w:r w:rsidR="00D7747C">
        <w:rPr>
          <w:sz w:val="26"/>
          <w:szCs w:val="26"/>
        </w:rPr>
        <w:t xml:space="preserve">such </w:t>
      </w:r>
      <w:r w:rsidR="008146D0">
        <w:rPr>
          <w:sz w:val="26"/>
          <w:szCs w:val="26"/>
        </w:rPr>
        <w:t xml:space="preserve">things </w:t>
      </w:r>
      <w:r w:rsidR="00D7747C">
        <w:rPr>
          <w:sz w:val="26"/>
          <w:szCs w:val="26"/>
        </w:rPr>
        <w:t xml:space="preserve">as </w:t>
      </w:r>
      <w:r w:rsidR="00781661">
        <w:rPr>
          <w:sz w:val="26"/>
          <w:szCs w:val="26"/>
        </w:rPr>
        <w:t>a three-day withdrawal rights by the parties if the Commission fails to grant approval of the Settlement or modifies the terms of the Settlement</w:t>
      </w:r>
      <w:r w:rsidR="008146D0">
        <w:rPr>
          <w:sz w:val="26"/>
          <w:szCs w:val="26"/>
        </w:rPr>
        <w:t xml:space="preserve"> in any way, </w:t>
      </w:r>
      <w:r w:rsidR="00F47EB6">
        <w:rPr>
          <w:sz w:val="26"/>
          <w:szCs w:val="26"/>
        </w:rPr>
        <w:t xml:space="preserve">and that the Joint Petition is not binding on the </w:t>
      </w:r>
      <w:r w:rsidR="00F47EB6">
        <w:rPr>
          <w:i/>
          <w:sz w:val="26"/>
          <w:szCs w:val="26"/>
        </w:rPr>
        <w:t xml:space="preserve">pro se </w:t>
      </w:r>
      <w:r w:rsidR="00F47EB6">
        <w:rPr>
          <w:sz w:val="26"/>
          <w:szCs w:val="26"/>
        </w:rPr>
        <w:t>Complainant</w:t>
      </w:r>
      <w:r w:rsidR="00F027FE">
        <w:rPr>
          <w:sz w:val="26"/>
          <w:szCs w:val="26"/>
        </w:rPr>
        <w:t xml:space="preserve">.  </w:t>
      </w:r>
      <w:r w:rsidR="00422313">
        <w:rPr>
          <w:sz w:val="26"/>
          <w:szCs w:val="26"/>
        </w:rPr>
        <w:t>Below are t</w:t>
      </w:r>
      <w:r w:rsidR="00F027FE">
        <w:rPr>
          <w:sz w:val="26"/>
          <w:szCs w:val="26"/>
        </w:rPr>
        <w:t xml:space="preserve">he </w:t>
      </w:r>
      <w:r w:rsidR="00F027FE">
        <w:rPr>
          <w:sz w:val="26"/>
          <w:szCs w:val="26"/>
        </w:rPr>
        <w:lastRenderedPageBreak/>
        <w:t>issues addressed and agreed upon by the Joint Petitioners in Paragraph</w:t>
      </w:r>
      <w:r w:rsidR="00A25D3E">
        <w:rPr>
          <w:sz w:val="26"/>
          <w:szCs w:val="26"/>
        </w:rPr>
        <w:t>s</w:t>
      </w:r>
      <w:r w:rsidR="00F027FE">
        <w:rPr>
          <w:sz w:val="26"/>
          <w:szCs w:val="26"/>
        </w:rPr>
        <w:t xml:space="preserve"> 10 and 11</w:t>
      </w:r>
      <w:r w:rsidR="008851B6">
        <w:rPr>
          <w:sz w:val="26"/>
          <w:szCs w:val="26"/>
        </w:rPr>
        <w:t>-17</w:t>
      </w:r>
      <w:r w:rsidR="00F027FE">
        <w:rPr>
          <w:sz w:val="26"/>
          <w:szCs w:val="26"/>
        </w:rPr>
        <w:t xml:space="preserve"> </w:t>
      </w:r>
      <w:r w:rsidR="00A25D3E">
        <w:rPr>
          <w:sz w:val="26"/>
          <w:szCs w:val="26"/>
        </w:rPr>
        <w:t>of the Settlement</w:t>
      </w:r>
      <w:r w:rsidR="00F027FE">
        <w:rPr>
          <w:sz w:val="26"/>
          <w:szCs w:val="26"/>
        </w:rPr>
        <w:t>:</w:t>
      </w:r>
    </w:p>
    <w:p w:rsidR="00E23AD8" w:rsidRDefault="00E23AD8" w:rsidP="0058089C">
      <w:pPr>
        <w:rPr>
          <w:sz w:val="26"/>
          <w:szCs w:val="26"/>
        </w:rPr>
      </w:pPr>
    </w:p>
    <w:p w:rsidR="00EB6502" w:rsidRPr="00EB6502" w:rsidRDefault="00EB6502" w:rsidP="00F027FE">
      <w:pPr>
        <w:spacing w:line="240" w:lineRule="auto"/>
        <w:ind w:left="1440" w:right="1440"/>
        <w:rPr>
          <w:b/>
          <w:sz w:val="26"/>
          <w:szCs w:val="26"/>
        </w:rPr>
      </w:pPr>
      <w:r w:rsidRPr="00EB6502">
        <w:rPr>
          <w:b/>
          <w:sz w:val="26"/>
          <w:szCs w:val="26"/>
        </w:rPr>
        <w:t>Terms and Conditions of Settlement</w:t>
      </w:r>
    </w:p>
    <w:p w:rsidR="00EB6502" w:rsidRDefault="00EB6502" w:rsidP="00F027FE">
      <w:pPr>
        <w:spacing w:line="240" w:lineRule="auto"/>
        <w:ind w:left="1440" w:right="1440"/>
        <w:rPr>
          <w:sz w:val="26"/>
          <w:szCs w:val="26"/>
        </w:rPr>
      </w:pPr>
    </w:p>
    <w:p w:rsidR="00F027FE" w:rsidRPr="00F027FE" w:rsidRDefault="00F027FE" w:rsidP="00F027FE">
      <w:pPr>
        <w:spacing w:line="240" w:lineRule="auto"/>
        <w:ind w:left="1440" w:right="1440"/>
        <w:rPr>
          <w:sz w:val="26"/>
          <w:szCs w:val="26"/>
        </w:rPr>
      </w:pPr>
      <w:r w:rsidRPr="00F027FE">
        <w:rPr>
          <w:sz w:val="26"/>
          <w:szCs w:val="26"/>
        </w:rPr>
        <w:t>10.</w:t>
      </w:r>
      <w:r>
        <w:rPr>
          <w:sz w:val="26"/>
          <w:szCs w:val="26"/>
        </w:rPr>
        <w:tab/>
      </w:r>
      <w:r w:rsidRPr="00F027FE">
        <w:rPr>
          <w:sz w:val="26"/>
          <w:szCs w:val="26"/>
        </w:rPr>
        <w:t xml:space="preserve">Joint Petitioners agree that this rate proceeding can be settled without the need for further formal litigation.  The terms and conditions comprising this Joint Petition, to which Joint Petitioners agree, are as follows: </w:t>
      </w:r>
    </w:p>
    <w:p w:rsidR="00F027FE" w:rsidRPr="00F027FE" w:rsidRDefault="00F027FE" w:rsidP="00F027FE">
      <w:pPr>
        <w:rPr>
          <w:sz w:val="26"/>
          <w:szCs w:val="26"/>
        </w:rPr>
      </w:pPr>
    </w:p>
    <w:p w:rsidR="00F027FE" w:rsidRPr="00BA4EB5" w:rsidRDefault="00CB011C" w:rsidP="00BA4EB5">
      <w:pPr>
        <w:pStyle w:val="ListParagraph"/>
        <w:spacing w:line="240" w:lineRule="auto"/>
        <w:ind w:left="1728" w:right="1440"/>
        <w:rPr>
          <w:sz w:val="26"/>
        </w:rPr>
      </w:pPr>
      <w:r>
        <w:rPr>
          <w:sz w:val="26"/>
          <w:szCs w:val="26"/>
        </w:rPr>
        <w:t>(a)</w:t>
      </w:r>
      <w:r w:rsidR="00F027FE" w:rsidRPr="00655A4E">
        <w:rPr>
          <w:sz w:val="26"/>
          <w:szCs w:val="26"/>
        </w:rPr>
        <w:t xml:space="preserve"> </w:t>
      </w:r>
      <w:r w:rsidRPr="00BA4EB5">
        <w:rPr>
          <w:sz w:val="26"/>
        </w:rPr>
        <w:t xml:space="preserve"> R</w:t>
      </w:r>
      <w:r w:rsidR="00F027FE" w:rsidRPr="00BA4EB5">
        <w:rPr>
          <w:sz w:val="26"/>
        </w:rPr>
        <w:t xml:space="preserve">evenue Increase and Phase In </w:t>
      </w:r>
    </w:p>
    <w:p w:rsidR="00F027FE" w:rsidRPr="00F027FE" w:rsidRDefault="00F027FE" w:rsidP="00655A4E">
      <w:pPr>
        <w:spacing w:line="240" w:lineRule="auto"/>
        <w:ind w:left="2160" w:right="1440"/>
        <w:rPr>
          <w:sz w:val="26"/>
          <w:szCs w:val="26"/>
        </w:rPr>
      </w:pPr>
    </w:p>
    <w:p w:rsidR="00F027FE" w:rsidRPr="00F027FE" w:rsidRDefault="003128C4" w:rsidP="00E90C1D">
      <w:pPr>
        <w:spacing w:line="240" w:lineRule="auto"/>
        <w:ind w:left="2160" w:right="1440"/>
        <w:rPr>
          <w:sz w:val="26"/>
          <w:szCs w:val="26"/>
        </w:rPr>
      </w:pPr>
      <w:r>
        <w:rPr>
          <w:sz w:val="26"/>
          <w:szCs w:val="26"/>
        </w:rPr>
        <w:tab/>
      </w:r>
      <w:r w:rsidR="00F027FE" w:rsidRPr="00F027FE">
        <w:rPr>
          <w:sz w:val="26"/>
          <w:szCs w:val="26"/>
        </w:rPr>
        <w:t xml:space="preserve">Joint Petitioners respectfully request that the Commission act as soon as possible to approve this Joint Petition and grant [Reynolds] special permission to file a tariff supplement in the form attached hereto as Appendix A, to become effective for service on one day’s notice, following the entry of a Commission Order approving this Settlement.  The </w:t>
      </w:r>
      <w:r w:rsidR="007F6343">
        <w:rPr>
          <w:sz w:val="26"/>
          <w:szCs w:val="26"/>
        </w:rPr>
        <w:t>[S]ettle</w:t>
      </w:r>
      <w:r w:rsidR="00A404C8">
        <w:rPr>
          <w:sz w:val="26"/>
          <w:szCs w:val="26"/>
        </w:rPr>
        <w:t>4e</w:t>
      </w:r>
      <w:r w:rsidR="007F6343">
        <w:rPr>
          <w:sz w:val="26"/>
          <w:szCs w:val="26"/>
        </w:rPr>
        <w:t>ment</w:t>
      </w:r>
      <w:r w:rsidR="00F027FE" w:rsidRPr="00F027FE">
        <w:rPr>
          <w:sz w:val="26"/>
          <w:szCs w:val="26"/>
        </w:rPr>
        <w:t xml:space="preserve"> provides for a $160,000 increase in annual revenue along with an offsetting $1,400 Accumulated Deferred Income Tax normalization credit, as discussed in paragraph b, below.  Thus, the tariff supplement is designed to produce a net increase in annual revenue of $158,600, or 30.4%, over two phases, in lieu of the proposed $236,829 increase contained in Supplement No. 5.  The Phase I rates, which will produce an annual increase of $111,198, will become effective upon approval of this Joint Petition.  The Phase II rates, which will produce an additional increase of $47,402, will become effective upon written confirmation from [Reynolds] to the Commission, the OCA and </w:t>
      </w:r>
      <w:r w:rsidR="00CB3B05">
        <w:rPr>
          <w:sz w:val="26"/>
          <w:szCs w:val="26"/>
        </w:rPr>
        <w:t>I&amp;E</w:t>
      </w:r>
      <w:r w:rsidR="00F027FE" w:rsidRPr="00F027FE">
        <w:rPr>
          <w:sz w:val="26"/>
          <w:szCs w:val="26"/>
        </w:rPr>
        <w:t xml:space="preserve"> of the completion of the following three projects:</w:t>
      </w:r>
    </w:p>
    <w:p w:rsidR="00F027FE" w:rsidRPr="00F027FE" w:rsidRDefault="00F027FE" w:rsidP="00E90C1D">
      <w:pPr>
        <w:ind w:left="2160" w:right="1440"/>
        <w:rPr>
          <w:sz w:val="26"/>
          <w:szCs w:val="26"/>
        </w:rPr>
      </w:pPr>
      <w:r w:rsidRPr="00F027FE">
        <w:rPr>
          <w:sz w:val="26"/>
          <w:szCs w:val="26"/>
        </w:rPr>
        <w:t xml:space="preserve"> </w:t>
      </w:r>
    </w:p>
    <w:p w:rsidR="00F027FE" w:rsidRPr="00F027FE" w:rsidRDefault="00F027FE" w:rsidP="00BA4EB5">
      <w:pPr>
        <w:spacing w:line="240" w:lineRule="auto"/>
        <w:ind w:left="2880" w:right="2160"/>
        <w:rPr>
          <w:sz w:val="26"/>
          <w:szCs w:val="26"/>
        </w:rPr>
      </w:pPr>
      <w:r w:rsidRPr="00F027FE">
        <w:rPr>
          <w:sz w:val="26"/>
          <w:szCs w:val="26"/>
        </w:rPr>
        <w:t>i.</w:t>
      </w:r>
      <w:r w:rsidR="003128C4">
        <w:rPr>
          <w:sz w:val="26"/>
          <w:szCs w:val="26"/>
        </w:rPr>
        <w:tab/>
      </w:r>
      <w:r w:rsidRPr="00F027FE">
        <w:rPr>
          <w:sz w:val="26"/>
          <w:szCs w:val="26"/>
        </w:rPr>
        <w:t xml:space="preserve">Water proofing/sealing of the sedimentation walls.  This project has an estimated cost of $152,250; </w:t>
      </w:r>
    </w:p>
    <w:p w:rsidR="00F027FE" w:rsidRPr="00F027FE" w:rsidRDefault="00F027FE" w:rsidP="00BA4EB5">
      <w:pPr>
        <w:spacing w:line="240" w:lineRule="auto"/>
        <w:ind w:left="2880" w:right="2160"/>
        <w:rPr>
          <w:sz w:val="26"/>
          <w:szCs w:val="26"/>
        </w:rPr>
      </w:pPr>
      <w:r w:rsidRPr="00F027FE">
        <w:rPr>
          <w:sz w:val="26"/>
          <w:szCs w:val="26"/>
        </w:rPr>
        <w:t xml:space="preserve"> </w:t>
      </w:r>
    </w:p>
    <w:p w:rsidR="00F027FE" w:rsidRPr="00F027FE" w:rsidRDefault="00F027FE" w:rsidP="00BA4EB5">
      <w:pPr>
        <w:spacing w:line="240" w:lineRule="auto"/>
        <w:ind w:left="2880" w:right="2160"/>
        <w:rPr>
          <w:sz w:val="26"/>
          <w:szCs w:val="26"/>
        </w:rPr>
      </w:pPr>
      <w:r w:rsidRPr="00F027FE">
        <w:rPr>
          <w:sz w:val="26"/>
          <w:szCs w:val="26"/>
        </w:rPr>
        <w:lastRenderedPageBreak/>
        <w:t>ii.</w:t>
      </w:r>
      <w:r w:rsidR="003128C4">
        <w:rPr>
          <w:sz w:val="26"/>
          <w:szCs w:val="26"/>
        </w:rPr>
        <w:tab/>
      </w:r>
      <w:r w:rsidRPr="00F027FE">
        <w:rPr>
          <w:sz w:val="26"/>
          <w:szCs w:val="26"/>
        </w:rPr>
        <w:t xml:space="preserve">Replacement of 500 feet of 8-inch water main under the Shenango River.  This project has an estimated cost of $125,000; and </w:t>
      </w:r>
    </w:p>
    <w:p w:rsidR="00F027FE" w:rsidRPr="00F027FE" w:rsidRDefault="00F027FE" w:rsidP="00BA4EB5">
      <w:pPr>
        <w:spacing w:line="240" w:lineRule="auto"/>
        <w:ind w:left="2880" w:right="2160"/>
        <w:rPr>
          <w:sz w:val="26"/>
          <w:szCs w:val="26"/>
        </w:rPr>
      </w:pPr>
      <w:r w:rsidRPr="00F027FE">
        <w:rPr>
          <w:sz w:val="26"/>
          <w:szCs w:val="26"/>
        </w:rPr>
        <w:t xml:space="preserve"> </w:t>
      </w:r>
    </w:p>
    <w:p w:rsidR="00F027FE" w:rsidRPr="00F027FE" w:rsidRDefault="00F027FE" w:rsidP="00BA4EB5">
      <w:pPr>
        <w:spacing w:line="240" w:lineRule="auto"/>
        <w:ind w:left="2880" w:right="2160"/>
        <w:rPr>
          <w:sz w:val="26"/>
          <w:szCs w:val="26"/>
        </w:rPr>
      </w:pPr>
      <w:r w:rsidRPr="00F027FE">
        <w:rPr>
          <w:sz w:val="26"/>
          <w:szCs w:val="26"/>
        </w:rPr>
        <w:t>iii.</w:t>
      </w:r>
      <w:r w:rsidR="003128C4">
        <w:rPr>
          <w:sz w:val="26"/>
          <w:szCs w:val="26"/>
        </w:rPr>
        <w:tab/>
      </w:r>
      <w:r w:rsidRPr="00F027FE">
        <w:rPr>
          <w:sz w:val="26"/>
          <w:szCs w:val="26"/>
        </w:rPr>
        <w:t xml:space="preserve">Installation of a liner in the filtration plant clear well.  This project has an estimated cost of $50,000. </w:t>
      </w:r>
    </w:p>
    <w:p w:rsidR="00F027FE" w:rsidRPr="00F027FE" w:rsidRDefault="00F027FE" w:rsidP="00E90C1D">
      <w:pPr>
        <w:spacing w:line="240" w:lineRule="auto"/>
        <w:ind w:left="2160" w:right="1440"/>
        <w:rPr>
          <w:sz w:val="26"/>
          <w:szCs w:val="26"/>
        </w:rPr>
      </w:pPr>
      <w:r w:rsidRPr="00F027FE">
        <w:rPr>
          <w:sz w:val="26"/>
          <w:szCs w:val="26"/>
        </w:rPr>
        <w:t xml:space="preserve"> </w:t>
      </w:r>
    </w:p>
    <w:p w:rsidR="00F027FE" w:rsidRPr="00F027FE" w:rsidRDefault="003128C4" w:rsidP="00CB011C">
      <w:pPr>
        <w:spacing w:line="240" w:lineRule="auto"/>
        <w:ind w:left="2160" w:right="1440"/>
        <w:rPr>
          <w:sz w:val="26"/>
          <w:szCs w:val="26"/>
        </w:rPr>
      </w:pPr>
      <w:r>
        <w:rPr>
          <w:sz w:val="26"/>
          <w:szCs w:val="26"/>
        </w:rPr>
        <w:tab/>
      </w:r>
      <w:r w:rsidR="00F027FE" w:rsidRPr="00F027FE">
        <w:rPr>
          <w:sz w:val="26"/>
          <w:szCs w:val="26"/>
        </w:rPr>
        <w:t xml:space="preserve">A proof of revenue for the Phase I and Phase II rate increases is attached [to the Settlement] as Appendix B. </w:t>
      </w:r>
    </w:p>
    <w:p w:rsidR="00F027FE" w:rsidRDefault="00F027FE" w:rsidP="00BA4EB5">
      <w:pPr>
        <w:spacing w:line="240" w:lineRule="auto"/>
        <w:ind w:left="2160" w:right="1440"/>
        <w:rPr>
          <w:sz w:val="26"/>
          <w:szCs w:val="26"/>
        </w:rPr>
      </w:pPr>
    </w:p>
    <w:p w:rsidR="00F027FE" w:rsidRPr="00BA4EB5" w:rsidRDefault="00F027FE" w:rsidP="00BA4EB5">
      <w:pPr>
        <w:pStyle w:val="ListParagraph"/>
        <w:spacing w:line="240" w:lineRule="auto"/>
        <w:ind w:left="1728" w:right="1440"/>
        <w:rPr>
          <w:sz w:val="26"/>
        </w:rPr>
      </w:pPr>
      <w:r w:rsidRPr="00BA4EB5">
        <w:rPr>
          <w:sz w:val="26"/>
        </w:rPr>
        <w:t>(b) Federal Taxes</w:t>
      </w:r>
    </w:p>
    <w:p w:rsidR="00655A4E" w:rsidRDefault="00655A4E" w:rsidP="00CB011C">
      <w:pPr>
        <w:pStyle w:val="ListParagraph"/>
        <w:spacing w:line="240" w:lineRule="auto"/>
        <w:ind w:left="1728" w:right="1440"/>
        <w:rPr>
          <w:sz w:val="26"/>
          <w:szCs w:val="26"/>
        </w:rPr>
      </w:pPr>
    </w:p>
    <w:p w:rsidR="00F027FE" w:rsidRPr="00F027FE" w:rsidRDefault="00F027FE" w:rsidP="00655A4E">
      <w:pPr>
        <w:spacing w:line="240" w:lineRule="auto"/>
        <w:ind w:left="2160" w:right="1440"/>
        <w:rPr>
          <w:sz w:val="26"/>
          <w:szCs w:val="26"/>
        </w:rPr>
      </w:pPr>
      <w:r w:rsidRPr="00F027FE">
        <w:rPr>
          <w:sz w:val="26"/>
          <w:szCs w:val="26"/>
        </w:rPr>
        <w:t xml:space="preserve">The Tax Cuts and Jobs Act of 2017 (TCJA) reduces the Federal Income Tax Rate (FIT).  The </w:t>
      </w:r>
      <w:r w:rsidR="007F6343">
        <w:rPr>
          <w:sz w:val="26"/>
          <w:szCs w:val="26"/>
        </w:rPr>
        <w:t>[S]ettlement</w:t>
      </w:r>
      <w:r w:rsidRPr="00F027FE">
        <w:rPr>
          <w:sz w:val="26"/>
          <w:szCs w:val="26"/>
        </w:rPr>
        <w:t xml:space="preserve"> revenue requirement calculation reflects the reduced FIT rate of 21% in the TCJA starting with the effective date of new rates. </w:t>
      </w:r>
    </w:p>
    <w:p w:rsidR="00F027FE" w:rsidRPr="00F027FE" w:rsidRDefault="00F027FE" w:rsidP="00655A4E">
      <w:pPr>
        <w:spacing w:line="240" w:lineRule="auto"/>
        <w:ind w:left="2160" w:right="1440"/>
        <w:rPr>
          <w:sz w:val="26"/>
          <w:szCs w:val="26"/>
        </w:rPr>
      </w:pPr>
    </w:p>
    <w:p w:rsidR="00F027FE" w:rsidRPr="00F027FE" w:rsidRDefault="00F027FE" w:rsidP="00655A4E">
      <w:pPr>
        <w:spacing w:line="240" w:lineRule="auto"/>
        <w:ind w:left="2160" w:right="1440"/>
        <w:rPr>
          <w:sz w:val="26"/>
          <w:szCs w:val="26"/>
        </w:rPr>
      </w:pPr>
      <w:r w:rsidRPr="00F027FE">
        <w:rPr>
          <w:sz w:val="26"/>
          <w:szCs w:val="26"/>
        </w:rPr>
        <w:t xml:space="preserve">The TCJA also impacts reserves for deferred income tax liabilities.  [Reynolds] calculated the impact of the TCJA on its deferred tax liability at December 31, 2017 to be $20,784 (ADIT Adjustment).  Reynolds also calculated a 15-year normalization period for returning the ADIT Adjustment. The amount of ADIT Adjustment to be amortized on an annual basis (approximately $1,400) is incorporated into the </w:t>
      </w:r>
      <w:r w:rsidR="007F6343">
        <w:rPr>
          <w:sz w:val="26"/>
          <w:szCs w:val="26"/>
        </w:rPr>
        <w:t>[S]ettlement</w:t>
      </w:r>
      <w:r w:rsidRPr="00F027FE">
        <w:rPr>
          <w:sz w:val="26"/>
          <w:szCs w:val="26"/>
        </w:rPr>
        <w:t xml:space="preserve"> revenue requirement calculation starting with the effective date of new </w:t>
      </w:r>
      <w:r w:rsidR="00951110" w:rsidRPr="00F027FE">
        <w:rPr>
          <w:sz w:val="26"/>
          <w:szCs w:val="26"/>
        </w:rPr>
        <w:t>rates</w:t>
      </w:r>
      <w:r w:rsidR="00951110">
        <w:rPr>
          <w:sz w:val="26"/>
          <w:szCs w:val="26"/>
        </w:rPr>
        <w:t>.[</w:t>
      </w:r>
      <w:r w:rsidR="00953386">
        <w:rPr>
          <w:rStyle w:val="FootnoteReference"/>
          <w:sz w:val="26"/>
          <w:szCs w:val="26"/>
        </w:rPr>
        <w:footnoteReference w:id="10"/>
      </w:r>
      <w:r w:rsidR="001B445B">
        <w:rPr>
          <w:sz w:val="26"/>
          <w:szCs w:val="26"/>
        </w:rPr>
        <w:t>]</w:t>
      </w:r>
      <w:r w:rsidR="00953386">
        <w:rPr>
          <w:sz w:val="26"/>
          <w:szCs w:val="26"/>
        </w:rPr>
        <w:t xml:space="preserve">  </w:t>
      </w:r>
      <w:r w:rsidRPr="00F027FE">
        <w:rPr>
          <w:sz w:val="26"/>
          <w:szCs w:val="26"/>
        </w:rPr>
        <w:t xml:space="preserve">Joint Petitioners agree that [Reynolds] will track the amortization of the ADIT Adjustment against the beginning balance of $20,784 so that the remaining ADIT Adjustment balance can be determined in [Reynolds]’s next case. </w:t>
      </w:r>
    </w:p>
    <w:p w:rsidR="00F027FE" w:rsidRPr="00F027FE" w:rsidRDefault="00F027FE" w:rsidP="00E90C1D">
      <w:pPr>
        <w:ind w:left="2160" w:right="1440"/>
        <w:rPr>
          <w:sz w:val="26"/>
          <w:szCs w:val="26"/>
        </w:rPr>
      </w:pPr>
    </w:p>
    <w:p w:rsidR="00F027FE" w:rsidRPr="00F027FE" w:rsidRDefault="00F027FE" w:rsidP="00E90C1D">
      <w:pPr>
        <w:spacing w:line="240" w:lineRule="auto"/>
        <w:ind w:left="2160" w:right="1440"/>
        <w:rPr>
          <w:sz w:val="26"/>
          <w:szCs w:val="26"/>
        </w:rPr>
      </w:pPr>
      <w:r w:rsidRPr="00F027FE">
        <w:rPr>
          <w:sz w:val="26"/>
          <w:szCs w:val="26"/>
        </w:rPr>
        <w:lastRenderedPageBreak/>
        <w:t>The Commission’s Temporary Rates Order entered March 15, 2018 at M-2018-2641242 directs the public utility and parties in pending rate proceedings to address the impact of the reduced FIT on the justness and reasonableness of consumer rates charged during the term of the suspension period.  In this proceeding, there are two components to address.  First, there is the calculation of any reduced expenses due to the reduction in the federal income tax rate.</w:t>
      </w:r>
      <w:r w:rsidR="00B13D0C">
        <w:rPr>
          <w:sz w:val="26"/>
          <w:szCs w:val="26"/>
        </w:rPr>
        <w:t xml:space="preserve">  R</w:t>
      </w:r>
      <w:r w:rsidRPr="00F027FE">
        <w:rPr>
          <w:sz w:val="26"/>
          <w:szCs w:val="26"/>
        </w:rPr>
        <w:t xml:space="preserve">eynolds Water’s filing reflects a net loss during the suspension period so there were no federal tax expenses during the suspension period and there are no federal tax expense savings reflected in the </w:t>
      </w:r>
      <w:r w:rsidR="007F6343">
        <w:rPr>
          <w:sz w:val="26"/>
          <w:szCs w:val="26"/>
        </w:rPr>
        <w:t>[S]ettlement</w:t>
      </w:r>
      <w:r w:rsidRPr="00F027FE">
        <w:rPr>
          <w:sz w:val="26"/>
          <w:szCs w:val="26"/>
        </w:rPr>
        <w:t>.</w:t>
      </w:r>
    </w:p>
    <w:p w:rsidR="00F027FE" w:rsidRPr="00F027FE" w:rsidRDefault="00F027FE" w:rsidP="00E90C1D">
      <w:pPr>
        <w:spacing w:line="240" w:lineRule="auto"/>
        <w:ind w:left="2160" w:right="1440"/>
        <w:rPr>
          <w:sz w:val="26"/>
          <w:szCs w:val="26"/>
        </w:rPr>
      </w:pPr>
    </w:p>
    <w:p w:rsidR="00F027FE" w:rsidRPr="00F027FE" w:rsidRDefault="00F027FE" w:rsidP="007F6343">
      <w:pPr>
        <w:spacing w:line="240" w:lineRule="auto"/>
        <w:ind w:left="2160" w:right="1440"/>
        <w:rPr>
          <w:sz w:val="26"/>
          <w:szCs w:val="26"/>
        </w:rPr>
      </w:pPr>
      <w:r w:rsidRPr="00F027FE">
        <w:rPr>
          <w:sz w:val="26"/>
          <w:szCs w:val="26"/>
        </w:rPr>
        <w:t xml:space="preserve">Second, there is the calculation of the ADIT adjustment during the suspension period.  Joint Petitioners agree that the amortization of the ADIT adjustment that will be accrued from January 1, 2018 through June 30, 2018 with the estimated effective date of July 1, 2018 of the </w:t>
      </w:r>
      <w:r w:rsidR="007F6343">
        <w:rPr>
          <w:sz w:val="26"/>
          <w:szCs w:val="26"/>
        </w:rPr>
        <w:t>[S]ettlement</w:t>
      </w:r>
      <w:r w:rsidRPr="00F027FE">
        <w:rPr>
          <w:sz w:val="26"/>
          <w:szCs w:val="26"/>
        </w:rPr>
        <w:t xml:space="preserve"> rates is $700.  This amount will be returned as a one-time bill credit to be reflected on the first billing cycle after Commission approval of the Settlement.  The one-time bill credit will be refunded as an equal amount of $1.00 per customer. </w:t>
      </w:r>
    </w:p>
    <w:p w:rsidR="00AF78BD" w:rsidRDefault="00AF78BD" w:rsidP="00BA4EB5">
      <w:pPr>
        <w:pStyle w:val="ListParagraph"/>
        <w:spacing w:line="240" w:lineRule="auto"/>
        <w:ind w:left="1728" w:right="1440"/>
        <w:rPr>
          <w:sz w:val="26"/>
          <w:szCs w:val="26"/>
        </w:rPr>
      </w:pPr>
    </w:p>
    <w:p w:rsidR="00F027FE" w:rsidRPr="00BA4EB5" w:rsidRDefault="00F027FE" w:rsidP="00BA4EB5">
      <w:pPr>
        <w:pStyle w:val="ListParagraph"/>
        <w:spacing w:line="240" w:lineRule="auto"/>
        <w:ind w:left="1728" w:right="1440"/>
        <w:rPr>
          <w:sz w:val="26"/>
        </w:rPr>
      </w:pPr>
      <w:r w:rsidRPr="00BA4EB5">
        <w:rPr>
          <w:sz w:val="26"/>
        </w:rPr>
        <w:t xml:space="preserve">(c) Monthly Billing </w:t>
      </w:r>
    </w:p>
    <w:p w:rsidR="00AF78BD" w:rsidRPr="00AF78BD" w:rsidRDefault="00AF78BD" w:rsidP="007F6343">
      <w:pPr>
        <w:pStyle w:val="ListParagraph"/>
        <w:spacing w:line="240" w:lineRule="auto"/>
        <w:ind w:left="1728" w:right="1440"/>
        <w:rPr>
          <w:sz w:val="26"/>
          <w:szCs w:val="26"/>
        </w:rPr>
      </w:pPr>
    </w:p>
    <w:p w:rsidR="00F027FE" w:rsidRDefault="00F027FE" w:rsidP="007F6343">
      <w:pPr>
        <w:spacing w:line="240" w:lineRule="auto"/>
        <w:ind w:left="2160" w:right="1440"/>
        <w:rPr>
          <w:sz w:val="26"/>
          <w:szCs w:val="26"/>
        </w:rPr>
      </w:pPr>
      <w:r w:rsidRPr="00F027FE">
        <w:rPr>
          <w:sz w:val="26"/>
          <w:szCs w:val="26"/>
        </w:rPr>
        <w:t xml:space="preserve">[Reynolds] will prepare an analysis of the potential additional costs and benefits of moving to monthly billing.  [Reynolds] will include the analysis in its next rate filing.  </w:t>
      </w:r>
    </w:p>
    <w:p w:rsidR="00AF78BD" w:rsidRPr="00F027FE" w:rsidRDefault="00AF78BD" w:rsidP="00BA4EB5">
      <w:pPr>
        <w:spacing w:line="240" w:lineRule="auto"/>
        <w:ind w:left="2160" w:right="1440"/>
        <w:rPr>
          <w:sz w:val="26"/>
          <w:szCs w:val="26"/>
        </w:rPr>
      </w:pPr>
    </w:p>
    <w:p w:rsidR="00F027FE" w:rsidRPr="00BA4EB5" w:rsidRDefault="00F027FE" w:rsidP="00BA4EB5">
      <w:pPr>
        <w:pStyle w:val="ListParagraph"/>
        <w:spacing w:line="240" w:lineRule="auto"/>
        <w:ind w:left="1728" w:right="1440"/>
        <w:rPr>
          <w:sz w:val="26"/>
        </w:rPr>
      </w:pPr>
      <w:r w:rsidRPr="00BA4EB5">
        <w:rPr>
          <w:sz w:val="26"/>
        </w:rPr>
        <w:t xml:space="preserve">(d) Rate Design </w:t>
      </w:r>
    </w:p>
    <w:p w:rsidR="00F027FE" w:rsidRPr="00F027FE" w:rsidRDefault="00F027FE" w:rsidP="007F6343">
      <w:pPr>
        <w:spacing w:line="240" w:lineRule="auto"/>
        <w:ind w:left="2160" w:right="1440"/>
        <w:rPr>
          <w:sz w:val="26"/>
          <w:szCs w:val="26"/>
        </w:rPr>
      </w:pPr>
    </w:p>
    <w:p w:rsidR="00F027FE" w:rsidRDefault="00F027FE" w:rsidP="007F6343">
      <w:pPr>
        <w:spacing w:line="240" w:lineRule="auto"/>
        <w:ind w:left="2160" w:right="1440"/>
        <w:rPr>
          <w:sz w:val="26"/>
          <w:szCs w:val="26"/>
        </w:rPr>
      </w:pPr>
      <w:r w:rsidRPr="00F027FE">
        <w:rPr>
          <w:sz w:val="26"/>
          <w:szCs w:val="26"/>
        </w:rPr>
        <w:t xml:space="preserve">[Reynolds] agrees to eliminate the minimum water allowance in its next rate case filing.  </w:t>
      </w:r>
      <w:r w:rsidR="001B445B">
        <w:rPr>
          <w:sz w:val="26"/>
          <w:szCs w:val="26"/>
        </w:rPr>
        <w:t>[</w:t>
      </w:r>
      <w:r w:rsidRPr="00F027FE">
        <w:rPr>
          <w:sz w:val="26"/>
          <w:szCs w:val="26"/>
        </w:rPr>
        <w:t>Reynolds</w:t>
      </w:r>
      <w:r w:rsidR="001B445B">
        <w:rPr>
          <w:sz w:val="26"/>
          <w:szCs w:val="26"/>
        </w:rPr>
        <w:t>]</w:t>
      </w:r>
      <w:r w:rsidRPr="00F027FE">
        <w:rPr>
          <w:sz w:val="26"/>
          <w:szCs w:val="26"/>
        </w:rPr>
        <w:t xml:space="preserve"> will provide a bill frequency analysis with that filing. </w:t>
      </w:r>
    </w:p>
    <w:p w:rsidR="0032229C" w:rsidRPr="00F027FE" w:rsidRDefault="0032229C" w:rsidP="007F6343">
      <w:pPr>
        <w:spacing w:line="240" w:lineRule="auto"/>
        <w:ind w:left="2160" w:right="1440"/>
        <w:rPr>
          <w:sz w:val="26"/>
          <w:szCs w:val="26"/>
        </w:rPr>
      </w:pPr>
    </w:p>
    <w:p w:rsidR="00F027FE" w:rsidRPr="00BA4EB5" w:rsidRDefault="00F027FE" w:rsidP="00BA4EB5">
      <w:pPr>
        <w:pStyle w:val="ListParagraph"/>
        <w:keepNext/>
        <w:keepLines/>
        <w:spacing w:line="240" w:lineRule="auto"/>
        <w:ind w:left="1728" w:right="1440"/>
        <w:rPr>
          <w:sz w:val="26"/>
        </w:rPr>
      </w:pPr>
      <w:r w:rsidRPr="00BA4EB5">
        <w:rPr>
          <w:sz w:val="26"/>
        </w:rPr>
        <w:t xml:space="preserve">(e) Billing Format </w:t>
      </w:r>
    </w:p>
    <w:p w:rsidR="00F027FE" w:rsidRPr="00F027FE" w:rsidRDefault="00F027FE" w:rsidP="00BA4EB5">
      <w:pPr>
        <w:keepNext/>
        <w:keepLines/>
        <w:spacing w:line="240" w:lineRule="auto"/>
        <w:ind w:left="2160" w:right="1440"/>
        <w:rPr>
          <w:sz w:val="26"/>
          <w:szCs w:val="26"/>
        </w:rPr>
      </w:pPr>
    </w:p>
    <w:p w:rsidR="00F027FE" w:rsidRDefault="00F027FE" w:rsidP="007F6343">
      <w:pPr>
        <w:spacing w:line="240" w:lineRule="auto"/>
        <w:ind w:left="2160" w:right="1440"/>
        <w:rPr>
          <w:sz w:val="26"/>
          <w:szCs w:val="26"/>
        </w:rPr>
      </w:pPr>
      <w:r w:rsidRPr="00F027FE">
        <w:rPr>
          <w:sz w:val="26"/>
          <w:szCs w:val="26"/>
        </w:rPr>
        <w:t xml:space="preserve"> [Reynolds] will update its bill format no later than the effective date of the Phase I revenue increase to show </w:t>
      </w:r>
      <w:r w:rsidRPr="00F027FE">
        <w:rPr>
          <w:sz w:val="26"/>
          <w:szCs w:val="26"/>
        </w:rPr>
        <w:lastRenderedPageBreak/>
        <w:t xml:space="preserve">the </w:t>
      </w:r>
      <w:r w:rsidR="001B445B">
        <w:rPr>
          <w:sz w:val="26"/>
          <w:szCs w:val="26"/>
        </w:rPr>
        <w:t>[Pennsylvania Infrastructure Investment Authority</w:t>
      </w:r>
      <w:r w:rsidR="001B445B" w:rsidRPr="00F027FE">
        <w:rPr>
          <w:sz w:val="26"/>
          <w:szCs w:val="26"/>
        </w:rPr>
        <w:t xml:space="preserve"> </w:t>
      </w:r>
      <w:r w:rsidR="001B445B">
        <w:rPr>
          <w:sz w:val="26"/>
          <w:szCs w:val="26"/>
        </w:rPr>
        <w:t>(</w:t>
      </w:r>
      <w:r w:rsidRPr="00F027FE">
        <w:rPr>
          <w:sz w:val="26"/>
          <w:szCs w:val="26"/>
        </w:rPr>
        <w:t>PENNVEST</w:t>
      </w:r>
      <w:r w:rsidR="001B445B">
        <w:rPr>
          <w:sz w:val="26"/>
          <w:szCs w:val="26"/>
        </w:rPr>
        <w:t>)]</w:t>
      </w:r>
      <w:r w:rsidRPr="00F027FE">
        <w:rPr>
          <w:sz w:val="26"/>
          <w:szCs w:val="26"/>
        </w:rPr>
        <w:t xml:space="preserve"> surcharge is for Reynolds Disposal Company.</w:t>
      </w:r>
    </w:p>
    <w:p w:rsidR="00074639" w:rsidRPr="00BA4EB5" w:rsidRDefault="00074639" w:rsidP="00BA4EB5">
      <w:pPr>
        <w:spacing w:line="240" w:lineRule="auto"/>
        <w:ind w:left="2160" w:right="1440"/>
        <w:rPr>
          <w:sz w:val="26"/>
        </w:rPr>
      </w:pPr>
    </w:p>
    <w:p w:rsidR="00F027FE" w:rsidRPr="00BA4EB5" w:rsidRDefault="00F027FE" w:rsidP="00BA4EB5">
      <w:pPr>
        <w:pStyle w:val="ListParagraph"/>
        <w:keepNext/>
        <w:keepLines/>
        <w:spacing w:line="240" w:lineRule="auto"/>
        <w:ind w:left="1728" w:right="1440"/>
        <w:rPr>
          <w:sz w:val="26"/>
        </w:rPr>
      </w:pPr>
      <w:r w:rsidRPr="00BA4EB5">
        <w:rPr>
          <w:sz w:val="26"/>
        </w:rPr>
        <w:t xml:space="preserve">(f) Stay Out </w:t>
      </w:r>
    </w:p>
    <w:p w:rsidR="00F027FE" w:rsidRPr="00F027FE" w:rsidRDefault="00F027FE" w:rsidP="00BA4EB5">
      <w:pPr>
        <w:keepNext/>
        <w:keepLines/>
        <w:spacing w:line="240" w:lineRule="auto"/>
        <w:ind w:left="2160" w:right="1440"/>
        <w:rPr>
          <w:sz w:val="26"/>
          <w:szCs w:val="26"/>
        </w:rPr>
      </w:pPr>
    </w:p>
    <w:p w:rsidR="00F027FE" w:rsidRDefault="00F027FE" w:rsidP="007F6343">
      <w:pPr>
        <w:spacing w:line="240" w:lineRule="auto"/>
        <w:ind w:left="2160" w:right="1440"/>
        <w:rPr>
          <w:sz w:val="26"/>
          <w:szCs w:val="26"/>
        </w:rPr>
      </w:pPr>
      <w:r w:rsidRPr="00F027FE">
        <w:rPr>
          <w:sz w:val="26"/>
          <w:szCs w:val="26"/>
        </w:rPr>
        <w:t>[Reynolds] will not file a general rate increase, as that term is defined in Section 1308(d) of the Public Utility Code, 66 Pa.</w:t>
      </w:r>
      <w:r w:rsidR="00F3535A">
        <w:rPr>
          <w:sz w:val="26"/>
          <w:szCs w:val="26"/>
        </w:rPr>
        <w:t xml:space="preserve"> </w:t>
      </w:r>
      <w:r w:rsidRPr="00F027FE">
        <w:rPr>
          <w:sz w:val="26"/>
          <w:szCs w:val="26"/>
        </w:rPr>
        <w:t>C.S. § 1308(d), until 2 years following the effective date of the Phase II increase; provided, however, that this provision shall not prevent [Reynolds] from filing a tariff or tariff supplement proposing a general increase in base rates in compliance with Commission orders or in response to fundamental changes in regulatory policies or federal or state tax policies affecting [Reynolds</w:t>
      </w:r>
      <w:r w:rsidR="001B445B">
        <w:rPr>
          <w:sz w:val="26"/>
          <w:szCs w:val="26"/>
        </w:rPr>
        <w:t>’</w:t>
      </w:r>
      <w:r w:rsidRPr="00F027FE">
        <w:rPr>
          <w:sz w:val="26"/>
          <w:szCs w:val="26"/>
        </w:rPr>
        <w:t>] rates.</w:t>
      </w:r>
      <w:r w:rsidR="009F7F91" w:rsidRPr="009F7F91">
        <w:rPr>
          <w:rStyle w:val="FootnoteReference"/>
          <w:sz w:val="26"/>
          <w:szCs w:val="26"/>
        </w:rPr>
        <w:t xml:space="preserve"> </w:t>
      </w:r>
      <w:r w:rsidR="009F7F91">
        <w:rPr>
          <w:rStyle w:val="FootnoteReference"/>
          <w:sz w:val="26"/>
          <w:szCs w:val="26"/>
        </w:rPr>
        <w:footnoteReference w:id="11"/>
      </w:r>
      <w:r w:rsidRPr="00F027FE">
        <w:rPr>
          <w:sz w:val="26"/>
          <w:szCs w:val="26"/>
        </w:rPr>
        <w:t xml:space="preserve"> </w:t>
      </w:r>
    </w:p>
    <w:p w:rsidR="00B47F0C" w:rsidRDefault="00B47F0C" w:rsidP="007F6343">
      <w:pPr>
        <w:spacing w:line="240" w:lineRule="auto"/>
        <w:ind w:left="2160" w:right="1440"/>
        <w:rPr>
          <w:sz w:val="26"/>
          <w:szCs w:val="26"/>
        </w:rPr>
      </w:pPr>
    </w:p>
    <w:p w:rsidR="00B47F0C" w:rsidRDefault="00B47F0C" w:rsidP="00BA4EB5">
      <w:pPr>
        <w:spacing w:line="240" w:lineRule="auto"/>
        <w:ind w:left="2160" w:right="1440"/>
        <w:rPr>
          <w:sz w:val="26"/>
          <w:szCs w:val="26"/>
        </w:rPr>
      </w:pPr>
    </w:p>
    <w:p w:rsidR="00B47F0C" w:rsidRDefault="00B47F0C" w:rsidP="00B47F0C">
      <w:pPr>
        <w:rPr>
          <w:sz w:val="26"/>
          <w:szCs w:val="26"/>
        </w:rPr>
      </w:pPr>
      <w:r>
        <w:rPr>
          <w:sz w:val="26"/>
          <w:szCs w:val="26"/>
        </w:rPr>
        <w:t>Settlement at 3-6.</w:t>
      </w:r>
    </w:p>
    <w:p w:rsidR="00B47F0C" w:rsidRDefault="00B47F0C" w:rsidP="00B47F0C">
      <w:pPr>
        <w:rPr>
          <w:sz w:val="26"/>
          <w:szCs w:val="26"/>
        </w:rPr>
      </w:pPr>
    </w:p>
    <w:p w:rsidR="00F3535A" w:rsidRDefault="00F3535A" w:rsidP="00F3535A">
      <w:pPr>
        <w:ind w:firstLine="1440"/>
        <w:rPr>
          <w:sz w:val="26"/>
          <w:szCs w:val="26"/>
        </w:rPr>
      </w:pPr>
      <w:r>
        <w:rPr>
          <w:sz w:val="26"/>
          <w:szCs w:val="26"/>
        </w:rPr>
        <w:t xml:space="preserve">Paragraph 11 of the Settlement contains other </w:t>
      </w:r>
      <w:r w:rsidR="003045D6">
        <w:rPr>
          <w:sz w:val="26"/>
          <w:szCs w:val="26"/>
        </w:rPr>
        <w:t xml:space="preserve">rate </w:t>
      </w:r>
      <w:r>
        <w:rPr>
          <w:sz w:val="26"/>
          <w:szCs w:val="26"/>
        </w:rPr>
        <w:t xml:space="preserve">provisions as highlighted below: </w:t>
      </w:r>
    </w:p>
    <w:p w:rsidR="00F027FE" w:rsidRDefault="00F027FE" w:rsidP="00F027FE">
      <w:pPr>
        <w:rPr>
          <w:sz w:val="26"/>
          <w:szCs w:val="26"/>
        </w:rPr>
      </w:pPr>
    </w:p>
    <w:p w:rsidR="00EB6502" w:rsidRPr="00EB6502" w:rsidRDefault="00EB6502" w:rsidP="00EB6502">
      <w:pPr>
        <w:spacing w:line="240" w:lineRule="auto"/>
        <w:ind w:left="1440" w:right="1440"/>
        <w:rPr>
          <w:b/>
          <w:sz w:val="26"/>
          <w:szCs w:val="26"/>
        </w:rPr>
      </w:pPr>
      <w:r w:rsidRPr="00EB6502">
        <w:rPr>
          <w:b/>
          <w:sz w:val="26"/>
          <w:szCs w:val="26"/>
        </w:rPr>
        <w:t>Other Provisions</w:t>
      </w:r>
    </w:p>
    <w:p w:rsidR="00EB6502" w:rsidRPr="00F027FE" w:rsidRDefault="00EB6502" w:rsidP="00BA4EB5">
      <w:pPr>
        <w:spacing w:line="240" w:lineRule="auto"/>
        <w:ind w:left="1440" w:right="1440"/>
        <w:rPr>
          <w:sz w:val="26"/>
          <w:szCs w:val="26"/>
        </w:rPr>
      </w:pPr>
    </w:p>
    <w:p w:rsidR="00E908C1" w:rsidRDefault="00F027FE" w:rsidP="00F3535A">
      <w:pPr>
        <w:spacing w:line="240" w:lineRule="auto"/>
        <w:ind w:left="1440" w:right="1440"/>
        <w:rPr>
          <w:sz w:val="26"/>
          <w:szCs w:val="26"/>
        </w:rPr>
      </w:pPr>
      <w:r w:rsidRPr="00F027FE">
        <w:rPr>
          <w:sz w:val="26"/>
          <w:szCs w:val="26"/>
        </w:rPr>
        <w:t>11.</w:t>
      </w:r>
      <w:r w:rsidR="00F3535A">
        <w:rPr>
          <w:sz w:val="26"/>
          <w:szCs w:val="26"/>
        </w:rPr>
        <w:tab/>
      </w:r>
      <w:r w:rsidRPr="00F027FE">
        <w:rPr>
          <w:sz w:val="26"/>
          <w:szCs w:val="26"/>
        </w:rPr>
        <w:t xml:space="preserve">Under the presently suspended Supplement No. 5, the quarterly cost of water service to a typical residential customer using 9,000 gallons per quarter would have increased by approximately $42.11, or 45.4%, from $92.76 to $134.87.  Under the Joint Petition, the quarterly cost of water service to such residential customer would increase by approximately $28.20, or 30.4%, from $92.76 to $120.96 over the two phases.  Under Phase I, the quarterly cost of water service to such residential customer would increase by approximately $19.77, or 21.31%, from $92.76 to $112.53.  </w:t>
      </w:r>
    </w:p>
    <w:p w:rsidR="00F027FE" w:rsidRDefault="00F027FE" w:rsidP="00BA4EB5">
      <w:pPr>
        <w:keepNext/>
        <w:keepLines/>
        <w:spacing w:line="240" w:lineRule="auto"/>
        <w:ind w:left="1440" w:right="1440"/>
        <w:rPr>
          <w:sz w:val="26"/>
          <w:szCs w:val="26"/>
        </w:rPr>
      </w:pPr>
      <w:r w:rsidRPr="00F027FE">
        <w:rPr>
          <w:sz w:val="26"/>
          <w:szCs w:val="26"/>
        </w:rPr>
        <w:lastRenderedPageBreak/>
        <w:t xml:space="preserve">Under Phase II, the quarterly cost of water service to such residential customer would increase by an additional $8.43, or 7.49%, from $112.53 to $120.96. </w:t>
      </w:r>
    </w:p>
    <w:p w:rsidR="00F3535A" w:rsidRPr="00F027FE" w:rsidRDefault="00F3535A" w:rsidP="00BA4EB5">
      <w:pPr>
        <w:keepNext/>
        <w:keepLines/>
        <w:spacing w:line="240" w:lineRule="auto"/>
        <w:ind w:left="1440" w:right="1440"/>
        <w:rPr>
          <w:sz w:val="26"/>
          <w:szCs w:val="26"/>
        </w:rPr>
      </w:pPr>
    </w:p>
    <w:p w:rsidR="00F027FE" w:rsidRPr="00F027FE" w:rsidRDefault="00F027FE" w:rsidP="00BA4EB5">
      <w:pPr>
        <w:keepNext/>
        <w:keepLines/>
        <w:spacing w:line="240" w:lineRule="auto"/>
        <w:ind w:left="1440" w:right="1440"/>
        <w:rPr>
          <w:sz w:val="26"/>
          <w:szCs w:val="26"/>
        </w:rPr>
      </w:pPr>
    </w:p>
    <w:p w:rsidR="00F3535A" w:rsidRDefault="00F3535A" w:rsidP="0058089C">
      <w:pPr>
        <w:rPr>
          <w:sz w:val="26"/>
          <w:szCs w:val="26"/>
        </w:rPr>
      </w:pPr>
      <w:r>
        <w:rPr>
          <w:sz w:val="26"/>
          <w:szCs w:val="26"/>
        </w:rPr>
        <w:t>Settlement at 6-7.</w:t>
      </w:r>
    </w:p>
    <w:p w:rsidR="00F027FE" w:rsidRDefault="00F027FE" w:rsidP="0058089C">
      <w:pPr>
        <w:rPr>
          <w:sz w:val="26"/>
          <w:szCs w:val="26"/>
        </w:rPr>
      </w:pPr>
    </w:p>
    <w:p w:rsidR="00E52BF0" w:rsidRPr="00B902F2" w:rsidRDefault="00FD71E6" w:rsidP="00CE5955">
      <w:pPr>
        <w:ind w:firstLine="1530"/>
        <w:rPr>
          <w:sz w:val="26"/>
          <w:szCs w:val="26"/>
        </w:rPr>
      </w:pPr>
      <w:r>
        <w:rPr>
          <w:sz w:val="26"/>
          <w:szCs w:val="26"/>
        </w:rPr>
        <w:t xml:space="preserve">In addition </w:t>
      </w:r>
      <w:r w:rsidR="00A63346">
        <w:rPr>
          <w:sz w:val="26"/>
          <w:szCs w:val="26"/>
        </w:rPr>
        <w:t xml:space="preserve">to specific rate </w:t>
      </w:r>
      <w:r w:rsidR="00BE3870">
        <w:rPr>
          <w:sz w:val="26"/>
          <w:szCs w:val="26"/>
        </w:rPr>
        <w:t xml:space="preserve">matters </w:t>
      </w:r>
      <w:r w:rsidR="00552E11">
        <w:rPr>
          <w:sz w:val="26"/>
          <w:szCs w:val="26"/>
        </w:rPr>
        <w:t xml:space="preserve">agreed to in Paragraph 11 of the Settlement, </w:t>
      </w:r>
      <w:r w:rsidR="00BE3870">
        <w:rPr>
          <w:sz w:val="26"/>
          <w:szCs w:val="26"/>
        </w:rPr>
        <w:t>above</w:t>
      </w:r>
      <w:r w:rsidR="00552E11">
        <w:rPr>
          <w:sz w:val="26"/>
          <w:szCs w:val="26"/>
        </w:rPr>
        <w:t>,</w:t>
      </w:r>
      <w:r w:rsidR="00BE3870">
        <w:rPr>
          <w:sz w:val="26"/>
          <w:szCs w:val="26"/>
        </w:rPr>
        <w:t xml:space="preserve"> the Settlement addresses </w:t>
      </w:r>
      <w:r w:rsidR="006B0FFC">
        <w:rPr>
          <w:sz w:val="26"/>
          <w:szCs w:val="26"/>
        </w:rPr>
        <w:t xml:space="preserve">supplemental </w:t>
      </w:r>
      <w:r w:rsidR="00BE3870">
        <w:rPr>
          <w:sz w:val="26"/>
          <w:szCs w:val="26"/>
        </w:rPr>
        <w:t>provisions in P</w:t>
      </w:r>
      <w:r w:rsidR="00B63371">
        <w:rPr>
          <w:sz w:val="26"/>
          <w:szCs w:val="26"/>
        </w:rPr>
        <w:t>aragraph Nos.</w:t>
      </w:r>
      <w:r w:rsidR="00FB6ABE">
        <w:rPr>
          <w:sz w:val="26"/>
          <w:szCs w:val="26"/>
        </w:rPr>
        <w:t> </w:t>
      </w:r>
      <w:r w:rsidR="00B14F69">
        <w:rPr>
          <w:sz w:val="26"/>
          <w:szCs w:val="26"/>
        </w:rPr>
        <w:t>12</w:t>
      </w:r>
      <w:r w:rsidR="00FB6ABE">
        <w:rPr>
          <w:sz w:val="26"/>
          <w:szCs w:val="26"/>
        </w:rPr>
        <w:noBreakHyphen/>
      </w:r>
      <w:r w:rsidR="00B14F69">
        <w:rPr>
          <w:sz w:val="26"/>
          <w:szCs w:val="26"/>
        </w:rPr>
        <w:t>17</w:t>
      </w:r>
      <w:r w:rsidRPr="00373212">
        <w:rPr>
          <w:sz w:val="26"/>
          <w:szCs w:val="26"/>
        </w:rPr>
        <w:t xml:space="preserve">. </w:t>
      </w:r>
      <w:r>
        <w:rPr>
          <w:sz w:val="26"/>
          <w:szCs w:val="26"/>
        </w:rPr>
        <w:t xml:space="preserve"> </w:t>
      </w:r>
      <w:r w:rsidR="0045445C">
        <w:rPr>
          <w:sz w:val="26"/>
          <w:szCs w:val="26"/>
        </w:rPr>
        <w:t>More specifically, t</w:t>
      </w:r>
      <w:r w:rsidR="00B24CD5">
        <w:rPr>
          <w:sz w:val="26"/>
          <w:szCs w:val="26"/>
        </w:rPr>
        <w:t>he Settlement state</w:t>
      </w:r>
      <w:r w:rsidR="0045445C">
        <w:rPr>
          <w:sz w:val="26"/>
          <w:szCs w:val="26"/>
        </w:rPr>
        <w:t>s</w:t>
      </w:r>
      <w:r w:rsidR="00B24CD5">
        <w:rPr>
          <w:sz w:val="26"/>
          <w:szCs w:val="26"/>
        </w:rPr>
        <w:t xml:space="preserve"> that </w:t>
      </w:r>
      <w:r w:rsidR="00B24CD5" w:rsidRPr="00B24CD5">
        <w:rPr>
          <w:sz w:val="26"/>
          <w:szCs w:val="26"/>
        </w:rPr>
        <w:t xml:space="preserve">although the </w:t>
      </w:r>
      <w:r w:rsidR="00B24CD5">
        <w:rPr>
          <w:sz w:val="26"/>
          <w:szCs w:val="26"/>
        </w:rPr>
        <w:t>Joint Petitioners</w:t>
      </w:r>
      <w:r w:rsidR="00B24CD5" w:rsidRPr="00B24CD5">
        <w:rPr>
          <w:sz w:val="26"/>
          <w:szCs w:val="26"/>
        </w:rPr>
        <w:t xml:space="preserve"> do not agree to each claim and/or to each specific rate adjustment, </w:t>
      </w:r>
      <w:r w:rsidR="00B24CD5">
        <w:rPr>
          <w:sz w:val="26"/>
          <w:szCs w:val="26"/>
        </w:rPr>
        <w:t>they do</w:t>
      </w:r>
      <w:r w:rsidR="00B24CD5" w:rsidRPr="00B24CD5">
        <w:rPr>
          <w:sz w:val="26"/>
          <w:szCs w:val="26"/>
        </w:rPr>
        <w:t xml:space="preserve"> agree as to the amount of increase in the annual water revenue, coupled with other provisions included in the Settlement.</w:t>
      </w:r>
      <w:r w:rsidR="00B24CD5">
        <w:rPr>
          <w:sz w:val="26"/>
          <w:szCs w:val="26"/>
        </w:rPr>
        <w:t xml:space="preserve">  </w:t>
      </w:r>
      <w:r w:rsidR="001C2767">
        <w:rPr>
          <w:sz w:val="26"/>
          <w:szCs w:val="26"/>
        </w:rPr>
        <w:t>Furthermore, as noted, t</w:t>
      </w:r>
      <w:r w:rsidR="00D000B3">
        <w:rPr>
          <w:sz w:val="26"/>
          <w:szCs w:val="26"/>
        </w:rPr>
        <w:t>he Settlement</w:t>
      </w:r>
      <w:r w:rsidR="00B14F69">
        <w:rPr>
          <w:sz w:val="26"/>
          <w:szCs w:val="26"/>
        </w:rPr>
        <w:t xml:space="preserve"> is </w:t>
      </w:r>
      <w:r w:rsidR="00D000B3">
        <w:rPr>
          <w:sz w:val="26"/>
          <w:szCs w:val="26"/>
        </w:rPr>
        <w:t xml:space="preserve">conditioned upon the Commission’s approval of </w:t>
      </w:r>
      <w:r w:rsidR="00B14F69">
        <w:rPr>
          <w:sz w:val="26"/>
          <w:szCs w:val="26"/>
        </w:rPr>
        <w:t>all</w:t>
      </w:r>
      <w:r w:rsidR="00D000B3">
        <w:rPr>
          <w:sz w:val="26"/>
          <w:szCs w:val="26"/>
        </w:rPr>
        <w:t xml:space="preserve"> terms and conditions</w:t>
      </w:r>
      <w:r w:rsidR="00B14F69">
        <w:rPr>
          <w:sz w:val="26"/>
          <w:szCs w:val="26"/>
        </w:rPr>
        <w:t xml:space="preserve"> contained in the Settlement</w:t>
      </w:r>
      <w:r w:rsidR="00D000B3">
        <w:rPr>
          <w:sz w:val="26"/>
          <w:szCs w:val="26"/>
        </w:rPr>
        <w:t xml:space="preserve">.  </w:t>
      </w:r>
      <w:r w:rsidR="006B0FFC">
        <w:rPr>
          <w:sz w:val="26"/>
          <w:szCs w:val="26"/>
        </w:rPr>
        <w:t>In this regard, t</w:t>
      </w:r>
      <w:r w:rsidR="00D000B3">
        <w:rPr>
          <w:sz w:val="26"/>
          <w:szCs w:val="26"/>
        </w:rPr>
        <w:t>he Settlement</w:t>
      </w:r>
      <w:r w:rsidR="002D5324">
        <w:rPr>
          <w:sz w:val="26"/>
          <w:szCs w:val="26"/>
        </w:rPr>
        <w:t xml:space="preserve"> establish</w:t>
      </w:r>
      <w:r w:rsidR="001B445B">
        <w:rPr>
          <w:sz w:val="26"/>
          <w:szCs w:val="26"/>
        </w:rPr>
        <w:t>es</w:t>
      </w:r>
      <w:r w:rsidR="00D000B3">
        <w:rPr>
          <w:sz w:val="26"/>
          <w:szCs w:val="26"/>
        </w:rPr>
        <w:t xml:space="preserve"> the procedure by</w:t>
      </w:r>
      <w:r w:rsidR="00A058F8">
        <w:rPr>
          <w:sz w:val="26"/>
          <w:szCs w:val="26"/>
        </w:rPr>
        <w:t xml:space="preserve"> which any of the </w:t>
      </w:r>
      <w:r w:rsidR="0090044C">
        <w:rPr>
          <w:sz w:val="26"/>
          <w:szCs w:val="26"/>
        </w:rPr>
        <w:t>Joint Petitioners</w:t>
      </w:r>
      <w:r w:rsidR="00D000B3">
        <w:rPr>
          <w:sz w:val="26"/>
          <w:szCs w:val="26"/>
        </w:rPr>
        <w:t xml:space="preserve"> may withdraw from the Settlement and proceed to litigate this case, if the Commission should act to modify the Settlement.  </w:t>
      </w:r>
      <w:r w:rsidR="00D000B3" w:rsidRPr="00B902F2">
        <w:rPr>
          <w:sz w:val="26"/>
          <w:szCs w:val="26"/>
        </w:rPr>
        <w:t xml:space="preserve">In addition, </w:t>
      </w:r>
      <w:r w:rsidR="00B902F2" w:rsidRPr="00B902F2">
        <w:rPr>
          <w:sz w:val="26"/>
          <w:szCs w:val="26"/>
        </w:rPr>
        <w:t>the</w:t>
      </w:r>
      <w:r w:rsidR="0012405A">
        <w:rPr>
          <w:sz w:val="26"/>
          <w:szCs w:val="26"/>
        </w:rPr>
        <w:t xml:space="preserve"> </w:t>
      </w:r>
      <w:r w:rsidR="001F1563">
        <w:rPr>
          <w:sz w:val="26"/>
          <w:szCs w:val="26"/>
        </w:rPr>
        <w:t xml:space="preserve">Joint Petitioners agree that the </w:t>
      </w:r>
      <w:r w:rsidR="00B902F2" w:rsidRPr="00B902F2">
        <w:rPr>
          <w:sz w:val="26"/>
          <w:szCs w:val="26"/>
        </w:rPr>
        <w:t xml:space="preserve">Settlement </w:t>
      </w:r>
      <w:r w:rsidR="00AF6B27">
        <w:rPr>
          <w:sz w:val="26"/>
          <w:szCs w:val="26"/>
        </w:rPr>
        <w:t>do</w:t>
      </w:r>
      <w:r w:rsidR="00B14F69">
        <w:rPr>
          <w:sz w:val="26"/>
          <w:szCs w:val="26"/>
        </w:rPr>
        <w:t>es</w:t>
      </w:r>
      <w:r w:rsidR="00D000B3" w:rsidRPr="00B902F2">
        <w:rPr>
          <w:sz w:val="26"/>
          <w:szCs w:val="26"/>
        </w:rPr>
        <w:t xml:space="preserve"> not constitute an admission against, or prejudice to any position which any of the </w:t>
      </w:r>
      <w:r w:rsidR="00AF6B27">
        <w:rPr>
          <w:sz w:val="26"/>
          <w:szCs w:val="26"/>
        </w:rPr>
        <w:t>Joint Petitioners</w:t>
      </w:r>
      <w:r w:rsidR="00D000B3" w:rsidRPr="00B902F2">
        <w:rPr>
          <w:sz w:val="26"/>
          <w:szCs w:val="26"/>
        </w:rPr>
        <w:t xml:space="preserve"> might adopt during subsequent litigation of this case, or in any other proceeding, in the event the Settlement </w:t>
      </w:r>
      <w:r w:rsidR="00B14F69">
        <w:rPr>
          <w:sz w:val="26"/>
          <w:szCs w:val="26"/>
        </w:rPr>
        <w:t xml:space="preserve">is </w:t>
      </w:r>
      <w:r w:rsidR="00CE5955">
        <w:rPr>
          <w:sz w:val="26"/>
          <w:szCs w:val="26"/>
        </w:rPr>
        <w:t>rejected by the Commission.</w:t>
      </w:r>
      <w:r w:rsidR="00B14F69">
        <w:rPr>
          <w:sz w:val="26"/>
          <w:szCs w:val="26"/>
        </w:rPr>
        <w:t xml:space="preserve">  </w:t>
      </w:r>
      <w:r w:rsidR="00B14F69" w:rsidRPr="00341AF5">
        <w:rPr>
          <w:sz w:val="26"/>
          <w:szCs w:val="26"/>
        </w:rPr>
        <w:t xml:space="preserve">Settlement </w:t>
      </w:r>
      <w:r w:rsidR="001B445B" w:rsidRPr="00341AF5">
        <w:rPr>
          <w:sz w:val="26"/>
          <w:szCs w:val="26"/>
        </w:rPr>
        <w:t>at</w:t>
      </w:r>
      <w:r w:rsidR="001B445B">
        <w:rPr>
          <w:sz w:val="26"/>
          <w:szCs w:val="26"/>
        </w:rPr>
        <w:t xml:space="preserve"> 7-8, </w:t>
      </w:r>
      <w:r w:rsidR="00B14F69" w:rsidRPr="00341AF5">
        <w:rPr>
          <w:sz w:val="26"/>
          <w:szCs w:val="26"/>
        </w:rPr>
        <w:t xml:space="preserve">¶¶ </w:t>
      </w:r>
      <w:r w:rsidR="00B24CD5">
        <w:rPr>
          <w:sz w:val="26"/>
          <w:szCs w:val="26"/>
        </w:rPr>
        <w:t>12</w:t>
      </w:r>
      <w:r w:rsidR="00B14F69" w:rsidRPr="00341AF5">
        <w:rPr>
          <w:sz w:val="26"/>
          <w:szCs w:val="26"/>
        </w:rPr>
        <w:t>-</w:t>
      </w:r>
      <w:r w:rsidR="00B24CD5">
        <w:rPr>
          <w:sz w:val="26"/>
          <w:szCs w:val="26"/>
        </w:rPr>
        <w:t>1</w:t>
      </w:r>
      <w:r w:rsidR="00B14F69" w:rsidRPr="00341AF5">
        <w:rPr>
          <w:sz w:val="26"/>
          <w:szCs w:val="26"/>
        </w:rPr>
        <w:t>4</w:t>
      </w:r>
      <w:r w:rsidR="00B24CD5">
        <w:rPr>
          <w:sz w:val="26"/>
          <w:szCs w:val="26"/>
        </w:rPr>
        <w:t>.</w:t>
      </w:r>
    </w:p>
    <w:p w:rsidR="00E52BF0" w:rsidRDefault="00E52BF0" w:rsidP="00D000B3">
      <w:pPr>
        <w:rPr>
          <w:sz w:val="26"/>
          <w:szCs w:val="26"/>
        </w:rPr>
      </w:pPr>
    </w:p>
    <w:p w:rsidR="00E73F1E" w:rsidRDefault="00E73F1E" w:rsidP="00D000B3">
      <w:pPr>
        <w:rPr>
          <w:sz w:val="26"/>
          <w:szCs w:val="26"/>
        </w:rPr>
      </w:pPr>
      <w:r>
        <w:rPr>
          <w:sz w:val="26"/>
          <w:szCs w:val="26"/>
        </w:rPr>
        <w:tab/>
      </w:r>
      <w:r>
        <w:rPr>
          <w:sz w:val="26"/>
          <w:szCs w:val="26"/>
        </w:rPr>
        <w:tab/>
        <w:t>The</w:t>
      </w:r>
      <w:r w:rsidR="00896CAE">
        <w:rPr>
          <w:sz w:val="26"/>
          <w:szCs w:val="26"/>
        </w:rPr>
        <w:t xml:space="preserve"> other provisions also include that the Joint Petitioners </w:t>
      </w:r>
      <w:r w:rsidR="001F1563">
        <w:rPr>
          <w:sz w:val="26"/>
          <w:szCs w:val="26"/>
        </w:rPr>
        <w:t xml:space="preserve">agree to </w:t>
      </w:r>
      <w:r w:rsidR="003034E1">
        <w:rPr>
          <w:sz w:val="26"/>
          <w:szCs w:val="26"/>
        </w:rPr>
        <w:t xml:space="preserve">waive the filing of Exceptions if the ALJ recommends approval of the Settlement without any modifications, but they do not </w:t>
      </w:r>
      <w:r w:rsidR="001F1563">
        <w:rPr>
          <w:sz w:val="26"/>
          <w:szCs w:val="26"/>
        </w:rPr>
        <w:t xml:space="preserve">agree to </w:t>
      </w:r>
      <w:r w:rsidR="003034E1">
        <w:rPr>
          <w:sz w:val="26"/>
          <w:szCs w:val="26"/>
        </w:rPr>
        <w:t>waive their right to file Exceptions regarding any modifications to the terms and conditions</w:t>
      </w:r>
      <w:r w:rsidR="00C759BA">
        <w:rPr>
          <w:sz w:val="26"/>
          <w:szCs w:val="26"/>
        </w:rPr>
        <w:t xml:space="preserve">, or other matters, that the ALJ may propose in her recommendation.  Settlement at 7, </w:t>
      </w:r>
      <w:r w:rsidR="00C759BA" w:rsidRPr="00341AF5">
        <w:rPr>
          <w:sz w:val="26"/>
          <w:szCs w:val="26"/>
        </w:rPr>
        <w:t>¶</w:t>
      </w:r>
      <w:r w:rsidR="00C759BA">
        <w:rPr>
          <w:sz w:val="26"/>
          <w:szCs w:val="26"/>
        </w:rPr>
        <w:t xml:space="preserve"> 15.</w:t>
      </w:r>
    </w:p>
    <w:p w:rsidR="00E73F1E" w:rsidRDefault="00E73F1E" w:rsidP="00D000B3">
      <w:pPr>
        <w:rPr>
          <w:sz w:val="26"/>
          <w:szCs w:val="26"/>
        </w:rPr>
      </w:pPr>
    </w:p>
    <w:p w:rsidR="00CD05B6" w:rsidRDefault="00E52BF0" w:rsidP="00D000B3">
      <w:pPr>
        <w:rPr>
          <w:sz w:val="26"/>
          <w:szCs w:val="26"/>
        </w:rPr>
      </w:pPr>
      <w:r>
        <w:rPr>
          <w:sz w:val="26"/>
          <w:szCs w:val="26"/>
        </w:rPr>
        <w:tab/>
      </w:r>
      <w:r>
        <w:rPr>
          <w:sz w:val="26"/>
          <w:szCs w:val="26"/>
        </w:rPr>
        <w:tab/>
      </w:r>
      <w:r w:rsidR="00E73F1E">
        <w:rPr>
          <w:sz w:val="26"/>
          <w:szCs w:val="26"/>
        </w:rPr>
        <w:t>Additionally, t</w:t>
      </w:r>
      <w:r>
        <w:rPr>
          <w:sz w:val="26"/>
          <w:szCs w:val="26"/>
        </w:rPr>
        <w:t xml:space="preserve">he </w:t>
      </w:r>
      <w:r w:rsidR="00AF6B27">
        <w:rPr>
          <w:sz w:val="26"/>
          <w:szCs w:val="26"/>
        </w:rPr>
        <w:t>Joint Petitioners</w:t>
      </w:r>
      <w:r w:rsidR="00DB3980">
        <w:rPr>
          <w:sz w:val="26"/>
          <w:szCs w:val="26"/>
        </w:rPr>
        <w:t xml:space="preserve"> recognized that the Settlement is not binding on the </w:t>
      </w:r>
      <w:r w:rsidR="00DB3980" w:rsidRPr="00DB3980">
        <w:rPr>
          <w:sz w:val="26"/>
          <w:szCs w:val="26"/>
        </w:rPr>
        <w:t>Complainan</w:t>
      </w:r>
      <w:r w:rsidR="00DB3980">
        <w:rPr>
          <w:sz w:val="26"/>
          <w:szCs w:val="26"/>
        </w:rPr>
        <w:t xml:space="preserve">ts.  The Joint Petitioners stated that nothing in the Settlement </w:t>
      </w:r>
      <w:r w:rsidR="00DB3980">
        <w:rPr>
          <w:sz w:val="26"/>
          <w:szCs w:val="26"/>
        </w:rPr>
        <w:lastRenderedPageBreak/>
        <w:t xml:space="preserve">is intended to limit in any way any position in which any of the Joint Petitioners may have or take concerning any comment or objection to the Settlement that may be filed by the Complainants.  </w:t>
      </w:r>
      <w:r w:rsidR="00DB3980" w:rsidRPr="00341AF5">
        <w:rPr>
          <w:sz w:val="26"/>
          <w:szCs w:val="26"/>
        </w:rPr>
        <w:t xml:space="preserve">Settlement </w:t>
      </w:r>
      <w:r w:rsidR="001B445B" w:rsidRPr="00341AF5">
        <w:rPr>
          <w:sz w:val="26"/>
          <w:szCs w:val="26"/>
        </w:rPr>
        <w:t>at</w:t>
      </w:r>
      <w:r w:rsidR="001B445B">
        <w:rPr>
          <w:sz w:val="26"/>
          <w:szCs w:val="26"/>
        </w:rPr>
        <w:t xml:space="preserve"> 8, </w:t>
      </w:r>
      <w:r w:rsidR="00DB3980" w:rsidRPr="00341AF5">
        <w:rPr>
          <w:sz w:val="26"/>
          <w:szCs w:val="26"/>
        </w:rPr>
        <w:t>¶</w:t>
      </w:r>
      <w:r w:rsidR="00DB3980">
        <w:rPr>
          <w:sz w:val="26"/>
          <w:szCs w:val="26"/>
        </w:rPr>
        <w:t xml:space="preserve"> 16.  The Joint Petitioners </w:t>
      </w:r>
      <w:r w:rsidR="00C71B74">
        <w:rPr>
          <w:sz w:val="26"/>
          <w:szCs w:val="26"/>
        </w:rPr>
        <w:t xml:space="preserve">requested </w:t>
      </w:r>
      <w:r w:rsidR="008D1B43">
        <w:rPr>
          <w:sz w:val="26"/>
          <w:szCs w:val="26"/>
        </w:rPr>
        <w:t>that the ALJ</w:t>
      </w:r>
      <w:r>
        <w:rPr>
          <w:sz w:val="26"/>
          <w:szCs w:val="26"/>
        </w:rPr>
        <w:t xml:space="preserve"> and the Commission </w:t>
      </w:r>
      <w:r w:rsidR="00CD05B6">
        <w:rPr>
          <w:sz w:val="26"/>
          <w:szCs w:val="26"/>
        </w:rPr>
        <w:t xml:space="preserve">grant Reynolds special permission to file a tariff supplement attached as Appendix A to the Settlement to become effective for service on one day’s notice.  </w:t>
      </w:r>
      <w:r w:rsidR="00CD05B6" w:rsidRPr="00341AF5">
        <w:rPr>
          <w:sz w:val="26"/>
          <w:szCs w:val="26"/>
        </w:rPr>
        <w:t xml:space="preserve">Settlement </w:t>
      </w:r>
      <w:r w:rsidR="001B445B" w:rsidRPr="00341AF5">
        <w:rPr>
          <w:sz w:val="26"/>
          <w:szCs w:val="26"/>
        </w:rPr>
        <w:t xml:space="preserve">at </w:t>
      </w:r>
      <w:r w:rsidR="001B445B">
        <w:rPr>
          <w:sz w:val="26"/>
          <w:szCs w:val="26"/>
        </w:rPr>
        <w:t xml:space="preserve">9, </w:t>
      </w:r>
      <w:r w:rsidR="00CD05B6" w:rsidRPr="00341AF5">
        <w:rPr>
          <w:sz w:val="26"/>
          <w:szCs w:val="26"/>
        </w:rPr>
        <w:t>¶</w:t>
      </w:r>
      <w:r w:rsidR="00CD05B6">
        <w:rPr>
          <w:sz w:val="26"/>
          <w:szCs w:val="26"/>
        </w:rPr>
        <w:t xml:space="preserve"> 1</w:t>
      </w:r>
      <w:r w:rsidR="00552E11">
        <w:rPr>
          <w:sz w:val="26"/>
          <w:szCs w:val="26"/>
        </w:rPr>
        <w:t>6</w:t>
      </w:r>
      <w:r w:rsidR="00CD05B6">
        <w:rPr>
          <w:sz w:val="26"/>
          <w:szCs w:val="26"/>
        </w:rPr>
        <w:t>.</w:t>
      </w:r>
    </w:p>
    <w:p w:rsidR="0039408D" w:rsidRDefault="0039408D" w:rsidP="00D000B3">
      <w:pPr>
        <w:rPr>
          <w:sz w:val="26"/>
          <w:szCs w:val="26"/>
        </w:rPr>
      </w:pPr>
    </w:p>
    <w:p w:rsidR="0039408D" w:rsidRPr="00ED0599" w:rsidRDefault="00E013E0" w:rsidP="00BA4EB5">
      <w:pPr>
        <w:ind w:firstLine="1440"/>
      </w:pPr>
      <w:r>
        <w:rPr>
          <w:sz w:val="26"/>
          <w:szCs w:val="26"/>
        </w:rPr>
        <w:t xml:space="preserve">Attached to the Settlement are Appendices A through E.  </w:t>
      </w:r>
      <w:r w:rsidR="00DF48A6">
        <w:rPr>
          <w:sz w:val="26"/>
          <w:szCs w:val="26"/>
        </w:rPr>
        <w:t xml:space="preserve">Appendix A includes an example of the </w:t>
      </w:r>
      <w:r w:rsidR="000E5327">
        <w:rPr>
          <w:sz w:val="26"/>
          <w:szCs w:val="26"/>
        </w:rPr>
        <w:t>tariff supplement consistent with the terms and conditions of the Settlement that Reynolds has agreed to file upon approval of the Settlement by the Commission</w:t>
      </w:r>
      <w:r w:rsidR="008E075B">
        <w:rPr>
          <w:sz w:val="26"/>
          <w:szCs w:val="26"/>
        </w:rPr>
        <w:t>;</w:t>
      </w:r>
      <w:r w:rsidR="000E5327">
        <w:rPr>
          <w:sz w:val="26"/>
          <w:szCs w:val="26"/>
        </w:rPr>
        <w:t xml:space="preserve"> Appendix B</w:t>
      </w:r>
      <w:r w:rsidR="009E0E6A">
        <w:rPr>
          <w:sz w:val="26"/>
          <w:szCs w:val="26"/>
        </w:rPr>
        <w:t xml:space="preserve"> </w:t>
      </w:r>
      <w:r w:rsidR="008E075B">
        <w:rPr>
          <w:sz w:val="26"/>
          <w:szCs w:val="26"/>
        </w:rPr>
        <w:t xml:space="preserve">contains a proof of revenue for the Phase I and Phase II rate </w:t>
      </w:r>
      <w:r w:rsidR="008851B6">
        <w:rPr>
          <w:sz w:val="26"/>
          <w:szCs w:val="26"/>
        </w:rPr>
        <w:t>increases; Appendix</w:t>
      </w:r>
      <w:r w:rsidR="008E075B">
        <w:rPr>
          <w:sz w:val="26"/>
          <w:szCs w:val="26"/>
        </w:rPr>
        <w:t xml:space="preserve"> C is a Statement by Reynolds in support of the Settlement; Appendix D </w:t>
      </w:r>
      <w:r w:rsidR="00DC61C6">
        <w:rPr>
          <w:sz w:val="26"/>
          <w:szCs w:val="26"/>
        </w:rPr>
        <w:t xml:space="preserve">is I&amp;E’s Statement in support of the Settlement; </w:t>
      </w:r>
      <w:r w:rsidR="002540E4">
        <w:rPr>
          <w:sz w:val="26"/>
          <w:szCs w:val="26"/>
        </w:rPr>
        <w:t xml:space="preserve">and </w:t>
      </w:r>
      <w:r w:rsidR="00DC61C6">
        <w:rPr>
          <w:sz w:val="26"/>
          <w:szCs w:val="26"/>
        </w:rPr>
        <w:t xml:space="preserve">Appendix E </w:t>
      </w:r>
      <w:r w:rsidR="002540E4">
        <w:rPr>
          <w:sz w:val="26"/>
          <w:szCs w:val="26"/>
        </w:rPr>
        <w:t xml:space="preserve">included the OCA’s statement in support of the </w:t>
      </w:r>
      <w:r w:rsidR="002540E4" w:rsidRPr="00BA4EB5">
        <w:rPr>
          <w:sz w:val="26"/>
        </w:rPr>
        <w:t>Settlement</w:t>
      </w:r>
      <w:r w:rsidR="002540E4">
        <w:rPr>
          <w:sz w:val="26"/>
          <w:szCs w:val="26"/>
        </w:rPr>
        <w:t>.</w:t>
      </w:r>
      <w:r w:rsidR="00C34FF7">
        <w:rPr>
          <w:rStyle w:val="FootnoteReference"/>
          <w:sz w:val="26"/>
          <w:szCs w:val="26"/>
        </w:rPr>
        <w:footnoteReference w:id="12"/>
      </w:r>
    </w:p>
    <w:p w:rsidR="001B445B" w:rsidRPr="00BA4EB5" w:rsidRDefault="001B445B" w:rsidP="00BA4EB5">
      <w:pPr>
        <w:ind w:firstLine="1440"/>
        <w:rPr>
          <w:sz w:val="26"/>
        </w:rPr>
      </w:pPr>
    </w:p>
    <w:p w:rsidR="00B47BF8" w:rsidRDefault="001B445B" w:rsidP="00931D44">
      <w:pPr>
        <w:pStyle w:val="Heading2"/>
        <w:keepLines/>
      </w:pPr>
      <w:r>
        <w:t>C</w:t>
      </w:r>
      <w:r w:rsidR="00B47BF8">
        <w:t>.</w:t>
      </w:r>
      <w:r w:rsidR="00B47BF8">
        <w:tab/>
      </w:r>
      <w:r w:rsidR="001520E2">
        <w:t xml:space="preserve">ALJ’s Recommendation </w:t>
      </w:r>
    </w:p>
    <w:p w:rsidR="00B47BF8" w:rsidRDefault="00B47BF8" w:rsidP="00931D44">
      <w:pPr>
        <w:keepNext/>
        <w:keepLines/>
      </w:pPr>
    </w:p>
    <w:p w:rsidR="001520E2" w:rsidRDefault="001520E2" w:rsidP="00B47BF8">
      <w:pPr>
        <w:ind w:firstLine="1440"/>
        <w:rPr>
          <w:sz w:val="26"/>
          <w:szCs w:val="26"/>
        </w:rPr>
      </w:pPr>
      <w:r>
        <w:rPr>
          <w:sz w:val="26"/>
          <w:szCs w:val="26"/>
        </w:rPr>
        <w:t xml:space="preserve">As noted, the ALJ recommended an approval of the Settlement stating that with the minor modifications specified in Attachment A to the Recommended Decision, the Settlement represents a fair, just, lawful and reasonable solution to the issues raised in the instant proceeding.  </w:t>
      </w:r>
    </w:p>
    <w:p w:rsidR="001520E2" w:rsidRDefault="001520E2" w:rsidP="00B47BF8">
      <w:pPr>
        <w:ind w:firstLine="1440"/>
        <w:rPr>
          <w:sz w:val="26"/>
          <w:szCs w:val="26"/>
        </w:rPr>
      </w:pPr>
    </w:p>
    <w:p w:rsidR="00CB5B53" w:rsidRDefault="00B47BF8" w:rsidP="00B47BF8">
      <w:pPr>
        <w:ind w:firstLine="1440"/>
        <w:rPr>
          <w:sz w:val="26"/>
          <w:szCs w:val="26"/>
        </w:rPr>
      </w:pPr>
      <w:r w:rsidRPr="00A62FE6">
        <w:rPr>
          <w:sz w:val="26"/>
          <w:szCs w:val="26"/>
        </w:rPr>
        <w:t xml:space="preserve">The minor modifications to the Settlement </w:t>
      </w:r>
      <w:r w:rsidR="001520E2">
        <w:rPr>
          <w:sz w:val="26"/>
          <w:szCs w:val="26"/>
        </w:rPr>
        <w:t xml:space="preserve">were recommended by the ALJ </w:t>
      </w:r>
      <w:r w:rsidRPr="00A62FE6">
        <w:rPr>
          <w:sz w:val="26"/>
          <w:szCs w:val="26"/>
        </w:rPr>
        <w:t>for consistency within the Settlement document and the signatories’ contentions in the</w:t>
      </w:r>
      <w:r>
        <w:rPr>
          <w:sz w:val="26"/>
          <w:szCs w:val="26"/>
        </w:rPr>
        <w:t>ir</w:t>
      </w:r>
      <w:r w:rsidRPr="00A62FE6">
        <w:rPr>
          <w:sz w:val="26"/>
          <w:szCs w:val="26"/>
        </w:rPr>
        <w:t xml:space="preserve"> </w:t>
      </w:r>
      <w:r w:rsidRPr="00A62FE6">
        <w:rPr>
          <w:sz w:val="26"/>
          <w:szCs w:val="26"/>
        </w:rPr>
        <w:lastRenderedPageBreak/>
        <w:t>Statements in Support of the Settlement.</w:t>
      </w:r>
      <w:r w:rsidRPr="00A62FE6">
        <w:rPr>
          <w:rStyle w:val="FootnoteReference"/>
          <w:sz w:val="26"/>
          <w:szCs w:val="26"/>
        </w:rPr>
        <w:footnoteReference w:id="13"/>
      </w:r>
      <w:r w:rsidRPr="00A62FE6">
        <w:rPr>
          <w:sz w:val="26"/>
          <w:szCs w:val="26"/>
        </w:rPr>
        <w:t xml:space="preserve">  According to the ALJ, this consistency is accomplished by modifications to Supplement No. 5, as filed on October 30, 2017.  </w:t>
      </w:r>
    </w:p>
    <w:p w:rsidR="00CB5B53" w:rsidRDefault="00CB5B53" w:rsidP="00B47BF8">
      <w:pPr>
        <w:ind w:firstLine="1440"/>
        <w:rPr>
          <w:sz w:val="26"/>
          <w:szCs w:val="26"/>
        </w:rPr>
      </w:pPr>
    </w:p>
    <w:p w:rsidR="00B47BF8" w:rsidRPr="00A62FE6" w:rsidRDefault="00CB5B53" w:rsidP="00B47BF8">
      <w:pPr>
        <w:ind w:firstLine="1440"/>
        <w:rPr>
          <w:sz w:val="26"/>
          <w:szCs w:val="26"/>
        </w:rPr>
      </w:pPr>
      <w:r>
        <w:rPr>
          <w:sz w:val="26"/>
          <w:szCs w:val="26"/>
        </w:rPr>
        <w:t>More s</w:t>
      </w:r>
      <w:r w:rsidR="00B47BF8" w:rsidRPr="00A62FE6">
        <w:rPr>
          <w:sz w:val="26"/>
          <w:szCs w:val="26"/>
        </w:rPr>
        <w:t xml:space="preserve">pecifically, the ALJ </w:t>
      </w:r>
      <w:r w:rsidR="005D5E93">
        <w:rPr>
          <w:sz w:val="26"/>
          <w:szCs w:val="26"/>
        </w:rPr>
        <w:t>posited</w:t>
      </w:r>
      <w:r w:rsidR="00B47BF8" w:rsidRPr="00A62FE6">
        <w:rPr>
          <w:sz w:val="26"/>
          <w:szCs w:val="26"/>
        </w:rPr>
        <w:t xml:space="preserve"> that the Settlement and </w:t>
      </w:r>
      <w:r w:rsidR="00B47BF8">
        <w:rPr>
          <w:sz w:val="26"/>
          <w:szCs w:val="26"/>
        </w:rPr>
        <w:t>the tariff filing</w:t>
      </w:r>
      <w:r w:rsidR="00B47BF8" w:rsidRPr="00A62FE6">
        <w:rPr>
          <w:sz w:val="26"/>
          <w:szCs w:val="26"/>
        </w:rPr>
        <w:t>, when read together, are unclear whether the Phase II rates will be effective upon completion of the projects or will be effective when Reynolds provides written confirmation</w:t>
      </w:r>
      <w:r w:rsidR="00357B3C">
        <w:rPr>
          <w:sz w:val="26"/>
          <w:szCs w:val="26"/>
        </w:rPr>
        <w:t xml:space="preserve"> of completion of the projects</w:t>
      </w:r>
      <w:r w:rsidR="00B47BF8" w:rsidRPr="00A62FE6">
        <w:rPr>
          <w:sz w:val="26"/>
          <w:szCs w:val="26"/>
        </w:rPr>
        <w:t>. R.D. at 25.  Accordingly, the ALJ recommended that the Settlement be modified to clarify that the tariff filing, which Reynolds will file after th</w:t>
      </w:r>
      <w:r w:rsidR="005D5E93">
        <w:rPr>
          <w:sz w:val="26"/>
          <w:szCs w:val="26"/>
        </w:rPr>
        <w:t>is Opinion and</w:t>
      </w:r>
      <w:r w:rsidR="00B47BF8" w:rsidRPr="00A62FE6">
        <w:rPr>
          <w:sz w:val="26"/>
          <w:szCs w:val="26"/>
        </w:rPr>
        <w:t xml:space="preserve"> Order</w:t>
      </w:r>
      <w:r w:rsidR="001B445B">
        <w:rPr>
          <w:sz w:val="26"/>
          <w:szCs w:val="26"/>
        </w:rPr>
        <w:t xml:space="preserve"> is entered</w:t>
      </w:r>
      <w:r w:rsidR="00B47BF8" w:rsidRPr="00A62FE6">
        <w:rPr>
          <w:sz w:val="26"/>
          <w:szCs w:val="26"/>
        </w:rPr>
        <w:t xml:space="preserve">, consistently specify that the Phase II rates will become effective upon </w:t>
      </w:r>
      <w:r w:rsidR="00956323">
        <w:rPr>
          <w:sz w:val="26"/>
          <w:szCs w:val="26"/>
        </w:rPr>
        <w:t xml:space="preserve">Reynolds’ </w:t>
      </w:r>
      <w:r w:rsidR="00B47BF8" w:rsidRPr="00A62FE6">
        <w:rPr>
          <w:sz w:val="26"/>
          <w:szCs w:val="26"/>
        </w:rPr>
        <w:t>written confirmation</w:t>
      </w:r>
      <w:r w:rsidR="00741AF3">
        <w:rPr>
          <w:sz w:val="26"/>
          <w:szCs w:val="26"/>
        </w:rPr>
        <w:t xml:space="preserve"> of completion of the projects</w:t>
      </w:r>
      <w:r w:rsidR="00B47BF8" w:rsidRPr="00A62FE6">
        <w:rPr>
          <w:sz w:val="26"/>
          <w:szCs w:val="26"/>
        </w:rPr>
        <w:t xml:space="preserve">.  </w:t>
      </w:r>
      <w:r w:rsidR="006E779C">
        <w:rPr>
          <w:sz w:val="26"/>
          <w:szCs w:val="26"/>
        </w:rPr>
        <w:t>The ALJ recommend</w:t>
      </w:r>
      <w:r w:rsidR="00E46B06">
        <w:rPr>
          <w:sz w:val="26"/>
          <w:szCs w:val="26"/>
        </w:rPr>
        <w:t>ed</w:t>
      </w:r>
      <w:r w:rsidR="006E779C">
        <w:rPr>
          <w:sz w:val="26"/>
          <w:szCs w:val="26"/>
        </w:rPr>
        <w:t xml:space="preserve"> that this be incorporated </w:t>
      </w:r>
      <w:r w:rsidR="00DE5A9C">
        <w:rPr>
          <w:sz w:val="26"/>
          <w:szCs w:val="26"/>
        </w:rPr>
        <w:t xml:space="preserve">in the Phase-II section </w:t>
      </w:r>
      <w:r w:rsidR="006E779C">
        <w:rPr>
          <w:sz w:val="26"/>
          <w:szCs w:val="26"/>
        </w:rPr>
        <w:t xml:space="preserve">on </w:t>
      </w:r>
      <w:r w:rsidR="00820337">
        <w:rPr>
          <w:sz w:val="26"/>
          <w:szCs w:val="26"/>
        </w:rPr>
        <w:t>P</w:t>
      </w:r>
      <w:r w:rsidR="006E779C">
        <w:rPr>
          <w:sz w:val="26"/>
          <w:szCs w:val="26"/>
        </w:rPr>
        <w:t xml:space="preserve">age </w:t>
      </w:r>
      <w:r w:rsidR="00820337">
        <w:rPr>
          <w:sz w:val="26"/>
          <w:szCs w:val="26"/>
        </w:rPr>
        <w:t xml:space="preserve">No </w:t>
      </w:r>
      <w:r w:rsidR="006E779C">
        <w:rPr>
          <w:sz w:val="26"/>
          <w:szCs w:val="26"/>
        </w:rPr>
        <w:t>2,</w:t>
      </w:r>
      <w:r w:rsidR="00DE5A9C">
        <w:rPr>
          <w:sz w:val="26"/>
          <w:szCs w:val="26"/>
        </w:rPr>
        <w:t xml:space="preserve"> the header sections on Page Nos.</w:t>
      </w:r>
      <w:r w:rsidR="006E779C">
        <w:rPr>
          <w:sz w:val="26"/>
          <w:szCs w:val="26"/>
        </w:rPr>
        <w:t xml:space="preserve"> </w:t>
      </w:r>
      <w:r w:rsidR="00A8374A">
        <w:rPr>
          <w:sz w:val="26"/>
          <w:szCs w:val="26"/>
        </w:rPr>
        <w:t>5</w:t>
      </w:r>
      <w:r w:rsidR="006E779C">
        <w:rPr>
          <w:sz w:val="26"/>
          <w:szCs w:val="26"/>
        </w:rPr>
        <w:t>, 7</w:t>
      </w:r>
      <w:r w:rsidR="00E46B06">
        <w:rPr>
          <w:sz w:val="26"/>
          <w:szCs w:val="26"/>
        </w:rPr>
        <w:t>A</w:t>
      </w:r>
      <w:r w:rsidR="00F33DF7">
        <w:rPr>
          <w:sz w:val="26"/>
          <w:szCs w:val="26"/>
        </w:rPr>
        <w:t>, and 8A</w:t>
      </w:r>
      <w:r w:rsidR="00016FBE">
        <w:rPr>
          <w:sz w:val="26"/>
          <w:szCs w:val="26"/>
        </w:rPr>
        <w:t>,</w:t>
      </w:r>
      <w:r w:rsidR="00A8374A" w:rsidRPr="00A8374A">
        <w:rPr>
          <w:rStyle w:val="FootnoteReference"/>
          <w:sz w:val="26"/>
          <w:szCs w:val="26"/>
        </w:rPr>
        <w:t xml:space="preserve"> </w:t>
      </w:r>
      <w:r w:rsidR="00A8374A" w:rsidRPr="00A62FE6">
        <w:rPr>
          <w:rStyle w:val="FootnoteReference"/>
          <w:sz w:val="26"/>
          <w:szCs w:val="26"/>
        </w:rPr>
        <w:footnoteReference w:id="14"/>
      </w:r>
      <w:r w:rsidR="00A8374A" w:rsidRPr="00A62FE6">
        <w:rPr>
          <w:sz w:val="26"/>
          <w:szCs w:val="26"/>
        </w:rPr>
        <w:t xml:space="preserve"> </w:t>
      </w:r>
      <w:r w:rsidR="00F33DF7">
        <w:rPr>
          <w:sz w:val="26"/>
          <w:szCs w:val="26"/>
        </w:rPr>
        <w:t xml:space="preserve"> and the applicability section on Page No. 7A</w:t>
      </w:r>
      <w:r w:rsidR="00CD7BE4">
        <w:rPr>
          <w:sz w:val="26"/>
          <w:szCs w:val="26"/>
        </w:rPr>
        <w:t xml:space="preserve"> of the tariff.  </w:t>
      </w:r>
      <w:r w:rsidR="00B47BF8" w:rsidRPr="00A62FE6">
        <w:rPr>
          <w:i/>
          <w:sz w:val="26"/>
          <w:szCs w:val="26"/>
        </w:rPr>
        <w:t>Id.</w:t>
      </w:r>
    </w:p>
    <w:p w:rsidR="00B47BF8" w:rsidRPr="00A62FE6" w:rsidRDefault="00B47BF8" w:rsidP="00B47BF8">
      <w:pPr>
        <w:rPr>
          <w:sz w:val="26"/>
          <w:szCs w:val="26"/>
        </w:rPr>
      </w:pPr>
    </w:p>
    <w:p w:rsidR="00A058F8" w:rsidRDefault="00B47BF8" w:rsidP="003A5D5C">
      <w:pPr>
        <w:ind w:firstLine="1440"/>
        <w:rPr>
          <w:b/>
          <w:sz w:val="26"/>
          <w:szCs w:val="26"/>
        </w:rPr>
      </w:pPr>
      <w:r w:rsidRPr="009721C2">
        <w:rPr>
          <w:sz w:val="26"/>
          <w:szCs w:val="26"/>
        </w:rPr>
        <w:t xml:space="preserve">Finally, the ALJ </w:t>
      </w:r>
      <w:r w:rsidR="003648BC">
        <w:rPr>
          <w:sz w:val="26"/>
          <w:szCs w:val="26"/>
        </w:rPr>
        <w:t xml:space="preserve">recommended </w:t>
      </w:r>
      <w:r w:rsidRPr="009721C2">
        <w:rPr>
          <w:sz w:val="26"/>
          <w:szCs w:val="26"/>
        </w:rPr>
        <w:t>that</w:t>
      </w:r>
      <w:r w:rsidR="00AB5278">
        <w:rPr>
          <w:sz w:val="26"/>
          <w:szCs w:val="26"/>
        </w:rPr>
        <w:t xml:space="preserve"> the header “Residential and Commercial” should be removed from the </w:t>
      </w:r>
      <w:r w:rsidRPr="009721C2">
        <w:rPr>
          <w:sz w:val="26"/>
          <w:szCs w:val="26"/>
        </w:rPr>
        <w:t xml:space="preserve">Volumetric Rates </w:t>
      </w:r>
      <w:r w:rsidR="00AB5278">
        <w:rPr>
          <w:sz w:val="26"/>
          <w:szCs w:val="26"/>
        </w:rPr>
        <w:t xml:space="preserve">section </w:t>
      </w:r>
      <w:r w:rsidRPr="009721C2">
        <w:rPr>
          <w:sz w:val="26"/>
          <w:szCs w:val="26"/>
        </w:rPr>
        <w:t xml:space="preserve">on </w:t>
      </w:r>
      <w:r w:rsidR="003648BC">
        <w:rPr>
          <w:sz w:val="26"/>
          <w:szCs w:val="26"/>
        </w:rPr>
        <w:t>P</w:t>
      </w:r>
      <w:r w:rsidRPr="009721C2">
        <w:rPr>
          <w:sz w:val="26"/>
          <w:szCs w:val="26"/>
        </w:rPr>
        <w:t xml:space="preserve">age </w:t>
      </w:r>
      <w:r w:rsidR="003648BC">
        <w:rPr>
          <w:sz w:val="26"/>
          <w:szCs w:val="26"/>
        </w:rPr>
        <w:t>No</w:t>
      </w:r>
      <w:r w:rsidR="008C32D2">
        <w:rPr>
          <w:sz w:val="26"/>
          <w:szCs w:val="26"/>
        </w:rPr>
        <w:t>s</w:t>
      </w:r>
      <w:r w:rsidR="003648BC">
        <w:rPr>
          <w:sz w:val="26"/>
          <w:szCs w:val="26"/>
        </w:rPr>
        <w:t xml:space="preserve">. </w:t>
      </w:r>
      <w:r w:rsidR="008C32D2">
        <w:rPr>
          <w:sz w:val="26"/>
          <w:szCs w:val="26"/>
        </w:rPr>
        <w:t>4 and 4A</w:t>
      </w:r>
      <w:r w:rsidRPr="009721C2">
        <w:rPr>
          <w:sz w:val="26"/>
          <w:szCs w:val="26"/>
        </w:rPr>
        <w:t xml:space="preserve"> of the tariff filing</w:t>
      </w:r>
      <w:r w:rsidR="00AB5278">
        <w:rPr>
          <w:sz w:val="26"/>
          <w:szCs w:val="26"/>
        </w:rPr>
        <w:t xml:space="preserve"> because </w:t>
      </w:r>
      <w:r w:rsidRPr="009721C2">
        <w:rPr>
          <w:sz w:val="26"/>
          <w:szCs w:val="26"/>
        </w:rPr>
        <w:t>volumetric rates apply to all customer classes and are not limited to only residential and commercial</w:t>
      </w:r>
      <w:r>
        <w:rPr>
          <w:sz w:val="26"/>
          <w:szCs w:val="26"/>
        </w:rPr>
        <w:t xml:space="preserve"> customers</w:t>
      </w:r>
      <w:r w:rsidRPr="009721C2">
        <w:rPr>
          <w:sz w:val="26"/>
          <w:szCs w:val="26"/>
        </w:rPr>
        <w:t xml:space="preserve">.  </w:t>
      </w:r>
      <w:r w:rsidRPr="00A62FE6">
        <w:rPr>
          <w:i/>
          <w:sz w:val="26"/>
          <w:szCs w:val="26"/>
        </w:rPr>
        <w:t>Id.</w:t>
      </w:r>
      <w:r w:rsidRPr="00A62FE6">
        <w:rPr>
          <w:sz w:val="26"/>
          <w:szCs w:val="26"/>
        </w:rPr>
        <w:t xml:space="preserve"> </w:t>
      </w:r>
      <w:r>
        <w:rPr>
          <w:sz w:val="26"/>
          <w:szCs w:val="26"/>
        </w:rPr>
        <w:t>at 26.</w:t>
      </w:r>
    </w:p>
    <w:p w:rsidR="00B46517" w:rsidRDefault="00B46517" w:rsidP="00D12055">
      <w:pPr>
        <w:tabs>
          <w:tab w:val="left" w:pos="0"/>
        </w:tabs>
        <w:rPr>
          <w:sz w:val="26"/>
          <w:szCs w:val="26"/>
        </w:rPr>
      </w:pPr>
    </w:p>
    <w:p w:rsidR="00DD0315" w:rsidRDefault="00931D44" w:rsidP="00DD0315">
      <w:pPr>
        <w:pStyle w:val="Heading2"/>
      </w:pPr>
      <w:bookmarkStart w:id="9" w:name="_Toc471747997"/>
      <w:bookmarkStart w:id="10" w:name="_Toc471748135"/>
      <w:r>
        <w:t>D</w:t>
      </w:r>
      <w:r w:rsidR="00DD0315">
        <w:t>.</w:t>
      </w:r>
      <w:r w:rsidR="00DD0315">
        <w:tab/>
      </w:r>
      <w:bookmarkEnd w:id="9"/>
      <w:bookmarkEnd w:id="10"/>
      <w:r w:rsidR="008B33D9">
        <w:t>Settlement Objections and Responses</w:t>
      </w:r>
      <w:r w:rsidR="00DD0315" w:rsidRPr="0085131C">
        <w:t xml:space="preserve"> </w:t>
      </w:r>
    </w:p>
    <w:p w:rsidR="00DD0315" w:rsidRDefault="00DD0315" w:rsidP="00DD0315">
      <w:pPr>
        <w:keepNext/>
        <w:keepLines/>
        <w:rPr>
          <w:rFonts w:eastAsiaTheme="minorHAnsi" w:cstheme="minorBidi"/>
          <w:sz w:val="26"/>
          <w:szCs w:val="22"/>
        </w:rPr>
      </w:pPr>
    </w:p>
    <w:p w:rsidR="00AF2719" w:rsidRDefault="00AF2B16" w:rsidP="00AF2719">
      <w:pPr>
        <w:ind w:firstLine="1440"/>
        <w:rPr>
          <w:sz w:val="26"/>
          <w:szCs w:val="26"/>
        </w:rPr>
      </w:pPr>
      <w:r>
        <w:rPr>
          <w:rFonts w:eastAsiaTheme="minorHAnsi" w:cstheme="minorBidi"/>
          <w:sz w:val="26"/>
          <w:szCs w:val="22"/>
        </w:rPr>
        <w:t xml:space="preserve">The twenty Complainants in this proceeding were all opposed to the Settlement.  Although five of the Complainants attended and/or participated in one or </w:t>
      </w:r>
      <w:r>
        <w:rPr>
          <w:rFonts w:eastAsiaTheme="minorHAnsi" w:cstheme="minorBidi"/>
          <w:sz w:val="26"/>
          <w:szCs w:val="22"/>
        </w:rPr>
        <w:lastRenderedPageBreak/>
        <w:t xml:space="preserve">both of the mediation sessions in which the Settlement provisions were created, none of the Complainants </w:t>
      </w:r>
      <w:r w:rsidR="00C957C8">
        <w:rPr>
          <w:rFonts w:eastAsiaTheme="minorHAnsi" w:cstheme="minorBidi"/>
          <w:sz w:val="26"/>
          <w:szCs w:val="22"/>
        </w:rPr>
        <w:t>were signatories to</w:t>
      </w:r>
      <w:r w:rsidR="005A1474">
        <w:rPr>
          <w:rFonts w:eastAsiaTheme="minorHAnsi" w:cstheme="minorBidi"/>
          <w:sz w:val="26"/>
          <w:szCs w:val="22"/>
        </w:rPr>
        <w:t xml:space="preserve"> </w:t>
      </w:r>
      <w:r>
        <w:rPr>
          <w:rFonts w:eastAsiaTheme="minorHAnsi" w:cstheme="minorBidi"/>
          <w:sz w:val="26"/>
          <w:szCs w:val="22"/>
        </w:rPr>
        <w:t xml:space="preserve">the Settlement.  </w:t>
      </w:r>
      <w:r w:rsidR="00AF2719">
        <w:rPr>
          <w:rFonts w:eastAsiaTheme="minorHAnsi" w:cstheme="minorBidi"/>
          <w:sz w:val="26"/>
          <w:szCs w:val="22"/>
        </w:rPr>
        <w:t>As earlier indicated, Settlement Objections were filed by the following Complainant</w:t>
      </w:r>
      <w:r w:rsidR="00B874A6">
        <w:rPr>
          <w:rFonts w:eastAsiaTheme="minorHAnsi" w:cstheme="minorBidi"/>
          <w:sz w:val="26"/>
          <w:szCs w:val="22"/>
        </w:rPr>
        <w:t>s</w:t>
      </w:r>
      <w:r w:rsidR="00AF2719">
        <w:rPr>
          <w:rFonts w:eastAsiaTheme="minorHAnsi" w:cstheme="minorBidi"/>
          <w:sz w:val="26"/>
          <w:szCs w:val="22"/>
        </w:rPr>
        <w:t xml:space="preserve">: </w:t>
      </w:r>
      <w:r w:rsidR="00AF2719" w:rsidRPr="005A5419">
        <w:rPr>
          <w:sz w:val="26"/>
          <w:szCs w:val="26"/>
        </w:rPr>
        <w:t>James Vessella, Bea DeCiancio, John D’Urso, Margaret Foust, Plem Patterson, Matthew Nestor, Ryan Foust, Brian Hills, Laurel Litwiler, Thomas Hanzes, Clark Eberhart (on behalf of the Reynolds V</w:t>
      </w:r>
      <w:r w:rsidR="009329C8">
        <w:rPr>
          <w:sz w:val="26"/>
          <w:szCs w:val="26"/>
        </w:rPr>
        <w:t>FW</w:t>
      </w:r>
      <w:r w:rsidR="00AF2719" w:rsidRPr="005A5419">
        <w:rPr>
          <w:sz w:val="26"/>
          <w:szCs w:val="26"/>
        </w:rPr>
        <w:t>), Mildred J. Heile, Helen Canady, Lucas Shilling, Diana Cole, Gilbert and Marilyn Brant, David Roeder, Sr., Natalie McCloskey, Marie Potts and Sean Belback.</w:t>
      </w:r>
      <w:r w:rsidR="00AF2719">
        <w:rPr>
          <w:rStyle w:val="FootnoteReference"/>
          <w:sz w:val="26"/>
          <w:szCs w:val="26"/>
        </w:rPr>
        <w:footnoteReference w:id="15"/>
      </w:r>
    </w:p>
    <w:p w:rsidR="00AF2719" w:rsidRDefault="00AF2719" w:rsidP="00AF2719">
      <w:pPr>
        <w:ind w:firstLine="1440"/>
        <w:rPr>
          <w:sz w:val="26"/>
          <w:szCs w:val="26"/>
        </w:rPr>
      </w:pPr>
    </w:p>
    <w:p w:rsidR="00AF2719" w:rsidRPr="00AF2719" w:rsidRDefault="00AF2719" w:rsidP="00AF2719">
      <w:pPr>
        <w:ind w:firstLine="1440"/>
        <w:rPr>
          <w:sz w:val="26"/>
          <w:szCs w:val="26"/>
        </w:rPr>
      </w:pPr>
      <w:r>
        <w:rPr>
          <w:sz w:val="26"/>
          <w:szCs w:val="26"/>
        </w:rPr>
        <w:t xml:space="preserve">The Complainants </w:t>
      </w:r>
      <w:r w:rsidRPr="00AF2719">
        <w:rPr>
          <w:sz w:val="26"/>
          <w:szCs w:val="26"/>
        </w:rPr>
        <w:t xml:space="preserve">alleged the </w:t>
      </w:r>
      <w:r w:rsidR="00314AC9">
        <w:rPr>
          <w:sz w:val="26"/>
          <w:szCs w:val="26"/>
        </w:rPr>
        <w:t>originally</w:t>
      </w:r>
      <w:r w:rsidR="00BF7D4B">
        <w:rPr>
          <w:sz w:val="26"/>
          <w:szCs w:val="26"/>
        </w:rPr>
        <w:t>-</w:t>
      </w:r>
      <w:r w:rsidRPr="00AF2719">
        <w:rPr>
          <w:sz w:val="26"/>
          <w:szCs w:val="26"/>
        </w:rPr>
        <w:t>proposed 45.</w:t>
      </w:r>
      <w:r w:rsidR="00883922">
        <w:rPr>
          <w:sz w:val="26"/>
          <w:szCs w:val="26"/>
        </w:rPr>
        <w:t>4</w:t>
      </w:r>
      <w:r w:rsidRPr="00AF2719">
        <w:rPr>
          <w:sz w:val="26"/>
          <w:szCs w:val="26"/>
        </w:rPr>
        <w:t xml:space="preserve">% increase </w:t>
      </w:r>
      <w:r w:rsidR="00BF7D4B">
        <w:rPr>
          <w:sz w:val="26"/>
          <w:szCs w:val="26"/>
        </w:rPr>
        <w:t>was</w:t>
      </w:r>
      <w:r w:rsidRPr="00AF2719">
        <w:rPr>
          <w:sz w:val="26"/>
          <w:szCs w:val="26"/>
        </w:rPr>
        <w:t xml:space="preserve"> unjust, outrageous, illogical, and unprecedented in any business.  </w:t>
      </w:r>
      <w:r>
        <w:rPr>
          <w:sz w:val="26"/>
          <w:szCs w:val="26"/>
        </w:rPr>
        <w:t xml:space="preserve">The </w:t>
      </w:r>
      <w:r w:rsidRPr="00AF2719">
        <w:rPr>
          <w:sz w:val="26"/>
          <w:szCs w:val="26"/>
        </w:rPr>
        <w:t xml:space="preserve">Complainants </w:t>
      </w:r>
      <w:r w:rsidR="00BF7D4B">
        <w:rPr>
          <w:sz w:val="26"/>
          <w:szCs w:val="26"/>
        </w:rPr>
        <w:t xml:space="preserve">also claimed that the </w:t>
      </w:r>
      <w:r w:rsidRPr="00AF2719">
        <w:rPr>
          <w:sz w:val="26"/>
          <w:szCs w:val="26"/>
        </w:rPr>
        <w:t xml:space="preserve">30.4% increase proposed in the Settlement </w:t>
      </w:r>
      <w:r w:rsidR="00BF7D4B">
        <w:rPr>
          <w:sz w:val="26"/>
          <w:szCs w:val="26"/>
        </w:rPr>
        <w:t xml:space="preserve">was not </w:t>
      </w:r>
      <w:r w:rsidRPr="00AF2719">
        <w:rPr>
          <w:sz w:val="26"/>
          <w:szCs w:val="26"/>
        </w:rPr>
        <w:t>acceptable and contend</w:t>
      </w:r>
      <w:r w:rsidR="00B91980">
        <w:rPr>
          <w:sz w:val="26"/>
          <w:szCs w:val="26"/>
        </w:rPr>
        <w:t>ed</w:t>
      </w:r>
      <w:r w:rsidRPr="00AF2719">
        <w:rPr>
          <w:sz w:val="26"/>
          <w:szCs w:val="26"/>
        </w:rPr>
        <w:t xml:space="preserve"> </w:t>
      </w:r>
      <w:r w:rsidR="00E61616">
        <w:rPr>
          <w:sz w:val="26"/>
          <w:szCs w:val="26"/>
        </w:rPr>
        <w:t xml:space="preserve">that </w:t>
      </w:r>
      <w:r w:rsidRPr="00AF2719">
        <w:rPr>
          <w:sz w:val="26"/>
          <w:szCs w:val="26"/>
        </w:rPr>
        <w:t xml:space="preserve">Reynolds should be forced to stay out </w:t>
      </w:r>
      <w:r w:rsidR="00BF7D4B">
        <w:rPr>
          <w:sz w:val="26"/>
          <w:szCs w:val="26"/>
        </w:rPr>
        <w:t xml:space="preserve">for eleven years, </w:t>
      </w:r>
      <w:r w:rsidRPr="00AF2719">
        <w:rPr>
          <w:sz w:val="26"/>
          <w:szCs w:val="26"/>
        </w:rPr>
        <w:t>until 2029</w:t>
      </w:r>
      <w:r w:rsidR="00BF7D4B">
        <w:rPr>
          <w:sz w:val="26"/>
          <w:szCs w:val="26"/>
        </w:rPr>
        <w:t>,</w:t>
      </w:r>
      <w:r w:rsidRPr="00AF2719">
        <w:rPr>
          <w:sz w:val="26"/>
          <w:szCs w:val="26"/>
        </w:rPr>
        <w:t xml:space="preserve"> regardless of whether an emergency expenditure might arise.  </w:t>
      </w:r>
      <w:r w:rsidR="00E61616">
        <w:rPr>
          <w:sz w:val="26"/>
          <w:szCs w:val="26"/>
        </w:rPr>
        <w:t>The Complainants</w:t>
      </w:r>
      <w:r w:rsidR="00E61616" w:rsidRPr="00E61616">
        <w:rPr>
          <w:sz w:val="26"/>
          <w:szCs w:val="26"/>
        </w:rPr>
        <w:t xml:space="preserve"> </w:t>
      </w:r>
      <w:r w:rsidR="00BF7D4B">
        <w:rPr>
          <w:sz w:val="26"/>
          <w:szCs w:val="26"/>
        </w:rPr>
        <w:t xml:space="preserve">wanted </w:t>
      </w:r>
      <w:r w:rsidR="00E61616" w:rsidRPr="00E61616">
        <w:rPr>
          <w:sz w:val="26"/>
          <w:szCs w:val="26"/>
        </w:rPr>
        <w:t>to fully litigate this matter because they d</w:t>
      </w:r>
      <w:r w:rsidR="00BF7D4B">
        <w:rPr>
          <w:sz w:val="26"/>
          <w:szCs w:val="26"/>
        </w:rPr>
        <w:t xml:space="preserve">id </w:t>
      </w:r>
      <w:r w:rsidR="00E61616" w:rsidRPr="00E61616">
        <w:rPr>
          <w:sz w:val="26"/>
          <w:szCs w:val="26"/>
        </w:rPr>
        <w:t xml:space="preserve">not agree with the provisions of the Settlement.  </w:t>
      </w:r>
      <w:r w:rsidR="00E61616">
        <w:rPr>
          <w:sz w:val="26"/>
          <w:szCs w:val="26"/>
        </w:rPr>
        <w:t>The Complainants</w:t>
      </w:r>
      <w:r w:rsidR="00E61616" w:rsidRPr="00E61616">
        <w:rPr>
          <w:sz w:val="26"/>
          <w:szCs w:val="26"/>
        </w:rPr>
        <w:t xml:space="preserve"> argue</w:t>
      </w:r>
      <w:r w:rsidR="008B33D9">
        <w:rPr>
          <w:sz w:val="26"/>
          <w:szCs w:val="26"/>
        </w:rPr>
        <w:t>d</w:t>
      </w:r>
      <w:r w:rsidR="00E61616" w:rsidRPr="00E61616">
        <w:rPr>
          <w:sz w:val="26"/>
          <w:szCs w:val="26"/>
        </w:rPr>
        <w:t xml:space="preserve"> they </w:t>
      </w:r>
      <w:r w:rsidR="00BF7D4B">
        <w:rPr>
          <w:sz w:val="26"/>
          <w:szCs w:val="26"/>
        </w:rPr>
        <w:t>were</w:t>
      </w:r>
      <w:r w:rsidR="00E61616" w:rsidRPr="00E61616">
        <w:rPr>
          <w:sz w:val="26"/>
          <w:szCs w:val="26"/>
        </w:rPr>
        <w:t xml:space="preserve"> forced to live with intimidation, bullying, manipulation and threats from Reynolds because of the averment of the signatories that the water rates will be increased even more if the base rate proceeding is fully litigated.  </w:t>
      </w:r>
      <w:r w:rsidR="00E61616">
        <w:rPr>
          <w:sz w:val="26"/>
          <w:szCs w:val="26"/>
        </w:rPr>
        <w:t>They</w:t>
      </w:r>
      <w:r w:rsidR="00E61616" w:rsidRPr="00E61616">
        <w:rPr>
          <w:sz w:val="26"/>
          <w:szCs w:val="26"/>
        </w:rPr>
        <w:t xml:space="preserve"> insist</w:t>
      </w:r>
      <w:r w:rsidR="008B33D9">
        <w:rPr>
          <w:sz w:val="26"/>
          <w:szCs w:val="26"/>
        </w:rPr>
        <w:t>ed</w:t>
      </w:r>
      <w:r w:rsidR="00E61616" w:rsidRPr="00E61616">
        <w:rPr>
          <w:sz w:val="26"/>
          <w:szCs w:val="26"/>
        </w:rPr>
        <w:t xml:space="preserve"> the Commission should not close its investigation until Reynolds is precluded from increasing its base rate</w:t>
      </w:r>
      <w:r w:rsidR="00144ADB">
        <w:rPr>
          <w:sz w:val="26"/>
          <w:szCs w:val="26"/>
        </w:rPr>
        <w:t>s</w:t>
      </w:r>
      <w:r w:rsidR="00E61616" w:rsidRPr="00E61616">
        <w:rPr>
          <w:sz w:val="26"/>
          <w:szCs w:val="26"/>
        </w:rPr>
        <w:t xml:space="preserve">.  </w:t>
      </w:r>
      <w:r w:rsidR="00420864">
        <w:rPr>
          <w:sz w:val="26"/>
          <w:szCs w:val="26"/>
        </w:rPr>
        <w:t>Settlement Objections at</w:t>
      </w:r>
      <w:r w:rsidR="006F78D9">
        <w:rPr>
          <w:sz w:val="26"/>
          <w:szCs w:val="26"/>
        </w:rPr>
        <w:t xml:space="preserve"> 1.</w:t>
      </w:r>
    </w:p>
    <w:p w:rsidR="00AF2719" w:rsidRDefault="00AF2719" w:rsidP="00AF2719">
      <w:pPr>
        <w:ind w:firstLine="1440"/>
        <w:rPr>
          <w:sz w:val="26"/>
          <w:szCs w:val="26"/>
        </w:rPr>
      </w:pPr>
    </w:p>
    <w:p w:rsidR="00AF2719" w:rsidRDefault="00E61616" w:rsidP="00AF2B16">
      <w:pPr>
        <w:ind w:firstLine="1440"/>
        <w:rPr>
          <w:rFonts w:eastAsiaTheme="minorHAnsi" w:cstheme="minorBidi"/>
          <w:sz w:val="26"/>
          <w:szCs w:val="22"/>
        </w:rPr>
      </w:pPr>
      <w:r>
        <w:rPr>
          <w:rFonts w:eastAsiaTheme="minorHAnsi" w:cstheme="minorBidi"/>
          <w:sz w:val="26"/>
          <w:szCs w:val="22"/>
        </w:rPr>
        <w:t>Furthermore</w:t>
      </w:r>
      <w:r w:rsidRPr="00E61616">
        <w:rPr>
          <w:rFonts w:eastAsiaTheme="minorHAnsi" w:cstheme="minorBidi"/>
          <w:sz w:val="26"/>
          <w:szCs w:val="22"/>
        </w:rPr>
        <w:t xml:space="preserve">, </w:t>
      </w:r>
      <w:r>
        <w:rPr>
          <w:rFonts w:eastAsiaTheme="minorHAnsi" w:cstheme="minorBidi"/>
          <w:sz w:val="26"/>
          <w:szCs w:val="22"/>
        </w:rPr>
        <w:t xml:space="preserve">the </w:t>
      </w:r>
      <w:r w:rsidRPr="00E61616">
        <w:rPr>
          <w:rFonts w:eastAsiaTheme="minorHAnsi" w:cstheme="minorBidi"/>
          <w:sz w:val="26"/>
          <w:szCs w:val="22"/>
        </w:rPr>
        <w:t>Complainants</w:t>
      </w:r>
      <w:r w:rsidR="007E2B19">
        <w:rPr>
          <w:rFonts w:eastAsiaTheme="minorHAnsi" w:cstheme="minorBidi"/>
          <w:sz w:val="26"/>
          <w:szCs w:val="22"/>
        </w:rPr>
        <w:t xml:space="preserve"> contend</w:t>
      </w:r>
      <w:r w:rsidR="007570A4">
        <w:rPr>
          <w:rFonts w:eastAsiaTheme="minorHAnsi" w:cstheme="minorBidi"/>
          <w:sz w:val="26"/>
          <w:szCs w:val="22"/>
        </w:rPr>
        <w:t>ed that</w:t>
      </w:r>
      <w:r w:rsidR="007E2B19">
        <w:rPr>
          <w:rFonts w:eastAsiaTheme="minorHAnsi" w:cstheme="minorBidi"/>
          <w:sz w:val="26"/>
          <w:szCs w:val="22"/>
        </w:rPr>
        <w:t xml:space="preserve"> </w:t>
      </w:r>
      <w:r w:rsidRPr="00E61616">
        <w:rPr>
          <w:rFonts w:eastAsiaTheme="minorHAnsi" w:cstheme="minorBidi"/>
          <w:sz w:val="26"/>
          <w:szCs w:val="22"/>
        </w:rPr>
        <w:t xml:space="preserve">all fire hydrants in the Reynolds system are locked down except for the hydrants used by the school district (which must pay $159.33 per hydrant per quarter), the Transfer Fire Department (which must pay $600 per year), and the Reynolds VFW (which must pay $159 per quarter).  </w:t>
      </w:r>
      <w:r>
        <w:rPr>
          <w:rFonts w:eastAsiaTheme="minorHAnsi" w:cstheme="minorBidi"/>
          <w:sz w:val="26"/>
          <w:szCs w:val="22"/>
        </w:rPr>
        <w:t>The</w:t>
      </w:r>
      <w:r w:rsidR="007E2B19">
        <w:rPr>
          <w:rFonts w:eastAsiaTheme="minorHAnsi" w:cstheme="minorBidi"/>
          <w:sz w:val="26"/>
          <w:szCs w:val="22"/>
        </w:rPr>
        <w:t xml:space="preserve"> Complainants</w:t>
      </w:r>
      <w:r>
        <w:rPr>
          <w:rFonts w:eastAsiaTheme="minorHAnsi" w:cstheme="minorBidi"/>
          <w:sz w:val="26"/>
          <w:szCs w:val="22"/>
        </w:rPr>
        <w:t xml:space="preserve"> </w:t>
      </w:r>
      <w:r w:rsidR="007E2B19">
        <w:rPr>
          <w:rFonts w:eastAsiaTheme="minorHAnsi" w:cstheme="minorBidi"/>
          <w:sz w:val="26"/>
          <w:szCs w:val="22"/>
        </w:rPr>
        <w:t xml:space="preserve">indicated </w:t>
      </w:r>
      <w:r>
        <w:rPr>
          <w:rFonts w:eastAsiaTheme="minorHAnsi" w:cstheme="minorBidi"/>
          <w:sz w:val="26"/>
          <w:szCs w:val="22"/>
        </w:rPr>
        <w:t>that</w:t>
      </w:r>
      <w:r w:rsidRPr="00E61616">
        <w:rPr>
          <w:rFonts w:eastAsiaTheme="minorHAnsi" w:cstheme="minorBidi"/>
          <w:sz w:val="26"/>
          <w:szCs w:val="22"/>
        </w:rPr>
        <w:t xml:space="preserve"> Reynolds is poorly managed and refuses to live within a structured budget as evidenced by </w:t>
      </w:r>
      <w:r w:rsidR="00356EA9">
        <w:rPr>
          <w:rFonts w:eastAsiaTheme="minorHAnsi" w:cstheme="minorBidi"/>
          <w:sz w:val="26"/>
          <w:szCs w:val="22"/>
        </w:rPr>
        <w:t>the Company’s</w:t>
      </w:r>
      <w:r w:rsidRPr="00E61616">
        <w:rPr>
          <w:rFonts w:eastAsiaTheme="minorHAnsi" w:cstheme="minorBidi"/>
          <w:sz w:val="26"/>
          <w:szCs w:val="22"/>
        </w:rPr>
        <w:t xml:space="preserve"> admission in the Settlement that the </w:t>
      </w:r>
      <w:r w:rsidRPr="00E61616">
        <w:rPr>
          <w:rFonts w:eastAsiaTheme="minorHAnsi" w:cstheme="minorBidi"/>
          <w:sz w:val="26"/>
          <w:szCs w:val="22"/>
        </w:rPr>
        <w:lastRenderedPageBreak/>
        <w:t xml:space="preserve">rates </w:t>
      </w:r>
      <w:r w:rsidR="001B7A0C" w:rsidRPr="00E61616">
        <w:rPr>
          <w:rFonts w:eastAsiaTheme="minorHAnsi" w:cstheme="minorBidi"/>
          <w:sz w:val="26"/>
          <w:szCs w:val="22"/>
        </w:rPr>
        <w:t>must</w:t>
      </w:r>
      <w:r w:rsidRPr="00E61616">
        <w:rPr>
          <w:rFonts w:eastAsiaTheme="minorHAnsi" w:cstheme="minorBidi"/>
          <w:sz w:val="26"/>
          <w:szCs w:val="22"/>
        </w:rPr>
        <w:t xml:space="preserve"> </w:t>
      </w:r>
      <w:r w:rsidR="007E2B19">
        <w:rPr>
          <w:rFonts w:eastAsiaTheme="minorHAnsi" w:cstheme="minorBidi"/>
          <w:sz w:val="26"/>
          <w:szCs w:val="22"/>
        </w:rPr>
        <w:t xml:space="preserve">be </w:t>
      </w:r>
      <w:r w:rsidRPr="00E61616">
        <w:rPr>
          <w:rFonts w:eastAsiaTheme="minorHAnsi" w:cstheme="minorBidi"/>
          <w:sz w:val="26"/>
          <w:szCs w:val="22"/>
        </w:rPr>
        <w:t>increase</w:t>
      </w:r>
      <w:r w:rsidR="007E2B19">
        <w:rPr>
          <w:rFonts w:eastAsiaTheme="minorHAnsi" w:cstheme="minorBidi"/>
          <w:sz w:val="26"/>
          <w:szCs w:val="22"/>
        </w:rPr>
        <w:t>d</w:t>
      </w:r>
      <w:r w:rsidRPr="00E61616">
        <w:rPr>
          <w:rFonts w:eastAsiaTheme="minorHAnsi" w:cstheme="minorBidi"/>
          <w:sz w:val="26"/>
          <w:szCs w:val="22"/>
        </w:rPr>
        <w:t xml:space="preserve"> in order to bring Reynolds’ operating income to a reasonable level.  </w:t>
      </w:r>
      <w:r>
        <w:rPr>
          <w:rFonts w:eastAsiaTheme="minorHAnsi" w:cstheme="minorBidi"/>
          <w:sz w:val="26"/>
          <w:szCs w:val="22"/>
        </w:rPr>
        <w:t xml:space="preserve">The </w:t>
      </w:r>
      <w:r w:rsidRPr="00E61616">
        <w:rPr>
          <w:rFonts w:eastAsiaTheme="minorHAnsi" w:cstheme="minorBidi"/>
          <w:sz w:val="26"/>
          <w:szCs w:val="22"/>
        </w:rPr>
        <w:t>Complainants aver</w:t>
      </w:r>
      <w:r w:rsidR="00402912">
        <w:rPr>
          <w:rFonts w:eastAsiaTheme="minorHAnsi" w:cstheme="minorBidi"/>
          <w:sz w:val="26"/>
          <w:szCs w:val="22"/>
        </w:rPr>
        <w:t xml:space="preserve">red </w:t>
      </w:r>
      <w:r w:rsidRPr="00E61616">
        <w:rPr>
          <w:rFonts w:eastAsiaTheme="minorHAnsi" w:cstheme="minorBidi"/>
          <w:sz w:val="26"/>
          <w:szCs w:val="22"/>
        </w:rPr>
        <w:t xml:space="preserve">Reynolds has some of the highest water and sewer rates in the state.  </w:t>
      </w:r>
      <w:r w:rsidR="00500414" w:rsidRPr="00500414">
        <w:rPr>
          <w:rFonts w:eastAsiaTheme="minorHAnsi" w:cstheme="minorBidi"/>
          <w:sz w:val="26"/>
          <w:szCs w:val="22"/>
        </w:rPr>
        <w:t xml:space="preserve">Most </w:t>
      </w:r>
      <w:r w:rsidR="00500414">
        <w:rPr>
          <w:rFonts w:eastAsiaTheme="minorHAnsi" w:cstheme="minorBidi"/>
          <w:sz w:val="26"/>
          <w:szCs w:val="22"/>
        </w:rPr>
        <w:t xml:space="preserve">of the </w:t>
      </w:r>
      <w:r w:rsidR="00500414" w:rsidRPr="00500414">
        <w:rPr>
          <w:rFonts w:eastAsiaTheme="minorHAnsi" w:cstheme="minorBidi"/>
          <w:sz w:val="26"/>
          <w:szCs w:val="22"/>
        </w:rPr>
        <w:t>Complainants made similar statements objecting to the Settlement and used a standardized form response</w:t>
      </w:r>
      <w:r w:rsidR="00500414">
        <w:rPr>
          <w:rFonts w:eastAsiaTheme="minorHAnsi" w:cstheme="minorBidi"/>
          <w:sz w:val="26"/>
          <w:szCs w:val="22"/>
        </w:rPr>
        <w:t>.</w:t>
      </w:r>
      <w:r w:rsidR="00B02120">
        <w:rPr>
          <w:rFonts w:eastAsiaTheme="minorHAnsi" w:cstheme="minorBidi"/>
          <w:sz w:val="26"/>
          <w:szCs w:val="22"/>
        </w:rPr>
        <w:t xml:space="preserve">  </w:t>
      </w:r>
      <w:r w:rsidR="002F21E4" w:rsidRPr="002F21E4">
        <w:rPr>
          <w:rFonts w:eastAsiaTheme="minorHAnsi" w:cstheme="minorBidi"/>
          <w:i/>
          <w:sz w:val="26"/>
          <w:szCs w:val="22"/>
        </w:rPr>
        <w:t>Id.</w:t>
      </w:r>
      <w:r w:rsidR="002F21E4">
        <w:rPr>
          <w:rFonts w:eastAsiaTheme="minorHAnsi" w:cstheme="minorBidi"/>
          <w:sz w:val="26"/>
          <w:szCs w:val="22"/>
        </w:rPr>
        <w:t xml:space="preserve"> a</w:t>
      </w:r>
      <w:r w:rsidR="006F78D9">
        <w:rPr>
          <w:rFonts w:eastAsiaTheme="minorHAnsi" w:cstheme="minorBidi"/>
          <w:sz w:val="26"/>
          <w:szCs w:val="22"/>
        </w:rPr>
        <w:t xml:space="preserve">t 2-4.  </w:t>
      </w:r>
      <w:r w:rsidR="00B02120">
        <w:rPr>
          <w:rFonts w:eastAsiaTheme="minorHAnsi" w:cstheme="minorBidi"/>
          <w:sz w:val="26"/>
          <w:szCs w:val="22"/>
        </w:rPr>
        <w:t>I</w:t>
      </w:r>
      <w:r w:rsidR="00500414" w:rsidRPr="00500414">
        <w:rPr>
          <w:rFonts w:eastAsiaTheme="minorHAnsi" w:cstheme="minorBidi"/>
          <w:sz w:val="26"/>
          <w:szCs w:val="22"/>
        </w:rPr>
        <w:t>n addition to the formatted statements referenced above, eight individuals</w:t>
      </w:r>
      <w:r w:rsidR="00B02120">
        <w:rPr>
          <w:rFonts w:eastAsiaTheme="minorHAnsi" w:cstheme="minorBidi"/>
          <w:sz w:val="26"/>
          <w:szCs w:val="22"/>
        </w:rPr>
        <w:t xml:space="preserve"> included </w:t>
      </w:r>
      <w:r w:rsidR="00500414" w:rsidRPr="00500414">
        <w:rPr>
          <w:rFonts w:eastAsiaTheme="minorHAnsi" w:cstheme="minorBidi"/>
          <w:sz w:val="26"/>
          <w:szCs w:val="22"/>
        </w:rPr>
        <w:t>additional comments and/or wr</w:t>
      </w:r>
      <w:r w:rsidR="007570A4">
        <w:rPr>
          <w:rFonts w:eastAsiaTheme="minorHAnsi" w:cstheme="minorBidi"/>
          <w:sz w:val="26"/>
          <w:szCs w:val="22"/>
        </w:rPr>
        <w:t>itten comments</w:t>
      </w:r>
      <w:r w:rsidR="00A4528F">
        <w:rPr>
          <w:rFonts w:eastAsiaTheme="minorHAnsi" w:cstheme="minorBidi"/>
          <w:sz w:val="26"/>
          <w:szCs w:val="22"/>
        </w:rPr>
        <w:t xml:space="preserve"> to the ALJ in support of rejecting the Settlement</w:t>
      </w:r>
      <w:r w:rsidR="00500414" w:rsidRPr="00500414">
        <w:rPr>
          <w:rFonts w:eastAsiaTheme="minorHAnsi" w:cstheme="minorBidi"/>
          <w:sz w:val="26"/>
          <w:szCs w:val="22"/>
        </w:rPr>
        <w:t>.</w:t>
      </w:r>
      <w:r w:rsidR="00500414">
        <w:rPr>
          <w:rStyle w:val="FootnoteReference"/>
          <w:rFonts w:eastAsiaTheme="minorHAnsi" w:cstheme="minorBidi"/>
          <w:sz w:val="26"/>
          <w:szCs w:val="22"/>
        </w:rPr>
        <w:footnoteReference w:id="16"/>
      </w:r>
    </w:p>
    <w:p w:rsidR="00DD0315" w:rsidRPr="002266E4" w:rsidRDefault="00DD0315" w:rsidP="00DD0315">
      <w:pPr>
        <w:rPr>
          <w:sz w:val="26"/>
          <w:szCs w:val="26"/>
        </w:rPr>
      </w:pPr>
    </w:p>
    <w:p w:rsidR="00DA564D" w:rsidRPr="007E296B" w:rsidRDefault="00160ADD" w:rsidP="00DA564D">
      <w:pPr>
        <w:ind w:firstLine="1440"/>
        <w:rPr>
          <w:b/>
          <w:sz w:val="26"/>
          <w:szCs w:val="26"/>
        </w:rPr>
      </w:pPr>
      <w:r>
        <w:rPr>
          <w:sz w:val="26"/>
          <w:szCs w:val="26"/>
        </w:rPr>
        <w:t>I</w:t>
      </w:r>
      <w:r w:rsidR="0019193C">
        <w:rPr>
          <w:sz w:val="26"/>
          <w:szCs w:val="26"/>
        </w:rPr>
        <w:t>n</w:t>
      </w:r>
      <w:r>
        <w:rPr>
          <w:sz w:val="26"/>
          <w:szCs w:val="26"/>
        </w:rPr>
        <w:t xml:space="preserve"> response</w:t>
      </w:r>
      <w:r w:rsidR="0019193C">
        <w:rPr>
          <w:sz w:val="26"/>
          <w:szCs w:val="26"/>
        </w:rPr>
        <w:t xml:space="preserve">, </w:t>
      </w:r>
      <w:r w:rsidR="003E4D75" w:rsidRPr="005A5419">
        <w:rPr>
          <w:sz w:val="26"/>
          <w:szCs w:val="26"/>
        </w:rPr>
        <w:t>Reynolds</w:t>
      </w:r>
      <w:r w:rsidR="003E4D75">
        <w:rPr>
          <w:sz w:val="26"/>
          <w:szCs w:val="26"/>
        </w:rPr>
        <w:t xml:space="preserve"> </w:t>
      </w:r>
      <w:r w:rsidR="0019193C" w:rsidRPr="005A5419">
        <w:rPr>
          <w:sz w:val="26"/>
          <w:szCs w:val="26"/>
        </w:rPr>
        <w:t>emphasized</w:t>
      </w:r>
      <w:r w:rsidR="0018008E" w:rsidRPr="005A5419">
        <w:rPr>
          <w:sz w:val="26"/>
          <w:szCs w:val="26"/>
        </w:rPr>
        <w:t xml:space="preserve"> </w:t>
      </w:r>
      <w:r w:rsidR="0018008E">
        <w:rPr>
          <w:sz w:val="26"/>
          <w:szCs w:val="26"/>
        </w:rPr>
        <w:t xml:space="preserve">that </w:t>
      </w:r>
      <w:r w:rsidR="0018008E" w:rsidRPr="005A5419">
        <w:rPr>
          <w:sz w:val="26"/>
          <w:szCs w:val="26"/>
        </w:rPr>
        <w:t xml:space="preserve">the Settlement </w:t>
      </w:r>
      <w:r w:rsidR="00984D38">
        <w:rPr>
          <w:sz w:val="26"/>
          <w:szCs w:val="26"/>
        </w:rPr>
        <w:t xml:space="preserve">was a product of </w:t>
      </w:r>
      <w:r w:rsidR="0018008E" w:rsidRPr="005A5419">
        <w:rPr>
          <w:sz w:val="26"/>
          <w:szCs w:val="26"/>
        </w:rPr>
        <w:t>mediation</w:t>
      </w:r>
      <w:r w:rsidR="00984D38">
        <w:rPr>
          <w:sz w:val="26"/>
          <w:szCs w:val="26"/>
        </w:rPr>
        <w:t xml:space="preserve"> that</w:t>
      </w:r>
      <w:r w:rsidR="0018008E" w:rsidRPr="005A5419">
        <w:rPr>
          <w:sz w:val="26"/>
          <w:szCs w:val="26"/>
        </w:rPr>
        <w:t xml:space="preserve"> furthers the public interest and is fully supported by the financial information in the original filing.  Reynolds noted </w:t>
      </w:r>
      <w:r w:rsidR="00751625">
        <w:rPr>
          <w:sz w:val="26"/>
          <w:szCs w:val="26"/>
        </w:rPr>
        <w:t>that it</w:t>
      </w:r>
      <w:r w:rsidR="00A91E2F">
        <w:rPr>
          <w:sz w:val="26"/>
          <w:szCs w:val="26"/>
        </w:rPr>
        <w:t xml:space="preserve">s customers </w:t>
      </w:r>
      <w:r w:rsidR="00A15066">
        <w:rPr>
          <w:sz w:val="26"/>
          <w:szCs w:val="26"/>
        </w:rPr>
        <w:t xml:space="preserve">have experienced stable rates </w:t>
      </w:r>
      <w:r w:rsidR="00193A47">
        <w:rPr>
          <w:sz w:val="26"/>
          <w:szCs w:val="26"/>
        </w:rPr>
        <w:t xml:space="preserve">over </w:t>
      </w:r>
      <w:r w:rsidR="00984D38">
        <w:rPr>
          <w:sz w:val="26"/>
          <w:szCs w:val="26"/>
        </w:rPr>
        <w:t>an eight-</w:t>
      </w:r>
      <w:r w:rsidR="00193A47">
        <w:rPr>
          <w:sz w:val="26"/>
          <w:szCs w:val="26"/>
        </w:rPr>
        <w:t>year period</w:t>
      </w:r>
      <w:r w:rsidR="002104D4">
        <w:rPr>
          <w:sz w:val="26"/>
          <w:szCs w:val="26"/>
        </w:rPr>
        <w:t>,</w:t>
      </w:r>
      <w:r w:rsidR="0018008E" w:rsidRPr="005A5419">
        <w:rPr>
          <w:sz w:val="26"/>
          <w:szCs w:val="26"/>
        </w:rPr>
        <w:t xml:space="preserve"> </w:t>
      </w:r>
      <w:r w:rsidR="00A15066">
        <w:rPr>
          <w:sz w:val="26"/>
          <w:szCs w:val="26"/>
        </w:rPr>
        <w:t xml:space="preserve">but those lower </w:t>
      </w:r>
      <w:r w:rsidR="008851B6">
        <w:rPr>
          <w:sz w:val="26"/>
          <w:szCs w:val="26"/>
        </w:rPr>
        <w:t>rates</w:t>
      </w:r>
      <w:r w:rsidR="00F15F90">
        <w:rPr>
          <w:sz w:val="26"/>
          <w:szCs w:val="26"/>
        </w:rPr>
        <w:t xml:space="preserve"> </w:t>
      </w:r>
      <w:r w:rsidR="008851B6">
        <w:rPr>
          <w:sz w:val="26"/>
          <w:szCs w:val="26"/>
        </w:rPr>
        <w:t>cannot</w:t>
      </w:r>
      <w:r w:rsidR="00A15066">
        <w:rPr>
          <w:sz w:val="26"/>
          <w:szCs w:val="26"/>
        </w:rPr>
        <w:t xml:space="preserve"> be sustained because </w:t>
      </w:r>
      <w:r w:rsidR="0018008E" w:rsidRPr="005A5419">
        <w:rPr>
          <w:sz w:val="26"/>
          <w:szCs w:val="26"/>
        </w:rPr>
        <w:t>its returns ha</w:t>
      </w:r>
      <w:r w:rsidR="00A15066">
        <w:rPr>
          <w:sz w:val="26"/>
          <w:szCs w:val="26"/>
        </w:rPr>
        <w:t>ve</w:t>
      </w:r>
      <w:r w:rsidR="0018008E" w:rsidRPr="005A5419">
        <w:rPr>
          <w:sz w:val="26"/>
          <w:szCs w:val="26"/>
        </w:rPr>
        <w:t xml:space="preserve"> deteriorated, and </w:t>
      </w:r>
      <w:r w:rsidR="0018008E">
        <w:rPr>
          <w:sz w:val="26"/>
          <w:szCs w:val="26"/>
        </w:rPr>
        <w:t>the Company</w:t>
      </w:r>
      <w:r w:rsidR="0018008E" w:rsidRPr="005A5419">
        <w:rPr>
          <w:sz w:val="26"/>
          <w:szCs w:val="26"/>
        </w:rPr>
        <w:t xml:space="preserve"> </w:t>
      </w:r>
      <w:r w:rsidR="00A15066">
        <w:rPr>
          <w:sz w:val="26"/>
          <w:szCs w:val="26"/>
        </w:rPr>
        <w:t xml:space="preserve">is now </w:t>
      </w:r>
      <w:r w:rsidR="0018008E" w:rsidRPr="005A5419">
        <w:rPr>
          <w:sz w:val="26"/>
          <w:szCs w:val="26"/>
        </w:rPr>
        <w:t>experienc</w:t>
      </w:r>
      <w:r w:rsidR="00A15066">
        <w:rPr>
          <w:sz w:val="26"/>
          <w:szCs w:val="26"/>
        </w:rPr>
        <w:t>ing</w:t>
      </w:r>
      <w:r w:rsidR="0018008E" w:rsidRPr="005A5419">
        <w:rPr>
          <w:sz w:val="26"/>
          <w:szCs w:val="26"/>
        </w:rPr>
        <w:t xml:space="preserve"> a negative return and a net operating loss.</w:t>
      </w:r>
      <w:r w:rsidR="0019193C">
        <w:rPr>
          <w:sz w:val="26"/>
          <w:szCs w:val="26"/>
        </w:rPr>
        <w:t xml:space="preserve">  A</w:t>
      </w:r>
      <w:r w:rsidR="00193A47">
        <w:rPr>
          <w:sz w:val="26"/>
          <w:szCs w:val="26"/>
        </w:rPr>
        <w:t xml:space="preserve">ccording to Reynolds, </w:t>
      </w:r>
      <w:r w:rsidR="0019193C">
        <w:rPr>
          <w:sz w:val="26"/>
          <w:szCs w:val="26"/>
        </w:rPr>
        <w:t xml:space="preserve">this </w:t>
      </w:r>
      <w:r w:rsidR="00193A47">
        <w:rPr>
          <w:sz w:val="26"/>
          <w:szCs w:val="26"/>
        </w:rPr>
        <w:t>makes th</w:t>
      </w:r>
      <w:r w:rsidR="0019193C">
        <w:rPr>
          <w:sz w:val="26"/>
          <w:szCs w:val="26"/>
        </w:rPr>
        <w:t>e instant</w:t>
      </w:r>
      <w:r w:rsidR="00193A47">
        <w:rPr>
          <w:sz w:val="26"/>
          <w:szCs w:val="26"/>
        </w:rPr>
        <w:t xml:space="preserve"> rate increase </w:t>
      </w:r>
      <w:r w:rsidR="0019193C">
        <w:rPr>
          <w:sz w:val="26"/>
          <w:szCs w:val="26"/>
        </w:rPr>
        <w:t xml:space="preserve">request </w:t>
      </w:r>
      <w:r w:rsidR="00193A47">
        <w:rPr>
          <w:sz w:val="26"/>
          <w:szCs w:val="26"/>
        </w:rPr>
        <w:t xml:space="preserve">inevitable.  </w:t>
      </w:r>
      <w:r w:rsidR="0018008E" w:rsidRPr="005A5419">
        <w:rPr>
          <w:sz w:val="26"/>
          <w:szCs w:val="26"/>
        </w:rPr>
        <w:t xml:space="preserve">Reynolds disagreed with the </w:t>
      </w:r>
      <w:r w:rsidR="002104D4">
        <w:rPr>
          <w:sz w:val="26"/>
          <w:szCs w:val="26"/>
        </w:rPr>
        <w:t xml:space="preserve">Complainant’s </w:t>
      </w:r>
      <w:r w:rsidR="0018008E">
        <w:rPr>
          <w:sz w:val="26"/>
          <w:szCs w:val="26"/>
        </w:rPr>
        <w:t xml:space="preserve">comments that </w:t>
      </w:r>
      <w:r w:rsidR="0018008E" w:rsidRPr="005A5419">
        <w:rPr>
          <w:sz w:val="26"/>
          <w:szCs w:val="26"/>
        </w:rPr>
        <w:t xml:space="preserve">it bullied </w:t>
      </w:r>
      <w:r w:rsidR="00476646">
        <w:rPr>
          <w:sz w:val="26"/>
          <w:szCs w:val="26"/>
        </w:rPr>
        <w:t xml:space="preserve">its </w:t>
      </w:r>
      <w:r w:rsidR="0018008E" w:rsidRPr="005A5419">
        <w:rPr>
          <w:sz w:val="26"/>
          <w:szCs w:val="26"/>
        </w:rPr>
        <w:t xml:space="preserve">customers or that all </w:t>
      </w:r>
      <w:r w:rsidR="0019193C">
        <w:rPr>
          <w:sz w:val="26"/>
          <w:szCs w:val="26"/>
        </w:rPr>
        <w:t xml:space="preserve">of its </w:t>
      </w:r>
      <w:r w:rsidR="0018008E" w:rsidRPr="005A5419">
        <w:rPr>
          <w:sz w:val="26"/>
          <w:szCs w:val="26"/>
        </w:rPr>
        <w:t>fire hydrants are locked down.</w:t>
      </w:r>
      <w:r w:rsidR="00F01126">
        <w:rPr>
          <w:sz w:val="26"/>
          <w:szCs w:val="26"/>
        </w:rPr>
        <w:t xml:space="preserve">  </w:t>
      </w:r>
      <w:r w:rsidR="001C7379">
        <w:rPr>
          <w:sz w:val="26"/>
          <w:szCs w:val="26"/>
        </w:rPr>
        <w:t xml:space="preserve">Reynolds </w:t>
      </w:r>
      <w:r w:rsidR="00880668" w:rsidRPr="00880668">
        <w:rPr>
          <w:sz w:val="26"/>
          <w:szCs w:val="26"/>
        </w:rPr>
        <w:t xml:space="preserve">insisted it works with the Transfer Fire Department to identify hydrants which will be available for fire-fighting emergencies.  Reynolds averred it is careful about allowing unnecessary and/or inappropriate access to </w:t>
      </w:r>
      <w:r w:rsidR="00F01126" w:rsidRPr="00880668">
        <w:rPr>
          <w:sz w:val="26"/>
          <w:szCs w:val="26"/>
        </w:rPr>
        <w:t>hydrants,</w:t>
      </w:r>
      <w:r w:rsidR="00880668" w:rsidRPr="00880668">
        <w:rPr>
          <w:sz w:val="26"/>
          <w:szCs w:val="26"/>
        </w:rPr>
        <w:t xml:space="preserve"> so it can maintain its system integrity and reliability.</w:t>
      </w:r>
      <w:r w:rsidR="001C7379">
        <w:rPr>
          <w:sz w:val="26"/>
          <w:szCs w:val="26"/>
        </w:rPr>
        <w:t xml:space="preserve">  </w:t>
      </w:r>
      <w:r w:rsidR="00F01126" w:rsidRPr="0018008E">
        <w:rPr>
          <w:sz w:val="26"/>
          <w:szCs w:val="26"/>
        </w:rPr>
        <w:t xml:space="preserve">Reynolds </w:t>
      </w:r>
      <w:r w:rsidR="00F01126">
        <w:rPr>
          <w:sz w:val="26"/>
          <w:szCs w:val="26"/>
        </w:rPr>
        <w:t>also indicated</w:t>
      </w:r>
      <w:r w:rsidR="00F01126" w:rsidRPr="0018008E">
        <w:rPr>
          <w:sz w:val="26"/>
          <w:szCs w:val="26"/>
        </w:rPr>
        <w:t xml:space="preserve"> that the </w:t>
      </w:r>
      <w:r w:rsidR="00F01126">
        <w:rPr>
          <w:sz w:val="26"/>
          <w:szCs w:val="26"/>
        </w:rPr>
        <w:t>instant rate increase</w:t>
      </w:r>
      <w:r w:rsidR="00F01126" w:rsidRPr="0018008E">
        <w:rPr>
          <w:sz w:val="26"/>
          <w:szCs w:val="26"/>
        </w:rPr>
        <w:t xml:space="preserve"> applies </w:t>
      </w:r>
      <w:r w:rsidR="00F01126">
        <w:rPr>
          <w:sz w:val="26"/>
          <w:szCs w:val="26"/>
        </w:rPr>
        <w:t xml:space="preserve">only </w:t>
      </w:r>
      <w:r w:rsidR="00F01126" w:rsidRPr="0018008E">
        <w:rPr>
          <w:sz w:val="26"/>
          <w:szCs w:val="26"/>
        </w:rPr>
        <w:t>to water base rates</w:t>
      </w:r>
      <w:r w:rsidR="00F01126">
        <w:rPr>
          <w:sz w:val="26"/>
          <w:szCs w:val="26"/>
        </w:rPr>
        <w:t xml:space="preserve"> </w:t>
      </w:r>
      <w:r w:rsidR="00F01126" w:rsidRPr="0018008E">
        <w:rPr>
          <w:sz w:val="26"/>
          <w:szCs w:val="26"/>
        </w:rPr>
        <w:t xml:space="preserve">and </w:t>
      </w:r>
      <w:r w:rsidR="00F01126">
        <w:rPr>
          <w:sz w:val="26"/>
          <w:szCs w:val="26"/>
        </w:rPr>
        <w:t xml:space="preserve">that </w:t>
      </w:r>
      <w:r w:rsidR="00F01126" w:rsidRPr="0018008E">
        <w:rPr>
          <w:sz w:val="26"/>
          <w:szCs w:val="26"/>
        </w:rPr>
        <w:t>there is no increase to the sewer base rates or the</w:t>
      </w:r>
      <w:r w:rsidR="00F01126">
        <w:rPr>
          <w:sz w:val="26"/>
          <w:szCs w:val="26"/>
        </w:rPr>
        <w:t xml:space="preserve"> </w:t>
      </w:r>
      <w:r w:rsidR="00F01126" w:rsidRPr="0018008E">
        <w:rPr>
          <w:sz w:val="26"/>
          <w:szCs w:val="26"/>
        </w:rPr>
        <w:t>PENNVEST charges.</w:t>
      </w:r>
      <w:r w:rsidR="007B50D9">
        <w:rPr>
          <w:sz w:val="26"/>
          <w:szCs w:val="26"/>
        </w:rPr>
        <w:t xml:space="preserve">  </w:t>
      </w:r>
      <w:r w:rsidR="00F01126" w:rsidRPr="00880668">
        <w:rPr>
          <w:sz w:val="26"/>
          <w:szCs w:val="26"/>
        </w:rPr>
        <w:t xml:space="preserve">Reynolds </w:t>
      </w:r>
      <w:r w:rsidR="00056C12">
        <w:rPr>
          <w:sz w:val="26"/>
          <w:szCs w:val="26"/>
        </w:rPr>
        <w:t>pointed out that</w:t>
      </w:r>
      <w:r w:rsidR="00F01126" w:rsidRPr="00880668">
        <w:rPr>
          <w:sz w:val="26"/>
          <w:szCs w:val="26"/>
        </w:rPr>
        <w:t xml:space="preserve"> th</w:t>
      </w:r>
      <w:r w:rsidR="00F01126">
        <w:rPr>
          <w:sz w:val="26"/>
          <w:szCs w:val="26"/>
        </w:rPr>
        <w:t>e</w:t>
      </w:r>
      <w:r w:rsidR="00F01126" w:rsidRPr="00880668">
        <w:rPr>
          <w:sz w:val="26"/>
          <w:szCs w:val="26"/>
        </w:rPr>
        <w:t xml:space="preserve"> Settlement saves money for the customers because it lessens the time and costs of fully litigating the base rate filing.  </w:t>
      </w:r>
      <w:r w:rsidR="001C7379">
        <w:rPr>
          <w:sz w:val="26"/>
          <w:szCs w:val="26"/>
        </w:rPr>
        <w:t>Finally</w:t>
      </w:r>
      <w:r w:rsidR="007B0720" w:rsidRPr="005A5419">
        <w:rPr>
          <w:sz w:val="26"/>
          <w:szCs w:val="26"/>
        </w:rPr>
        <w:t xml:space="preserve">, Reynolds </w:t>
      </w:r>
      <w:r w:rsidR="000A1058">
        <w:rPr>
          <w:sz w:val="26"/>
          <w:szCs w:val="26"/>
        </w:rPr>
        <w:t>argued</w:t>
      </w:r>
      <w:r w:rsidR="007B0720" w:rsidRPr="005A5419">
        <w:rPr>
          <w:sz w:val="26"/>
          <w:szCs w:val="26"/>
        </w:rPr>
        <w:t xml:space="preserve"> </w:t>
      </w:r>
      <w:r w:rsidR="002130DD">
        <w:rPr>
          <w:sz w:val="26"/>
          <w:szCs w:val="26"/>
        </w:rPr>
        <w:t xml:space="preserve">that </w:t>
      </w:r>
      <w:r w:rsidR="007B0720" w:rsidRPr="005A5419">
        <w:rPr>
          <w:sz w:val="26"/>
          <w:szCs w:val="26"/>
        </w:rPr>
        <w:t xml:space="preserve">the </w:t>
      </w:r>
      <w:r w:rsidR="007B0720">
        <w:rPr>
          <w:sz w:val="26"/>
          <w:szCs w:val="26"/>
        </w:rPr>
        <w:t>Settlement Objections</w:t>
      </w:r>
      <w:r w:rsidR="007B0720" w:rsidRPr="005A5419">
        <w:rPr>
          <w:sz w:val="26"/>
          <w:szCs w:val="26"/>
        </w:rPr>
        <w:t xml:space="preserve"> d</w:t>
      </w:r>
      <w:r w:rsidR="007B0720">
        <w:rPr>
          <w:sz w:val="26"/>
          <w:szCs w:val="26"/>
        </w:rPr>
        <w:t>id</w:t>
      </w:r>
      <w:r w:rsidR="007B0720" w:rsidRPr="005A5419">
        <w:rPr>
          <w:sz w:val="26"/>
          <w:szCs w:val="26"/>
        </w:rPr>
        <w:t xml:space="preserve"> not provide a factual or legal basis to reject the Settlement</w:t>
      </w:r>
      <w:r w:rsidR="007B0720">
        <w:rPr>
          <w:sz w:val="26"/>
          <w:szCs w:val="26"/>
        </w:rPr>
        <w:t xml:space="preserve">.  </w:t>
      </w:r>
      <w:r w:rsidR="00DA564D" w:rsidRPr="00DA564D">
        <w:rPr>
          <w:sz w:val="26"/>
          <w:szCs w:val="26"/>
        </w:rPr>
        <w:t>Reply to Settlement Objections at 3-5.</w:t>
      </w:r>
    </w:p>
    <w:p w:rsidR="00555B39" w:rsidRDefault="00555B39" w:rsidP="007B0720">
      <w:pPr>
        <w:ind w:firstLine="1440"/>
        <w:rPr>
          <w:sz w:val="26"/>
          <w:szCs w:val="26"/>
        </w:rPr>
      </w:pPr>
    </w:p>
    <w:p w:rsidR="00DD0315" w:rsidRDefault="00931D44" w:rsidP="00DD0315">
      <w:pPr>
        <w:pStyle w:val="Heading2"/>
      </w:pPr>
      <w:bookmarkStart w:id="11" w:name="_Toc471747998"/>
      <w:bookmarkStart w:id="12" w:name="_Toc471748136"/>
      <w:r>
        <w:lastRenderedPageBreak/>
        <w:t>E</w:t>
      </w:r>
      <w:r w:rsidR="00DD0315">
        <w:t>.</w:t>
      </w:r>
      <w:r w:rsidR="00DD0315">
        <w:tab/>
        <w:t xml:space="preserve">ALJ’s </w:t>
      </w:r>
      <w:bookmarkEnd w:id="11"/>
      <w:bookmarkEnd w:id="12"/>
      <w:r w:rsidR="008B33D9">
        <w:t>Disposition of Settlement Objections</w:t>
      </w:r>
    </w:p>
    <w:p w:rsidR="00DD0315" w:rsidRDefault="00DD0315" w:rsidP="00DD0315">
      <w:pPr>
        <w:pStyle w:val="ListParagraph"/>
        <w:keepNext/>
        <w:keepLines/>
        <w:ind w:left="0"/>
        <w:rPr>
          <w:b/>
          <w:sz w:val="26"/>
          <w:szCs w:val="26"/>
        </w:rPr>
      </w:pPr>
    </w:p>
    <w:p w:rsidR="00B46517" w:rsidRDefault="00DD0315" w:rsidP="00B46517">
      <w:pPr>
        <w:rPr>
          <w:sz w:val="26"/>
          <w:szCs w:val="26"/>
        </w:rPr>
      </w:pPr>
      <w:r>
        <w:rPr>
          <w:b/>
          <w:sz w:val="26"/>
          <w:szCs w:val="26"/>
        </w:rPr>
        <w:tab/>
      </w:r>
      <w:r>
        <w:rPr>
          <w:b/>
          <w:sz w:val="26"/>
          <w:szCs w:val="26"/>
        </w:rPr>
        <w:tab/>
      </w:r>
      <w:r w:rsidR="00DB74FD" w:rsidRPr="00B46517">
        <w:rPr>
          <w:sz w:val="26"/>
          <w:szCs w:val="26"/>
        </w:rPr>
        <w:t xml:space="preserve">In </w:t>
      </w:r>
      <w:r w:rsidR="00B46517" w:rsidRPr="00B46517">
        <w:rPr>
          <w:sz w:val="26"/>
          <w:szCs w:val="26"/>
        </w:rPr>
        <w:t>her analysis</w:t>
      </w:r>
      <w:r w:rsidR="00942571">
        <w:rPr>
          <w:sz w:val="26"/>
          <w:szCs w:val="26"/>
        </w:rPr>
        <w:t xml:space="preserve"> of the Settlement Objections</w:t>
      </w:r>
      <w:r w:rsidR="00B46517" w:rsidRPr="00B46517">
        <w:rPr>
          <w:sz w:val="26"/>
          <w:szCs w:val="26"/>
        </w:rPr>
        <w:t xml:space="preserve">, ALJ </w:t>
      </w:r>
      <w:r w:rsidR="001B6575">
        <w:rPr>
          <w:sz w:val="26"/>
          <w:szCs w:val="26"/>
        </w:rPr>
        <w:t>Dunderdale</w:t>
      </w:r>
      <w:r w:rsidR="00B46517" w:rsidRPr="00B46517">
        <w:rPr>
          <w:sz w:val="26"/>
          <w:szCs w:val="26"/>
        </w:rPr>
        <w:t xml:space="preserve"> </w:t>
      </w:r>
      <w:r w:rsidR="00942571">
        <w:rPr>
          <w:sz w:val="26"/>
          <w:szCs w:val="26"/>
        </w:rPr>
        <w:t>noted</w:t>
      </w:r>
      <w:r w:rsidR="00B47BF8">
        <w:rPr>
          <w:sz w:val="26"/>
          <w:szCs w:val="26"/>
        </w:rPr>
        <w:t xml:space="preserve"> that the five Complainants who participated in the mediation sessions </w:t>
      </w:r>
      <w:r w:rsidR="00E9518A">
        <w:rPr>
          <w:sz w:val="26"/>
          <w:szCs w:val="26"/>
        </w:rPr>
        <w:t xml:space="preserve">were generally opposed to </w:t>
      </w:r>
      <w:r w:rsidR="00B46517" w:rsidRPr="00B46517">
        <w:rPr>
          <w:sz w:val="26"/>
          <w:szCs w:val="26"/>
        </w:rPr>
        <w:t>the Settlement</w:t>
      </w:r>
      <w:r w:rsidR="00942571">
        <w:rPr>
          <w:sz w:val="26"/>
          <w:szCs w:val="26"/>
        </w:rPr>
        <w:t xml:space="preserve">.  The ALJ acknowledged the Complainants’ averment that they would be </w:t>
      </w:r>
      <w:r w:rsidR="00B46517" w:rsidRPr="00B46517">
        <w:rPr>
          <w:sz w:val="26"/>
          <w:szCs w:val="26"/>
        </w:rPr>
        <w:t xml:space="preserve">satisfied </w:t>
      </w:r>
      <w:r w:rsidR="00A1436C">
        <w:rPr>
          <w:sz w:val="26"/>
          <w:szCs w:val="26"/>
        </w:rPr>
        <w:t xml:space="preserve">only </w:t>
      </w:r>
      <w:r w:rsidR="00B46517" w:rsidRPr="00B46517">
        <w:rPr>
          <w:sz w:val="26"/>
          <w:szCs w:val="26"/>
        </w:rPr>
        <w:t>if</w:t>
      </w:r>
      <w:r w:rsidR="00ED2366">
        <w:rPr>
          <w:sz w:val="26"/>
          <w:szCs w:val="26"/>
        </w:rPr>
        <w:t xml:space="preserve"> Reynold</w:t>
      </w:r>
      <w:r w:rsidR="00A1436C">
        <w:rPr>
          <w:sz w:val="26"/>
          <w:szCs w:val="26"/>
        </w:rPr>
        <w:t xml:space="preserve">s’ </w:t>
      </w:r>
      <w:r w:rsidR="00B46517" w:rsidRPr="00B46517">
        <w:rPr>
          <w:sz w:val="26"/>
          <w:szCs w:val="26"/>
        </w:rPr>
        <w:t>rates</w:t>
      </w:r>
      <w:r w:rsidR="00ED2366">
        <w:rPr>
          <w:sz w:val="26"/>
          <w:szCs w:val="26"/>
        </w:rPr>
        <w:t xml:space="preserve"> remain the same</w:t>
      </w:r>
      <w:r w:rsidR="00B46517" w:rsidRPr="00B46517">
        <w:rPr>
          <w:sz w:val="26"/>
          <w:szCs w:val="26"/>
        </w:rPr>
        <w:t xml:space="preserve"> for at least </w:t>
      </w:r>
      <w:r w:rsidR="00ED2366">
        <w:rPr>
          <w:sz w:val="26"/>
          <w:szCs w:val="26"/>
        </w:rPr>
        <w:t xml:space="preserve">another </w:t>
      </w:r>
      <w:r w:rsidR="00E9518A">
        <w:rPr>
          <w:sz w:val="26"/>
          <w:szCs w:val="26"/>
        </w:rPr>
        <w:t>eleven</w:t>
      </w:r>
      <w:r w:rsidR="00B46517" w:rsidRPr="00B46517">
        <w:rPr>
          <w:sz w:val="26"/>
          <w:szCs w:val="26"/>
        </w:rPr>
        <w:t xml:space="preserve"> years</w:t>
      </w:r>
      <w:r w:rsidR="0059793D">
        <w:rPr>
          <w:sz w:val="26"/>
          <w:szCs w:val="26"/>
        </w:rPr>
        <w:t xml:space="preserve"> or no</w:t>
      </w:r>
      <w:r w:rsidR="00FE79F4">
        <w:rPr>
          <w:sz w:val="26"/>
          <w:szCs w:val="26"/>
        </w:rPr>
        <w:t>t</w:t>
      </w:r>
      <w:r w:rsidR="0059793D">
        <w:rPr>
          <w:sz w:val="26"/>
          <w:szCs w:val="26"/>
        </w:rPr>
        <w:t xml:space="preserve"> </w:t>
      </w:r>
      <w:r w:rsidR="00FE79F4">
        <w:rPr>
          <w:sz w:val="26"/>
          <w:szCs w:val="26"/>
        </w:rPr>
        <w:t xml:space="preserve">be </w:t>
      </w:r>
      <w:r w:rsidR="0059793D">
        <w:rPr>
          <w:sz w:val="26"/>
          <w:szCs w:val="26"/>
        </w:rPr>
        <w:t>increase</w:t>
      </w:r>
      <w:r w:rsidR="00FE79F4">
        <w:rPr>
          <w:sz w:val="26"/>
          <w:szCs w:val="26"/>
        </w:rPr>
        <w:t>d at all</w:t>
      </w:r>
      <w:r w:rsidR="00B46517" w:rsidRPr="00B46517">
        <w:rPr>
          <w:sz w:val="26"/>
          <w:szCs w:val="26"/>
        </w:rPr>
        <w:t xml:space="preserve">.  </w:t>
      </w:r>
      <w:r w:rsidR="00ED2366">
        <w:rPr>
          <w:sz w:val="26"/>
          <w:szCs w:val="26"/>
        </w:rPr>
        <w:t>The ALJ noted that the Complainants were also opposed to the</w:t>
      </w:r>
      <w:r w:rsidR="00ED2366" w:rsidRPr="00B46517">
        <w:rPr>
          <w:sz w:val="26"/>
          <w:szCs w:val="26"/>
        </w:rPr>
        <w:t xml:space="preserve"> stay</w:t>
      </w:r>
      <w:r w:rsidR="00ED2366">
        <w:rPr>
          <w:sz w:val="26"/>
          <w:szCs w:val="26"/>
        </w:rPr>
        <w:t>-</w:t>
      </w:r>
      <w:r w:rsidR="00ED2366" w:rsidRPr="00B46517">
        <w:rPr>
          <w:sz w:val="26"/>
          <w:szCs w:val="26"/>
        </w:rPr>
        <w:t>out provision</w:t>
      </w:r>
      <w:r w:rsidR="00ED2366">
        <w:rPr>
          <w:sz w:val="26"/>
          <w:szCs w:val="26"/>
        </w:rPr>
        <w:t xml:space="preserve"> in the Settlement</w:t>
      </w:r>
      <w:r w:rsidR="00ED2366" w:rsidRPr="00B46517">
        <w:rPr>
          <w:sz w:val="26"/>
          <w:szCs w:val="26"/>
        </w:rPr>
        <w:t xml:space="preserve"> as being too short in duration.</w:t>
      </w:r>
      <w:r w:rsidR="0059793D">
        <w:rPr>
          <w:sz w:val="26"/>
          <w:szCs w:val="26"/>
        </w:rPr>
        <w:t xml:space="preserve">  </w:t>
      </w:r>
      <w:r w:rsidR="00546F7A">
        <w:rPr>
          <w:sz w:val="26"/>
          <w:szCs w:val="26"/>
        </w:rPr>
        <w:t>According to the ALJ, the</w:t>
      </w:r>
      <w:r w:rsidR="00AD7D5D">
        <w:rPr>
          <w:sz w:val="26"/>
          <w:szCs w:val="26"/>
        </w:rPr>
        <w:t xml:space="preserve"> Complainants </w:t>
      </w:r>
      <w:r w:rsidR="00AC2EBD">
        <w:rPr>
          <w:sz w:val="26"/>
          <w:szCs w:val="26"/>
        </w:rPr>
        <w:t xml:space="preserve">describe the 30.4% Settlement increase as </w:t>
      </w:r>
      <w:r w:rsidR="00B46517" w:rsidRPr="00B46517">
        <w:rPr>
          <w:sz w:val="26"/>
          <w:szCs w:val="26"/>
        </w:rPr>
        <w:t xml:space="preserve">“sticker shock” </w:t>
      </w:r>
      <w:r w:rsidR="00AD7D5D">
        <w:rPr>
          <w:sz w:val="26"/>
          <w:szCs w:val="26"/>
        </w:rPr>
        <w:t xml:space="preserve">as </w:t>
      </w:r>
      <w:r w:rsidR="00AC2EBD">
        <w:rPr>
          <w:sz w:val="26"/>
          <w:szCs w:val="26"/>
        </w:rPr>
        <w:t xml:space="preserve">their rates have been </w:t>
      </w:r>
      <w:r w:rsidR="00B46517" w:rsidRPr="00B46517">
        <w:rPr>
          <w:sz w:val="26"/>
          <w:szCs w:val="26"/>
        </w:rPr>
        <w:t xml:space="preserve">stable </w:t>
      </w:r>
      <w:r w:rsidR="00AC2EBD">
        <w:rPr>
          <w:sz w:val="26"/>
          <w:szCs w:val="26"/>
        </w:rPr>
        <w:t xml:space="preserve">for over eight years.  R.D. at 24.  </w:t>
      </w:r>
    </w:p>
    <w:p w:rsidR="00AC2EBD" w:rsidRDefault="00AC2EBD" w:rsidP="00B46517">
      <w:pPr>
        <w:rPr>
          <w:sz w:val="26"/>
          <w:szCs w:val="26"/>
        </w:rPr>
      </w:pPr>
    </w:p>
    <w:p w:rsidR="00EE7525" w:rsidRDefault="00AC2EBD" w:rsidP="00DD0315">
      <w:pPr>
        <w:rPr>
          <w:sz w:val="26"/>
          <w:szCs w:val="26"/>
        </w:rPr>
      </w:pPr>
      <w:r>
        <w:rPr>
          <w:sz w:val="26"/>
          <w:szCs w:val="26"/>
        </w:rPr>
        <w:tab/>
      </w:r>
      <w:r>
        <w:rPr>
          <w:sz w:val="26"/>
          <w:szCs w:val="26"/>
        </w:rPr>
        <w:tab/>
      </w:r>
      <w:r w:rsidR="002A2AD4">
        <w:rPr>
          <w:sz w:val="26"/>
          <w:szCs w:val="26"/>
        </w:rPr>
        <w:t>The ALJ reasoned</w:t>
      </w:r>
      <w:r>
        <w:rPr>
          <w:sz w:val="26"/>
          <w:szCs w:val="26"/>
        </w:rPr>
        <w:t xml:space="preserve"> </w:t>
      </w:r>
      <w:r w:rsidR="00EB1AE8">
        <w:rPr>
          <w:sz w:val="26"/>
          <w:szCs w:val="26"/>
        </w:rPr>
        <w:t xml:space="preserve">that </w:t>
      </w:r>
      <w:r>
        <w:rPr>
          <w:sz w:val="26"/>
          <w:szCs w:val="26"/>
        </w:rPr>
        <w:t xml:space="preserve">Reynolds could have averted this </w:t>
      </w:r>
      <w:r w:rsidR="008D78A0">
        <w:rPr>
          <w:sz w:val="26"/>
          <w:szCs w:val="26"/>
        </w:rPr>
        <w:t>rate</w:t>
      </w:r>
      <w:r>
        <w:rPr>
          <w:sz w:val="26"/>
          <w:szCs w:val="26"/>
        </w:rPr>
        <w:t xml:space="preserve"> shock if </w:t>
      </w:r>
      <w:r w:rsidR="00FE79F4">
        <w:rPr>
          <w:sz w:val="26"/>
          <w:szCs w:val="26"/>
        </w:rPr>
        <w:t xml:space="preserve">the Company </w:t>
      </w:r>
      <w:r>
        <w:rPr>
          <w:sz w:val="26"/>
          <w:szCs w:val="26"/>
        </w:rPr>
        <w:t>had sought incremental rate increase</w:t>
      </w:r>
      <w:r w:rsidR="00F422FB">
        <w:rPr>
          <w:sz w:val="26"/>
          <w:szCs w:val="26"/>
        </w:rPr>
        <w:t>s</w:t>
      </w:r>
      <w:r>
        <w:rPr>
          <w:sz w:val="26"/>
          <w:szCs w:val="26"/>
        </w:rPr>
        <w:t xml:space="preserve"> over the </w:t>
      </w:r>
      <w:r w:rsidR="008D78A0">
        <w:rPr>
          <w:sz w:val="26"/>
          <w:szCs w:val="26"/>
        </w:rPr>
        <w:t>years</w:t>
      </w:r>
      <w:r w:rsidR="00F422FB">
        <w:rPr>
          <w:sz w:val="26"/>
          <w:szCs w:val="26"/>
        </w:rPr>
        <w:t xml:space="preserve"> or not waited too long to request a rate increase</w:t>
      </w:r>
      <w:r>
        <w:rPr>
          <w:sz w:val="26"/>
          <w:szCs w:val="26"/>
        </w:rPr>
        <w:t xml:space="preserve">.  However, the ALJ also </w:t>
      </w:r>
      <w:r w:rsidR="008D78A0">
        <w:rPr>
          <w:sz w:val="26"/>
          <w:szCs w:val="26"/>
        </w:rPr>
        <w:t>pointed</w:t>
      </w:r>
      <w:r>
        <w:rPr>
          <w:sz w:val="26"/>
          <w:szCs w:val="26"/>
        </w:rPr>
        <w:t xml:space="preserve"> </w:t>
      </w:r>
      <w:r w:rsidR="00EB1AE8">
        <w:rPr>
          <w:sz w:val="26"/>
          <w:szCs w:val="26"/>
        </w:rPr>
        <w:t xml:space="preserve">out </w:t>
      </w:r>
      <w:r w:rsidR="00746930">
        <w:rPr>
          <w:sz w:val="26"/>
          <w:szCs w:val="26"/>
        </w:rPr>
        <w:t xml:space="preserve">that </w:t>
      </w:r>
      <w:r>
        <w:rPr>
          <w:sz w:val="26"/>
          <w:szCs w:val="26"/>
        </w:rPr>
        <w:t xml:space="preserve">it was hard </w:t>
      </w:r>
      <w:r w:rsidR="00F43406">
        <w:rPr>
          <w:sz w:val="26"/>
          <w:szCs w:val="26"/>
        </w:rPr>
        <w:t xml:space="preserve">to </w:t>
      </w:r>
      <w:r>
        <w:rPr>
          <w:sz w:val="26"/>
          <w:szCs w:val="26"/>
        </w:rPr>
        <w:t xml:space="preserve">tell how soon Reynolds should have requested the </w:t>
      </w:r>
      <w:r w:rsidR="00830475">
        <w:rPr>
          <w:sz w:val="26"/>
          <w:szCs w:val="26"/>
        </w:rPr>
        <w:t xml:space="preserve">incremental </w:t>
      </w:r>
      <w:r>
        <w:rPr>
          <w:sz w:val="26"/>
          <w:szCs w:val="26"/>
        </w:rPr>
        <w:t>increase</w:t>
      </w:r>
      <w:r w:rsidR="00830475">
        <w:rPr>
          <w:sz w:val="26"/>
          <w:szCs w:val="26"/>
        </w:rPr>
        <w:t>s</w:t>
      </w:r>
      <w:r>
        <w:rPr>
          <w:sz w:val="26"/>
          <w:szCs w:val="26"/>
        </w:rPr>
        <w:t xml:space="preserve">.  </w:t>
      </w:r>
      <w:r w:rsidR="006555CF" w:rsidRPr="00FC1C04">
        <w:rPr>
          <w:i/>
          <w:sz w:val="26"/>
          <w:szCs w:val="26"/>
        </w:rPr>
        <w:t>Id.</w:t>
      </w:r>
      <w:r w:rsidR="006555CF">
        <w:rPr>
          <w:sz w:val="26"/>
          <w:szCs w:val="26"/>
        </w:rPr>
        <w:t xml:space="preserve">  </w:t>
      </w:r>
      <w:r>
        <w:rPr>
          <w:sz w:val="26"/>
          <w:szCs w:val="26"/>
        </w:rPr>
        <w:t xml:space="preserve">Nevertheless, the ALJ </w:t>
      </w:r>
      <w:r w:rsidR="008D78A0">
        <w:rPr>
          <w:sz w:val="26"/>
          <w:szCs w:val="26"/>
        </w:rPr>
        <w:t>explained</w:t>
      </w:r>
      <w:r>
        <w:rPr>
          <w:sz w:val="26"/>
          <w:szCs w:val="26"/>
        </w:rPr>
        <w:t xml:space="preserve"> that </w:t>
      </w:r>
      <w:r w:rsidR="00FC1C04">
        <w:rPr>
          <w:sz w:val="26"/>
          <w:szCs w:val="26"/>
        </w:rPr>
        <w:t>the “phase-in” rates in the Settlement w</w:t>
      </w:r>
      <w:r w:rsidR="005B4A9A">
        <w:rPr>
          <w:sz w:val="26"/>
          <w:szCs w:val="26"/>
        </w:rPr>
        <w:t>ere</w:t>
      </w:r>
      <w:r w:rsidR="00FC1C04">
        <w:rPr>
          <w:sz w:val="26"/>
          <w:szCs w:val="26"/>
        </w:rPr>
        <w:t xml:space="preserve"> meant to specifically address the rate shock highlighted by the Complainant</w:t>
      </w:r>
      <w:r w:rsidR="00342D0B">
        <w:rPr>
          <w:sz w:val="26"/>
          <w:szCs w:val="26"/>
        </w:rPr>
        <w:t>s</w:t>
      </w:r>
      <w:r w:rsidR="00FC1C04">
        <w:rPr>
          <w:sz w:val="26"/>
          <w:szCs w:val="26"/>
        </w:rPr>
        <w:t>.</w:t>
      </w:r>
      <w:r w:rsidR="006555CF">
        <w:rPr>
          <w:sz w:val="26"/>
          <w:szCs w:val="26"/>
        </w:rPr>
        <w:t xml:space="preserve">  </w:t>
      </w:r>
      <w:r w:rsidR="00FC1C04">
        <w:rPr>
          <w:sz w:val="26"/>
          <w:szCs w:val="26"/>
        </w:rPr>
        <w:t xml:space="preserve">In addition, the ALJ noted that </w:t>
      </w:r>
      <w:r w:rsidR="00FE5508">
        <w:rPr>
          <w:sz w:val="26"/>
          <w:szCs w:val="26"/>
        </w:rPr>
        <w:t>not only would</w:t>
      </w:r>
      <w:r w:rsidR="00FC1C04">
        <w:rPr>
          <w:sz w:val="26"/>
          <w:szCs w:val="26"/>
        </w:rPr>
        <w:t xml:space="preserve"> the phase</w:t>
      </w:r>
      <w:r w:rsidR="00EB76C6">
        <w:rPr>
          <w:sz w:val="26"/>
          <w:szCs w:val="26"/>
        </w:rPr>
        <w:t>-</w:t>
      </w:r>
      <w:r w:rsidR="00FC1C04">
        <w:rPr>
          <w:sz w:val="26"/>
          <w:szCs w:val="26"/>
        </w:rPr>
        <w:t xml:space="preserve">in </w:t>
      </w:r>
      <w:r w:rsidR="00342D0B">
        <w:rPr>
          <w:sz w:val="26"/>
          <w:szCs w:val="26"/>
        </w:rPr>
        <w:t xml:space="preserve">rates </w:t>
      </w:r>
      <w:r w:rsidR="00EB76C6">
        <w:rPr>
          <w:sz w:val="26"/>
          <w:szCs w:val="26"/>
        </w:rPr>
        <w:t>reduce</w:t>
      </w:r>
      <w:r w:rsidR="00FC1C04">
        <w:rPr>
          <w:sz w:val="26"/>
          <w:szCs w:val="26"/>
        </w:rPr>
        <w:t xml:space="preserve"> the impact of the rate increase on Reynolds’ customers</w:t>
      </w:r>
      <w:r w:rsidR="00FE5508">
        <w:rPr>
          <w:sz w:val="26"/>
          <w:szCs w:val="26"/>
        </w:rPr>
        <w:t xml:space="preserve"> but that </w:t>
      </w:r>
      <w:r w:rsidR="00FC1C04">
        <w:rPr>
          <w:sz w:val="26"/>
          <w:szCs w:val="26"/>
        </w:rPr>
        <w:t>the stay-out p</w:t>
      </w:r>
      <w:r w:rsidR="00676A9A">
        <w:rPr>
          <w:sz w:val="26"/>
          <w:szCs w:val="26"/>
        </w:rPr>
        <w:t>rovision</w:t>
      </w:r>
      <w:r w:rsidR="00FC1C04">
        <w:rPr>
          <w:sz w:val="26"/>
          <w:szCs w:val="26"/>
        </w:rPr>
        <w:t xml:space="preserve"> would</w:t>
      </w:r>
      <w:r w:rsidR="008D78A0">
        <w:rPr>
          <w:sz w:val="26"/>
          <w:szCs w:val="26"/>
        </w:rPr>
        <w:t xml:space="preserve"> </w:t>
      </w:r>
      <w:r w:rsidR="00FC1C04">
        <w:rPr>
          <w:sz w:val="26"/>
          <w:szCs w:val="26"/>
        </w:rPr>
        <w:t xml:space="preserve">help provide a level of rate stability.  </w:t>
      </w:r>
      <w:r w:rsidR="00FC1C04" w:rsidRPr="00FC1C04">
        <w:rPr>
          <w:i/>
          <w:sz w:val="26"/>
          <w:szCs w:val="26"/>
        </w:rPr>
        <w:t>Id.</w:t>
      </w:r>
      <w:r w:rsidR="00EB76C6">
        <w:rPr>
          <w:sz w:val="26"/>
          <w:szCs w:val="26"/>
        </w:rPr>
        <w:t xml:space="preserve">  </w:t>
      </w:r>
    </w:p>
    <w:p w:rsidR="00EE7525" w:rsidRDefault="00EE7525" w:rsidP="00DD0315">
      <w:pPr>
        <w:rPr>
          <w:sz w:val="26"/>
          <w:szCs w:val="26"/>
        </w:rPr>
      </w:pPr>
    </w:p>
    <w:p w:rsidR="008E4225" w:rsidRDefault="00EE7525" w:rsidP="004D0E27">
      <w:pPr>
        <w:ind w:firstLine="1440"/>
        <w:rPr>
          <w:rFonts w:eastAsiaTheme="minorHAnsi" w:cstheme="minorBidi"/>
          <w:sz w:val="26"/>
          <w:szCs w:val="22"/>
        </w:rPr>
      </w:pPr>
      <w:r>
        <w:rPr>
          <w:sz w:val="26"/>
          <w:szCs w:val="26"/>
        </w:rPr>
        <w:t>Based on the above</w:t>
      </w:r>
      <w:r w:rsidR="00FC1C04">
        <w:rPr>
          <w:sz w:val="26"/>
          <w:szCs w:val="26"/>
        </w:rPr>
        <w:t xml:space="preserve">, the ALJ </w:t>
      </w:r>
      <w:r w:rsidR="00304420">
        <w:rPr>
          <w:sz w:val="26"/>
          <w:szCs w:val="26"/>
        </w:rPr>
        <w:t>recommended approval of</w:t>
      </w:r>
      <w:r w:rsidR="00FC1C04">
        <w:rPr>
          <w:sz w:val="26"/>
          <w:szCs w:val="26"/>
        </w:rPr>
        <w:t xml:space="preserve"> the </w:t>
      </w:r>
      <w:r w:rsidR="00EB76C6">
        <w:rPr>
          <w:sz w:val="26"/>
          <w:szCs w:val="26"/>
        </w:rPr>
        <w:t xml:space="preserve">Settlement </w:t>
      </w:r>
      <w:r w:rsidR="00304420">
        <w:rPr>
          <w:sz w:val="26"/>
          <w:szCs w:val="26"/>
        </w:rPr>
        <w:t xml:space="preserve">because it </w:t>
      </w:r>
      <w:r w:rsidR="00EB76C6">
        <w:rPr>
          <w:sz w:val="26"/>
          <w:szCs w:val="26"/>
        </w:rPr>
        <w:t>addresse</w:t>
      </w:r>
      <w:r>
        <w:rPr>
          <w:sz w:val="26"/>
          <w:szCs w:val="26"/>
        </w:rPr>
        <w:t>d</w:t>
      </w:r>
      <w:r w:rsidR="00EB76C6">
        <w:rPr>
          <w:sz w:val="26"/>
          <w:szCs w:val="26"/>
        </w:rPr>
        <w:t xml:space="preserve"> the </w:t>
      </w:r>
      <w:r w:rsidR="00FC1C04">
        <w:rPr>
          <w:sz w:val="26"/>
          <w:szCs w:val="26"/>
        </w:rPr>
        <w:t xml:space="preserve">concerns of the Complainants </w:t>
      </w:r>
      <w:r w:rsidR="00A33D5A">
        <w:rPr>
          <w:sz w:val="26"/>
          <w:szCs w:val="26"/>
        </w:rPr>
        <w:t>and</w:t>
      </w:r>
      <w:r w:rsidR="00FC1C04">
        <w:rPr>
          <w:sz w:val="26"/>
          <w:szCs w:val="26"/>
        </w:rPr>
        <w:t xml:space="preserve"> </w:t>
      </w:r>
      <w:r w:rsidR="00342D0B">
        <w:rPr>
          <w:sz w:val="26"/>
          <w:szCs w:val="26"/>
        </w:rPr>
        <w:t>giv</w:t>
      </w:r>
      <w:r w:rsidR="00A33D5A">
        <w:rPr>
          <w:sz w:val="26"/>
          <w:szCs w:val="26"/>
        </w:rPr>
        <w:t>es</w:t>
      </w:r>
      <w:r w:rsidR="00342D0B">
        <w:rPr>
          <w:sz w:val="26"/>
          <w:szCs w:val="26"/>
        </w:rPr>
        <w:t xml:space="preserve"> </w:t>
      </w:r>
      <w:r w:rsidR="00EB76C6">
        <w:rPr>
          <w:sz w:val="26"/>
          <w:szCs w:val="26"/>
        </w:rPr>
        <w:t>Reynolds</w:t>
      </w:r>
      <w:r w:rsidR="00342D0B">
        <w:rPr>
          <w:sz w:val="26"/>
          <w:szCs w:val="26"/>
        </w:rPr>
        <w:t xml:space="preserve"> the </w:t>
      </w:r>
      <w:r w:rsidR="00EB76C6">
        <w:rPr>
          <w:sz w:val="26"/>
          <w:szCs w:val="26"/>
        </w:rPr>
        <w:t xml:space="preserve">ability to </w:t>
      </w:r>
      <w:r w:rsidR="00342D0B">
        <w:rPr>
          <w:sz w:val="26"/>
          <w:szCs w:val="26"/>
        </w:rPr>
        <w:t>re</w:t>
      </w:r>
      <w:r w:rsidR="00EB76C6">
        <w:rPr>
          <w:sz w:val="26"/>
          <w:szCs w:val="26"/>
        </w:rPr>
        <w:t xml:space="preserve">cover the cost of </w:t>
      </w:r>
      <w:r w:rsidR="00A33D5A">
        <w:rPr>
          <w:sz w:val="26"/>
          <w:szCs w:val="26"/>
        </w:rPr>
        <w:t xml:space="preserve">providing </w:t>
      </w:r>
      <w:r w:rsidR="00EB76C6">
        <w:rPr>
          <w:sz w:val="26"/>
          <w:szCs w:val="26"/>
        </w:rPr>
        <w:t>water ser</w:t>
      </w:r>
      <w:r>
        <w:rPr>
          <w:sz w:val="26"/>
          <w:szCs w:val="26"/>
        </w:rPr>
        <w:t xml:space="preserve">vice </w:t>
      </w:r>
      <w:r w:rsidR="00A33D5A">
        <w:rPr>
          <w:sz w:val="26"/>
          <w:szCs w:val="26"/>
        </w:rPr>
        <w:t>to</w:t>
      </w:r>
      <w:r>
        <w:rPr>
          <w:sz w:val="26"/>
          <w:szCs w:val="26"/>
        </w:rPr>
        <w:t xml:space="preserve"> its customers.  </w:t>
      </w:r>
      <w:r w:rsidRPr="00FC1C04">
        <w:rPr>
          <w:i/>
          <w:sz w:val="26"/>
          <w:szCs w:val="26"/>
        </w:rPr>
        <w:t>Id.</w:t>
      </w:r>
    </w:p>
    <w:p w:rsidR="008E4225" w:rsidRDefault="008E4225" w:rsidP="00DD0315">
      <w:pPr>
        <w:rPr>
          <w:rFonts w:eastAsiaTheme="minorHAnsi" w:cstheme="minorBidi"/>
          <w:sz w:val="26"/>
          <w:szCs w:val="22"/>
        </w:rPr>
      </w:pPr>
    </w:p>
    <w:p w:rsidR="00A44992" w:rsidRDefault="00931D44" w:rsidP="00BA4EB5">
      <w:pPr>
        <w:keepNext/>
        <w:keepLines/>
        <w:rPr>
          <w:rFonts w:eastAsiaTheme="minorHAnsi"/>
          <w:b/>
          <w:sz w:val="26"/>
          <w:szCs w:val="26"/>
        </w:rPr>
      </w:pPr>
      <w:bookmarkStart w:id="13" w:name="_Toc471747999"/>
      <w:bookmarkStart w:id="14" w:name="_Toc471748137"/>
      <w:r>
        <w:rPr>
          <w:rFonts w:eastAsiaTheme="minorHAnsi"/>
          <w:b/>
          <w:sz w:val="26"/>
          <w:szCs w:val="26"/>
        </w:rPr>
        <w:lastRenderedPageBreak/>
        <w:t>F</w:t>
      </w:r>
      <w:r w:rsidR="00A44992" w:rsidRPr="00C64E70">
        <w:rPr>
          <w:rFonts w:eastAsiaTheme="minorHAnsi"/>
          <w:b/>
          <w:sz w:val="26"/>
          <w:szCs w:val="26"/>
        </w:rPr>
        <w:t>.</w:t>
      </w:r>
      <w:r w:rsidR="00A44992" w:rsidRPr="00C64E70">
        <w:rPr>
          <w:rFonts w:eastAsiaTheme="minorHAnsi"/>
          <w:b/>
          <w:sz w:val="26"/>
          <w:szCs w:val="26"/>
        </w:rPr>
        <w:tab/>
      </w:r>
      <w:r w:rsidR="0045062E" w:rsidRPr="00C64E70">
        <w:rPr>
          <w:rFonts w:eastAsiaTheme="minorHAnsi"/>
          <w:b/>
          <w:sz w:val="26"/>
          <w:szCs w:val="26"/>
        </w:rPr>
        <w:t>Exceptions and Replies</w:t>
      </w:r>
      <w:bookmarkEnd w:id="13"/>
      <w:bookmarkEnd w:id="14"/>
    </w:p>
    <w:p w:rsidR="008E4225" w:rsidRPr="00C64E70" w:rsidRDefault="008E4225" w:rsidP="00BA4EB5">
      <w:pPr>
        <w:keepNext/>
        <w:keepLines/>
        <w:rPr>
          <w:rFonts w:eastAsiaTheme="minorHAnsi"/>
          <w:b/>
          <w:sz w:val="26"/>
          <w:szCs w:val="26"/>
        </w:rPr>
      </w:pPr>
    </w:p>
    <w:p w:rsidR="009D6CD2" w:rsidRDefault="00A44992" w:rsidP="00A44992">
      <w:pPr>
        <w:rPr>
          <w:rFonts w:eastAsiaTheme="minorHAnsi" w:cstheme="minorBidi"/>
          <w:sz w:val="26"/>
          <w:szCs w:val="22"/>
        </w:rPr>
      </w:pPr>
      <w:r w:rsidRPr="000E3F46">
        <w:rPr>
          <w:rFonts w:eastAsiaTheme="minorHAnsi" w:cstheme="minorBidi"/>
          <w:sz w:val="26"/>
          <w:szCs w:val="22"/>
        </w:rPr>
        <w:tab/>
      </w:r>
      <w:r w:rsidRPr="000E3F46">
        <w:rPr>
          <w:rFonts w:eastAsiaTheme="minorHAnsi" w:cstheme="minorBidi"/>
          <w:sz w:val="26"/>
          <w:szCs w:val="22"/>
        </w:rPr>
        <w:tab/>
      </w:r>
      <w:r w:rsidR="00595AD2">
        <w:rPr>
          <w:rFonts w:eastAsiaTheme="minorHAnsi" w:cstheme="minorBidi"/>
          <w:sz w:val="26"/>
          <w:szCs w:val="22"/>
        </w:rPr>
        <w:t>T</w:t>
      </w:r>
      <w:r w:rsidR="00586097">
        <w:rPr>
          <w:rFonts w:eastAsiaTheme="minorHAnsi" w:cstheme="minorBidi"/>
          <w:sz w:val="26"/>
          <w:szCs w:val="22"/>
        </w:rPr>
        <w:t xml:space="preserve">he Complainants’ Exceptions </w:t>
      </w:r>
      <w:r w:rsidR="00A33628">
        <w:rPr>
          <w:rFonts w:eastAsiaTheme="minorHAnsi" w:cstheme="minorBidi"/>
          <w:sz w:val="26"/>
          <w:szCs w:val="22"/>
        </w:rPr>
        <w:t xml:space="preserve">are </w:t>
      </w:r>
      <w:r w:rsidR="00723833">
        <w:rPr>
          <w:rFonts w:eastAsiaTheme="minorHAnsi" w:cstheme="minorBidi"/>
          <w:sz w:val="26"/>
          <w:szCs w:val="22"/>
        </w:rPr>
        <w:t xml:space="preserve">filed </w:t>
      </w:r>
      <w:r w:rsidR="00A33628">
        <w:rPr>
          <w:rFonts w:eastAsiaTheme="minorHAnsi" w:cstheme="minorBidi"/>
          <w:sz w:val="26"/>
          <w:szCs w:val="22"/>
        </w:rPr>
        <w:t xml:space="preserve">in a </w:t>
      </w:r>
      <w:r w:rsidR="00595AD2">
        <w:rPr>
          <w:rFonts w:eastAsiaTheme="minorHAnsi" w:cstheme="minorBidi"/>
          <w:sz w:val="26"/>
          <w:szCs w:val="22"/>
        </w:rPr>
        <w:t xml:space="preserve">similar </w:t>
      </w:r>
      <w:r w:rsidR="00A33628">
        <w:rPr>
          <w:rFonts w:eastAsiaTheme="minorHAnsi" w:cstheme="minorBidi"/>
          <w:sz w:val="26"/>
          <w:szCs w:val="22"/>
        </w:rPr>
        <w:t>form</w:t>
      </w:r>
      <w:r w:rsidR="00A40D00">
        <w:rPr>
          <w:rFonts w:eastAsiaTheme="minorHAnsi" w:cstheme="minorBidi"/>
          <w:sz w:val="26"/>
          <w:szCs w:val="22"/>
        </w:rPr>
        <w:t>-letter</w:t>
      </w:r>
      <w:r w:rsidR="00A33628">
        <w:rPr>
          <w:rFonts w:eastAsiaTheme="minorHAnsi" w:cstheme="minorBidi"/>
          <w:sz w:val="26"/>
          <w:szCs w:val="22"/>
        </w:rPr>
        <w:t xml:space="preserve"> format</w:t>
      </w:r>
      <w:r w:rsidR="00595AD2">
        <w:rPr>
          <w:rFonts w:eastAsiaTheme="minorHAnsi" w:cstheme="minorBidi"/>
          <w:sz w:val="26"/>
          <w:szCs w:val="22"/>
        </w:rPr>
        <w:t xml:space="preserve"> as the Settlement Objections</w:t>
      </w:r>
      <w:r w:rsidR="00586097">
        <w:rPr>
          <w:rFonts w:eastAsiaTheme="minorHAnsi" w:cstheme="minorBidi"/>
          <w:sz w:val="26"/>
          <w:szCs w:val="22"/>
        </w:rPr>
        <w:t>.</w:t>
      </w:r>
      <w:r w:rsidR="00520722">
        <w:rPr>
          <w:rStyle w:val="FootnoteReference"/>
          <w:rFonts w:eastAsiaTheme="minorHAnsi" w:cstheme="minorBidi"/>
          <w:sz w:val="26"/>
          <w:szCs w:val="22"/>
        </w:rPr>
        <w:footnoteReference w:id="17"/>
      </w:r>
      <w:r w:rsidR="00586097">
        <w:rPr>
          <w:rFonts w:eastAsiaTheme="minorHAnsi" w:cstheme="minorBidi"/>
          <w:sz w:val="26"/>
          <w:szCs w:val="22"/>
        </w:rPr>
        <w:t xml:space="preserve">  </w:t>
      </w:r>
      <w:r w:rsidR="00275CF2">
        <w:rPr>
          <w:rFonts w:eastAsiaTheme="minorHAnsi" w:cstheme="minorBidi"/>
          <w:sz w:val="26"/>
          <w:szCs w:val="22"/>
        </w:rPr>
        <w:t>Also</w:t>
      </w:r>
      <w:r w:rsidR="00520722">
        <w:rPr>
          <w:rFonts w:eastAsiaTheme="minorHAnsi" w:cstheme="minorBidi"/>
          <w:sz w:val="26"/>
          <w:szCs w:val="22"/>
        </w:rPr>
        <w:t xml:space="preserve">, </w:t>
      </w:r>
      <w:r w:rsidR="00A40D00">
        <w:rPr>
          <w:rFonts w:eastAsiaTheme="minorHAnsi" w:cstheme="minorBidi"/>
          <w:sz w:val="26"/>
          <w:szCs w:val="22"/>
        </w:rPr>
        <w:t>like</w:t>
      </w:r>
      <w:r w:rsidR="00520722">
        <w:rPr>
          <w:rFonts w:eastAsiaTheme="minorHAnsi" w:cstheme="minorBidi"/>
          <w:sz w:val="26"/>
          <w:szCs w:val="22"/>
        </w:rPr>
        <w:t xml:space="preserve"> the Settlement Objections</w:t>
      </w:r>
      <w:r w:rsidRPr="000E3F46">
        <w:rPr>
          <w:rFonts w:eastAsiaTheme="minorHAnsi" w:cstheme="minorBidi"/>
          <w:sz w:val="26"/>
          <w:szCs w:val="22"/>
        </w:rPr>
        <w:t>, th</w:t>
      </w:r>
      <w:r w:rsidR="00CE3970">
        <w:rPr>
          <w:rFonts w:eastAsiaTheme="minorHAnsi" w:cstheme="minorBidi"/>
          <w:sz w:val="26"/>
          <w:szCs w:val="22"/>
        </w:rPr>
        <w:t>e Complainants</w:t>
      </w:r>
      <w:r w:rsidR="00FF2891">
        <w:rPr>
          <w:rFonts w:eastAsiaTheme="minorHAnsi" w:cstheme="minorBidi"/>
          <w:sz w:val="26"/>
          <w:szCs w:val="22"/>
        </w:rPr>
        <w:t xml:space="preserve"> </w:t>
      </w:r>
      <w:r w:rsidR="009D6CD2">
        <w:rPr>
          <w:rFonts w:eastAsiaTheme="minorHAnsi" w:cstheme="minorBidi"/>
          <w:sz w:val="26"/>
          <w:szCs w:val="22"/>
        </w:rPr>
        <w:t>oppose the rate increase</w:t>
      </w:r>
      <w:r w:rsidR="00AA7221">
        <w:rPr>
          <w:rFonts w:eastAsiaTheme="minorHAnsi" w:cstheme="minorBidi"/>
          <w:sz w:val="26"/>
          <w:szCs w:val="22"/>
        </w:rPr>
        <w:t xml:space="preserve"> and </w:t>
      </w:r>
      <w:r w:rsidR="00073F9E">
        <w:rPr>
          <w:rFonts w:eastAsiaTheme="minorHAnsi" w:cstheme="minorBidi"/>
          <w:sz w:val="26"/>
          <w:szCs w:val="22"/>
        </w:rPr>
        <w:t xml:space="preserve">almost all the terms of </w:t>
      </w:r>
      <w:r w:rsidR="00AA7221">
        <w:rPr>
          <w:rFonts w:eastAsiaTheme="minorHAnsi" w:cstheme="minorBidi"/>
          <w:sz w:val="26"/>
          <w:szCs w:val="22"/>
        </w:rPr>
        <w:t>the Settlement</w:t>
      </w:r>
      <w:r w:rsidR="004A0109">
        <w:rPr>
          <w:rFonts w:eastAsiaTheme="minorHAnsi" w:cstheme="minorBidi"/>
          <w:sz w:val="26"/>
          <w:szCs w:val="22"/>
        </w:rPr>
        <w:t xml:space="preserve"> </w:t>
      </w:r>
      <w:r w:rsidR="00437E46">
        <w:rPr>
          <w:rFonts w:eastAsiaTheme="minorHAnsi" w:cstheme="minorBidi"/>
          <w:sz w:val="26"/>
          <w:szCs w:val="22"/>
        </w:rPr>
        <w:t xml:space="preserve">because they claim </w:t>
      </w:r>
      <w:r w:rsidR="004A0109">
        <w:rPr>
          <w:rFonts w:eastAsiaTheme="minorHAnsi" w:cstheme="minorBidi"/>
          <w:sz w:val="26"/>
          <w:szCs w:val="22"/>
        </w:rPr>
        <w:t>the Settlement does not represent a fair and reasonable resolution to the issues</w:t>
      </w:r>
      <w:r w:rsidR="00A5639B">
        <w:rPr>
          <w:rFonts w:eastAsiaTheme="minorHAnsi" w:cstheme="minorBidi"/>
          <w:sz w:val="26"/>
          <w:szCs w:val="22"/>
        </w:rPr>
        <w:t xml:space="preserve"> in this case</w:t>
      </w:r>
      <w:r w:rsidR="00520722">
        <w:rPr>
          <w:rFonts w:eastAsiaTheme="minorHAnsi" w:cstheme="minorBidi"/>
          <w:sz w:val="26"/>
          <w:szCs w:val="22"/>
        </w:rPr>
        <w:t xml:space="preserve">.  </w:t>
      </w:r>
      <w:r w:rsidR="004A0109">
        <w:rPr>
          <w:rFonts w:eastAsiaTheme="minorHAnsi" w:cstheme="minorBidi"/>
          <w:sz w:val="26"/>
          <w:szCs w:val="22"/>
        </w:rPr>
        <w:t xml:space="preserve">Complainants’ Exc. at 1, 5.  </w:t>
      </w:r>
      <w:r w:rsidR="00B66642">
        <w:rPr>
          <w:rFonts w:eastAsiaTheme="minorHAnsi" w:cstheme="minorBidi"/>
          <w:sz w:val="26"/>
          <w:szCs w:val="22"/>
        </w:rPr>
        <w:t xml:space="preserve">The Complainants </w:t>
      </w:r>
      <w:r w:rsidR="00871D64">
        <w:rPr>
          <w:rFonts w:eastAsiaTheme="minorHAnsi" w:cstheme="minorBidi"/>
          <w:sz w:val="26"/>
          <w:szCs w:val="22"/>
        </w:rPr>
        <w:t>submit that the 15.4% difference between the Company’s originally</w:t>
      </w:r>
      <w:r w:rsidR="008133F5">
        <w:rPr>
          <w:rFonts w:eastAsiaTheme="minorHAnsi" w:cstheme="minorBidi"/>
          <w:sz w:val="26"/>
          <w:szCs w:val="22"/>
        </w:rPr>
        <w:t>-</w:t>
      </w:r>
      <w:r w:rsidR="00871D64">
        <w:rPr>
          <w:rFonts w:eastAsiaTheme="minorHAnsi" w:cstheme="minorBidi"/>
          <w:sz w:val="26"/>
          <w:szCs w:val="22"/>
        </w:rPr>
        <w:t xml:space="preserve">proposed </w:t>
      </w:r>
      <w:r w:rsidR="000B1C67">
        <w:rPr>
          <w:rFonts w:eastAsiaTheme="minorHAnsi" w:cstheme="minorBidi"/>
          <w:sz w:val="26"/>
          <w:szCs w:val="22"/>
        </w:rPr>
        <w:t xml:space="preserve">revenue increase of 45.4% and the proposed increase under the Settlement of 30.4% </w:t>
      </w:r>
      <w:r w:rsidR="007A3D7A">
        <w:rPr>
          <w:rFonts w:eastAsiaTheme="minorHAnsi" w:cstheme="minorBidi"/>
          <w:sz w:val="26"/>
          <w:szCs w:val="22"/>
        </w:rPr>
        <w:t>is unacceptable</w:t>
      </w:r>
      <w:r w:rsidR="000B1C67">
        <w:rPr>
          <w:rFonts w:eastAsiaTheme="minorHAnsi" w:cstheme="minorBidi"/>
          <w:sz w:val="26"/>
          <w:szCs w:val="22"/>
        </w:rPr>
        <w:t>.</w:t>
      </w:r>
      <w:r w:rsidR="007A3D7A">
        <w:rPr>
          <w:rFonts w:eastAsiaTheme="minorHAnsi" w:cstheme="minorBidi"/>
          <w:sz w:val="26"/>
          <w:szCs w:val="22"/>
        </w:rPr>
        <w:t xml:space="preserve">  </w:t>
      </w:r>
      <w:r w:rsidR="004A0109" w:rsidRPr="00073F9E">
        <w:rPr>
          <w:rFonts w:eastAsiaTheme="minorHAnsi" w:cstheme="minorBidi"/>
          <w:i/>
          <w:sz w:val="26"/>
          <w:szCs w:val="22"/>
        </w:rPr>
        <w:t>Id.</w:t>
      </w:r>
      <w:r w:rsidR="004A0109">
        <w:rPr>
          <w:rFonts w:eastAsiaTheme="minorHAnsi" w:cstheme="minorBidi"/>
          <w:sz w:val="26"/>
          <w:szCs w:val="22"/>
        </w:rPr>
        <w:t xml:space="preserve"> </w:t>
      </w:r>
      <w:r w:rsidR="007A3D7A">
        <w:rPr>
          <w:rFonts w:eastAsiaTheme="minorHAnsi" w:cstheme="minorBidi"/>
          <w:sz w:val="26"/>
          <w:szCs w:val="22"/>
        </w:rPr>
        <w:t>at</w:t>
      </w:r>
      <w:r w:rsidR="00A87AE6">
        <w:rPr>
          <w:rFonts w:eastAsiaTheme="minorHAnsi" w:cstheme="minorBidi"/>
          <w:sz w:val="26"/>
          <w:szCs w:val="22"/>
        </w:rPr>
        <w:t> </w:t>
      </w:r>
      <w:r w:rsidR="007A3D7A">
        <w:rPr>
          <w:rFonts w:eastAsiaTheme="minorHAnsi" w:cstheme="minorBidi"/>
          <w:sz w:val="26"/>
          <w:szCs w:val="22"/>
        </w:rPr>
        <w:t xml:space="preserve">1.  </w:t>
      </w:r>
      <w:r w:rsidR="000115B1">
        <w:rPr>
          <w:rFonts w:eastAsiaTheme="minorHAnsi" w:cstheme="minorBidi"/>
          <w:sz w:val="26"/>
          <w:szCs w:val="22"/>
        </w:rPr>
        <w:t xml:space="preserve">The Complainants </w:t>
      </w:r>
      <w:r w:rsidR="005E0E39">
        <w:rPr>
          <w:rFonts w:eastAsiaTheme="minorHAnsi" w:cstheme="minorBidi"/>
          <w:sz w:val="26"/>
          <w:szCs w:val="22"/>
        </w:rPr>
        <w:t>reiterate their argument that the</w:t>
      </w:r>
      <w:r w:rsidR="00DC1D0A">
        <w:rPr>
          <w:rFonts w:eastAsiaTheme="minorHAnsi" w:cstheme="minorBidi"/>
          <w:sz w:val="26"/>
          <w:szCs w:val="22"/>
        </w:rPr>
        <w:t xml:space="preserve">y disagree with the </w:t>
      </w:r>
      <w:r w:rsidR="005E0E39">
        <w:rPr>
          <w:rFonts w:eastAsiaTheme="minorHAnsi" w:cstheme="minorBidi"/>
          <w:sz w:val="26"/>
          <w:szCs w:val="22"/>
        </w:rPr>
        <w:t xml:space="preserve">two-year </w:t>
      </w:r>
      <w:r w:rsidR="00DC1D0A">
        <w:rPr>
          <w:rFonts w:eastAsiaTheme="minorHAnsi" w:cstheme="minorBidi"/>
          <w:sz w:val="26"/>
          <w:szCs w:val="22"/>
        </w:rPr>
        <w:t>stay-out under the terms of the Settlement and that an eleven-year stay-out will give the customers time “to let the present Pennvest</w:t>
      </w:r>
      <w:r w:rsidR="00490E40">
        <w:rPr>
          <w:rFonts w:eastAsiaTheme="minorHAnsi" w:cstheme="minorBidi"/>
          <w:sz w:val="26"/>
          <w:szCs w:val="22"/>
        </w:rPr>
        <w:t xml:space="preserve"> to expire and not add to it.”  </w:t>
      </w:r>
      <w:r w:rsidR="000115B1" w:rsidRPr="00073F9E">
        <w:rPr>
          <w:rFonts w:eastAsiaTheme="minorHAnsi" w:cstheme="minorBidi"/>
          <w:i/>
          <w:sz w:val="26"/>
          <w:szCs w:val="22"/>
        </w:rPr>
        <w:t>Id.</w:t>
      </w:r>
      <w:r w:rsidR="000115B1">
        <w:rPr>
          <w:rFonts w:eastAsiaTheme="minorHAnsi" w:cstheme="minorBidi"/>
          <w:sz w:val="26"/>
          <w:szCs w:val="22"/>
        </w:rPr>
        <w:t xml:space="preserve"> at 3</w:t>
      </w:r>
      <w:r w:rsidR="00317D3F">
        <w:rPr>
          <w:rFonts w:eastAsiaTheme="minorHAnsi" w:cstheme="minorBidi"/>
          <w:sz w:val="26"/>
          <w:szCs w:val="22"/>
        </w:rPr>
        <w:t xml:space="preserve">, </w:t>
      </w:r>
      <w:r w:rsidR="007B54BC">
        <w:rPr>
          <w:rFonts w:eastAsiaTheme="minorHAnsi" w:cstheme="minorBidi"/>
          <w:sz w:val="26"/>
          <w:szCs w:val="22"/>
        </w:rPr>
        <w:t>5</w:t>
      </w:r>
      <w:r w:rsidR="000115B1">
        <w:rPr>
          <w:rFonts w:eastAsiaTheme="minorHAnsi" w:cstheme="minorBidi"/>
          <w:sz w:val="26"/>
          <w:szCs w:val="22"/>
        </w:rPr>
        <w:t xml:space="preserve">.  The Complainants assert </w:t>
      </w:r>
      <w:r w:rsidR="008B33D9">
        <w:rPr>
          <w:rFonts w:eastAsiaTheme="minorHAnsi" w:cstheme="minorBidi"/>
          <w:sz w:val="26"/>
          <w:szCs w:val="22"/>
        </w:rPr>
        <w:t xml:space="preserve">PENNVEST </w:t>
      </w:r>
      <w:r w:rsidR="000115B1">
        <w:rPr>
          <w:rFonts w:eastAsiaTheme="minorHAnsi" w:cstheme="minorBidi"/>
          <w:sz w:val="26"/>
          <w:szCs w:val="22"/>
        </w:rPr>
        <w:t xml:space="preserve">is a finance company owned by Reynolds and request that Reynolds be audited spanning the past seven years.  </w:t>
      </w:r>
      <w:r w:rsidR="00A5639B">
        <w:rPr>
          <w:rFonts w:eastAsiaTheme="minorHAnsi" w:cstheme="minorBidi"/>
          <w:sz w:val="26"/>
          <w:szCs w:val="22"/>
        </w:rPr>
        <w:t xml:space="preserve">The Complainants </w:t>
      </w:r>
      <w:r w:rsidR="00D139F8">
        <w:rPr>
          <w:rFonts w:eastAsiaTheme="minorHAnsi" w:cstheme="minorBidi"/>
          <w:sz w:val="26"/>
          <w:szCs w:val="22"/>
        </w:rPr>
        <w:t xml:space="preserve">also </w:t>
      </w:r>
      <w:r w:rsidR="00A5639B">
        <w:rPr>
          <w:rFonts w:eastAsiaTheme="minorHAnsi" w:cstheme="minorBidi"/>
          <w:sz w:val="26"/>
          <w:szCs w:val="22"/>
        </w:rPr>
        <w:t xml:space="preserve">disagree with Reynolds’ negative rate of return claim and questions the Shenango River project </w:t>
      </w:r>
      <w:r w:rsidR="004F06BA">
        <w:rPr>
          <w:rFonts w:eastAsiaTheme="minorHAnsi" w:cstheme="minorBidi"/>
          <w:sz w:val="26"/>
          <w:szCs w:val="22"/>
        </w:rPr>
        <w:t xml:space="preserve">agreed to in the Settlement.  </w:t>
      </w:r>
      <w:r w:rsidR="00F710D9" w:rsidRPr="00D46AE6">
        <w:rPr>
          <w:rFonts w:eastAsiaTheme="minorHAnsi" w:cstheme="minorBidi"/>
          <w:sz w:val="26"/>
          <w:szCs w:val="22"/>
        </w:rPr>
        <w:t xml:space="preserve">The </w:t>
      </w:r>
      <w:r w:rsidR="004F06BA">
        <w:rPr>
          <w:rFonts w:eastAsiaTheme="minorHAnsi" w:cstheme="minorBidi"/>
          <w:sz w:val="26"/>
          <w:szCs w:val="22"/>
        </w:rPr>
        <w:t xml:space="preserve">Complainants </w:t>
      </w:r>
      <w:r w:rsidR="00A40D00">
        <w:rPr>
          <w:rFonts w:eastAsiaTheme="minorHAnsi" w:cstheme="minorBidi"/>
          <w:sz w:val="26"/>
          <w:szCs w:val="22"/>
        </w:rPr>
        <w:t>contend</w:t>
      </w:r>
      <w:r w:rsidR="004F06BA">
        <w:rPr>
          <w:rFonts w:eastAsiaTheme="minorHAnsi" w:cstheme="minorBidi"/>
          <w:sz w:val="26"/>
          <w:szCs w:val="22"/>
        </w:rPr>
        <w:t xml:space="preserve"> the </w:t>
      </w:r>
      <w:r w:rsidR="00D139F8">
        <w:rPr>
          <w:rFonts w:eastAsiaTheme="minorHAnsi" w:cstheme="minorBidi"/>
          <w:sz w:val="26"/>
          <w:szCs w:val="22"/>
        </w:rPr>
        <w:t xml:space="preserve">Shenango River </w:t>
      </w:r>
      <w:r w:rsidR="004F06BA">
        <w:rPr>
          <w:rFonts w:eastAsiaTheme="minorHAnsi" w:cstheme="minorBidi"/>
          <w:sz w:val="26"/>
          <w:szCs w:val="22"/>
        </w:rPr>
        <w:t xml:space="preserve">project </w:t>
      </w:r>
      <w:r w:rsidR="00A40D00">
        <w:rPr>
          <w:rFonts w:eastAsiaTheme="minorHAnsi" w:cstheme="minorBidi"/>
          <w:sz w:val="26"/>
          <w:szCs w:val="22"/>
        </w:rPr>
        <w:t>will be beneficial to the industrial park in the area rather than</w:t>
      </w:r>
      <w:r w:rsidR="00717035">
        <w:rPr>
          <w:rFonts w:eastAsiaTheme="minorHAnsi" w:cstheme="minorBidi"/>
          <w:sz w:val="26"/>
          <w:szCs w:val="22"/>
        </w:rPr>
        <w:t xml:space="preserve"> the community.  </w:t>
      </w:r>
      <w:r w:rsidR="00717035" w:rsidRPr="00073F9E">
        <w:rPr>
          <w:rFonts w:eastAsiaTheme="minorHAnsi" w:cstheme="minorBidi"/>
          <w:i/>
          <w:sz w:val="26"/>
          <w:szCs w:val="22"/>
        </w:rPr>
        <w:t>Id.</w:t>
      </w:r>
      <w:r w:rsidR="00717035">
        <w:rPr>
          <w:rFonts w:eastAsiaTheme="minorHAnsi" w:cstheme="minorBidi"/>
          <w:sz w:val="26"/>
          <w:szCs w:val="22"/>
        </w:rPr>
        <w:t xml:space="preserve"> at 4.  </w:t>
      </w:r>
      <w:r w:rsidR="00D139F8">
        <w:rPr>
          <w:rFonts w:eastAsiaTheme="minorHAnsi" w:cstheme="minorBidi"/>
          <w:sz w:val="26"/>
          <w:szCs w:val="22"/>
        </w:rPr>
        <w:t>In conclusion, th</w:t>
      </w:r>
      <w:r w:rsidR="00717035">
        <w:rPr>
          <w:rFonts w:eastAsiaTheme="minorHAnsi" w:cstheme="minorBidi"/>
          <w:sz w:val="26"/>
          <w:szCs w:val="22"/>
        </w:rPr>
        <w:t xml:space="preserve">e Complainants </w:t>
      </w:r>
      <w:r w:rsidR="00D139F8">
        <w:rPr>
          <w:rFonts w:eastAsiaTheme="minorHAnsi" w:cstheme="minorBidi"/>
          <w:sz w:val="26"/>
          <w:szCs w:val="22"/>
        </w:rPr>
        <w:t xml:space="preserve">submit that they </w:t>
      </w:r>
      <w:r w:rsidR="00717035">
        <w:rPr>
          <w:rFonts w:eastAsiaTheme="minorHAnsi" w:cstheme="minorBidi"/>
          <w:sz w:val="26"/>
          <w:szCs w:val="22"/>
        </w:rPr>
        <w:t>d</w:t>
      </w:r>
      <w:r w:rsidR="00380809">
        <w:rPr>
          <w:rFonts w:eastAsiaTheme="minorHAnsi" w:cstheme="minorBidi"/>
          <w:sz w:val="26"/>
          <w:szCs w:val="22"/>
        </w:rPr>
        <w:t xml:space="preserve">isagree </w:t>
      </w:r>
      <w:r w:rsidR="000C2395">
        <w:rPr>
          <w:rFonts w:eastAsiaTheme="minorHAnsi" w:cstheme="minorBidi"/>
          <w:sz w:val="26"/>
          <w:szCs w:val="22"/>
        </w:rPr>
        <w:t xml:space="preserve">with the Settlement, and that this </w:t>
      </w:r>
      <w:r w:rsidR="00717035">
        <w:rPr>
          <w:rFonts w:eastAsiaTheme="minorHAnsi" w:cstheme="minorBidi"/>
          <w:sz w:val="26"/>
          <w:szCs w:val="22"/>
        </w:rPr>
        <w:t xml:space="preserve">proceeding </w:t>
      </w:r>
      <w:r w:rsidR="000C2395">
        <w:rPr>
          <w:rFonts w:eastAsiaTheme="minorHAnsi" w:cstheme="minorBidi"/>
          <w:sz w:val="26"/>
          <w:szCs w:val="22"/>
        </w:rPr>
        <w:t xml:space="preserve">should not </w:t>
      </w:r>
      <w:r w:rsidR="00717035">
        <w:rPr>
          <w:rFonts w:eastAsiaTheme="minorHAnsi" w:cstheme="minorBidi"/>
          <w:sz w:val="26"/>
          <w:szCs w:val="22"/>
        </w:rPr>
        <w:t xml:space="preserve">be settled without formal litigation.  </w:t>
      </w:r>
      <w:r w:rsidR="00717035" w:rsidRPr="00073F9E">
        <w:rPr>
          <w:rFonts w:eastAsiaTheme="minorHAnsi" w:cstheme="minorBidi"/>
          <w:i/>
          <w:sz w:val="26"/>
          <w:szCs w:val="22"/>
        </w:rPr>
        <w:t>Id.</w:t>
      </w:r>
      <w:r w:rsidR="00717035">
        <w:rPr>
          <w:rFonts w:eastAsiaTheme="minorHAnsi" w:cstheme="minorBidi"/>
          <w:sz w:val="26"/>
          <w:szCs w:val="22"/>
        </w:rPr>
        <w:t xml:space="preserve"> at 2.</w:t>
      </w:r>
    </w:p>
    <w:p w:rsidR="00275CF2" w:rsidRDefault="00275CF2" w:rsidP="00A44992">
      <w:pPr>
        <w:rPr>
          <w:rFonts w:eastAsiaTheme="minorHAnsi" w:cstheme="minorBidi"/>
          <w:sz w:val="26"/>
          <w:szCs w:val="22"/>
        </w:rPr>
      </w:pPr>
    </w:p>
    <w:p w:rsidR="00FE21C5" w:rsidRDefault="00275CF2" w:rsidP="00A44992">
      <w:pPr>
        <w:rPr>
          <w:sz w:val="26"/>
          <w:szCs w:val="26"/>
        </w:rPr>
      </w:pPr>
      <w:r>
        <w:rPr>
          <w:rFonts w:eastAsiaTheme="minorHAnsi" w:cstheme="minorBidi"/>
          <w:sz w:val="26"/>
          <w:szCs w:val="22"/>
        </w:rPr>
        <w:tab/>
      </w:r>
      <w:r>
        <w:rPr>
          <w:rFonts w:eastAsiaTheme="minorHAnsi" w:cstheme="minorBidi"/>
          <w:sz w:val="26"/>
          <w:szCs w:val="22"/>
        </w:rPr>
        <w:tab/>
        <w:t>In Reply, Reynolds</w:t>
      </w:r>
      <w:r w:rsidR="00F125E3">
        <w:rPr>
          <w:rFonts w:eastAsiaTheme="minorHAnsi" w:cstheme="minorBidi"/>
          <w:sz w:val="26"/>
          <w:szCs w:val="22"/>
        </w:rPr>
        <w:t xml:space="preserve"> reiterate</w:t>
      </w:r>
      <w:r w:rsidR="008B33D9">
        <w:rPr>
          <w:rFonts w:eastAsiaTheme="minorHAnsi" w:cstheme="minorBidi"/>
          <w:sz w:val="26"/>
          <w:szCs w:val="22"/>
        </w:rPr>
        <w:t>s</w:t>
      </w:r>
      <w:r w:rsidR="00F125E3">
        <w:rPr>
          <w:rFonts w:eastAsiaTheme="minorHAnsi" w:cstheme="minorBidi"/>
          <w:sz w:val="26"/>
          <w:szCs w:val="22"/>
        </w:rPr>
        <w:t xml:space="preserve"> its argument that the Settlement is the result of a Commission-approved mediation.  Reynolds emphasize</w:t>
      </w:r>
      <w:r w:rsidR="008B33D9">
        <w:rPr>
          <w:rFonts w:eastAsiaTheme="minorHAnsi" w:cstheme="minorBidi"/>
          <w:sz w:val="26"/>
          <w:szCs w:val="22"/>
        </w:rPr>
        <w:t>s</w:t>
      </w:r>
      <w:r w:rsidR="00F125E3">
        <w:rPr>
          <w:rFonts w:eastAsiaTheme="minorHAnsi" w:cstheme="minorBidi"/>
          <w:sz w:val="26"/>
          <w:szCs w:val="22"/>
        </w:rPr>
        <w:t xml:space="preserve"> that Ordering </w:t>
      </w:r>
      <w:r w:rsidR="009E40A5">
        <w:rPr>
          <w:rFonts w:eastAsiaTheme="minorHAnsi" w:cstheme="minorBidi"/>
          <w:sz w:val="26"/>
          <w:szCs w:val="22"/>
        </w:rPr>
        <w:t>P</w:t>
      </w:r>
      <w:r w:rsidR="00F125E3">
        <w:rPr>
          <w:rFonts w:eastAsiaTheme="minorHAnsi" w:cstheme="minorBidi"/>
          <w:sz w:val="26"/>
          <w:szCs w:val="22"/>
        </w:rPr>
        <w:t xml:space="preserve">aragraph No. 5 of the </w:t>
      </w:r>
      <w:r w:rsidR="00F125E3" w:rsidRPr="00F125E3">
        <w:rPr>
          <w:i/>
          <w:sz w:val="26"/>
          <w:szCs w:val="26"/>
        </w:rPr>
        <w:t>December 2017 Order</w:t>
      </w:r>
      <w:r w:rsidR="00F125E3">
        <w:rPr>
          <w:i/>
          <w:sz w:val="26"/>
          <w:szCs w:val="26"/>
        </w:rPr>
        <w:t xml:space="preserve"> </w:t>
      </w:r>
      <w:r w:rsidR="00F125E3">
        <w:rPr>
          <w:sz w:val="26"/>
          <w:szCs w:val="26"/>
        </w:rPr>
        <w:t xml:space="preserve">specifically encouraged mediation and referred the </w:t>
      </w:r>
      <w:r w:rsidR="00F125E3">
        <w:rPr>
          <w:sz w:val="26"/>
          <w:szCs w:val="26"/>
        </w:rPr>
        <w:lastRenderedPageBreak/>
        <w:t>instant filing for Alternative Dispute Resolution, if possible.</w:t>
      </w:r>
      <w:r w:rsidR="00C027AE">
        <w:rPr>
          <w:rStyle w:val="FootnoteReference"/>
          <w:sz w:val="26"/>
          <w:szCs w:val="26"/>
        </w:rPr>
        <w:footnoteReference w:id="18"/>
      </w:r>
      <w:r w:rsidR="00F125E3">
        <w:rPr>
          <w:sz w:val="26"/>
          <w:szCs w:val="26"/>
        </w:rPr>
        <w:t xml:space="preserve">  Reynolds R. Exc. at 3.  Reynolds contend</w:t>
      </w:r>
      <w:r w:rsidR="00DB2D6D">
        <w:rPr>
          <w:sz w:val="26"/>
          <w:szCs w:val="26"/>
        </w:rPr>
        <w:t xml:space="preserve">s </w:t>
      </w:r>
      <w:r w:rsidR="00A3517D">
        <w:rPr>
          <w:sz w:val="26"/>
          <w:szCs w:val="26"/>
        </w:rPr>
        <w:t xml:space="preserve">that </w:t>
      </w:r>
      <w:r w:rsidR="00F125E3">
        <w:rPr>
          <w:sz w:val="26"/>
          <w:szCs w:val="26"/>
        </w:rPr>
        <w:t>contrary to the Complainants’ argument</w:t>
      </w:r>
      <w:r w:rsidR="007724B5">
        <w:rPr>
          <w:sz w:val="26"/>
          <w:szCs w:val="26"/>
        </w:rPr>
        <w:t>,</w:t>
      </w:r>
      <w:r w:rsidR="00F125E3">
        <w:rPr>
          <w:sz w:val="26"/>
          <w:szCs w:val="26"/>
        </w:rPr>
        <w:t xml:space="preserve"> the</w:t>
      </w:r>
      <w:r w:rsidR="00DB2D6D">
        <w:rPr>
          <w:sz w:val="26"/>
          <w:szCs w:val="26"/>
        </w:rPr>
        <w:t xml:space="preserve"> rate increase is unavoidable </w:t>
      </w:r>
      <w:r w:rsidR="00FE21C5">
        <w:rPr>
          <w:sz w:val="26"/>
          <w:szCs w:val="26"/>
        </w:rPr>
        <w:t>because</w:t>
      </w:r>
      <w:r w:rsidR="00437579">
        <w:rPr>
          <w:sz w:val="26"/>
          <w:szCs w:val="26"/>
        </w:rPr>
        <w:t xml:space="preserve"> the Company </w:t>
      </w:r>
      <w:r w:rsidR="00FE21C5">
        <w:rPr>
          <w:sz w:val="26"/>
          <w:szCs w:val="26"/>
        </w:rPr>
        <w:t xml:space="preserve">has kept its current rates since 2010 and </w:t>
      </w:r>
      <w:r w:rsidR="00DB2D6D">
        <w:rPr>
          <w:sz w:val="26"/>
          <w:szCs w:val="26"/>
        </w:rPr>
        <w:t xml:space="preserve">is </w:t>
      </w:r>
      <w:r w:rsidR="00FE21C5">
        <w:rPr>
          <w:sz w:val="26"/>
          <w:szCs w:val="26"/>
        </w:rPr>
        <w:t>now</w:t>
      </w:r>
      <w:r w:rsidR="00DB2D6D">
        <w:rPr>
          <w:sz w:val="26"/>
          <w:szCs w:val="26"/>
        </w:rPr>
        <w:t xml:space="preserve"> experiencing a net operating loss and a negative return.  </w:t>
      </w:r>
      <w:r w:rsidR="009728BD" w:rsidRPr="009728BD">
        <w:rPr>
          <w:i/>
          <w:sz w:val="26"/>
          <w:szCs w:val="26"/>
        </w:rPr>
        <w:t>Id.</w:t>
      </w:r>
      <w:r w:rsidR="009728BD">
        <w:rPr>
          <w:sz w:val="26"/>
          <w:szCs w:val="26"/>
        </w:rPr>
        <w:t xml:space="preserve"> at 3-4.</w:t>
      </w:r>
      <w:r w:rsidR="00AE2ED2">
        <w:rPr>
          <w:sz w:val="26"/>
          <w:szCs w:val="26"/>
        </w:rPr>
        <w:t xml:space="preserve">  Disputing</w:t>
      </w:r>
      <w:r w:rsidR="00FE21C5">
        <w:rPr>
          <w:sz w:val="26"/>
          <w:szCs w:val="26"/>
        </w:rPr>
        <w:t xml:space="preserve"> all </w:t>
      </w:r>
      <w:r w:rsidR="00AE2ED2">
        <w:rPr>
          <w:sz w:val="26"/>
          <w:szCs w:val="26"/>
        </w:rPr>
        <w:t xml:space="preserve">the allegations in the Complainants’ Exceptions, Reynolds </w:t>
      </w:r>
      <w:r w:rsidR="009E40A5">
        <w:rPr>
          <w:sz w:val="26"/>
          <w:szCs w:val="26"/>
        </w:rPr>
        <w:t xml:space="preserve">submits </w:t>
      </w:r>
      <w:r w:rsidR="00AE2ED2">
        <w:rPr>
          <w:sz w:val="26"/>
          <w:szCs w:val="26"/>
        </w:rPr>
        <w:t xml:space="preserve">that the Settlement increase is just and reasonable </w:t>
      </w:r>
      <w:r w:rsidR="00FE21C5">
        <w:rPr>
          <w:sz w:val="26"/>
          <w:szCs w:val="26"/>
        </w:rPr>
        <w:t xml:space="preserve">and is supported by </w:t>
      </w:r>
      <w:r w:rsidR="00380809">
        <w:rPr>
          <w:sz w:val="26"/>
          <w:szCs w:val="26"/>
        </w:rPr>
        <w:t xml:space="preserve">the </w:t>
      </w:r>
      <w:r w:rsidR="00FE21C5">
        <w:rPr>
          <w:sz w:val="26"/>
          <w:szCs w:val="26"/>
        </w:rPr>
        <w:t xml:space="preserve">financial information submitted by the Company.  </w:t>
      </w:r>
      <w:r w:rsidR="00FE21C5" w:rsidRPr="009728BD">
        <w:rPr>
          <w:i/>
          <w:sz w:val="26"/>
          <w:szCs w:val="26"/>
        </w:rPr>
        <w:t>Id.</w:t>
      </w:r>
      <w:r w:rsidR="00FE21C5">
        <w:rPr>
          <w:sz w:val="26"/>
          <w:szCs w:val="26"/>
        </w:rPr>
        <w:t xml:space="preserve"> at 5-8.  </w:t>
      </w:r>
    </w:p>
    <w:p w:rsidR="00FE21C5" w:rsidRDefault="00FE21C5" w:rsidP="00A44992">
      <w:pPr>
        <w:rPr>
          <w:sz w:val="26"/>
          <w:szCs w:val="26"/>
        </w:rPr>
      </w:pPr>
    </w:p>
    <w:p w:rsidR="00BF7BF9" w:rsidRDefault="00380809" w:rsidP="00903E29">
      <w:pPr>
        <w:ind w:firstLine="1440"/>
        <w:rPr>
          <w:sz w:val="26"/>
          <w:szCs w:val="26"/>
        </w:rPr>
      </w:pPr>
      <w:r>
        <w:rPr>
          <w:sz w:val="26"/>
          <w:szCs w:val="26"/>
        </w:rPr>
        <w:t xml:space="preserve">In response </w:t>
      </w:r>
      <w:r w:rsidR="00FE21C5">
        <w:rPr>
          <w:sz w:val="26"/>
          <w:szCs w:val="26"/>
        </w:rPr>
        <w:t>to the Complainants’ Exceptions regarding the Shenango River project, Reynolds explains that the project</w:t>
      </w:r>
      <w:r w:rsidR="00BF7BF9">
        <w:rPr>
          <w:sz w:val="26"/>
          <w:szCs w:val="26"/>
        </w:rPr>
        <w:t>, which</w:t>
      </w:r>
      <w:r w:rsidR="00FE21C5">
        <w:rPr>
          <w:sz w:val="26"/>
          <w:szCs w:val="26"/>
        </w:rPr>
        <w:t xml:space="preserve"> involves a 500 f</w:t>
      </w:r>
      <w:r w:rsidR="00A73C48">
        <w:rPr>
          <w:sz w:val="26"/>
          <w:szCs w:val="26"/>
        </w:rPr>
        <w:t>oot</w:t>
      </w:r>
      <w:r w:rsidR="00FE21C5">
        <w:rPr>
          <w:sz w:val="26"/>
          <w:szCs w:val="26"/>
        </w:rPr>
        <w:t xml:space="preserve"> 8-inch water main</w:t>
      </w:r>
      <w:r w:rsidR="00832AF1">
        <w:rPr>
          <w:sz w:val="26"/>
          <w:szCs w:val="26"/>
        </w:rPr>
        <w:t>,</w:t>
      </w:r>
      <w:r w:rsidR="00724653">
        <w:rPr>
          <w:sz w:val="26"/>
          <w:szCs w:val="26"/>
        </w:rPr>
        <w:t xml:space="preserve"> is a necessary project</w:t>
      </w:r>
      <w:r w:rsidR="00BF7BF9">
        <w:rPr>
          <w:sz w:val="26"/>
          <w:szCs w:val="26"/>
        </w:rPr>
        <w:t xml:space="preserve">.  According to Reynolds, </w:t>
      </w:r>
      <w:r w:rsidR="00724653">
        <w:rPr>
          <w:sz w:val="26"/>
          <w:szCs w:val="26"/>
        </w:rPr>
        <w:t>the</w:t>
      </w:r>
      <w:r w:rsidR="00FE21C5">
        <w:rPr>
          <w:sz w:val="26"/>
          <w:szCs w:val="26"/>
        </w:rPr>
        <w:t xml:space="preserve"> OCA has conducted an on-site visit to </w:t>
      </w:r>
      <w:r w:rsidR="00724653">
        <w:rPr>
          <w:sz w:val="26"/>
          <w:szCs w:val="26"/>
        </w:rPr>
        <w:t>review the Company’s current and proposed water system facilities and related operation</w:t>
      </w:r>
      <w:r w:rsidR="00BF7BF9">
        <w:rPr>
          <w:sz w:val="26"/>
          <w:szCs w:val="26"/>
        </w:rPr>
        <w:t>s</w:t>
      </w:r>
      <w:r w:rsidR="00724653">
        <w:rPr>
          <w:sz w:val="26"/>
          <w:szCs w:val="26"/>
        </w:rPr>
        <w:t xml:space="preserve">.  Reynolds argues </w:t>
      </w:r>
      <w:r w:rsidR="00A73C48">
        <w:rPr>
          <w:sz w:val="26"/>
          <w:szCs w:val="26"/>
        </w:rPr>
        <w:t xml:space="preserve">that </w:t>
      </w:r>
      <w:r w:rsidR="00724653">
        <w:rPr>
          <w:sz w:val="26"/>
          <w:szCs w:val="26"/>
        </w:rPr>
        <w:t xml:space="preserve">the project and its related costs are just and reasonable as outlined in the Settlement.  </w:t>
      </w:r>
      <w:r w:rsidR="00724653" w:rsidRPr="009728BD">
        <w:rPr>
          <w:i/>
          <w:sz w:val="26"/>
          <w:szCs w:val="26"/>
        </w:rPr>
        <w:t>Id.</w:t>
      </w:r>
      <w:r w:rsidR="00724653">
        <w:rPr>
          <w:sz w:val="26"/>
          <w:szCs w:val="26"/>
        </w:rPr>
        <w:t xml:space="preserve"> at 8-9.  </w:t>
      </w:r>
      <w:r w:rsidR="00FE21C5">
        <w:rPr>
          <w:sz w:val="26"/>
          <w:szCs w:val="26"/>
        </w:rPr>
        <w:t xml:space="preserve">Reynolds </w:t>
      </w:r>
      <w:r w:rsidR="00BF7BF9">
        <w:rPr>
          <w:sz w:val="26"/>
          <w:szCs w:val="26"/>
        </w:rPr>
        <w:t>concludes</w:t>
      </w:r>
      <w:r w:rsidR="00FE21C5">
        <w:rPr>
          <w:sz w:val="26"/>
          <w:szCs w:val="26"/>
        </w:rPr>
        <w:t xml:space="preserve"> </w:t>
      </w:r>
      <w:r w:rsidR="00F43406">
        <w:rPr>
          <w:sz w:val="26"/>
          <w:szCs w:val="26"/>
        </w:rPr>
        <w:t xml:space="preserve">that </w:t>
      </w:r>
      <w:r w:rsidR="00FE21C5">
        <w:rPr>
          <w:sz w:val="26"/>
          <w:szCs w:val="26"/>
        </w:rPr>
        <w:t>the Settlement</w:t>
      </w:r>
      <w:r w:rsidR="00832AF1">
        <w:rPr>
          <w:sz w:val="26"/>
          <w:szCs w:val="26"/>
        </w:rPr>
        <w:t>, which</w:t>
      </w:r>
      <w:r w:rsidR="00FE21C5">
        <w:rPr>
          <w:sz w:val="26"/>
          <w:szCs w:val="26"/>
        </w:rPr>
        <w:t xml:space="preserve"> was reached through the diligent efforts of the Joint Petitioners</w:t>
      </w:r>
      <w:r w:rsidR="007724B5">
        <w:rPr>
          <w:sz w:val="26"/>
          <w:szCs w:val="26"/>
        </w:rPr>
        <w:t xml:space="preserve">, </w:t>
      </w:r>
      <w:r w:rsidR="00BF7BF9">
        <w:rPr>
          <w:sz w:val="26"/>
          <w:szCs w:val="26"/>
        </w:rPr>
        <w:t>is in the public interest</w:t>
      </w:r>
      <w:r w:rsidR="00AB3FC0">
        <w:rPr>
          <w:sz w:val="26"/>
          <w:szCs w:val="26"/>
        </w:rPr>
        <w:t>,</w:t>
      </w:r>
      <w:r w:rsidR="007724B5">
        <w:rPr>
          <w:sz w:val="26"/>
          <w:szCs w:val="26"/>
        </w:rPr>
        <w:t xml:space="preserve"> and should be approved by the Commission</w:t>
      </w:r>
      <w:r w:rsidR="00FE21C5">
        <w:rPr>
          <w:sz w:val="26"/>
          <w:szCs w:val="26"/>
        </w:rPr>
        <w:t>.</w:t>
      </w:r>
      <w:r w:rsidR="00BF7BF9">
        <w:rPr>
          <w:sz w:val="26"/>
          <w:szCs w:val="26"/>
        </w:rPr>
        <w:t xml:space="preserve">  </w:t>
      </w:r>
      <w:r w:rsidR="00BF7BF9" w:rsidRPr="009728BD">
        <w:rPr>
          <w:i/>
          <w:sz w:val="26"/>
          <w:szCs w:val="26"/>
        </w:rPr>
        <w:t>Id.</w:t>
      </w:r>
      <w:r w:rsidR="00BF7BF9">
        <w:rPr>
          <w:sz w:val="26"/>
          <w:szCs w:val="26"/>
        </w:rPr>
        <w:t xml:space="preserve"> at 3-4, 9-11.  </w:t>
      </w:r>
    </w:p>
    <w:p w:rsidR="00275CF2" w:rsidRPr="00F125E3" w:rsidRDefault="00275CF2" w:rsidP="00FE21C5">
      <w:pPr>
        <w:ind w:firstLine="1440"/>
        <w:rPr>
          <w:rFonts w:eastAsiaTheme="minorHAnsi" w:cstheme="minorBidi"/>
          <w:sz w:val="26"/>
          <w:szCs w:val="22"/>
        </w:rPr>
      </w:pPr>
    </w:p>
    <w:p w:rsidR="009D6CD2" w:rsidRDefault="00725526" w:rsidP="00A44992">
      <w:pPr>
        <w:rPr>
          <w:rFonts w:eastAsiaTheme="minorHAnsi" w:cstheme="minorBidi"/>
          <w:sz w:val="26"/>
          <w:szCs w:val="22"/>
        </w:rPr>
      </w:pPr>
      <w:r>
        <w:rPr>
          <w:rFonts w:eastAsiaTheme="minorHAnsi" w:cstheme="minorBidi"/>
          <w:sz w:val="26"/>
          <w:szCs w:val="22"/>
        </w:rPr>
        <w:tab/>
      </w:r>
      <w:r>
        <w:rPr>
          <w:rFonts w:eastAsiaTheme="minorHAnsi" w:cstheme="minorBidi"/>
          <w:sz w:val="26"/>
          <w:szCs w:val="22"/>
        </w:rPr>
        <w:tab/>
      </w:r>
      <w:r w:rsidR="006E5B83">
        <w:rPr>
          <w:rFonts w:eastAsiaTheme="minorHAnsi" w:cstheme="minorBidi"/>
          <w:sz w:val="26"/>
          <w:szCs w:val="22"/>
        </w:rPr>
        <w:t xml:space="preserve">In its Replies to the Complainants’ Exceptions, </w:t>
      </w:r>
      <w:r w:rsidR="00437579">
        <w:rPr>
          <w:rFonts w:eastAsiaTheme="minorHAnsi" w:cstheme="minorBidi"/>
          <w:sz w:val="26"/>
          <w:szCs w:val="22"/>
        </w:rPr>
        <w:t xml:space="preserve">I&amp;E </w:t>
      </w:r>
      <w:r w:rsidR="003B230D">
        <w:rPr>
          <w:rFonts w:eastAsiaTheme="minorHAnsi" w:cstheme="minorBidi"/>
          <w:sz w:val="26"/>
          <w:szCs w:val="22"/>
        </w:rPr>
        <w:t>avers</w:t>
      </w:r>
      <w:r w:rsidR="006E5B83">
        <w:rPr>
          <w:rFonts w:eastAsiaTheme="minorHAnsi" w:cstheme="minorBidi"/>
          <w:sz w:val="26"/>
          <w:szCs w:val="22"/>
        </w:rPr>
        <w:t xml:space="preserve"> that</w:t>
      </w:r>
      <w:r>
        <w:rPr>
          <w:rFonts w:eastAsiaTheme="minorHAnsi" w:cstheme="minorBidi"/>
          <w:sz w:val="26"/>
          <w:szCs w:val="22"/>
        </w:rPr>
        <w:t xml:space="preserve"> the Settlement, as modified by the ALJ, is in the public interest and represents a fair, just and reasonable balance of the interests of Reynolds’ customers.  </w:t>
      </w:r>
      <w:r w:rsidR="00FB4C81">
        <w:rPr>
          <w:rFonts w:eastAsiaTheme="minorHAnsi" w:cstheme="minorBidi"/>
          <w:sz w:val="26"/>
          <w:szCs w:val="22"/>
        </w:rPr>
        <w:t xml:space="preserve">I&amp;E R. Exc. at 4.  </w:t>
      </w:r>
      <w:r>
        <w:rPr>
          <w:rFonts w:eastAsiaTheme="minorHAnsi" w:cstheme="minorBidi"/>
          <w:sz w:val="26"/>
          <w:szCs w:val="22"/>
        </w:rPr>
        <w:t xml:space="preserve">I&amp;E </w:t>
      </w:r>
      <w:r w:rsidR="00741A3A">
        <w:rPr>
          <w:rFonts w:eastAsiaTheme="minorHAnsi" w:cstheme="minorBidi"/>
          <w:sz w:val="26"/>
          <w:szCs w:val="22"/>
        </w:rPr>
        <w:t xml:space="preserve">submits that </w:t>
      </w:r>
      <w:r>
        <w:rPr>
          <w:rFonts w:eastAsiaTheme="minorHAnsi" w:cstheme="minorBidi"/>
          <w:sz w:val="26"/>
          <w:szCs w:val="22"/>
        </w:rPr>
        <w:t>it agreed to the Settlement</w:t>
      </w:r>
      <w:r w:rsidR="00DB2B86">
        <w:rPr>
          <w:rFonts w:eastAsiaTheme="minorHAnsi" w:cstheme="minorBidi"/>
          <w:sz w:val="26"/>
          <w:szCs w:val="22"/>
        </w:rPr>
        <w:t xml:space="preserve"> after </w:t>
      </w:r>
      <w:r w:rsidR="00FB4C81">
        <w:rPr>
          <w:rFonts w:eastAsiaTheme="minorHAnsi" w:cstheme="minorBidi"/>
          <w:sz w:val="26"/>
          <w:szCs w:val="22"/>
        </w:rPr>
        <w:t xml:space="preserve">several mediation sessions and </w:t>
      </w:r>
      <w:r>
        <w:rPr>
          <w:rFonts w:eastAsiaTheme="minorHAnsi" w:cstheme="minorBidi"/>
          <w:sz w:val="26"/>
          <w:szCs w:val="22"/>
        </w:rPr>
        <w:t>after extensive discovery</w:t>
      </w:r>
      <w:r w:rsidR="008B33D9">
        <w:rPr>
          <w:rFonts w:eastAsiaTheme="minorHAnsi" w:cstheme="minorBidi"/>
          <w:sz w:val="26"/>
          <w:szCs w:val="22"/>
        </w:rPr>
        <w:t>,</w:t>
      </w:r>
      <w:r>
        <w:rPr>
          <w:rFonts w:eastAsiaTheme="minorHAnsi" w:cstheme="minorBidi"/>
          <w:sz w:val="26"/>
          <w:szCs w:val="22"/>
        </w:rPr>
        <w:t xml:space="preserve"> including a review of responses to numerous data requests and interrogatories.  </w:t>
      </w:r>
      <w:r w:rsidR="00DF0117">
        <w:rPr>
          <w:rFonts w:eastAsiaTheme="minorHAnsi" w:cstheme="minorBidi"/>
          <w:sz w:val="26"/>
          <w:szCs w:val="22"/>
        </w:rPr>
        <w:t>F</w:t>
      </w:r>
      <w:r w:rsidR="00182A10">
        <w:rPr>
          <w:rFonts w:eastAsiaTheme="minorHAnsi" w:cstheme="minorBidi"/>
          <w:sz w:val="26"/>
          <w:szCs w:val="22"/>
        </w:rPr>
        <w:t>ro</w:t>
      </w:r>
      <w:r w:rsidR="00DF0117">
        <w:rPr>
          <w:rFonts w:eastAsiaTheme="minorHAnsi" w:cstheme="minorBidi"/>
          <w:sz w:val="26"/>
          <w:szCs w:val="22"/>
        </w:rPr>
        <w:t>m I&amp;E’s perspective, the revenue requirement in the Settlement</w:t>
      </w:r>
      <w:r w:rsidR="00DC7A54">
        <w:rPr>
          <w:rFonts w:eastAsiaTheme="minorHAnsi" w:cstheme="minorBidi"/>
          <w:sz w:val="26"/>
          <w:szCs w:val="22"/>
        </w:rPr>
        <w:t>,</w:t>
      </w:r>
      <w:r w:rsidR="00DF0117">
        <w:rPr>
          <w:rFonts w:eastAsiaTheme="minorHAnsi" w:cstheme="minorBidi"/>
          <w:sz w:val="26"/>
          <w:szCs w:val="22"/>
        </w:rPr>
        <w:t xml:space="preserve"> which reduces Reynolds’ original request of $236,829 by $78,2</w:t>
      </w:r>
      <w:r w:rsidR="00182A10">
        <w:rPr>
          <w:rFonts w:eastAsiaTheme="minorHAnsi" w:cstheme="minorBidi"/>
          <w:sz w:val="26"/>
          <w:szCs w:val="22"/>
        </w:rPr>
        <w:t xml:space="preserve">29 or 33.0%, allows the </w:t>
      </w:r>
      <w:r w:rsidR="00182A10">
        <w:rPr>
          <w:rFonts w:eastAsiaTheme="minorHAnsi" w:cstheme="minorBidi"/>
          <w:sz w:val="26"/>
          <w:szCs w:val="22"/>
        </w:rPr>
        <w:lastRenderedPageBreak/>
        <w:t xml:space="preserve">Company to provide safe, effective and reliable service without overly impacting customers through higher rates.  </w:t>
      </w:r>
      <w:r w:rsidR="00182A10" w:rsidRPr="00182A10">
        <w:rPr>
          <w:rFonts w:eastAsiaTheme="minorHAnsi" w:cstheme="minorBidi"/>
          <w:i/>
          <w:sz w:val="26"/>
          <w:szCs w:val="22"/>
        </w:rPr>
        <w:t>Id.</w:t>
      </w:r>
      <w:r w:rsidR="00182A10">
        <w:rPr>
          <w:rFonts w:eastAsiaTheme="minorHAnsi" w:cstheme="minorBidi"/>
          <w:sz w:val="26"/>
          <w:szCs w:val="22"/>
        </w:rPr>
        <w:t xml:space="preserve"> </w:t>
      </w:r>
      <w:r w:rsidR="00DF0117">
        <w:rPr>
          <w:rFonts w:eastAsiaTheme="minorHAnsi" w:cstheme="minorBidi"/>
          <w:sz w:val="26"/>
          <w:szCs w:val="22"/>
        </w:rPr>
        <w:t xml:space="preserve"> </w:t>
      </w:r>
      <w:r w:rsidR="00E36318">
        <w:rPr>
          <w:rFonts w:eastAsiaTheme="minorHAnsi" w:cstheme="minorBidi"/>
          <w:sz w:val="26"/>
          <w:szCs w:val="22"/>
        </w:rPr>
        <w:t xml:space="preserve">In addition, I&amp;E </w:t>
      </w:r>
      <w:r w:rsidR="00741A3A">
        <w:rPr>
          <w:rFonts w:eastAsiaTheme="minorHAnsi" w:cstheme="minorBidi"/>
          <w:sz w:val="26"/>
          <w:szCs w:val="22"/>
        </w:rPr>
        <w:t>references s</w:t>
      </w:r>
      <w:r w:rsidR="002E7CC1">
        <w:rPr>
          <w:rFonts w:eastAsiaTheme="minorHAnsi" w:cstheme="minorBidi"/>
          <w:sz w:val="26"/>
          <w:szCs w:val="22"/>
        </w:rPr>
        <w:t xml:space="preserve">everal </w:t>
      </w:r>
      <w:r w:rsidR="004D6DED">
        <w:rPr>
          <w:rFonts w:eastAsiaTheme="minorHAnsi" w:cstheme="minorBidi"/>
          <w:sz w:val="26"/>
          <w:szCs w:val="22"/>
        </w:rPr>
        <w:t xml:space="preserve">other </w:t>
      </w:r>
      <w:r w:rsidR="00741A3A">
        <w:rPr>
          <w:rFonts w:eastAsiaTheme="minorHAnsi" w:cstheme="minorBidi"/>
          <w:sz w:val="26"/>
          <w:szCs w:val="22"/>
        </w:rPr>
        <w:t xml:space="preserve">beneficial </w:t>
      </w:r>
      <w:r w:rsidR="004D6DED">
        <w:rPr>
          <w:rFonts w:eastAsiaTheme="minorHAnsi" w:cstheme="minorBidi"/>
          <w:sz w:val="26"/>
          <w:szCs w:val="22"/>
        </w:rPr>
        <w:t>Settlement terms</w:t>
      </w:r>
      <w:r w:rsidR="008B33D9">
        <w:rPr>
          <w:rFonts w:eastAsiaTheme="minorHAnsi" w:cstheme="minorBidi"/>
          <w:sz w:val="26"/>
          <w:szCs w:val="22"/>
        </w:rPr>
        <w:t>,</w:t>
      </w:r>
      <w:r w:rsidR="004D6DED">
        <w:rPr>
          <w:rFonts w:eastAsiaTheme="minorHAnsi" w:cstheme="minorBidi"/>
          <w:sz w:val="26"/>
          <w:szCs w:val="22"/>
        </w:rPr>
        <w:t xml:space="preserve"> including the </w:t>
      </w:r>
      <w:r w:rsidR="001F1A9E">
        <w:rPr>
          <w:rFonts w:eastAsiaTheme="minorHAnsi" w:cstheme="minorBidi"/>
          <w:sz w:val="26"/>
          <w:szCs w:val="22"/>
        </w:rPr>
        <w:t>p</w:t>
      </w:r>
      <w:r w:rsidR="004D6DED">
        <w:rPr>
          <w:rFonts w:eastAsiaTheme="minorHAnsi" w:cstheme="minorBidi"/>
          <w:sz w:val="26"/>
          <w:szCs w:val="22"/>
        </w:rPr>
        <w:t xml:space="preserve">hase-in </w:t>
      </w:r>
      <w:r w:rsidR="009D3047">
        <w:rPr>
          <w:rFonts w:eastAsiaTheme="minorHAnsi" w:cstheme="minorBidi"/>
          <w:sz w:val="26"/>
          <w:szCs w:val="22"/>
        </w:rPr>
        <w:t xml:space="preserve">of </w:t>
      </w:r>
      <w:r w:rsidR="004D6DED">
        <w:rPr>
          <w:rFonts w:eastAsiaTheme="minorHAnsi" w:cstheme="minorBidi"/>
          <w:sz w:val="26"/>
          <w:szCs w:val="22"/>
        </w:rPr>
        <w:t>rates and the stay-out p</w:t>
      </w:r>
      <w:r w:rsidR="009A35F2">
        <w:rPr>
          <w:rFonts w:eastAsiaTheme="minorHAnsi" w:cstheme="minorBidi"/>
          <w:sz w:val="26"/>
          <w:szCs w:val="22"/>
        </w:rPr>
        <w:t>rovision</w:t>
      </w:r>
      <w:r w:rsidR="004D6DED">
        <w:rPr>
          <w:rFonts w:eastAsiaTheme="minorHAnsi" w:cstheme="minorBidi"/>
          <w:sz w:val="26"/>
          <w:szCs w:val="22"/>
        </w:rPr>
        <w:t xml:space="preserve"> </w:t>
      </w:r>
      <w:r w:rsidR="009D3047">
        <w:rPr>
          <w:rFonts w:eastAsiaTheme="minorHAnsi" w:cstheme="minorBidi"/>
          <w:sz w:val="26"/>
          <w:szCs w:val="22"/>
        </w:rPr>
        <w:t xml:space="preserve">which </w:t>
      </w:r>
      <w:r w:rsidR="004D6DED">
        <w:rPr>
          <w:rFonts w:eastAsiaTheme="minorHAnsi" w:cstheme="minorBidi"/>
          <w:sz w:val="26"/>
          <w:szCs w:val="22"/>
        </w:rPr>
        <w:t xml:space="preserve">were reached after a thorough consideration of the impacts </w:t>
      </w:r>
      <w:r w:rsidR="009D3047">
        <w:rPr>
          <w:rFonts w:eastAsiaTheme="minorHAnsi" w:cstheme="minorBidi"/>
          <w:sz w:val="26"/>
          <w:szCs w:val="22"/>
        </w:rPr>
        <w:t xml:space="preserve">on </w:t>
      </w:r>
      <w:r w:rsidR="004D6DED">
        <w:rPr>
          <w:rFonts w:eastAsiaTheme="minorHAnsi" w:cstheme="minorBidi"/>
          <w:sz w:val="26"/>
          <w:szCs w:val="22"/>
        </w:rPr>
        <w:t xml:space="preserve">Reynolds’ customers.  </w:t>
      </w:r>
      <w:r w:rsidR="00C61B50">
        <w:rPr>
          <w:rFonts w:eastAsiaTheme="minorHAnsi" w:cstheme="minorBidi"/>
          <w:sz w:val="26"/>
          <w:szCs w:val="22"/>
        </w:rPr>
        <w:t xml:space="preserve">In particular, </w:t>
      </w:r>
      <w:r w:rsidR="004D6DED">
        <w:rPr>
          <w:rFonts w:eastAsiaTheme="minorHAnsi" w:cstheme="minorBidi"/>
          <w:sz w:val="26"/>
          <w:szCs w:val="22"/>
        </w:rPr>
        <w:t xml:space="preserve">I&amp;E </w:t>
      </w:r>
      <w:r w:rsidR="009A35F2">
        <w:rPr>
          <w:rFonts w:eastAsiaTheme="minorHAnsi" w:cstheme="minorBidi"/>
          <w:sz w:val="26"/>
          <w:szCs w:val="22"/>
        </w:rPr>
        <w:t>contends</w:t>
      </w:r>
      <w:r w:rsidR="004D6DED">
        <w:rPr>
          <w:rFonts w:eastAsiaTheme="minorHAnsi" w:cstheme="minorBidi"/>
          <w:sz w:val="26"/>
          <w:szCs w:val="22"/>
        </w:rPr>
        <w:t xml:space="preserve"> the</w:t>
      </w:r>
      <w:r w:rsidR="00C61B50">
        <w:rPr>
          <w:rFonts w:eastAsiaTheme="minorHAnsi" w:cstheme="minorBidi"/>
          <w:sz w:val="26"/>
          <w:szCs w:val="22"/>
        </w:rPr>
        <w:t xml:space="preserve"> phased</w:t>
      </w:r>
      <w:r w:rsidR="009D3047">
        <w:rPr>
          <w:rFonts w:eastAsiaTheme="minorHAnsi" w:cstheme="minorBidi"/>
          <w:sz w:val="26"/>
          <w:szCs w:val="22"/>
        </w:rPr>
        <w:t>-in</w:t>
      </w:r>
      <w:r w:rsidR="003B230D">
        <w:rPr>
          <w:rFonts w:eastAsiaTheme="minorHAnsi" w:cstheme="minorBidi"/>
          <w:sz w:val="26"/>
          <w:szCs w:val="22"/>
        </w:rPr>
        <w:t xml:space="preserve"> </w:t>
      </w:r>
      <w:r w:rsidR="001F1A9E">
        <w:rPr>
          <w:rFonts w:eastAsiaTheme="minorHAnsi" w:cstheme="minorBidi"/>
          <w:sz w:val="26"/>
          <w:szCs w:val="22"/>
        </w:rPr>
        <w:t xml:space="preserve">rate </w:t>
      </w:r>
      <w:r w:rsidR="00C61B50">
        <w:rPr>
          <w:rFonts w:eastAsiaTheme="minorHAnsi" w:cstheme="minorBidi"/>
          <w:sz w:val="26"/>
          <w:szCs w:val="22"/>
        </w:rPr>
        <w:t xml:space="preserve">increase is reasonable and the </w:t>
      </w:r>
      <w:r w:rsidR="004D6DED">
        <w:rPr>
          <w:rFonts w:eastAsiaTheme="minorHAnsi" w:cstheme="minorBidi"/>
          <w:sz w:val="26"/>
          <w:szCs w:val="22"/>
        </w:rPr>
        <w:t xml:space="preserve">stay-out </w:t>
      </w:r>
      <w:r w:rsidR="003B230D">
        <w:rPr>
          <w:rFonts w:eastAsiaTheme="minorHAnsi" w:cstheme="minorBidi"/>
          <w:sz w:val="26"/>
          <w:szCs w:val="22"/>
        </w:rPr>
        <w:t>provision</w:t>
      </w:r>
      <w:r w:rsidR="00C61B50">
        <w:rPr>
          <w:rFonts w:eastAsiaTheme="minorHAnsi" w:cstheme="minorBidi"/>
          <w:sz w:val="26"/>
          <w:szCs w:val="22"/>
        </w:rPr>
        <w:t xml:space="preserve"> </w:t>
      </w:r>
      <w:r w:rsidR="003B230D">
        <w:rPr>
          <w:rFonts w:eastAsiaTheme="minorHAnsi" w:cstheme="minorBidi"/>
          <w:sz w:val="26"/>
          <w:szCs w:val="22"/>
        </w:rPr>
        <w:t xml:space="preserve">offers </w:t>
      </w:r>
      <w:r w:rsidR="004D6DED">
        <w:rPr>
          <w:rFonts w:eastAsiaTheme="minorHAnsi" w:cstheme="minorBidi"/>
          <w:sz w:val="26"/>
          <w:szCs w:val="22"/>
        </w:rPr>
        <w:t xml:space="preserve">Reynolds’ customers rate stability for at least two years following the effective date of the Phase II increase.  </w:t>
      </w:r>
      <w:r w:rsidR="00C61B50" w:rsidRPr="00182A10">
        <w:rPr>
          <w:rFonts w:eastAsiaTheme="minorHAnsi" w:cstheme="minorBidi"/>
          <w:i/>
          <w:sz w:val="26"/>
          <w:szCs w:val="22"/>
        </w:rPr>
        <w:t>Id.</w:t>
      </w:r>
      <w:r w:rsidR="00C61B50">
        <w:rPr>
          <w:rFonts w:eastAsiaTheme="minorHAnsi" w:cstheme="minorBidi"/>
          <w:sz w:val="26"/>
          <w:szCs w:val="22"/>
        </w:rPr>
        <w:t xml:space="preserve"> at 5-6.  Finally, I&amp;E</w:t>
      </w:r>
      <w:r w:rsidR="004F6B6C">
        <w:rPr>
          <w:rFonts w:eastAsiaTheme="minorHAnsi" w:cstheme="minorBidi"/>
          <w:sz w:val="26"/>
          <w:szCs w:val="22"/>
        </w:rPr>
        <w:t xml:space="preserve"> requests</w:t>
      </w:r>
      <w:r w:rsidR="00C61B50">
        <w:rPr>
          <w:rFonts w:eastAsiaTheme="minorHAnsi" w:cstheme="minorBidi"/>
          <w:sz w:val="26"/>
          <w:szCs w:val="22"/>
        </w:rPr>
        <w:t xml:space="preserve"> that </w:t>
      </w:r>
      <w:r w:rsidR="004F6B6C">
        <w:rPr>
          <w:rFonts w:eastAsiaTheme="minorHAnsi" w:cstheme="minorBidi"/>
          <w:sz w:val="26"/>
          <w:szCs w:val="22"/>
        </w:rPr>
        <w:t xml:space="preserve">the Settlement be approved, as modified, </w:t>
      </w:r>
      <w:r w:rsidR="00C61B50">
        <w:rPr>
          <w:rFonts w:eastAsiaTheme="minorHAnsi" w:cstheme="minorBidi"/>
          <w:sz w:val="26"/>
          <w:szCs w:val="22"/>
        </w:rPr>
        <w:t xml:space="preserve">because </w:t>
      </w:r>
      <w:r w:rsidR="004F6B6C">
        <w:rPr>
          <w:rFonts w:eastAsiaTheme="minorHAnsi" w:cstheme="minorBidi"/>
          <w:sz w:val="26"/>
          <w:szCs w:val="22"/>
        </w:rPr>
        <w:t xml:space="preserve">it </w:t>
      </w:r>
      <w:r w:rsidR="00C61B50">
        <w:rPr>
          <w:rFonts w:eastAsiaTheme="minorHAnsi" w:cstheme="minorBidi"/>
          <w:sz w:val="26"/>
          <w:szCs w:val="22"/>
        </w:rPr>
        <w:t xml:space="preserve">eliminates the expense of a fully litigated rate </w:t>
      </w:r>
      <w:r w:rsidR="00C47EA5">
        <w:rPr>
          <w:rFonts w:eastAsiaTheme="minorHAnsi" w:cstheme="minorBidi"/>
          <w:sz w:val="26"/>
          <w:szCs w:val="22"/>
        </w:rPr>
        <w:t>proceeding and</w:t>
      </w:r>
      <w:r w:rsidR="004F6B6C">
        <w:rPr>
          <w:rFonts w:eastAsiaTheme="minorHAnsi" w:cstheme="minorBidi"/>
          <w:sz w:val="26"/>
          <w:szCs w:val="22"/>
        </w:rPr>
        <w:t xml:space="preserve"> </w:t>
      </w:r>
      <w:r w:rsidR="00C61B50">
        <w:rPr>
          <w:rFonts w:eastAsiaTheme="minorHAnsi" w:cstheme="minorBidi"/>
          <w:sz w:val="26"/>
          <w:szCs w:val="22"/>
        </w:rPr>
        <w:t xml:space="preserve">is in the best interest of Reynolds’ customers.  </w:t>
      </w:r>
      <w:r w:rsidR="00422BB3" w:rsidRPr="00182A10">
        <w:rPr>
          <w:rFonts w:eastAsiaTheme="minorHAnsi" w:cstheme="minorBidi"/>
          <w:i/>
          <w:sz w:val="26"/>
          <w:szCs w:val="22"/>
        </w:rPr>
        <w:t>Id.</w:t>
      </w:r>
      <w:r w:rsidR="00422BB3">
        <w:rPr>
          <w:rFonts w:eastAsiaTheme="minorHAnsi" w:cstheme="minorBidi"/>
          <w:sz w:val="26"/>
          <w:szCs w:val="22"/>
        </w:rPr>
        <w:t xml:space="preserve"> at 6.</w:t>
      </w:r>
    </w:p>
    <w:p w:rsidR="00A44992" w:rsidRDefault="00A44992" w:rsidP="00C47EA5">
      <w:pPr>
        <w:tabs>
          <w:tab w:val="left" w:pos="6375"/>
        </w:tabs>
        <w:rPr>
          <w:rFonts w:eastAsiaTheme="minorHAnsi" w:cstheme="minorBidi"/>
          <w:sz w:val="26"/>
          <w:szCs w:val="22"/>
        </w:rPr>
      </w:pPr>
    </w:p>
    <w:p w:rsidR="00A44992" w:rsidRPr="000E3F46" w:rsidRDefault="00931D44" w:rsidP="00E41A51">
      <w:pPr>
        <w:pStyle w:val="Heading2"/>
        <w:rPr>
          <w:rFonts w:eastAsiaTheme="minorHAnsi"/>
        </w:rPr>
      </w:pPr>
      <w:bookmarkStart w:id="15" w:name="_Toc471748000"/>
      <w:bookmarkStart w:id="16" w:name="_Toc471748138"/>
      <w:r>
        <w:rPr>
          <w:rFonts w:eastAsiaTheme="minorHAnsi"/>
        </w:rPr>
        <w:t>G</w:t>
      </w:r>
      <w:r w:rsidR="00A44992" w:rsidRPr="000D68B5">
        <w:rPr>
          <w:rFonts w:eastAsiaTheme="minorHAnsi"/>
        </w:rPr>
        <w:t>.</w:t>
      </w:r>
      <w:r w:rsidR="00A44992" w:rsidRPr="000D68B5">
        <w:rPr>
          <w:rFonts w:eastAsiaTheme="minorHAnsi"/>
        </w:rPr>
        <w:tab/>
        <w:t>Disposition</w:t>
      </w:r>
      <w:bookmarkEnd w:id="15"/>
      <w:bookmarkEnd w:id="16"/>
    </w:p>
    <w:p w:rsidR="00A44992" w:rsidRPr="0040313A" w:rsidRDefault="00A44992" w:rsidP="0045062E">
      <w:pPr>
        <w:keepNext/>
        <w:keepLines/>
        <w:rPr>
          <w:rFonts w:eastAsiaTheme="minorHAnsi" w:cstheme="minorBidi"/>
          <w:b/>
          <w:sz w:val="26"/>
          <w:szCs w:val="22"/>
        </w:rPr>
      </w:pPr>
    </w:p>
    <w:p w:rsidR="00973BB5" w:rsidRDefault="00A44992" w:rsidP="00973BB5">
      <w:pPr>
        <w:rPr>
          <w:sz w:val="26"/>
          <w:szCs w:val="26"/>
        </w:rPr>
      </w:pPr>
      <w:r>
        <w:rPr>
          <w:sz w:val="26"/>
          <w:szCs w:val="26"/>
        </w:rPr>
        <w:tab/>
      </w:r>
      <w:r>
        <w:rPr>
          <w:sz w:val="26"/>
          <w:szCs w:val="26"/>
        </w:rPr>
        <w:tab/>
      </w:r>
      <w:r w:rsidRPr="00247554">
        <w:rPr>
          <w:rFonts w:eastAsiaTheme="minorHAnsi" w:cstheme="minorBidi"/>
          <w:sz w:val="26"/>
          <w:szCs w:val="22"/>
        </w:rPr>
        <w:t xml:space="preserve">Based on our review, we </w:t>
      </w:r>
      <w:r w:rsidR="0027053D">
        <w:rPr>
          <w:rFonts w:eastAsiaTheme="minorHAnsi" w:cstheme="minorBidi"/>
          <w:sz w:val="26"/>
          <w:szCs w:val="22"/>
        </w:rPr>
        <w:t xml:space="preserve">conclude that the Complainant’s Exceptions are without merit.  </w:t>
      </w:r>
      <w:r w:rsidR="008851B6">
        <w:rPr>
          <w:rFonts w:eastAsiaTheme="minorHAnsi" w:cstheme="minorBidi"/>
          <w:sz w:val="26"/>
          <w:szCs w:val="22"/>
        </w:rPr>
        <w:t>Therefore, we</w:t>
      </w:r>
      <w:r w:rsidR="0027053D">
        <w:rPr>
          <w:rFonts w:eastAsiaTheme="minorHAnsi" w:cstheme="minorBidi"/>
          <w:sz w:val="26"/>
          <w:szCs w:val="22"/>
        </w:rPr>
        <w:t xml:space="preserve"> </w:t>
      </w:r>
      <w:r w:rsidR="003B753A">
        <w:rPr>
          <w:rFonts w:eastAsiaTheme="minorHAnsi" w:cstheme="minorBidi"/>
          <w:sz w:val="26"/>
          <w:szCs w:val="22"/>
        </w:rPr>
        <w:t xml:space="preserve">shall </w:t>
      </w:r>
      <w:r w:rsidR="0027053D">
        <w:rPr>
          <w:rFonts w:eastAsiaTheme="minorHAnsi" w:cstheme="minorBidi"/>
          <w:sz w:val="26"/>
          <w:szCs w:val="22"/>
        </w:rPr>
        <w:t xml:space="preserve">deny the </w:t>
      </w:r>
      <w:r w:rsidR="003B753A">
        <w:rPr>
          <w:rFonts w:eastAsiaTheme="minorHAnsi" w:cstheme="minorBidi"/>
          <w:sz w:val="26"/>
          <w:szCs w:val="22"/>
        </w:rPr>
        <w:t>Exceptions</w:t>
      </w:r>
      <w:r w:rsidR="00A92BCF">
        <w:rPr>
          <w:rFonts w:eastAsiaTheme="minorHAnsi" w:cstheme="minorBidi"/>
          <w:sz w:val="26"/>
          <w:szCs w:val="22"/>
        </w:rPr>
        <w:t xml:space="preserve"> because they </w:t>
      </w:r>
      <w:r w:rsidR="00D94D18">
        <w:rPr>
          <w:rFonts w:eastAsiaTheme="minorHAnsi" w:cstheme="minorBidi"/>
          <w:sz w:val="26"/>
          <w:szCs w:val="22"/>
        </w:rPr>
        <w:t xml:space="preserve">raise </w:t>
      </w:r>
      <w:r w:rsidR="006F5DDD">
        <w:rPr>
          <w:rFonts w:eastAsiaTheme="minorHAnsi" w:cstheme="minorBidi"/>
          <w:sz w:val="26"/>
          <w:szCs w:val="22"/>
        </w:rPr>
        <w:t xml:space="preserve">the exact </w:t>
      </w:r>
      <w:r w:rsidR="00D94D18">
        <w:rPr>
          <w:rFonts w:eastAsiaTheme="minorHAnsi" w:cstheme="minorBidi"/>
          <w:sz w:val="26"/>
          <w:szCs w:val="22"/>
        </w:rPr>
        <w:t xml:space="preserve">same issues </w:t>
      </w:r>
      <w:r w:rsidR="00A92BCF">
        <w:rPr>
          <w:rFonts w:eastAsiaTheme="minorHAnsi" w:cstheme="minorBidi"/>
          <w:sz w:val="26"/>
          <w:szCs w:val="22"/>
        </w:rPr>
        <w:t xml:space="preserve">that were raised during the hearing and </w:t>
      </w:r>
      <w:r w:rsidR="006F5DDD">
        <w:rPr>
          <w:rFonts w:eastAsiaTheme="minorHAnsi" w:cstheme="minorBidi"/>
          <w:sz w:val="26"/>
          <w:szCs w:val="22"/>
        </w:rPr>
        <w:t xml:space="preserve">that </w:t>
      </w:r>
      <w:r w:rsidR="00A92BCF">
        <w:rPr>
          <w:rFonts w:eastAsiaTheme="minorHAnsi" w:cstheme="minorBidi"/>
          <w:sz w:val="26"/>
          <w:szCs w:val="22"/>
        </w:rPr>
        <w:t xml:space="preserve">were addressed by </w:t>
      </w:r>
      <w:r w:rsidR="006F5DDD">
        <w:rPr>
          <w:rFonts w:eastAsiaTheme="minorHAnsi" w:cstheme="minorBidi"/>
          <w:sz w:val="26"/>
          <w:szCs w:val="22"/>
        </w:rPr>
        <w:t xml:space="preserve">the </w:t>
      </w:r>
      <w:r w:rsidR="003A1B93">
        <w:rPr>
          <w:rFonts w:eastAsiaTheme="minorHAnsi" w:cstheme="minorBidi"/>
          <w:sz w:val="26"/>
          <w:szCs w:val="22"/>
        </w:rPr>
        <w:t>ALJ in her Recommended Decision</w:t>
      </w:r>
      <w:r w:rsidR="007B467F">
        <w:rPr>
          <w:rFonts w:eastAsiaTheme="minorHAnsi" w:cstheme="minorBidi"/>
          <w:sz w:val="26"/>
          <w:szCs w:val="22"/>
        </w:rPr>
        <w:t xml:space="preserve">.  </w:t>
      </w:r>
      <w:r w:rsidR="00A22E38" w:rsidRPr="00A22E38">
        <w:rPr>
          <w:sz w:val="26"/>
          <w:szCs w:val="26"/>
        </w:rPr>
        <w:t>We also do not see any advantage for Reynolds’ customers in fully litigating this case, especially, considering that a full litigation would result in additional expenses that would be reflected in the rates of the Company’s customers.</w:t>
      </w:r>
      <w:r w:rsidR="00A22E38">
        <w:rPr>
          <w:sz w:val="26"/>
          <w:szCs w:val="26"/>
        </w:rPr>
        <w:t xml:space="preserve">  </w:t>
      </w:r>
      <w:r w:rsidR="004F3981">
        <w:rPr>
          <w:sz w:val="26"/>
          <w:szCs w:val="26"/>
        </w:rPr>
        <w:t>T</w:t>
      </w:r>
      <w:r w:rsidR="00A22E38">
        <w:rPr>
          <w:rFonts w:eastAsiaTheme="minorHAnsi" w:cstheme="minorBidi"/>
          <w:sz w:val="26"/>
          <w:szCs w:val="22"/>
        </w:rPr>
        <w:t xml:space="preserve">herefore, we shall </w:t>
      </w:r>
      <w:r w:rsidR="00973BB5">
        <w:rPr>
          <w:rFonts w:eastAsiaTheme="minorHAnsi" w:cstheme="minorBidi"/>
          <w:sz w:val="26"/>
          <w:szCs w:val="22"/>
        </w:rPr>
        <w:t>adopt the ALJ’s Recommended Decision t</w:t>
      </w:r>
      <w:r w:rsidR="00030160">
        <w:rPr>
          <w:rFonts w:eastAsiaTheme="minorHAnsi" w:cstheme="minorBidi"/>
          <w:sz w:val="26"/>
          <w:szCs w:val="22"/>
        </w:rPr>
        <w:t>hat</w:t>
      </w:r>
      <w:r w:rsidR="00973BB5">
        <w:rPr>
          <w:rFonts w:eastAsiaTheme="minorHAnsi" w:cstheme="minorBidi"/>
          <w:sz w:val="26"/>
          <w:szCs w:val="22"/>
        </w:rPr>
        <w:t xml:space="preserve"> grant</w:t>
      </w:r>
      <w:r w:rsidR="00030160">
        <w:rPr>
          <w:rFonts w:eastAsiaTheme="minorHAnsi" w:cstheme="minorBidi"/>
          <w:sz w:val="26"/>
          <w:szCs w:val="22"/>
        </w:rPr>
        <w:t>s</w:t>
      </w:r>
      <w:r w:rsidR="00973BB5">
        <w:rPr>
          <w:rFonts w:eastAsiaTheme="minorHAnsi" w:cstheme="minorBidi"/>
          <w:sz w:val="26"/>
          <w:szCs w:val="22"/>
        </w:rPr>
        <w:t xml:space="preserve"> the </w:t>
      </w:r>
      <w:r w:rsidR="00030160">
        <w:rPr>
          <w:rFonts w:eastAsiaTheme="minorHAnsi" w:cstheme="minorBidi"/>
          <w:sz w:val="26"/>
          <w:szCs w:val="22"/>
        </w:rPr>
        <w:t xml:space="preserve">Joint </w:t>
      </w:r>
      <w:r w:rsidR="00973BB5">
        <w:rPr>
          <w:rFonts w:eastAsiaTheme="minorHAnsi" w:cstheme="minorBidi"/>
          <w:sz w:val="26"/>
          <w:szCs w:val="22"/>
        </w:rPr>
        <w:t>Petition and adopt</w:t>
      </w:r>
      <w:r w:rsidR="00030160">
        <w:rPr>
          <w:rFonts w:eastAsiaTheme="minorHAnsi" w:cstheme="minorBidi"/>
          <w:sz w:val="26"/>
          <w:szCs w:val="22"/>
        </w:rPr>
        <w:t>s</w:t>
      </w:r>
      <w:r w:rsidR="00044F82">
        <w:rPr>
          <w:rFonts w:eastAsiaTheme="minorHAnsi" w:cstheme="minorBidi"/>
          <w:sz w:val="26"/>
          <w:szCs w:val="22"/>
        </w:rPr>
        <w:t xml:space="preserve"> the </w:t>
      </w:r>
      <w:r w:rsidR="007B467F">
        <w:rPr>
          <w:rFonts w:eastAsiaTheme="minorHAnsi" w:cstheme="minorBidi"/>
          <w:sz w:val="26"/>
          <w:szCs w:val="22"/>
        </w:rPr>
        <w:t xml:space="preserve">Settlement </w:t>
      </w:r>
      <w:r w:rsidR="00044F82">
        <w:rPr>
          <w:rFonts w:eastAsiaTheme="minorHAnsi" w:cstheme="minorBidi"/>
          <w:sz w:val="26"/>
          <w:szCs w:val="22"/>
        </w:rPr>
        <w:t>consistent with our discussion below.</w:t>
      </w:r>
    </w:p>
    <w:p w:rsidR="007B467F" w:rsidRDefault="007B467F" w:rsidP="006F5DDD">
      <w:pPr>
        <w:rPr>
          <w:rFonts w:eastAsiaTheme="minorHAnsi" w:cstheme="minorBidi"/>
          <w:sz w:val="26"/>
          <w:szCs w:val="22"/>
        </w:rPr>
      </w:pPr>
    </w:p>
    <w:p w:rsidR="006736E6" w:rsidRDefault="006736E6" w:rsidP="006F5DDD">
      <w:pPr>
        <w:rPr>
          <w:sz w:val="26"/>
          <w:szCs w:val="26"/>
        </w:rPr>
      </w:pPr>
      <w:r>
        <w:rPr>
          <w:sz w:val="26"/>
          <w:szCs w:val="26"/>
        </w:rPr>
        <w:tab/>
      </w:r>
      <w:r>
        <w:rPr>
          <w:sz w:val="26"/>
          <w:szCs w:val="26"/>
        </w:rPr>
        <w:tab/>
      </w:r>
      <w:r w:rsidR="00A90665" w:rsidRPr="003A2E54">
        <w:rPr>
          <w:sz w:val="26"/>
          <w:szCs w:val="26"/>
        </w:rPr>
        <w:t xml:space="preserve">We </w:t>
      </w:r>
      <w:r w:rsidR="0007536D">
        <w:rPr>
          <w:sz w:val="26"/>
          <w:szCs w:val="26"/>
        </w:rPr>
        <w:t>believe t</w:t>
      </w:r>
      <w:r w:rsidR="006F5DDD" w:rsidRPr="003A2E54">
        <w:rPr>
          <w:sz w:val="26"/>
          <w:szCs w:val="26"/>
        </w:rPr>
        <w:t>he Settlement is in the public interest because</w:t>
      </w:r>
      <w:r w:rsidR="0007536D">
        <w:rPr>
          <w:sz w:val="26"/>
          <w:szCs w:val="26"/>
        </w:rPr>
        <w:t>, as noted by the Joint Petitioners,</w:t>
      </w:r>
      <w:r w:rsidR="006F5DDD" w:rsidRPr="003A2E54">
        <w:rPr>
          <w:sz w:val="26"/>
          <w:szCs w:val="26"/>
        </w:rPr>
        <w:t xml:space="preserve"> it: (1) minimizes cost prohibitive litigation and administrative burden; (2)</w:t>
      </w:r>
      <w:r w:rsidR="00A90665" w:rsidRPr="003A2E54">
        <w:rPr>
          <w:sz w:val="26"/>
          <w:szCs w:val="26"/>
        </w:rPr>
        <w:t> </w:t>
      </w:r>
      <w:r w:rsidR="006F5DDD" w:rsidRPr="003A2E54">
        <w:rPr>
          <w:sz w:val="26"/>
          <w:szCs w:val="26"/>
        </w:rPr>
        <w:t>recognizes ratepayers’ concerns; (3) provides Reynolds with additional and necessary cash flows; (4) precludes Reynolds from filing another base rate increase within twenty-four months after this Opinion and  Order approving the Settlement; and (5) avoids rate shock to the ratepayers by reducing the proposed 45.4% increase to only 30.4% increase over the two phases.</w:t>
      </w:r>
    </w:p>
    <w:p w:rsidR="006736E6" w:rsidRDefault="006736E6" w:rsidP="006F5DDD">
      <w:pPr>
        <w:rPr>
          <w:sz w:val="26"/>
          <w:szCs w:val="26"/>
        </w:rPr>
      </w:pPr>
    </w:p>
    <w:p w:rsidR="005F0F95" w:rsidRDefault="006736E6" w:rsidP="00BA4EB5">
      <w:pPr>
        <w:rPr>
          <w:sz w:val="26"/>
          <w:szCs w:val="26"/>
        </w:rPr>
      </w:pPr>
      <w:r>
        <w:rPr>
          <w:sz w:val="26"/>
          <w:szCs w:val="26"/>
        </w:rPr>
        <w:lastRenderedPageBreak/>
        <w:tab/>
      </w:r>
      <w:r>
        <w:rPr>
          <w:sz w:val="26"/>
          <w:szCs w:val="26"/>
        </w:rPr>
        <w:tab/>
      </w:r>
      <w:r w:rsidR="001C33C8">
        <w:rPr>
          <w:sz w:val="26"/>
          <w:szCs w:val="26"/>
        </w:rPr>
        <w:t xml:space="preserve">The resolution of the issues in the Settlement in this proceeding was reached through Commission-approved mediation and after the Joint Petitioners had conducted </w:t>
      </w:r>
      <w:r w:rsidR="001C33C8">
        <w:rPr>
          <w:rFonts w:eastAsiaTheme="minorHAnsi" w:cstheme="minorBidi"/>
          <w:sz w:val="26"/>
          <w:szCs w:val="22"/>
        </w:rPr>
        <w:t>extensive discovery including a review of responses to numerous data requests and interrogatories.</w:t>
      </w:r>
      <w:r w:rsidR="00F9185D" w:rsidRPr="003A2E54">
        <w:rPr>
          <w:rStyle w:val="FootnoteReference"/>
          <w:sz w:val="26"/>
          <w:szCs w:val="26"/>
        </w:rPr>
        <w:footnoteReference w:id="19"/>
      </w:r>
      <w:r>
        <w:rPr>
          <w:sz w:val="26"/>
          <w:szCs w:val="26"/>
        </w:rPr>
        <w:t xml:space="preserve">  I</w:t>
      </w:r>
      <w:r w:rsidR="005F0F95">
        <w:rPr>
          <w:sz w:val="26"/>
          <w:szCs w:val="26"/>
        </w:rPr>
        <w:t>t is t</w:t>
      </w:r>
      <w:r w:rsidR="005F0F95" w:rsidRPr="00674F88">
        <w:rPr>
          <w:sz w:val="26"/>
          <w:szCs w:val="26"/>
        </w:rPr>
        <w:t>he policy of the Commission to encourage settlements</w:t>
      </w:r>
      <w:r w:rsidR="005F0F95">
        <w:rPr>
          <w:sz w:val="26"/>
          <w:szCs w:val="26"/>
        </w:rPr>
        <w:t>,</w:t>
      </w:r>
      <w:r w:rsidR="005F0F95" w:rsidRPr="00674F88">
        <w:rPr>
          <w:sz w:val="26"/>
          <w:szCs w:val="26"/>
        </w:rPr>
        <w:t xml:space="preserve">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w:t>
      </w:r>
    </w:p>
    <w:p w:rsidR="005F0F95" w:rsidRDefault="005F0F95" w:rsidP="005F0F95">
      <w:pPr>
        <w:rPr>
          <w:sz w:val="26"/>
          <w:szCs w:val="26"/>
        </w:rPr>
      </w:pPr>
    </w:p>
    <w:p w:rsidR="00D74246" w:rsidRPr="005B28E9" w:rsidRDefault="0007536D" w:rsidP="002E2E77">
      <w:pPr>
        <w:ind w:firstLine="1440"/>
        <w:rPr>
          <w:sz w:val="26"/>
          <w:szCs w:val="26"/>
        </w:rPr>
      </w:pPr>
      <w:r>
        <w:rPr>
          <w:sz w:val="26"/>
          <w:szCs w:val="26"/>
        </w:rPr>
        <w:t>T</w:t>
      </w:r>
      <w:r w:rsidR="001A59D3" w:rsidRPr="00492A58">
        <w:rPr>
          <w:sz w:val="26"/>
          <w:szCs w:val="26"/>
        </w:rPr>
        <w:t xml:space="preserve">he Settlement </w:t>
      </w:r>
      <w:r w:rsidR="004271EC">
        <w:rPr>
          <w:sz w:val="26"/>
          <w:szCs w:val="26"/>
        </w:rPr>
        <w:t xml:space="preserve">in this proceeding </w:t>
      </w:r>
      <w:r w:rsidR="001A59D3" w:rsidRPr="00492A58">
        <w:rPr>
          <w:sz w:val="26"/>
          <w:szCs w:val="26"/>
        </w:rPr>
        <w:t>reflects a carefully balanced compromise of the interests of the Parties on the issues, and amicably and expeditiously resolves several important and complex issues in the instant proceeding</w:t>
      </w:r>
      <w:r w:rsidR="00D74246">
        <w:rPr>
          <w:sz w:val="26"/>
          <w:szCs w:val="26"/>
        </w:rPr>
        <w:t xml:space="preserve"> </w:t>
      </w:r>
      <w:r w:rsidR="005B28E9">
        <w:rPr>
          <w:sz w:val="26"/>
          <w:szCs w:val="26"/>
        </w:rPr>
        <w:t xml:space="preserve">– particularly </w:t>
      </w:r>
      <w:r w:rsidR="00D74246">
        <w:rPr>
          <w:sz w:val="26"/>
          <w:szCs w:val="26"/>
        </w:rPr>
        <w:t xml:space="preserve">by providing </w:t>
      </w:r>
      <w:r w:rsidR="00D74246" w:rsidRPr="005B28E9">
        <w:rPr>
          <w:sz w:val="26"/>
          <w:szCs w:val="26"/>
        </w:rPr>
        <w:t>Reynolds the opportunity to carry out three important capital projects that are necessary and proper: (1)</w:t>
      </w:r>
      <w:r w:rsidR="001C33C8" w:rsidRPr="005B28E9">
        <w:rPr>
          <w:sz w:val="26"/>
          <w:szCs w:val="26"/>
        </w:rPr>
        <w:t> </w:t>
      </w:r>
      <w:r w:rsidR="00D74246" w:rsidRPr="005B28E9">
        <w:rPr>
          <w:sz w:val="26"/>
          <w:szCs w:val="26"/>
        </w:rPr>
        <w:t>water proofing/sealing of the sedimentation walls with an estimated cost of $152,250; (2)</w:t>
      </w:r>
      <w:r w:rsidR="001C33C8" w:rsidRPr="005B28E9">
        <w:rPr>
          <w:sz w:val="26"/>
          <w:szCs w:val="26"/>
        </w:rPr>
        <w:t> </w:t>
      </w:r>
      <w:r w:rsidR="00D74246" w:rsidRPr="005B28E9">
        <w:rPr>
          <w:sz w:val="26"/>
          <w:szCs w:val="26"/>
        </w:rPr>
        <w:t xml:space="preserve">replacement of 500 feet of 8-inch water main under the Shenango River with an estimated cost of $125,000; and (3) installation of a liner in the filtration plant clear well with an estimated cost of $50,000. </w:t>
      </w:r>
    </w:p>
    <w:p w:rsidR="00D74246" w:rsidRDefault="00D74246" w:rsidP="002E2E77">
      <w:pPr>
        <w:ind w:firstLine="1440"/>
        <w:rPr>
          <w:sz w:val="26"/>
          <w:szCs w:val="26"/>
          <w:highlight w:val="yellow"/>
        </w:rPr>
      </w:pPr>
    </w:p>
    <w:p w:rsidR="007D69D2" w:rsidRDefault="006F5DDD" w:rsidP="00E42DAF">
      <w:pPr>
        <w:ind w:firstLine="1440"/>
        <w:rPr>
          <w:sz w:val="26"/>
          <w:szCs w:val="26"/>
        </w:rPr>
      </w:pPr>
      <w:r w:rsidRPr="00492A58">
        <w:rPr>
          <w:sz w:val="26"/>
          <w:szCs w:val="26"/>
        </w:rPr>
        <w:t>With limited exceptions under the terms of the Settlement, Reynolds has agreed, among other things, to accept the Settlement rate increase in two phases.  The Phase I increase will take effect upon Commission approval of the Settlement.  The Company, however, will not receive the Phase II increase until it completes its water proofing/sealing, Shenango River main replacement and filtration plant liner projects.  Reynolds anticipates completion of these projects during the Summer of 2018.</w:t>
      </w:r>
    </w:p>
    <w:p w:rsidR="008851B6" w:rsidRPr="004C20CB" w:rsidRDefault="00B365E5" w:rsidP="0031449C">
      <w:pPr>
        <w:ind w:firstLine="1440"/>
        <w:rPr>
          <w:sz w:val="26"/>
          <w:szCs w:val="26"/>
        </w:rPr>
      </w:pPr>
      <w:r w:rsidRPr="003008B1">
        <w:rPr>
          <w:sz w:val="26"/>
          <w:szCs w:val="26"/>
        </w:rPr>
        <w:lastRenderedPageBreak/>
        <w:t xml:space="preserve">Under the Settlement, the </w:t>
      </w:r>
      <w:r w:rsidR="00D03F26" w:rsidRPr="003008B1">
        <w:rPr>
          <w:sz w:val="26"/>
          <w:szCs w:val="26"/>
        </w:rPr>
        <w:t xml:space="preserve">original Company-proposed </w:t>
      </w:r>
      <w:r w:rsidRPr="003008B1">
        <w:rPr>
          <w:sz w:val="26"/>
          <w:szCs w:val="26"/>
        </w:rPr>
        <w:t xml:space="preserve">annual revenue increase of $236,829, </w:t>
      </w:r>
      <w:r w:rsidR="00D03F26" w:rsidRPr="003008B1">
        <w:rPr>
          <w:sz w:val="26"/>
          <w:szCs w:val="26"/>
        </w:rPr>
        <w:t xml:space="preserve">which represents an increase in </w:t>
      </w:r>
      <w:r w:rsidR="001032FD" w:rsidRPr="003008B1">
        <w:rPr>
          <w:sz w:val="26"/>
          <w:szCs w:val="26"/>
        </w:rPr>
        <w:t xml:space="preserve">its </w:t>
      </w:r>
      <w:r w:rsidR="00D03F26" w:rsidRPr="003008B1">
        <w:rPr>
          <w:sz w:val="26"/>
          <w:szCs w:val="26"/>
        </w:rPr>
        <w:t>annual operating revenue o</w:t>
      </w:r>
      <w:r w:rsidR="001032FD" w:rsidRPr="003008B1">
        <w:rPr>
          <w:sz w:val="26"/>
          <w:szCs w:val="26"/>
        </w:rPr>
        <w:t>f</w:t>
      </w:r>
      <w:r w:rsidR="00D03F26" w:rsidRPr="003008B1">
        <w:rPr>
          <w:sz w:val="26"/>
          <w:szCs w:val="26"/>
        </w:rPr>
        <w:t xml:space="preserve"> 45.4%, </w:t>
      </w:r>
      <w:r w:rsidRPr="003008B1">
        <w:rPr>
          <w:sz w:val="26"/>
          <w:szCs w:val="26"/>
        </w:rPr>
        <w:t>will be reduced by $78,229, to $158,600</w:t>
      </w:r>
      <w:r w:rsidR="00D03F26" w:rsidRPr="003008B1">
        <w:rPr>
          <w:sz w:val="26"/>
          <w:szCs w:val="26"/>
        </w:rPr>
        <w:t xml:space="preserve">, or </w:t>
      </w:r>
      <w:r w:rsidR="001032FD" w:rsidRPr="003008B1">
        <w:rPr>
          <w:sz w:val="26"/>
          <w:szCs w:val="26"/>
        </w:rPr>
        <w:t xml:space="preserve">an increase in the Company’s annual operating revenue of </w:t>
      </w:r>
      <w:r w:rsidR="00F15F90" w:rsidRPr="003008B1">
        <w:rPr>
          <w:sz w:val="26"/>
          <w:szCs w:val="26"/>
        </w:rPr>
        <w:t>30.4%</w:t>
      </w:r>
      <w:r w:rsidRPr="003008B1">
        <w:rPr>
          <w:sz w:val="26"/>
          <w:szCs w:val="26"/>
        </w:rPr>
        <w:t>.</w:t>
      </w:r>
      <w:r w:rsidRPr="003008B1">
        <w:rPr>
          <w:color w:val="FF0000"/>
          <w:sz w:val="26"/>
          <w:szCs w:val="26"/>
        </w:rPr>
        <w:t xml:space="preserve"> </w:t>
      </w:r>
      <w:r w:rsidRPr="003008B1">
        <w:rPr>
          <w:sz w:val="26"/>
          <w:szCs w:val="26"/>
        </w:rPr>
        <w:t xml:space="preserve"> This decrease </w:t>
      </w:r>
      <w:r w:rsidR="003B7FD9" w:rsidRPr="003008B1">
        <w:rPr>
          <w:sz w:val="26"/>
          <w:szCs w:val="26"/>
        </w:rPr>
        <w:t xml:space="preserve">to </w:t>
      </w:r>
      <w:r w:rsidRPr="003008B1">
        <w:rPr>
          <w:sz w:val="26"/>
          <w:szCs w:val="26"/>
        </w:rPr>
        <w:t xml:space="preserve">the originally-proposed </w:t>
      </w:r>
      <w:r w:rsidR="007D69D2" w:rsidRPr="003008B1">
        <w:rPr>
          <w:sz w:val="26"/>
          <w:szCs w:val="26"/>
        </w:rPr>
        <w:t xml:space="preserve">revenue </w:t>
      </w:r>
      <w:r w:rsidR="00CB1239" w:rsidRPr="003008B1">
        <w:rPr>
          <w:sz w:val="26"/>
          <w:szCs w:val="26"/>
        </w:rPr>
        <w:t xml:space="preserve">increase </w:t>
      </w:r>
      <w:r w:rsidRPr="003008B1">
        <w:rPr>
          <w:sz w:val="26"/>
          <w:szCs w:val="26"/>
        </w:rPr>
        <w:t xml:space="preserve">will result in </w:t>
      </w:r>
      <w:r w:rsidR="007D69D2" w:rsidRPr="003008B1">
        <w:rPr>
          <w:sz w:val="26"/>
          <w:szCs w:val="26"/>
        </w:rPr>
        <w:t xml:space="preserve">an overall increase to base rates </w:t>
      </w:r>
      <w:r w:rsidR="003B7FD9" w:rsidRPr="003008B1">
        <w:rPr>
          <w:sz w:val="26"/>
          <w:szCs w:val="26"/>
        </w:rPr>
        <w:t xml:space="preserve">that will be </w:t>
      </w:r>
      <w:r w:rsidR="007D69D2" w:rsidRPr="003008B1">
        <w:rPr>
          <w:sz w:val="26"/>
          <w:szCs w:val="26"/>
        </w:rPr>
        <w:t xml:space="preserve">substantially lower than those originally requested by </w:t>
      </w:r>
      <w:r w:rsidR="003B7FD9" w:rsidRPr="003008B1">
        <w:rPr>
          <w:sz w:val="26"/>
          <w:szCs w:val="26"/>
        </w:rPr>
        <w:t xml:space="preserve">the </w:t>
      </w:r>
      <w:r w:rsidR="007D69D2" w:rsidRPr="003008B1">
        <w:rPr>
          <w:sz w:val="26"/>
          <w:szCs w:val="26"/>
        </w:rPr>
        <w:t>Company</w:t>
      </w:r>
      <w:r w:rsidR="00581CC5" w:rsidRPr="003008B1">
        <w:rPr>
          <w:sz w:val="26"/>
          <w:szCs w:val="26"/>
        </w:rPr>
        <w:t>, and</w:t>
      </w:r>
      <w:r w:rsidR="00031232" w:rsidRPr="003008B1">
        <w:rPr>
          <w:sz w:val="26"/>
          <w:szCs w:val="26"/>
        </w:rPr>
        <w:t>, as stated above,</w:t>
      </w:r>
      <w:r w:rsidR="00581CC5" w:rsidRPr="003008B1">
        <w:rPr>
          <w:sz w:val="26"/>
          <w:szCs w:val="26"/>
        </w:rPr>
        <w:t xml:space="preserve"> will </w:t>
      </w:r>
      <w:r w:rsidR="008851B6" w:rsidRPr="003008B1">
        <w:rPr>
          <w:sz w:val="26"/>
          <w:szCs w:val="26"/>
        </w:rPr>
        <w:t>be recovered</w:t>
      </w:r>
      <w:r w:rsidR="00581CC5" w:rsidRPr="003008B1">
        <w:rPr>
          <w:sz w:val="26"/>
          <w:szCs w:val="26"/>
        </w:rPr>
        <w:t xml:space="preserve"> in two phases.  </w:t>
      </w:r>
      <w:r w:rsidR="007D69D2" w:rsidRPr="00492A58">
        <w:rPr>
          <w:sz w:val="26"/>
          <w:szCs w:val="26"/>
        </w:rPr>
        <w:t>Settlement at 3-</w:t>
      </w:r>
      <w:r w:rsidR="000F683A">
        <w:rPr>
          <w:sz w:val="26"/>
          <w:szCs w:val="26"/>
        </w:rPr>
        <w:t>4</w:t>
      </w:r>
      <w:r w:rsidR="007D69D2" w:rsidRPr="004C20CB">
        <w:rPr>
          <w:sz w:val="26"/>
          <w:szCs w:val="26"/>
        </w:rPr>
        <w:t xml:space="preserve">.  </w:t>
      </w:r>
      <w:r w:rsidR="008851B6" w:rsidRPr="004C20CB">
        <w:rPr>
          <w:sz w:val="26"/>
          <w:szCs w:val="26"/>
        </w:rPr>
        <w:t>Also, as earlier indicated, under the Joint Petition, the</w:t>
      </w:r>
      <w:r w:rsidR="00F710D9" w:rsidRPr="004C20CB">
        <w:rPr>
          <w:sz w:val="26"/>
          <w:szCs w:val="26"/>
        </w:rPr>
        <w:t xml:space="preserve"> rate for</w:t>
      </w:r>
      <w:r w:rsidR="008851B6" w:rsidRPr="004C20CB">
        <w:rPr>
          <w:sz w:val="26"/>
          <w:szCs w:val="26"/>
        </w:rPr>
        <w:t xml:space="preserve"> </w:t>
      </w:r>
      <w:r w:rsidR="000F683A" w:rsidRPr="004C20CB">
        <w:rPr>
          <w:sz w:val="26"/>
          <w:szCs w:val="26"/>
        </w:rPr>
        <w:t>a</w:t>
      </w:r>
      <w:r w:rsidR="008851B6" w:rsidRPr="004C20CB">
        <w:rPr>
          <w:sz w:val="26"/>
          <w:szCs w:val="26"/>
        </w:rPr>
        <w:t xml:space="preserve"> residential customer </w:t>
      </w:r>
      <w:r w:rsidR="00F710D9" w:rsidRPr="004C20CB">
        <w:rPr>
          <w:sz w:val="26"/>
          <w:szCs w:val="26"/>
        </w:rPr>
        <w:t xml:space="preserve">using 9,000 gallons of water per quarter </w:t>
      </w:r>
      <w:r w:rsidR="008851B6" w:rsidRPr="004C20CB">
        <w:rPr>
          <w:sz w:val="26"/>
          <w:szCs w:val="26"/>
        </w:rPr>
        <w:t>would increase by approximately $28.20, or 30.4%, from $92.76 to $120.96 over the two phases.  Under Phase I, the quarterly cost of water service</w:t>
      </w:r>
      <w:r w:rsidR="0031449C" w:rsidRPr="004C20CB">
        <w:rPr>
          <w:sz w:val="26"/>
          <w:szCs w:val="26"/>
        </w:rPr>
        <w:t xml:space="preserve"> for Reynolds’ </w:t>
      </w:r>
      <w:r w:rsidR="008851B6" w:rsidRPr="004C20CB">
        <w:rPr>
          <w:sz w:val="26"/>
          <w:szCs w:val="26"/>
        </w:rPr>
        <w:t>residential customer would increase by approximately $19.77, or 21.31%, from $92.76 to $112.53</w:t>
      </w:r>
      <w:r w:rsidR="00C27AE7" w:rsidRPr="004C20CB">
        <w:rPr>
          <w:sz w:val="26"/>
          <w:szCs w:val="26"/>
        </w:rPr>
        <w:t xml:space="preserve"> (monthly equivalent of $37.51)</w:t>
      </w:r>
      <w:r w:rsidR="008851B6" w:rsidRPr="004C20CB">
        <w:rPr>
          <w:sz w:val="26"/>
          <w:szCs w:val="26"/>
        </w:rPr>
        <w:t>.  Under Phase II, the quarterly cost of water service would increase by an additional $8.43, or 7.49%, from $112.53 to $120.96</w:t>
      </w:r>
      <w:r w:rsidR="00C27AE7" w:rsidRPr="004C20CB">
        <w:rPr>
          <w:sz w:val="26"/>
          <w:szCs w:val="26"/>
        </w:rPr>
        <w:t xml:space="preserve"> (monthly equivalent of $40.32)</w:t>
      </w:r>
      <w:r w:rsidR="000F683A" w:rsidRPr="004C20CB">
        <w:rPr>
          <w:sz w:val="26"/>
          <w:szCs w:val="26"/>
        </w:rPr>
        <w:t>.  This is a significant reduction from Reynolds’ original request in which the quarterly cost of water service to a typical residential customer using 9,000 gallons per quarter would have increase</w:t>
      </w:r>
      <w:r w:rsidR="0031449C" w:rsidRPr="004C20CB">
        <w:rPr>
          <w:sz w:val="26"/>
          <w:szCs w:val="26"/>
        </w:rPr>
        <w:t>d</w:t>
      </w:r>
      <w:r w:rsidR="000F683A" w:rsidRPr="004C20CB">
        <w:rPr>
          <w:sz w:val="26"/>
          <w:szCs w:val="26"/>
        </w:rPr>
        <w:t xml:space="preserve"> </w:t>
      </w:r>
      <w:r w:rsidR="0031449C" w:rsidRPr="004C20CB">
        <w:rPr>
          <w:sz w:val="26"/>
          <w:szCs w:val="26"/>
        </w:rPr>
        <w:t>from $92.76 to $134.87</w:t>
      </w:r>
      <w:r w:rsidR="00273275" w:rsidRPr="004C20CB">
        <w:rPr>
          <w:sz w:val="26"/>
          <w:szCs w:val="26"/>
        </w:rPr>
        <w:t xml:space="preserve"> (monthly</w:t>
      </w:r>
      <w:r w:rsidR="004C20CB" w:rsidRPr="004C20CB">
        <w:rPr>
          <w:sz w:val="26"/>
          <w:szCs w:val="26"/>
        </w:rPr>
        <w:t xml:space="preserve"> equivalent of $44.96)</w:t>
      </w:r>
      <w:r w:rsidR="009F7F91" w:rsidRPr="004C20CB">
        <w:rPr>
          <w:sz w:val="26"/>
          <w:szCs w:val="26"/>
        </w:rPr>
        <w:t>, which is a</w:t>
      </w:r>
      <w:r w:rsidR="0031449C" w:rsidRPr="004C20CB">
        <w:rPr>
          <w:sz w:val="26"/>
          <w:szCs w:val="26"/>
        </w:rPr>
        <w:t xml:space="preserve"> $42.11</w:t>
      </w:r>
      <w:r w:rsidR="009F7F91" w:rsidRPr="004C20CB">
        <w:rPr>
          <w:sz w:val="26"/>
          <w:szCs w:val="26"/>
        </w:rPr>
        <w:t xml:space="preserve"> or</w:t>
      </w:r>
      <w:r w:rsidR="0031449C" w:rsidRPr="004C20CB">
        <w:rPr>
          <w:sz w:val="26"/>
          <w:szCs w:val="26"/>
        </w:rPr>
        <w:t xml:space="preserve"> an </w:t>
      </w:r>
      <w:r w:rsidR="000F683A" w:rsidRPr="004C20CB">
        <w:rPr>
          <w:sz w:val="26"/>
          <w:szCs w:val="26"/>
        </w:rPr>
        <w:t>approximately 45.4%</w:t>
      </w:r>
      <w:r w:rsidR="0031449C" w:rsidRPr="004C20CB">
        <w:rPr>
          <w:sz w:val="26"/>
          <w:szCs w:val="26"/>
        </w:rPr>
        <w:t xml:space="preserve"> </w:t>
      </w:r>
      <w:r w:rsidR="009755E5" w:rsidRPr="004C20CB">
        <w:rPr>
          <w:sz w:val="26"/>
          <w:szCs w:val="26"/>
        </w:rPr>
        <w:t xml:space="preserve">rate </w:t>
      </w:r>
      <w:r w:rsidR="0031449C" w:rsidRPr="004C20CB">
        <w:rPr>
          <w:sz w:val="26"/>
          <w:szCs w:val="26"/>
        </w:rPr>
        <w:t>increase</w:t>
      </w:r>
      <w:r w:rsidR="000F683A" w:rsidRPr="004C20CB">
        <w:rPr>
          <w:sz w:val="26"/>
          <w:szCs w:val="26"/>
        </w:rPr>
        <w:t>.  Settlement at 6-7.</w:t>
      </w:r>
    </w:p>
    <w:p w:rsidR="008851B6" w:rsidRPr="004C20CB" w:rsidRDefault="008851B6" w:rsidP="00E42DAF">
      <w:pPr>
        <w:ind w:firstLine="1440"/>
        <w:rPr>
          <w:sz w:val="26"/>
          <w:szCs w:val="26"/>
        </w:rPr>
      </w:pPr>
    </w:p>
    <w:p w:rsidR="00E42DAF" w:rsidRDefault="006F5DDD" w:rsidP="00E42DAF">
      <w:pPr>
        <w:ind w:firstLine="1440"/>
        <w:rPr>
          <w:sz w:val="26"/>
          <w:szCs w:val="26"/>
        </w:rPr>
      </w:pPr>
      <w:r w:rsidRPr="00492A58">
        <w:rPr>
          <w:sz w:val="26"/>
          <w:szCs w:val="26"/>
        </w:rPr>
        <w:t>Reynolds has</w:t>
      </w:r>
      <w:r w:rsidR="00F616B7">
        <w:rPr>
          <w:sz w:val="26"/>
          <w:szCs w:val="26"/>
        </w:rPr>
        <w:t xml:space="preserve"> also</w:t>
      </w:r>
      <w:r w:rsidRPr="00492A58">
        <w:rPr>
          <w:sz w:val="26"/>
          <w:szCs w:val="26"/>
        </w:rPr>
        <w:t xml:space="preserve"> agreed </w:t>
      </w:r>
      <w:r w:rsidR="00372540">
        <w:rPr>
          <w:sz w:val="26"/>
          <w:szCs w:val="26"/>
        </w:rPr>
        <w:t xml:space="preserve">to the </w:t>
      </w:r>
      <w:r w:rsidRPr="00492A58">
        <w:rPr>
          <w:sz w:val="26"/>
          <w:szCs w:val="26"/>
        </w:rPr>
        <w:t>stay-out provision</w:t>
      </w:r>
      <w:r w:rsidR="00372540">
        <w:rPr>
          <w:sz w:val="26"/>
          <w:szCs w:val="26"/>
        </w:rPr>
        <w:t xml:space="preserve"> established in the Settlement</w:t>
      </w:r>
      <w:r w:rsidRPr="00492A58">
        <w:rPr>
          <w:sz w:val="26"/>
          <w:szCs w:val="26"/>
        </w:rPr>
        <w:t xml:space="preserve">.  </w:t>
      </w:r>
      <w:r w:rsidR="003D1682">
        <w:rPr>
          <w:sz w:val="26"/>
          <w:szCs w:val="26"/>
        </w:rPr>
        <w:t>T</w:t>
      </w:r>
      <w:r w:rsidRPr="00492A58">
        <w:rPr>
          <w:sz w:val="26"/>
          <w:szCs w:val="26"/>
        </w:rPr>
        <w:t>h</w:t>
      </w:r>
      <w:r w:rsidR="00372540">
        <w:rPr>
          <w:sz w:val="26"/>
          <w:szCs w:val="26"/>
        </w:rPr>
        <w:t>e</w:t>
      </w:r>
      <w:r w:rsidRPr="00492A58">
        <w:rPr>
          <w:sz w:val="26"/>
          <w:szCs w:val="26"/>
        </w:rPr>
        <w:t xml:space="preserve"> stay-out provision </w:t>
      </w:r>
      <w:r w:rsidR="003D1682">
        <w:rPr>
          <w:sz w:val="26"/>
          <w:szCs w:val="26"/>
        </w:rPr>
        <w:t xml:space="preserve">provides </w:t>
      </w:r>
      <w:r w:rsidRPr="00492A58">
        <w:rPr>
          <w:sz w:val="26"/>
          <w:szCs w:val="26"/>
        </w:rPr>
        <w:t xml:space="preserve">the ratepayers </w:t>
      </w:r>
      <w:r w:rsidR="00031232">
        <w:rPr>
          <w:sz w:val="26"/>
          <w:szCs w:val="26"/>
        </w:rPr>
        <w:t xml:space="preserve">with </w:t>
      </w:r>
      <w:r w:rsidRPr="00492A58">
        <w:rPr>
          <w:sz w:val="26"/>
          <w:szCs w:val="26"/>
        </w:rPr>
        <w:t>a specified level of rate security that would not exist absent the provision.  Settlement at</w:t>
      </w:r>
      <w:r w:rsidR="003D1682">
        <w:rPr>
          <w:sz w:val="26"/>
          <w:szCs w:val="26"/>
        </w:rPr>
        <w:t> </w:t>
      </w:r>
      <w:r w:rsidRPr="00492A58">
        <w:rPr>
          <w:sz w:val="26"/>
          <w:szCs w:val="26"/>
        </w:rPr>
        <w:t>3</w:t>
      </w:r>
      <w:r w:rsidR="003D1682">
        <w:rPr>
          <w:sz w:val="26"/>
          <w:szCs w:val="26"/>
        </w:rPr>
        <w:noBreakHyphen/>
      </w:r>
      <w:r w:rsidRPr="00492A58">
        <w:rPr>
          <w:sz w:val="26"/>
          <w:szCs w:val="26"/>
        </w:rPr>
        <w:t>6.</w:t>
      </w:r>
    </w:p>
    <w:p w:rsidR="00E42DAF" w:rsidRPr="004C20CB" w:rsidRDefault="00E42DAF" w:rsidP="00E42DAF">
      <w:pPr>
        <w:ind w:firstLine="1440"/>
        <w:rPr>
          <w:sz w:val="26"/>
          <w:szCs w:val="26"/>
        </w:rPr>
      </w:pPr>
    </w:p>
    <w:p w:rsidR="006F5DDD" w:rsidRPr="004C20CB" w:rsidRDefault="00501738" w:rsidP="00E42DAF">
      <w:pPr>
        <w:ind w:firstLine="1440"/>
        <w:rPr>
          <w:i/>
          <w:sz w:val="26"/>
        </w:rPr>
      </w:pPr>
      <w:r w:rsidRPr="004C20CB">
        <w:rPr>
          <w:sz w:val="26"/>
          <w:szCs w:val="26"/>
        </w:rPr>
        <w:t>Our a</w:t>
      </w:r>
      <w:r w:rsidR="006F5DDD" w:rsidRPr="004C20CB">
        <w:rPr>
          <w:sz w:val="26"/>
          <w:szCs w:val="26"/>
        </w:rPr>
        <w:t xml:space="preserve">pproval of the Settlement will ensure that Reynolds ratepayers will continue to receive safe and reliable service at just and reasonable rates, through increases that are less than those originally proposed by the Company but will provide </w:t>
      </w:r>
      <w:r w:rsidR="006F5DDD" w:rsidRPr="004C20CB">
        <w:rPr>
          <w:sz w:val="26"/>
        </w:rPr>
        <w:t xml:space="preserve">additional revenues </w:t>
      </w:r>
      <w:r w:rsidR="006F5DDD" w:rsidRPr="004C20CB">
        <w:rPr>
          <w:sz w:val="26"/>
          <w:szCs w:val="26"/>
        </w:rPr>
        <w:t xml:space="preserve">for the Company </w:t>
      </w:r>
      <w:r w:rsidR="006F5DDD" w:rsidRPr="004C20CB">
        <w:rPr>
          <w:sz w:val="26"/>
        </w:rPr>
        <w:t>to meet its operating and capital expenses</w:t>
      </w:r>
      <w:r w:rsidR="006F5DDD" w:rsidRPr="004C20CB">
        <w:rPr>
          <w:sz w:val="26"/>
          <w:szCs w:val="26"/>
        </w:rPr>
        <w:t xml:space="preserve"> as well as an opportunity to earn a reasonable return on its investment.</w:t>
      </w:r>
      <w:r w:rsidR="006F5DDD" w:rsidRPr="004C20CB">
        <w:rPr>
          <w:sz w:val="26"/>
        </w:rPr>
        <w:t xml:space="preserve">  </w:t>
      </w:r>
      <w:r w:rsidR="006F5DDD" w:rsidRPr="004C20CB">
        <w:rPr>
          <w:i/>
          <w:sz w:val="26"/>
        </w:rPr>
        <w:t xml:space="preserve">Id. </w:t>
      </w:r>
      <w:r w:rsidR="006F5DDD" w:rsidRPr="004C20CB">
        <w:rPr>
          <w:sz w:val="26"/>
        </w:rPr>
        <w:t xml:space="preserve">at 9.  Finally, the Settlement avoids the cost and uncertainty of litigation because the cost of litigation may ultimately be reflected in higher rates for water service.  </w:t>
      </w:r>
      <w:r w:rsidR="006F5DDD" w:rsidRPr="004C20CB">
        <w:rPr>
          <w:i/>
          <w:sz w:val="26"/>
        </w:rPr>
        <w:t>Id.</w:t>
      </w:r>
    </w:p>
    <w:p w:rsidR="006F707A" w:rsidRPr="004C20CB" w:rsidRDefault="003B7FD9" w:rsidP="006F5DDD">
      <w:pPr>
        <w:ind w:firstLine="1440"/>
        <w:rPr>
          <w:sz w:val="26"/>
          <w:szCs w:val="26"/>
        </w:rPr>
      </w:pPr>
      <w:r w:rsidRPr="004C20CB">
        <w:rPr>
          <w:sz w:val="26"/>
          <w:szCs w:val="26"/>
        </w:rPr>
        <w:lastRenderedPageBreak/>
        <w:t xml:space="preserve">Our </w:t>
      </w:r>
      <w:r w:rsidR="006F5DDD" w:rsidRPr="004C20CB">
        <w:rPr>
          <w:sz w:val="26"/>
          <w:szCs w:val="26"/>
        </w:rPr>
        <w:t>a</w:t>
      </w:r>
      <w:r w:rsidRPr="004C20CB">
        <w:rPr>
          <w:sz w:val="26"/>
          <w:szCs w:val="26"/>
        </w:rPr>
        <w:t xml:space="preserve">pproval </w:t>
      </w:r>
      <w:r w:rsidR="006F5DDD" w:rsidRPr="004C20CB">
        <w:rPr>
          <w:sz w:val="26"/>
          <w:szCs w:val="26"/>
        </w:rPr>
        <w:t>of the Settlement resolves all the relevant issues in</w:t>
      </w:r>
      <w:r w:rsidR="006F5DDD" w:rsidRPr="004C20CB">
        <w:rPr>
          <w:sz w:val="26"/>
        </w:rPr>
        <w:t xml:space="preserve"> this </w:t>
      </w:r>
      <w:r w:rsidR="006F5DDD" w:rsidRPr="004C20CB">
        <w:rPr>
          <w:sz w:val="26"/>
          <w:szCs w:val="26"/>
        </w:rPr>
        <w:t xml:space="preserve">base rate proceeding and will result in significant savings of time and expense for all Parties involved by avoiding the necessity of further administrative proceedings, as well as possible appellate court proceedings.  </w:t>
      </w:r>
      <w:r w:rsidR="006F5DDD" w:rsidRPr="004C20CB">
        <w:rPr>
          <w:sz w:val="26"/>
        </w:rPr>
        <w:t>For the reasons stated herein and in the Joint Petitioners’ Statements in Support, we agree with the ALJ’s conclusion that adoption of the Settlement is in the public interest.</w:t>
      </w:r>
    </w:p>
    <w:p w:rsidR="006F707A" w:rsidRPr="004C20CB" w:rsidRDefault="006F707A" w:rsidP="006F5DDD">
      <w:pPr>
        <w:ind w:firstLine="1440"/>
        <w:rPr>
          <w:sz w:val="26"/>
          <w:szCs w:val="26"/>
        </w:rPr>
      </w:pPr>
    </w:p>
    <w:p w:rsidR="006F5DDD" w:rsidRPr="004C20CB" w:rsidRDefault="006F707A" w:rsidP="006F5DDD">
      <w:pPr>
        <w:ind w:firstLine="1440"/>
        <w:rPr>
          <w:sz w:val="26"/>
          <w:szCs w:val="26"/>
        </w:rPr>
      </w:pPr>
      <w:r w:rsidRPr="004C20CB">
        <w:rPr>
          <w:sz w:val="26"/>
          <w:szCs w:val="26"/>
        </w:rPr>
        <w:t xml:space="preserve">Before concluding, as noted, </w:t>
      </w:r>
      <w:r w:rsidRPr="004C20CB">
        <w:rPr>
          <w:i/>
          <w:sz w:val="26"/>
          <w:szCs w:val="26"/>
        </w:rPr>
        <w:t>supra</w:t>
      </w:r>
      <w:r w:rsidRPr="004C20CB">
        <w:rPr>
          <w:sz w:val="26"/>
          <w:szCs w:val="26"/>
        </w:rPr>
        <w:t xml:space="preserve">, the OCA </w:t>
      </w:r>
      <w:r w:rsidR="00B15878" w:rsidRPr="004C20CB">
        <w:rPr>
          <w:sz w:val="26"/>
          <w:szCs w:val="26"/>
        </w:rPr>
        <w:t xml:space="preserve">submitted in </w:t>
      </w:r>
      <w:r w:rsidR="002F7E58" w:rsidRPr="004C20CB">
        <w:rPr>
          <w:sz w:val="26"/>
          <w:szCs w:val="26"/>
        </w:rPr>
        <w:t xml:space="preserve">its correspondence dated </w:t>
      </w:r>
      <w:r w:rsidRPr="004C20CB">
        <w:rPr>
          <w:sz w:val="26"/>
          <w:szCs w:val="26"/>
        </w:rPr>
        <w:t xml:space="preserve">June 18, 2018, </w:t>
      </w:r>
      <w:r w:rsidR="002F7E58" w:rsidRPr="004C20CB">
        <w:rPr>
          <w:sz w:val="26"/>
          <w:szCs w:val="26"/>
        </w:rPr>
        <w:t xml:space="preserve">that </w:t>
      </w:r>
      <w:r w:rsidR="00B15878" w:rsidRPr="004C20CB">
        <w:rPr>
          <w:sz w:val="26"/>
          <w:szCs w:val="26"/>
        </w:rPr>
        <w:t xml:space="preserve">Paragraph No. 4 </w:t>
      </w:r>
      <w:r w:rsidR="001E2B47" w:rsidRPr="004C20CB">
        <w:rPr>
          <w:sz w:val="26"/>
          <w:szCs w:val="26"/>
        </w:rPr>
        <w:t>in</w:t>
      </w:r>
      <w:r w:rsidR="00B15878" w:rsidRPr="004C20CB">
        <w:rPr>
          <w:sz w:val="26"/>
          <w:szCs w:val="26"/>
        </w:rPr>
        <w:t xml:space="preserve"> A</w:t>
      </w:r>
      <w:r w:rsidR="0079666C" w:rsidRPr="004C20CB">
        <w:rPr>
          <w:sz w:val="26"/>
          <w:szCs w:val="26"/>
        </w:rPr>
        <w:t>ttachment</w:t>
      </w:r>
      <w:r w:rsidR="00B15878" w:rsidRPr="004C20CB">
        <w:rPr>
          <w:sz w:val="26"/>
          <w:szCs w:val="26"/>
        </w:rPr>
        <w:t xml:space="preserve"> A of the ALJ’s Recommended </w:t>
      </w:r>
      <w:r w:rsidR="000F683A" w:rsidRPr="004C20CB">
        <w:rPr>
          <w:sz w:val="26"/>
          <w:szCs w:val="26"/>
        </w:rPr>
        <w:t>Decision which</w:t>
      </w:r>
      <w:r w:rsidR="00B15878" w:rsidRPr="004C20CB">
        <w:rPr>
          <w:sz w:val="26"/>
          <w:szCs w:val="26"/>
        </w:rPr>
        <w:t xml:space="preserve"> refers to </w:t>
      </w:r>
      <w:r w:rsidR="00F80F92" w:rsidRPr="004C20CB">
        <w:rPr>
          <w:sz w:val="26"/>
          <w:szCs w:val="26"/>
        </w:rPr>
        <w:t xml:space="preserve">changes that should be made to </w:t>
      </w:r>
      <w:r w:rsidR="001E2B47" w:rsidRPr="004C20CB">
        <w:rPr>
          <w:sz w:val="26"/>
          <w:szCs w:val="26"/>
        </w:rPr>
        <w:t>“</w:t>
      </w:r>
      <w:r w:rsidR="00B15878" w:rsidRPr="004C20CB">
        <w:rPr>
          <w:sz w:val="26"/>
          <w:szCs w:val="26"/>
        </w:rPr>
        <w:t>Page No. 5</w:t>
      </w:r>
      <w:r w:rsidR="001E2B47" w:rsidRPr="004C20CB">
        <w:rPr>
          <w:sz w:val="26"/>
          <w:szCs w:val="26"/>
        </w:rPr>
        <w:t>”</w:t>
      </w:r>
      <w:r w:rsidR="00B15878" w:rsidRPr="004C20CB">
        <w:rPr>
          <w:sz w:val="26"/>
          <w:szCs w:val="26"/>
        </w:rPr>
        <w:t xml:space="preserve"> of the proposed tariff</w:t>
      </w:r>
      <w:r w:rsidR="001E2B47" w:rsidRPr="004C20CB">
        <w:rPr>
          <w:sz w:val="26"/>
          <w:szCs w:val="26"/>
        </w:rPr>
        <w:t>,</w:t>
      </w:r>
      <w:r w:rsidR="00B15878" w:rsidRPr="004C20CB">
        <w:rPr>
          <w:sz w:val="26"/>
          <w:szCs w:val="26"/>
        </w:rPr>
        <w:t xml:space="preserve"> should be </w:t>
      </w:r>
      <w:r w:rsidR="001E2B47" w:rsidRPr="004C20CB">
        <w:rPr>
          <w:sz w:val="26"/>
          <w:szCs w:val="26"/>
        </w:rPr>
        <w:t xml:space="preserve">corrected to reflect that those changes should be made to “Page No. 4A” </w:t>
      </w:r>
      <w:r w:rsidR="00B15878" w:rsidRPr="004C20CB">
        <w:rPr>
          <w:sz w:val="26"/>
          <w:szCs w:val="26"/>
        </w:rPr>
        <w:t xml:space="preserve">of the proposed tariff.  </w:t>
      </w:r>
      <w:r w:rsidR="00C826BB" w:rsidRPr="004C20CB">
        <w:rPr>
          <w:sz w:val="26"/>
          <w:szCs w:val="26"/>
        </w:rPr>
        <w:t xml:space="preserve">We agree with this change.  Accordingly, </w:t>
      </w:r>
      <w:r w:rsidR="006F5DDD" w:rsidRPr="004C20CB">
        <w:rPr>
          <w:sz w:val="26"/>
          <w:szCs w:val="26"/>
        </w:rPr>
        <w:t xml:space="preserve">we shall adopt the ALJ’s recommendation to approve the Settlement with the minor modifications </w:t>
      </w:r>
      <w:r w:rsidR="00F1036E" w:rsidRPr="004C20CB">
        <w:rPr>
          <w:sz w:val="26"/>
          <w:szCs w:val="26"/>
        </w:rPr>
        <w:t xml:space="preserve">that are </w:t>
      </w:r>
      <w:r w:rsidR="006F5DDD" w:rsidRPr="004C20CB">
        <w:rPr>
          <w:sz w:val="26"/>
          <w:szCs w:val="26"/>
        </w:rPr>
        <w:t>set forth in A</w:t>
      </w:r>
      <w:r w:rsidR="0079666C" w:rsidRPr="004C20CB">
        <w:rPr>
          <w:sz w:val="26"/>
          <w:szCs w:val="26"/>
        </w:rPr>
        <w:t>ttachment</w:t>
      </w:r>
      <w:r w:rsidR="006F5DDD" w:rsidRPr="004C20CB">
        <w:rPr>
          <w:sz w:val="26"/>
          <w:szCs w:val="26"/>
        </w:rPr>
        <w:t xml:space="preserve"> A to the Recommended Decision</w:t>
      </w:r>
      <w:r w:rsidR="00C826BB" w:rsidRPr="004C20CB">
        <w:rPr>
          <w:sz w:val="26"/>
          <w:szCs w:val="26"/>
        </w:rPr>
        <w:t xml:space="preserve"> as well as the correction to A</w:t>
      </w:r>
      <w:r w:rsidR="0079666C" w:rsidRPr="004C20CB">
        <w:rPr>
          <w:sz w:val="26"/>
          <w:szCs w:val="26"/>
        </w:rPr>
        <w:t>ttachment</w:t>
      </w:r>
      <w:r w:rsidR="00C826BB" w:rsidRPr="004C20CB">
        <w:rPr>
          <w:sz w:val="26"/>
          <w:szCs w:val="26"/>
        </w:rPr>
        <w:t xml:space="preserve"> A </w:t>
      </w:r>
      <w:r w:rsidR="0085037E" w:rsidRPr="004C20CB">
        <w:rPr>
          <w:sz w:val="26"/>
          <w:szCs w:val="26"/>
        </w:rPr>
        <w:t xml:space="preserve">as submitted </w:t>
      </w:r>
      <w:r w:rsidR="00C826BB" w:rsidRPr="004C20CB">
        <w:rPr>
          <w:sz w:val="26"/>
          <w:szCs w:val="26"/>
        </w:rPr>
        <w:t>by the OCA</w:t>
      </w:r>
      <w:r w:rsidR="006F5DDD" w:rsidRPr="004C20CB">
        <w:rPr>
          <w:sz w:val="26"/>
          <w:szCs w:val="26"/>
        </w:rPr>
        <w:t>.</w:t>
      </w:r>
    </w:p>
    <w:p w:rsidR="003949B7" w:rsidRDefault="003949B7" w:rsidP="00A44992">
      <w:pPr>
        <w:rPr>
          <w:rFonts w:eastAsiaTheme="minorHAnsi" w:cstheme="minorBidi"/>
          <w:sz w:val="26"/>
          <w:szCs w:val="22"/>
        </w:rPr>
      </w:pPr>
    </w:p>
    <w:p w:rsidR="00055F63" w:rsidRDefault="00A44992" w:rsidP="00A44992">
      <w:pPr>
        <w:rPr>
          <w:sz w:val="26"/>
          <w:szCs w:val="26"/>
        </w:rPr>
      </w:pPr>
      <w:r w:rsidRPr="00247554">
        <w:rPr>
          <w:sz w:val="26"/>
          <w:szCs w:val="26"/>
        </w:rPr>
        <w:tab/>
      </w:r>
      <w:r w:rsidRPr="00247554">
        <w:rPr>
          <w:sz w:val="26"/>
          <w:szCs w:val="26"/>
        </w:rPr>
        <w:tab/>
        <w:t xml:space="preserve">Consistent with the above discussion, we shall </w:t>
      </w:r>
      <w:r w:rsidR="00055F63">
        <w:rPr>
          <w:sz w:val="26"/>
          <w:szCs w:val="26"/>
        </w:rPr>
        <w:t>deny</w:t>
      </w:r>
      <w:r>
        <w:rPr>
          <w:sz w:val="26"/>
          <w:szCs w:val="26"/>
        </w:rPr>
        <w:t xml:space="preserve"> the</w:t>
      </w:r>
      <w:r w:rsidR="00055F63">
        <w:rPr>
          <w:sz w:val="26"/>
          <w:szCs w:val="26"/>
        </w:rPr>
        <w:t xml:space="preserve"> Complainants’</w:t>
      </w:r>
      <w:r>
        <w:rPr>
          <w:sz w:val="26"/>
          <w:szCs w:val="26"/>
        </w:rPr>
        <w:t xml:space="preserve"> Exceptions,</w:t>
      </w:r>
      <w:r w:rsidR="00055F63">
        <w:rPr>
          <w:sz w:val="26"/>
          <w:szCs w:val="26"/>
        </w:rPr>
        <w:t xml:space="preserve"> adopt </w:t>
      </w:r>
      <w:r>
        <w:rPr>
          <w:sz w:val="26"/>
        </w:rPr>
        <w:t xml:space="preserve">the ALJ’s </w:t>
      </w:r>
      <w:r w:rsidR="00FF00AE">
        <w:rPr>
          <w:sz w:val="26"/>
        </w:rPr>
        <w:t>recommendation that</w:t>
      </w:r>
      <w:r w:rsidR="00055F63">
        <w:rPr>
          <w:sz w:val="26"/>
        </w:rPr>
        <w:t xml:space="preserve"> approve</w:t>
      </w:r>
      <w:r w:rsidR="00F1036E">
        <w:rPr>
          <w:sz w:val="26"/>
        </w:rPr>
        <w:t>s</w:t>
      </w:r>
      <w:r w:rsidR="00055F63">
        <w:rPr>
          <w:sz w:val="26"/>
          <w:szCs w:val="26"/>
        </w:rPr>
        <w:t xml:space="preserve"> the Settlement with minor modifications</w:t>
      </w:r>
      <w:r w:rsidR="00DC7A54">
        <w:rPr>
          <w:sz w:val="26"/>
          <w:szCs w:val="26"/>
        </w:rPr>
        <w:t>,</w:t>
      </w:r>
      <w:r w:rsidR="00055F63">
        <w:rPr>
          <w:sz w:val="26"/>
          <w:szCs w:val="26"/>
        </w:rPr>
        <w:t xml:space="preserve"> </w:t>
      </w:r>
      <w:r w:rsidR="0085037E">
        <w:rPr>
          <w:sz w:val="26"/>
          <w:szCs w:val="26"/>
        </w:rPr>
        <w:t xml:space="preserve">as corrected, </w:t>
      </w:r>
      <w:r w:rsidR="001B16EF">
        <w:rPr>
          <w:sz w:val="26"/>
          <w:szCs w:val="26"/>
        </w:rPr>
        <w:t xml:space="preserve">as </w:t>
      </w:r>
      <w:r w:rsidR="00055F63">
        <w:rPr>
          <w:sz w:val="26"/>
          <w:szCs w:val="26"/>
        </w:rPr>
        <w:t>set forth in A</w:t>
      </w:r>
      <w:r w:rsidR="0079666C">
        <w:rPr>
          <w:sz w:val="26"/>
          <w:szCs w:val="26"/>
        </w:rPr>
        <w:t>ttachment</w:t>
      </w:r>
      <w:r w:rsidR="00055F63">
        <w:rPr>
          <w:sz w:val="26"/>
          <w:szCs w:val="26"/>
        </w:rPr>
        <w:t xml:space="preserve"> A to the Recommended Decision, and adopt the change proposed by the OCA.</w:t>
      </w:r>
      <w:r w:rsidR="007C5BB0">
        <w:rPr>
          <w:rStyle w:val="FootnoteReference"/>
          <w:rFonts w:eastAsiaTheme="minorHAnsi" w:cstheme="minorBidi"/>
          <w:sz w:val="26"/>
          <w:szCs w:val="22"/>
        </w:rPr>
        <w:footnoteReference w:id="20"/>
      </w:r>
    </w:p>
    <w:p w:rsidR="0045062E" w:rsidRPr="00BA4EB5" w:rsidRDefault="0045062E" w:rsidP="00BA4EB5">
      <w:pPr>
        <w:spacing w:after="200" w:line="276" w:lineRule="auto"/>
        <w:rPr>
          <w:b/>
          <w:sz w:val="26"/>
        </w:rPr>
      </w:pPr>
    </w:p>
    <w:p w:rsidR="00A44992" w:rsidRPr="00600FC7" w:rsidRDefault="00A44992" w:rsidP="00BA4EB5">
      <w:pPr>
        <w:pStyle w:val="Heading1"/>
        <w:keepNext/>
        <w:keepLines/>
      </w:pPr>
      <w:bookmarkStart w:id="17" w:name="_Toc471748001"/>
      <w:bookmarkStart w:id="18" w:name="_Toc471748139"/>
      <w:r w:rsidRPr="00600FC7">
        <w:t>V.</w:t>
      </w:r>
      <w:r w:rsidRPr="00600FC7">
        <w:tab/>
        <w:t>Conclusion</w:t>
      </w:r>
      <w:bookmarkEnd w:id="17"/>
      <w:bookmarkEnd w:id="18"/>
    </w:p>
    <w:p w:rsidR="00A44992" w:rsidRDefault="00A44992" w:rsidP="009A0632">
      <w:pPr>
        <w:keepNext/>
        <w:keepLines/>
        <w:jc w:val="center"/>
        <w:rPr>
          <w:b/>
          <w:sz w:val="26"/>
          <w:szCs w:val="26"/>
        </w:rPr>
      </w:pPr>
    </w:p>
    <w:p w:rsidR="00A44992" w:rsidRPr="00674F88" w:rsidRDefault="00A44992" w:rsidP="00A44992">
      <w:pPr>
        <w:pStyle w:val="BodyText2"/>
        <w:spacing w:after="0" w:line="360" w:lineRule="auto"/>
        <w:rPr>
          <w:sz w:val="26"/>
          <w:szCs w:val="26"/>
        </w:rPr>
      </w:pPr>
      <w:r w:rsidRPr="00674F88">
        <w:rPr>
          <w:sz w:val="26"/>
          <w:szCs w:val="26"/>
        </w:rPr>
        <w:tab/>
      </w:r>
      <w:r w:rsidRPr="00674F88">
        <w:rPr>
          <w:sz w:val="26"/>
          <w:szCs w:val="26"/>
        </w:rPr>
        <w:tab/>
        <w:t>Based on our review</w:t>
      </w:r>
      <w:r>
        <w:rPr>
          <w:sz w:val="26"/>
          <w:szCs w:val="26"/>
        </w:rPr>
        <w:t xml:space="preserve"> of the record and the positions of the Parties</w:t>
      </w:r>
      <w:r w:rsidRPr="00674F88">
        <w:rPr>
          <w:sz w:val="26"/>
          <w:szCs w:val="26"/>
        </w:rPr>
        <w:t xml:space="preserve">, we </w:t>
      </w:r>
      <w:r>
        <w:rPr>
          <w:sz w:val="26"/>
          <w:szCs w:val="26"/>
        </w:rPr>
        <w:t>shall: (1)</w:t>
      </w:r>
      <w:r w:rsidR="009A0632">
        <w:rPr>
          <w:sz w:val="26"/>
          <w:szCs w:val="26"/>
        </w:rPr>
        <w:t> </w:t>
      </w:r>
      <w:r>
        <w:rPr>
          <w:sz w:val="26"/>
          <w:szCs w:val="26"/>
        </w:rPr>
        <w:t xml:space="preserve">adopt the ALJ’s recommendation to </w:t>
      </w:r>
      <w:r w:rsidR="009A0632">
        <w:rPr>
          <w:sz w:val="26"/>
          <w:szCs w:val="26"/>
        </w:rPr>
        <w:t xml:space="preserve">grant the </w:t>
      </w:r>
      <w:r w:rsidR="0085037E">
        <w:rPr>
          <w:sz w:val="26"/>
          <w:szCs w:val="26"/>
        </w:rPr>
        <w:t xml:space="preserve">Joint </w:t>
      </w:r>
      <w:r w:rsidR="009A0632">
        <w:rPr>
          <w:sz w:val="26"/>
          <w:szCs w:val="26"/>
        </w:rPr>
        <w:t xml:space="preserve">Petition and </w:t>
      </w:r>
      <w:r>
        <w:rPr>
          <w:sz w:val="26"/>
          <w:szCs w:val="26"/>
        </w:rPr>
        <w:t xml:space="preserve">approve the Settlement with </w:t>
      </w:r>
      <w:r w:rsidR="00375281">
        <w:rPr>
          <w:sz w:val="26"/>
          <w:szCs w:val="26"/>
        </w:rPr>
        <w:t xml:space="preserve">the minor </w:t>
      </w:r>
      <w:r>
        <w:rPr>
          <w:sz w:val="26"/>
          <w:szCs w:val="26"/>
        </w:rPr>
        <w:t>modification</w:t>
      </w:r>
      <w:r w:rsidR="00E11BE9">
        <w:rPr>
          <w:sz w:val="26"/>
          <w:szCs w:val="26"/>
        </w:rPr>
        <w:t>s</w:t>
      </w:r>
      <w:r w:rsidR="00DC7A54">
        <w:rPr>
          <w:sz w:val="26"/>
          <w:szCs w:val="26"/>
        </w:rPr>
        <w:t>, as</w:t>
      </w:r>
      <w:r w:rsidR="00375281">
        <w:rPr>
          <w:sz w:val="26"/>
          <w:szCs w:val="26"/>
        </w:rPr>
        <w:t xml:space="preserve"> set forth in A</w:t>
      </w:r>
      <w:r w:rsidR="0079666C">
        <w:rPr>
          <w:sz w:val="26"/>
          <w:szCs w:val="26"/>
        </w:rPr>
        <w:t>ttachment</w:t>
      </w:r>
      <w:r w:rsidR="00375281">
        <w:rPr>
          <w:sz w:val="26"/>
          <w:szCs w:val="26"/>
        </w:rPr>
        <w:t xml:space="preserve"> A to the </w:t>
      </w:r>
      <w:r w:rsidR="00375281">
        <w:rPr>
          <w:sz w:val="26"/>
          <w:szCs w:val="26"/>
        </w:rPr>
        <w:lastRenderedPageBreak/>
        <w:t>Recommended Decision, including the</w:t>
      </w:r>
      <w:r w:rsidR="00BB008D">
        <w:rPr>
          <w:sz w:val="26"/>
          <w:szCs w:val="26"/>
        </w:rPr>
        <w:t xml:space="preserve"> change proposed </w:t>
      </w:r>
      <w:r w:rsidR="00375281">
        <w:rPr>
          <w:sz w:val="26"/>
          <w:szCs w:val="26"/>
        </w:rPr>
        <w:t>by the OCA</w:t>
      </w:r>
      <w:r>
        <w:rPr>
          <w:sz w:val="26"/>
          <w:szCs w:val="26"/>
        </w:rPr>
        <w:t xml:space="preserve">; </w:t>
      </w:r>
      <w:r w:rsidR="00375281">
        <w:rPr>
          <w:sz w:val="26"/>
          <w:szCs w:val="26"/>
        </w:rPr>
        <w:t xml:space="preserve">and </w:t>
      </w:r>
      <w:r>
        <w:rPr>
          <w:sz w:val="26"/>
          <w:szCs w:val="26"/>
        </w:rPr>
        <w:t xml:space="preserve">(2) </w:t>
      </w:r>
      <w:r w:rsidR="005F3A98">
        <w:rPr>
          <w:sz w:val="26"/>
          <w:szCs w:val="26"/>
        </w:rPr>
        <w:t>deny</w:t>
      </w:r>
      <w:r>
        <w:rPr>
          <w:sz w:val="26"/>
          <w:szCs w:val="26"/>
        </w:rPr>
        <w:t xml:space="preserve"> </w:t>
      </w:r>
      <w:r w:rsidRPr="00674F88">
        <w:rPr>
          <w:sz w:val="26"/>
          <w:szCs w:val="26"/>
        </w:rPr>
        <w:t>the Exceptions filed by the</w:t>
      </w:r>
      <w:r w:rsidR="005F3A98">
        <w:rPr>
          <w:sz w:val="26"/>
          <w:szCs w:val="26"/>
        </w:rPr>
        <w:t xml:space="preserve"> Complainants</w:t>
      </w:r>
      <w:r>
        <w:rPr>
          <w:sz w:val="26"/>
          <w:szCs w:val="26"/>
        </w:rPr>
        <w:t xml:space="preserve">; </w:t>
      </w:r>
      <w:r w:rsidRPr="00674F88">
        <w:rPr>
          <w:b/>
          <w:sz w:val="26"/>
          <w:szCs w:val="26"/>
        </w:rPr>
        <w:t>THEREFORE,</w:t>
      </w:r>
    </w:p>
    <w:p w:rsidR="00A44992" w:rsidRPr="00ED0599" w:rsidRDefault="00A44992" w:rsidP="00BA4EB5">
      <w:pPr>
        <w:pStyle w:val="BodyText2"/>
        <w:spacing w:after="0" w:line="360" w:lineRule="auto"/>
      </w:pPr>
      <w:bookmarkStart w:id="19" w:name="_Toc471748002"/>
      <w:bookmarkStart w:id="20" w:name="_Toc471748140"/>
    </w:p>
    <w:bookmarkEnd w:id="19"/>
    <w:bookmarkEnd w:id="20"/>
    <w:p w:rsidR="00A44992" w:rsidRDefault="00A44992" w:rsidP="00A44992">
      <w:pPr>
        <w:rPr>
          <w:b/>
          <w:sz w:val="26"/>
          <w:szCs w:val="26"/>
        </w:rPr>
      </w:pPr>
      <w:r>
        <w:rPr>
          <w:b/>
          <w:sz w:val="26"/>
          <w:szCs w:val="26"/>
        </w:rPr>
        <w:tab/>
      </w:r>
      <w:r>
        <w:rPr>
          <w:b/>
          <w:sz w:val="26"/>
          <w:szCs w:val="26"/>
        </w:rPr>
        <w:tab/>
        <w:t>IT IS ORDERED:</w:t>
      </w:r>
    </w:p>
    <w:p w:rsidR="00A44992" w:rsidRPr="00BA4EB5" w:rsidRDefault="00A44992" w:rsidP="00A44992">
      <w:pPr>
        <w:rPr>
          <w:sz w:val="26"/>
        </w:rPr>
      </w:pPr>
    </w:p>
    <w:p w:rsidR="00A44992" w:rsidRDefault="00A44992" w:rsidP="00A44992">
      <w:pPr>
        <w:ind w:firstLine="1440"/>
        <w:rPr>
          <w:sz w:val="26"/>
          <w:szCs w:val="26"/>
        </w:rPr>
      </w:pPr>
      <w:r w:rsidRPr="00913C77">
        <w:rPr>
          <w:sz w:val="26"/>
          <w:szCs w:val="26"/>
        </w:rPr>
        <w:t>1.</w:t>
      </w:r>
      <w:r w:rsidRPr="00913C77">
        <w:rPr>
          <w:sz w:val="26"/>
          <w:szCs w:val="26"/>
        </w:rPr>
        <w:tab/>
      </w:r>
      <w:r>
        <w:rPr>
          <w:sz w:val="26"/>
          <w:szCs w:val="26"/>
        </w:rPr>
        <w:t xml:space="preserve">That the </w:t>
      </w:r>
      <w:r w:rsidRPr="00674F88">
        <w:rPr>
          <w:sz w:val="26"/>
          <w:szCs w:val="26"/>
        </w:rPr>
        <w:t>Exceptions by</w:t>
      </w:r>
      <w:r>
        <w:rPr>
          <w:sz w:val="26"/>
          <w:szCs w:val="26"/>
        </w:rPr>
        <w:t xml:space="preserve"> </w:t>
      </w:r>
      <w:r w:rsidR="001403DF">
        <w:rPr>
          <w:sz w:val="26"/>
          <w:szCs w:val="26"/>
        </w:rPr>
        <w:t>Mildred Heile, Gilbert V. and Marilyn A. Brant</w:t>
      </w:r>
      <w:r w:rsidR="00457B24">
        <w:rPr>
          <w:sz w:val="26"/>
          <w:szCs w:val="26"/>
        </w:rPr>
        <w:t>,</w:t>
      </w:r>
      <w:r w:rsidR="001403DF">
        <w:rPr>
          <w:sz w:val="26"/>
          <w:szCs w:val="26"/>
        </w:rPr>
        <w:t xml:space="preserve"> and Matthew Nestor filed on June 6, 2018, Thomas Hanzes and Clark Eberhart, filed on June 7, 2018, </w:t>
      </w:r>
      <w:r w:rsidR="001403DF" w:rsidRPr="00DC2BE7">
        <w:rPr>
          <w:sz w:val="26"/>
          <w:szCs w:val="26"/>
        </w:rPr>
        <w:t xml:space="preserve">David Roeder, Sr., Ryan Foust, Margaret Foust, </w:t>
      </w:r>
      <w:r w:rsidR="001403DF">
        <w:rPr>
          <w:sz w:val="26"/>
          <w:szCs w:val="26"/>
        </w:rPr>
        <w:t xml:space="preserve">and </w:t>
      </w:r>
      <w:r w:rsidR="001403DF" w:rsidRPr="00DC2BE7">
        <w:rPr>
          <w:sz w:val="26"/>
          <w:szCs w:val="26"/>
        </w:rPr>
        <w:t>Plem Patterson</w:t>
      </w:r>
      <w:r w:rsidR="001403DF">
        <w:rPr>
          <w:sz w:val="26"/>
          <w:szCs w:val="26"/>
        </w:rPr>
        <w:t xml:space="preserve"> filed on June 8, 2018, </w:t>
      </w:r>
      <w:r w:rsidR="001403DF" w:rsidRPr="00DC2BE7">
        <w:rPr>
          <w:sz w:val="26"/>
          <w:szCs w:val="26"/>
        </w:rPr>
        <w:t>Laurel Litwiler, Lucas Shilling, James Vessella, Brian Hills, John D’Urso, Helen Canady</w:t>
      </w:r>
      <w:r w:rsidR="001403DF">
        <w:rPr>
          <w:sz w:val="26"/>
          <w:szCs w:val="26"/>
        </w:rPr>
        <w:t xml:space="preserve">, Diana Cole </w:t>
      </w:r>
      <w:r w:rsidR="001403DF" w:rsidRPr="00DC2BE7">
        <w:rPr>
          <w:sz w:val="26"/>
          <w:szCs w:val="26"/>
        </w:rPr>
        <w:t>and Sean Belback</w:t>
      </w:r>
      <w:r w:rsidR="001403DF">
        <w:rPr>
          <w:sz w:val="26"/>
          <w:szCs w:val="26"/>
        </w:rPr>
        <w:t xml:space="preserve"> filed on June 11, 2018, Marie T. Potts filed on June 14, 2018, and </w:t>
      </w:r>
      <w:r w:rsidR="001403DF" w:rsidRPr="001403DF">
        <w:rPr>
          <w:sz w:val="26"/>
          <w:szCs w:val="26"/>
        </w:rPr>
        <w:t>Bea DeCiancio filed</w:t>
      </w:r>
      <w:r w:rsidR="001403DF">
        <w:t xml:space="preserve"> on June 20, 2018, </w:t>
      </w:r>
      <w:r>
        <w:rPr>
          <w:sz w:val="26"/>
          <w:szCs w:val="26"/>
        </w:rPr>
        <w:t>are</w:t>
      </w:r>
      <w:r w:rsidR="00CF433E">
        <w:rPr>
          <w:sz w:val="26"/>
          <w:szCs w:val="26"/>
        </w:rPr>
        <w:t xml:space="preserve"> denied</w:t>
      </w:r>
      <w:r>
        <w:rPr>
          <w:sz w:val="26"/>
          <w:szCs w:val="26"/>
        </w:rPr>
        <w:t>,</w:t>
      </w:r>
      <w:r w:rsidRPr="00674F88">
        <w:rPr>
          <w:sz w:val="26"/>
          <w:szCs w:val="26"/>
        </w:rPr>
        <w:t xml:space="preserve"> consistent with this Opinion and Order.</w:t>
      </w:r>
    </w:p>
    <w:p w:rsidR="00E572F6" w:rsidRDefault="00E572F6" w:rsidP="00A44992">
      <w:pPr>
        <w:ind w:firstLine="1440"/>
        <w:rPr>
          <w:sz w:val="26"/>
          <w:szCs w:val="26"/>
        </w:rPr>
      </w:pPr>
    </w:p>
    <w:p w:rsidR="00E572F6" w:rsidRDefault="00E572F6" w:rsidP="003776D2">
      <w:pPr>
        <w:pStyle w:val="FootnoteText"/>
        <w:keepNext w:val="0"/>
        <w:keepLines w:val="0"/>
        <w:spacing w:after="0" w:line="360" w:lineRule="auto"/>
      </w:pPr>
      <w:r>
        <w:t>2.</w:t>
      </w:r>
      <w:r>
        <w:tab/>
        <w:t>That the changes proposed by the Office of Consumer Advocate</w:t>
      </w:r>
      <w:r w:rsidR="00E16B40">
        <w:t xml:space="preserve"> in its letter filed on June 18, 2018, recommending that </w:t>
      </w:r>
      <w:r>
        <w:t>paragraph 4 of A</w:t>
      </w:r>
      <w:r w:rsidR="0079666C">
        <w:t>ttachment</w:t>
      </w:r>
      <w:r>
        <w:t xml:space="preserve"> A to the Recommended Decision, which refers to page </w:t>
      </w:r>
      <w:r w:rsidR="00DC2E17">
        <w:t xml:space="preserve">No. </w:t>
      </w:r>
      <w:r>
        <w:t xml:space="preserve">5 of the proposed tariff be revised to page </w:t>
      </w:r>
      <w:r w:rsidR="00DC2E17">
        <w:t xml:space="preserve">No. </w:t>
      </w:r>
      <w:r>
        <w:t>4A of the proposed tariff</w:t>
      </w:r>
      <w:r w:rsidR="00E16B40">
        <w:t>, is adopted, consistent with this Opinion and Order.</w:t>
      </w:r>
    </w:p>
    <w:p w:rsidR="00A44992" w:rsidRDefault="00A44992" w:rsidP="003776D2">
      <w:pPr>
        <w:ind w:firstLine="1440"/>
        <w:rPr>
          <w:sz w:val="26"/>
          <w:szCs w:val="26"/>
        </w:rPr>
      </w:pPr>
    </w:p>
    <w:p w:rsidR="005C3F4E" w:rsidRDefault="00E16B40" w:rsidP="003776D2">
      <w:pPr>
        <w:pStyle w:val="FootnoteText"/>
        <w:keepNext w:val="0"/>
        <w:keepLines w:val="0"/>
        <w:spacing w:after="0" w:line="360" w:lineRule="auto"/>
      </w:pPr>
      <w:r>
        <w:t>3</w:t>
      </w:r>
      <w:r w:rsidR="00A44992">
        <w:t>.</w:t>
      </w:r>
      <w:r w:rsidR="00A44992">
        <w:tab/>
        <w:t xml:space="preserve">That the </w:t>
      </w:r>
      <w:r w:rsidR="00A44992" w:rsidRPr="00674F88">
        <w:t>Recommended Decision of Administrat</w:t>
      </w:r>
      <w:r w:rsidR="00A44992">
        <w:t>ive Law Judge</w:t>
      </w:r>
      <w:r w:rsidR="00CF433E">
        <w:t xml:space="preserve"> Katrina L. Dunderdale</w:t>
      </w:r>
      <w:r w:rsidR="00A44992">
        <w:t>, issued on</w:t>
      </w:r>
      <w:r w:rsidR="00CF433E">
        <w:t xml:space="preserve"> May 29</w:t>
      </w:r>
      <w:r w:rsidR="00A44992">
        <w:t>, 201</w:t>
      </w:r>
      <w:r w:rsidR="00CF433E">
        <w:t>8</w:t>
      </w:r>
      <w:r w:rsidR="00A44992" w:rsidRPr="00674F88">
        <w:t>, is adopted</w:t>
      </w:r>
      <w:r w:rsidR="00A44992">
        <w:t xml:space="preserve"> as modified</w:t>
      </w:r>
      <w:r w:rsidR="00A44992" w:rsidRPr="00674F88">
        <w:t>, consistent with this Opinion and Order</w:t>
      </w:r>
      <w:r w:rsidR="002B7075">
        <w:t>.</w:t>
      </w:r>
    </w:p>
    <w:p w:rsidR="00553561" w:rsidRDefault="00553561" w:rsidP="007118AA">
      <w:pPr>
        <w:ind w:firstLine="1440"/>
        <w:rPr>
          <w:rFonts w:eastAsiaTheme="minorHAnsi" w:cstheme="minorBidi"/>
          <w:sz w:val="26"/>
          <w:szCs w:val="22"/>
        </w:rPr>
      </w:pPr>
    </w:p>
    <w:p w:rsidR="00BE48CC" w:rsidRDefault="002B7075" w:rsidP="00BE48CC">
      <w:pPr>
        <w:ind w:firstLine="1440"/>
        <w:rPr>
          <w:sz w:val="26"/>
          <w:szCs w:val="26"/>
        </w:rPr>
      </w:pPr>
      <w:r>
        <w:rPr>
          <w:sz w:val="26"/>
          <w:szCs w:val="26"/>
        </w:rPr>
        <w:t>4</w:t>
      </w:r>
      <w:r w:rsidR="00A44992">
        <w:rPr>
          <w:sz w:val="26"/>
          <w:szCs w:val="26"/>
        </w:rPr>
        <w:t>.</w:t>
      </w:r>
      <w:r w:rsidR="00A44992">
        <w:rPr>
          <w:sz w:val="26"/>
          <w:szCs w:val="26"/>
        </w:rPr>
        <w:tab/>
      </w:r>
      <w:r w:rsidR="00A44992" w:rsidRPr="00913C77">
        <w:rPr>
          <w:sz w:val="26"/>
          <w:szCs w:val="26"/>
        </w:rPr>
        <w:t>That the Joint Petition for Settlement of Docket No. R-201</w:t>
      </w:r>
      <w:r w:rsidR="00BE48CC">
        <w:rPr>
          <w:sz w:val="26"/>
          <w:szCs w:val="26"/>
        </w:rPr>
        <w:t>7</w:t>
      </w:r>
      <w:r w:rsidR="00A44992" w:rsidRPr="00913C77">
        <w:rPr>
          <w:sz w:val="26"/>
          <w:szCs w:val="26"/>
        </w:rPr>
        <w:t>-</w:t>
      </w:r>
      <w:r w:rsidR="00BE48CC">
        <w:rPr>
          <w:sz w:val="26"/>
          <w:szCs w:val="26"/>
        </w:rPr>
        <w:t xml:space="preserve">2631441, </w:t>
      </w:r>
      <w:r w:rsidR="00A44992" w:rsidRPr="00913C77">
        <w:rPr>
          <w:sz w:val="26"/>
          <w:szCs w:val="26"/>
        </w:rPr>
        <w:t>filed</w:t>
      </w:r>
      <w:r w:rsidR="00BE48CC">
        <w:rPr>
          <w:sz w:val="26"/>
          <w:szCs w:val="26"/>
        </w:rPr>
        <w:t xml:space="preserve"> April 6</w:t>
      </w:r>
      <w:r w:rsidR="00A44992" w:rsidRPr="00913C77">
        <w:rPr>
          <w:sz w:val="26"/>
          <w:szCs w:val="26"/>
        </w:rPr>
        <w:t>, 201</w:t>
      </w:r>
      <w:r w:rsidR="00BE48CC">
        <w:rPr>
          <w:sz w:val="26"/>
          <w:szCs w:val="26"/>
        </w:rPr>
        <w:t>7</w:t>
      </w:r>
      <w:r w:rsidR="00A44992" w:rsidRPr="00913C77">
        <w:rPr>
          <w:sz w:val="26"/>
          <w:szCs w:val="26"/>
        </w:rPr>
        <w:t xml:space="preserve">, by </w:t>
      </w:r>
      <w:r w:rsidR="00BE48CC">
        <w:rPr>
          <w:sz w:val="26"/>
          <w:szCs w:val="26"/>
        </w:rPr>
        <w:t>Reynolds Water</w:t>
      </w:r>
      <w:r w:rsidR="00A44992" w:rsidRPr="00913C77">
        <w:rPr>
          <w:sz w:val="26"/>
          <w:szCs w:val="26"/>
        </w:rPr>
        <w:t xml:space="preserve"> Company, the Commission’s Bureau of Investigation and Enforcement</w:t>
      </w:r>
      <w:r w:rsidR="00BE48CC">
        <w:rPr>
          <w:sz w:val="26"/>
          <w:szCs w:val="26"/>
        </w:rPr>
        <w:t xml:space="preserve"> and </w:t>
      </w:r>
      <w:r w:rsidR="00A44992" w:rsidRPr="00913C77">
        <w:rPr>
          <w:sz w:val="26"/>
          <w:szCs w:val="26"/>
        </w:rPr>
        <w:t xml:space="preserve">the Office of Consumer Advocate, is </w:t>
      </w:r>
      <w:r w:rsidR="00BE48CC" w:rsidRPr="00BE48CC">
        <w:rPr>
          <w:sz w:val="26"/>
          <w:szCs w:val="26"/>
        </w:rPr>
        <w:t>approved, as modified to reflect the changes noted in Attachment A to th</w:t>
      </w:r>
      <w:r w:rsidR="00BE48CC">
        <w:rPr>
          <w:sz w:val="26"/>
          <w:szCs w:val="26"/>
        </w:rPr>
        <w:t>e</w:t>
      </w:r>
      <w:r w:rsidR="00BE48CC" w:rsidRPr="00BE48CC">
        <w:rPr>
          <w:sz w:val="26"/>
          <w:szCs w:val="26"/>
        </w:rPr>
        <w:t xml:space="preserve"> Recommend</w:t>
      </w:r>
      <w:r w:rsidR="00BE48CC">
        <w:rPr>
          <w:sz w:val="26"/>
          <w:szCs w:val="26"/>
        </w:rPr>
        <w:t>ed Decision</w:t>
      </w:r>
      <w:r w:rsidR="005D2A16">
        <w:rPr>
          <w:sz w:val="26"/>
          <w:szCs w:val="26"/>
        </w:rPr>
        <w:t>,</w:t>
      </w:r>
      <w:r w:rsidR="00BE48CC">
        <w:rPr>
          <w:sz w:val="26"/>
          <w:szCs w:val="26"/>
        </w:rPr>
        <w:t xml:space="preserve"> and the </w:t>
      </w:r>
      <w:r w:rsidR="008931BA">
        <w:rPr>
          <w:sz w:val="26"/>
          <w:szCs w:val="26"/>
        </w:rPr>
        <w:t xml:space="preserve">subsequent </w:t>
      </w:r>
      <w:r w:rsidR="00205F77">
        <w:rPr>
          <w:sz w:val="26"/>
          <w:szCs w:val="26"/>
        </w:rPr>
        <w:t>change</w:t>
      </w:r>
      <w:r w:rsidR="00BE48CC">
        <w:rPr>
          <w:sz w:val="26"/>
          <w:szCs w:val="26"/>
        </w:rPr>
        <w:t xml:space="preserve"> </w:t>
      </w:r>
      <w:r w:rsidR="007E6C1D">
        <w:rPr>
          <w:sz w:val="26"/>
          <w:szCs w:val="26"/>
        </w:rPr>
        <w:t>proposed by the Office of Consumer Advocat</w:t>
      </w:r>
      <w:r w:rsidR="00384A1A">
        <w:rPr>
          <w:sz w:val="26"/>
          <w:szCs w:val="26"/>
        </w:rPr>
        <w:t>e</w:t>
      </w:r>
      <w:r w:rsidR="008B33D9">
        <w:rPr>
          <w:sz w:val="26"/>
          <w:szCs w:val="26"/>
        </w:rPr>
        <w:t xml:space="preserve"> as set forth in Ordering Paragraph No. 2, above</w:t>
      </w:r>
      <w:r w:rsidR="00BE48CC" w:rsidRPr="00BE48CC">
        <w:rPr>
          <w:sz w:val="26"/>
          <w:szCs w:val="26"/>
        </w:rPr>
        <w:t xml:space="preserve">. </w:t>
      </w:r>
    </w:p>
    <w:p w:rsidR="009F7F91" w:rsidRPr="00BE48CC" w:rsidRDefault="009F7F91" w:rsidP="00BE48CC">
      <w:pPr>
        <w:ind w:firstLine="1440"/>
        <w:rPr>
          <w:sz w:val="26"/>
          <w:szCs w:val="26"/>
        </w:rPr>
      </w:pPr>
    </w:p>
    <w:p w:rsidR="009618EC" w:rsidRDefault="002B7075" w:rsidP="009618EC">
      <w:pPr>
        <w:ind w:firstLine="1440"/>
        <w:rPr>
          <w:sz w:val="26"/>
          <w:szCs w:val="26"/>
        </w:rPr>
      </w:pPr>
      <w:r>
        <w:rPr>
          <w:sz w:val="26"/>
          <w:szCs w:val="26"/>
        </w:rPr>
        <w:lastRenderedPageBreak/>
        <w:t>5</w:t>
      </w:r>
      <w:r w:rsidR="009618EC" w:rsidRPr="009618EC">
        <w:rPr>
          <w:sz w:val="26"/>
          <w:szCs w:val="26"/>
        </w:rPr>
        <w:t>.</w:t>
      </w:r>
      <w:r w:rsidR="009618EC">
        <w:rPr>
          <w:sz w:val="26"/>
          <w:szCs w:val="26"/>
        </w:rPr>
        <w:tab/>
      </w:r>
      <w:r w:rsidR="009618EC" w:rsidRPr="009618EC">
        <w:rPr>
          <w:sz w:val="26"/>
          <w:szCs w:val="26"/>
        </w:rPr>
        <w:t xml:space="preserve">That Reynolds Water Company, shall not place into effect the rates, rules, and regulations contained in Supplement No. 5 to Water-Pa. P.U.C. No. 4, as filed on October 30, 2017, the same having been found to be unjust, unreasonable, and therefore unlawful. </w:t>
      </w:r>
    </w:p>
    <w:p w:rsidR="001403DF" w:rsidRPr="009618EC" w:rsidRDefault="001403DF" w:rsidP="009618EC">
      <w:pPr>
        <w:ind w:firstLine="1440"/>
        <w:rPr>
          <w:sz w:val="26"/>
          <w:szCs w:val="26"/>
        </w:rPr>
      </w:pPr>
    </w:p>
    <w:p w:rsidR="009618EC" w:rsidRPr="009618EC" w:rsidRDefault="002B7075" w:rsidP="009618EC">
      <w:pPr>
        <w:ind w:firstLine="1440"/>
        <w:rPr>
          <w:sz w:val="26"/>
          <w:szCs w:val="26"/>
        </w:rPr>
      </w:pPr>
      <w:r>
        <w:rPr>
          <w:sz w:val="26"/>
          <w:szCs w:val="26"/>
        </w:rPr>
        <w:t>6</w:t>
      </w:r>
      <w:r w:rsidR="009618EC" w:rsidRPr="009618EC">
        <w:rPr>
          <w:sz w:val="26"/>
          <w:szCs w:val="26"/>
        </w:rPr>
        <w:t>.</w:t>
      </w:r>
      <w:r w:rsidR="009618EC">
        <w:rPr>
          <w:sz w:val="26"/>
          <w:szCs w:val="26"/>
        </w:rPr>
        <w:tab/>
      </w:r>
      <w:r w:rsidR="009618EC" w:rsidRPr="009618EC">
        <w:rPr>
          <w:sz w:val="26"/>
          <w:szCs w:val="26"/>
        </w:rPr>
        <w:t>That Reynolds Water Company shall file a tariff or tariff supplement containing the rates, rules and regulations consistent with Appendix A to the Joint Petition for Settlement</w:t>
      </w:r>
      <w:r w:rsidR="00205F77">
        <w:rPr>
          <w:sz w:val="26"/>
          <w:szCs w:val="26"/>
        </w:rPr>
        <w:t xml:space="preserve"> </w:t>
      </w:r>
      <w:r w:rsidR="00205F77" w:rsidRPr="009618EC">
        <w:rPr>
          <w:sz w:val="26"/>
          <w:szCs w:val="26"/>
        </w:rPr>
        <w:t>designed to produce additional annual operating revenues of approximately $158,600 over two Phases</w:t>
      </w:r>
      <w:r>
        <w:rPr>
          <w:sz w:val="26"/>
          <w:szCs w:val="26"/>
        </w:rPr>
        <w:t xml:space="preserve">, </w:t>
      </w:r>
      <w:r w:rsidR="009618EC" w:rsidRPr="009618EC">
        <w:rPr>
          <w:sz w:val="26"/>
          <w:szCs w:val="26"/>
        </w:rPr>
        <w:t>the modifications noted in Attachment A</w:t>
      </w:r>
      <w:r>
        <w:rPr>
          <w:sz w:val="26"/>
          <w:szCs w:val="26"/>
        </w:rPr>
        <w:t>,</w:t>
      </w:r>
      <w:r w:rsidR="009618EC" w:rsidRPr="009618EC">
        <w:rPr>
          <w:sz w:val="26"/>
          <w:szCs w:val="26"/>
        </w:rPr>
        <w:t xml:space="preserve"> </w:t>
      </w:r>
      <w:r w:rsidR="009618EC">
        <w:rPr>
          <w:sz w:val="26"/>
          <w:szCs w:val="26"/>
        </w:rPr>
        <w:t xml:space="preserve">and </w:t>
      </w:r>
      <w:r>
        <w:rPr>
          <w:sz w:val="26"/>
          <w:szCs w:val="26"/>
        </w:rPr>
        <w:t>the change proposed</w:t>
      </w:r>
      <w:r w:rsidR="009618EC">
        <w:rPr>
          <w:sz w:val="26"/>
          <w:szCs w:val="26"/>
        </w:rPr>
        <w:t xml:space="preserve"> by the Office of Consumer Advocate</w:t>
      </w:r>
      <w:r w:rsidR="008B33D9">
        <w:rPr>
          <w:sz w:val="26"/>
          <w:szCs w:val="26"/>
        </w:rPr>
        <w:t xml:space="preserve"> as set forth in Ordering Paragraph No. 2, above</w:t>
      </w:r>
      <w:r w:rsidR="009618EC" w:rsidRPr="009618EC">
        <w:rPr>
          <w:sz w:val="26"/>
          <w:szCs w:val="26"/>
        </w:rPr>
        <w:t xml:space="preserve">. </w:t>
      </w:r>
    </w:p>
    <w:p w:rsidR="009618EC" w:rsidRPr="009618EC" w:rsidRDefault="009618EC" w:rsidP="009618EC">
      <w:pPr>
        <w:ind w:firstLine="1440"/>
        <w:rPr>
          <w:sz w:val="26"/>
          <w:szCs w:val="26"/>
        </w:rPr>
      </w:pPr>
    </w:p>
    <w:p w:rsidR="001E44B1" w:rsidRDefault="00DF6B38" w:rsidP="009618EC">
      <w:pPr>
        <w:ind w:firstLine="1440"/>
        <w:rPr>
          <w:sz w:val="26"/>
          <w:szCs w:val="26"/>
        </w:rPr>
      </w:pPr>
      <w:r>
        <w:rPr>
          <w:sz w:val="26"/>
          <w:szCs w:val="26"/>
        </w:rPr>
        <w:t>7</w:t>
      </w:r>
      <w:r w:rsidR="009618EC" w:rsidRPr="009618EC">
        <w:rPr>
          <w:sz w:val="26"/>
          <w:szCs w:val="26"/>
        </w:rPr>
        <w:t>.</w:t>
      </w:r>
      <w:r w:rsidR="009618EC">
        <w:rPr>
          <w:sz w:val="26"/>
          <w:szCs w:val="26"/>
        </w:rPr>
        <w:tab/>
      </w:r>
      <w:r w:rsidR="009618EC" w:rsidRPr="009618EC">
        <w:rPr>
          <w:sz w:val="26"/>
          <w:szCs w:val="26"/>
        </w:rPr>
        <w:t xml:space="preserve">That </w:t>
      </w:r>
      <w:r w:rsidR="009618EC">
        <w:rPr>
          <w:sz w:val="26"/>
          <w:szCs w:val="26"/>
        </w:rPr>
        <w:t xml:space="preserve">the </w:t>
      </w:r>
      <w:r w:rsidR="009618EC" w:rsidRPr="009618EC">
        <w:rPr>
          <w:sz w:val="26"/>
          <w:szCs w:val="26"/>
        </w:rPr>
        <w:t>said tariff or tariff supplement be filed on at least one day’s notice to become effective for service rendered on and after the date on which</w:t>
      </w:r>
      <w:r w:rsidR="009618EC">
        <w:rPr>
          <w:sz w:val="26"/>
          <w:szCs w:val="26"/>
        </w:rPr>
        <w:t xml:space="preserve"> </w:t>
      </w:r>
      <w:r>
        <w:rPr>
          <w:sz w:val="26"/>
          <w:szCs w:val="26"/>
        </w:rPr>
        <w:t>this Opinion and Order</w:t>
      </w:r>
      <w:r w:rsidR="009618EC">
        <w:rPr>
          <w:sz w:val="26"/>
          <w:szCs w:val="26"/>
        </w:rPr>
        <w:t xml:space="preserve"> is entered.</w:t>
      </w:r>
    </w:p>
    <w:p w:rsidR="003776D2" w:rsidRDefault="003776D2" w:rsidP="009618EC">
      <w:pPr>
        <w:ind w:firstLine="1440"/>
        <w:rPr>
          <w:sz w:val="26"/>
          <w:szCs w:val="26"/>
        </w:rPr>
      </w:pPr>
    </w:p>
    <w:p w:rsidR="009618EC" w:rsidRDefault="00492D22" w:rsidP="009618EC">
      <w:pPr>
        <w:ind w:firstLine="1440"/>
        <w:rPr>
          <w:sz w:val="26"/>
          <w:szCs w:val="26"/>
        </w:rPr>
      </w:pPr>
      <w:r>
        <w:rPr>
          <w:sz w:val="26"/>
          <w:szCs w:val="26"/>
        </w:rPr>
        <w:t>8</w:t>
      </w:r>
      <w:r w:rsidR="009618EC" w:rsidRPr="009618EC">
        <w:rPr>
          <w:sz w:val="26"/>
          <w:szCs w:val="26"/>
        </w:rPr>
        <w:t>.</w:t>
      </w:r>
      <w:r w:rsidR="009618EC">
        <w:rPr>
          <w:sz w:val="26"/>
          <w:szCs w:val="26"/>
        </w:rPr>
        <w:tab/>
      </w:r>
      <w:r w:rsidR="009618EC" w:rsidRPr="009618EC">
        <w:rPr>
          <w:sz w:val="26"/>
          <w:szCs w:val="26"/>
        </w:rPr>
        <w:t xml:space="preserve">That the following </w:t>
      </w:r>
      <w:r w:rsidR="00380DCD">
        <w:rPr>
          <w:sz w:val="26"/>
          <w:szCs w:val="26"/>
        </w:rPr>
        <w:t xml:space="preserve">Formal </w:t>
      </w:r>
      <w:r w:rsidR="009618EC">
        <w:rPr>
          <w:sz w:val="26"/>
          <w:szCs w:val="26"/>
        </w:rPr>
        <w:t>C</w:t>
      </w:r>
      <w:r w:rsidR="009618EC" w:rsidRPr="009618EC">
        <w:rPr>
          <w:sz w:val="26"/>
          <w:szCs w:val="26"/>
        </w:rPr>
        <w:t xml:space="preserve">omplaints filed against </w:t>
      </w:r>
      <w:r w:rsidR="00380DCD">
        <w:rPr>
          <w:sz w:val="26"/>
          <w:szCs w:val="26"/>
        </w:rPr>
        <w:t xml:space="preserve">Reynolds Water Company’s </w:t>
      </w:r>
      <w:r w:rsidR="009618EC" w:rsidRPr="009618EC">
        <w:rPr>
          <w:sz w:val="26"/>
          <w:szCs w:val="26"/>
        </w:rPr>
        <w:t>Supplement No. 5 to Tariff Water-Pa. P.U.C. No. 4</w:t>
      </w:r>
      <w:r w:rsidR="00380DCD">
        <w:rPr>
          <w:sz w:val="26"/>
          <w:szCs w:val="26"/>
        </w:rPr>
        <w:t xml:space="preserve">, shall </w:t>
      </w:r>
      <w:r w:rsidR="009618EC" w:rsidRPr="009618EC">
        <w:rPr>
          <w:sz w:val="26"/>
          <w:szCs w:val="26"/>
        </w:rPr>
        <w:t>be dismissed</w:t>
      </w:r>
      <w:r w:rsidR="00380DCD">
        <w:rPr>
          <w:sz w:val="26"/>
          <w:szCs w:val="26"/>
        </w:rPr>
        <w:t>,</w:t>
      </w:r>
      <w:r w:rsidR="009618EC" w:rsidRPr="009618EC">
        <w:rPr>
          <w:sz w:val="26"/>
          <w:szCs w:val="26"/>
        </w:rPr>
        <w:t xml:space="preserve"> consistent with thi</w:t>
      </w:r>
      <w:r w:rsidR="009618EC">
        <w:rPr>
          <w:sz w:val="26"/>
          <w:szCs w:val="26"/>
        </w:rPr>
        <w:t>s Opinion and Order</w:t>
      </w:r>
      <w:r w:rsidR="009618EC" w:rsidRPr="009618EC">
        <w:rPr>
          <w:sz w:val="26"/>
          <w:szCs w:val="26"/>
        </w:rPr>
        <w:t xml:space="preserve">: </w:t>
      </w:r>
    </w:p>
    <w:p w:rsidR="009618EC" w:rsidRDefault="009618EC" w:rsidP="009618EC">
      <w:pPr>
        <w:ind w:firstLine="1440"/>
        <w:rPr>
          <w:sz w:val="26"/>
          <w:szCs w:val="26"/>
        </w:rPr>
      </w:pPr>
    </w:p>
    <w:p w:rsidR="009618EC" w:rsidRDefault="009618EC" w:rsidP="009618EC">
      <w:pPr>
        <w:autoSpaceDE w:val="0"/>
        <w:autoSpaceDN w:val="0"/>
        <w:spacing w:line="240" w:lineRule="auto"/>
        <w:ind w:right="-14" w:firstLine="720"/>
        <w:rPr>
          <w:sz w:val="26"/>
          <w:szCs w:val="26"/>
        </w:rPr>
      </w:pPr>
      <w:r>
        <w:rPr>
          <w:sz w:val="26"/>
          <w:szCs w:val="26"/>
        </w:rPr>
        <w:t>James Vessella</w:t>
      </w:r>
      <w:r>
        <w:rPr>
          <w:sz w:val="26"/>
          <w:szCs w:val="26"/>
        </w:rPr>
        <w:tab/>
      </w:r>
      <w:r>
        <w:rPr>
          <w:sz w:val="26"/>
          <w:szCs w:val="26"/>
        </w:rPr>
        <w:tab/>
      </w:r>
      <w:r>
        <w:rPr>
          <w:sz w:val="26"/>
          <w:szCs w:val="26"/>
        </w:rPr>
        <w:tab/>
        <w:t xml:space="preserve"> </w:t>
      </w:r>
      <w:r>
        <w:rPr>
          <w:sz w:val="26"/>
          <w:szCs w:val="26"/>
        </w:rPr>
        <w:tab/>
      </w:r>
      <w:r>
        <w:rPr>
          <w:sz w:val="26"/>
          <w:szCs w:val="26"/>
        </w:rPr>
        <w:tab/>
        <w:t>C-2017-2634797</w:t>
      </w:r>
    </w:p>
    <w:p w:rsidR="009618EC" w:rsidRDefault="009618EC" w:rsidP="009618EC">
      <w:pPr>
        <w:autoSpaceDE w:val="0"/>
        <w:autoSpaceDN w:val="0"/>
        <w:spacing w:line="240" w:lineRule="auto"/>
        <w:ind w:right="-14" w:firstLine="720"/>
        <w:rPr>
          <w:sz w:val="26"/>
          <w:szCs w:val="26"/>
        </w:rPr>
      </w:pPr>
      <w:r>
        <w:rPr>
          <w:sz w:val="26"/>
          <w:szCs w:val="26"/>
        </w:rPr>
        <w:t>Bea DeCianco</w:t>
      </w:r>
      <w:r>
        <w:rPr>
          <w:sz w:val="26"/>
          <w:szCs w:val="26"/>
        </w:rPr>
        <w:tab/>
      </w:r>
      <w:r>
        <w:rPr>
          <w:sz w:val="26"/>
          <w:szCs w:val="26"/>
        </w:rPr>
        <w:tab/>
      </w:r>
      <w:r>
        <w:rPr>
          <w:sz w:val="26"/>
          <w:szCs w:val="26"/>
        </w:rPr>
        <w:tab/>
      </w:r>
      <w:r>
        <w:rPr>
          <w:sz w:val="26"/>
          <w:szCs w:val="26"/>
        </w:rPr>
        <w:tab/>
      </w:r>
      <w:r>
        <w:rPr>
          <w:sz w:val="26"/>
          <w:szCs w:val="26"/>
        </w:rPr>
        <w:tab/>
        <w:t>C-2017-2635838</w:t>
      </w:r>
    </w:p>
    <w:p w:rsidR="002E6027" w:rsidRDefault="002E6027" w:rsidP="003776D2">
      <w:pPr>
        <w:autoSpaceDE w:val="0"/>
        <w:autoSpaceDN w:val="0"/>
        <w:spacing w:line="240" w:lineRule="auto"/>
        <w:ind w:right="-14" w:firstLine="720"/>
        <w:rPr>
          <w:sz w:val="26"/>
          <w:szCs w:val="26"/>
        </w:rPr>
      </w:pPr>
      <w:r w:rsidRPr="00211EB8">
        <w:rPr>
          <w:sz w:val="26"/>
          <w:szCs w:val="26"/>
        </w:rPr>
        <w:t>Office of Consumer Advocate</w:t>
      </w:r>
      <w:r w:rsidRPr="00211EB8">
        <w:rPr>
          <w:sz w:val="26"/>
          <w:szCs w:val="26"/>
        </w:rPr>
        <w:tab/>
      </w:r>
      <w:r w:rsidRPr="00A725FB">
        <w:rPr>
          <w:sz w:val="26"/>
          <w:szCs w:val="26"/>
        </w:rPr>
        <w:tab/>
      </w:r>
      <w:r w:rsidR="003776D2">
        <w:rPr>
          <w:sz w:val="26"/>
          <w:szCs w:val="26"/>
        </w:rPr>
        <w:tab/>
      </w:r>
      <w:r w:rsidRPr="00211EB8">
        <w:rPr>
          <w:sz w:val="26"/>
          <w:szCs w:val="26"/>
        </w:rPr>
        <w:t>C-201</w:t>
      </w:r>
      <w:r>
        <w:rPr>
          <w:sz w:val="26"/>
          <w:szCs w:val="26"/>
        </w:rPr>
        <w:t>7-2636654</w:t>
      </w:r>
    </w:p>
    <w:p w:rsidR="009618EC" w:rsidRPr="00211EB8" w:rsidRDefault="009618EC" w:rsidP="009618EC">
      <w:pPr>
        <w:autoSpaceDE w:val="0"/>
        <w:autoSpaceDN w:val="0"/>
        <w:spacing w:line="240" w:lineRule="auto"/>
        <w:ind w:right="-14" w:firstLine="720"/>
        <w:rPr>
          <w:sz w:val="26"/>
          <w:szCs w:val="26"/>
        </w:rPr>
      </w:pPr>
      <w:r>
        <w:rPr>
          <w:sz w:val="26"/>
          <w:szCs w:val="26"/>
        </w:rPr>
        <w:t>John D’Urso</w:t>
      </w:r>
      <w:r w:rsidRPr="00211EB8">
        <w:rPr>
          <w:sz w:val="26"/>
          <w:szCs w:val="26"/>
        </w:rPr>
        <w:tab/>
      </w:r>
      <w:r>
        <w:rPr>
          <w:sz w:val="26"/>
          <w:szCs w:val="26"/>
        </w:rPr>
        <w:tab/>
      </w:r>
      <w:r>
        <w:rPr>
          <w:sz w:val="26"/>
          <w:szCs w:val="26"/>
        </w:rPr>
        <w:tab/>
      </w:r>
      <w:r w:rsidRPr="00A725FB">
        <w:rPr>
          <w:sz w:val="26"/>
          <w:szCs w:val="26"/>
        </w:rPr>
        <w:tab/>
      </w:r>
      <w:r w:rsidRPr="00211EB8">
        <w:rPr>
          <w:sz w:val="26"/>
          <w:szCs w:val="26"/>
        </w:rPr>
        <w:tab/>
      </w:r>
      <w:r w:rsidR="003776D2">
        <w:rPr>
          <w:sz w:val="26"/>
          <w:szCs w:val="26"/>
        </w:rPr>
        <w:tab/>
      </w:r>
      <w:r w:rsidRPr="00211EB8">
        <w:rPr>
          <w:sz w:val="26"/>
          <w:szCs w:val="26"/>
        </w:rPr>
        <w:t>C-201</w:t>
      </w:r>
      <w:r>
        <w:rPr>
          <w:sz w:val="26"/>
          <w:szCs w:val="26"/>
        </w:rPr>
        <w:t>7</w:t>
      </w:r>
      <w:r w:rsidRPr="00211EB8">
        <w:rPr>
          <w:sz w:val="26"/>
          <w:szCs w:val="26"/>
        </w:rPr>
        <w:t>-2</w:t>
      </w:r>
      <w:r>
        <w:rPr>
          <w:sz w:val="26"/>
          <w:szCs w:val="26"/>
        </w:rPr>
        <w:t>636679</w:t>
      </w:r>
    </w:p>
    <w:p w:rsidR="009618EC" w:rsidRPr="00211EB8" w:rsidRDefault="009618EC" w:rsidP="009618EC">
      <w:pPr>
        <w:autoSpaceDE w:val="0"/>
        <w:autoSpaceDN w:val="0"/>
        <w:spacing w:line="240" w:lineRule="auto"/>
        <w:ind w:right="-14" w:firstLine="720"/>
        <w:rPr>
          <w:sz w:val="26"/>
          <w:szCs w:val="26"/>
        </w:rPr>
      </w:pPr>
      <w:r>
        <w:rPr>
          <w:sz w:val="26"/>
          <w:szCs w:val="26"/>
        </w:rPr>
        <w:t>Margaret Foust</w:t>
      </w:r>
      <w:r>
        <w:rPr>
          <w:sz w:val="26"/>
          <w:szCs w:val="26"/>
        </w:rPr>
        <w:tab/>
      </w:r>
      <w:r>
        <w:rPr>
          <w:sz w:val="26"/>
          <w:szCs w:val="26"/>
        </w:rPr>
        <w:tab/>
      </w:r>
      <w:r>
        <w:rPr>
          <w:sz w:val="26"/>
          <w:szCs w:val="26"/>
        </w:rPr>
        <w:tab/>
      </w:r>
      <w:r w:rsidRPr="00211EB8">
        <w:rPr>
          <w:sz w:val="26"/>
          <w:szCs w:val="26"/>
        </w:rPr>
        <w:tab/>
      </w:r>
      <w:r>
        <w:rPr>
          <w:sz w:val="26"/>
          <w:szCs w:val="26"/>
        </w:rPr>
        <w:tab/>
      </w:r>
      <w:r w:rsidRPr="00211EB8">
        <w:rPr>
          <w:sz w:val="26"/>
          <w:szCs w:val="26"/>
        </w:rPr>
        <w:t>C-201</w:t>
      </w:r>
      <w:r>
        <w:rPr>
          <w:sz w:val="26"/>
          <w:szCs w:val="26"/>
        </w:rPr>
        <w:t>8</w:t>
      </w:r>
      <w:r w:rsidRPr="00211EB8">
        <w:rPr>
          <w:sz w:val="26"/>
          <w:szCs w:val="26"/>
        </w:rPr>
        <w:t>-2</w:t>
      </w:r>
      <w:r>
        <w:rPr>
          <w:sz w:val="26"/>
          <w:szCs w:val="26"/>
        </w:rPr>
        <w:t>644372</w:t>
      </w:r>
    </w:p>
    <w:p w:rsidR="009618EC" w:rsidRPr="00211EB8" w:rsidRDefault="009618EC" w:rsidP="009618EC">
      <w:pPr>
        <w:autoSpaceDE w:val="0"/>
        <w:autoSpaceDN w:val="0"/>
        <w:spacing w:line="240" w:lineRule="auto"/>
        <w:ind w:right="-14" w:firstLine="720"/>
        <w:rPr>
          <w:sz w:val="26"/>
          <w:szCs w:val="26"/>
        </w:rPr>
      </w:pPr>
      <w:r>
        <w:rPr>
          <w:sz w:val="26"/>
          <w:szCs w:val="26"/>
        </w:rPr>
        <w:t>Plem Patterson</w:t>
      </w:r>
      <w:r w:rsidRPr="00211EB8">
        <w:rPr>
          <w:sz w:val="26"/>
          <w:szCs w:val="26"/>
        </w:rPr>
        <w:tab/>
      </w:r>
      <w:r w:rsidRPr="00211EB8">
        <w:rPr>
          <w:sz w:val="26"/>
          <w:szCs w:val="26"/>
        </w:rPr>
        <w:tab/>
      </w:r>
      <w:r w:rsidRPr="00211EB8">
        <w:rPr>
          <w:sz w:val="26"/>
          <w:szCs w:val="26"/>
        </w:rPr>
        <w:tab/>
      </w:r>
      <w:r w:rsidRPr="00211EB8">
        <w:rPr>
          <w:sz w:val="26"/>
          <w:szCs w:val="26"/>
        </w:rPr>
        <w:tab/>
      </w:r>
      <w:r>
        <w:rPr>
          <w:sz w:val="26"/>
          <w:szCs w:val="26"/>
        </w:rPr>
        <w:tab/>
      </w:r>
      <w:r w:rsidRPr="00211EB8">
        <w:rPr>
          <w:sz w:val="26"/>
          <w:szCs w:val="26"/>
        </w:rPr>
        <w:t>C-201</w:t>
      </w:r>
      <w:r>
        <w:rPr>
          <w:sz w:val="26"/>
          <w:szCs w:val="26"/>
        </w:rPr>
        <w:t>8</w:t>
      </w:r>
      <w:r w:rsidRPr="00211EB8">
        <w:rPr>
          <w:sz w:val="26"/>
          <w:szCs w:val="26"/>
        </w:rPr>
        <w:t>-2</w:t>
      </w:r>
      <w:r>
        <w:rPr>
          <w:sz w:val="26"/>
          <w:szCs w:val="26"/>
        </w:rPr>
        <w:t>647045</w:t>
      </w:r>
    </w:p>
    <w:p w:rsidR="009618EC" w:rsidRPr="00211EB8" w:rsidRDefault="009618EC" w:rsidP="009618EC">
      <w:pPr>
        <w:autoSpaceDE w:val="0"/>
        <w:autoSpaceDN w:val="0"/>
        <w:spacing w:line="240" w:lineRule="auto"/>
        <w:ind w:right="-14" w:firstLine="720"/>
        <w:rPr>
          <w:sz w:val="26"/>
          <w:szCs w:val="26"/>
        </w:rPr>
      </w:pPr>
      <w:r>
        <w:rPr>
          <w:sz w:val="26"/>
          <w:szCs w:val="26"/>
        </w:rPr>
        <w:t>Matthew Nestor</w:t>
      </w:r>
      <w:r w:rsidRPr="00211EB8">
        <w:rPr>
          <w:sz w:val="26"/>
          <w:szCs w:val="26"/>
        </w:rPr>
        <w:tab/>
      </w:r>
      <w:r w:rsidRPr="00211EB8">
        <w:rPr>
          <w:sz w:val="26"/>
          <w:szCs w:val="26"/>
        </w:rPr>
        <w:tab/>
      </w:r>
      <w:r w:rsidRPr="00211EB8">
        <w:rPr>
          <w:sz w:val="26"/>
          <w:szCs w:val="26"/>
        </w:rPr>
        <w:tab/>
      </w:r>
      <w:r w:rsidRPr="00211EB8">
        <w:rPr>
          <w:sz w:val="26"/>
          <w:szCs w:val="26"/>
        </w:rPr>
        <w:tab/>
      </w:r>
      <w:r>
        <w:rPr>
          <w:sz w:val="26"/>
          <w:szCs w:val="26"/>
        </w:rPr>
        <w:tab/>
      </w:r>
      <w:r w:rsidRPr="00211EB8">
        <w:rPr>
          <w:sz w:val="26"/>
          <w:szCs w:val="26"/>
        </w:rPr>
        <w:t>C-201</w:t>
      </w:r>
      <w:r>
        <w:rPr>
          <w:sz w:val="26"/>
          <w:szCs w:val="26"/>
        </w:rPr>
        <w:t>8</w:t>
      </w:r>
      <w:r w:rsidRPr="00211EB8">
        <w:rPr>
          <w:sz w:val="26"/>
          <w:szCs w:val="26"/>
        </w:rPr>
        <w:t>-2</w:t>
      </w:r>
      <w:r>
        <w:rPr>
          <w:sz w:val="26"/>
          <w:szCs w:val="26"/>
        </w:rPr>
        <w:t>647060</w:t>
      </w:r>
    </w:p>
    <w:p w:rsidR="009618EC" w:rsidRPr="00211EB8" w:rsidRDefault="009618EC" w:rsidP="009618EC">
      <w:pPr>
        <w:autoSpaceDE w:val="0"/>
        <w:autoSpaceDN w:val="0"/>
        <w:spacing w:line="240" w:lineRule="auto"/>
        <w:ind w:right="-14" w:firstLine="720"/>
        <w:rPr>
          <w:sz w:val="26"/>
          <w:szCs w:val="26"/>
        </w:rPr>
      </w:pPr>
      <w:r>
        <w:rPr>
          <w:sz w:val="26"/>
          <w:szCs w:val="26"/>
        </w:rPr>
        <w:t>Ryan Foust</w:t>
      </w:r>
      <w:r>
        <w:rPr>
          <w:sz w:val="26"/>
          <w:szCs w:val="26"/>
        </w:rPr>
        <w:tab/>
      </w:r>
      <w:r w:rsidRPr="00211EB8">
        <w:rPr>
          <w:sz w:val="26"/>
          <w:szCs w:val="26"/>
        </w:rPr>
        <w:tab/>
      </w:r>
      <w:r w:rsidRPr="00211EB8">
        <w:rPr>
          <w:sz w:val="26"/>
          <w:szCs w:val="26"/>
        </w:rPr>
        <w:tab/>
      </w:r>
      <w:r w:rsidRPr="00211EB8">
        <w:rPr>
          <w:sz w:val="26"/>
          <w:szCs w:val="26"/>
        </w:rPr>
        <w:tab/>
      </w:r>
      <w:r w:rsidRPr="00211EB8">
        <w:rPr>
          <w:sz w:val="26"/>
          <w:szCs w:val="26"/>
        </w:rPr>
        <w:tab/>
      </w:r>
      <w:r>
        <w:rPr>
          <w:sz w:val="26"/>
          <w:szCs w:val="26"/>
        </w:rPr>
        <w:tab/>
      </w:r>
      <w:r w:rsidRPr="00211EB8">
        <w:rPr>
          <w:sz w:val="26"/>
          <w:szCs w:val="26"/>
        </w:rPr>
        <w:t>C-201</w:t>
      </w:r>
      <w:r>
        <w:rPr>
          <w:sz w:val="26"/>
          <w:szCs w:val="26"/>
        </w:rPr>
        <w:t>8</w:t>
      </w:r>
      <w:r w:rsidRPr="00211EB8">
        <w:rPr>
          <w:sz w:val="26"/>
          <w:szCs w:val="26"/>
        </w:rPr>
        <w:t>-2</w:t>
      </w:r>
      <w:r>
        <w:rPr>
          <w:sz w:val="26"/>
          <w:szCs w:val="26"/>
        </w:rPr>
        <w:t>647069</w:t>
      </w:r>
    </w:p>
    <w:p w:rsidR="009618EC" w:rsidRDefault="009618EC" w:rsidP="00B25ABA">
      <w:pPr>
        <w:autoSpaceDE w:val="0"/>
        <w:autoSpaceDN w:val="0"/>
        <w:spacing w:line="240" w:lineRule="auto"/>
        <w:ind w:right="-14" w:firstLine="720"/>
        <w:rPr>
          <w:sz w:val="26"/>
          <w:szCs w:val="26"/>
        </w:rPr>
      </w:pPr>
      <w:r>
        <w:rPr>
          <w:sz w:val="26"/>
          <w:szCs w:val="26"/>
        </w:rPr>
        <w:t>Brain Hills</w:t>
      </w:r>
      <w:r>
        <w:rPr>
          <w:sz w:val="26"/>
          <w:szCs w:val="26"/>
        </w:rPr>
        <w:tab/>
      </w:r>
      <w:r w:rsidRPr="00211EB8">
        <w:rPr>
          <w:sz w:val="26"/>
          <w:szCs w:val="26"/>
        </w:rPr>
        <w:tab/>
      </w:r>
      <w:r w:rsidRPr="00211EB8">
        <w:rPr>
          <w:sz w:val="26"/>
          <w:szCs w:val="26"/>
        </w:rPr>
        <w:tab/>
      </w:r>
      <w:r w:rsidRPr="00211EB8">
        <w:rPr>
          <w:sz w:val="26"/>
          <w:szCs w:val="26"/>
        </w:rPr>
        <w:tab/>
      </w:r>
      <w:r>
        <w:rPr>
          <w:sz w:val="26"/>
          <w:szCs w:val="26"/>
        </w:rPr>
        <w:tab/>
      </w:r>
      <w:r>
        <w:rPr>
          <w:sz w:val="26"/>
          <w:szCs w:val="26"/>
        </w:rPr>
        <w:tab/>
      </w:r>
      <w:r w:rsidRPr="00211EB8">
        <w:rPr>
          <w:sz w:val="26"/>
          <w:szCs w:val="26"/>
        </w:rPr>
        <w:t>C-201</w:t>
      </w:r>
      <w:r>
        <w:rPr>
          <w:sz w:val="26"/>
          <w:szCs w:val="26"/>
        </w:rPr>
        <w:t>8</w:t>
      </w:r>
      <w:r w:rsidRPr="00211EB8">
        <w:rPr>
          <w:sz w:val="26"/>
          <w:szCs w:val="26"/>
        </w:rPr>
        <w:t>-</w:t>
      </w:r>
      <w:r>
        <w:rPr>
          <w:sz w:val="26"/>
          <w:szCs w:val="26"/>
        </w:rPr>
        <w:t>2647070</w:t>
      </w:r>
    </w:p>
    <w:p w:rsidR="009618EC" w:rsidRPr="00A725FB" w:rsidRDefault="009618EC" w:rsidP="00B25ABA">
      <w:pPr>
        <w:autoSpaceDE w:val="0"/>
        <w:autoSpaceDN w:val="0"/>
        <w:spacing w:line="240" w:lineRule="auto"/>
        <w:ind w:right="-14" w:firstLine="720"/>
        <w:rPr>
          <w:sz w:val="26"/>
          <w:szCs w:val="26"/>
        </w:rPr>
      </w:pPr>
      <w:r>
        <w:rPr>
          <w:sz w:val="26"/>
          <w:szCs w:val="26"/>
        </w:rPr>
        <w:t>Laurel Litwiler</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t>C-201</w:t>
      </w:r>
      <w:r>
        <w:rPr>
          <w:sz w:val="26"/>
          <w:szCs w:val="26"/>
        </w:rPr>
        <w:t>8</w:t>
      </w:r>
      <w:r w:rsidRPr="00A725FB">
        <w:rPr>
          <w:sz w:val="26"/>
          <w:szCs w:val="26"/>
        </w:rPr>
        <w:t>-2</w:t>
      </w:r>
      <w:r>
        <w:rPr>
          <w:sz w:val="26"/>
          <w:szCs w:val="26"/>
        </w:rPr>
        <w:t>647272</w:t>
      </w:r>
    </w:p>
    <w:p w:rsidR="009618EC" w:rsidRPr="00A725FB" w:rsidRDefault="009618EC" w:rsidP="009618EC">
      <w:pPr>
        <w:autoSpaceDE w:val="0"/>
        <w:autoSpaceDN w:val="0"/>
        <w:spacing w:line="240" w:lineRule="auto"/>
        <w:ind w:firstLine="720"/>
        <w:rPr>
          <w:sz w:val="26"/>
          <w:szCs w:val="26"/>
        </w:rPr>
      </w:pPr>
      <w:r>
        <w:rPr>
          <w:sz w:val="26"/>
          <w:szCs w:val="26"/>
        </w:rPr>
        <w:t>Thomas Hanzes</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t>C-201</w:t>
      </w:r>
      <w:r>
        <w:rPr>
          <w:sz w:val="26"/>
          <w:szCs w:val="26"/>
        </w:rPr>
        <w:t>8</w:t>
      </w:r>
      <w:r w:rsidRPr="00A725FB">
        <w:rPr>
          <w:sz w:val="26"/>
          <w:szCs w:val="26"/>
        </w:rPr>
        <w:t>-2</w:t>
      </w:r>
      <w:r>
        <w:rPr>
          <w:sz w:val="26"/>
          <w:szCs w:val="26"/>
        </w:rPr>
        <w:t>647305</w:t>
      </w:r>
    </w:p>
    <w:p w:rsidR="009618EC" w:rsidRPr="00A725FB" w:rsidRDefault="009618EC" w:rsidP="009618EC">
      <w:pPr>
        <w:autoSpaceDE w:val="0"/>
        <w:autoSpaceDN w:val="0"/>
        <w:spacing w:line="240" w:lineRule="auto"/>
        <w:ind w:firstLine="720"/>
        <w:rPr>
          <w:sz w:val="26"/>
          <w:szCs w:val="26"/>
        </w:rPr>
      </w:pPr>
      <w:r>
        <w:rPr>
          <w:sz w:val="26"/>
          <w:szCs w:val="26"/>
        </w:rPr>
        <w:t>Clark Eberhart</w:t>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C-201</w:t>
      </w:r>
      <w:r>
        <w:rPr>
          <w:sz w:val="26"/>
          <w:szCs w:val="26"/>
        </w:rPr>
        <w:t>8</w:t>
      </w:r>
      <w:r w:rsidRPr="00A725FB">
        <w:rPr>
          <w:sz w:val="26"/>
          <w:szCs w:val="26"/>
        </w:rPr>
        <w:t>-2</w:t>
      </w:r>
      <w:r>
        <w:rPr>
          <w:sz w:val="26"/>
          <w:szCs w:val="26"/>
        </w:rPr>
        <w:t>647318</w:t>
      </w:r>
    </w:p>
    <w:p w:rsidR="009618EC" w:rsidRPr="00A725FB" w:rsidRDefault="009618EC" w:rsidP="009618EC">
      <w:pPr>
        <w:autoSpaceDE w:val="0"/>
        <w:autoSpaceDN w:val="0"/>
        <w:spacing w:line="240" w:lineRule="auto"/>
        <w:ind w:firstLine="720"/>
        <w:rPr>
          <w:sz w:val="26"/>
          <w:szCs w:val="26"/>
        </w:rPr>
      </w:pPr>
      <w:r>
        <w:rPr>
          <w:sz w:val="26"/>
          <w:szCs w:val="26"/>
        </w:rPr>
        <w:t>Mildred J. Heile</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t>C-201</w:t>
      </w:r>
      <w:r>
        <w:rPr>
          <w:sz w:val="26"/>
          <w:szCs w:val="26"/>
        </w:rPr>
        <w:t>8</w:t>
      </w:r>
      <w:r w:rsidRPr="00A725FB">
        <w:rPr>
          <w:sz w:val="26"/>
          <w:szCs w:val="26"/>
        </w:rPr>
        <w:t>-</w:t>
      </w:r>
      <w:r>
        <w:rPr>
          <w:sz w:val="26"/>
          <w:szCs w:val="26"/>
        </w:rPr>
        <w:t>3000054</w:t>
      </w:r>
    </w:p>
    <w:p w:rsidR="009618EC" w:rsidRPr="00A725FB" w:rsidRDefault="009618EC" w:rsidP="009618EC">
      <w:pPr>
        <w:autoSpaceDE w:val="0"/>
        <w:autoSpaceDN w:val="0"/>
        <w:spacing w:line="240" w:lineRule="auto"/>
        <w:ind w:firstLine="720"/>
        <w:rPr>
          <w:sz w:val="26"/>
          <w:szCs w:val="26"/>
        </w:rPr>
      </w:pPr>
      <w:r>
        <w:rPr>
          <w:sz w:val="26"/>
          <w:szCs w:val="26"/>
        </w:rPr>
        <w:lastRenderedPageBreak/>
        <w:t>Helene Canady</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t>C-201</w:t>
      </w:r>
      <w:r>
        <w:rPr>
          <w:sz w:val="26"/>
          <w:szCs w:val="26"/>
        </w:rPr>
        <w:t>8</w:t>
      </w:r>
      <w:r w:rsidRPr="00A725FB">
        <w:rPr>
          <w:sz w:val="26"/>
          <w:szCs w:val="26"/>
        </w:rPr>
        <w:t>-</w:t>
      </w:r>
      <w:r>
        <w:rPr>
          <w:sz w:val="26"/>
          <w:szCs w:val="26"/>
        </w:rPr>
        <w:t>3000065</w:t>
      </w:r>
    </w:p>
    <w:p w:rsidR="009618EC" w:rsidRPr="00A725FB" w:rsidRDefault="009618EC" w:rsidP="009618EC">
      <w:pPr>
        <w:autoSpaceDE w:val="0"/>
        <w:autoSpaceDN w:val="0"/>
        <w:spacing w:line="240" w:lineRule="auto"/>
        <w:ind w:firstLine="720"/>
        <w:rPr>
          <w:sz w:val="26"/>
          <w:szCs w:val="26"/>
        </w:rPr>
      </w:pPr>
      <w:r>
        <w:rPr>
          <w:sz w:val="26"/>
          <w:szCs w:val="26"/>
        </w:rPr>
        <w:t>Lucas Schilling</w:t>
      </w:r>
      <w:r w:rsidRPr="00A725FB">
        <w:rPr>
          <w:sz w:val="26"/>
          <w:szCs w:val="26"/>
        </w:rPr>
        <w:tab/>
      </w:r>
      <w:r>
        <w:rPr>
          <w:sz w:val="26"/>
          <w:szCs w:val="26"/>
        </w:rPr>
        <w:tab/>
      </w:r>
      <w:r>
        <w:rPr>
          <w:sz w:val="26"/>
          <w:szCs w:val="26"/>
        </w:rPr>
        <w:tab/>
      </w:r>
      <w:r>
        <w:rPr>
          <w:sz w:val="26"/>
          <w:szCs w:val="26"/>
        </w:rPr>
        <w:tab/>
      </w:r>
      <w:r>
        <w:rPr>
          <w:sz w:val="26"/>
          <w:szCs w:val="26"/>
        </w:rPr>
        <w:tab/>
      </w:r>
      <w:r w:rsidRPr="00A725FB">
        <w:rPr>
          <w:sz w:val="26"/>
          <w:szCs w:val="26"/>
        </w:rPr>
        <w:t>C-201</w:t>
      </w:r>
      <w:r>
        <w:rPr>
          <w:sz w:val="26"/>
          <w:szCs w:val="26"/>
        </w:rPr>
        <w:t>8</w:t>
      </w:r>
      <w:r w:rsidRPr="00A725FB">
        <w:rPr>
          <w:sz w:val="26"/>
          <w:szCs w:val="26"/>
        </w:rPr>
        <w:t>-</w:t>
      </w:r>
      <w:r>
        <w:rPr>
          <w:sz w:val="26"/>
          <w:szCs w:val="26"/>
        </w:rPr>
        <w:t>3000087</w:t>
      </w:r>
    </w:p>
    <w:p w:rsidR="009618EC" w:rsidRPr="00A725FB" w:rsidRDefault="009618EC" w:rsidP="009618EC">
      <w:pPr>
        <w:autoSpaceDE w:val="0"/>
        <w:autoSpaceDN w:val="0"/>
        <w:spacing w:line="240" w:lineRule="auto"/>
        <w:ind w:firstLine="720"/>
        <w:rPr>
          <w:sz w:val="26"/>
          <w:szCs w:val="26"/>
        </w:rPr>
      </w:pPr>
      <w:r>
        <w:rPr>
          <w:sz w:val="26"/>
          <w:szCs w:val="26"/>
        </w:rPr>
        <w:t>Diana Cole</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C-201</w:t>
      </w:r>
      <w:r>
        <w:rPr>
          <w:sz w:val="26"/>
          <w:szCs w:val="26"/>
        </w:rPr>
        <w:t>8</w:t>
      </w:r>
      <w:r w:rsidRPr="00A725FB">
        <w:rPr>
          <w:sz w:val="26"/>
          <w:szCs w:val="26"/>
        </w:rPr>
        <w:t>-</w:t>
      </w:r>
      <w:r>
        <w:rPr>
          <w:sz w:val="26"/>
          <w:szCs w:val="26"/>
        </w:rPr>
        <w:t>3000207</w:t>
      </w:r>
    </w:p>
    <w:p w:rsidR="009618EC" w:rsidRPr="00A725FB" w:rsidRDefault="009618EC" w:rsidP="009618EC">
      <w:pPr>
        <w:autoSpaceDE w:val="0"/>
        <w:autoSpaceDN w:val="0"/>
        <w:spacing w:line="240" w:lineRule="auto"/>
        <w:ind w:firstLine="720"/>
        <w:rPr>
          <w:sz w:val="26"/>
          <w:szCs w:val="26"/>
        </w:rPr>
      </w:pPr>
      <w:r>
        <w:rPr>
          <w:sz w:val="26"/>
          <w:szCs w:val="26"/>
        </w:rPr>
        <w:t>Gilbert V. and Marilyn A. Brant</w:t>
      </w:r>
      <w:r w:rsidRPr="00A725FB">
        <w:rPr>
          <w:sz w:val="26"/>
          <w:szCs w:val="26"/>
        </w:rPr>
        <w:tab/>
      </w:r>
      <w:r w:rsidRPr="00A725FB">
        <w:rPr>
          <w:sz w:val="26"/>
          <w:szCs w:val="26"/>
        </w:rPr>
        <w:tab/>
      </w:r>
      <w:r>
        <w:rPr>
          <w:sz w:val="26"/>
          <w:szCs w:val="26"/>
        </w:rPr>
        <w:tab/>
      </w:r>
      <w:r w:rsidRPr="00A725FB">
        <w:rPr>
          <w:sz w:val="26"/>
          <w:szCs w:val="26"/>
        </w:rPr>
        <w:t>C-201</w:t>
      </w:r>
      <w:r>
        <w:rPr>
          <w:sz w:val="26"/>
          <w:szCs w:val="26"/>
        </w:rPr>
        <w:t>8</w:t>
      </w:r>
      <w:r w:rsidRPr="00A725FB">
        <w:rPr>
          <w:sz w:val="26"/>
          <w:szCs w:val="26"/>
        </w:rPr>
        <w:t>-</w:t>
      </w:r>
      <w:r>
        <w:rPr>
          <w:sz w:val="26"/>
          <w:szCs w:val="26"/>
        </w:rPr>
        <w:t>3000208</w:t>
      </w:r>
    </w:p>
    <w:p w:rsidR="009618EC" w:rsidRPr="00A725FB" w:rsidRDefault="009618EC" w:rsidP="009618EC">
      <w:pPr>
        <w:autoSpaceDE w:val="0"/>
        <w:autoSpaceDN w:val="0"/>
        <w:spacing w:line="240" w:lineRule="auto"/>
        <w:ind w:firstLine="720"/>
        <w:rPr>
          <w:sz w:val="26"/>
          <w:szCs w:val="26"/>
        </w:rPr>
      </w:pPr>
      <w:r>
        <w:rPr>
          <w:sz w:val="26"/>
          <w:szCs w:val="26"/>
        </w:rPr>
        <w:t>David R. Roeder, Sr.</w:t>
      </w:r>
      <w:r>
        <w:rPr>
          <w:sz w:val="26"/>
          <w:szCs w:val="26"/>
        </w:rPr>
        <w:tab/>
      </w:r>
      <w:r>
        <w:rPr>
          <w:sz w:val="26"/>
          <w:szCs w:val="26"/>
        </w:rPr>
        <w:tab/>
      </w:r>
      <w:r>
        <w:rPr>
          <w:sz w:val="26"/>
          <w:szCs w:val="26"/>
        </w:rPr>
        <w:tab/>
      </w:r>
      <w:r>
        <w:rPr>
          <w:sz w:val="26"/>
          <w:szCs w:val="26"/>
        </w:rPr>
        <w:tab/>
      </w:r>
      <w:r w:rsidRPr="00A725FB">
        <w:rPr>
          <w:sz w:val="26"/>
          <w:szCs w:val="26"/>
        </w:rPr>
        <w:t>C-201</w:t>
      </w:r>
      <w:r>
        <w:rPr>
          <w:sz w:val="26"/>
          <w:szCs w:val="26"/>
        </w:rPr>
        <w:t>8</w:t>
      </w:r>
      <w:r w:rsidRPr="00A725FB">
        <w:rPr>
          <w:sz w:val="26"/>
          <w:szCs w:val="26"/>
        </w:rPr>
        <w:t>-</w:t>
      </w:r>
      <w:r>
        <w:rPr>
          <w:sz w:val="26"/>
          <w:szCs w:val="26"/>
        </w:rPr>
        <w:t>3000250</w:t>
      </w:r>
    </w:p>
    <w:p w:rsidR="009618EC" w:rsidRPr="00A725FB" w:rsidRDefault="009618EC" w:rsidP="009618EC">
      <w:pPr>
        <w:autoSpaceDE w:val="0"/>
        <w:autoSpaceDN w:val="0"/>
        <w:spacing w:line="240" w:lineRule="auto"/>
        <w:ind w:firstLine="720"/>
        <w:rPr>
          <w:sz w:val="26"/>
          <w:szCs w:val="26"/>
        </w:rPr>
      </w:pPr>
      <w:r>
        <w:rPr>
          <w:sz w:val="26"/>
          <w:szCs w:val="26"/>
        </w:rPr>
        <w:t>Natalie M. McCloskey</w:t>
      </w:r>
      <w:r w:rsidRPr="00A725FB">
        <w:rPr>
          <w:sz w:val="26"/>
          <w:szCs w:val="26"/>
        </w:rPr>
        <w:tab/>
      </w:r>
      <w:r>
        <w:rPr>
          <w:sz w:val="26"/>
          <w:szCs w:val="26"/>
        </w:rPr>
        <w:tab/>
      </w:r>
      <w:r>
        <w:rPr>
          <w:sz w:val="26"/>
          <w:szCs w:val="26"/>
        </w:rPr>
        <w:tab/>
      </w:r>
      <w:r>
        <w:rPr>
          <w:sz w:val="26"/>
          <w:szCs w:val="26"/>
        </w:rPr>
        <w:tab/>
      </w:r>
      <w:r w:rsidRPr="00A725FB">
        <w:rPr>
          <w:sz w:val="26"/>
          <w:szCs w:val="26"/>
        </w:rPr>
        <w:t>C-201</w:t>
      </w:r>
      <w:r>
        <w:rPr>
          <w:sz w:val="26"/>
          <w:szCs w:val="26"/>
        </w:rPr>
        <w:t>8</w:t>
      </w:r>
      <w:r w:rsidRPr="00A725FB">
        <w:rPr>
          <w:sz w:val="26"/>
          <w:szCs w:val="26"/>
        </w:rPr>
        <w:t>-</w:t>
      </w:r>
      <w:r>
        <w:rPr>
          <w:sz w:val="26"/>
          <w:szCs w:val="26"/>
        </w:rPr>
        <w:t>3000419</w:t>
      </w:r>
    </w:p>
    <w:p w:rsidR="009618EC" w:rsidRPr="00A725FB" w:rsidRDefault="009618EC" w:rsidP="009618EC">
      <w:pPr>
        <w:autoSpaceDE w:val="0"/>
        <w:autoSpaceDN w:val="0"/>
        <w:spacing w:line="240" w:lineRule="auto"/>
        <w:ind w:firstLine="720"/>
        <w:rPr>
          <w:sz w:val="26"/>
          <w:szCs w:val="26"/>
        </w:rPr>
      </w:pPr>
      <w:r>
        <w:rPr>
          <w:sz w:val="26"/>
          <w:szCs w:val="26"/>
        </w:rPr>
        <w:t>Marie T. Potts</w:t>
      </w:r>
      <w:r w:rsidRPr="00A725FB">
        <w:rPr>
          <w:sz w:val="26"/>
          <w:szCs w:val="26"/>
        </w:rPr>
        <w:tab/>
      </w:r>
      <w:r w:rsidRPr="00A725FB">
        <w:rPr>
          <w:sz w:val="26"/>
          <w:szCs w:val="26"/>
        </w:rPr>
        <w:tab/>
      </w:r>
      <w:r>
        <w:rPr>
          <w:sz w:val="26"/>
          <w:szCs w:val="26"/>
        </w:rPr>
        <w:tab/>
      </w:r>
      <w:r>
        <w:rPr>
          <w:sz w:val="26"/>
          <w:szCs w:val="26"/>
        </w:rPr>
        <w:tab/>
      </w:r>
      <w:r>
        <w:rPr>
          <w:sz w:val="26"/>
          <w:szCs w:val="26"/>
        </w:rPr>
        <w:tab/>
      </w:r>
      <w:r w:rsidRPr="00A725FB">
        <w:rPr>
          <w:sz w:val="26"/>
          <w:szCs w:val="26"/>
        </w:rPr>
        <w:t>C-201</w:t>
      </w:r>
      <w:r>
        <w:rPr>
          <w:sz w:val="26"/>
          <w:szCs w:val="26"/>
        </w:rPr>
        <w:t>8</w:t>
      </w:r>
      <w:r w:rsidRPr="00A725FB">
        <w:rPr>
          <w:sz w:val="26"/>
          <w:szCs w:val="26"/>
        </w:rPr>
        <w:t>-</w:t>
      </w:r>
      <w:r>
        <w:rPr>
          <w:sz w:val="26"/>
          <w:szCs w:val="26"/>
        </w:rPr>
        <w:t>3000505</w:t>
      </w:r>
    </w:p>
    <w:p w:rsidR="009618EC" w:rsidRDefault="009618EC" w:rsidP="009618EC">
      <w:pPr>
        <w:autoSpaceDE w:val="0"/>
        <w:autoSpaceDN w:val="0"/>
        <w:spacing w:after="120" w:line="240" w:lineRule="auto"/>
        <w:ind w:firstLine="720"/>
        <w:rPr>
          <w:sz w:val="26"/>
          <w:szCs w:val="26"/>
        </w:rPr>
      </w:pPr>
      <w:r>
        <w:rPr>
          <w:sz w:val="26"/>
          <w:szCs w:val="26"/>
        </w:rPr>
        <w:t xml:space="preserve">Sean Belback </w:t>
      </w:r>
      <w:r>
        <w:rPr>
          <w:sz w:val="26"/>
          <w:szCs w:val="26"/>
        </w:rPr>
        <w:tab/>
      </w:r>
      <w:r w:rsidRPr="00A725FB">
        <w:rPr>
          <w:sz w:val="26"/>
          <w:szCs w:val="26"/>
        </w:rPr>
        <w:tab/>
      </w:r>
      <w:r>
        <w:rPr>
          <w:sz w:val="26"/>
          <w:szCs w:val="26"/>
        </w:rPr>
        <w:tab/>
      </w:r>
      <w:r>
        <w:rPr>
          <w:sz w:val="26"/>
          <w:szCs w:val="26"/>
        </w:rPr>
        <w:tab/>
      </w:r>
      <w:r>
        <w:rPr>
          <w:sz w:val="26"/>
          <w:szCs w:val="26"/>
        </w:rPr>
        <w:tab/>
      </w:r>
      <w:r w:rsidRPr="00A725FB">
        <w:rPr>
          <w:sz w:val="26"/>
          <w:szCs w:val="26"/>
        </w:rPr>
        <w:t>C-201</w:t>
      </w:r>
      <w:r>
        <w:rPr>
          <w:sz w:val="26"/>
          <w:szCs w:val="26"/>
        </w:rPr>
        <w:t>8</w:t>
      </w:r>
      <w:r w:rsidRPr="00A725FB">
        <w:rPr>
          <w:sz w:val="26"/>
          <w:szCs w:val="26"/>
        </w:rPr>
        <w:t>-</w:t>
      </w:r>
      <w:r>
        <w:rPr>
          <w:sz w:val="26"/>
          <w:szCs w:val="26"/>
        </w:rPr>
        <w:t>3000566</w:t>
      </w:r>
    </w:p>
    <w:p w:rsidR="00AA677D" w:rsidRPr="00A725FB" w:rsidRDefault="00AA677D" w:rsidP="009618EC">
      <w:pPr>
        <w:autoSpaceDE w:val="0"/>
        <w:autoSpaceDN w:val="0"/>
        <w:spacing w:after="120" w:line="240" w:lineRule="auto"/>
        <w:ind w:firstLine="720"/>
        <w:rPr>
          <w:sz w:val="26"/>
          <w:szCs w:val="26"/>
        </w:rPr>
      </w:pPr>
    </w:p>
    <w:p w:rsidR="009618EC" w:rsidRPr="009618EC" w:rsidRDefault="009618EC" w:rsidP="009618EC">
      <w:pPr>
        <w:ind w:firstLine="1440"/>
        <w:rPr>
          <w:sz w:val="26"/>
          <w:szCs w:val="26"/>
        </w:rPr>
      </w:pPr>
    </w:p>
    <w:p w:rsidR="00380DCD" w:rsidRPr="00913C77" w:rsidRDefault="00492D22" w:rsidP="00380DCD">
      <w:pPr>
        <w:keepNext/>
        <w:keepLines/>
        <w:ind w:firstLine="1440"/>
        <w:rPr>
          <w:sz w:val="26"/>
          <w:szCs w:val="26"/>
        </w:rPr>
      </w:pPr>
      <w:r>
        <w:rPr>
          <w:sz w:val="26"/>
          <w:szCs w:val="26"/>
        </w:rPr>
        <w:t>9</w:t>
      </w:r>
      <w:r w:rsidR="00380DCD">
        <w:rPr>
          <w:sz w:val="26"/>
          <w:szCs w:val="26"/>
        </w:rPr>
        <w:t xml:space="preserve">. </w:t>
      </w:r>
      <w:r w:rsidR="00380DCD">
        <w:rPr>
          <w:sz w:val="26"/>
          <w:szCs w:val="26"/>
        </w:rPr>
        <w:tab/>
      </w:r>
      <w:r w:rsidR="00380DCD" w:rsidRPr="00913C77">
        <w:rPr>
          <w:sz w:val="26"/>
          <w:szCs w:val="26"/>
        </w:rPr>
        <w:t xml:space="preserve">That, upon Commission approval of the tariff supplement filed by </w:t>
      </w:r>
      <w:r w:rsidR="00380DCD">
        <w:rPr>
          <w:sz w:val="26"/>
          <w:szCs w:val="26"/>
        </w:rPr>
        <w:t>Reynolds Water</w:t>
      </w:r>
      <w:r w:rsidR="00380DCD" w:rsidRPr="00913C77">
        <w:rPr>
          <w:sz w:val="26"/>
          <w:szCs w:val="26"/>
        </w:rPr>
        <w:t xml:space="preserve"> Compan</w:t>
      </w:r>
      <w:r w:rsidR="00380DCD">
        <w:rPr>
          <w:sz w:val="26"/>
          <w:szCs w:val="26"/>
        </w:rPr>
        <w:t>y</w:t>
      </w:r>
      <w:r w:rsidR="00380DCD" w:rsidRPr="00913C77">
        <w:rPr>
          <w:sz w:val="26"/>
          <w:szCs w:val="26"/>
        </w:rPr>
        <w:t xml:space="preserve"> in compliance with th</w:t>
      </w:r>
      <w:r w:rsidR="00380DCD">
        <w:rPr>
          <w:sz w:val="26"/>
          <w:szCs w:val="26"/>
        </w:rPr>
        <w:t>is</w:t>
      </w:r>
      <w:r w:rsidR="00380DCD" w:rsidRPr="00913C77">
        <w:rPr>
          <w:sz w:val="26"/>
          <w:szCs w:val="26"/>
        </w:rPr>
        <w:t xml:space="preserve"> </w:t>
      </w:r>
      <w:r w:rsidR="00725938">
        <w:rPr>
          <w:sz w:val="26"/>
          <w:szCs w:val="26"/>
        </w:rPr>
        <w:t xml:space="preserve">Opinion and </w:t>
      </w:r>
      <w:r w:rsidR="00380DCD" w:rsidRPr="00913C77">
        <w:rPr>
          <w:sz w:val="26"/>
          <w:szCs w:val="26"/>
        </w:rPr>
        <w:t>Order, the investigation at Docket</w:t>
      </w:r>
      <w:r w:rsidR="00380DCD">
        <w:rPr>
          <w:sz w:val="26"/>
          <w:szCs w:val="26"/>
        </w:rPr>
        <w:t xml:space="preserve"> No.</w:t>
      </w:r>
      <w:r w:rsidR="00380DCD" w:rsidRPr="00913C77">
        <w:rPr>
          <w:sz w:val="26"/>
          <w:szCs w:val="26"/>
        </w:rPr>
        <w:t xml:space="preserve"> R-201</w:t>
      </w:r>
      <w:r w:rsidR="00380DCD">
        <w:rPr>
          <w:sz w:val="26"/>
          <w:szCs w:val="26"/>
        </w:rPr>
        <w:t>7</w:t>
      </w:r>
      <w:r w:rsidR="00380DCD" w:rsidRPr="00913C77">
        <w:rPr>
          <w:sz w:val="26"/>
          <w:szCs w:val="26"/>
        </w:rPr>
        <w:t>-25</w:t>
      </w:r>
      <w:r w:rsidR="00380DCD">
        <w:rPr>
          <w:sz w:val="26"/>
          <w:szCs w:val="26"/>
        </w:rPr>
        <w:t>631441</w:t>
      </w:r>
      <w:r w:rsidR="00380DCD" w:rsidRPr="00913C77">
        <w:rPr>
          <w:sz w:val="26"/>
          <w:szCs w:val="26"/>
        </w:rPr>
        <w:t>, shall be marked closed.</w:t>
      </w:r>
    </w:p>
    <w:p w:rsidR="00A44992" w:rsidRDefault="00A44992" w:rsidP="0045062E">
      <w:pPr>
        <w:pStyle w:val="NoSpacing"/>
        <w:keepNext/>
        <w:keepLines/>
        <w:spacing w:line="360" w:lineRule="auto"/>
        <w:ind w:firstLine="1440"/>
        <w:rPr>
          <w:sz w:val="26"/>
          <w:szCs w:val="26"/>
        </w:rPr>
      </w:pPr>
    </w:p>
    <w:p w:rsidR="00A44992" w:rsidRDefault="003671EC" w:rsidP="0056027F">
      <w:pPr>
        <w:pStyle w:val="BodyText2"/>
        <w:keepNext/>
        <w:keepLines/>
        <w:spacing w:after="0" w:line="240" w:lineRule="auto"/>
        <w:ind w:left="4032" w:firstLine="720"/>
        <w:contextualSpacing/>
        <w:rPr>
          <w:b/>
          <w:sz w:val="26"/>
          <w:szCs w:val="26"/>
        </w:rPr>
      </w:pPr>
      <w:r>
        <w:rPr>
          <w:noProof/>
        </w:rPr>
        <w:drawing>
          <wp:anchor distT="0" distB="0" distL="114300" distR="114300" simplePos="0" relativeHeight="251659264" behindDoc="1" locked="0" layoutInCell="1" allowOverlap="1" wp14:anchorId="599F684A" wp14:editId="5370B460">
            <wp:simplePos x="0" y="0"/>
            <wp:positionH relativeFrom="column">
              <wp:posOffset>3009900</wp:posOffset>
            </wp:positionH>
            <wp:positionV relativeFrom="paragraph">
              <wp:posOffset>143510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992" w:rsidRPr="00674F88">
        <w:rPr>
          <w:b/>
          <w:sz w:val="26"/>
          <w:szCs w:val="26"/>
        </w:rPr>
        <w:t>BY THE COMMISSION,</w:t>
      </w:r>
    </w:p>
    <w:p w:rsidR="00815284" w:rsidRDefault="00815284" w:rsidP="0056027F">
      <w:pPr>
        <w:pStyle w:val="BodyText2"/>
        <w:keepNext/>
        <w:keepLines/>
        <w:spacing w:after="0" w:line="240" w:lineRule="auto"/>
        <w:ind w:left="4032" w:firstLine="720"/>
        <w:contextualSpacing/>
        <w:rPr>
          <w:b/>
          <w:sz w:val="26"/>
          <w:szCs w:val="26"/>
        </w:rPr>
      </w:pPr>
    </w:p>
    <w:p w:rsidR="003776D2" w:rsidRDefault="003776D2" w:rsidP="0056027F">
      <w:pPr>
        <w:pStyle w:val="BodyText2"/>
        <w:keepNext/>
        <w:keepLines/>
        <w:spacing w:after="0" w:line="240" w:lineRule="auto"/>
        <w:ind w:left="4032" w:firstLine="720"/>
        <w:contextualSpacing/>
        <w:rPr>
          <w:b/>
          <w:sz w:val="26"/>
          <w:szCs w:val="26"/>
        </w:rPr>
      </w:pPr>
    </w:p>
    <w:p w:rsidR="00F32BB0" w:rsidRDefault="00F32BB0" w:rsidP="0056027F">
      <w:pPr>
        <w:pStyle w:val="BodyText2"/>
        <w:keepNext/>
        <w:keepLines/>
        <w:spacing w:after="0" w:line="240" w:lineRule="auto"/>
        <w:ind w:left="4032" w:firstLine="720"/>
        <w:contextualSpacing/>
        <w:rPr>
          <w:b/>
          <w:sz w:val="26"/>
          <w:szCs w:val="26"/>
        </w:rPr>
      </w:pPr>
    </w:p>
    <w:p w:rsidR="00815284" w:rsidRDefault="00815284" w:rsidP="0056027F">
      <w:pPr>
        <w:pStyle w:val="BodyText2"/>
        <w:keepNext/>
        <w:keepLines/>
        <w:spacing w:after="0" w:line="240" w:lineRule="auto"/>
        <w:ind w:left="4032" w:firstLine="720"/>
        <w:contextualSpacing/>
        <w:rPr>
          <w:b/>
          <w:sz w:val="26"/>
          <w:szCs w:val="26"/>
        </w:rPr>
      </w:pPr>
    </w:p>
    <w:p w:rsidR="00A44992" w:rsidRPr="00674F88" w:rsidRDefault="00A44992" w:rsidP="0056027F">
      <w:pPr>
        <w:pStyle w:val="BodyText2"/>
        <w:keepNext/>
        <w:keepLines/>
        <w:spacing w:after="0" w:line="240" w:lineRule="auto"/>
        <w:ind w:left="4032" w:firstLine="720"/>
        <w:contextualSpacing/>
        <w:rPr>
          <w:sz w:val="26"/>
          <w:szCs w:val="26"/>
        </w:rPr>
      </w:pPr>
      <w:r w:rsidRPr="00674F88">
        <w:rPr>
          <w:sz w:val="26"/>
          <w:szCs w:val="26"/>
        </w:rPr>
        <w:t>Rosemary Chiavetta</w:t>
      </w:r>
    </w:p>
    <w:p w:rsidR="00A44992" w:rsidRDefault="00A44992" w:rsidP="0056027F">
      <w:pPr>
        <w:pStyle w:val="BodyText2"/>
        <w:keepNext/>
        <w:keepLines/>
        <w:spacing w:after="0" w:line="240" w:lineRule="auto"/>
        <w:ind w:left="4032" w:firstLine="720"/>
        <w:contextualSpacing/>
        <w:rPr>
          <w:sz w:val="26"/>
          <w:szCs w:val="26"/>
        </w:rPr>
      </w:pPr>
      <w:r w:rsidRPr="00674F88">
        <w:rPr>
          <w:sz w:val="26"/>
          <w:szCs w:val="26"/>
        </w:rPr>
        <w:t>Secretary</w:t>
      </w:r>
    </w:p>
    <w:p w:rsidR="0056027F" w:rsidRDefault="0056027F" w:rsidP="0056027F">
      <w:pPr>
        <w:pStyle w:val="BodyText2"/>
        <w:keepNext/>
        <w:keepLines/>
        <w:spacing w:after="0" w:line="240" w:lineRule="auto"/>
        <w:ind w:left="4032" w:firstLine="720"/>
        <w:contextualSpacing/>
        <w:rPr>
          <w:sz w:val="26"/>
          <w:szCs w:val="26"/>
        </w:rPr>
      </w:pPr>
    </w:p>
    <w:p w:rsidR="00A44992" w:rsidRPr="00674F88" w:rsidRDefault="00A44992" w:rsidP="0045062E">
      <w:pPr>
        <w:pStyle w:val="BodyText2"/>
        <w:keepNext/>
        <w:keepLines/>
        <w:spacing w:after="0" w:line="360" w:lineRule="auto"/>
        <w:rPr>
          <w:sz w:val="26"/>
          <w:szCs w:val="26"/>
        </w:rPr>
      </w:pPr>
      <w:r w:rsidRPr="00674F88">
        <w:rPr>
          <w:sz w:val="26"/>
          <w:szCs w:val="26"/>
        </w:rPr>
        <w:t>(SEAL)</w:t>
      </w:r>
    </w:p>
    <w:p w:rsidR="00A44992" w:rsidRPr="00674F88" w:rsidRDefault="00A44992" w:rsidP="0045062E">
      <w:pPr>
        <w:pStyle w:val="BodyText2"/>
        <w:keepNext/>
        <w:keepLines/>
        <w:spacing w:after="0" w:line="360" w:lineRule="auto"/>
        <w:rPr>
          <w:sz w:val="26"/>
          <w:szCs w:val="26"/>
        </w:rPr>
      </w:pPr>
      <w:r>
        <w:rPr>
          <w:sz w:val="26"/>
          <w:szCs w:val="26"/>
        </w:rPr>
        <w:t xml:space="preserve">ORDER ADOPTED: </w:t>
      </w:r>
      <w:r w:rsidR="00815284">
        <w:rPr>
          <w:sz w:val="26"/>
          <w:szCs w:val="26"/>
        </w:rPr>
        <w:t xml:space="preserve"> </w:t>
      </w:r>
      <w:r w:rsidR="00E97B06">
        <w:rPr>
          <w:sz w:val="26"/>
          <w:szCs w:val="26"/>
        </w:rPr>
        <w:t>August 2</w:t>
      </w:r>
      <w:r>
        <w:rPr>
          <w:sz w:val="26"/>
          <w:szCs w:val="26"/>
        </w:rPr>
        <w:t>, 201</w:t>
      </w:r>
      <w:r w:rsidR="004F755B">
        <w:rPr>
          <w:sz w:val="26"/>
          <w:szCs w:val="26"/>
        </w:rPr>
        <w:t>8</w:t>
      </w:r>
    </w:p>
    <w:p w:rsidR="0076047E" w:rsidRDefault="00815284" w:rsidP="0045062E">
      <w:pPr>
        <w:pStyle w:val="BodyText2"/>
        <w:keepNext/>
        <w:keepLines/>
        <w:spacing w:after="0" w:line="360" w:lineRule="auto"/>
        <w:rPr>
          <w:sz w:val="26"/>
          <w:szCs w:val="26"/>
        </w:rPr>
      </w:pPr>
      <w:r>
        <w:rPr>
          <w:sz w:val="26"/>
          <w:szCs w:val="26"/>
        </w:rPr>
        <w:t xml:space="preserve">ORDER ENTERED: </w:t>
      </w:r>
      <w:r w:rsidR="003671EC">
        <w:rPr>
          <w:sz w:val="26"/>
          <w:szCs w:val="26"/>
        </w:rPr>
        <w:t xml:space="preserve"> August 2, 2018</w:t>
      </w:r>
      <w:bookmarkStart w:id="21" w:name="_GoBack"/>
      <w:bookmarkEnd w:id="21"/>
      <w:r>
        <w:rPr>
          <w:sz w:val="26"/>
          <w:szCs w:val="26"/>
        </w:rPr>
        <w:t xml:space="preserve"> </w:t>
      </w:r>
    </w:p>
    <w:sectPr w:rsidR="0076047E" w:rsidSect="000B24E9">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373" w:rsidRDefault="00F87373" w:rsidP="00792C5F">
      <w:pPr>
        <w:spacing w:line="240" w:lineRule="auto"/>
      </w:pPr>
      <w:r>
        <w:separator/>
      </w:r>
    </w:p>
  </w:endnote>
  <w:endnote w:type="continuationSeparator" w:id="0">
    <w:p w:rsidR="00F87373" w:rsidRDefault="00F87373" w:rsidP="00792C5F">
      <w:pPr>
        <w:spacing w:line="240" w:lineRule="auto"/>
      </w:pPr>
      <w:r>
        <w:continuationSeparator/>
      </w:r>
    </w:p>
  </w:endnote>
  <w:endnote w:type="continuationNotice" w:id="1">
    <w:p w:rsidR="00F87373" w:rsidRDefault="00F873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157361"/>
      <w:docPartObj>
        <w:docPartGallery w:val="Page Numbers (Bottom of Page)"/>
        <w:docPartUnique/>
      </w:docPartObj>
    </w:sdtPr>
    <w:sdtEndPr>
      <w:rPr>
        <w:noProof/>
      </w:rPr>
    </w:sdtEndPr>
    <w:sdtContent>
      <w:p w:rsidR="00217FA9" w:rsidRDefault="00217FA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217FA9" w:rsidRDefault="00217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609403"/>
      <w:docPartObj>
        <w:docPartGallery w:val="Page Numbers (Bottom of Page)"/>
        <w:docPartUnique/>
      </w:docPartObj>
    </w:sdtPr>
    <w:sdtEndPr>
      <w:rPr>
        <w:noProof/>
      </w:rPr>
    </w:sdtEndPr>
    <w:sdtContent>
      <w:p w:rsidR="00217FA9" w:rsidRDefault="00217F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17FA9" w:rsidRDefault="00217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07464"/>
      <w:docPartObj>
        <w:docPartGallery w:val="Page Numbers (Bottom of Page)"/>
        <w:docPartUnique/>
      </w:docPartObj>
    </w:sdtPr>
    <w:sdtEndPr>
      <w:rPr>
        <w:noProof/>
      </w:rPr>
    </w:sdtEndPr>
    <w:sdtContent>
      <w:p w:rsidR="00217FA9" w:rsidRDefault="00217FA9">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217FA9" w:rsidRDefault="00217F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FA9" w:rsidRDefault="00217FA9">
    <w:pPr>
      <w:pStyle w:val="Footer"/>
      <w:jc w:val="center"/>
    </w:pPr>
  </w:p>
  <w:p w:rsidR="00217FA9" w:rsidRDefault="00217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373" w:rsidRDefault="00F87373" w:rsidP="00792C5F">
      <w:pPr>
        <w:spacing w:line="240" w:lineRule="auto"/>
      </w:pPr>
      <w:r>
        <w:separator/>
      </w:r>
    </w:p>
  </w:footnote>
  <w:footnote w:type="continuationSeparator" w:id="0">
    <w:p w:rsidR="00F87373" w:rsidRDefault="00F87373" w:rsidP="00792C5F">
      <w:pPr>
        <w:spacing w:line="240" w:lineRule="auto"/>
      </w:pPr>
      <w:r>
        <w:continuationSeparator/>
      </w:r>
    </w:p>
  </w:footnote>
  <w:footnote w:type="continuationNotice" w:id="1">
    <w:p w:rsidR="00F87373" w:rsidRDefault="00F87373">
      <w:pPr>
        <w:spacing w:line="240" w:lineRule="auto"/>
      </w:pPr>
    </w:p>
  </w:footnote>
  <w:footnote w:id="2">
    <w:p w:rsidR="00217FA9" w:rsidRPr="00746B74" w:rsidRDefault="00217FA9" w:rsidP="00F5115B">
      <w:pPr>
        <w:pStyle w:val="FootnoteText"/>
      </w:pPr>
      <w:r w:rsidRPr="00746B74">
        <w:rPr>
          <w:rStyle w:val="FootnoteReference"/>
        </w:rPr>
        <w:footnoteRef/>
      </w:r>
      <w:r w:rsidRPr="00746B74">
        <w:tab/>
        <w:t xml:space="preserve">For the purpose of this proceeding, the individual Complainants shall be collectively referred to as “Complainants.”  We note that only </w:t>
      </w:r>
      <w:r w:rsidR="00E22790">
        <w:t>nineteen</w:t>
      </w:r>
      <w:r w:rsidRPr="00746B74">
        <w:t xml:space="preserve"> out of the twenty individual Complainants in this proceeding file</w:t>
      </w:r>
      <w:r w:rsidR="00E22790">
        <w:t>d</w:t>
      </w:r>
      <w:r w:rsidRPr="00746B74">
        <w:t xml:space="preserve"> Exceptions.</w:t>
      </w:r>
    </w:p>
  </w:footnote>
  <w:footnote w:id="3">
    <w:p w:rsidR="00217FA9" w:rsidRPr="00746B74" w:rsidRDefault="00217FA9" w:rsidP="00BA4EB5">
      <w:pPr>
        <w:keepNext/>
        <w:keepLines/>
        <w:spacing w:after="120" w:line="240" w:lineRule="auto"/>
        <w:rPr>
          <w:rFonts w:eastAsiaTheme="minorHAnsi"/>
          <w:sz w:val="26"/>
          <w:szCs w:val="26"/>
        </w:rPr>
      </w:pPr>
      <w:r w:rsidRPr="00746B74">
        <w:rPr>
          <w:sz w:val="26"/>
          <w:szCs w:val="26"/>
        </w:rPr>
        <w:tab/>
      </w:r>
      <w:r w:rsidRPr="00746B74">
        <w:rPr>
          <w:rStyle w:val="FootnoteReference"/>
          <w:sz w:val="26"/>
          <w:szCs w:val="26"/>
        </w:rPr>
        <w:footnoteRef/>
      </w:r>
      <w:r w:rsidRPr="00746B74">
        <w:rPr>
          <w:sz w:val="26"/>
          <w:szCs w:val="26"/>
        </w:rPr>
        <w:tab/>
        <w:t xml:space="preserve">Exceptions were due on June 18, 2018.  However, one of the Complainants (Bea DeCiancio) filed her Exceptions on June 20, 2018, after the deadline for filing Exceptions.  </w:t>
      </w:r>
      <w:r w:rsidRPr="00746B74">
        <w:rPr>
          <w:rFonts w:eastAsiaTheme="minorHAnsi"/>
          <w:sz w:val="26"/>
          <w:szCs w:val="26"/>
        </w:rPr>
        <w:t xml:space="preserve">Nevertheless, under the circumstances of this proceeding, we shall consider the late-filed Exceptions of Ms. DeCiancio to secure a just, speedy, and inexpensive determination in this proceeding, particularly as the Complainant is appearing </w:t>
      </w:r>
      <w:r w:rsidRPr="00746B74">
        <w:rPr>
          <w:rFonts w:eastAsiaTheme="minorHAnsi"/>
          <w:bCs/>
          <w:i/>
          <w:sz w:val="26"/>
          <w:szCs w:val="26"/>
        </w:rPr>
        <w:t>pro</w:t>
      </w:r>
      <w:r w:rsidRPr="00746B74">
        <w:rPr>
          <w:rFonts w:eastAsiaTheme="minorHAnsi"/>
          <w:i/>
          <w:sz w:val="26"/>
          <w:szCs w:val="26"/>
        </w:rPr>
        <w:t xml:space="preserve"> </w:t>
      </w:r>
      <w:r w:rsidRPr="00746B74">
        <w:rPr>
          <w:rFonts w:eastAsiaTheme="minorHAnsi"/>
          <w:bCs/>
          <w:i/>
          <w:sz w:val="26"/>
          <w:szCs w:val="26"/>
        </w:rPr>
        <w:t>se</w:t>
      </w:r>
      <w:r w:rsidRPr="00746B74">
        <w:rPr>
          <w:rFonts w:eastAsiaTheme="minorHAnsi"/>
          <w:sz w:val="26"/>
          <w:szCs w:val="26"/>
        </w:rPr>
        <w:t xml:space="preserve">.  See </w:t>
      </w:r>
      <w:hyperlink r:id="rId1" w:history="1">
        <w:r w:rsidRPr="00746B74">
          <w:rPr>
            <w:rFonts w:eastAsiaTheme="minorHAnsi"/>
            <w:sz w:val="26"/>
            <w:szCs w:val="26"/>
          </w:rPr>
          <w:t xml:space="preserve">52 Pa. Code § </w:t>
        </w:r>
        <w:r w:rsidRPr="00746B74">
          <w:rPr>
            <w:rFonts w:eastAsiaTheme="minorHAnsi"/>
            <w:bCs/>
            <w:sz w:val="26"/>
            <w:szCs w:val="26"/>
          </w:rPr>
          <w:t>1</w:t>
        </w:r>
        <w:r w:rsidRPr="00746B74">
          <w:rPr>
            <w:rFonts w:eastAsiaTheme="minorHAnsi"/>
            <w:sz w:val="26"/>
            <w:szCs w:val="26"/>
          </w:rPr>
          <w:t>.</w:t>
        </w:r>
        <w:r w:rsidRPr="00746B74">
          <w:rPr>
            <w:rFonts w:eastAsiaTheme="minorHAnsi"/>
            <w:bCs/>
            <w:sz w:val="26"/>
            <w:szCs w:val="26"/>
          </w:rPr>
          <w:t>2</w:t>
        </w:r>
        <w:r w:rsidRPr="00746B74">
          <w:rPr>
            <w:rFonts w:eastAsiaTheme="minorHAnsi"/>
            <w:sz w:val="26"/>
            <w:szCs w:val="26"/>
          </w:rPr>
          <w:t>(a)</w:t>
        </w:r>
      </w:hyperlink>
      <w:r w:rsidRPr="00746B74">
        <w:rPr>
          <w:rFonts w:eastAsiaTheme="minorHAnsi"/>
          <w:sz w:val="26"/>
          <w:szCs w:val="26"/>
        </w:rPr>
        <w:t>, (d).</w:t>
      </w:r>
    </w:p>
  </w:footnote>
  <w:footnote w:id="4">
    <w:p w:rsidR="00217FA9" w:rsidRPr="00136876" w:rsidRDefault="00217FA9" w:rsidP="00F5115B">
      <w:pPr>
        <w:pStyle w:val="FootnoteText"/>
      </w:pPr>
      <w:r w:rsidRPr="00746B74">
        <w:rPr>
          <w:rStyle w:val="FootnoteReference"/>
        </w:rPr>
        <w:footnoteRef/>
      </w:r>
      <w:r w:rsidRPr="00746B74">
        <w:tab/>
        <w:t xml:space="preserve">On June 18, 2018, the OCA submitted a letter with the Commission indicating that it will not </w:t>
      </w:r>
      <w:r>
        <w:t xml:space="preserve">be </w:t>
      </w:r>
      <w:r w:rsidRPr="00746B74">
        <w:t>fil</w:t>
      </w:r>
      <w:r>
        <w:t>ing</w:t>
      </w:r>
      <w:r w:rsidRPr="00746B74">
        <w:t xml:space="preserve"> Exceptions to the Recommended Decision.</w:t>
      </w:r>
      <w:r w:rsidRPr="00746B74">
        <w:rPr>
          <w:rStyle w:val="FootnoteReference"/>
        </w:rPr>
        <w:t xml:space="preserve"> </w:t>
      </w:r>
      <w:r w:rsidRPr="00746B74">
        <w:t xml:space="preserve"> In the letter, the OCA avers that, although it accepts the minor modifications to the Settlement by the ALJ as set forth in Appendix A to the Recommended Decision, paragraph 4 of Appendix A</w:t>
      </w:r>
      <w:r w:rsidRPr="00136876">
        <w:t xml:space="preserve"> which refers to </w:t>
      </w:r>
      <w:r>
        <w:t>P</w:t>
      </w:r>
      <w:r w:rsidRPr="00136876">
        <w:t xml:space="preserve">age </w:t>
      </w:r>
      <w:r>
        <w:t xml:space="preserve">No. </w:t>
      </w:r>
      <w:r w:rsidRPr="00136876">
        <w:t xml:space="preserve">5 of the proposed tariff should be revised to </w:t>
      </w:r>
      <w:r>
        <w:t>P</w:t>
      </w:r>
      <w:r w:rsidRPr="00136876">
        <w:t xml:space="preserve">age </w:t>
      </w:r>
      <w:r>
        <w:t xml:space="preserve">No. </w:t>
      </w:r>
      <w:r w:rsidRPr="00136876">
        <w:t>4A of the proposed tariff.</w:t>
      </w:r>
      <w:r>
        <w:t xml:space="preserve">  As will be discussed, </w:t>
      </w:r>
      <w:r>
        <w:rPr>
          <w:i/>
        </w:rPr>
        <w:t>supra</w:t>
      </w:r>
      <w:r>
        <w:t>, we will modify the ALJ’s Recommended Decision to reflect this revision.</w:t>
      </w:r>
    </w:p>
  </w:footnote>
  <w:footnote w:id="5">
    <w:p w:rsidR="00217FA9" w:rsidRPr="00E14207" w:rsidRDefault="00217FA9" w:rsidP="00F5115B">
      <w:pPr>
        <w:pStyle w:val="FootnoteText"/>
      </w:pPr>
      <w:r w:rsidRPr="00E14207">
        <w:rPr>
          <w:rStyle w:val="FootnoteReference"/>
        </w:rPr>
        <w:footnoteRef/>
      </w:r>
      <w:r w:rsidRPr="00E14207">
        <w:tab/>
        <w:t>Reynolds provides water service to approximately 722 total customers (551 residential customers) in portions of the Townships of Pymatuning, Hempfield, and Delaware in Mercer County.</w:t>
      </w:r>
    </w:p>
  </w:footnote>
  <w:footnote w:id="6">
    <w:p w:rsidR="00217FA9" w:rsidRDefault="00217FA9" w:rsidP="00F5115B">
      <w:pPr>
        <w:pStyle w:val="FootnoteText"/>
      </w:pPr>
      <w:r>
        <w:rPr>
          <w:rStyle w:val="FootnoteReference"/>
        </w:rPr>
        <w:footnoteRef/>
      </w:r>
      <w:r>
        <w:tab/>
        <w:t>Reynolds’ last general rate increase was filed on June 30, 2009, at Docket No. R</w:t>
      </w:r>
      <w:r>
        <w:noBreakHyphen/>
        <w:t>2009-2102464.  In that case, Reynolds’ requested an increase of $207,503 or 50.5%.  However, pursuant to the Settlement by the Parties in that proceeding, the Commission awarded Reynolds an increase of $139,000 or 34% over two phases.  The rates from that rate increase filing became effective on April 15, 2010.</w:t>
      </w:r>
    </w:p>
  </w:footnote>
  <w:footnote w:id="7">
    <w:p w:rsidR="00217FA9" w:rsidRPr="007574ED" w:rsidRDefault="00217FA9" w:rsidP="00F5115B">
      <w:pPr>
        <w:pStyle w:val="FootnoteText"/>
      </w:pPr>
      <w:r w:rsidRPr="007574ED">
        <w:rPr>
          <w:rStyle w:val="FootnoteReference"/>
        </w:rPr>
        <w:footnoteRef/>
      </w:r>
      <w:r w:rsidRPr="007574ED">
        <w:t xml:space="preserve"> </w:t>
      </w:r>
      <w:r w:rsidRPr="007574ED">
        <w:tab/>
        <w:t>Settlement Objections were also filed by James V</w:t>
      </w:r>
      <w:r w:rsidR="00DE26AD">
        <w:t>es</w:t>
      </w:r>
      <w:r w:rsidRPr="007574ED">
        <w:t>sella and John D’Urso, on April 26, 2018, after the deadline</w:t>
      </w:r>
      <w:r>
        <w:t xml:space="preserve"> for filing comments</w:t>
      </w:r>
      <w:r w:rsidRPr="007574ED">
        <w:t>.</w:t>
      </w:r>
    </w:p>
  </w:footnote>
  <w:footnote w:id="8">
    <w:p w:rsidR="00217FA9" w:rsidRDefault="00217FA9" w:rsidP="00F5115B">
      <w:pPr>
        <w:pStyle w:val="FootnoteText"/>
      </w:pPr>
      <w:r>
        <w:rPr>
          <w:rStyle w:val="FootnoteReference"/>
        </w:rPr>
        <w:footnoteRef/>
      </w:r>
      <w:r>
        <w:t xml:space="preserve"> </w:t>
      </w:r>
      <w:r>
        <w:tab/>
        <w:t>Although, the ALJ referred to this Interim Order as the Fifth Interim Order, our review of the record indicates it is the Fourth Interim Order.</w:t>
      </w:r>
    </w:p>
  </w:footnote>
  <w:footnote w:id="9">
    <w:p w:rsidR="00217FA9" w:rsidRPr="00FC4072" w:rsidRDefault="00217FA9" w:rsidP="00BA4EB5">
      <w:pPr>
        <w:keepNext/>
        <w:keepLines/>
        <w:spacing w:after="120" w:line="240" w:lineRule="auto"/>
        <w:ind w:firstLine="720"/>
        <w:rPr>
          <w:sz w:val="26"/>
          <w:szCs w:val="26"/>
        </w:rPr>
      </w:pPr>
      <w:r w:rsidRPr="00FC4072">
        <w:rPr>
          <w:rStyle w:val="FootnoteReference"/>
          <w:sz w:val="26"/>
          <w:szCs w:val="26"/>
        </w:rPr>
        <w:footnoteRef/>
      </w:r>
      <w:r w:rsidRPr="00FC4072">
        <w:rPr>
          <w:sz w:val="26"/>
          <w:szCs w:val="26"/>
        </w:rPr>
        <w:t xml:space="preserve"> </w:t>
      </w:r>
      <w:r w:rsidRPr="00FC4072">
        <w:rPr>
          <w:sz w:val="26"/>
          <w:szCs w:val="26"/>
        </w:rPr>
        <w:tab/>
      </w:r>
      <w:r w:rsidRPr="00FC4072">
        <w:rPr>
          <w:i/>
          <w:sz w:val="26"/>
          <w:szCs w:val="26"/>
        </w:rPr>
        <w:t>See,</w:t>
      </w:r>
      <w:r w:rsidRPr="00FC4072">
        <w:rPr>
          <w:sz w:val="26"/>
          <w:szCs w:val="26"/>
        </w:rPr>
        <w:t xml:space="preserve"> </w:t>
      </w:r>
      <w:r w:rsidR="00DE26AD">
        <w:rPr>
          <w:sz w:val="26"/>
          <w:szCs w:val="26"/>
        </w:rPr>
        <w:t>A</w:t>
      </w:r>
      <w:r w:rsidRPr="00FC4072">
        <w:rPr>
          <w:sz w:val="26"/>
          <w:szCs w:val="26"/>
        </w:rPr>
        <w:t xml:space="preserve">ttachment A to the Recommended Decision for </w:t>
      </w:r>
      <w:r>
        <w:rPr>
          <w:sz w:val="26"/>
          <w:szCs w:val="26"/>
        </w:rPr>
        <w:t xml:space="preserve">the minor </w:t>
      </w:r>
      <w:r w:rsidRPr="00FC4072">
        <w:rPr>
          <w:sz w:val="26"/>
          <w:szCs w:val="26"/>
        </w:rPr>
        <w:t>modifications to the Settlement.</w:t>
      </w:r>
    </w:p>
    <w:p w:rsidR="00217FA9" w:rsidRPr="00FC4072" w:rsidRDefault="00217FA9" w:rsidP="00F5115B">
      <w:pPr>
        <w:pStyle w:val="FootnoteText"/>
      </w:pPr>
    </w:p>
  </w:footnote>
  <w:footnote w:id="10">
    <w:p w:rsidR="00217FA9" w:rsidRPr="003A5D5C" w:rsidRDefault="00217FA9" w:rsidP="00BA4EB5">
      <w:pPr>
        <w:keepNext/>
        <w:keepLines/>
        <w:spacing w:after="120" w:line="240" w:lineRule="auto"/>
        <w:ind w:firstLine="720"/>
      </w:pPr>
      <w:r w:rsidRPr="003A5D5C">
        <w:rPr>
          <w:rStyle w:val="FootnoteReference"/>
          <w:sz w:val="26"/>
          <w:szCs w:val="26"/>
        </w:rPr>
        <w:footnoteRef/>
      </w:r>
      <w:r w:rsidRPr="003A5D5C">
        <w:rPr>
          <w:sz w:val="26"/>
          <w:szCs w:val="26"/>
        </w:rPr>
        <w:tab/>
        <w:t>The Settlement explains that the “Joint Petitioners agreed on a revenue requirement increase of $160,000.  This amount was decreased to $158,600 to reflect the ADIT Adjustment ($160,000 - $1,400).”  Settlement at 5, n.1.</w:t>
      </w:r>
    </w:p>
  </w:footnote>
  <w:footnote w:id="11">
    <w:p w:rsidR="009F7F91" w:rsidRPr="00F5115B" w:rsidRDefault="009F7F91" w:rsidP="00F5115B">
      <w:pPr>
        <w:pStyle w:val="FootnoteText"/>
      </w:pPr>
      <w:r w:rsidRPr="00F5115B">
        <w:rPr>
          <w:rStyle w:val="FootnoteReference"/>
        </w:rPr>
        <w:footnoteRef/>
      </w:r>
      <w:r w:rsidRPr="00F5115B">
        <w:t xml:space="preserve"> </w:t>
      </w:r>
      <w:r w:rsidRPr="00F5115B">
        <w:tab/>
        <w:t xml:space="preserve">For the remainder of this document, we will refer to this </w:t>
      </w:r>
      <w:r w:rsidR="00F5115B" w:rsidRPr="00F5115B">
        <w:t xml:space="preserve">term of the Settlement </w:t>
      </w:r>
      <w:r w:rsidRPr="00F5115B">
        <w:t>as the stay-out provision.</w:t>
      </w:r>
    </w:p>
  </w:footnote>
  <w:footnote w:id="12">
    <w:p w:rsidR="00217FA9" w:rsidRDefault="00217FA9" w:rsidP="00F5115B">
      <w:pPr>
        <w:pStyle w:val="FootnoteText"/>
      </w:pPr>
      <w:r>
        <w:rPr>
          <w:rStyle w:val="FootnoteReference"/>
        </w:rPr>
        <w:footnoteRef/>
      </w:r>
      <w:r>
        <w:tab/>
        <w:t>T</w:t>
      </w:r>
      <w:r w:rsidRPr="00C34FF7">
        <w:t xml:space="preserve">he ALJ </w:t>
      </w:r>
      <w:r>
        <w:t xml:space="preserve">discusses on </w:t>
      </w:r>
      <w:r w:rsidRPr="00C34FF7">
        <w:t xml:space="preserve">pages eight to eighteen of </w:t>
      </w:r>
      <w:r>
        <w:t>her R</w:t>
      </w:r>
      <w:r w:rsidRPr="00C34FF7">
        <w:t>ecommended Decision</w:t>
      </w:r>
      <w:r>
        <w:t xml:space="preserve">, </w:t>
      </w:r>
      <w:r w:rsidRPr="00C34FF7">
        <w:t xml:space="preserve">the positions of the Joint Petitioners on the issues addressed in the Settlement, including additional and necessary cash flow, the TCJA, significant capital projects, matters of interest to ratepayers, revenue increase and phase-in, federal taxes considerations, </w:t>
      </w:r>
      <w:r>
        <w:t xml:space="preserve">and </w:t>
      </w:r>
      <w:r w:rsidRPr="00C34FF7">
        <w:t xml:space="preserve">the public interest.  </w:t>
      </w:r>
      <w:r>
        <w:rPr>
          <w:i/>
        </w:rPr>
        <w:t xml:space="preserve">See </w:t>
      </w:r>
      <w:r w:rsidRPr="00C34FF7">
        <w:t>R.D. at 8-18.</w:t>
      </w:r>
    </w:p>
  </w:footnote>
  <w:footnote w:id="13">
    <w:p w:rsidR="00217FA9" w:rsidRPr="00A62FE6" w:rsidRDefault="00217FA9" w:rsidP="00BA4EB5">
      <w:pPr>
        <w:keepNext/>
        <w:keepLines/>
        <w:spacing w:after="120" w:line="240" w:lineRule="auto"/>
        <w:ind w:firstLine="720"/>
        <w:rPr>
          <w:sz w:val="26"/>
          <w:szCs w:val="26"/>
        </w:rPr>
      </w:pPr>
      <w:r w:rsidRPr="00A62FE6">
        <w:rPr>
          <w:rStyle w:val="FootnoteReference"/>
          <w:sz w:val="26"/>
          <w:szCs w:val="26"/>
        </w:rPr>
        <w:footnoteRef/>
      </w:r>
      <w:r w:rsidRPr="00A62FE6">
        <w:rPr>
          <w:sz w:val="26"/>
          <w:szCs w:val="26"/>
        </w:rPr>
        <w:tab/>
        <w:t>A complete list of the modifications is included as Attachment A to th</w:t>
      </w:r>
      <w:r>
        <w:rPr>
          <w:sz w:val="26"/>
          <w:szCs w:val="26"/>
        </w:rPr>
        <w:t>e ALJ’s</w:t>
      </w:r>
      <w:r w:rsidRPr="00A62FE6">
        <w:rPr>
          <w:sz w:val="26"/>
          <w:szCs w:val="26"/>
        </w:rPr>
        <w:t xml:space="preserve"> Recommended Decision.</w:t>
      </w:r>
    </w:p>
  </w:footnote>
  <w:footnote w:id="14">
    <w:p w:rsidR="00A8374A" w:rsidRPr="00D46AE6" w:rsidRDefault="00A8374A" w:rsidP="00A8374A">
      <w:pPr>
        <w:keepNext/>
        <w:keepLines/>
        <w:spacing w:after="120" w:line="240" w:lineRule="auto"/>
        <w:ind w:firstLine="720"/>
      </w:pPr>
      <w:r w:rsidRPr="00D46AE6">
        <w:rPr>
          <w:rStyle w:val="FootnoteReference"/>
          <w:sz w:val="26"/>
          <w:szCs w:val="26"/>
        </w:rPr>
        <w:footnoteRef/>
      </w:r>
      <w:r w:rsidRPr="00D46AE6">
        <w:rPr>
          <w:sz w:val="26"/>
          <w:szCs w:val="26"/>
        </w:rPr>
        <w:tab/>
        <w:t>Although the ALJ’s Attachment A</w:t>
      </w:r>
      <w:r w:rsidR="00420A59" w:rsidRPr="00D46AE6">
        <w:rPr>
          <w:sz w:val="26"/>
          <w:szCs w:val="26"/>
        </w:rPr>
        <w:t xml:space="preserve"> in the Recommended Decision</w:t>
      </w:r>
      <w:r w:rsidRPr="00D46AE6">
        <w:rPr>
          <w:sz w:val="26"/>
          <w:szCs w:val="26"/>
        </w:rPr>
        <w:t xml:space="preserve"> referenced pages 2, 5, 7A and 8A of Supplement No. 5, filed on October 30, 2017, our review of the record shows the ALJ’s recommended modifications should be made to pages 2, 4A, 7A and 8A </w:t>
      </w:r>
      <w:r w:rsidR="00420A59" w:rsidRPr="00D46AE6">
        <w:rPr>
          <w:sz w:val="26"/>
          <w:szCs w:val="26"/>
        </w:rPr>
        <w:t xml:space="preserve">to the </w:t>
      </w:r>
      <w:r w:rsidR="003E66D7" w:rsidRPr="00D46AE6">
        <w:rPr>
          <w:sz w:val="26"/>
          <w:szCs w:val="26"/>
        </w:rPr>
        <w:t xml:space="preserve">sample tariff supplement that is contained in </w:t>
      </w:r>
      <w:r w:rsidRPr="00D46AE6">
        <w:rPr>
          <w:sz w:val="26"/>
          <w:szCs w:val="26"/>
        </w:rPr>
        <w:t xml:space="preserve">Appendix A </w:t>
      </w:r>
      <w:r w:rsidR="003E66D7" w:rsidRPr="00D46AE6">
        <w:rPr>
          <w:sz w:val="26"/>
          <w:szCs w:val="26"/>
        </w:rPr>
        <w:t xml:space="preserve">of the </w:t>
      </w:r>
      <w:r w:rsidRPr="00D46AE6">
        <w:rPr>
          <w:sz w:val="26"/>
          <w:szCs w:val="26"/>
        </w:rPr>
        <w:t>Joint Petition.</w:t>
      </w:r>
    </w:p>
  </w:footnote>
  <w:footnote w:id="15">
    <w:p w:rsidR="00217FA9" w:rsidRPr="007574ED" w:rsidRDefault="00217FA9" w:rsidP="00F5115B">
      <w:pPr>
        <w:pStyle w:val="FootnoteText"/>
      </w:pPr>
      <w:r w:rsidRPr="007574ED">
        <w:rPr>
          <w:rStyle w:val="FootnoteReference"/>
        </w:rPr>
        <w:footnoteRef/>
      </w:r>
      <w:r w:rsidRPr="007574ED">
        <w:t xml:space="preserve"> </w:t>
      </w:r>
      <w:r w:rsidRPr="007574ED">
        <w:tab/>
      </w:r>
      <w:r>
        <w:t xml:space="preserve">The </w:t>
      </w:r>
      <w:r w:rsidRPr="007574ED">
        <w:t>Settlement Objections by James V</w:t>
      </w:r>
      <w:r w:rsidR="00F15F90">
        <w:t>es</w:t>
      </w:r>
      <w:r w:rsidRPr="007574ED">
        <w:t>sella and John D’ Urso</w:t>
      </w:r>
      <w:r>
        <w:t xml:space="preserve"> were filed</w:t>
      </w:r>
      <w:r w:rsidRPr="007574ED">
        <w:t xml:space="preserve"> on April 26, 2018, after the deadline</w:t>
      </w:r>
      <w:r>
        <w:t xml:space="preserve"> for </w:t>
      </w:r>
      <w:r w:rsidRPr="007574ED">
        <w:t>fil</w:t>
      </w:r>
      <w:r>
        <w:t>ing</w:t>
      </w:r>
      <w:r w:rsidRPr="007574ED">
        <w:t xml:space="preserve"> comments.</w:t>
      </w:r>
    </w:p>
  </w:footnote>
  <w:footnote w:id="16">
    <w:p w:rsidR="00217FA9" w:rsidRPr="003D183A" w:rsidRDefault="00217FA9" w:rsidP="00F5115B">
      <w:pPr>
        <w:pStyle w:val="FootnoteText"/>
      </w:pPr>
      <w:r w:rsidRPr="003D183A">
        <w:rPr>
          <w:rStyle w:val="FootnoteReference"/>
        </w:rPr>
        <w:footnoteRef/>
      </w:r>
      <w:r w:rsidRPr="003D183A">
        <w:t xml:space="preserve"> </w:t>
      </w:r>
      <w:r w:rsidRPr="003D183A">
        <w:tab/>
      </w:r>
      <w:r w:rsidRPr="003D183A">
        <w:rPr>
          <w:i/>
        </w:rPr>
        <w:t>See,</w:t>
      </w:r>
      <w:r w:rsidRPr="003D183A">
        <w:t xml:space="preserve"> R.D. at 20-21 for additional comments by the Complainants in their Settlement Objections.  </w:t>
      </w:r>
    </w:p>
  </w:footnote>
  <w:footnote w:id="17">
    <w:p w:rsidR="00217FA9" w:rsidRDefault="00217FA9" w:rsidP="00F5115B">
      <w:pPr>
        <w:pStyle w:val="FootnoteText"/>
      </w:pPr>
      <w:r>
        <w:rPr>
          <w:rStyle w:val="FootnoteReference"/>
        </w:rPr>
        <w:footnoteRef/>
      </w:r>
      <w:r>
        <w:t xml:space="preserve"> </w:t>
      </w:r>
      <w:r>
        <w:tab/>
        <w:t>Four of the Complainants (Bea DeCiancio, Margaret Foust, Thomas Hanzes and Clark Eberhart) submitted individual comments in addition to the form-letter format Exceptions they filed.</w:t>
      </w:r>
    </w:p>
  </w:footnote>
  <w:footnote w:id="18">
    <w:p w:rsidR="00217FA9" w:rsidRPr="009C6D93" w:rsidRDefault="00217FA9" w:rsidP="00BA4EB5">
      <w:pPr>
        <w:keepNext/>
        <w:keepLines/>
        <w:spacing w:after="120" w:line="240" w:lineRule="auto"/>
        <w:ind w:firstLine="720"/>
      </w:pPr>
      <w:r w:rsidRPr="009C6D93">
        <w:rPr>
          <w:rStyle w:val="FootnoteReference"/>
          <w:sz w:val="26"/>
          <w:szCs w:val="26"/>
        </w:rPr>
        <w:footnoteRef/>
      </w:r>
      <w:r>
        <w:rPr>
          <w:sz w:val="26"/>
          <w:szCs w:val="26"/>
        </w:rPr>
        <w:tab/>
      </w:r>
      <w:r w:rsidRPr="009C6D93">
        <w:rPr>
          <w:sz w:val="26"/>
          <w:szCs w:val="26"/>
        </w:rPr>
        <w:t xml:space="preserve">Ordering </w:t>
      </w:r>
      <w:r>
        <w:rPr>
          <w:sz w:val="26"/>
          <w:szCs w:val="26"/>
        </w:rPr>
        <w:t>P</w:t>
      </w:r>
      <w:r w:rsidRPr="009C6D93">
        <w:rPr>
          <w:sz w:val="26"/>
          <w:szCs w:val="26"/>
        </w:rPr>
        <w:t xml:space="preserve">aragraph No. 5 of the </w:t>
      </w:r>
      <w:r w:rsidRPr="009C6D93">
        <w:rPr>
          <w:i/>
          <w:sz w:val="26"/>
          <w:szCs w:val="26"/>
        </w:rPr>
        <w:t xml:space="preserve">December 2017 Order </w:t>
      </w:r>
      <w:r w:rsidRPr="009C6D93">
        <w:rPr>
          <w:sz w:val="26"/>
          <w:szCs w:val="26"/>
        </w:rPr>
        <w:t>states “</w:t>
      </w:r>
      <w:r>
        <w:rPr>
          <w:sz w:val="26"/>
          <w:szCs w:val="26"/>
        </w:rPr>
        <w:t>[t]</w:t>
      </w:r>
      <w:r w:rsidRPr="009C6D93">
        <w:rPr>
          <w:sz w:val="26"/>
          <w:szCs w:val="26"/>
        </w:rPr>
        <w:t>hat the case be assigned to the Office of Administrative Law Judge for Alternative Dispute Resolution, if possible, or for the prompt scheduling of such hearings as may be necessary culminating in the issuance of a recommended decision.</w:t>
      </w:r>
      <w:r>
        <w:rPr>
          <w:sz w:val="26"/>
          <w:szCs w:val="26"/>
        </w:rPr>
        <w:t xml:space="preserve">”  </w:t>
      </w:r>
      <w:r w:rsidRPr="009C6D93">
        <w:rPr>
          <w:i/>
          <w:sz w:val="26"/>
          <w:szCs w:val="26"/>
        </w:rPr>
        <w:t>December 2017 Order</w:t>
      </w:r>
      <w:r>
        <w:rPr>
          <w:sz w:val="26"/>
          <w:szCs w:val="26"/>
        </w:rPr>
        <w:t xml:space="preserve"> at 3.</w:t>
      </w:r>
    </w:p>
  </w:footnote>
  <w:footnote w:id="19">
    <w:p w:rsidR="00217FA9" w:rsidRPr="00341AF5" w:rsidRDefault="00217FA9" w:rsidP="00F5115B">
      <w:pPr>
        <w:pStyle w:val="FootnoteText"/>
      </w:pPr>
      <w:r w:rsidRPr="00341AF5">
        <w:rPr>
          <w:rStyle w:val="FootnoteReference"/>
        </w:rPr>
        <w:footnoteRef/>
      </w:r>
      <w:r w:rsidRPr="00341AF5">
        <w:tab/>
      </w:r>
      <w:r w:rsidRPr="00341AF5">
        <w:rPr>
          <w:i/>
        </w:rPr>
        <w:t>See,</w:t>
      </w:r>
      <w:r w:rsidRPr="00341AF5">
        <w:t xml:space="preserve"> </w:t>
      </w:r>
      <w:r>
        <w:t>Reynolds</w:t>
      </w:r>
      <w:r w:rsidRPr="00341AF5">
        <w:t>’ Statement in Support of the</w:t>
      </w:r>
      <w:r>
        <w:t xml:space="preserve"> </w:t>
      </w:r>
      <w:r w:rsidRPr="00341AF5">
        <w:t xml:space="preserve">Settlement at </w:t>
      </w:r>
      <w:r>
        <w:t>4</w:t>
      </w:r>
      <w:r w:rsidRPr="00341AF5">
        <w:t>.</w:t>
      </w:r>
    </w:p>
  </w:footnote>
  <w:footnote w:id="20">
    <w:p w:rsidR="00217FA9" w:rsidRDefault="00217FA9" w:rsidP="00F5115B">
      <w:pPr>
        <w:pStyle w:val="FootnoteText"/>
      </w:pPr>
      <w:r>
        <w:rPr>
          <w:rStyle w:val="FootnoteReference"/>
        </w:rPr>
        <w:footnoteRef/>
      </w:r>
      <w:r>
        <w:tab/>
        <w:t>None of the Parties to this proceeding oppose the change proposed in the OCA’s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FA9" w:rsidRDefault="0021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8A9"/>
    <w:multiLevelType w:val="hybridMultilevel"/>
    <w:tmpl w:val="3FEC8AF6"/>
    <w:lvl w:ilvl="0" w:tplc="89027386">
      <w:start w:val="1"/>
      <w:numFmt w:val="upperRoman"/>
      <w:lvlText w:val="%1."/>
      <w:lvlJc w:val="left"/>
      <w:pPr>
        <w:ind w:left="990" w:hanging="72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064C78"/>
    <w:multiLevelType w:val="hybridMultilevel"/>
    <w:tmpl w:val="0E9E0D5A"/>
    <w:lvl w:ilvl="0" w:tplc="93BE72F4">
      <w:start w:val="1"/>
      <w:numFmt w:val="decimal"/>
      <w:lvlText w:val="%1."/>
      <w:lvlJc w:val="left"/>
      <w:pPr>
        <w:ind w:left="1440" w:hanging="360"/>
      </w:pPr>
    </w:lvl>
    <w:lvl w:ilvl="1" w:tplc="04090019">
      <w:start w:val="1"/>
      <w:numFmt w:val="lowerLetter"/>
      <w:lvlText w:val="%2."/>
      <w:lvlJc w:val="left"/>
      <w:pPr>
        <w:ind w:left="2160" w:hanging="360"/>
      </w:pPr>
    </w:lvl>
    <w:lvl w:ilvl="2" w:tplc="D3FABFC4">
      <w:start w:val="2"/>
      <w:numFmt w:val="upperLetter"/>
      <w:lvlText w:val="%3."/>
      <w:lvlJc w:val="left"/>
      <w:pPr>
        <w:ind w:left="3060" w:hanging="360"/>
      </w:pPr>
      <w:rPr>
        <w:rFonts w:hint="default"/>
      </w:rPr>
    </w:lvl>
    <w:lvl w:ilvl="3" w:tplc="02F848EE">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A038A1"/>
    <w:multiLevelType w:val="hybridMultilevel"/>
    <w:tmpl w:val="43EE7B2E"/>
    <w:lvl w:ilvl="0" w:tplc="17D0E1E8">
      <w:start w:val="1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C750B6"/>
    <w:multiLevelType w:val="hybridMultilevel"/>
    <w:tmpl w:val="F7A6283C"/>
    <w:lvl w:ilvl="0" w:tplc="F0E63A1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4D37AA"/>
    <w:multiLevelType w:val="hybridMultilevel"/>
    <w:tmpl w:val="D8967E58"/>
    <w:lvl w:ilvl="0" w:tplc="E522F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571BB0"/>
    <w:multiLevelType w:val="hybridMultilevel"/>
    <w:tmpl w:val="DBA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E073B"/>
    <w:multiLevelType w:val="hybridMultilevel"/>
    <w:tmpl w:val="6E6CB124"/>
    <w:lvl w:ilvl="0" w:tplc="B6E626F2">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6E4E6962"/>
    <w:multiLevelType w:val="hybridMultilevel"/>
    <w:tmpl w:val="26166126"/>
    <w:lvl w:ilvl="0" w:tplc="60FAB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66841"/>
    <w:multiLevelType w:val="hybridMultilevel"/>
    <w:tmpl w:val="F2229556"/>
    <w:lvl w:ilvl="0" w:tplc="85A466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8"/>
  </w:num>
  <w:num w:numId="4">
    <w:abstractNumId w:val="1"/>
  </w:num>
  <w:num w:numId="5">
    <w:abstractNumId w:val="7"/>
  </w:num>
  <w:num w:numId="6">
    <w:abstractNumId w:val="4"/>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83"/>
    <w:rsid w:val="00000DE2"/>
    <w:rsid w:val="00002784"/>
    <w:rsid w:val="00003DD6"/>
    <w:rsid w:val="00006499"/>
    <w:rsid w:val="000115B1"/>
    <w:rsid w:val="0001164E"/>
    <w:rsid w:val="00012DBA"/>
    <w:rsid w:val="000137A9"/>
    <w:rsid w:val="0001451D"/>
    <w:rsid w:val="00015BEC"/>
    <w:rsid w:val="00015EA9"/>
    <w:rsid w:val="00016FBE"/>
    <w:rsid w:val="00017E42"/>
    <w:rsid w:val="00020A36"/>
    <w:rsid w:val="00022C77"/>
    <w:rsid w:val="00023173"/>
    <w:rsid w:val="0002318A"/>
    <w:rsid w:val="0002482B"/>
    <w:rsid w:val="00025807"/>
    <w:rsid w:val="00026B0B"/>
    <w:rsid w:val="00026DFA"/>
    <w:rsid w:val="00027078"/>
    <w:rsid w:val="000272E1"/>
    <w:rsid w:val="00030160"/>
    <w:rsid w:val="00030391"/>
    <w:rsid w:val="00031232"/>
    <w:rsid w:val="0003455A"/>
    <w:rsid w:val="000346D9"/>
    <w:rsid w:val="00034896"/>
    <w:rsid w:val="00035619"/>
    <w:rsid w:val="00037DAA"/>
    <w:rsid w:val="000401E8"/>
    <w:rsid w:val="00044F82"/>
    <w:rsid w:val="00047FBC"/>
    <w:rsid w:val="00050707"/>
    <w:rsid w:val="00050D68"/>
    <w:rsid w:val="00050D88"/>
    <w:rsid w:val="0005113C"/>
    <w:rsid w:val="00051D79"/>
    <w:rsid w:val="000532D4"/>
    <w:rsid w:val="000532FE"/>
    <w:rsid w:val="00055F63"/>
    <w:rsid w:val="0005604B"/>
    <w:rsid w:val="0005637E"/>
    <w:rsid w:val="0005656B"/>
    <w:rsid w:val="00056C12"/>
    <w:rsid w:val="00056ED6"/>
    <w:rsid w:val="00062EA2"/>
    <w:rsid w:val="00064329"/>
    <w:rsid w:val="00064CDB"/>
    <w:rsid w:val="00066819"/>
    <w:rsid w:val="000737D4"/>
    <w:rsid w:val="00073F9E"/>
    <w:rsid w:val="000743E1"/>
    <w:rsid w:val="00074639"/>
    <w:rsid w:val="0007536D"/>
    <w:rsid w:val="00080796"/>
    <w:rsid w:val="000837F0"/>
    <w:rsid w:val="00084A34"/>
    <w:rsid w:val="0009066B"/>
    <w:rsid w:val="00091CE4"/>
    <w:rsid w:val="00093EDD"/>
    <w:rsid w:val="000945B3"/>
    <w:rsid w:val="0009479F"/>
    <w:rsid w:val="00094D38"/>
    <w:rsid w:val="00095AAE"/>
    <w:rsid w:val="000A1058"/>
    <w:rsid w:val="000A18B1"/>
    <w:rsid w:val="000A4E99"/>
    <w:rsid w:val="000A5CD1"/>
    <w:rsid w:val="000A6FFD"/>
    <w:rsid w:val="000B0A78"/>
    <w:rsid w:val="000B1C67"/>
    <w:rsid w:val="000B1DB6"/>
    <w:rsid w:val="000B24E9"/>
    <w:rsid w:val="000B322B"/>
    <w:rsid w:val="000B3EF3"/>
    <w:rsid w:val="000B55AE"/>
    <w:rsid w:val="000B66A7"/>
    <w:rsid w:val="000B6A0A"/>
    <w:rsid w:val="000B7E30"/>
    <w:rsid w:val="000B7F12"/>
    <w:rsid w:val="000C0707"/>
    <w:rsid w:val="000C1A97"/>
    <w:rsid w:val="000C2395"/>
    <w:rsid w:val="000C328D"/>
    <w:rsid w:val="000C5390"/>
    <w:rsid w:val="000C5A63"/>
    <w:rsid w:val="000C667F"/>
    <w:rsid w:val="000C6ECF"/>
    <w:rsid w:val="000C7903"/>
    <w:rsid w:val="000C7C19"/>
    <w:rsid w:val="000D0EC7"/>
    <w:rsid w:val="000D1386"/>
    <w:rsid w:val="000D17DD"/>
    <w:rsid w:val="000D2E34"/>
    <w:rsid w:val="000D5BDF"/>
    <w:rsid w:val="000D65C7"/>
    <w:rsid w:val="000E0863"/>
    <w:rsid w:val="000E1314"/>
    <w:rsid w:val="000E2A5F"/>
    <w:rsid w:val="000E3247"/>
    <w:rsid w:val="000E3AB3"/>
    <w:rsid w:val="000E4BF2"/>
    <w:rsid w:val="000E5111"/>
    <w:rsid w:val="000E5327"/>
    <w:rsid w:val="000E65A7"/>
    <w:rsid w:val="000E774D"/>
    <w:rsid w:val="000F0472"/>
    <w:rsid w:val="000F1E54"/>
    <w:rsid w:val="000F2211"/>
    <w:rsid w:val="000F3F62"/>
    <w:rsid w:val="000F41A4"/>
    <w:rsid w:val="000F5BF0"/>
    <w:rsid w:val="000F683A"/>
    <w:rsid w:val="00100514"/>
    <w:rsid w:val="001012D5"/>
    <w:rsid w:val="0010255B"/>
    <w:rsid w:val="00102BCA"/>
    <w:rsid w:val="00102EB0"/>
    <w:rsid w:val="001032FD"/>
    <w:rsid w:val="0010378D"/>
    <w:rsid w:val="00106955"/>
    <w:rsid w:val="001113BF"/>
    <w:rsid w:val="00112877"/>
    <w:rsid w:val="001133D5"/>
    <w:rsid w:val="001136A9"/>
    <w:rsid w:val="001177DE"/>
    <w:rsid w:val="001212FD"/>
    <w:rsid w:val="001221AE"/>
    <w:rsid w:val="00122204"/>
    <w:rsid w:val="0012296B"/>
    <w:rsid w:val="00122BAA"/>
    <w:rsid w:val="0012405A"/>
    <w:rsid w:val="0012426F"/>
    <w:rsid w:val="001244C9"/>
    <w:rsid w:val="001248BF"/>
    <w:rsid w:val="00125E24"/>
    <w:rsid w:val="001262E5"/>
    <w:rsid w:val="001263E1"/>
    <w:rsid w:val="00126BA6"/>
    <w:rsid w:val="00127072"/>
    <w:rsid w:val="00131342"/>
    <w:rsid w:val="001318A0"/>
    <w:rsid w:val="00131E7C"/>
    <w:rsid w:val="00132BFE"/>
    <w:rsid w:val="00133847"/>
    <w:rsid w:val="001340FD"/>
    <w:rsid w:val="001346A6"/>
    <w:rsid w:val="00134B50"/>
    <w:rsid w:val="001358C3"/>
    <w:rsid w:val="00136876"/>
    <w:rsid w:val="001403DF"/>
    <w:rsid w:val="00140575"/>
    <w:rsid w:val="00141FBF"/>
    <w:rsid w:val="00142B96"/>
    <w:rsid w:val="00143D08"/>
    <w:rsid w:val="00144568"/>
    <w:rsid w:val="00144ADB"/>
    <w:rsid w:val="00146955"/>
    <w:rsid w:val="00147AE0"/>
    <w:rsid w:val="00151CED"/>
    <w:rsid w:val="001520E2"/>
    <w:rsid w:val="00152CA9"/>
    <w:rsid w:val="0015567E"/>
    <w:rsid w:val="001561ED"/>
    <w:rsid w:val="001564D6"/>
    <w:rsid w:val="00160344"/>
    <w:rsid w:val="00160ADD"/>
    <w:rsid w:val="00161723"/>
    <w:rsid w:val="001619C0"/>
    <w:rsid w:val="001625DC"/>
    <w:rsid w:val="001634ED"/>
    <w:rsid w:val="0016477D"/>
    <w:rsid w:val="001652CA"/>
    <w:rsid w:val="0016726D"/>
    <w:rsid w:val="00170121"/>
    <w:rsid w:val="001715D1"/>
    <w:rsid w:val="0017187E"/>
    <w:rsid w:val="00171CE5"/>
    <w:rsid w:val="0017231B"/>
    <w:rsid w:val="00174B68"/>
    <w:rsid w:val="00174F7C"/>
    <w:rsid w:val="00176C15"/>
    <w:rsid w:val="00176C9A"/>
    <w:rsid w:val="00177198"/>
    <w:rsid w:val="0018008E"/>
    <w:rsid w:val="001826E9"/>
    <w:rsid w:val="00182A10"/>
    <w:rsid w:val="00182BE9"/>
    <w:rsid w:val="0018543E"/>
    <w:rsid w:val="00186354"/>
    <w:rsid w:val="0018648A"/>
    <w:rsid w:val="00187463"/>
    <w:rsid w:val="00187A42"/>
    <w:rsid w:val="0019193C"/>
    <w:rsid w:val="00192B4A"/>
    <w:rsid w:val="001930D2"/>
    <w:rsid w:val="00193A47"/>
    <w:rsid w:val="00195B6C"/>
    <w:rsid w:val="0019718C"/>
    <w:rsid w:val="001976C1"/>
    <w:rsid w:val="001A049A"/>
    <w:rsid w:val="001A3BD4"/>
    <w:rsid w:val="001A59D3"/>
    <w:rsid w:val="001B16EF"/>
    <w:rsid w:val="001B1701"/>
    <w:rsid w:val="001B2F75"/>
    <w:rsid w:val="001B425A"/>
    <w:rsid w:val="001B445B"/>
    <w:rsid w:val="001B4611"/>
    <w:rsid w:val="001B5254"/>
    <w:rsid w:val="001B6575"/>
    <w:rsid w:val="001B7A0C"/>
    <w:rsid w:val="001C045B"/>
    <w:rsid w:val="001C0CF7"/>
    <w:rsid w:val="001C11DB"/>
    <w:rsid w:val="001C1CB1"/>
    <w:rsid w:val="001C2767"/>
    <w:rsid w:val="001C33C8"/>
    <w:rsid w:val="001C3C30"/>
    <w:rsid w:val="001C44A4"/>
    <w:rsid w:val="001C48D1"/>
    <w:rsid w:val="001C5B8C"/>
    <w:rsid w:val="001C7379"/>
    <w:rsid w:val="001C74A5"/>
    <w:rsid w:val="001C78EE"/>
    <w:rsid w:val="001D26BE"/>
    <w:rsid w:val="001D3336"/>
    <w:rsid w:val="001D400A"/>
    <w:rsid w:val="001D4E03"/>
    <w:rsid w:val="001D5996"/>
    <w:rsid w:val="001D5D46"/>
    <w:rsid w:val="001D751B"/>
    <w:rsid w:val="001E0BE6"/>
    <w:rsid w:val="001E0E1B"/>
    <w:rsid w:val="001E0E4C"/>
    <w:rsid w:val="001E1A2F"/>
    <w:rsid w:val="001E2A7D"/>
    <w:rsid w:val="001E2B47"/>
    <w:rsid w:val="001E3495"/>
    <w:rsid w:val="001E44B1"/>
    <w:rsid w:val="001E5771"/>
    <w:rsid w:val="001E58B4"/>
    <w:rsid w:val="001F0AB5"/>
    <w:rsid w:val="001F1563"/>
    <w:rsid w:val="001F1A9E"/>
    <w:rsid w:val="001F21AC"/>
    <w:rsid w:val="001F274B"/>
    <w:rsid w:val="001F4EC9"/>
    <w:rsid w:val="001F53D1"/>
    <w:rsid w:val="001F5881"/>
    <w:rsid w:val="001F6370"/>
    <w:rsid w:val="001F76F1"/>
    <w:rsid w:val="00201F73"/>
    <w:rsid w:val="002025EC"/>
    <w:rsid w:val="00202F15"/>
    <w:rsid w:val="00203175"/>
    <w:rsid w:val="002040DF"/>
    <w:rsid w:val="00205F77"/>
    <w:rsid w:val="002060CD"/>
    <w:rsid w:val="002102E5"/>
    <w:rsid w:val="002104D4"/>
    <w:rsid w:val="0021056B"/>
    <w:rsid w:val="00210D10"/>
    <w:rsid w:val="00211EB8"/>
    <w:rsid w:val="002130DD"/>
    <w:rsid w:val="0021320F"/>
    <w:rsid w:val="002136E3"/>
    <w:rsid w:val="002154AE"/>
    <w:rsid w:val="0021647B"/>
    <w:rsid w:val="00217DFC"/>
    <w:rsid w:val="00217FA9"/>
    <w:rsid w:val="0022070A"/>
    <w:rsid w:val="002218FF"/>
    <w:rsid w:val="002233BD"/>
    <w:rsid w:val="0022408B"/>
    <w:rsid w:val="002242FD"/>
    <w:rsid w:val="00226CE9"/>
    <w:rsid w:val="002305E6"/>
    <w:rsid w:val="002306E4"/>
    <w:rsid w:val="00230E5C"/>
    <w:rsid w:val="00231765"/>
    <w:rsid w:val="00234794"/>
    <w:rsid w:val="00240638"/>
    <w:rsid w:val="00240A0B"/>
    <w:rsid w:val="00241BEB"/>
    <w:rsid w:val="00242110"/>
    <w:rsid w:val="0024257E"/>
    <w:rsid w:val="0024297C"/>
    <w:rsid w:val="00244658"/>
    <w:rsid w:val="0024796D"/>
    <w:rsid w:val="002518E3"/>
    <w:rsid w:val="002540E4"/>
    <w:rsid w:val="00254FFF"/>
    <w:rsid w:val="0025662A"/>
    <w:rsid w:val="0026040C"/>
    <w:rsid w:val="00260707"/>
    <w:rsid w:val="002645E4"/>
    <w:rsid w:val="0026536B"/>
    <w:rsid w:val="00266119"/>
    <w:rsid w:val="002669F3"/>
    <w:rsid w:val="0026767F"/>
    <w:rsid w:val="0027053D"/>
    <w:rsid w:val="00273275"/>
    <w:rsid w:val="00273887"/>
    <w:rsid w:val="00275CF2"/>
    <w:rsid w:val="00276402"/>
    <w:rsid w:val="00276BDF"/>
    <w:rsid w:val="00277D89"/>
    <w:rsid w:val="00280862"/>
    <w:rsid w:val="00281560"/>
    <w:rsid w:val="00281AA8"/>
    <w:rsid w:val="002825A8"/>
    <w:rsid w:val="002829F4"/>
    <w:rsid w:val="00282CE8"/>
    <w:rsid w:val="00283E0D"/>
    <w:rsid w:val="002847C8"/>
    <w:rsid w:val="002859A8"/>
    <w:rsid w:val="00286716"/>
    <w:rsid w:val="00291FB5"/>
    <w:rsid w:val="00292E48"/>
    <w:rsid w:val="00294A2A"/>
    <w:rsid w:val="00296659"/>
    <w:rsid w:val="002A2AD4"/>
    <w:rsid w:val="002A4FB0"/>
    <w:rsid w:val="002A5390"/>
    <w:rsid w:val="002A53EC"/>
    <w:rsid w:val="002A71DF"/>
    <w:rsid w:val="002A7694"/>
    <w:rsid w:val="002B170B"/>
    <w:rsid w:val="002B3766"/>
    <w:rsid w:val="002B3EF0"/>
    <w:rsid w:val="002B4961"/>
    <w:rsid w:val="002B59F1"/>
    <w:rsid w:val="002B7075"/>
    <w:rsid w:val="002C0554"/>
    <w:rsid w:val="002C0FA3"/>
    <w:rsid w:val="002C13E0"/>
    <w:rsid w:val="002C19F6"/>
    <w:rsid w:val="002C27B8"/>
    <w:rsid w:val="002C548B"/>
    <w:rsid w:val="002C691C"/>
    <w:rsid w:val="002C7A4C"/>
    <w:rsid w:val="002D1D60"/>
    <w:rsid w:val="002D1E60"/>
    <w:rsid w:val="002D41A5"/>
    <w:rsid w:val="002D4EA8"/>
    <w:rsid w:val="002D5324"/>
    <w:rsid w:val="002D5D42"/>
    <w:rsid w:val="002E0C9E"/>
    <w:rsid w:val="002E280C"/>
    <w:rsid w:val="002E2E0B"/>
    <w:rsid w:val="002E2E77"/>
    <w:rsid w:val="002E39EC"/>
    <w:rsid w:val="002E3F77"/>
    <w:rsid w:val="002E5DD7"/>
    <w:rsid w:val="002E6027"/>
    <w:rsid w:val="002E6CEA"/>
    <w:rsid w:val="002E6EA2"/>
    <w:rsid w:val="002E7CC1"/>
    <w:rsid w:val="002F10EC"/>
    <w:rsid w:val="002F166D"/>
    <w:rsid w:val="002F21E4"/>
    <w:rsid w:val="002F33B9"/>
    <w:rsid w:val="002F3E89"/>
    <w:rsid w:val="002F4EDC"/>
    <w:rsid w:val="002F589A"/>
    <w:rsid w:val="002F75FF"/>
    <w:rsid w:val="002F7E58"/>
    <w:rsid w:val="0030048C"/>
    <w:rsid w:val="003007A7"/>
    <w:rsid w:val="003008B1"/>
    <w:rsid w:val="00301CA1"/>
    <w:rsid w:val="003034E1"/>
    <w:rsid w:val="00304420"/>
    <w:rsid w:val="003045D6"/>
    <w:rsid w:val="003062C7"/>
    <w:rsid w:val="00306657"/>
    <w:rsid w:val="00306706"/>
    <w:rsid w:val="003128C4"/>
    <w:rsid w:val="00312B2A"/>
    <w:rsid w:val="00313C2A"/>
    <w:rsid w:val="0031449C"/>
    <w:rsid w:val="00314AC9"/>
    <w:rsid w:val="003154D7"/>
    <w:rsid w:val="003154E3"/>
    <w:rsid w:val="00317D3F"/>
    <w:rsid w:val="003207FF"/>
    <w:rsid w:val="00321743"/>
    <w:rsid w:val="003217DB"/>
    <w:rsid w:val="0032229C"/>
    <w:rsid w:val="00323798"/>
    <w:rsid w:val="00324E77"/>
    <w:rsid w:val="00326D8F"/>
    <w:rsid w:val="00327588"/>
    <w:rsid w:val="00330340"/>
    <w:rsid w:val="00333824"/>
    <w:rsid w:val="0033451F"/>
    <w:rsid w:val="00334667"/>
    <w:rsid w:val="003369EC"/>
    <w:rsid w:val="003379E5"/>
    <w:rsid w:val="00341AF5"/>
    <w:rsid w:val="003429ED"/>
    <w:rsid w:val="00342D0B"/>
    <w:rsid w:val="00343E1F"/>
    <w:rsid w:val="00347A77"/>
    <w:rsid w:val="003539FB"/>
    <w:rsid w:val="003556CD"/>
    <w:rsid w:val="00355D38"/>
    <w:rsid w:val="00355E5D"/>
    <w:rsid w:val="00356EA9"/>
    <w:rsid w:val="0035790B"/>
    <w:rsid w:val="00357B3C"/>
    <w:rsid w:val="003648BC"/>
    <w:rsid w:val="003649F9"/>
    <w:rsid w:val="00364FA9"/>
    <w:rsid w:val="003671EC"/>
    <w:rsid w:val="00367217"/>
    <w:rsid w:val="0036738E"/>
    <w:rsid w:val="00367510"/>
    <w:rsid w:val="00367AD4"/>
    <w:rsid w:val="003721B6"/>
    <w:rsid w:val="0037225A"/>
    <w:rsid w:val="00372540"/>
    <w:rsid w:val="00373212"/>
    <w:rsid w:val="00373B91"/>
    <w:rsid w:val="00373FFC"/>
    <w:rsid w:val="00374B23"/>
    <w:rsid w:val="00375281"/>
    <w:rsid w:val="003776D2"/>
    <w:rsid w:val="00380809"/>
    <w:rsid w:val="00380DCD"/>
    <w:rsid w:val="00382BD6"/>
    <w:rsid w:val="00383FE0"/>
    <w:rsid w:val="00384A1A"/>
    <w:rsid w:val="0038518B"/>
    <w:rsid w:val="003923F9"/>
    <w:rsid w:val="00392FD3"/>
    <w:rsid w:val="00393A0E"/>
    <w:rsid w:val="0039408D"/>
    <w:rsid w:val="003940C9"/>
    <w:rsid w:val="003949B7"/>
    <w:rsid w:val="00394A5B"/>
    <w:rsid w:val="00397773"/>
    <w:rsid w:val="003A1B93"/>
    <w:rsid w:val="003A2496"/>
    <w:rsid w:val="003A2E54"/>
    <w:rsid w:val="003A4166"/>
    <w:rsid w:val="003A5859"/>
    <w:rsid w:val="003A5D5C"/>
    <w:rsid w:val="003A6C66"/>
    <w:rsid w:val="003A7F91"/>
    <w:rsid w:val="003B230D"/>
    <w:rsid w:val="003B34F7"/>
    <w:rsid w:val="003B4CCE"/>
    <w:rsid w:val="003B5D6F"/>
    <w:rsid w:val="003B6F24"/>
    <w:rsid w:val="003B753A"/>
    <w:rsid w:val="003B7FD9"/>
    <w:rsid w:val="003C0CF7"/>
    <w:rsid w:val="003C0E9E"/>
    <w:rsid w:val="003C1B45"/>
    <w:rsid w:val="003C2103"/>
    <w:rsid w:val="003C3CB1"/>
    <w:rsid w:val="003D1682"/>
    <w:rsid w:val="003D183A"/>
    <w:rsid w:val="003D1FDB"/>
    <w:rsid w:val="003D3107"/>
    <w:rsid w:val="003D3B0F"/>
    <w:rsid w:val="003D5688"/>
    <w:rsid w:val="003D7739"/>
    <w:rsid w:val="003D7F1C"/>
    <w:rsid w:val="003E00ED"/>
    <w:rsid w:val="003E092E"/>
    <w:rsid w:val="003E1741"/>
    <w:rsid w:val="003E23BE"/>
    <w:rsid w:val="003E4D75"/>
    <w:rsid w:val="003E551D"/>
    <w:rsid w:val="003E61C9"/>
    <w:rsid w:val="003E66D7"/>
    <w:rsid w:val="003E6C84"/>
    <w:rsid w:val="003E7D95"/>
    <w:rsid w:val="003F001F"/>
    <w:rsid w:val="003F0695"/>
    <w:rsid w:val="003F073A"/>
    <w:rsid w:val="003F3B97"/>
    <w:rsid w:val="003F6D6C"/>
    <w:rsid w:val="003F798A"/>
    <w:rsid w:val="00402912"/>
    <w:rsid w:val="00403957"/>
    <w:rsid w:val="004059BB"/>
    <w:rsid w:val="00406373"/>
    <w:rsid w:val="00410E8B"/>
    <w:rsid w:val="00411148"/>
    <w:rsid w:val="0041357C"/>
    <w:rsid w:val="004137E2"/>
    <w:rsid w:val="00417A34"/>
    <w:rsid w:val="00420864"/>
    <w:rsid w:val="00420A59"/>
    <w:rsid w:val="0042117F"/>
    <w:rsid w:val="00422313"/>
    <w:rsid w:val="00422BB3"/>
    <w:rsid w:val="0042333B"/>
    <w:rsid w:val="0042344E"/>
    <w:rsid w:val="0042453F"/>
    <w:rsid w:val="00427038"/>
    <w:rsid w:val="004271EC"/>
    <w:rsid w:val="00431212"/>
    <w:rsid w:val="00431B37"/>
    <w:rsid w:val="004338B9"/>
    <w:rsid w:val="00434A6E"/>
    <w:rsid w:val="00434B06"/>
    <w:rsid w:val="004368E1"/>
    <w:rsid w:val="00437579"/>
    <w:rsid w:val="00437E31"/>
    <w:rsid w:val="00437E46"/>
    <w:rsid w:val="00437EDE"/>
    <w:rsid w:val="00440D47"/>
    <w:rsid w:val="00441020"/>
    <w:rsid w:val="004421D6"/>
    <w:rsid w:val="00442517"/>
    <w:rsid w:val="00442E1B"/>
    <w:rsid w:val="00443C2E"/>
    <w:rsid w:val="004457B5"/>
    <w:rsid w:val="004474B9"/>
    <w:rsid w:val="0045062E"/>
    <w:rsid w:val="00452EFC"/>
    <w:rsid w:val="0045445C"/>
    <w:rsid w:val="004559C0"/>
    <w:rsid w:val="00457B24"/>
    <w:rsid w:val="0046045E"/>
    <w:rsid w:val="00460527"/>
    <w:rsid w:val="00460715"/>
    <w:rsid w:val="00462C9F"/>
    <w:rsid w:val="004651FF"/>
    <w:rsid w:val="00465204"/>
    <w:rsid w:val="00471188"/>
    <w:rsid w:val="00472E28"/>
    <w:rsid w:val="00474D64"/>
    <w:rsid w:val="00476646"/>
    <w:rsid w:val="0048039A"/>
    <w:rsid w:val="00487334"/>
    <w:rsid w:val="00490DCC"/>
    <w:rsid w:val="00490E12"/>
    <w:rsid w:val="00490E40"/>
    <w:rsid w:val="00490FC1"/>
    <w:rsid w:val="004915D9"/>
    <w:rsid w:val="00491966"/>
    <w:rsid w:val="00492A58"/>
    <w:rsid w:val="00492D22"/>
    <w:rsid w:val="00493B74"/>
    <w:rsid w:val="00493E41"/>
    <w:rsid w:val="00497798"/>
    <w:rsid w:val="004A0109"/>
    <w:rsid w:val="004A03CA"/>
    <w:rsid w:val="004A1663"/>
    <w:rsid w:val="004A2AFB"/>
    <w:rsid w:val="004A2E8F"/>
    <w:rsid w:val="004A67C4"/>
    <w:rsid w:val="004B0EF6"/>
    <w:rsid w:val="004B22E4"/>
    <w:rsid w:val="004B3F74"/>
    <w:rsid w:val="004B4847"/>
    <w:rsid w:val="004B4C78"/>
    <w:rsid w:val="004B4CCB"/>
    <w:rsid w:val="004B7E01"/>
    <w:rsid w:val="004B7F98"/>
    <w:rsid w:val="004C0E56"/>
    <w:rsid w:val="004C1DE1"/>
    <w:rsid w:val="004C20CB"/>
    <w:rsid w:val="004C272B"/>
    <w:rsid w:val="004C3247"/>
    <w:rsid w:val="004C329A"/>
    <w:rsid w:val="004C3304"/>
    <w:rsid w:val="004C3810"/>
    <w:rsid w:val="004C4E4A"/>
    <w:rsid w:val="004C4FAA"/>
    <w:rsid w:val="004C7208"/>
    <w:rsid w:val="004C77C1"/>
    <w:rsid w:val="004C783E"/>
    <w:rsid w:val="004D0E27"/>
    <w:rsid w:val="004D18E7"/>
    <w:rsid w:val="004D5941"/>
    <w:rsid w:val="004D5AD8"/>
    <w:rsid w:val="004D6886"/>
    <w:rsid w:val="004D6DED"/>
    <w:rsid w:val="004D7E7F"/>
    <w:rsid w:val="004E2212"/>
    <w:rsid w:val="004E303A"/>
    <w:rsid w:val="004E50CD"/>
    <w:rsid w:val="004F0366"/>
    <w:rsid w:val="004F06BA"/>
    <w:rsid w:val="004F20D3"/>
    <w:rsid w:val="004F25FC"/>
    <w:rsid w:val="004F3981"/>
    <w:rsid w:val="004F4321"/>
    <w:rsid w:val="004F4D1D"/>
    <w:rsid w:val="004F603F"/>
    <w:rsid w:val="004F64FE"/>
    <w:rsid w:val="004F6B6C"/>
    <w:rsid w:val="004F755B"/>
    <w:rsid w:val="00500414"/>
    <w:rsid w:val="00501738"/>
    <w:rsid w:val="0050257A"/>
    <w:rsid w:val="00502AFF"/>
    <w:rsid w:val="00502C17"/>
    <w:rsid w:val="005070C4"/>
    <w:rsid w:val="005074A7"/>
    <w:rsid w:val="00510CB9"/>
    <w:rsid w:val="005116D8"/>
    <w:rsid w:val="00511AF0"/>
    <w:rsid w:val="00512E8A"/>
    <w:rsid w:val="0051470E"/>
    <w:rsid w:val="00515B9C"/>
    <w:rsid w:val="00516068"/>
    <w:rsid w:val="005165D6"/>
    <w:rsid w:val="00516B13"/>
    <w:rsid w:val="00520722"/>
    <w:rsid w:val="005207DF"/>
    <w:rsid w:val="00520F3F"/>
    <w:rsid w:val="00522931"/>
    <w:rsid w:val="00522A32"/>
    <w:rsid w:val="00522B3A"/>
    <w:rsid w:val="00523B48"/>
    <w:rsid w:val="0052453A"/>
    <w:rsid w:val="00524B4E"/>
    <w:rsid w:val="005253E0"/>
    <w:rsid w:val="00525DD5"/>
    <w:rsid w:val="00527B51"/>
    <w:rsid w:val="00530335"/>
    <w:rsid w:val="00533F9A"/>
    <w:rsid w:val="00534C94"/>
    <w:rsid w:val="005354F9"/>
    <w:rsid w:val="0053702B"/>
    <w:rsid w:val="005409D3"/>
    <w:rsid w:val="00540C54"/>
    <w:rsid w:val="005414F8"/>
    <w:rsid w:val="00542770"/>
    <w:rsid w:val="00543626"/>
    <w:rsid w:val="00545334"/>
    <w:rsid w:val="00545AC9"/>
    <w:rsid w:val="00545F98"/>
    <w:rsid w:val="00546F7A"/>
    <w:rsid w:val="00547CE1"/>
    <w:rsid w:val="00550D12"/>
    <w:rsid w:val="00551035"/>
    <w:rsid w:val="0055177B"/>
    <w:rsid w:val="00551F91"/>
    <w:rsid w:val="00552E11"/>
    <w:rsid w:val="00553561"/>
    <w:rsid w:val="00553636"/>
    <w:rsid w:val="00553D37"/>
    <w:rsid w:val="00553D7F"/>
    <w:rsid w:val="005543B7"/>
    <w:rsid w:val="0055471D"/>
    <w:rsid w:val="00555A18"/>
    <w:rsid w:val="00555B39"/>
    <w:rsid w:val="00555B98"/>
    <w:rsid w:val="00556A77"/>
    <w:rsid w:val="00556BAF"/>
    <w:rsid w:val="00557066"/>
    <w:rsid w:val="0055792E"/>
    <w:rsid w:val="0056027F"/>
    <w:rsid w:val="00560925"/>
    <w:rsid w:val="00561CE8"/>
    <w:rsid w:val="005633EB"/>
    <w:rsid w:val="00563664"/>
    <w:rsid w:val="00564626"/>
    <w:rsid w:val="005663F2"/>
    <w:rsid w:val="005669F7"/>
    <w:rsid w:val="005675B7"/>
    <w:rsid w:val="0057056D"/>
    <w:rsid w:val="0057087D"/>
    <w:rsid w:val="005719DA"/>
    <w:rsid w:val="00571F86"/>
    <w:rsid w:val="0057297F"/>
    <w:rsid w:val="00572FE2"/>
    <w:rsid w:val="0057421E"/>
    <w:rsid w:val="00575E10"/>
    <w:rsid w:val="005768E6"/>
    <w:rsid w:val="0058089C"/>
    <w:rsid w:val="005812BA"/>
    <w:rsid w:val="00581CC5"/>
    <w:rsid w:val="00586097"/>
    <w:rsid w:val="00586404"/>
    <w:rsid w:val="00586A4E"/>
    <w:rsid w:val="005874BC"/>
    <w:rsid w:val="00587B5C"/>
    <w:rsid w:val="00590044"/>
    <w:rsid w:val="005910C3"/>
    <w:rsid w:val="00592C5B"/>
    <w:rsid w:val="005934D4"/>
    <w:rsid w:val="00594692"/>
    <w:rsid w:val="00594F6C"/>
    <w:rsid w:val="00595AD2"/>
    <w:rsid w:val="00596380"/>
    <w:rsid w:val="00597021"/>
    <w:rsid w:val="005975AF"/>
    <w:rsid w:val="0059793D"/>
    <w:rsid w:val="005A034D"/>
    <w:rsid w:val="005A043F"/>
    <w:rsid w:val="005A1474"/>
    <w:rsid w:val="005A1B78"/>
    <w:rsid w:val="005A1FCB"/>
    <w:rsid w:val="005A29E5"/>
    <w:rsid w:val="005A5279"/>
    <w:rsid w:val="005A5419"/>
    <w:rsid w:val="005A5AF4"/>
    <w:rsid w:val="005A6049"/>
    <w:rsid w:val="005A7B68"/>
    <w:rsid w:val="005B197C"/>
    <w:rsid w:val="005B28E9"/>
    <w:rsid w:val="005B4A9A"/>
    <w:rsid w:val="005B75A3"/>
    <w:rsid w:val="005C25D5"/>
    <w:rsid w:val="005C27D3"/>
    <w:rsid w:val="005C3179"/>
    <w:rsid w:val="005C3519"/>
    <w:rsid w:val="005C3579"/>
    <w:rsid w:val="005C397B"/>
    <w:rsid w:val="005C3F4E"/>
    <w:rsid w:val="005C5623"/>
    <w:rsid w:val="005C7546"/>
    <w:rsid w:val="005D1C0A"/>
    <w:rsid w:val="005D273B"/>
    <w:rsid w:val="005D2A16"/>
    <w:rsid w:val="005D35CA"/>
    <w:rsid w:val="005D4A33"/>
    <w:rsid w:val="005D4AD7"/>
    <w:rsid w:val="005D5E93"/>
    <w:rsid w:val="005E0486"/>
    <w:rsid w:val="005E04E4"/>
    <w:rsid w:val="005E063C"/>
    <w:rsid w:val="005E0A47"/>
    <w:rsid w:val="005E0E39"/>
    <w:rsid w:val="005E2472"/>
    <w:rsid w:val="005E25D6"/>
    <w:rsid w:val="005E3690"/>
    <w:rsid w:val="005E473E"/>
    <w:rsid w:val="005E6583"/>
    <w:rsid w:val="005F0333"/>
    <w:rsid w:val="005F0F95"/>
    <w:rsid w:val="005F101B"/>
    <w:rsid w:val="005F1859"/>
    <w:rsid w:val="005F2703"/>
    <w:rsid w:val="005F3A98"/>
    <w:rsid w:val="005F3DDD"/>
    <w:rsid w:val="005F5D1E"/>
    <w:rsid w:val="00600FC7"/>
    <w:rsid w:val="006010AF"/>
    <w:rsid w:val="00603576"/>
    <w:rsid w:val="006104DE"/>
    <w:rsid w:val="00611A3D"/>
    <w:rsid w:val="00615810"/>
    <w:rsid w:val="0061643F"/>
    <w:rsid w:val="00616D8E"/>
    <w:rsid w:val="00617B5B"/>
    <w:rsid w:val="006202FB"/>
    <w:rsid w:val="006209A2"/>
    <w:rsid w:val="00621181"/>
    <w:rsid w:val="0062157E"/>
    <w:rsid w:val="006217D8"/>
    <w:rsid w:val="00622D30"/>
    <w:rsid w:val="006230E7"/>
    <w:rsid w:val="00623AC6"/>
    <w:rsid w:val="00625B0D"/>
    <w:rsid w:val="006270D0"/>
    <w:rsid w:val="006276F2"/>
    <w:rsid w:val="00627928"/>
    <w:rsid w:val="006314CC"/>
    <w:rsid w:val="00634680"/>
    <w:rsid w:val="00634FA4"/>
    <w:rsid w:val="00636B6C"/>
    <w:rsid w:val="006409E5"/>
    <w:rsid w:val="00644F70"/>
    <w:rsid w:val="00645164"/>
    <w:rsid w:val="00645A41"/>
    <w:rsid w:val="00647865"/>
    <w:rsid w:val="00651672"/>
    <w:rsid w:val="006535A3"/>
    <w:rsid w:val="00654AEC"/>
    <w:rsid w:val="006555CF"/>
    <w:rsid w:val="00655A4E"/>
    <w:rsid w:val="006568AA"/>
    <w:rsid w:val="006576C7"/>
    <w:rsid w:val="00657ACC"/>
    <w:rsid w:val="006603BE"/>
    <w:rsid w:val="0066056F"/>
    <w:rsid w:val="0066228A"/>
    <w:rsid w:val="006632C1"/>
    <w:rsid w:val="00664F8D"/>
    <w:rsid w:val="006654D6"/>
    <w:rsid w:val="00665C7C"/>
    <w:rsid w:val="006665D0"/>
    <w:rsid w:val="006668B7"/>
    <w:rsid w:val="00667502"/>
    <w:rsid w:val="00670E98"/>
    <w:rsid w:val="006711A1"/>
    <w:rsid w:val="0067125B"/>
    <w:rsid w:val="006717CC"/>
    <w:rsid w:val="006736E6"/>
    <w:rsid w:val="00673994"/>
    <w:rsid w:val="00673D00"/>
    <w:rsid w:val="0067416F"/>
    <w:rsid w:val="006745FF"/>
    <w:rsid w:val="00676A9A"/>
    <w:rsid w:val="00682558"/>
    <w:rsid w:val="00682743"/>
    <w:rsid w:val="00682C2E"/>
    <w:rsid w:val="006838D0"/>
    <w:rsid w:val="00686C97"/>
    <w:rsid w:val="00686ECB"/>
    <w:rsid w:val="00687826"/>
    <w:rsid w:val="0069277E"/>
    <w:rsid w:val="00693818"/>
    <w:rsid w:val="0069396D"/>
    <w:rsid w:val="00693987"/>
    <w:rsid w:val="00693F31"/>
    <w:rsid w:val="00694993"/>
    <w:rsid w:val="00694C65"/>
    <w:rsid w:val="006A0A09"/>
    <w:rsid w:val="006A0EB6"/>
    <w:rsid w:val="006A1AC4"/>
    <w:rsid w:val="006A3489"/>
    <w:rsid w:val="006A3DA8"/>
    <w:rsid w:val="006A4112"/>
    <w:rsid w:val="006A442F"/>
    <w:rsid w:val="006A4F02"/>
    <w:rsid w:val="006A6706"/>
    <w:rsid w:val="006B0B52"/>
    <w:rsid w:val="006B0FFC"/>
    <w:rsid w:val="006B195C"/>
    <w:rsid w:val="006B1DB5"/>
    <w:rsid w:val="006B1FC2"/>
    <w:rsid w:val="006B442F"/>
    <w:rsid w:val="006B54D9"/>
    <w:rsid w:val="006B76C4"/>
    <w:rsid w:val="006B7DBE"/>
    <w:rsid w:val="006C354D"/>
    <w:rsid w:val="006C363A"/>
    <w:rsid w:val="006C3CDC"/>
    <w:rsid w:val="006C5B94"/>
    <w:rsid w:val="006C6511"/>
    <w:rsid w:val="006C69CD"/>
    <w:rsid w:val="006C6ECF"/>
    <w:rsid w:val="006C7549"/>
    <w:rsid w:val="006C7698"/>
    <w:rsid w:val="006C7F32"/>
    <w:rsid w:val="006D2765"/>
    <w:rsid w:val="006D30A5"/>
    <w:rsid w:val="006D36CD"/>
    <w:rsid w:val="006D451D"/>
    <w:rsid w:val="006D50C3"/>
    <w:rsid w:val="006D68A1"/>
    <w:rsid w:val="006D6A30"/>
    <w:rsid w:val="006D6B14"/>
    <w:rsid w:val="006E4A4F"/>
    <w:rsid w:val="006E5B83"/>
    <w:rsid w:val="006E779C"/>
    <w:rsid w:val="006F02C2"/>
    <w:rsid w:val="006F3ED1"/>
    <w:rsid w:val="006F5DDD"/>
    <w:rsid w:val="006F707A"/>
    <w:rsid w:val="006F78D9"/>
    <w:rsid w:val="00701817"/>
    <w:rsid w:val="00702E4B"/>
    <w:rsid w:val="00703592"/>
    <w:rsid w:val="007036B5"/>
    <w:rsid w:val="0070448B"/>
    <w:rsid w:val="007059A1"/>
    <w:rsid w:val="00705C38"/>
    <w:rsid w:val="0070770F"/>
    <w:rsid w:val="007118AA"/>
    <w:rsid w:val="00714614"/>
    <w:rsid w:val="00714A85"/>
    <w:rsid w:val="00715D00"/>
    <w:rsid w:val="00716993"/>
    <w:rsid w:val="00717035"/>
    <w:rsid w:val="007213B0"/>
    <w:rsid w:val="00723833"/>
    <w:rsid w:val="0072412D"/>
    <w:rsid w:val="007245D0"/>
    <w:rsid w:val="00724653"/>
    <w:rsid w:val="00725526"/>
    <w:rsid w:val="00725938"/>
    <w:rsid w:val="00727635"/>
    <w:rsid w:val="00727AFC"/>
    <w:rsid w:val="007307E1"/>
    <w:rsid w:val="00735BA1"/>
    <w:rsid w:val="00737ACC"/>
    <w:rsid w:val="007419D6"/>
    <w:rsid w:val="00741A3A"/>
    <w:rsid w:val="00741AF3"/>
    <w:rsid w:val="00742790"/>
    <w:rsid w:val="00742E58"/>
    <w:rsid w:val="00743DE8"/>
    <w:rsid w:val="00745873"/>
    <w:rsid w:val="00746702"/>
    <w:rsid w:val="00746930"/>
    <w:rsid w:val="00746B74"/>
    <w:rsid w:val="0075060A"/>
    <w:rsid w:val="00751625"/>
    <w:rsid w:val="007528CF"/>
    <w:rsid w:val="0075320D"/>
    <w:rsid w:val="00753896"/>
    <w:rsid w:val="0075480B"/>
    <w:rsid w:val="0075569C"/>
    <w:rsid w:val="00756C15"/>
    <w:rsid w:val="007570A4"/>
    <w:rsid w:val="007574ED"/>
    <w:rsid w:val="0076047E"/>
    <w:rsid w:val="00760BCC"/>
    <w:rsid w:val="00761718"/>
    <w:rsid w:val="00763F09"/>
    <w:rsid w:val="00765095"/>
    <w:rsid w:val="00766ACC"/>
    <w:rsid w:val="00770013"/>
    <w:rsid w:val="007724B5"/>
    <w:rsid w:val="00773416"/>
    <w:rsid w:val="00775C76"/>
    <w:rsid w:val="00775CF9"/>
    <w:rsid w:val="00775D09"/>
    <w:rsid w:val="00776196"/>
    <w:rsid w:val="00776AA7"/>
    <w:rsid w:val="00777194"/>
    <w:rsid w:val="00777244"/>
    <w:rsid w:val="00781661"/>
    <w:rsid w:val="00781900"/>
    <w:rsid w:val="007823D9"/>
    <w:rsid w:val="00785D55"/>
    <w:rsid w:val="007879BB"/>
    <w:rsid w:val="00790388"/>
    <w:rsid w:val="00792C5F"/>
    <w:rsid w:val="00794C19"/>
    <w:rsid w:val="0079666C"/>
    <w:rsid w:val="00796A72"/>
    <w:rsid w:val="00796E24"/>
    <w:rsid w:val="00796EE7"/>
    <w:rsid w:val="007974FE"/>
    <w:rsid w:val="007A1486"/>
    <w:rsid w:val="007A151B"/>
    <w:rsid w:val="007A27DC"/>
    <w:rsid w:val="007A3D7A"/>
    <w:rsid w:val="007A4C8E"/>
    <w:rsid w:val="007A5D96"/>
    <w:rsid w:val="007A73F4"/>
    <w:rsid w:val="007B0720"/>
    <w:rsid w:val="007B0F84"/>
    <w:rsid w:val="007B1327"/>
    <w:rsid w:val="007B3648"/>
    <w:rsid w:val="007B467F"/>
    <w:rsid w:val="007B50D9"/>
    <w:rsid w:val="007B54BC"/>
    <w:rsid w:val="007B776E"/>
    <w:rsid w:val="007C053F"/>
    <w:rsid w:val="007C082D"/>
    <w:rsid w:val="007C1CFA"/>
    <w:rsid w:val="007C200D"/>
    <w:rsid w:val="007C26DD"/>
    <w:rsid w:val="007C5BB0"/>
    <w:rsid w:val="007C7863"/>
    <w:rsid w:val="007C7B03"/>
    <w:rsid w:val="007D12F9"/>
    <w:rsid w:val="007D2340"/>
    <w:rsid w:val="007D3982"/>
    <w:rsid w:val="007D3E04"/>
    <w:rsid w:val="007D65AA"/>
    <w:rsid w:val="007D69D2"/>
    <w:rsid w:val="007D6E22"/>
    <w:rsid w:val="007D6F87"/>
    <w:rsid w:val="007D73D0"/>
    <w:rsid w:val="007E0F20"/>
    <w:rsid w:val="007E296B"/>
    <w:rsid w:val="007E2993"/>
    <w:rsid w:val="007E2B19"/>
    <w:rsid w:val="007E3C73"/>
    <w:rsid w:val="007E43A8"/>
    <w:rsid w:val="007E573B"/>
    <w:rsid w:val="007E5986"/>
    <w:rsid w:val="007E6669"/>
    <w:rsid w:val="007E6C1D"/>
    <w:rsid w:val="007F18D7"/>
    <w:rsid w:val="007F1CE5"/>
    <w:rsid w:val="007F31AA"/>
    <w:rsid w:val="007F3377"/>
    <w:rsid w:val="007F3961"/>
    <w:rsid w:val="007F4160"/>
    <w:rsid w:val="007F4788"/>
    <w:rsid w:val="007F6343"/>
    <w:rsid w:val="007F71DD"/>
    <w:rsid w:val="007F7B73"/>
    <w:rsid w:val="008017FB"/>
    <w:rsid w:val="00803041"/>
    <w:rsid w:val="00804138"/>
    <w:rsid w:val="00804586"/>
    <w:rsid w:val="00806798"/>
    <w:rsid w:val="008102DB"/>
    <w:rsid w:val="00810FDA"/>
    <w:rsid w:val="00812784"/>
    <w:rsid w:val="00812ADF"/>
    <w:rsid w:val="008133F5"/>
    <w:rsid w:val="008146D0"/>
    <w:rsid w:val="00815284"/>
    <w:rsid w:val="00815548"/>
    <w:rsid w:val="0081686C"/>
    <w:rsid w:val="00820337"/>
    <w:rsid w:val="008207E3"/>
    <w:rsid w:val="008220BF"/>
    <w:rsid w:val="00822BAB"/>
    <w:rsid w:val="00822DCE"/>
    <w:rsid w:val="008243AB"/>
    <w:rsid w:val="00824B31"/>
    <w:rsid w:val="00826C4F"/>
    <w:rsid w:val="00827890"/>
    <w:rsid w:val="00827BB1"/>
    <w:rsid w:val="00830475"/>
    <w:rsid w:val="00832768"/>
    <w:rsid w:val="00832AF1"/>
    <w:rsid w:val="00832EA5"/>
    <w:rsid w:val="0083335C"/>
    <w:rsid w:val="008342D6"/>
    <w:rsid w:val="00837AA0"/>
    <w:rsid w:val="008402F6"/>
    <w:rsid w:val="00841BED"/>
    <w:rsid w:val="00842443"/>
    <w:rsid w:val="008435FC"/>
    <w:rsid w:val="008438E0"/>
    <w:rsid w:val="00843C39"/>
    <w:rsid w:val="00845289"/>
    <w:rsid w:val="00845E90"/>
    <w:rsid w:val="008462B1"/>
    <w:rsid w:val="0085037E"/>
    <w:rsid w:val="008511EE"/>
    <w:rsid w:val="00851631"/>
    <w:rsid w:val="00851E13"/>
    <w:rsid w:val="00853480"/>
    <w:rsid w:val="008547F3"/>
    <w:rsid w:val="00854A46"/>
    <w:rsid w:val="00854BFE"/>
    <w:rsid w:val="0085521A"/>
    <w:rsid w:val="008578F8"/>
    <w:rsid w:val="00857B22"/>
    <w:rsid w:val="00861139"/>
    <w:rsid w:val="00864C53"/>
    <w:rsid w:val="00864D86"/>
    <w:rsid w:val="008650D3"/>
    <w:rsid w:val="00867697"/>
    <w:rsid w:val="00867AE9"/>
    <w:rsid w:val="00871D64"/>
    <w:rsid w:val="00872100"/>
    <w:rsid w:val="008729F4"/>
    <w:rsid w:val="00873FEA"/>
    <w:rsid w:val="00875E5E"/>
    <w:rsid w:val="00880668"/>
    <w:rsid w:val="00880A2D"/>
    <w:rsid w:val="0088241E"/>
    <w:rsid w:val="00883477"/>
    <w:rsid w:val="00883922"/>
    <w:rsid w:val="00884A17"/>
    <w:rsid w:val="00884DA4"/>
    <w:rsid w:val="00884F3F"/>
    <w:rsid w:val="00884F83"/>
    <w:rsid w:val="008850BB"/>
    <w:rsid w:val="008851B6"/>
    <w:rsid w:val="00886E12"/>
    <w:rsid w:val="00887821"/>
    <w:rsid w:val="00887C15"/>
    <w:rsid w:val="00890252"/>
    <w:rsid w:val="008926E8"/>
    <w:rsid w:val="008931BA"/>
    <w:rsid w:val="00896CAE"/>
    <w:rsid w:val="008971D5"/>
    <w:rsid w:val="008A0179"/>
    <w:rsid w:val="008A0B94"/>
    <w:rsid w:val="008A1482"/>
    <w:rsid w:val="008A2DE5"/>
    <w:rsid w:val="008A4FA7"/>
    <w:rsid w:val="008A6A18"/>
    <w:rsid w:val="008A6C6A"/>
    <w:rsid w:val="008B187A"/>
    <w:rsid w:val="008B33D9"/>
    <w:rsid w:val="008B3459"/>
    <w:rsid w:val="008B47B9"/>
    <w:rsid w:val="008B5D4B"/>
    <w:rsid w:val="008B60C6"/>
    <w:rsid w:val="008B75D9"/>
    <w:rsid w:val="008C0CD9"/>
    <w:rsid w:val="008C0FA8"/>
    <w:rsid w:val="008C125A"/>
    <w:rsid w:val="008C1EEA"/>
    <w:rsid w:val="008C2259"/>
    <w:rsid w:val="008C32D2"/>
    <w:rsid w:val="008C41F2"/>
    <w:rsid w:val="008C4E8C"/>
    <w:rsid w:val="008C5321"/>
    <w:rsid w:val="008C611C"/>
    <w:rsid w:val="008C6DA3"/>
    <w:rsid w:val="008D00D2"/>
    <w:rsid w:val="008D19D4"/>
    <w:rsid w:val="008D1B43"/>
    <w:rsid w:val="008D435A"/>
    <w:rsid w:val="008D619D"/>
    <w:rsid w:val="008D69E5"/>
    <w:rsid w:val="008D72FF"/>
    <w:rsid w:val="008D78A0"/>
    <w:rsid w:val="008E075B"/>
    <w:rsid w:val="008E12D6"/>
    <w:rsid w:val="008E4225"/>
    <w:rsid w:val="008E492F"/>
    <w:rsid w:val="008E5694"/>
    <w:rsid w:val="008F150C"/>
    <w:rsid w:val="008F20E6"/>
    <w:rsid w:val="008F2815"/>
    <w:rsid w:val="008F2AE7"/>
    <w:rsid w:val="008F4883"/>
    <w:rsid w:val="008F6BC0"/>
    <w:rsid w:val="0090044C"/>
    <w:rsid w:val="00901A28"/>
    <w:rsid w:val="00902AF9"/>
    <w:rsid w:val="00902EBB"/>
    <w:rsid w:val="00903899"/>
    <w:rsid w:val="00903E29"/>
    <w:rsid w:val="009058BB"/>
    <w:rsid w:val="009059B5"/>
    <w:rsid w:val="009072D6"/>
    <w:rsid w:val="00907BB3"/>
    <w:rsid w:val="00912221"/>
    <w:rsid w:val="00912D55"/>
    <w:rsid w:val="00913073"/>
    <w:rsid w:val="00913665"/>
    <w:rsid w:val="00913C77"/>
    <w:rsid w:val="00914136"/>
    <w:rsid w:val="009141BB"/>
    <w:rsid w:val="0091699F"/>
    <w:rsid w:val="00917B1C"/>
    <w:rsid w:val="00917FF6"/>
    <w:rsid w:val="009204BD"/>
    <w:rsid w:val="00920DD4"/>
    <w:rsid w:val="00920F36"/>
    <w:rsid w:val="00921F90"/>
    <w:rsid w:val="00922900"/>
    <w:rsid w:val="00922A67"/>
    <w:rsid w:val="0092323C"/>
    <w:rsid w:val="00925D16"/>
    <w:rsid w:val="00927634"/>
    <w:rsid w:val="00930582"/>
    <w:rsid w:val="009305E2"/>
    <w:rsid w:val="0093061F"/>
    <w:rsid w:val="0093176D"/>
    <w:rsid w:val="00931D44"/>
    <w:rsid w:val="009329C8"/>
    <w:rsid w:val="00934982"/>
    <w:rsid w:val="00936C39"/>
    <w:rsid w:val="00937FBA"/>
    <w:rsid w:val="00940B8B"/>
    <w:rsid w:val="00941762"/>
    <w:rsid w:val="00941EB4"/>
    <w:rsid w:val="00942571"/>
    <w:rsid w:val="009450EA"/>
    <w:rsid w:val="009452EE"/>
    <w:rsid w:val="009457DB"/>
    <w:rsid w:val="00945D0D"/>
    <w:rsid w:val="00947330"/>
    <w:rsid w:val="009476B1"/>
    <w:rsid w:val="00951110"/>
    <w:rsid w:val="00953386"/>
    <w:rsid w:val="00953772"/>
    <w:rsid w:val="00956323"/>
    <w:rsid w:val="00956552"/>
    <w:rsid w:val="00960888"/>
    <w:rsid w:val="00960CAD"/>
    <w:rsid w:val="00960FF6"/>
    <w:rsid w:val="009618EC"/>
    <w:rsid w:val="00963F1C"/>
    <w:rsid w:val="00964E7C"/>
    <w:rsid w:val="00965F79"/>
    <w:rsid w:val="0096721A"/>
    <w:rsid w:val="0097185E"/>
    <w:rsid w:val="009721C2"/>
    <w:rsid w:val="009728BD"/>
    <w:rsid w:val="00973BB5"/>
    <w:rsid w:val="009743CA"/>
    <w:rsid w:val="009744E2"/>
    <w:rsid w:val="009745BF"/>
    <w:rsid w:val="009755E5"/>
    <w:rsid w:val="00980D91"/>
    <w:rsid w:val="00984D38"/>
    <w:rsid w:val="0098587D"/>
    <w:rsid w:val="00985F72"/>
    <w:rsid w:val="00986F96"/>
    <w:rsid w:val="009873FB"/>
    <w:rsid w:val="009878ED"/>
    <w:rsid w:val="00990081"/>
    <w:rsid w:val="00990E88"/>
    <w:rsid w:val="00991DE8"/>
    <w:rsid w:val="00992CF8"/>
    <w:rsid w:val="00994240"/>
    <w:rsid w:val="00997837"/>
    <w:rsid w:val="00997889"/>
    <w:rsid w:val="009A00B3"/>
    <w:rsid w:val="009A0378"/>
    <w:rsid w:val="009A0632"/>
    <w:rsid w:val="009A0B34"/>
    <w:rsid w:val="009A14DD"/>
    <w:rsid w:val="009A2F25"/>
    <w:rsid w:val="009A35F2"/>
    <w:rsid w:val="009A5647"/>
    <w:rsid w:val="009A78DA"/>
    <w:rsid w:val="009B0650"/>
    <w:rsid w:val="009B0C35"/>
    <w:rsid w:val="009B13D8"/>
    <w:rsid w:val="009B2C5E"/>
    <w:rsid w:val="009B2D47"/>
    <w:rsid w:val="009B691A"/>
    <w:rsid w:val="009B6C19"/>
    <w:rsid w:val="009B6EAA"/>
    <w:rsid w:val="009C026A"/>
    <w:rsid w:val="009C3699"/>
    <w:rsid w:val="009C4CFA"/>
    <w:rsid w:val="009C4FCD"/>
    <w:rsid w:val="009C6D93"/>
    <w:rsid w:val="009C741C"/>
    <w:rsid w:val="009D1540"/>
    <w:rsid w:val="009D15C7"/>
    <w:rsid w:val="009D3047"/>
    <w:rsid w:val="009D6BFA"/>
    <w:rsid w:val="009D6CD2"/>
    <w:rsid w:val="009E0E6A"/>
    <w:rsid w:val="009E40A5"/>
    <w:rsid w:val="009E466D"/>
    <w:rsid w:val="009E4CBF"/>
    <w:rsid w:val="009E4FB2"/>
    <w:rsid w:val="009E5583"/>
    <w:rsid w:val="009E6119"/>
    <w:rsid w:val="009E6346"/>
    <w:rsid w:val="009E6A72"/>
    <w:rsid w:val="009E6D21"/>
    <w:rsid w:val="009F0724"/>
    <w:rsid w:val="009F5FD0"/>
    <w:rsid w:val="009F6ED8"/>
    <w:rsid w:val="009F6EF0"/>
    <w:rsid w:val="009F718C"/>
    <w:rsid w:val="009F7F91"/>
    <w:rsid w:val="00A01549"/>
    <w:rsid w:val="00A01C0F"/>
    <w:rsid w:val="00A02C32"/>
    <w:rsid w:val="00A03B2C"/>
    <w:rsid w:val="00A03D0E"/>
    <w:rsid w:val="00A058F8"/>
    <w:rsid w:val="00A07D4C"/>
    <w:rsid w:val="00A104DE"/>
    <w:rsid w:val="00A10AFC"/>
    <w:rsid w:val="00A11089"/>
    <w:rsid w:val="00A11B9E"/>
    <w:rsid w:val="00A1436C"/>
    <w:rsid w:val="00A14E4C"/>
    <w:rsid w:val="00A14E58"/>
    <w:rsid w:val="00A15066"/>
    <w:rsid w:val="00A16161"/>
    <w:rsid w:val="00A223D7"/>
    <w:rsid w:val="00A22E38"/>
    <w:rsid w:val="00A23A91"/>
    <w:rsid w:val="00A25D3E"/>
    <w:rsid w:val="00A26F18"/>
    <w:rsid w:val="00A27724"/>
    <w:rsid w:val="00A27A59"/>
    <w:rsid w:val="00A30BA1"/>
    <w:rsid w:val="00A30D5A"/>
    <w:rsid w:val="00A30FC4"/>
    <w:rsid w:val="00A31647"/>
    <w:rsid w:val="00A316A8"/>
    <w:rsid w:val="00A31AE9"/>
    <w:rsid w:val="00A32978"/>
    <w:rsid w:val="00A32A78"/>
    <w:rsid w:val="00A33628"/>
    <w:rsid w:val="00A33A4A"/>
    <w:rsid w:val="00A33D5A"/>
    <w:rsid w:val="00A3517D"/>
    <w:rsid w:val="00A366DC"/>
    <w:rsid w:val="00A404C8"/>
    <w:rsid w:val="00A40D00"/>
    <w:rsid w:val="00A41FC6"/>
    <w:rsid w:val="00A43966"/>
    <w:rsid w:val="00A44324"/>
    <w:rsid w:val="00A44992"/>
    <w:rsid w:val="00A4528F"/>
    <w:rsid w:val="00A523C1"/>
    <w:rsid w:val="00A526CC"/>
    <w:rsid w:val="00A52840"/>
    <w:rsid w:val="00A558D2"/>
    <w:rsid w:val="00A5639B"/>
    <w:rsid w:val="00A57A6A"/>
    <w:rsid w:val="00A60DC6"/>
    <w:rsid w:val="00A62AE9"/>
    <w:rsid w:val="00A62FE6"/>
    <w:rsid w:val="00A63346"/>
    <w:rsid w:val="00A64D3B"/>
    <w:rsid w:val="00A6679F"/>
    <w:rsid w:val="00A67533"/>
    <w:rsid w:val="00A725FB"/>
    <w:rsid w:val="00A7319D"/>
    <w:rsid w:val="00A73C48"/>
    <w:rsid w:val="00A77404"/>
    <w:rsid w:val="00A818D9"/>
    <w:rsid w:val="00A831CD"/>
    <w:rsid w:val="00A8374A"/>
    <w:rsid w:val="00A84332"/>
    <w:rsid w:val="00A84C94"/>
    <w:rsid w:val="00A84DB9"/>
    <w:rsid w:val="00A84EC4"/>
    <w:rsid w:val="00A87AE6"/>
    <w:rsid w:val="00A90665"/>
    <w:rsid w:val="00A90778"/>
    <w:rsid w:val="00A907C1"/>
    <w:rsid w:val="00A91D22"/>
    <w:rsid w:val="00A91E2F"/>
    <w:rsid w:val="00A923B0"/>
    <w:rsid w:val="00A9264D"/>
    <w:rsid w:val="00A92BCF"/>
    <w:rsid w:val="00A94217"/>
    <w:rsid w:val="00A94819"/>
    <w:rsid w:val="00A96FB4"/>
    <w:rsid w:val="00A97EE8"/>
    <w:rsid w:val="00AA05A8"/>
    <w:rsid w:val="00AA05DA"/>
    <w:rsid w:val="00AA2281"/>
    <w:rsid w:val="00AA3F8D"/>
    <w:rsid w:val="00AA4F8E"/>
    <w:rsid w:val="00AA5D8A"/>
    <w:rsid w:val="00AA677D"/>
    <w:rsid w:val="00AA7221"/>
    <w:rsid w:val="00AA76F4"/>
    <w:rsid w:val="00AA784B"/>
    <w:rsid w:val="00AB14DD"/>
    <w:rsid w:val="00AB16B5"/>
    <w:rsid w:val="00AB1E61"/>
    <w:rsid w:val="00AB259B"/>
    <w:rsid w:val="00AB3FC0"/>
    <w:rsid w:val="00AB4099"/>
    <w:rsid w:val="00AB4681"/>
    <w:rsid w:val="00AB5278"/>
    <w:rsid w:val="00AB6E73"/>
    <w:rsid w:val="00AB73B8"/>
    <w:rsid w:val="00AC0023"/>
    <w:rsid w:val="00AC0EA4"/>
    <w:rsid w:val="00AC2EBD"/>
    <w:rsid w:val="00AC4002"/>
    <w:rsid w:val="00AC5155"/>
    <w:rsid w:val="00AC559A"/>
    <w:rsid w:val="00AC677A"/>
    <w:rsid w:val="00AC7963"/>
    <w:rsid w:val="00AC7A2A"/>
    <w:rsid w:val="00AD1BFE"/>
    <w:rsid w:val="00AD2688"/>
    <w:rsid w:val="00AD3781"/>
    <w:rsid w:val="00AD3F44"/>
    <w:rsid w:val="00AD578B"/>
    <w:rsid w:val="00AD6635"/>
    <w:rsid w:val="00AD7978"/>
    <w:rsid w:val="00AD7D5D"/>
    <w:rsid w:val="00AE1920"/>
    <w:rsid w:val="00AE2051"/>
    <w:rsid w:val="00AE2460"/>
    <w:rsid w:val="00AE2ED2"/>
    <w:rsid w:val="00AE3A27"/>
    <w:rsid w:val="00AE3AC5"/>
    <w:rsid w:val="00AE5827"/>
    <w:rsid w:val="00AE6104"/>
    <w:rsid w:val="00AE6F4F"/>
    <w:rsid w:val="00AE7AEE"/>
    <w:rsid w:val="00AF1273"/>
    <w:rsid w:val="00AF1398"/>
    <w:rsid w:val="00AF13DE"/>
    <w:rsid w:val="00AF225E"/>
    <w:rsid w:val="00AF2719"/>
    <w:rsid w:val="00AF2B16"/>
    <w:rsid w:val="00AF35B7"/>
    <w:rsid w:val="00AF40B5"/>
    <w:rsid w:val="00AF519F"/>
    <w:rsid w:val="00AF6B27"/>
    <w:rsid w:val="00AF6B4B"/>
    <w:rsid w:val="00AF78BD"/>
    <w:rsid w:val="00B001D4"/>
    <w:rsid w:val="00B01EB5"/>
    <w:rsid w:val="00B02120"/>
    <w:rsid w:val="00B021F0"/>
    <w:rsid w:val="00B0421B"/>
    <w:rsid w:val="00B05216"/>
    <w:rsid w:val="00B0567C"/>
    <w:rsid w:val="00B06374"/>
    <w:rsid w:val="00B06AA3"/>
    <w:rsid w:val="00B1016A"/>
    <w:rsid w:val="00B1257E"/>
    <w:rsid w:val="00B1358E"/>
    <w:rsid w:val="00B13D0C"/>
    <w:rsid w:val="00B14F69"/>
    <w:rsid w:val="00B15878"/>
    <w:rsid w:val="00B16721"/>
    <w:rsid w:val="00B224D6"/>
    <w:rsid w:val="00B22A21"/>
    <w:rsid w:val="00B232EA"/>
    <w:rsid w:val="00B2373F"/>
    <w:rsid w:val="00B24CD5"/>
    <w:rsid w:val="00B25ABA"/>
    <w:rsid w:val="00B27569"/>
    <w:rsid w:val="00B276DA"/>
    <w:rsid w:val="00B27723"/>
    <w:rsid w:val="00B27E08"/>
    <w:rsid w:val="00B3003A"/>
    <w:rsid w:val="00B3066D"/>
    <w:rsid w:val="00B30E9B"/>
    <w:rsid w:val="00B31920"/>
    <w:rsid w:val="00B32F87"/>
    <w:rsid w:val="00B345BB"/>
    <w:rsid w:val="00B349EF"/>
    <w:rsid w:val="00B365E5"/>
    <w:rsid w:val="00B36C22"/>
    <w:rsid w:val="00B36E62"/>
    <w:rsid w:val="00B37304"/>
    <w:rsid w:val="00B40654"/>
    <w:rsid w:val="00B4250B"/>
    <w:rsid w:val="00B46517"/>
    <w:rsid w:val="00B47BF8"/>
    <w:rsid w:val="00B47F0C"/>
    <w:rsid w:val="00B50592"/>
    <w:rsid w:val="00B51CE1"/>
    <w:rsid w:val="00B52AF3"/>
    <w:rsid w:val="00B5383C"/>
    <w:rsid w:val="00B53B0A"/>
    <w:rsid w:val="00B554A0"/>
    <w:rsid w:val="00B5624E"/>
    <w:rsid w:val="00B569F4"/>
    <w:rsid w:val="00B56A4D"/>
    <w:rsid w:val="00B57A05"/>
    <w:rsid w:val="00B63371"/>
    <w:rsid w:val="00B644FA"/>
    <w:rsid w:val="00B6600E"/>
    <w:rsid w:val="00B66642"/>
    <w:rsid w:val="00B66E71"/>
    <w:rsid w:val="00B70FB3"/>
    <w:rsid w:val="00B72339"/>
    <w:rsid w:val="00B7475B"/>
    <w:rsid w:val="00B74D0D"/>
    <w:rsid w:val="00B76A0A"/>
    <w:rsid w:val="00B778B7"/>
    <w:rsid w:val="00B77B2B"/>
    <w:rsid w:val="00B77DA8"/>
    <w:rsid w:val="00B80F76"/>
    <w:rsid w:val="00B8177E"/>
    <w:rsid w:val="00B819BC"/>
    <w:rsid w:val="00B82F09"/>
    <w:rsid w:val="00B84A3C"/>
    <w:rsid w:val="00B85A45"/>
    <w:rsid w:val="00B874A6"/>
    <w:rsid w:val="00B902F2"/>
    <w:rsid w:val="00B90D7D"/>
    <w:rsid w:val="00B90FD0"/>
    <w:rsid w:val="00B9126E"/>
    <w:rsid w:val="00B91980"/>
    <w:rsid w:val="00B91E4D"/>
    <w:rsid w:val="00B92C70"/>
    <w:rsid w:val="00B92F4A"/>
    <w:rsid w:val="00BA062E"/>
    <w:rsid w:val="00BA19C7"/>
    <w:rsid w:val="00BA21D2"/>
    <w:rsid w:val="00BA3016"/>
    <w:rsid w:val="00BA411F"/>
    <w:rsid w:val="00BA4EB5"/>
    <w:rsid w:val="00BA718F"/>
    <w:rsid w:val="00BA7255"/>
    <w:rsid w:val="00BB008D"/>
    <w:rsid w:val="00BB0ADA"/>
    <w:rsid w:val="00BB178D"/>
    <w:rsid w:val="00BB2889"/>
    <w:rsid w:val="00BB591E"/>
    <w:rsid w:val="00BC001A"/>
    <w:rsid w:val="00BC039B"/>
    <w:rsid w:val="00BC0505"/>
    <w:rsid w:val="00BC0CF2"/>
    <w:rsid w:val="00BC1005"/>
    <w:rsid w:val="00BC10B3"/>
    <w:rsid w:val="00BC3ED2"/>
    <w:rsid w:val="00BD18C0"/>
    <w:rsid w:val="00BD3980"/>
    <w:rsid w:val="00BD3BA0"/>
    <w:rsid w:val="00BD449E"/>
    <w:rsid w:val="00BD45CE"/>
    <w:rsid w:val="00BD4FDC"/>
    <w:rsid w:val="00BD556A"/>
    <w:rsid w:val="00BD5AF6"/>
    <w:rsid w:val="00BD7242"/>
    <w:rsid w:val="00BE0776"/>
    <w:rsid w:val="00BE0781"/>
    <w:rsid w:val="00BE0C5B"/>
    <w:rsid w:val="00BE145B"/>
    <w:rsid w:val="00BE243B"/>
    <w:rsid w:val="00BE3870"/>
    <w:rsid w:val="00BE48CC"/>
    <w:rsid w:val="00BE5B9E"/>
    <w:rsid w:val="00BF0DCB"/>
    <w:rsid w:val="00BF0E90"/>
    <w:rsid w:val="00BF0F5B"/>
    <w:rsid w:val="00BF4746"/>
    <w:rsid w:val="00BF6E72"/>
    <w:rsid w:val="00BF7443"/>
    <w:rsid w:val="00BF7990"/>
    <w:rsid w:val="00BF7BF9"/>
    <w:rsid w:val="00BF7C8F"/>
    <w:rsid w:val="00BF7D4B"/>
    <w:rsid w:val="00C00862"/>
    <w:rsid w:val="00C027AE"/>
    <w:rsid w:val="00C03668"/>
    <w:rsid w:val="00C03A2B"/>
    <w:rsid w:val="00C03AC8"/>
    <w:rsid w:val="00C063A3"/>
    <w:rsid w:val="00C0690A"/>
    <w:rsid w:val="00C103A6"/>
    <w:rsid w:val="00C15296"/>
    <w:rsid w:val="00C209FC"/>
    <w:rsid w:val="00C22501"/>
    <w:rsid w:val="00C243C2"/>
    <w:rsid w:val="00C24CB6"/>
    <w:rsid w:val="00C2506C"/>
    <w:rsid w:val="00C257F7"/>
    <w:rsid w:val="00C2586B"/>
    <w:rsid w:val="00C27AE7"/>
    <w:rsid w:val="00C3020C"/>
    <w:rsid w:val="00C321EA"/>
    <w:rsid w:val="00C32D14"/>
    <w:rsid w:val="00C3339C"/>
    <w:rsid w:val="00C333F1"/>
    <w:rsid w:val="00C341EB"/>
    <w:rsid w:val="00C34FF7"/>
    <w:rsid w:val="00C35E3D"/>
    <w:rsid w:val="00C35E91"/>
    <w:rsid w:val="00C37A0D"/>
    <w:rsid w:val="00C37DE5"/>
    <w:rsid w:val="00C405AE"/>
    <w:rsid w:val="00C42AA7"/>
    <w:rsid w:val="00C42B0A"/>
    <w:rsid w:val="00C42BE2"/>
    <w:rsid w:val="00C446F1"/>
    <w:rsid w:val="00C4624C"/>
    <w:rsid w:val="00C46523"/>
    <w:rsid w:val="00C47AD0"/>
    <w:rsid w:val="00C47B0A"/>
    <w:rsid w:val="00C47EA5"/>
    <w:rsid w:val="00C5232E"/>
    <w:rsid w:val="00C53281"/>
    <w:rsid w:val="00C540FF"/>
    <w:rsid w:val="00C542C8"/>
    <w:rsid w:val="00C57FA1"/>
    <w:rsid w:val="00C60AA2"/>
    <w:rsid w:val="00C61344"/>
    <w:rsid w:val="00C61B50"/>
    <w:rsid w:val="00C620E6"/>
    <w:rsid w:val="00C621DE"/>
    <w:rsid w:val="00C6246E"/>
    <w:rsid w:val="00C62525"/>
    <w:rsid w:val="00C63661"/>
    <w:rsid w:val="00C64E70"/>
    <w:rsid w:val="00C66396"/>
    <w:rsid w:val="00C70485"/>
    <w:rsid w:val="00C704AB"/>
    <w:rsid w:val="00C712B4"/>
    <w:rsid w:val="00C718AA"/>
    <w:rsid w:val="00C71B74"/>
    <w:rsid w:val="00C759BA"/>
    <w:rsid w:val="00C76FB4"/>
    <w:rsid w:val="00C77706"/>
    <w:rsid w:val="00C77FAF"/>
    <w:rsid w:val="00C826BB"/>
    <w:rsid w:val="00C8455F"/>
    <w:rsid w:val="00C86E8A"/>
    <w:rsid w:val="00C872C7"/>
    <w:rsid w:val="00C87D7B"/>
    <w:rsid w:val="00C92539"/>
    <w:rsid w:val="00C926E1"/>
    <w:rsid w:val="00C92CAA"/>
    <w:rsid w:val="00C957C8"/>
    <w:rsid w:val="00C96382"/>
    <w:rsid w:val="00C9721C"/>
    <w:rsid w:val="00C97342"/>
    <w:rsid w:val="00CA0225"/>
    <w:rsid w:val="00CA07A9"/>
    <w:rsid w:val="00CA3BB9"/>
    <w:rsid w:val="00CA63E3"/>
    <w:rsid w:val="00CA7F21"/>
    <w:rsid w:val="00CB011C"/>
    <w:rsid w:val="00CB1239"/>
    <w:rsid w:val="00CB19B5"/>
    <w:rsid w:val="00CB2217"/>
    <w:rsid w:val="00CB395D"/>
    <w:rsid w:val="00CB3B05"/>
    <w:rsid w:val="00CB5B53"/>
    <w:rsid w:val="00CC0ADD"/>
    <w:rsid w:val="00CC0B66"/>
    <w:rsid w:val="00CC4471"/>
    <w:rsid w:val="00CD05B6"/>
    <w:rsid w:val="00CD06C2"/>
    <w:rsid w:val="00CD4653"/>
    <w:rsid w:val="00CD509F"/>
    <w:rsid w:val="00CD60C2"/>
    <w:rsid w:val="00CD656F"/>
    <w:rsid w:val="00CD7BE4"/>
    <w:rsid w:val="00CE0E4C"/>
    <w:rsid w:val="00CE1F2A"/>
    <w:rsid w:val="00CE2522"/>
    <w:rsid w:val="00CE3970"/>
    <w:rsid w:val="00CE47B4"/>
    <w:rsid w:val="00CE4FED"/>
    <w:rsid w:val="00CE5955"/>
    <w:rsid w:val="00CE7DCB"/>
    <w:rsid w:val="00CF433E"/>
    <w:rsid w:val="00CF635A"/>
    <w:rsid w:val="00CF6B04"/>
    <w:rsid w:val="00CF6B0F"/>
    <w:rsid w:val="00CF76DD"/>
    <w:rsid w:val="00CF77DB"/>
    <w:rsid w:val="00D000B3"/>
    <w:rsid w:val="00D00F8E"/>
    <w:rsid w:val="00D03F26"/>
    <w:rsid w:val="00D0401E"/>
    <w:rsid w:val="00D061BE"/>
    <w:rsid w:val="00D069B6"/>
    <w:rsid w:val="00D11DCB"/>
    <w:rsid w:val="00D12055"/>
    <w:rsid w:val="00D129D2"/>
    <w:rsid w:val="00D135C4"/>
    <w:rsid w:val="00D139F8"/>
    <w:rsid w:val="00D16502"/>
    <w:rsid w:val="00D1666F"/>
    <w:rsid w:val="00D16698"/>
    <w:rsid w:val="00D205F1"/>
    <w:rsid w:val="00D2670F"/>
    <w:rsid w:val="00D2694A"/>
    <w:rsid w:val="00D30725"/>
    <w:rsid w:val="00D31C17"/>
    <w:rsid w:val="00D324CF"/>
    <w:rsid w:val="00D34A94"/>
    <w:rsid w:val="00D354E4"/>
    <w:rsid w:val="00D35507"/>
    <w:rsid w:val="00D364BA"/>
    <w:rsid w:val="00D368B1"/>
    <w:rsid w:val="00D378BB"/>
    <w:rsid w:val="00D400C7"/>
    <w:rsid w:val="00D424E3"/>
    <w:rsid w:val="00D43446"/>
    <w:rsid w:val="00D43C9E"/>
    <w:rsid w:val="00D4694E"/>
    <w:rsid w:val="00D46AE6"/>
    <w:rsid w:val="00D46BEF"/>
    <w:rsid w:val="00D47813"/>
    <w:rsid w:val="00D513C3"/>
    <w:rsid w:val="00D52460"/>
    <w:rsid w:val="00D52918"/>
    <w:rsid w:val="00D52F09"/>
    <w:rsid w:val="00D53428"/>
    <w:rsid w:val="00D54DFE"/>
    <w:rsid w:val="00D56DC8"/>
    <w:rsid w:val="00D57C5D"/>
    <w:rsid w:val="00D60F3E"/>
    <w:rsid w:val="00D62915"/>
    <w:rsid w:val="00D63267"/>
    <w:rsid w:val="00D6356F"/>
    <w:rsid w:val="00D64D3C"/>
    <w:rsid w:val="00D66C94"/>
    <w:rsid w:val="00D74246"/>
    <w:rsid w:val="00D7477D"/>
    <w:rsid w:val="00D7747C"/>
    <w:rsid w:val="00D777D6"/>
    <w:rsid w:val="00D819FB"/>
    <w:rsid w:val="00D81FFF"/>
    <w:rsid w:val="00D83F9B"/>
    <w:rsid w:val="00D84A4B"/>
    <w:rsid w:val="00D853F9"/>
    <w:rsid w:val="00D86BAF"/>
    <w:rsid w:val="00D87AF1"/>
    <w:rsid w:val="00D926C2"/>
    <w:rsid w:val="00D9350B"/>
    <w:rsid w:val="00D94929"/>
    <w:rsid w:val="00D94D18"/>
    <w:rsid w:val="00D9531D"/>
    <w:rsid w:val="00D966B0"/>
    <w:rsid w:val="00DA023B"/>
    <w:rsid w:val="00DA1354"/>
    <w:rsid w:val="00DA15BB"/>
    <w:rsid w:val="00DA1F4D"/>
    <w:rsid w:val="00DA2622"/>
    <w:rsid w:val="00DA564D"/>
    <w:rsid w:val="00DA69A9"/>
    <w:rsid w:val="00DB075C"/>
    <w:rsid w:val="00DB20DF"/>
    <w:rsid w:val="00DB2B86"/>
    <w:rsid w:val="00DB2D6D"/>
    <w:rsid w:val="00DB3980"/>
    <w:rsid w:val="00DB49B0"/>
    <w:rsid w:val="00DB65F1"/>
    <w:rsid w:val="00DB74FD"/>
    <w:rsid w:val="00DC0EDA"/>
    <w:rsid w:val="00DC0EDE"/>
    <w:rsid w:val="00DC117B"/>
    <w:rsid w:val="00DC1D0A"/>
    <w:rsid w:val="00DC2BE7"/>
    <w:rsid w:val="00DC2E17"/>
    <w:rsid w:val="00DC34EA"/>
    <w:rsid w:val="00DC3C7C"/>
    <w:rsid w:val="00DC42F9"/>
    <w:rsid w:val="00DC43C6"/>
    <w:rsid w:val="00DC5D5C"/>
    <w:rsid w:val="00DC61C6"/>
    <w:rsid w:val="00DC7A54"/>
    <w:rsid w:val="00DD02D0"/>
    <w:rsid w:val="00DD0315"/>
    <w:rsid w:val="00DD118B"/>
    <w:rsid w:val="00DD4966"/>
    <w:rsid w:val="00DD592D"/>
    <w:rsid w:val="00DD5C71"/>
    <w:rsid w:val="00DD5E2E"/>
    <w:rsid w:val="00DD5F8C"/>
    <w:rsid w:val="00DD692D"/>
    <w:rsid w:val="00DE1326"/>
    <w:rsid w:val="00DE1464"/>
    <w:rsid w:val="00DE2361"/>
    <w:rsid w:val="00DE26AD"/>
    <w:rsid w:val="00DE31A7"/>
    <w:rsid w:val="00DE5A9C"/>
    <w:rsid w:val="00DE7095"/>
    <w:rsid w:val="00DF0117"/>
    <w:rsid w:val="00DF08D0"/>
    <w:rsid w:val="00DF465B"/>
    <w:rsid w:val="00DF48A6"/>
    <w:rsid w:val="00DF4A16"/>
    <w:rsid w:val="00DF6B38"/>
    <w:rsid w:val="00DF7007"/>
    <w:rsid w:val="00DF78F9"/>
    <w:rsid w:val="00E0103B"/>
    <w:rsid w:val="00E013E0"/>
    <w:rsid w:val="00E03AD7"/>
    <w:rsid w:val="00E042E8"/>
    <w:rsid w:val="00E05523"/>
    <w:rsid w:val="00E06432"/>
    <w:rsid w:val="00E07EA0"/>
    <w:rsid w:val="00E07FF1"/>
    <w:rsid w:val="00E11BE9"/>
    <w:rsid w:val="00E1344F"/>
    <w:rsid w:val="00E14207"/>
    <w:rsid w:val="00E1439D"/>
    <w:rsid w:val="00E14749"/>
    <w:rsid w:val="00E15753"/>
    <w:rsid w:val="00E160C4"/>
    <w:rsid w:val="00E16B40"/>
    <w:rsid w:val="00E17D4F"/>
    <w:rsid w:val="00E20541"/>
    <w:rsid w:val="00E2098C"/>
    <w:rsid w:val="00E20F2D"/>
    <w:rsid w:val="00E225C0"/>
    <w:rsid w:val="00E22790"/>
    <w:rsid w:val="00E22ABD"/>
    <w:rsid w:val="00E23AD8"/>
    <w:rsid w:val="00E2480F"/>
    <w:rsid w:val="00E248D1"/>
    <w:rsid w:val="00E24E70"/>
    <w:rsid w:val="00E26B82"/>
    <w:rsid w:val="00E34609"/>
    <w:rsid w:val="00E35FAE"/>
    <w:rsid w:val="00E35FE2"/>
    <w:rsid w:val="00E36318"/>
    <w:rsid w:val="00E374E3"/>
    <w:rsid w:val="00E379F3"/>
    <w:rsid w:val="00E37DAA"/>
    <w:rsid w:val="00E40399"/>
    <w:rsid w:val="00E41A51"/>
    <w:rsid w:val="00E42BFE"/>
    <w:rsid w:val="00E42DAF"/>
    <w:rsid w:val="00E42F36"/>
    <w:rsid w:val="00E43C34"/>
    <w:rsid w:val="00E44508"/>
    <w:rsid w:val="00E452C4"/>
    <w:rsid w:val="00E46B06"/>
    <w:rsid w:val="00E5076C"/>
    <w:rsid w:val="00E518C5"/>
    <w:rsid w:val="00E52BF0"/>
    <w:rsid w:val="00E53F2C"/>
    <w:rsid w:val="00E54A6D"/>
    <w:rsid w:val="00E54F45"/>
    <w:rsid w:val="00E55984"/>
    <w:rsid w:val="00E55CEF"/>
    <w:rsid w:val="00E56485"/>
    <w:rsid w:val="00E572F6"/>
    <w:rsid w:val="00E57C79"/>
    <w:rsid w:val="00E60261"/>
    <w:rsid w:val="00E60A07"/>
    <w:rsid w:val="00E61616"/>
    <w:rsid w:val="00E61775"/>
    <w:rsid w:val="00E62191"/>
    <w:rsid w:val="00E64CD0"/>
    <w:rsid w:val="00E654EF"/>
    <w:rsid w:val="00E66823"/>
    <w:rsid w:val="00E669EB"/>
    <w:rsid w:val="00E70E62"/>
    <w:rsid w:val="00E71A79"/>
    <w:rsid w:val="00E72CA9"/>
    <w:rsid w:val="00E73F1E"/>
    <w:rsid w:val="00E779CE"/>
    <w:rsid w:val="00E80E93"/>
    <w:rsid w:val="00E8305B"/>
    <w:rsid w:val="00E85D0A"/>
    <w:rsid w:val="00E861E4"/>
    <w:rsid w:val="00E865E8"/>
    <w:rsid w:val="00E86FAF"/>
    <w:rsid w:val="00E908C1"/>
    <w:rsid w:val="00E90C1D"/>
    <w:rsid w:val="00E913B9"/>
    <w:rsid w:val="00E91F7C"/>
    <w:rsid w:val="00E92FAB"/>
    <w:rsid w:val="00E93221"/>
    <w:rsid w:val="00E9518A"/>
    <w:rsid w:val="00E96A17"/>
    <w:rsid w:val="00E97B06"/>
    <w:rsid w:val="00EA18F2"/>
    <w:rsid w:val="00EB1AE8"/>
    <w:rsid w:val="00EB30FD"/>
    <w:rsid w:val="00EB330A"/>
    <w:rsid w:val="00EB3C65"/>
    <w:rsid w:val="00EB51F5"/>
    <w:rsid w:val="00EB6502"/>
    <w:rsid w:val="00EB76C6"/>
    <w:rsid w:val="00EC24E6"/>
    <w:rsid w:val="00EC4BF3"/>
    <w:rsid w:val="00EC541A"/>
    <w:rsid w:val="00EC558C"/>
    <w:rsid w:val="00EC5A9A"/>
    <w:rsid w:val="00EC5E8E"/>
    <w:rsid w:val="00ED0599"/>
    <w:rsid w:val="00ED2366"/>
    <w:rsid w:val="00ED3515"/>
    <w:rsid w:val="00ED3E34"/>
    <w:rsid w:val="00ED5252"/>
    <w:rsid w:val="00ED6409"/>
    <w:rsid w:val="00ED776B"/>
    <w:rsid w:val="00ED7ED6"/>
    <w:rsid w:val="00EE01CB"/>
    <w:rsid w:val="00EE3FCE"/>
    <w:rsid w:val="00EE4D31"/>
    <w:rsid w:val="00EE7525"/>
    <w:rsid w:val="00EF033D"/>
    <w:rsid w:val="00EF057E"/>
    <w:rsid w:val="00EF0AA7"/>
    <w:rsid w:val="00EF160E"/>
    <w:rsid w:val="00EF25D8"/>
    <w:rsid w:val="00EF2803"/>
    <w:rsid w:val="00EF3E18"/>
    <w:rsid w:val="00EF7CFB"/>
    <w:rsid w:val="00EF7D44"/>
    <w:rsid w:val="00F00C81"/>
    <w:rsid w:val="00F01126"/>
    <w:rsid w:val="00F01198"/>
    <w:rsid w:val="00F01707"/>
    <w:rsid w:val="00F02694"/>
    <w:rsid w:val="00F027FE"/>
    <w:rsid w:val="00F02B37"/>
    <w:rsid w:val="00F0533A"/>
    <w:rsid w:val="00F05ECB"/>
    <w:rsid w:val="00F1036E"/>
    <w:rsid w:val="00F10472"/>
    <w:rsid w:val="00F10560"/>
    <w:rsid w:val="00F117F0"/>
    <w:rsid w:val="00F11EBB"/>
    <w:rsid w:val="00F125E3"/>
    <w:rsid w:val="00F128F1"/>
    <w:rsid w:val="00F12AFC"/>
    <w:rsid w:val="00F15F90"/>
    <w:rsid w:val="00F1699E"/>
    <w:rsid w:val="00F24847"/>
    <w:rsid w:val="00F25403"/>
    <w:rsid w:val="00F26B1A"/>
    <w:rsid w:val="00F26BB6"/>
    <w:rsid w:val="00F32BB0"/>
    <w:rsid w:val="00F32E1E"/>
    <w:rsid w:val="00F330CE"/>
    <w:rsid w:val="00F333BD"/>
    <w:rsid w:val="00F33DF7"/>
    <w:rsid w:val="00F3535A"/>
    <w:rsid w:val="00F35601"/>
    <w:rsid w:val="00F35DB8"/>
    <w:rsid w:val="00F42284"/>
    <w:rsid w:val="00F422FB"/>
    <w:rsid w:val="00F4243F"/>
    <w:rsid w:val="00F42FA3"/>
    <w:rsid w:val="00F43406"/>
    <w:rsid w:val="00F4540F"/>
    <w:rsid w:val="00F47EB6"/>
    <w:rsid w:val="00F50158"/>
    <w:rsid w:val="00F5115B"/>
    <w:rsid w:val="00F529F4"/>
    <w:rsid w:val="00F53459"/>
    <w:rsid w:val="00F53B40"/>
    <w:rsid w:val="00F54326"/>
    <w:rsid w:val="00F57B64"/>
    <w:rsid w:val="00F57CC2"/>
    <w:rsid w:val="00F60246"/>
    <w:rsid w:val="00F60E41"/>
    <w:rsid w:val="00F610E0"/>
    <w:rsid w:val="00F616B7"/>
    <w:rsid w:val="00F66093"/>
    <w:rsid w:val="00F70504"/>
    <w:rsid w:val="00F7104C"/>
    <w:rsid w:val="00F710D9"/>
    <w:rsid w:val="00F72765"/>
    <w:rsid w:val="00F72980"/>
    <w:rsid w:val="00F735BE"/>
    <w:rsid w:val="00F73C73"/>
    <w:rsid w:val="00F8052C"/>
    <w:rsid w:val="00F80F92"/>
    <w:rsid w:val="00F839F4"/>
    <w:rsid w:val="00F87373"/>
    <w:rsid w:val="00F91456"/>
    <w:rsid w:val="00F9185D"/>
    <w:rsid w:val="00F92AAC"/>
    <w:rsid w:val="00F92EAE"/>
    <w:rsid w:val="00F953C8"/>
    <w:rsid w:val="00F95FD2"/>
    <w:rsid w:val="00F96701"/>
    <w:rsid w:val="00F96E1E"/>
    <w:rsid w:val="00F97BA2"/>
    <w:rsid w:val="00FA08FA"/>
    <w:rsid w:val="00FA46DF"/>
    <w:rsid w:val="00FA4B61"/>
    <w:rsid w:val="00FB3184"/>
    <w:rsid w:val="00FB3804"/>
    <w:rsid w:val="00FB4C81"/>
    <w:rsid w:val="00FB4D56"/>
    <w:rsid w:val="00FB5373"/>
    <w:rsid w:val="00FB5450"/>
    <w:rsid w:val="00FB62B9"/>
    <w:rsid w:val="00FB6ABE"/>
    <w:rsid w:val="00FC0E65"/>
    <w:rsid w:val="00FC14C7"/>
    <w:rsid w:val="00FC15D8"/>
    <w:rsid w:val="00FC1C04"/>
    <w:rsid w:val="00FC1CB3"/>
    <w:rsid w:val="00FC4072"/>
    <w:rsid w:val="00FC4362"/>
    <w:rsid w:val="00FC46B0"/>
    <w:rsid w:val="00FC7120"/>
    <w:rsid w:val="00FC7B61"/>
    <w:rsid w:val="00FC7E54"/>
    <w:rsid w:val="00FD189A"/>
    <w:rsid w:val="00FD2F09"/>
    <w:rsid w:val="00FD3870"/>
    <w:rsid w:val="00FD480D"/>
    <w:rsid w:val="00FD5365"/>
    <w:rsid w:val="00FD5991"/>
    <w:rsid w:val="00FD71E6"/>
    <w:rsid w:val="00FD7451"/>
    <w:rsid w:val="00FE21C5"/>
    <w:rsid w:val="00FE2408"/>
    <w:rsid w:val="00FE300C"/>
    <w:rsid w:val="00FE4041"/>
    <w:rsid w:val="00FE4144"/>
    <w:rsid w:val="00FE478E"/>
    <w:rsid w:val="00FE49A7"/>
    <w:rsid w:val="00FE5508"/>
    <w:rsid w:val="00FE642B"/>
    <w:rsid w:val="00FE79F4"/>
    <w:rsid w:val="00FF00AE"/>
    <w:rsid w:val="00FF098C"/>
    <w:rsid w:val="00FF2891"/>
    <w:rsid w:val="00FF329A"/>
    <w:rsid w:val="00FF4C6C"/>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F880"/>
  <w15:docId w15:val="{54F1B2C6-6A1E-4128-BC70-0C52251F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0C"/>
    <w:pPr>
      <w:spacing w:after="0" w:line="36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BE145B"/>
    <w:pPr>
      <w:ind w:left="0"/>
      <w:contextualSpacing w:val="0"/>
      <w:jc w:val="center"/>
      <w:outlineLvl w:val="0"/>
    </w:pPr>
    <w:rPr>
      <w:b/>
      <w:sz w:val="26"/>
      <w:szCs w:val="26"/>
    </w:rPr>
  </w:style>
  <w:style w:type="paragraph" w:styleId="Heading2">
    <w:name w:val="heading 2"/>
    <w:basedOn w:val="Normal"/>
    <w:next w:val="Normal"/>
    <w:link w:val="Heading2Char"/>
    <w:uiPriority w:val="9"/>
    <w:unhideWhenUsed/>
    <w:qFormat/>
    <w:rsid w:val="00BE145B"/>
    <w:pPr>
      <w:keepNext/>
      <w:outlineLvl w:val="1"/>
    </w:pPr>
    <w:rPr>
      <w:b/>
      <w:sz w:val="26"/>
      <w:szCs w:val="26"/>
    </w:rPr>
  </w:style>
  <w:style w:type="paragraph" w:styleId="Heading3">
    <w:name w:val="heading 3"/>
    <w:basedOn w:val="Heading1"/>
    <w:next w:val="Normal"/>
    <w:link w:val="Heading3Char"/>
    <w:uiPriority w:val="9"/>
    <w:unhideWhenUsed/>
    <w:qFormat/>
    <w:rsid w:val="00600FC7"/>
    <w:pPr>
      <w:outlineLvl w:val="2"/>
    </w:pPr>
  </w:style>
  <w:style w:type="paragraph" w:styleId="Heading4">
    <w:name w:val="heading 4"/>
    <w:basedOn w:val="Normal"/>
    <w:next w:val="Normal"/>
    <w:link w:val="Heading4Char"/>
    <w:uiPriority w:val="9"/>
    <w:unhideWhenUsed/>
    <w:qFormat/>
    <w:rsid w:val="00600FC7"/>
    <w:pPr>
      <w:keepNext/>
      <w:jc w:val="center"/>
      <w:outlineLvl w:val="3"/>
    </w:pPr>
    <w:rPr>
      <w:b/>
      <w:sz w:val="26"/>
      <w:szCs w:val="26"/>
    </w:rPr>
  </w:style>
  <w:style w:type="paragraph" w:styleId="Heading5">
    <w:name w:val="heading 5"/>
    <w:basedOn w:val="Normal"/>
    <w:next w:val="Normal"/>
    <w:link w:val="Heading5Char"/>
    <w:uiPriority w:val="9"/>
    <w:unhideWhenUsed/>
    <w:qFormat/>
    <w:rsid w:val="00600FC7"/>
    <w:pPr>
      <w:keepNext/>
      <w:keepLines/>
      <w:jc w:val="center"/>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E5583"/>
    <w:pPr>
      <w:spacing w:line="240" w:lineRule="auto"/>
      <w:jc w:val="center"/>
    </w:pPr>
    <w:rPr>
      <w:b/>
    </w:rPr>
  </w:style>
  <w:style w:type="character" w:customStyle="1" w:styleId="SubtitleChar">
    <w:name w:val="Subtitle Char"/>
    <w:basedOn w:val="DefaultParagraphFont"/>
    <w:link w:val="Subtitle"/>
    <w:rsid w:val="009E5583"/>
    <w:rPr>
      <w:rFonts w:ascii="CG Times" w:eastAsia="Times New Roman" w:hAnsi="CG Times" w:cs="Times New Roman"/>
      <w:b/>
      <w:sz w:val="24"/>
      <w:szCs w:val="20"/>
    </w:rPr>
  </w:style>
  <w:style w:type="character" w:customStyle="1" w:styleId="Heading1Char">
    <w:name w:val="Heading 1 Char"/>
    <w:basedOn w:val="DefaultParagraphFont"/>
    <w:link w:val="Heading1"/>
    <w:uiPriority w:val="9"/>
    <w:rsid w:val="00BE145B"/>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9E5583"/>
    <w:pPr>
      <w:spacing w:after="120"/>
      <w:ind w:left="360"/>
    </w:pPr>
  </w:style>
  <w:style w:type="character" w:customStyle="1" w:styleId="BodyTextIndentChar">
    <w:name w:val="Body Text Indent Char"/>
    <w:basedOn w:val="DefaultParagraphFont"/>
    <w:link w:val="BodyTextIndent"/>
    <w:uiPriority w:val="99"/>
    <w:rsid w:val="009E5583"/>
    <w:rPr>
      <w:rFonts w:ascii="CG Times" w:eastAsia="Times New Roman" w:hAnsi="CG Times" w:cs="Times New Roman"/>
      <w:sz w:val="24"/>
      <w:szCs w:val="20"/>
    </w:rPr>
  </w:style>
  <w:style w:type="paragraph" w:styleId="ListParagraph">
    <w:name w:val="List Paragraph"/>
    <w:basedOn w:val="Normal"/>
    <w:uiPriority w:val="34"/>
    <w:qFormat/>
    <w:rsid w:val="009E5583"/>
    <w:pPr>
      <w:ind w:left="720"/>
      <w:contextualSpacing/>
    </w:pPr>
  </w:style>
  <w:style w:type="character" w:styleId="FootnoteReference">
    <w:name w:val="footnote reference"/>
    <w:aliases w:val="o,fr"/>
    <w:basedOn w:val="DefaultParagraphFont"/>
    <w:uiPriority w:val="99"/>
    <w:unhideWhenUsed/>
    <w:rsid w:val="00792C5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
    <w:basedOn w:val="Normal"/>
    <w:link w:val="FootnoteTextChar"/>
    <w:autoRedefine/>
    <w:uiPriority w:val="99"/>
    <w:unhideWhenUsed/>
    <w:qFormat/>
    <w:rsid w:val="00F5115B"/>
    <w:pPr>
      <w:keepNext/>
      <w:keepLines/>
      <w:spacing w:after="120" w:line="240" w:lineRule="auto"/>
      <w:ind w:firstLine="720"/>
    </w:pPr>
    <w:rPr>
      <w:sz w:val="26"/>
      <w:szCs w:val="26"/>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F5115B"/>
    <w:rPr>
      <w:rFonts w:ascii="Times New Roman" w:eastAsia="Times New Roman" w:hAnsi="Times New Roman" w:cs="Times New Roman"/>
      <w:sz w:val="26"/>
      <w:szCs w:val="26"/>
    </w:rPr>
  </w:style>
  <w:style w:type="paragraph" w:styleId="Footer">
    <w:name w:val="footer"/>
    <w:basedOn w:val="Normal"/>
    <w:link w:val="FooterChar"/>
    <w:uiPriority w:val="99"/>
    <w:rsid w:val="00792C5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792C5F"/>
    <w:rPr>
      <w:rFonts w:ascii="Times New Roman" w:eastAsia="Times New Roman" w:hAnsi="Times New Roman" w:cs="Times New Roman"/>
      <w:sz w:val="20"/>
      <w:szCs w:val="20"/>
    </w:rPr>
  </w:style>
  <w:style w:type="paragraph" w:styleId="BodyText2">
    <w:name w:val="Body Text 2"/>
    <w:basedOn w:val="Normal"/>
    <w:link w:val="BodyText2Char"/>
    <w:unhideWhenUsed/>
    <w:rsid w:val="00AB259B"/>
    <w:pPr>
      <w:spacing w:after="120" w:line="480" w:lineRule="auto"/>
    </w:pPr>
  </w:style>
  <w:style w:type="character" w:customStyle="1" w:styleId="BodyText2Char">
    <w:name w:val="Body Text 2 Char"/>
    <w:basedOn w:val="DefaultParagraphFont"/>
    <w:link w:val="BodyText2"/>
    <w:rsid w:val="00AB259B"/>
    <w:rPr>
      <w:rFonts w:ascii="CG Times" w:eastAsia="Times New Roman" w:hAnsi="CG Times" w:cs="Times New Roman"/>
      <w:sz w:val="24"/>
      <w:szCs w:val="20"/>
    </w:rPr>
  </w:style>
  <w:style w:type="paragraph" w:styleId="Header">
    <w:name w:val="header"/>
    <w:basedOn w:val="Normal"/>
    <w:link w:val="HeaderChar"/>
    <w:uiPriority w:val="99"/>
    <w:unhideWhenUsed/>
    <w:rsid w:val="00C2506C"/>
    <w:pPr>
      <w:tabs>
        <w:tab w:val="center" w:pos="4680"/>
        <w:tab w:val="right" w:pos="9360"/>
      </w:tabs>
      <w:spacing w:line="240" w:lineRule="auto"/>
    </w:pPr>
  </w:style>
  <w:style w:type="character" w:customStyle="1" w:styleId="HeaderChar">
    <w:name w:val="Header Char"/>
    <w:basedOn w:val="DefaultParagraphFont"/>
    <w:link w:val="Header"/>
    <w:uiPriority w:val="99"/>
    <w:rsid w:val="00C2506C"/>
    <w:rPr>
      <w:rFonts w:ascii="CG Times" w:eastAsia="Times New Roman" w:hAnsi="CG Times" w:cs="Times New Roman"/>
      <w:sz w:val="24"/>
      <w:szCs w:val="20"/>
    </w:rPr>
  </w:style>
  <w:style w:type="paragraph" w:styleId="EndnoteText">
    <w:name w:val="endnote text"/>
    <w:basedOn w:val="Normal"/>
    <w:link w:val="EndnoteTextChar"/>
    <w:uiPriority w:val="99"/>
    <w:semiHidden/>
    <w:unhideWhenUsed/>
    <w:rsid w:val="00A52840"/>
    <w:pPr>
      <w:spacing w:line="240" w:lineRule="auto"/>
    </w:pPr>
    <w:rPr>
      <w:sz w:val="20"/>
    </w:rPr>
  </w:style>
  <w:style w:type="character" w:customStyle="1" w:styleId="EndnoteTextChar">
    <w:name w:val="Endnote Text Char"/>
    <w:basedOn w:val="DefaultParagraphFont"/>
    <w:link w:val="EndnoteText"/>
    <w:uiPriority w:val="99"/>
    <w:semiHidden/>
    <w:rsid w:val="00A52840"/>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A52840"/>
    <w:rPr>
      <w:vertAlign w:val="superscript"/>
    </w:rPr>
  </w:style>
  <w:style w:type="paragraph" w:styleId="BodyText3">
    <w:name w:val="Body Text 3"/>
    <w:basedOn w:val="Normal"/>
    <w:link w:val="BodyText3Char"/>
    <w:uiPriority w:val="99"/>
    <w:unhideWhenUsed/>
    <w:rsid w:val="003C2103"/>
    <w:pPr>
      <w:spacing w:after="120"/>
    </w:pPr>
    <w:rPr>
      <w:sz w:val="16"/>
      <w:szCs w:val="16"/>
    </w:rPr>
  </w:style>
  <w:style w:type="character" w:customStyle="1" w:styleId="BodyText3Char">
    <w:name w:val="Body Text 3 Char"/>
    <w:basedOn w:val="DefaultParagraphFont"/>
    <w:link w:val="BodyText3"/>
    <w:uiPriority w:val="99"/>
    <w:rsid w:val="003C2103"/>
    <w:rPr>
      <w:rFonts w:ascii="CG Times" w:eastAsia="Times New Roman" w:hAnsi="CG Times" w:cs="Times New Roman"/>
      <w:sz w:val="16"/>
      <w:szCs w:val="16"/>
    </w:rPr>
  </w:style>
  <w:style w:type="paragraph" w:styleId="NoSpacing">
    <w:name w:val="No Spacing"/>
    <w:uiPriority w:val="1"/>
    <w:qFormat/>
    <w:rsid w:val="003C2103"/>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67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17"/>
    <w:rPr>
      <w:rFonts w:ascii="Tahoma" w:eastAsia="Times New Roman" w:hAnsi="Tahoma" w:cs="Tahoma"/>
      <w:sz w:val="16"/>
      <w:szCs w:val="16"/>
    </w:rPr>
  </w:style>
  <w:style w:type="table" w:styleId="TableGrid">
    <w:name w:val="Table Grid"/>
    <w:basedOn w:val="TableNormal"/>
    <w:uiPriority w:val="59"/>
    <w:rsid w:val="00DA26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055"/>
    <w:pPr>
      <w:spacing w:after="120"/>
    </w:pPr>
  </w:style>
  <w:style w:type="character" w:customStyle="1" w:styleId="BodyTextChar">
    <w:name w:val="Body Text Char"/>
    <w:basedOn w:val="DefaultParagraphFont"/>
    <w:link w:val="BodyText"/>
    <w:rsid w:val="00D12055"/>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F02C2"/>
    <w:rPr>
      <w:sz w:val="16"/>
      <w:szCs w:val="16"/>
    </w:rPr>
  </w:style>
  <w:style w:type="paragraph" w:styleId="CommentText">
    <w:name w:val="annotation text"/>
    <w:basedOn w:val="Normal"/>
    <w:link w:val="CommentTextChar"/>
    <w:uiPriority w:val="99"/>
    <w:semiHidden/>
    <w:unhideWhenUsed/>
    <w:rsid w:val="006F02C2"/>
    <w:pPr>
      <w:spacing w:line="240" w:lineRule="auto"/>
    </w:pPr>
    <w:rPr>
      <w:sz w:val="20"/>
    </w:rPr>
  </w:style>
  <w:style w:type="character" w:customStyle="1" w:styleId="CommentTextChar">
    <w:name w:val="Comment Text Char"/>
    <w:basedOn w:val="DefaultParagraphFont"/>
    <w:link w:val="CommentText"/>
    <w:uiPriority w:val="99"/>
    <w:semiHidden/>
    <w:rsid w:val="006F02C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F02C2"/>
    <w:rPr>
      <w:b/>
      <w:bCs/>
    </w:rPr>
  </w:style>
  <w:style w:type="character" w:customStyle="1" w:styleId="CommentSubjectChar">
    <w:name w:val="Comment Subject Char"/>
    <w:basedOn w:val="CommentTextChar"/>
    <w:link w:val="CommentSubject"/>
    <w:uiPriority w:val="99"/>
    <w:semiHidden/>
    <w:rsid w:val="006F02C2"/>
    <w:rPr>
      <w:rFonts w:ascii="CG Times" w:eastAsia="Times New Roman" w:hAnsi="CG Times" w:cs="Times New Roman"/>
      <w:b/>
      <w:bCs/>
      <w:sz w:val="20"/>
      <w:szCs w:val="20"/>
    </w:rPr>
  </w:style>
  <w:style w:type="character" w:styleId="Strong">
    <w:name w:val="Strong"/>
    <w:basedOn w:val="DefaultParagraphFont"/>
    <w:uiPriority w:val="22"/>
    <w:qFormat/>
    <w:rsid w:val="00A44992"/>
    <w:rPr>
      <w:b/>
      <w:bCs/>
    </w:rPr>
  </w:style>
  <w:style w:type="character" w:customStyle="1" w:styleId="Heading2Char">
    <w:name w:val="Heading 2 Char"/>
    <w:basedOn w:val="DefaultParagraphFont"/>
    <w:link w:val="Heading2"/>
    <w:uiPriority w:val="9"/>
    <w:rsid w:val="00BE145B"/>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600FC7"/>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600FC7"/>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600FC7"/>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296659"/>
    <w:pPr>
      <w:tabs>
        <w:tab w:val="left" w:pos="440"/>
        <w:tab w:val="right" w:leader="dot" w:pos="9350"/>
      </w:tabs>
      <w:spacing w:before="360"/>
    </w:pPr>
    <w:rPr>
      <w:b/>
      <w:noProof/>
    </w:rPr>
  </w:style>
  <w:style w:type="paragraph" w:styleId="TOC2">
    <w:name w:val="toc 2"/>
    <w:basedOn w:val="Normal"/>
    <w:next w:val="Normal"/>
    <w:autoRedefine/>
    <w:uiPriority w:val="39"/>
    <w:unhideWhenUsed/>
    <w:rsid w:val="009745BF"/>
    <w:pPr>
      <w:tabs>
        <w:tab w:val="left" w:pos="880"/>
        <w:tab w:val="right" w:leader="dot" w:pos="9350"/>
      </w:tabs>
      <w:spacing w:after="100"/>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581">
      <w:bodyDiv w:val="1"/>
      <w:marLeft w:val="0"/>
      <w:marRight w:val="0"/>
      <w:marTop w:val="0"/>
      <w:marBottom w:val="0"/>
      <w:divBdr>
        <w:top w:val="none" w:sz="0" w:space="0" w:color="auto"/>
        <w:left w:val="none" w:sz="0" w:space="0" w:color="auto"/>
        <w:bottom w:val="none" w:sz="0" w:space="0" w:color="auto"/>
        <w:right w:val="none" w:sz="0" w:space="0" w:color="auto"/>
      </w:divBdr>
    </w:div>
    <w:div w:id="310403686">
      <w:bodyDiv w:val="1"/>
      <w:marLeft w:val="0"/>
      <w:marRight w:val="0"/>
      <w:marTop w:val="0"/>
      <w:marBottom w:val="0"/>
      <w:divBdr>
        <w:top w:val="none" w:sz="0" w:space="0" w:color="auto"/>
        <w:left w:val="none" w:sz="0" w:space="0" w:color="auto"/>
        <w:bottom w:val="none" w:sz="0" w:space="0" w:color="auto"/>
        <w:right w:val="none" w:sz="0" w:space="0" w:color="auto"/>
      </w:divBdr>
    </w:div>
    <w:div w:id="367797539">
      <w:bodyDiv w:val="1"/>
      <w:marLeft w:val="0"/>
      <w:marRight w:val="0"/>
      <w:marTop w:val="0"/>
      <w:marBottom w:val="0"/>
      <w:divBdr>
        <w:top w:val="none" w:sz="0" w:space="0" w:color="auto"/>
        <w:left w:val="none" w:sz="0" w:space="0" w:color="auto"/>
        <w:bottom w:val="none" w:sz="0" w:space="0" w:color="auto"/>
        <w:right w:val="none" w:sz="0" w:space="0" w:color="auto"/>
      </w:divBdr>
    </w:div>
    <w:div w:id="396510277">
      <w:bodyDiv w:val="1"/>
      <w:marLeft w:val="0"/>
      <w:marRight w:val="0"/>
      <w:marTop w:val="0"/>
      <w:marBottom w:val="0"/>
      <w:divBdr>
        <w:top w:val="none" w:sz="0" w:space="0" w:color="auto"/>
        <w:left w:val="none" w:sz="0" w:space="0" w:color="auto"/>
        <w:bottom w:val="none" w:sz="0" w:space="0" w:color="auto"/>
        <w:right w:val="none" w:sz="0" w:space="0" w:color="auto"/>
      </w:divBdr>
    </w:div>
    <w:div w:id="543832982">
      <w:bodyDiv w:val="1"/>
      <w:marLeft w:val="0"/>
      <w:marRight w:val="0"/>
      <w:marTop w:val="0"/>
      <w:marBottom w:val="0"/>
      <w:divBdr>
        <w:top w:val="none" w:sz="0" w:space="0" w:color="auto"/>
        <w:left w:val="none" w:sz="0" w:space="0" w:color="auto"/>
        <w:bottom w:val="none" w:sz="0" w:space="0" w:color="auto"/>
        <w:right w:val="none" w:sz="0" w:space="0" w:color="auto"/>
      </w:divBdr>
    </w:div>
    <w:div w:id="585845547">
      <w:bodyDiv w:val="1"/>
      <w:marLeft w:val="0"/>
      <w:marRight w:val="0"/>
      <w:marTop w:val="0"/>
      <w:marBottom w:val="0"/>
      <w:divBdr>
        <w:top w:val="none" w:sz="0" w:space="0" w:color="auto"/>
        <w:left w:val="none" w:sz="0" w:space="0" w:color="auto"/>
        <w:bottom w:val="none" w:sz="0" w:space="0" w:color="auto"/>
        <w:right w:val="none" w:sz="0" w:space="0" w:color="auto"/>
      </w:divBdr>
    </w:div>
    <w:div w:id="737627704">
      <w:bodyDiv w:val="1"/>
      <w:marLeft w:val="0"/>
      <w:marRight w:val="0"/>
      <w:marTop w:val="0"/>
      <w:marBottom w:val="0"/>
      <w:divBdr>
        <w:top w:val="none" w:sz="0" w:space="0" w:color="auto"/>
        <w:left w:val="none" w:sz="0" w:space="0" w:color="auto"/>
        <w:bottom w:val="none" w:sz="0" w:space="0" w:color="auto"/>
        <w:right w:val="none" w:sz="0" w:space="0" w:color="auto"/>
      </w:divBdr>
    </w:div>
    <w:div w:id="805392532">
      <w:bodyDiv w:val="1"/>
      <w:marLeft w:val="0"/>
      <w:marRight w:val="0"/>
      <w:marTop w:val="0"/>
      <w:marBottom w:val="0"/>
      <w:divBdr>
        <w:top w:val="none" w:sz="0" w:space="0" w:color="auto"/>
        <w:left w:val="none" w:sz="0" w:space="0" w:color="auto"/>
        <w:bottom w:val="none" w:sz="0" w:space="0" w:color="auto"/>
        <w:right w:val="none" w:sz="0" w:space="0" w:color="auto"/>
      </w:divBdr>
    </w:div>
    <w:div w:id="886381610">
      <w:bodyDiv w:val="1"/>
      <w:marLeft w:val="0"/>
      <w:marRight w:val="0"/>
      <w:marTop w:val="0"/>
      <w:marBottom w:val="0"/>
      <w:divBdr>
        <w:top w:val="none" w:sz="0" w:space="0" w:color="auto"/>
        <w:left w:val="none" w:sz="0" w:space="0" w:color="auto"/>
        <w:bottom w:val="none" w:sz="0" w:space="0" w:color="auto"/>
        <w:right w:val="none" w:sz="0" w:space="0" w:color="auto"/>
      </w:divBdr>
    </w:div>
    <w:div w:id="1105268352">
      <w:bodyDiv w:val="1"/>
      <w:marLeft w:val="0"/>
      <w:marRight w:val="0"/>
      <w:marTop w:val="0"/>
      <w:marBottom w:val="0"/>
      <w:divBdr>
        <w:top w:val="none" w:sz="0" w:space="0" w:color="auto"/>
        <w:left w:val="none" w:sz="0" w:space="0" w:color="auto"/>
        <w:bottom w:val="none" w:sz="0" w:space="0" w:color="auto"/>
        <w:right w:val="none" w:sz="0" w:space="0" w:color="auto"/>
      </w:divBdr>
    </w:div>
    <w:div w:id="1346904018">
      <w:bodyDiv w:val="1"/>
      <w:marLeft w:val="0"/>
      <w:marRight w:val="0"/>
      <w:marTop w:val="0"/>
      <w:marBottom w:val="0"/>
      <w:divBdr>
        <w:top w:val="none" w:sz="0" w:space="0" w:color="auto"/>
        <w:left w:val="none" w:sz="0" w:space="0" w:color="auto"/>
        <w:bottom w:val="none" w:sz="0" w:space="0" w:color="auto"/>
        <w:right w:val="none" w:sz="0" w:space="0" w:color="auto"/>
      </w:divBdr>
    </w:div>
    <w:div w:id="1567229206">
      <w:bodyDiv w:val="1"/>
      <w:marLeft w:val="0"/>
      <w:marRight w:val="0"/>
      <w:marTop w:val="0"/>
      <w:marBottom w:val="0"/>
      <w:divBdr>
        <w:top w:val="none" w:sz="0" w:space="0" w:color="auto"/>
        <w:left w:val="none" w:sz="0" w:space="0" w:color="auto"/>
        <w:bottom w:val="none" w:sz="0" w:space="0" w:color="auto"/>
        <w:right w:val="none" w:sz="0" w:space="0" w:color="auto"/>
      </w:divBdr>
    </w:div>
    <w:div w:id="1619792648">
      <w:bodyDiv w:val="1"/>
      <w:marLeft w:val="0"/>
      <w:marRight w:val="0"/>
      <w:marTop w:val="0"/>
      <w:marBottom w:val="0"/>
      <w:divBdr>
        <w:top w:val="none" w:sz="0" w:space="0" w:color="auto"/>
        <w:left w:val="none" w:sz="0" w:space="0" w:color="auto"/>
        <w:bottom w:val="none" w:sz="0" w:space="0" w:color="auto"/>
        <w:right w:val="none" w:sz="0" w:space="0" w:color="auto"/>
      </w:divBdr>
    </w:div>
    <w:div w:id="1707287884">
      <w:bodyDiv w:val="1"/>
      <w:marLeft w:val="0"/>
      <w:marRight w:val="0"/>
      <w:marTop w:val="0"/>
      <w:marBottom w:val="0"/>
      <w:divBdr>
        <w:top w:val="none" w:sz="0" w:space="0" w:color="auto"/>
        <w:left w:val="none" w:sz="0" w:space="0" w:color="auto"/>
        <w:bottom w:val="none" w:sz="0" w:space="0" w:color="auto"/>
        <w:right w:val="none" w:sz="0" w:space="0" w:color="auto"/>
      </w:divBdr>
    </w:div>
    <w:div w:id="1804612880">
      <w:bodyDiv w:val="1"/>
      <w:marLeft w:val="0"/>
      <w:marRight w:val="0"/>
      <w:marTop w:val="0"/>
      <w:marBottom w:val="0"/>
      <w:divBdr>
        <w:top w:val="none" w:sz="0" w:space="0" w:color="auto"/>
        <w:left w:val="none" w:sz="0" w:space="0" w:color="auto"/>
        <w:bottom w:val="none" w:sz="0" w:space="0" w:color="auto"/>
        <w:right w:val="none" w:sz="0" w:space="0" w:color="auto"/>
      </w:divBdr>
    </w:div>
    <w:div w:id="18822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636&amp;cite=52PAADCS1.2&amp;originatingDoc=I1fa48ff15f9e11e8a2e69b122173a65f&amp;refType=L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033D-EC42-4C7A-B4B9-7A44E592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7031</Words>
  <Characters>40081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rocarran</dc:creator>
  <cp:lastModifiedBy>Wagner, Nathan R</cp:lastModifiedBy>
  <cp:revision>3</cp:revision>
  <cp:lastPrinted>2018-08-02T11:46:00Z</cp:lastPrinted>
  <dcterms:created xsi:type="dcterms:W3CDTF">2018-07-23T18:57:00Z</dcterms:created>
  <dcterms:modified xsi:type="dcterms:W3CDTF">2018-08-02T11:47:00Z</dcterms:modified>
</cp:coreProperties>
</file>