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34CAA" w14:textId="77777777" w:rsidR="002071D7" w:rsidRDefault="002071D7" w:rsidP="002F2AF9">
      <w:pPr>
        <w:spacing w:after="0" w:line="240" w:lineRule="auto"/>
        <w:jc w:val="center"/>
        <w:rPr>
          <w:rFonts w:ascii="Arial" w:eastAsia="Calibri" w:hAnsi="Arial" w:cs="Arial"/>
          <w:b/>
          <w:sz w:val="48"/>
          <w:szCs w:val="48"/>
        </w:rPr>
      </w:pPr>
    </w:p>
    <w:p w14:paraId="6A41034D" w14:textId="77777777" w:rsidR="002071D7" w:rsidRDefault="002071D7" w:rsidP="002F2AF9">
      <w:pPr>
        <w:spacing w:after="0" w:line="240" w:lineRule="auto"/>
        <w:jc w:val="center"/>
        <w:rPr>
          <w:rFonts w:ascii="Arial" w:eastAsia="Calibri" w:hAnsi="Arial" w:cs="Arial"/>
          <w:b/>
          <w:sz w:val="48"/>
          <w:szCs w:val="48"/>
        </w:rPr>
      </w:pPr>
    </w:p>
    <w:p w14:paraId="5B28903D" w14:textId="77777777" w:rsidR="002F2AF9" w:rsidRPr="00AC73FC" w:rsidRDefault="00205C48" w:rsidP="002F2AF9">
      <w:pPr>
        <w:spacing w:after="0" w:line="240" w:lineRule="auto"/>
        <w:jc w:val="center"/>
        <w:rPr>
          <w:rFonts w:ascii="Arial" w:eastAsia="Calibri" w:hAnsi="Arial" w:cs="Arial"/>
          <w:b/>
          <w:sz w:val="48"/>
          <w:szCs w:val="48"/>
        </w:rPr>
      </w:pPr>
      <w:r w:rsidRPr="00AC73FC">
        <w:rPr>
          <w:rFonts w:ascii="Arial" w:eastAsia="Calibri" w:hAnsi="Arial" w:cs="Arial"/>
          <w:b/>
          <w:sz w:val="48"/>
          <w:szCs w:val="48"/>
        </w:rPr>
        <w:t xml:space="preserve">METROPOLITAN EDISON COMPANY </w:t>
      </w:r>
    </w:p>
    <w:p w14:paraId="3E326A3F" w14:textId="77777777" w:rsidR="00205C48" w:rsidRPr="00AC73FC" w:rsidRDefault="00205C48" w:rsidP="002F2AF9">
      <w:pPr>
        <w:spacing w:after="0" w:line="240" w:lineRule="auto"/>
        <w:jc w:val="center"/>
        <w:rPr>
          <w:rFonts w:ascii="Arial" w:eastAsia="Calibri" w:hAnsi="Arial" w:cs="Arial"/>
          <w:b/>
          <w:sz w:val="48"/>
          <w:szCs w:val="48"/>
        </w:rPr>
      </w:pPr>
      <w:r w:rsidRPr="00AC73FC">
        <w:rPr>
          <w:rFonts w:ascii="Arial" w:eastAsia="Calibri" w:hAnsi="Arial" w:cs="Arial"/>
          <w:b/>
          <w:sz w:val="48"/>
          <w:szCs w:val="48"/>
        </w:rPr>
        <w:t>PENNSYLVANIA ELECTRIC COMPANY</w:t>
      </w:r>
    </w:p>
    <w:p w14:paraId="2F22D6EB" w14:textId="77777777" w:rsidR="00205C48" w:rsidRPr="00AC73FC" w:rsidRDefault="00205C48" w:rsidP="002F2AF9">
      <w:pPr>
        <w:spacing w:after="0" w:line="240" w:lineRule="auto"/>
        <w:jc w:val="center"/>
        <w:rPr>
          <w:rFonts w:ascii="Arial" w:eastAsia="Calibri" w:hAnsi="Arial" w:cs="Arial"/>
          <w:b/>
          <w:sz w:val="48"/>
          <w:szCs w:val="48"/>
        </w:rPr>
      </w:pPr>
      <w:r w:rsidRPr="00AC73FC">
        <w:rPr>
          <w:rFonts w:ascii="Arial" w:eastAsia="Calibri" w:hAnsi="Arial" w:cs="Arial"/>
          <w:b/>
          <w:sz w:val="48"/>
          <w:szCs w:val="48"/>
        </w:rPr>
        <w:t>PENNSYLVANIA POWER COMPANY</w:t>
      </w:r>
    </w:p>
    <w:p w14:paraId="669BBBA7" w14:textId="77777777" w:rsidR="00205C48" w:rsidRPr="00AC73FC" w:rsidRDefault="00205C48" w:rsidP="002F2AF9">
      <w:pPr>
        <w:spacing w:after="0" w:line="240" w:lineRule="auto"/>
        <w:jc w:val="center"/>
        <w:rPr>
          <w:rFonts w:ascii="Arial" w:eastAsia="Calibri" w:hAnsi="Arial" w:cs="Arial"/>
          <w:b/>
          <w:sz w:val="48"/>
          <w:szCs w:val="48"/>
        </w:rPr>
      </w:pPr>
      <w:r w:rsidRPr="00AC73FC">
        <w:rPr>
          <w:rFonts w:ascii="Arial" w:eastAsia="Calibri" w:hAnsi="Arial" w:cs="Arial"/>
          <w:b/>
          <w:sz w:val="48"/>
          <w:szCs w:val="48"/>
        </w:rPr>
        <w:t>WEST PENN POWER COMPANY</w:t>
      </w:r>
    </w:p>
    <w:p w14:paraId="7F7ADE0A" w14:textId="77777777" w:rsidR="002F2AF9" w:rsidRPr="00AC73FC" w:rsidRDefault="00205C48" w:rsidP="002F2AF9">
      <w:pPr>
        <w:spacing w:after="0" w:line="240" w:lineRule="auto"/>
        <w:jc w:val="center"/>
        <w:rPr>
          <w:rFonts w:ascii="Arial" w:eastAsia="Calibri" w:hAnsi="Arial" w:cs="Arial"/>
          <w:b/>
          <w:sz w:val="34"/>
          <w:szCs w:val="34"/>
        </w:rPr>
      </w:pPr>
      <w:r w:rsidRPr="00AC73FC">
        <w:rPr>
          <w:rFonts w:ascii="Arial" w:eastAsia="Calibri" w:hAnsi="Arial" w:cs="Arial"/>
          <w:b/>
          <w:sz w:val="34"/>
          <w:szCs w:val="34"/>
        </w:rPr>
        <w:t>(collectively referred to as the FirstEnergy Pennsylvania Companies)</w:t>
      </w:r>
    </w:p>
    <w:p w14:paraId="27A526D0" w14:textId="77777777" w:rsidR="002F2AF9" w:rsidRDefault="002F2AF9" w:rsidP="00205C48">
      <w:pPr>
        <w:spacing w:after="0" w:line="240" w:lineRule="auto"/>
        <w:rPr>
          <w:rFonts w:ascii="Arial" w:eastAsia="Calibri" w:hAnsi="Arial" w:cs="Arial"/>
          <w:b/>
          <w:sz w:val="48"/>
          <w:szCs w:val="48"/>
        </w:rPr>
      </w:pPr>
    </w:p>
    <w:p w14:paraId="05CEB2BD" w14:textId="77777777" w:rsidR="002071D7" w:rsidRPr="00A56F02" w:rsidRDefault="002071D7" w:rsidP="00205C48">
      <w:pPr>
        <w:spacing w:after="0" w:line="240" w:lineRule="auto"/>
        <w:rPr>
          <w:rFonts w:ascii="Arial" w:eastAsia="Calibri" w:hAnsi="Arial" w:cs="Arial"/>
          <w:b/>
          <w:sz w:val="48"/>
          <w:szCs w:val="48"/>
        </w:rPr>
      </w:pPr>
    </w:p>
    <w:p w14:paraId="65ABA079" w14:textId="77777777" w:rsidR="002F2AF9" w:rsidRPr="00AC73FC" w:rsidRDefault="002F2AF9" w:rsidP="00A56F02">
      <w:pPr>
        <w:tabs>
          <w:tab w:val="center" w:pos="4680"/>
          <w:tab w:val="left" w:pos="8670"/>
        </w:tabs>
        <w:spacing w:after="0" w:line="240" w:lineRule="auto"/>
        <w:jc w:val="center"/>
        <w:outlineLvl w:val="0"/>
        <w:rPr>
          <w:rFonts w:ascii="Arial" w:eastAsia="Times New Roman" w:hAnsi="Arial" w:cs="Arial"/>
          <w:b/>
          <w:sz w:val="34"/>
          <w:szCs w:val="34"/>
        </w:rPr>
      </w:pPr>
      <w:r w:rsidRPr="00AC73FC">
        <w:rPr>
          <w:rFonts w:ascii="Arial" w:eastAsia="Times New Roman" w:hAnsi="Arial" w:cs="Arial"/>
          <w:b/>
          <w:sz w:val="34"/>
          <w:szCs w:val="34"/>
        </w:rPr>
        <w:t>MANAGEMENT EFFICIENCY INVESTIGATION</w:t>
      </w:r>
      <w:r w:rsidR="003E07C5">
        <w:rPr>
          <w:rFonts w:ascii="Arial" w:eastAsia="Times New Roman" w:hAnsi="Arial" w:cs="Arial"/>
          <w:b/>
          <w:sz w:val="34"/>
          <w:szCs w:val="34"/>
        </w:rPr>
        <w:t xml:space="preserve"> </w:t>
      </w:r>
    </w:p>
    <w:p w14:paraId="04383B6B" w14:textId="77777777" w:rsidR="00636A64" w:rsidRDefault="003E07C5" w:rsidP="00636A64">
      <w:pPr>
        <w:tabs>
          <w:tab w:val="center" w:pos="4680"/>
          <w:tab w:val="left" w:pos="8670"/>
        </w:tabs>
        <w:spacing w:after="0" w:line="240" w:lineRule="auto"/>
        <w:jc w:val="center"/>
        <w:outlineLvl w:val="0"/>
        <w:rPr>
          <w:rFonts w:ascii="Arial" w:eastAsia="Times New Roman" w:hAnsi="Arial" w:cs="Arial"/>
          <w:b/>
          <w:sz w:val="34"/>
          <w:szCs w:val="34"/>
        </w:rPr>
      </w:pPr>
      <w:r w:rsidRPr="006E519A">
        <w:rPr>
          <w:rFonts w:ascii="Arial" w:eastAsia="Times New Roman" w:hAnsi="Arial" w:cs="Arial"/>
          <w:b/>
          <w:sz w:val="34"/>
          <w:szCs w:val="34"/>
        </w:rPr>
        <w:t xml:space="preserve">EVALUATING SELECT RECOMMENDATIONS FROM THE </w:t>
      </w:r>
    </w:p>
    <w:p w14:paraId="7C4C3C34" w14:textId="77777777" w:rsidR="002F2AF9" w:rsidRPr="006E519A" w:rsidRDefault="003E07C5" w:rsidP="006E519A">
      <w:pPr>
        <w:tabs>
          <w:tab w:val="center" w:pos="4680"/>
          <w:tab w:val="left" w:pos="8670"/>
        </w:tabs>
        <w:spacing w:after="0" w:line="240" w:lineRule="auto"/>
        <w:jc w:val="center"/>
        <w:outlineLvl w:val="0"/>
        <w:rPr>
          <w:rFonts w:ascii="Arial" w:eastAsia="Times New Roman" w:hAnsi="Arial" w:cs="Arial"/>
          <w:b/>
          <w:sz w:val="34"/>
          <w:szCs w:val="34"/>
        </w:rPr>
      </w:pPr>
      <w:r w:rsidRPr="006E519A">
        <w:rPr>
          <w:rFonts w:ascii="Arial" w:eastAsia="Times New Roman" w:hAnsi="Arial" w:cs="Arial"/>
          <w:b/>
          <w:sz w:val="34"/>
          <w:szCs w:val="34"/>
        </w:rPr>
        <w:t xml:space="preserve">2014 FOCUSED MANAGEMENT </w:t>
      </w:r>
      <w:r w:rsidR="00636A64">
        <w:rPr>
          <w:rFonts w:ascii="Arial" w:eastAsia="Times New Roman" w:hAnsi="Arial" w:cs="Arial"/>
          <w:b/>
          <w:sz w:val="34"/>
          <w:szCs w:val="34"/>
        </w:rPr>
        <w:t>&amp;</w:t>
      </w:r>
      <w:r w:rsidR="00636A64" w:rsidRPr="006E519A">
        <w:rPr>
          <w:rFonts w:ascii="Arial" w:eastAsia="Times New Roman" w:hAnsi="Arial" w:cs="Arial"/>
          <w:b/>
          <w:sz w:val="34"/>
          <w:szCs w:val="34"/>
        </w:rPr>
        <w:t xml:space="preserve"> </w:t>
      </w:r>
      <w:r w:rsidRPr="006E519A">
        <w:rPr>
          <w:rFonts w:ascii="Arial" w:eastAsia="Times New Roman" w:hAnsi="Arial" w:cs="Arial"/>
          <w:b/>
          <w:sz w:val="34"/>
          <w:szCs w:val="34"/>
        </w:rPr>
        <w:t>OPERATIONS</w:t>
      </w:r>
      <w:r w:rsidR="009755D7">
        <w:rPr>
          <w:rFonts w:ascii="Arial" w:eastAsia="Times New Roman" w:hAnsi="Arial" w:cs="Arial"/>
          <w:b/>
          <w:sz w:val="34"/>
          <w:szCs w:val="34"/>
        </w:rPr>
        <w:t xml:space="preserve"> </w:t>
      </w:r>
      <w:r w:rsidRPr="006E519A">
        <w:rPr>
          <w:rFonts w:ascii="Arial" w:eastAsia="Times New Roman" w:hAnsi="Arial" w:cs="Arial"/>
          <w:b/>
          <w:sz w:val="34"/>
          <w:szCs w:val="34"/>
        </w:rPr>
        <w:t>AUDIT</w:t>
      </w:r>
    </w:p>
    <w:p w14:paraId="13AE89E9" w14:textId="77777777" w:rsidR="002F2AF9" w:rsidRPr="00A56F02" w:rsidRDefault="002F2AF9" w:rsidP="002F2AF9">
      <w:pPr>
        <w:spacing w:after="0" w:line="240" w:lineRule="auto"/>
        <w:jc w:val="center"/>
        <w:rPr>
          <w:rFonts w:ascii="Arial" w:eastAsia="Times New Roman" w:hAnsi="Arial" w:cs="Arial"/>
          <w:b/>
          <w:sz w:val="32"/>
          <w:szCs w:val="32"/>
        </w:rPr>
      </w:pPr>
    </w:p>
    <w:p w14:paraId="29ED5C3B" w14:textId="77777777" w:rsidR="00205C48" w:rsidRPr="00A56F02" w:rsidRDefault="00205C48" w:rsidP="00205C48">
      <w:pPr>
        <w:spacing w:after="0" w:line="240" w:lineRule="auto"/>
        <w:rPr>
          <w:rFonts w:ascii="Arial" w:eastAsia="Calibri" w:hAnsi="Arial" w:cs="Arial"/>
          <w:b/>
          <w:sz w:val="28"/>
          <w:szCs w:val="28"/>
        </w:rPr>
      </w:pPr>
    </w:p>
    <w:p w14:paraId="11F7F9D6" w14:textId="77777777" w:rsidR="002071D7" w:rsidRDefault="002071D7" w:rsidP="00205C48">
      <w:pPr>
        <w:spacing w:after="0" w:line="240" w:lineRule="auto"/>
        <w:jc w:val="center"/>
        <w:rPr>
          <w:rFonts w:ascii="Arial" w:eastAsia="Calibri" w:hAnsi="Arial" w:cs="Arial"/>
          <w:b/>
          <w:sz w:val="26"/>
          <w:szCs w:val="26"/>
        </w:rPr>
      </w:pPr>
    </w:p>
    <w:p w14:paraId="71383545" w14:textId="77777777" w:rsidR="002071D7" w:rsidRDefault="002071D7" w:rsidP="00205C48">
      <w:pPr>
        <w:spacing w:after="0" w:line="240" w:lineRule="auto"/>
        <w:jc w:val="center"/>
        <w:rPr>
          <w:rFonts w:ascii="Arial" w:eastAsia="Calibri" w:hAnsi="Arial" w:cs="Arial"/>
          <w:b/>
          <w:sz w:val="26"/>
          <w:szCs w:val="26"/>
        </w:rPr>
      </w:pPr>
    </w:p>
    <w:p w14:paraId="1460908E" w14:textId="77777777" w:rsidR="002071D7" w:rsidRDefault="002071D7" w:rsidP="00205C48">
      <w:pPr>
        <w:spacing w:after="0" w:line="240" w:lineRule="auto"/>
        <w:jc w:val="center"/>
        <w:rPr>
          <w:rFonts w:ascii="Arial" w:eastAsia="Calibri" w:hAnsi="Arial" w:cs="Arial"/>
          <w:b/>
          <w:sz w:val="26"/>
          <w:szCs w:val="26"/>
        </w:rPr>
      </w:pPr>
    </w:p>
    <w:p w14:paraId="57964E0F" w14:textId="77777777" w:rsidR="002071D7" w:rsidRDefault="002071D7" w:rsidP="00205C48">
      <w:pPr>
        <w:spacing w:after="0" w:line="240" w:lineRule="auto"/>
        <w:jc w:val="center"/>
        <w:rPr>
          <w:rFonts w:ascii="Arial" w:eastAsia="Calibri" w:hAnsi="Arial" w:cs="Arial"/>
          <w:b/>
          <w:sz w:val="26"/>
          <w:szCs w:val="26"/>
        </w:rPr>
      </w:pPr>
    </w:p>
    <w:p w14:paraId="3C3D7150" w14:textId="77777777" w:rsidR="002071D7" w:rsidRDefault="002071D7" w:rsidP="00205C48">
      <w:pPr>
        <w:spacing w:after="0" w:line="240" w:lineRule="auto"/>
        <w:jc w:val="center"/>
        <w:rPr>
          <w:rFonts w:ascii="Arial" w:eastAsia="Calibri" w:hAnsi="Arial" w:cs="Arial"/>
          <w:b/>
          <w:sz w:val="26"/>
          <w:szCs w:val="26"/>
        </w:rPr>
      </w:pPr>
    </w:p>
    <w:p w14:paraId="1C30D811" w14:textId="77777777" w:rsidR="002F2AF9" w:rsidRPr="00AC73FC" w:rsidRDefault="002F2AF9" w:rsidP="00205C48">
      <w:pPr>
        <w:spacing w:after="0" w:line="240" w:lineRule="auto"/>
        <w:jc w:val="center"/>
        <w:rPr>
          <w:rFonts w:ascii="Arial" w:eastAsia="Calibri" w:hAnsi="Arial" w:cs="Arial"/>
          <w:b/>
          <w:sz w:val="26"/>
          <w:szCs w:val="26"/>
        </w:rPr>
      </w:pPr>
    </w:p>
    <w:p w14:paraId="18DDBB07" w14:textId="77777777" w:rsidR="002F2AF9" w:rsidRPr="00AC73FC" w:rsidRDefault="002071D7" w:rsidP="002F2AF9">
      <w:pPr>
        <w:spacing w:after="0" w:line="240" w:lineRule="auto"/>
        <w:jc w:val="center"/>
        <w:rPr>
          <w:rFonts w:ascii="Arial" w:eastAsia="Calibri" w:hAnsi="Arial" w:cs="Arial"/>
          <w:b/>
          <w:sz w:val="26"/>
          <w:szCs w:val="26"/>
        </w:rPr>
      </w:pPr>
      <w:r w:rsidRPr="002071D7">
        <w:rPr>
          <w:rFonts w:ascii="Arial" w:eastAsia="Calibri" w:hAnsi="Arial" w:cs="Arial"/>
          <w:b/>
          <w:sz w:val="26"/>
          <w:szCs w:val="26"/>
        </w:rPr>
        <w:t xml:space="preserve">Pennsylvania </w:t>
      </w:r>
      <w:r>
        <w:rPr>
          <w:rFonts w:ascii="Arial" w:eastAsia="Calibri" w:hAnsi="Arial" w:cs="Arial"/>
          <w:b/>
          <w:sz w:val="26"/>
          <w:szCs w:val="26"/>
        </w:rPr>
        <w:t>P</w:t>
      </w:r>
      <w:r w:rsidRPr="002071D7">
        <w:rPr>
          <w:rFonts w:ascii="Arial" w:eastAsia="Calibri" w:hAnsi="Arial" w:cs="Arial"/>
          <w:b/>
          <w:sz w:val="26"/>
          <w:szCs w:val="26"/>
        </w:rPr>
        <w:t xml:space="preserve">ublic </w:t>
      </w:r>
      <w:r>
        <w:rPr>
          <w:rFonts w:ascii="Arial" w:eastAsia="Calibri" w:hAnsi="Arial" w:cs="Arial"/>
          <w:b/>
          <w:sz w:val="26"/>
          <w:szCs w:val="26"/>
        </w:rPr>
        <w:t>U</w:t>
      </w:r>
      <w:r w:rsidRPr="002071D7">
        <w:rPr>
          <w:rFonts w:ascii="Arial" w:eastAsia="Calibri" w:hAnsi="Arial" w:cs="Arial"/>
          <w:b/>
          <w:sz w:val="26"/>
          <w:szCs w:val="26"/>
        </w:rPr>
        <w:t xml:space="preserve">tility </w:t>
      </w:r>
      <w:r>
        <w:rPr>
          <w:rFonts w:ascii="Arial" w:eastAsia="Calibri" w:hAnsi="Arial" w:cs="Arial"/>
          <w:b/>
          <w:sz w:val="26"/>
          <w:szCs w:val="26"/>
        </w:rPr>
        <w:t>C</w:t>
      </w:r>
      <w:r w:rsidRPr="002071D7">
        <w:rPr>
          <w:rFonts w:ascii="Arial" w:eastAsia="Calibri" w:hAnsi="Arial" w:cs="Arial"/>
          <w:b/>
          <w:sz w:val="26"/>
          <w:szCs w:val="26"/>
        </w:rPr>
        <w:t>ommission</w:t>
      </w:r>
    </w:p>
    <w:p w14:paraId="0D5CAD86" w14:textId="77777777" w:rsidR="002F2AF9" w:rsidRPr="00AC73FC" w:rsidRDefault="002071D7" w:rsidP="002F2AF9">
      <w:pPr>
        <w:spacing w:after="0" w:line="240" w:lineRule="auto"/>
        <w:jc w:val="center"/>
        <w:rPr>
          <w:rFonts w:ascii="Arial" w:eastAsia="Calibri" w:hAnsi="Arial" w:cs="Arial"/>
          <w:b/>
          <w:sz w:val="26"/>
          <w:szCs w:val="26"/>
        </w:rPr>
      </w:pPr>
      <w:r w:rsidRPr="002071D7">
        <w:rPr>
          <w:rFonts w:ascii="Arial" w:eastAsia="Calibri" w:hAnsi="Arial" w:cs="Arial"/>
          <w:b/>
          <w:sz w:val="26"/>
          <w:szCs w:val="26"/>
        </w:rPr>
        <w:t xml:space="preserve">Bureau of </w:t>
      </w:r>
      <w:r>
        <w:rPr>
          <w:rFonts w:ascii="Arial" w:eastAsia="Calibri" w:hAnsi="Arial" w:cs="Arial"/>
          <w:b/>
          <w:sz w:val="26"/>
          <w:szCs w:val="26"/>
        </w:rPr>
        <w:t>A</w:t>
      </w:r>
      <w:r w:rsidRPr="002071D7">
        <w:rPr>
          <w:rFonts w:ascii="Arial" w:eastAsia="Calibri" w:hAnsi="Arial" w:cs="Arial"/>
          <w:b/>
          <w:sz w:val="26"/>
          <w:szCs w:val="26"/>
        </w:rPr>
        <w:t>udits</w:t>
      </w:r>
    </w:p>
    <w:p w14:paraId="3779A713" w14:textId="05E7FD16" w:rsidR="002F2AF9" w:rsidRPr="00AC73FC" w:rsidRDefault="002071D7" w:rsidP="002F2AF9">
      <w:pPr>
        <w:spacing w:after="0" w:line="240" w:lineRule="auto"/>
        <w:jc w:val="center"/>
        <w:rPr>
          <w:rFonts w:ascii="Arial" w:eastAsia="Calibri" w:hAnsi="Arial" w:cs="Arial"/>
          <w:b/>
          <w:sz w:val="26"/>
          <w:szCs w:val="26"/>
        </w:rPr>
      </w:pPr>
      <w:r w:rsidRPr="002071D7">
        <w:rPr>
          <w:rFonts w:ascii="Arial" w:eastAsia="Calibri" w:hAnsi="Arial" w:cs="Arial"/>
          <w:b/>
          <w:sz w:val="26"/>
          <w:szCs w:val="26"/>
        </w:rPr>
        <w:t xml:space="preserve">Issued </w:t>
      </w:r>
      <w:r w:rsidR="006D3B6C">
        <w:rPr>
          <w:rFonts w:ascii="Arial" w:eastAsia="Calibri" w:hAnsi="Arial" w:cs="Arial"/>
          <w:b/>
          <w:sz w:val="26"/>
          <w:szCs w:val="26"/>
        </w:rPr>
        <w:t>September</w:t>
      </w:r>
      <w:r w:rsidR="00991E7D">
        <w:rPr>
          <w:rFonts w:ascii="Arial" w:eastAsia="Calibri" w:hAnsi="Arial" w:cs="Arial"/>
          <w:b/>
          <w:sz w:val="26"/>
          <w:szCs w:val="26"/>
        </w:rPr>
        <w:t xml:space="preserve"> </w:t>
      </w:r>
      <w:r w:rsidR="00205C48" w:rsidRPr="00AC73FC">
        <w:rPr>
          <w:rFonts w:ascii="Arial" w:eastAsia="Calibri" w:hAnsi="Arial" w:cs="Arial"/>
          <w:b/>
          <w:sz w:val="26"/>
          <w:szCs w:val="26"/>
        </w:rPr>
        <w:t>2018</w:t>
      </w:r>
    </w:p>
    <w:p w14:paraId="510B62FC" w14:textId="6C8D5A5A" w:rsidR="002F2AF9" w:rsidRDefault="002F2AF9" w:rsidP="002F2AF9">
      <w:pPr>
        <w:spacing w:after="0" w:line="240" w:lineRule="auto"/>
        <w:jc w:val="center"/>
        <w:rPr>
          <w:rFonts w:ascii="Arial" w:eastAsia="Calibri" w:hAnsi="Arial" w:cs="Arial"/>
          <w:b/>
          <w:sz w:val="28"/>
          <w:szCs w:val="28"/>
        </w:rPr>
      </w:pPr>
    </w:p>
    <w:p w14:paraId="05D0120E" w14:textId="1A51512B" w:rsidR="00BF5933" w:rsidRDefault="00BF5933" w:rsidP="002F2AF9">
      <w:pPr>
        <w:spacing w:after="0" w:line="240" w:lineRule="auto"/>
        <w:jc w:val="center"/>
        <w:rPr>
          <w:rFonts w:ascii="Arial" w:eastAsia="Calibri" w:hAnsi="Arial" w:cs="Arial"/>
          <w:b/>
          <w:sz w:val="28"/>
          <w:szCs w:val="28"/>
        </w:rPr>
      </w:pPr>
    </w:p>
    <w:p w14:paraId="3CA3AD4C" w14:textId="6E3C0BCE" w:rsidR="00BF5933" w:rsidRDefault="00BF5933" w:rsidP="002F2AF9">
      <w:pPr>
        <w:spacing w:after="0" w:line="240" w:lineRule="auto"/>
        <w:jc w:val="center"/>
        <w:rPr>
          <w:rFonts w:ascii="Arial" w:eastAsia="Calibri" w:hAnsi="Arial" w:cs="Arial"/>
          <w:b/>
          <w:sz w:val="28"/>
          <w:szCs w:val="28"/>
        </w:rPr>
      </w:pPr>
    </w:p>
    <w:p w14:paraId="109DDDD1" w14:textId="135357B2" w:rsidR="00BF5933" w:rsidRDefault="00BF5933" w:rsidP="002F2AF9">
      <w:pPr>
        <w:spacing w:after="0" w:line="240" w:lineRule="auto"/>
        <w:jc w:val="center"/>
        <w:rPr>
          <w:rFonts w:ascii="Arial" w:eastAsia="Calibri" w:hAnsi="Arial" w:cs="Arial"/>
          <w:b/>
          <w:sz w:val="28"/>
          <w:szCs w:val="28"/>
        </w:rPr>
      </w:pPr>
    </w:p>
    <w:p w14:paraId="7F58070D" w14:textId="6F13712F" w:rsidR="00BF5933" w:rsidRDefault="00BF5933" w:rsidP="002F2AF9">
      <w:pPr>
        <w:spacing w:after="0" w:line="240" w:lineRule="auto"/>
        <w:jc w:val="center"/>
        <w:rPr>
          <w:rFonts w:ascii="Arial" w:eastAsia="Calibri" w:hAnsi="Arial" w:cs="Arial"/>
          <w:b/>
          <w:sz w:val="28"/>
          <w:szCs w:val="28"/>
        </w:rPr>
      </w:pPr>
    </w:p>
    <w:p w14:paraId="57EA14D4" w14:textId="4A2DF37D" w:rsidR="00BF5933" w:rsidRDefault="00BF5933" w:rsidP="002F2AF9">
      <w:pPr>
        <w:spacing w:after="0" w:line="240" w:lineRule="auto"/>
        <w:jc w:val="center"/>
        <w:rPr>
          <w:rFonts w:ascii="Arial" w:eastAsia="Calibri" w:hAnsi="Arial" w:cs="Arial"/>
          <w:b/>
          <w:sz w:val="28"/>
          <w:szCs w:val="28"/>
        </w:rPr>
      </w:pPr>
    </w:p>
    <w:p w14:paraId="5FE2E085" w14:textId="1DCC2D8D" w:rsidR="00BF5933" w:rsidRDefault="00BF5933" w:rsidP="002F2AF9">
      <w:pPr>
        <w:spacing w:after="0" w:line="240" w:lineRule="auto"/>
        <w:jc w:val="center"/>
        <w:rPr>
          <w:rFonts w:ascii="Arial" w:eastAsia="Calibri" w:hAnsi="Arial" w:cs="Arial"/>
          <w:b/>
          <w:sz w:val="28"/>
          <w:szCs w:val="28"/>
        </w:rPr>
      </w:pPr>
    </w:p>
    <w:p w14:paraId="03D74606" w14:textId="77777777" w:rsidR="00BF5933" w:rsidRDefault="00BF5933" w:rsidP="00BF5933">
      <w:pPr>
        <w:spacing w:after="0" w:line="240" w:lineRule="auto"/>
        <w:jc w:val="center"/>
        <w:rPr>
          <w:rFonts w:ascii="Arial" w:eastAsia="Calibri" w:hAnsi="Arial" w:cs="Arial"/>
          <w:b/>
          <w:sz w:val="24"/>
          <w:szCs w:val="24"/>
        </w:rPr>
      </w:pPr>
    </w:p>
    <w:p w14:paraId="701C53FB" w14:textId="77777777" w:rsidR="00BF5933" w:rsidRDefault="00BF5933" w:rsidP="00BF5933">
      <w:pPr>
        <w:spacing w:after="0" w:line="240" w:lineRule="auto"/>
        <w:jc w:val="center"/>
        <w:rPr>
          <w:rFonts w:ascii="Arial" w:eastAsia="Calibri" w:hAnsi="Arial" w:cs="Arial"/>
          <w:b/>
          <w:sz w:val="24"/>
          <w:szCs w:val="24"/>
        </w:rPr>
      </w:pPr>
    </w:p>
    <w:p w14:paraId="034B128C" w14:textId="77777777" w:rsidR="00BF5933" w:rsidRDefault="00BF5933" w:rsidP="00BF5933">
      <w:pPr>
        <w:spacing w:after="0" w:line="240" w:lineRule="auto"/>
        <w:jc w:val="center"/>
        <w:rPr>
          <w:rFonts w:ascii="Arial" w:eastAsia="Calibri" w:hAnsi="Arial" w:cs="Arial"/>
          <w:b/>
          <w:sz w:val="24"/>
          <w:szCs w:val="24"/>
        </w:rPr>
      </w:pPr>
    </w:p>
    <w:p w14:paraId="3CFC4EE4" w14:textId="700B79C3" w:rsidR="00BF5933" w:rsidRPr="00BF5933" w:rsidRDefault="00BF5933" w:rsidP="00BF5933">
      <w:pPr>
        <w:spacing w:after="0" w:line="240" w:lineRule="auto"/>
        <w:jc w:val="center"/>
        <w:rPr>
          <w:rFonts w:ascii="Arial" w:eastAsia="Calibri" w:hAnsi="Arial" w:cs="Arial"/>
          <w:b/>
          <w:sz w:val="24"/>
          <w:szCs w:val="24"/>
        </w:rPr>
      </w:pPr>
      <w:r w:rsidRPr="00BF5933">
        <w:rPr>
          <w:rFonts w:ascii="Arial" w:eastAsia="Calibri" w:hAnsi="Arial" w:cs="Arial"/>
          <w:b/>
          <w:sz w:val="24"/>
          <w:szCs w:val="24"/>
        </w:rPr>
        <w:t>Docket Nos. D-2017-2626664, D-2017-2626665, D-2017-2626666, D-2017-2626667</w:t>
      </w:r>
    </w:p>
    <w:p w14:paraId="29F96167" w14:textId="77777777" w:rsidR="00050AD0" w:rsidRDefault="00050AD0" w:rsidP="00205C48">
      <w:pPr>
        <w:spacing w:after="0" w:line="240" w:lineRule="auto"/>
        <w:jc w:val="center"/>
        <w:rPr>
          <w:rFonts w:ascii="Arial" w:eastAsia="Calibri" w:hAnsi="Arial" w:cs="Arial"/>
          <w:b/>
          <w:sz w:val="24"/>
          <w:szCs w:val="24"/>
        </w:rPr>
        <w:sectPr w:rsidR="00050AD0" w:rsidSect="00C71E9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720" w:footer="720" w:gutter="0"/>
          <w:pgNumType w:fmt="lowerRoman"/>
          <w:cols w:space="720"/>
          <w:titlePg/>
          <w:docGrid w:linePitch="360"/>
        </w:sectPr>
      </w:pPr>
    </w:p>
    <w:p w14:paraId="605E3D9E" w14:textId="77777777" w:rsidR="002F2AF9" w:rsidRPr="006E519A" w:rsidRDefault="002F2AF9" w:rsidP="00DB7ED6">
      <w:pPr>
        <w:spacing w:after="0" w:line="240" w:lineRule="auto"/>
        <w:jc w:val="center"/>
        <w:rPr>
          <w:rFonts w:ascii="Arial" w:eastAsia="Calibri" w:hAnsi="Arial" w:cs="Arial"/>
          <w:b/>
          <w:sz w:val="26"/>
          <w:szCs w:val="26"/>
          <w:u w:val="single"/>
        </w:rPr>
      </w:pPr>
      <w:r w:rsidRPr="006E519A">
        <w:rPr>
          <w:rFonts w:ascii="Arial" w:eastAsia="Calibri" w:hAnsi="Arial" w:cs="Arial"/>
          <w:b/>
          <w:sz w:val="26"/>
          <w:szCs w:val="26"/>
          <w:u w:val="single"/>
        </w:rPr>
        <w:lastRenderedPageBreak/>
        <w:t>TABLE OF CONTENTS</w:t>
      </w:r>
    </w:p>
    <w:p w14:paraId="1A6EBE67" w14:textId="77777777" w:rsidR="002F2AF9" w:rsidRPr="006F27F8" w:rsidRDefault="002F2AF9" w:rsidP="00DB7ED6">
      <w:pPr>
        <w:spacing w:after="0" w:line="240" w:lineRule="auto"/>
        <w:jc w:val="center"/>
        <w:rPr>
          <w:rFonts w:ascii="Arial" w:eastAsia="Calibri" w:hAnsi="Arial" w:cs="Arial"/>
          <w:b/>
        </w:rPr>
      </w:pPr>
    </w:p>
    <w:tbl>
      <w:tblPr>
        <w:tblW w:w="9396" w:type="dxa"/>
        <w:tblLayout w:type="fixed"/>
        <w:tblLook w:val="01E0" w:firstRow="1" w:lastRow="1" w:firstColumn="1" w:lastColumn="1" w:noHBand="0" w:noVBand="0"/>
      </w:tblPr>
      <w:tblGrid>
        <w:gridCol w:w="1188"/>
        <w:gridCol w:w="7308"/>
        <w:gridCol w:w="664"/>
        <w:gridCol w:w="236"/>
      </w:tblGrid>
      <w:tr w:rsidR="002F2AF9" w:rsidRPr="006F27F8" w14:paraId="0079BC3E" w14:textId="77777777" w:rsidTr="00AC73FC">
        <w:tc>
          <w:tcPr>
            <w:tcW w:w="1188" w:type="dxa"/>
          </w:tcPr>
          <w:p w14:paraId="258B2D64" w14:textId="77777777" w:rsidR="002F2AF9" w:rsidRPr="006F27F8" w:rsidRDefault="002F2AF9" w:rsidP="00DB7ED6">
            <w:pPr>
              <w:spacing w:after="0" w:line="240" w:lineRule="auto"/>
              <w:jc w:val="center"/>
              <w:rPr>
                <w:rFonts w:ascii="Arial" w:eastAsia="Calibri" w:hAnsi="Arial" w:cs="Arial"/>
                <w:b/>
                <w:sz w:val="24"/>
                <w:szCs w:val="24"/>
                <w:u w:val="single"/>
              </w:rPr>
            </w:pPr>
            <w:r w:rsidRPr="006F27F8">
              <w:rPr>
                <w:rFonts w:ascii="Arial" w:eastAsia="Calibri" w:hAnsi="Arial" w:cs="Arial"/>
                <w:b/>
                <w:sz w:val="24"/>
                <w:szCs w:val="24"/>
                <w:u w:val="single"/>
              </w:rPr>
              <w:t>Chapter</w:t>
            </w:r>
          </w:p>
        </w:tc>
        <w:tc>
          <w:tcPr>
            <w:tcW w:w="7308" w:type="dxa"/>
          </w:tcPr>
          <w:p w14:paraId="6759231A" w14:textId="77777777" w:rsidR="002F2AF9" w:rsidRPr="006F27F8" w:rsidRDefault="002F2AF9" w:rsidP="00DB7ED6">
            <w:pPr>
              <w:spacing w:after="0" w:line="240" w:lineRule="auto"/>
              <w:jc w:val="center"/>
              <w:rPr>
                <w:rFonts w:ascii="Arial" w:eastAsia="Calibri" w:hAnsi="Arial" w:cs="Arial"/>
              </w:rPr>
            </w:pPr>
          </w:p>
        </w:tc>
        <w:tc>
          <w:tcPr>
            <w:tcW w:w="900" w:type="dxa"/>
            <w:gridSpan w:val="2"/>
          </w:tcPr>
          <w:p w14:paraId="61A48B1D" w14:textId="77777777" w:rsidR="002F2AF9" w:rsidRPr="006F27F8" w:rsidRDefault="002F2AF9" w:rsidP="00DB7ED6">
            <w:pPr>
              <w:spacing w:after="0" w:line="240" w:lineRule="auto"/>
              <w:jc w:val="center"/>
              <w:rPr>
                <w:rFonts w:ascii="Arial" w:eastAsia="Calibri" w:hAnsi="Arial" w:cs="Arial"/>
                <w:sz w:val="24"/>
                <w:szCs w:val="24"/>
              </w:rPr>
            </w:pPr>
            <w:r w:rsidRPr="006F27F8">
              <w:rPr>
                <w:rFonts w:ascii="Arial" w:eastAsia="Calibri" w:hAnsi="Arial" w:cs="Arial"/>
                <w:b/>
                <w:sz w:val="24"/>
                <w:szCs w:val="24"/>
                <w:u w:val="single"/>
              </w:rPr>
              <w:t>Page</w:t>
            </w:r>
          </w:p>
        </w:tc>
      </w:tr>
      <w:tr w:rsidR="002F2AF9" w:rsidRPr="006F27F8" w14:paraId="18DD86CB" w14:textId="77777777" w:rsidTr="00AC73FC">
        <w:tc>
          <w:tcPr>
            <w:tcW w:w="1188" w:type="dxa"/>
          </w:tcPr>
          <w:p w14:paraId="59374ECB" w14:textId="77777777" w:rsidR="002F2AF9" w:rsidRPr="006F27F8" w:rsidRDefault="002F2AF9" w:rsidP="00DB7ED6">
            <w:pPr>
              <w:spacing w:after="0" w:line="240" w:lineRule="auto"/>
              <w:jc w:val="center"/>
              <w:rPr>
                <w:rFonts w:ascii="Arial" w:eastAsia="Calibri" w:hAnsi="Arial" w:cs="Arial"/>
              </w:rPr>
            </w:pPr>
          </w:p>
        </w:tc>
        <w:tc>
          <w:tcPr>
            <w:tcW w:w="7308" w:type="dxa"/>
          </w:tcPr>
          <w:p w14:paraId="39D6AB66" w14:textId="77777777" w:rsidR="002F2AF9" w:rsidRPr="006F27F8" w:rsidRDefault="002F2AF9" w:rsidP="00DB7ED6">
            <w:pPr>
              <w:spacing w:after="0" w:line="240" w:lineRule="auto"/>
              <w:jc w:val="center"/>
              <w:rPr>
                <w:rFonts w:ascii="Arial" w:eastAsia="Calibri" w:hAnsi="Arial" w:cs="Arial"/>
              </w:rPr>
            </w:pPr>
          </w:p>
        </w:tc>
        <w:tc>
          <w:tcPr>
            <w:tcW w:w="900" w:type="dxa"/>
            <w:gridSpan w:val="2"/>
          </w:tcPr>
          <w:p w14:paraId="7B7A2B56" w14:textId="77777777" w:rsidR="002F2AF9" w:rsidRPr="006F27F8" w:rsidRDefault="002F2AF9" w:rsidP="00DB7ED6">
            <w:pPr>
              <w:spacing w:after="0" w:line="240" w:lineRule="auto"/>
              <w:jc w:val="center"/>
              <w:rPr>
                <w:rFonts w:ascii="Arial" w:eastAsia="Calibri" w:hAnsi="Arial" w:cs="Arial"/>
              </w:rPr>
            </w:pPr>
          </w:p>
        </w:tc>
      </w:tr>
      <w:tr w:rsidR="002F2AF9" w:rsidRPr="006F27F8" w14:paraId="1784505C" w14:textId="77777777" w:rsidTr="00AC73FC">
        <w:tc>
          <w:tcPr>
            <w:tcW w:w="1188" w:type="dxa"/>
          </w:tcPr>
          <w:p w14:paraId="0588D9AA" w14:textId="77777777" w:rsidR="002F2AF9" w:rsidRPr="006F27F8" w:rsidRDefault="002F2AF9" w:rsidP="00DB7ED6">
            <w:pPr>
              <w:spacing w:after="0" w:line="240" w:lineRule="auto"/>
              <w:jc w:val="center"/>
              <w:rPr>
                <w:rFonts w:ascii="Arial" w:eastAsia="Calibri" w:hAnsi="Arial" w:cs="Arial"/>
                <w:sz w:val="24"/>
                <w:szCs w:val="24"/>
              </w:rPr>
            </w:pPr>
            <w:r w:rsidRPr="006F27F8">
              <w:rPr>
                <w:rFonts w:ascii="Arial" w:eastAsia="Calibri" w:hAnsi="Arial" w:cs="Arial"/>
                <w:sz w:val="24"/>
                <w:szCs w:val="24"/>
              </w:rPr>
              <w:t>I</w:t>
            </w:r>
            <w:r w:rsidR="002071D7">
              <w:rPr>
                <w:rFonts w:ascii="Arial" w:eastAsia="Calibri" w:hAnsi="Arial" w:cs="Arial"/>
                <w:sz w:val="24"/>
                <w:szCs w:val="24"/>
              </w:rPr>
              <w:t>.</w:t>
            </w:r>
          </w:p>
        </w:tc>
        <w:tc>
          <w:tcPr>
            <w:tcW w:w="7308" w:type="dxa"/>
          </w:tcPr>
          <w:p w14:paraId="6E12FFE9" w14:textId="77777777" w:rsidR="002F2AF9" w:rsidRPr="006F27F8" w:rsidRDefault="002F2AF9" w:rsidP="00DB7ED6">
            <w:pPr>
              <w:spacing w:after="0" w:line="240" w:lineRule="auto"/>
              <w:rPr>
                <w:rFonts w:ascii="Arial" w:eastAsia="Calibri" w:hAnsi="Arial" w:cs="Arial"/>
                <w:sz w:val="24"/>
                <w:szCs w:val="24"/>
              </w:rPr>
            </w:pPr>
            <w:r w:rsidRPr="006F27F8">
              <w:rPr>
                <w:rFonts w:ascii="Arial" w:eastAsia="Calibri" w:hAnsi="Arial" w:cs="Arial"/>
                <w:sz w:val="24"/>
                <w:szCs w:val="24"/>
              </w:rPr>
              <w:t>INTRODUCTION</w:t>
            </w:r>
          </w:p>
        </w:tc>
        <w:tc>
          <w:tcPr>
            <w:tcW w:w="664" w:type="dxa"/>
          </w:tcPr>
          <w:p w14:paraId="69F06D7A" w14:textId="77777777" w:rsidR="002F2AF9" w:rsidRPr="006F27F8" w:rsidRDefault="000F1173" w:rsidP="00DB7ED6">
            <w:pPr>
              <w:spacing w:after="0" w:line="240" w:lineRule="auto"/>
              <w:jc w:val="right"/>
              <w:rPr>
                <w:rFonts w:ascii="Arial" w:eastAsia="Calibri" w:hAnsi="Arial" w:cs="Arial"/>
                <w:sz w:val="24"/>
                <w:szCs w:val="24"/>
              </w:rPr>
            </w:pPr>
            <w:r>
              <w:rPr>
                <w:rFonts w:ascii="Arial" w:eastAsia="Calibri" w:hAnsi="Arial" w:cs="Arial"/>
                <w:sz w:val="24"/>
                <w:szCs w:val="24"/>
              </w:rPr>
              <w:t>1</w:t>
            </w:r>
          </w:p>
        </w:tc>
        <w:tc>
          <w:tcPr>
            <w:tcW w:w="236" w:type="dxa"/>
          </w:tcPr>
          <w:p w14:paraId="47A4C773" w14:textId="77777777" w:rsidR="002F2AF9" w:rsidRPr="006F27F8" w:rsidRDefault="002F2AF9" w:rsidP="00DB7ED6">
            <w:pPr>
              <w:spacing w:after="0" w:line="240" w:lineRule="auto"/>
              <w:jc w:val="center"/>
              <w:rPr>
                <w:rFonts w:ascii="Arial" w:eastAsia="Calibri" w:hAnsi="Arial" w:cs="Arial"/>
                <w:sz w:val="24"/>
                <w:szCs w:val="24"/>
              </w:rPr>
            </w:pPr>
          </w:p>
        </w:tc>
      </w:tr>
      <w:tr w:rsidR="002F2AF9" w:rsidRPr="006F27F8" w14:paraId="4492B8BB" w14:textId="77777777" w:rsidTr="00AC73FC">
        <w:tc>
          <w:tcPr>
            <w:tcW w:w="1188" w:type="dxa"/>
          </w:tcPr>
          <w:p w14:paraId="4A0B9B22" w14:textId="77777777" w:rsidR="002F2AF9" w:rsidRPr="006F27F8" w:rsidRDefault="002F2AF9" w:rsidP="00DB7ED6">
            <w:pPr>
              <w:spacing w:after="0" w:line="240" w:lineRule="auto"/>
              <w:jc w:val="center"/>
              <w:rPr>
                <w:rFonts w:ascii="Arial" w:eastAsia="Calibri" w:hAnsi="Arial" w:cs="Arial"/>
                <w:sz w:val="24"/>
                <w:szCs w:val="24"/>
              </w:rPr>
            </w:pPr>
          </w:p>
        </w:tc>
        <w:tc>
          <w:tcPr>
            <w:tcW w:w="7308" w:type="dxa"/>
          </w:tcPr>
          <w:p w14:paraId="3A4B4CA8" w14:textId="77777777" w:rsidR="002F2AF9" w:rsidRPr="006F27F8" w:rsidRDefault="002F2AF9" w:rsidP="00DB7ED6">
            <w:pPr>
              <w:tabs>
                <w:tab w:val="left" w:pos="282"/>
              </w:tabs>
              <w:spacing w:after="0" w:line="240" w:lineRule="auto"/>
              <w:rPr>
                <w:rFonts w:ascii="Arial" w:eastAsia="Calibri" w:hAnsi="Arial" w:cs="Arial"/>
                <w:sz w:val="24"/>
                <w:szCs w:val="24"/>
              </w:rPr>
            </w:pPr>
            <w:r>
              <w:rPr>
                <w:rFonts w:ascii="Arial" w:eastAsia="Calibri" w:hAnsi="Arial" w:cs="Arial"/>
                <w:sz w:val="24"/>
                <w:szCs w:val="24"/>
              </w:rPr>
              <w:tab/>
              <w:t>A.  Background</w:t>
            </w:r>
          </w:p>
        </w:tc>
        <w:tc>
          <w:tcPr>
            <w:tcW w:w="664" w:type="dxa"/>
          </w:tcPr>
          <w:p w14:paraId="75C892AF" w14:textId="77777777" w:rsidR="002F2AF9" w:rsidRPr="006F27F8" w:rsidRDefault="000F1173" w:rsidP="00DB7ED6">
            <w:pPr>
              <w:spacing w:after="0" w:line="240" w:lineRule="auto"/>
              <w:jc w:val="right"/>
              <w:rPr>
                <w:rFonts w:ascii="Arial" w:eastAsia="Calibri" w:hAnsi="Arial" w:cs="Arial"/>
                <w:sz w:val="24"/>
                <w:szCs w:val="24"/>
              </w:rPr>
            </w:pPr>
            <w:r>
              <w:rPr>
                <w:rFonts w:ascii="Arial" w:eastAsia="Calibri" w:hAnsi="Arial" w:cs="Arial"/>
                <w:sz w:val="24"/>
                <w:szCs w:val="24"/>
              </w:rPr>
              <w:t>1</w:t>
            </w:r>
          </w:p>
        </w:tc>
        <w:tc>
          <w:tcPr>
            <w:tcW w:w="236" w:type="dxa"/>
          </w:tcPr>
          <w:p w14:paraId="2AB0329F" w14:textId="77777777" w:rsidR="002F2AF9" w:rsidRPr="006F27F8" w:rsidRDefault="002F2AF9" w:rsidP="00DB7ED6">
            <w:pPr>
              <w:spacing w:after="0" w:line="240" w:lineRule="auto"/>
              <w:jc w:val="center"/>
              <w:rPr>
                <w:rFonts w:ascii="Arial" w:eastAsia="Calibri" w:hAnsi="Arial" w:cs="Arial"/>
                <w:sz w:val="24"/>
                <w:szCs w:val="24"/>
              </w:rPr>
            </w:pPr>
          </w:p>
        </w:tc>
      </w:tr>
      <w:tr w:rsidR="002F2AF9" w:rsidRPr="006F27F8" w14:paraId="4FBAF920" w14:textId="77777777" w:rsidTr="00AC73FC">
        <w:tc>
          <w:tcPr>
            <w:tcW w:w="1188" w:type="dxa"/>
          </w:tcPr>
          <w:p w14:paraId="4BC5B5E6" w14:textId="77777777" w:rsidR="002F2AF9" w:rsidRPr="006F27F8" w:rsidRDefault="002F2AF9" w:rsidP="00DB7ED6">
            <w:pPr>
              <w:spacing w:after="0" w:line="240" w:lineRule="auto"/>
              <w:jc w:val="center"/>
              <w:rPr>
                <w:rFonts w:ascii="Arial" w:eastAsia="Calibri" w:hAnsi="Arial" w:cs="Arial"/>
                <w:sz w:val="24"/>
                <w:szCs w:val="24"/>
              </w:rPr>
            </w:pPr>
          </w:p>
        </w:tc>
        <w:tc>
          <w:tcPr>
            <w:tcW w:w="7308" w:type="dxa"/>
          </w:tcPr>
          <w:p w14:paraId="7AE01BD5" w14:textId="77777777" w:rsidR="002F2AF9" w:rsidRPr="006F27F8" w:rsidRDefault="002F2AF9" w:rsidP="00DB7ED6">
            <w:pPr>
              <w:tabs>
                <w:tab w:val="left" w:pos="282"/>
              </w:tabs>
              <w:spacing w:after="0" w:line="240" w:lineRule="auto"/>
              <w:rPr>
                <w:rFonts w:ascii="Arial" w:eastAsia="Calibri" w:hAnsi="Arial" w:cs="Arial"/>
                <w:sz w:val="24"/>
                <w:szCs w:val="24"/>
              </w:rPr>
            </w:pPr>
            <w:r>
              <w:rPr>
                <w:rFonts w:ascii="Arial" w:eastAsia="Calibri" w:hAnsi="Arial" w:cs="Arial"/>
                <w:sz w:val="24"/>
                <w:szCs w:val="24"/>
              </w:rPr>
              <w:tab/>
              <w:t>B.  Objective &amp; Scope</w:t>
            </w:r>
          </w:p>
        </w:tc>
        <w:tc>
          <w:tcPr>
            <w:tcW w:w="664" w:type="dxa"/>
          </w:tcPr>
          <w:p w14:paraId="0298AE12" w14:textId="77777777" w:rsidR="002F2AF9" w:rsidRPr="006F27F8" w:rsidRDefault="000F1173" w:rsidP="00DB7ED6">
            <w:pPr>
              <w:spacing w:after="0" w:line="240" w:lineRule="auto"/>
              <w:jc w:val="right"/>
              <w:rPr>
                <w:rFonts w:ascii="Arial" w:eastAsia="Calibri" w:hAnsi="Arial" w:cs="Arial"/>
                <w:sz w:val="24"/>
                <w:szCs w:val="24"/>
              </w:rPr>
            </w:pPr>
            <w:r>
              <w:rPr>
                <w:rFonts w:ascii="Arial" w:eastAsia="Calibri" w:hAnsi="Arial" w:cs="Arial"/>
                <w:sz w:val="24"/>
                <w:szCs w:val="24"/>
              </w:rPr>
              <w:t>2</w:t>
            </w:r>
          </w:p>
        </w:tc>
        <w:tc>
          <w:tcPr>
            <w:tcW w:w="236" w:type="dxa"/>
          </w:tcPr>
          <w:p w14:paraId="365AAD66" w14:textId="77777777" w:rsidR="002F2AF9" w:rsidRPr="006F27F8" w:rsidRDefault="002F2AF9" w:rsidP="00DB7ED6">
            <w:pPr>
              <w:spacing w:after="0" w:line="240" w:lineRule="auto"/>
              <w:jc w:val="center"/>
              <w:rPr>
                <w:rFonts w:ascii="Arial" w:eastAsia="Calibri" w:hAnsi="Arial" w:cs="Arial"/>
                <w:sz w:val="24"/>
                <w:szCs w:val="24"/>
              </w:rPr>
            </w:pPr>
          </w:p>
        </w:tc>
      </w:tr>
      <w:tr w:rsidR="002F2AF9" w:rsidRPr="006F27F8" w14:paraId="5539AE7E" w14:textId="77777777" w:rsidTr="00AC73FC">
        <w:tc>
          <w:tcPr>
            <w:tcW w:w="1188" w:type="dxa"/>
          </w:tcPr>
          <w:p w14:paraId="52F40DA7" w14:textId="77777777" w:rsidR="002F2AF9" w:rsidRPr="006F27F8" w:rsidRDefault="002F2AF9" w:rsidP="00DB7ED6">
            <w:pPr>
              <w:spacing w:after="0" w:line="240" w:lineRule="auto"/>
              <w:jc w:val="center"/>
              <w:rPr>
                <w:rFonts w:ascii="Arial" w:eastAsia="Calibri" w:hAnsi="Arial" w:cs="Arial"/>
                <w:sz w:val="24"/>
                <w:szCs w:val="24"/>
              </w:rPr>
            </w:pPr>
          </w:p>
        </w:tc>
        <w:tc>
          <w:tcPr>
            <w:tcW w:w="7308" w:type="dxa"/>
          </w:tcPr>
          <w:p w14:paraId="77BC8F04" w14:textId="77777777" w:rsidR="002F2AF9" w:rsidRPr="006F27F8" w:rsidRDefault="002F2AF9" w:rsidP="00DB7ED6">
            <w:pPr>
              <w:tabs>
                <w:tab w:val="left" w:pos="282"/>
              </w:tabs>
              <w:spacing w:after="0" w:line="240" w:lineRule="auto"/>
              <w:rPr>
                <w:rFonts w:ascii="Arial" w:eastAsia="Calibri" w:hAnsi="Arial" w:cs="Arial"/>
                <w:sz w:val="24"/>
                <w:szCs w:val="24"/>
              </w:rPr>
            </w:pPr>
            <w:r>
              <w:rPr>
                <w:rFonts w:ascii="Arial" w:eastAsia="Calibri" w:hAnsi="Arial" w:cs="Arial"/>
                <w:sz w:val="24"/>
                <w:szCs w:val="24"/>
              </w:rPr>
              <w:tab/>
              <w:t>C.  Approach</w:t>
            </w:r>
          </w:p>
        </w:tc>
        <w:tc>
          <w:tcPr>
            <w:tcW w:w="664" w:type="dxa"/>
          </w:tcPr>
          <w:p w14:paraId="17C77402" w14:textId="77777777" w:rsidR="002F2AF9" w:rsidRPr="006F27F8" w:rsidRDefault="000F1173" w:rsidP="00DB7ED6">
            <w:pPr>
              <w:spacing w:after="0" w:line="240" w:lineRule="auto"/>
              <w:jc w:val="right"/>
              <w:rPr>
                <w:rFonts w:ascii="Arial" w:eastAsia="Calibri" w:hAnsi="Arial" w:cs="Arial"/>
                <w:sz w:val="24"/>
                <w:szCs w:val="24"/>
              </w:rPr>
            </w:pPr>
            <w:r>
              <w:rPr>
                <w:rFonts w:ascii="Arial" w:eastAsia="Calibri" w:hAnsi="Arial" w:cs="Arial"/>
                <w:sz w:val="24"/>
                <w:szCs w:val="24"/>
              </w:rPr>
              <w:t>2</w:t>
            </w:r>
          </w:p>
        </w:tc>
        <w:tc>
          <w:tcPr>
            <w:tcW w:w="236" w:type="dxa"/>
          </w:tcPr>
          <w:p w14:paraId="59BA2566" w14:textId="77777777" w:rsidR="002F2AF9" w:rsidRPr="006F27F8" w:rsidRDefault="002F2AF9" w:rsidP="00DB7ED6">
            <w:pPr>
              <w:spacing w:after="0" w:line="240" w:lineRule="auto"/>
              <w:jc w:val="center"/>
              <w:rPr>
                <w:rFonts w:ascii="Arial" w:eastAsia="Calibri" w:hAnsi="Arial" w:cs="Arial"/>
                <w:sz w:val="24"/>
                <w:szCs w:val="24"/>
              </w:rPr>
            </w:pPr>
          </w:p>
        </w:tc>
      </w:tr>
      <w:tr w:rsidR="002F2AF9" w:rsidRPr="006F27F8" w14:paraId="1CBDB3AB" w14:textId="77777777" w:rsidTr="00AC73FC">
        <w:tc>
          <w:tcPr>
            <w:tcW w:w="1188" w:type="dxa"/>
          </w:tcPr>
          <w:p w14:paraId="20E7FBF4" w14:textId="77777777" w:rsidR="002F2AF9" w:rsidRPr="006F27F8" w:rsidRDefault="002F2AF9" w:rsidP="00DB7ED6">
            <w:pPr>
              <w:spacing w:after="0" w:line="240" w:lineRule="auto"/>
              <w:jc w:val="center"/>
              <w:rPr>
                <w:rFonts w:ascii="Arial" w:eastAsia="Calibri" w:hAnsi="Arial" w:cs="Arial"/>
                <w:sz w:val="24"/>
                <w:szCs w:val="24"/>
              </w:rPr>
            </w:pPr>
          </w:p>
        </w:tc>
        <w:tc>
          <w:tcPr>
            <w:tcW w:w="7308" w:type="dxa"/>
          </w:tcPr>
          <w:p w14:paraId="7EB993DB" w14:textId="77777777" w:rsidR="002F2AF9" w:rsidRPr="006F27F8" w:rsidRDefault="002F2AF9" w:rsidP="00DB7ED6">
            <w:pPr>
              <w:spacing w:after="0" w:line="240" w:lineRule="auto"/>
              <w:rPr>
                <w:rFonts w:ascii="Arial" w:eastAsia="Calibri" w:hAnsi="Arial" w:cs="Arial"/>
                <w:sz w:val="24"/>
                <w:szCs w:val="24"/>
              </w:rPr>
            </w:pPr>
          </w:p>
        </w:tc>
        <w:tc>
          <w:tcPr>
            <w:tcW w:w="664" w:type="dxa"/>
          </w:tcPr>
          <w:p w14:paraId="306A3F0E" w14:textId="77777777" w:rsidR="002F2AF9" w:rsidRPr="006F27F8" w:rsidRDefault="002F2AF9" w:rsidP="00DB7ED6">
            <w:pPr>
              <w:spacing w:after="0" w:line="240" w:lineRule="auto"/>
              <w:jc w:val="right"/>
              <w:rPr>
                <w:rFonts w:ascii="Arial" w:eastAsia="Calibri" w:hAnsi="Arial" w:cs="Arial"/>
                <w:sz w:val="24"/>
                <w:szCs w:val="24"/>
              </w:rPr>
            </w:pPr>
          </w:p>
        </w:tc>
        <w:tc>
          <w:tcPr>
            <w:tcW w:w="236" w:type="dxa"/>
          </w:tcPr>
          <w:p w14:paraId="7701D7B8" w14:textId="77777777" w:rsidR="002F2AF9" w:rsidRPr="006F27F8" w:rsidRDefault="002F2AF9" w:rsidP="00DB7ED6">
            <w:pPr>
              <w:spacing w:after="0" w:line="240" w:lineRule="auto"/>
              <w:jc w:val="center"/>
              <w:rPr>
                <w:rFonts w:ascii="Arial" w:eastAsia="Calibri" w:hAnsi="Arial" w:cs="Arial"/>
                <w:sz w:val="24"/>
                <w:szCs w:val="24"/>
              </w:rPr>
            </w:pPr>
          </w:p>
        </w:tc>
      </w:tr>
      <w:tr w:rsidR="002F2AF9" w:rsidRPr="006F27F8" w14:paraId="33DF98D1" w14:textId="77777777" w:rsidTr="00AC73FC">
        <w:tc>
          <w:tcPr>
            <w:tcW w:w="1188" w:type="dxa"/>
          </w:tcPr>
          <w:p w14:paraId="34A26A7C" w14:textId="77777777" w:rsidR="002F2AF9" w:rsidRPr="006F27F8" w:rsidRDefault="002F2AF9" w:rsidP="00DB7ED6">
            <w:pPr>
              <w:spacing w:after="0" w:line="240" w:lineRule="auto"/>
              <w:jc w:val="center"/>
              <w:rPr>
                <w:rFonts w:ascii="Arial" w:eastAsia="Calibri" w:hAnsi="Arial" w:cs="Arial"/>
                <w:sz w:val="24"/>
                <w:szCs w:val="24"/>
              </w:rPr>
            </w:pPr>
            <w:r w:rsidRPr="006F27F8">
              <w:rPr>
                <w:rFonts w:ascii="Arial" w:eastAsia="Calibri" w:hAnsi="Arial" w:cs="Arial"/>
                <w:sz w:val="24"/>
                <w:szCs w:val="24"/>
              </w:rPr>
              <w:t>II</w:t>
            </w:r>
            <w:r w:rsidR="002071D7">
              <w:rPr>
                <w:rFonts w:ascii="Arial" w:eastAsia="Calibri" w:hAnsi="Arial" w:cs="Arial"/>
                <w:sz w:val="24"/>
                <w:szCs w:val="24"/>
              </w:rPr>
              <w:t>.</w:t>
            </w:r>
          </w:p>
        </w:tc>
        <w:tc>
          <w:tcPr>
            <w:tcW w:w="7308" w:type="dxa"/>
          </w:tcPr>
          <w:p w14:paraId="55DBD5D6" w14:textId="77777777" w:rsidR="002F2AF9" w:rsidRPr="006F27F8" w:rsidRDefault="002F2AF9" w:rsidP="00DB7ED6">
            <w:pPr>
              <w:spacing w:after="0" w:line="240" w:lineRule="auto"/>
              <w:ind w:left="342" w:hanging="342"/>
              <w:rPr>
                <w:rFonts w:ascii="Arial" w:eastAsia="Calibri" w:hAnsi="Arial" w:cs="Arial"/>
                <w:sz w:val="24"/>
                <w:szCs w:val="24"/>
              </w:rPr>
            </w:pPr>
            <w:r>
              <w:rPr>
                <w:rFonts w:ascii="Arial" w:eastAsia="Calibri" w:hAnsi="Arial" w:cs="Arial"/>
                <w:sz w:val="24"/>
                <w:szCs w:val="24"/>
              </w:rPr>
              <w:t>SUMMARY OF MANAGEMENT EFFECTIVENESS AND OPERATIONAL EFFICIENCY</w:t>
            </w:r>
          </w:p>
        </w:tc>
        <w:tc>
          <w:tcPr>
            <w:tcW w:w="664" w:type="dxa"/>
          </w:tcPr>
          <w:p w14:paraId="6DA754D2" w14:textId="77777777" w:rsidR="00356CB0" w:rsidRDefault="000F1173" w:rsidP="00DB7ED6">
            <w:pPr>
              <w:spacing w:after="0" w:line="240" w:lineRule="auto"/>
              <w:jc w:val="right"/>
              <w:rPr>
                <w:rFonts w:ascii="Arial" w:eastAsia="Calibri" w:hAnsi="Arial" w:cs="Arial"/>
                <w:sz w:val="24"/>
                <w:szCs w:val="24"/>
              </w:rPr>
            </w:pPr>
            <w:r>
              <w:rPr>
                <w:rFonts w:ascii="Arial" w:eastAsia="Calibri" w:hAnsi="Arial" w:cs="Arial"/>
                <w:sz w:val="24"/>
                <w:szCs w:val="24"/>
              </w:rPr>
              <w:t>3</w:t>
            </w:r>
          </w:p>
          <w:p w14:paraId="476DF393" w14:textId="77777777" w:rsidR="002F2AF9" w:rsidRPr="006F27F8" w:rsidRDefault="002F2AF9" w:rsidP="00DB7ED6">
            <w:pPr>
              <w:spacing w:after="0" w:line="240" w:lineRule="auto"/>
              <w:jc w:val="right"/>
              <w:rPr>
                <w:rFonts w:ascii="Arial" w:eastAsia="Calibri" w:hAnsi="Arial" w:cs="Arial"/>
                <w:sz w:val="24"/>
                <w:szCs w:val="24"/>
              </w:rPr>
            </w:pPr>
          </w:p>
        </w:tc>
        <w:tc>
          <w:tcPr>
            <w:tcW w:w="236" w:type="dxa"/>
          </w:tcPr>
          <w:p w14:paraId="60262ED5" w14:textId="77777777" w:rsidR="002F2AF9" w:rsidRPr="006F27F8" w:rsidRDefault="002F2AF9" w:rsidP="00DB7ED6">
            <w:pPr>
              <w:spacing w:after="0" w:line="240" w:lineRule="auto"/>
              <w:jc w:val="center"/>
              <w:rPr>
                <w:rFonts w:ascii="Arial" w:eastAsia="Calibri" w:hAnsi="Arial" w:cs="Arial"/>
                <w:sz w:val="24"/>
                <w:szCs w:val="24"/>
              </w:rPr>
            </w:pPr>
          </w:p>
        </w:tc>
      </w:tr>
      <w:tr w:rsidR="002F2AF9" w:rsidRPr="006F27F8" w14:paraId="2F9763E5" w14:textId="77777777" w:rsidTr="00AC73FC">
        <w:tc>
          <w:tcPr>
            <w:tcW w:w="1188" w:type="dxa"/>
          </w:tcPr>
          <w:p w14:paraId="23F651EF" w14:textId="77777777" w:rsidR="002F2AF9" w:rsidRPr="006F27F8" w:rsidRDefault="002F2AF9" w:rsidP="00DB7ED6">
            <w:pPr>
              <w:spacing w:after="0" w:line="240" w:lineRule="auto"/>
              <w:jc w:val="center"/>
              <w:rPr>
                <w:rFonts w:ascii="Arial" w:eastAsia="Calibri" w:hAnsi="Arial" w:cs="Arial"/>
                <w:sz w:val="24"/>
                <w:szCs w:val="24"/>
              </w:rPr>
            </w:pPr>
          </w:p>
        </w:tc>
        <w:tc>
          <w:tcPr>
            <w:tcW w:w="7308" w:type="dxa"/>
          </w:tcPr>
          <w:p w14:paraId="3BB206A8" w14:textId="77777777" w:rsidR="002F2AF9" w:rsidRPr="006F27F8" w:rsidRDefault="002F2AF9" w:rsidP="00DB7ED6">
            <w:pPr>
              <w:spacing w:after="0" w:line="240" w:lineRule="auto"/>
              <w:rPr>
                <w:rFonts w:ascii="Arial" w:eastAsia="Calibri" w:hAnsi="Arial" w:cs="Arial"/>
                <w:sz w:val="24"/>
                <w:szCs w:val="24"/>
              </w:rPr>
            </w:pPr>
          </w:p>
        </w:tc>
        <w:tc>
          <w:tcPr>
            <w:tcW w:w="664" w:type="dxa"/>
          </w:tcPr>
          <w:p w14:paraId="37B623CA" w14:textId="77777777" w:rsidR="002F2AF9" w:rsidRPr="006F27F8" w:rsidRDefault="002F2AF9" w:rsidP="00DB7ED6">
            <w:pPr>
              <w:spacing w:after="0" w:line="240" w:lineRule="auto"/>
              <w:jc w:val="right"/>
              <w:rPr>
                <w:rFonts w:ascii="Arial" w:eastAsia="Calibri" w:hAnsi="Arial" w:cs="Arial"/>
                <w:sz w:val="24"/>
                <w:szCs w:val="24"/>
              </w:rPr>
            </w:pPr>
          </w:p>
        </w:tc>
        <w:tc>
          <w:tcPr>
            <w:tcW w:w="236" w:type="dxa"/>
          </w:tcPr>
          <w:p w14:paraId="6187BE2B" w14:textId="77777777" w:rsidR="002F2AF9" w:rsidRPr="006F27F8" w:rsidRDefault="002F2AF9" w:rsidP="00DB7ED6">
            <w:pPr>
              <w:spacing w:after="0" w:line="240" w:lineRule="auto"/>
              <w:jc w:val="center"/>
              <w:rPr>
                <w:rFonts w:ascii="Arial" w:eastAsia="Calibri" w:hAnsi="Arial" w:cs="Arial"/>
                <w:sz w:val="24"/>
                <w:szCs w:val="24"/>
              </w:rPr>
            </w:pPr>
          </w:p>
        </w:tc>
      </w:tr>
      <w:tr w:rsidR="002F2AF9" w:rsidRPr="006F27F8" w14:paraId="72C311F8" w14:textId="77777777" w:rsidTr="00AC73FC">
        <w:tc>
          <w:tcPr>
            <w:tcW w:w="1188" w:type="dxa"/>
          </w:tcPr>
          <w:p w14:paraId="5DE00DB9" w14:textId="77777777" w:rsidR="002F2AF9" w:rsidRPr="006F27F8" w:rsidRDefault="002F2AF9" w:rsidP="00DB7ED6">
            <w:pPr>
              <w:spacing w:after="0" w:line="240" w:lineRule="auto"/>
              <w:jc w:val="center"/>
              <w:rPr>
                <w:rFonts w:ascii="Arial" w:eastAsia="Calibri" w:hAnsi="Arial" w:cs="Arial"/>
                <w:sz w:val="24"/>
                <w:szCs w:val="24"/>
              </w:rPr>
            </w:pPr>
            <w:r>
              <w:rPr>
                <w:rFonts w:ascii="Arial" w:eastAsia="Calibri" w:hAnsi="Arial" w:cs="Arial"/>
                <w:sz w:val="24"/>
                <w:szCs w:val="24"/>
              </w:rPr>
              <w:t>III</w:t>
            </w:r>
            <w:r w:rsidR="002071D7">
              <w:rPr>
                <w:rFonts w:ascii="Arial" w:eastAsia="Calibri" w:hAnsi="Arial" w:cs="Arial"/>
                <w:sz w:val="24"/>
                <w:szCs w:val="24"/>
              </w:rPr>
              <w:t>.</w:t>
            </w:r>
          </w:p>
        </w:tc>
        <w:tc>
          <w:tcPr>
            <w:tcW w:w="7308" w:type="dxa"/>
          </w:tcPr>
          <w:p w14:paraId="777B619F" w14:textId="77777777" w:rsidR="002F2AF9" w:rsidRPr="006F27F8" w:rsidRDefault="00740370" w:rsidP="00DB7ED6">
            <w:pPr>
              <w:spacing w:after="0" w:line="240" w:lineRule="auto"/>
              <w:ind w:left="342" w:hanging="342"/>
              <w:rPr>
                <w:rFonts w:ascii="Arial" w:eastAsia="Calibri" w:hAnsi="Arial" w:cs="Arial"/>
                <w:sz w:val="24"/>
                <w:szCs w:val="24"/>
              </w:rPr>
            </w:pPr>
            <w:r>
              <w:rPr>
                <w:rFonts w:ascii="Arial" w:eastAsia="Calibri" w:hAnsi="Arial" w:cs="Arial"/>
                <w:sz w:val="24"/>
                <w:szCs w:val="24"/>
              </w:rPr>
              <w:t>EXECUTIVE MANAGEMENT AND ORGANIZATIONAL STRUCTURE</w:t>
            </w:r>
          </w:p>
        </w:tc>
        <w:tc>
          <w:tcPr>
            <w:tcW w:w="664" w:type="dxa"/>
          </w:tcPr>
          <w:p w14:paraId="535D14C9" w14:textId="77777777" w:rsidR="002F2AF9" w:rsidRPr="006F27F8" w:rsidRDefault="000F1173" w:rsidP="00DB7ED6">
            <w:pPr>
              <w:spacing w:after="0" w:line="240" w:lineRule="auto"/>
              <w:jc w:val="right"/>
              <w:rPr>
                <w:rFonts w:ascii="Arial" w:eastAsia="Calibri" w:hAnsi="Arial" w:cs="Arial"/>
                <w:sz w:val="24"/>
                <w:szCs w:val="24"/>
              </w:rPr>
            </w:pPr>
            <w:r>
              <w:rPr>
                <w:rFonts w:ascii="Arial" w:eastAsia="Calibri" w:hAnsi="Arial" w:cs="Arial"/>
                <w:sz w:val="24"/>
                <w:szCs w:val="24"/>
              </w:rPr>
              <w:t>11</w:t>
            </w:r>
          </w:p>
        </w:tc>
        <w:tc>
          <w:tcPr>
            <w:tcW w:w="236" w:type="dxa"/>
          </w:tcPr>
          <w:p w14:paraId="34F33EF5" w14:textId="77777777" w:rsidR="002F2AF9" w:rsidRPr="006F27F8" w:rsidRDefault="002F2AF9" w:rsidP="00DB7ED6">
            <w:pPr>
              <w:spacing w:after="0" w:line="240" w:lineRule="auto"/>
              <w:jc w:val="center"/>
              <w:rPr>
                <w:rFonts w:ascii="Arial" w:eastAsia="Calibri" w:hAnsi="Arial" w:cs="Arial"/>
                <w:sz w:val="24"/>
                <w:szCs w:val="24"/>
              </w:rPr>
            </w:pPr>
          </w:p>
        </w:tc>
      </w:tr>
      <w:tr w:rsidR="002F2AF9" w:rsidRPr="006F27F8" w14:paraId="60E40E41" w14:textId="77777777" w:rsidTr="00AC73FC">
        <w:tc>
          <w:tcPr>
            <w:tcW w:w="1188" w:type="dxa"/>
          </w:tcPr>
          <w:p w14:paraId="4095568C" w14:textId="77777777" w:rsidR="002F2AF9" w:rsidRPr="006F27F8" w:rsidRDefault="002F2AF9" w:rsidP="00DB7ED6">
            <w:pPr>
              <w:spacing w:after="0" w:line="240" w:lineRule="auto"/>
              <w:jc w:val="center"/>
              <w:rPr>
                <w:rFonts w:ascii="Arial" w:eastAsia="Calibri" w:hAnsi="Arial" w:cs="Arial"/>
                <w:sz w:val="24"/>
                <w:szCs w:val="24"/>
              </w:rPr>
            </w:pPr>
          </w:p>
        </w:tc>
        <w:tc>
          <w:tcPr>
            <w:tcW w:w="7308" w:type="dxa"/>
          </w:tcPr>
          <w:p w14:paraId="3C2611A6" w14:textId="77777777" w:rsidR="002F2AF9" w:rsidRPr="006F27F8" w:rsidRDefault="002F2AF9" w:rsidP="00DB7ED6">
            <w:pPr>
              <w:spacing w:after="0" w:line="240" w:lineRule="auto"/>
              <w:rPr>
                <w:rFonts w:ascii="Arial" w:eastAsia="Calibri" w:hAnsi="Arial" w:cs="Arial"/>
                <w:sz w:val="24"/>
                <w:szCs w:val="24"/>
              </w:rPr>
            </w:pPr>
          </w:p>
        </w:tc>
        <w:tc>
          <w:tcPr>
            <w:tcW w:w="664" w:type="dxa"/>
          </w:tcPr>
          <w:p w14:paraId="1B7FF083" w14:textId="77777777" w:rsidR="002F2AF9" w:rsidRPr="006F27F8" w:rsidRDefault="002F2AF9" w:rsidP="00DB7ED6">
            <w:pPr>
              <w:spacing w:after="0" w:line="240" w:lineRule="auto"/>
              <w:jc w:val="right"/>
              <w:rPr>
                <w:rFonts w:ascii="Arial" w:eastAsia="Calibri" w:hAnsi="Arial" w:cs="Arial"/>
                <w:sz w:val="24"/>
                <w:szCs w:val="24"/>
              </w:rPr>
            </w:pPr>
          </w:p>
        </w:tc>
        <w:tc>
          <w:tcPr>
            <w:tcW w:w="236" w:type="dxa"/>
          </w:tcPr>
          <w:p w14:paraId="163A97F3" w14:textId="77777777" w:rsidR="002F2AF9" w:rsidRPr="006F27F8" w:rsidRDefault="002F2AF9" w:rsidP="00DB7ED6">
            <w:pPr>
              <w:spacing w:after="0" w:line="240" w:lineRule="auto"/>
              <w:jc w:val="center"/>
              <w:rPr>
                <w:rFonts w:ascii="Arial" w:eastAsia="Calibri" w:hAnsi="Arial" w:cs="Arial"/>
                <w:sz w:val="24"/>
                <w:szCs w:val="24"/>
              </w:rPr>
            </w:pPr>
          </w:p>
        </w:tc>
      </w:tr>
      <w:tr w:rsidR="002F2AF9" w:rsidRPr="006F27F8" w14:paraId="39E9FDD4" w14:textId="77777777" w:rsidTr="00AC73FC">
        <w:tc>
          <w:tcPr>
            <w:tcW w:w="1188" w:type="dxa"/>
          </w:tcPr>
          <w:p w14:paraId="2803D0AC" w14:textId="77777777" w:rsidR="002F2AF9" w:rsidRPr="006F27F8" w:rsidRDefault="002F2AF9" w:rsidP="00DB7ED6">
            <w:pPr>
              <w:spacing w:after="0" w:line="240" w:lineRule="auto"/>
              <w:jc w:val="center"/>
              <w:rPr>
                <w:rFonts w:ascii="Arial" w:eastAsia="Calibri" w:hAnsi="Arial" w:cs="Arial"/>
                <w:sz w:val="24"/>
                <w:szCs w:val="24"/>
              </w:rPr>
            </w:pPr>
            <w:r>
              <w:rPr>
                <w:rFonts w:ascii="Arial" w:eastAsia="Calibri" w:hAnsi="Arial" w:cs="Arial"/>
                <w:sz w:val="24"/>
                <w:szCs w:val="24"/>
              </w:rPr>
              <w:t>IV</w:t>
            </w:r>
            <w:r w:rsidR="002071D7">
              <w:rPr>
                <w:rFonts w:ascii="Arial" w:eastAsia="Calibri" w:hAnsi="Arial" w:cs="Arial"/>
                <w:sz w:val="24"/>
                <w:szCs w:val="24"/>
              </w:rPr>
              <w:t>.</w:t>
            </w:r>
          </w:p>
        </w:tc>
        <w:tc>
          <w:tcPr>
            <w:tcW w:w="7308" w:type="dxa"/>
          </w:tcPr>
          <w:p w14:paraId="35691008" w14:textId="77777777" w:rsidR="002F2AF9" w:rsidRPr="006F27F8" w:rsidRDefault="00740370" w:rsidP="00DB7ED6">
            <w:pPr>
              <w:spacing w:after="0" w:line="240" w:lineRule="auto"/>
              <w:rPr>
                <w:rFonts w:ascii="Arial" w:eastAsia="Calibri" w:hAnsi="Arial" w:cs="Arial"/>
                <w:sz w:val="24"/>
                <w:szCs w:val="24"/>
              </w:rPr>
            </w:pPr>
            <w:r>
              <w:rPr>
                <w:rFonts w:ascii="Arial" w:eastAsia="Calibri" w:hAnsi="Arial" w:cs="Arial"/>
                <w:sz w:val="24"/>
                <w:szCs w:val="24"/>
              </w:rPr>
              <w:t>CORPORATE GOVERNANCE</w:t>
            </w:r>
          </w:p>
        </w:tc>
        <w:tc>
          <w:tcPr>
            <w:tcW w:w="664" w:type="dxa"/>
          </w:tcPr>
          <w:p w14:paraId="1A98C991" w14:textId="77777777" w:rsidR="002F2AF9" w:rsidRPr="006F27F8" w:rsidRDefault="00EC2F50" w:rsidP="00DB7ED6">
            <w:pPr>
              <w:spacing w:after="0" w:line="240" w:lineRule="auto"/>
              <w:jc w:val="right"/>
              <w:rPr>
                <w:rFonts w:ascii="Arial" w:eastAsia="Calibri" w:hAnsi="Arial" w:cs="Arial"/>
                <w:sz w:val="24"/>
                <w:szCs w:val="24"/>
              </w:rPr>
            </w:pPr>
            <w:r>
              <w:rPr>
                <w:rFonts w:ascii="Arial" w:eastAsia="Calibri" w:hAnsi="Arial" w:cs="Arial"/>
                <w:sz w:val="24"/>
                <w:szCs w:val="24"/>
              </w:rPr>
              <w:t>17</w:t>
            </w:r>
          </w:p>
        </w:tc>
        <w:tc>
          <w:tcPr>
            <w:tcW w:w="236" w:type="dxa"/>
          </w:tcPr>
          <w:p w14:paraId="72797E2A" w14:textId="77777777" w:rsidR="002F2AF9" w:rsidRPr="006F27F8" w:rsidRDefault="002F2AF9" w:rsidP="00DB7ED6">
            <w:pPr>
              <w:spacing w:after="0" w:line="240" w:lineRule="auto"/>
              <w:jc w:val="center"/>
              <w:rPr>
                <w:rFonts w:ascii="Arial" w:eastAsia="Calibri" w:hAnsi="Arial" w:cs="Arial"/>
                <w:sz w:val="24"/>
                <w:szCs w:val="24"/>
              </w:rPr>
            </w:pPr>
          </w:p>
        </w:tc>
      </w:tr>
      <w:tr w:rsidR="002F2AF9" w:rsidRPr="006F27F8" w14:paraId="220D2521" w14:textId="77777777" w:rsidTr="00AC73FC">
        <w:tc>
          <w:tcPr>
            <w:tcW w:w="1188" w:type="dxa"/>
          </w:tcPr>
          <w:p w14:paraId="60BB8F7F" w14:textId="77777777" w:rsidR="002F2AF9" w:rsidRPr="006F27F8" w:rsidRDefault="002F2AF9" w:rsidP="00DB7ED6">
            <w:pPr>
              <w:spacing w:after="0" w:line="240" w:lineRule="auto"/>
              <w:jc w:val="center"/>
              <w:rPr>
                <w:rFonts w:ascii="Arial" w:eastAsia="Calibri" w:hAnsi="Arial" w:cs="Arial"/>
                <w:sz w:val="24"/>
                <w:szCs w:val="24"/>
              </w:rPr>
            </w:pPr>
          </w:p>
        </w:tc>
        <w:tc>
          <w:tcPr>
            <w:tcW w:w="7308" w:type="dxa"/>
          </w:tcPr>
          <w:p w14:paraId="167CE10B" w14:textId="77777777" w:rsidR="002F2AF9" w:rsidRPr="006F27F8" w:rsidRDefault="002F2AF9" w:rsidP="00DB7ED6">
            <w:pPr>
              <w:spacing w:after="0" w:line="240" w:lineRule="auto"/>
              <w:rPr>
                <w:rFonts w:ascii="Arial" w:eastAsia="Calibri" w:hAnsi="Arial" w:cs="Arial"/>
                <w:sz w:val="24"/>
                <w:szCs w:val="24"/>
              </w:rPr>
            </w:pPr>
          </w:p>
        </w:tc>
        <w:tc>
          <w:tcPr>
            <w:tcW w:w="664" w:type="dxa"/>
          </w:tcPr>
          <w:p w14:paraId="4FD217AC" w14:textId="77777777" w:rsidR="002F2AF9" w:rsidRPr="006F27F8" w:rsidRDefault="002F2AF9" w:rsidP="00DB7ED6">
            <w:pPr>
              <w:spacing w:after="0" w:line="240" w:lineRule="auto"/>
              <w:jc w:val="right"/>
              <w:rPr>
                <w:rFonts w:ascii="Arial" w:eastAsia="Calibri" w:hAnsi="Arial" w:cs="Arial"/>
                <w:sz w:val="24"/>
                <w:szCs w:val="24"/>
              </w:rPr>
            </w:pPr>
          </w:p>
        </w:tc>
        <w:tc>
          <w:tcPr>
            <w:tcW w:w="236" w:type="dxa"/>
          </w:tcPr>
          <w:p w14:paraId="49E2EF8F" w14:textId="77777777" w:rsidR="002F2AF9" w:rsidRPr="006F27F8" w:rsidRDefault="002F2AF9" w:rsidP="00DB7ED6">
            <w:pPr>
              <w:spacing w:after="0" w:line="240" w:lineRule="auto"/>
              <w:jc w:val="center"/>
              <w:rPr>
                <w:rFonts w:ascii="Arial" w:eastAsia="Calibri" w:hAnsi="Arial" w:cs="Arial"/>
                <w:sz w:val="24"/>
                <w:szCs w:val="24"/>
              </w:rPr>
            </w:pPr>
          </w:p>
        </w:tc>
      </w:tr>
      <w:tr w:rsidR="002F2AF9" w:rsidRPr="006F27F8" w14:paraId="77DC94FD" w14:textId="77777777" w:rsidTr="00AC73FC">
        <w:tc>
          <w:tcPr>
            <w:tcW w:w="1188" w:type="dxa"/>
          </w:tcPr>
          <w:p w14:paraId="6D563735" w14:textId="77777777" w:rsidR="002F2AF9" w:rsidRPr="006F27F8" w:rsidRDefault="002F2AF9" w:rsidP="00DB7ED6">
            <w:pPr>
              <w:spacing w:after="0" w:line="240" w:lineRule="auto"/>
              <w:jc w:val="center"/>
              <w:rPr>
                <w:rFonts w:ascii="Arial" w:eastAsia="Calibri" w:hAnsi="Arial" w:cs="Arial"/>
                <w:sz w:val="24"/>
                <w:szCs w:val="24"/>
              </w:rPr>
            </w:pPr>
            <w:r>
              <w:rPr>
                <w:rFonts w:ascii="Arial" w:eastAsia="Calibri" w:hAnsi="Arial" w:cs="Arial"/>
                <w:sz w:val="24"/>
                <w:szCs w:val="24"/>
              </w:rPr>
              <w:t>V</w:t>
            </w:r>
            <w:r w:rsidR="002071D7">
              <w:rPr>
                <w:rFonts w:ascii="Arial" w:eastAsia="Calibri" w:hAnsi="Arial" w:cs="Arial"/>
                <w:sz w:val="24"/>
                <w:szCs w:val="24"/>
              </w:rPr>
              <w:t>.</w:t>
            </w:r>
          </w:p>
        </w:tc>
        <w:tc>
          <w:tcPr>
            <w:tcW w:w="7308" w:type="dxa"/>
          </w:tcPr>
          <w:p w14:paraId="1F90CC64" w14:textId="77777777" w:rsidR="002F2AF9" w:rsidRPr="006F27F8" w:rsidRDefault="00740370" w:rsidP="00DB7ED6">
            <w:pPr>
              <w:spacing w:after="0" w:line="240" w:lineRule="auto"/>
              <w:rPr>
                <w:rFonts w:ascii="Arial" w:eastAsia="Calibri" w:hAnsi="Arial" w:cs="Arial"/>
                <w:sz w:val="24"/>
                <w:szCs w:val="24"/>
              </w:rPr>
            </w:pPr>
            <w:r>
              <w:rPr>
                <w:rFonts w:ascii="Arial" w:eastAsia="Calibri" w:hAnsi="Arial" w:cs="Arial"/>
                <w:sz w:val="24"/>
                <w:szCs w:val="24"/>
              </w:rPr>
              <w:t>AFFILIATED RELATIONSHIPS AND COST ALLOCATIONS</w:t>
            </w:r>
          </w:p>
        </w:tc>
        <w:tc>
          <w:tcPr>
            <w:tcW w:w="664" w:type="dxa"/>
          </w:tcPr>
          <w:p w14:paraId="10FDCD9B" w14:textId="77777777" w:rsidR="002F2AF9" w:rsidRPr="006F27F8" w:rsidRDefault="00EC2F50" w:rsidP="00DB7ED6">
            <w:pPr>
              <w:spacing w:after="0" w:line="240" w:lineRule="auto"/>
              <w:jc w:val="right"/>
              <w:rPr>
                <w:rFonts w:ascii="Arial" w:eastAsia="Calibri" w:hAnsi="Arial" w:cs="Arial"/>
                <w:sz w:val="24"/>
                <w:szCs w:val="24"/>
              </w:rPr>
            </w:pPr>
            <w:r>
              <w:rPr>
                <w:rFonts w:ascii="Arial" w:eastAsia="Calibri" w:hAnsi="Arial" w:cs="Arial"/>
                <w:sz w:val="24"/>
                <w:szCs w:val="24"/>
              </w:rPr>
              <w:t>19</w:t>
            </w:r>
          </w:p>
        </w:tc>
        <w:tc>
          <w:tcPr>
            <w:tcW w:w="236" w:type="dxa"/>
          </w:tcPr>
          <w:p w14:paraId="73C56C67" w14:textId="77777777" w:rsidR="002F2AF9" w:rsidRPr="006F27F8" w:rsidRDefault="002F2AF9" w:rsidP="00DB7ED6">
            <w:pPr>
              <w:spacing w:after="0" w:line="240" w:lineRule="auto"/>
              <w:jc w:val="center"/>
              <w:rPr>
                <w:rFonts w:ascii="Arial" w:eastAsia="Calibri" w:hAnsi="Arial" w:cs="Arial"/>
                <w:sz w:val="24"/>
                <w:szCs w:val="24"/>
              </w:rPr>
            </w:pPr>
          </w:p>
        </w:tc>
      </w:tr>
      <w:tr w:rsidR="002F2AF9" w:rsidRPr="006F27F8" w14:paraId="090BD509" w14:textId="77777777" w:rsidTr="00AC73FC">
        <w:tc>
          <w:tcPr>
            <w:tcW w:w="1188" w:type="dxa"/>
          </w:tcPr>
          <w:p w14:paraId="644CAB90" w14:textId="77777777" w:rsidR="002F2AF9" w:rsidRPr="006F27F8" w:rsidRDefault="002F2AF9" w:rsidP="00DB7ED6">
            <w:pPr>
              <w:spacing w:after="0" w:line="240" w:lineRule="auto"/>
              <w:jc w:val="center"/>
              <w:rPr>
                <w:rFonts w:ascii="Arial" w:eastAsia="Calibri" w:hAnsi="Arial" w:cs="Arial"/>
                <w:sz w:val="24"/>
                <w:szCs w:val="24"/>
              </w:rPr>
            </w:pPr>
          </w:p>
        </w:tc>
        <w:tc>
          <w:tcPr>
            <w:tcW w:w="7308" w:type="dxa"/>
          </w:tcPr>
          <w:p w14:paraId="6C5EA4AD" w14:textId="77777777" w:rsidR="002F2AF9" w:rsidRPr="006F27F8" w:rsidRDefault="002F2AF9" w:rsidP="00DB7ED6">
            <w:pPr>
              <w:spacing w:after="0" w:line="240" w:lineRule="auto"/>
              <w:rPr>
                <w:rFonts w:ascii="Arial" w:eastAsia="Calibri" w:hAnsi="Arial" w:cs="Arial"/>
                <w:sz w:val="24"/>
                <w:szCs w:val="24"/>
              </w:rPr>
            </w:pPr>
          </w:p>
        </w:tc>
        <w:tc>
          <w:tcPr>
            <w:tcW w:w="664" w:type="dxa"/>
          </w:tcPr>
          <w:p w14:paraId="05E07A3C" w14:textId="77777777" w:rsidR="002F2AF9" w:rsidRPr="006F27F8" w:rsidRDefault="002F2AF9" w:rsidP="00DB7ED6">
            <w:pPr>
              <w:spacing w:after="0" w:line="240" w:lineRule="auto"/>
              <w:jc w:val="right"/>
              <w:rPr>
                <w:rFonts w:ascii="Arial" w:eastAsia="Calibri" w:hAnsi="Arial" w:cs="Arial"/>
                <w:sz w:val="24"/>
                <w:szCs w:val="24"/>
              </w:rPr>
            </w:pPr>
          </w:p>
        </w:tc>
        <w:tc>
          <w:tcPr>
            <w:tcW w:w="236" w:type="dxa"/>
          </w:tcPr>
          <w:p w14:paraId="0FBE0D2B" w14:textId="77777777" w:rsidR="002F2AF9" w:rsidRPr="006F27F8" w:rsidRDefault="002F2AF9" w:rsidP="00DB7ED6">
            <w:pPr>
              <w:spacing w:after="0" w:line="240" w:lineRule="auto"/>
              <w:jc w:val="center"/>
              <w:rPr>
                <w:rFonts w:ascii="Arial" w:eastAsia="Calibri" w:hAnsi="Arial" w:cs="Arial"/>
                <w:sz w:val="24"/>
                <w:szCs w:val="24"/>
              </w:rPr>
            </w:pPr>
          </w:p>
        </w:tc>
      </w:tr>
      <w:tr w:rsidR="002F2AF9" w:rsidRPr="006F27F8" w14:paraId="0A1B4EA0" w14:textId="77777777" w:rsidTr="00AC73FC">
        <w:tc>
          <w:tcPr>
            <w:tcW w:w="1188" w:type="dxa"/>
          </w:tcPr>
          <w:p w14:paraId="25F86667" w14:textId="77777777" w:rsidR="002F2AF9" w:rsidRPr="006F27F8" w:rsidRDefault="002F2AF9" w:rsidP="00DB7ED6">
            <w:pPr>
              <w:spacing w:after="0" w:line="240" w:lineRule="auto"/>
              <w:jc w:val="center"/>
              <w:rPr>
                <w:rFonts w:ascii="Arial" w:eastAsia="Calibri" w:hAnsi="Arial" w:cs="Arial"/>
                <w:sz w:val="24"/>
                <w:szCs w:val="24"/>
              </w:rPr>
            </w:pPr>
            <w:r>
              <w:rPr>
                <w:rFonts w:ascii="Arial" w:eastAsia="Calibri" w:hAnsi="Arial" w:cs="Arial"/>
                <w:sz w:val="24"/>
                <w:szCs w:val="24"/>
              </w:rPr>
              <w:t>VI</w:t>
            </w:r>
            <w:r w:rsidR="002071D7">
              <w:rPr>
                <w:rFonts w:ascii="Arial" w:eastAsia="Calibri" w:hAnsi="Arial" w:cs="Arial"/>
                <w:sz w:val="24"/>
                <w:szCs w:val="24"/>
              </w:rPr>
              <w:t>.</w:t>
            </w:r>
          </w:p>
        </w:tc>
        <w:tc>
          <w:tcPr>
            <w:tcW w:w="7308" w:type="dxa"/>
          </w:tcPr>
          <w:p w14:paraId="457D56BC" w14:textId="77777777" w:rsidR="002F2AF9" w:rsidRPr="006F27F8" w:rsidRDefault="00740370" w:rsidP="00DB7ED6">
            <w:pPr>
              <w:spacing w:after="0" w:line="240" w:lineRule="auto"/>
              <w:rPr>
                <w:rFonts w:ascii="Arial" w:eastAsia="Calibri" w:hAnsi="Arial" w:cs="Arial"/>
                <w:sz w:val="24"/>
                <w:szCs w:val="24"/>
              </w:rPr>
            </w:pPr>
            <w:r>
              <w:rPr>
                <w:rFonts w:ascii="Arial" w:eastAsia="Calibri" w:hAnsi="Arial" w:cs="Arial"/>
                <w:sz w:val="24"/>
                <w:szCs w:val="24"/>
              </w:rPr>
              <w:t>FINANCIAL MANAGEMENT</w:t>
            </w:r>
          </w:p>
        </w:tc>
        <w:tc>
          <w:tcPr>
            <w:tcW w:w="664" w:type="dxa"/>
          </w:tcPr>
          <w:p w14:paraId="7475318D" w14:textId="77777777" w:rsidR="002F2AF9" w:rsidRPr="006F27F8" w:rsidRDefault="00EC2F50" w:rsidP="00DB7ED6">
            <w:pPr>
              <w:spacing w:after="0" w:line="240" w:lineRule="auto"/>
              <w:jc w:val="right"/>
              <w:rPr>
                <w:rFonts w:ascii="Arial" w:eastAsia="Calibri" w:hAnsi="Arial" w:cs="Arial"/>
                <w:sz w:val="24"/>
                <w:szCs w:val="24"/>
              </w:rPr>
            </w:pPr>
            <w:r>
              <w:rPr>
                <w:rFonts w:ascii="Arial" w:eastAsia="Calibri" w:hAnsi="Arial" w:cs="Arial"/>
                <w:sz w:val="24"/>
                <w:szCs w:val="24"/>
              </w:rPr>
              <w:t>23</w:t>
            </w:r>
          </w:p>
        </w:tc>
        <w:tc>
          <w:tcPr>
            <w:tcW w:w="236" w:type="dxa"/>
          </w:tcPr>
          <w:p w14:paraId="4EFAE475" w14:textId="77777777" w:rsidR="002F2AF9" w:rsidRPr="006F27F8" w:rsidRDefault="002F2AF9" w:rsidP="00DB7ED6">
            <w:pPr>
              <w:spacing w:after="0" w:line="240" w:lineRule="auto"/>
              <w:jc w:val="center"/>
              <w:rPr>
                <w:rFonts w:ascii="Arial" w:eastAsia="Calibri" w:hAnsi="Arial" w:cs="Arial"/>
                <w:sz w:val="24"/>
                <w:szCs w:val="24"/>
              </w:rPr>
            </w:pPr>
          </w:p>
        </w:tc>
      </w:tr>
      <w:tr w:rsidR="002F2AF9" w:rsidRPr="006F27F8" w14:paraId="1DB2922A" w14:textId="77777777" w:rsidTr="00AC73FC">
        <w:tc>
          <w:tcPr>
            <w:tcW w:w="1188" w:type="dxa"/>
          </w:tcPr>
          <w:p w14:paraId="54A3F5BD" w14:textId="77777777" w:rsidR="002F2AF9" w:rsidRPr="006F27F8" w:rsidRDefault="002F2AF9" w:rsidP="00DB7ED6">
            <w:pPr>
              <w:spacing w:after="0" w:line="240" w:lineRule="auto"/>
              <w:jc w:val="center"/>
              <w:rPr>
                <w:rFonts w:ascii="Arial" w:eastAsia="Calibri" w:hAnsi="Arial" w:cs="Arial"/>
                <w:sz w:val="24"/>
                <w:szCs w:val="24"/>
              </w:rPr>
            </w:pPr>
          </w:p>
        </w:tc>
        <w:tc>
          <w:tcPr>
            <w:tcW w:w="7308" w:type="dxa"/>
          </w:tcPr>
          <w:p w14:paraId="3117348B" w14:textId="77777777" w:rsidR="002F2AF9" w:rsidRPr="006F27F8" w:rsidRDefault="002F2AF9" w:rsidP="00DB7ED6">
            <w:pPr>
              <w:spacing w:after="0" w:line="240" w:lineRule="auto"/>
              <w:rPr>
                <w:rFonts w:ascii="Arial" w:eastAsia="Calibri" w:hAnsi="Arial" w:cs="Arial"/>
                <w:sz w:val="24"/>
                <w:szCs w:val="24"/>
              </w:rPr>
            </w:pPr>
          </w:p>
        </w:tc>
        <w:tc>
          <w:tcPr>
            <w:tcW w:w="664" w:type="dxa"/>
          </w:tcPr>
          <w:p w14:paraId="62478D03" w14:textId="77777777" w:rsidR="002F2AF9" w:rsidRPr="006F27F8" w:rsidRDefault="002F2AF9" w:rsidP="00DB7ED6">
            <w:pPr>
              <w:spacing w:after="0" w:line="240" w:lineRule="auto"/>
              <w:jc w:val="right"/>
              <w:rPr>
                <w:rFonts w:ascii="Arial" w:eastAsia="Calibri" w:hAnsi="Arial" w:cs="Arial"/>
                <w:sz w:val="24"/>
                <w:szCs w:val="24"/>
              </w:rPr>
            </w:pPr>
          </w:p>
        </w:tc>
        <w:tc>
          <w:tcPr>
            <w:tcW w:w="236" w:type="dxa"/>
          </w:tcPr>
          <w:p w14:paraId="6DF9A818" w14:textId="77777777" w:rsidR="002F2AF9" w:rsidRPr="006F27F8" w:rsidRDefault="002F2AF9" w:rsidP="00DB7ED6">
            <w:pPr>
              <w:spacing w:after="0" w:line="240" w:lineRule="auto"/>
              <w:jc w:val="center"/>
              <w:rPr>
                <w:rFonts w:ascii="Arial" w:eastAsia="Calibri" w:hAnsi="Arial" w:cs="Arial"/>
                <w:sz w:val="24"/>
                <w:szCs w:val="24"/>
              </w:rPr>
            </w:pPr>
          </w:p>
        </w:tc>
      </w:tr>
      <w:tr w:rsidR="002F2AF9" w:rsidRPr="006F27F8" w14:paraId="2CE071A9" w14:textId="77777777" w:rsidTr="00AC73FC">
        <w:trPr>
          <w:trHeight w:val="20"/>
        </w:trPr>
        <w:tc>
          <w:tcPr>
            <w:tcW w:w="1188" w:type="dxa"/>
          </w:tcPr>
          <w:p w14:paraId="669E0908" w14:textId="77777777" w:rsidR="00740370" w:rsidRPr="006F27F8" w:rsidRDefault="002F2AF9" w:rsidP="00402B14">
            <w:pPr>
              <w:spacing w:after="0" w:line="240" w:lineRule="auto"/>
              <w:jc w:val="center"/>
              <w:rPr>
                <w:rFonts w:ascii="Arial" w:eastAsia="Calibri" w:hAnsi="Arial" w:cs="Arial"/>
                <w:sz w:val="24"/>
                <w:szCs w:val="24"/>
              </w:rPr>
            </w:pPr>
            <w:r>
              <w:rPr>
                <w:rFonts w:ascii="Arial" w:eastAsia="Calibri" w:hAnsi="Arial" w:cs="Arial"/>
                <w:sz w:val="24"/>
                <w:szCs w:val="24"/>
              </w:rPr>
              <w:t>VII</w:t>
            </w:r>
            <w:r w:rsidR="002071D7">
              <w:rPr>
                <w:rFonts w:ascii="Arial" w:eastAsia="Calibri" w:hAnsi="Arial" w:cs="Arial"/>
                <w:sz w:val="24"/>
                <w:szCs w:val="24"/>
              </w:rPr>
              <w:t>.</w:t>
            </w:r>
          </w:p>
        </w:tc>
        <w:tc>
          <w:tcPr>
            <w:tcW w:w="7308" w:type="dxa"/>
          </w:tcPr>
          <w:p w14:paraId="57CD6573" w14:textId="77777777" w:rsidR="00740370" w:rsidRPr="006F27F8" w:rsidRDefault="00740370" w:rsidP="00DB7ED6">
            <w:pPr>
              <w:spacing w:after="0" w:line="240" w:lineRule="auto"/>
              <w:rPr>
                <w:rFonts w:ascii="Arial" w:eastAsia="Calibri" w:hAnsi="Arial" w:cs="Arial"/>
                <w:sz w:val="24"/>
                <w:szCs w:val="24"/>
              </w:rPr>
            </w:pPr>
            <w:r>
              <w:rPr>
                <w:rFonts w:ascii="Arial" w:eastAsia="Calibri" w:hAnsi="Arial" w:cs="Arial"/>
                <w:sz w:val="24"/>
                <w:szCs w:val="24"/>
              </w:rPr>
              <w:t>ELECTRIC OPERATIONS</w:t>
            </w:r>
          </w:p>
        </w:tc>
        <w:tc>
          <w:tcPr>
            <w:tcW w:w="664" w:type="dxa"/>
          </w:tcPr>
          <w:p w14:paraId="7DB9DC0B" w14:textId="77777777" w:rsidR="002F2AF9" w:rsidRPr="006F27F8" w:rsidRDefault="00EC2F50" w:rsidP="00DB7ED6">
            <w:pPr>
              <w:spacing w:after="0" w:line="240" w:lineRule="auto"/>
              <w:jc w:val="right"/>
              <w:rPr>
                <w:rFonts w:ascii="Arial" w:eastAsia="Calibri" w:hAnsi="Arial" w:cs="Arial"/>
                <w:sz w:val="24"/>
                <w:szCs w:val="24"/>
              </w:rPr>
            </w:pPr>
            <w:r>
              <w:rPr>
                <w:rFonts w:ascii="Arial" w:eastAsia="Calibri" w:hAnsi="Arial" w:cs="Arial"/>
                <w:sz w:val="24"/>
                <w:szCs w:val="24"/>
              </w:rPr>
              <w:t>27</w:t>
            </w:r>
          </w:p>
        </w:tc>
        <w:tc>
          <w:tcPr>
            <w:tcW w:w="236" w:type="dxa"/>
          </w:tcPr>
          <w:p w14:paraId="5E3B8815" w14:textId="77777777" w:rsidR="002F2AF9" w:rsidRPr="006F27F8" w:rsidRDefault="002F2AF9" w:rsidP="00DB7ED6">
            <w:pPr>
              <w:spacing w:after="0" w:line="240" w:lineRule="auto"/>
              <w:jc w:val="center"/>
              <w:rPr>
                <w:rFonts w:ascii="Arial" w:eastAsia="Calibri" w:hAnsi="Arial" w:cs="Arial"/>
                <w:sz w:val="24"/>
                <w:szCs w:val="24"/>
              </w:rPr>
            </w:pPr>
          </w:p>
        </w:tc>
      </w:tr>
      <w:tr w:rsidR="002F2AF9" w:rsidRPr="006F27F8" w14:paraId="76FB6A5F" w14:textId="77777777" w:rsidTr="00AC73FC">
        <w:tc>
          <w:tcPr>
            <w:tcW w:w="1188" w:type="dxa"/>
          </w:tcPr>
          <w:p w14:paraId="397526AE" w14:textId="77777777" w:rsidR="002F2AF9" w:rsidRPr="006F27F8" w:rsidRDefault="002F2AF9" w:rsidP="00DB7ED6">
            <w:pPr>
              <w:spacing w:after="0" w:line="240" w:lineRule="auto"/>
              <w:jc w:val="center"/>
              <w:rPr>
                <w:rFonts w:ascii="Arial" w:eastAsia="Calibri" w:hAnsi="Arial" w:cs="Arial"/>
                <w:sz w:val="24"/>
                <w:szCs w:val="24"/>
              </w:rPr>
            </w:pPr>
          </w:p>
        </w:tc>
        <w:tc>
          <w:tcPr>
            <w:tcW w:w="7308" w:type="dxa"/>
          </w:tcPr>
          <w:p w14:paraId="5E59A339" w14:textId="77777777" w:rsidR="002F2AF9" w:rsidRPr="006F27F8" w:rsidRDefault="002F2AF9" w:rsidP="00DB7ED6">
            <w:pPr>
              <w:spacing w:after="0" w:line="240" w:lineRule="auto"/>
              <w:rPr>
                <w:rFonts w:ascii="Arial" w:eastAsia="Calibri" w:hAnsi="Arial" w:cs="Arial"/>
                <w:sz w:val="24"/>
                <w:szCs w:val="24"/>
              </w:rPr>
            </w:pPr>
          </w:p>
        </w:tc>
        <w:tc>
          <w:tcPr>
            <w:tcW w:w="664" w:type="dxa"/>
          </w:tcPr>
          <w:p w14:paraId="2FD79C85" w14:textId="77777777" w:rsidR="002F2AF9" w:rsidRPr="006F27F8" w:rsidRDefault="002F2AF9" w:rsidP="00DB7ED6">
            <w:pPr>
              <w:spacing w:after="0" w:line="240" w:lineRule="auto"/>
              <w:jc w:val="right"/>
              <w:rPr>
                <w:rFonts w:ascii="Arial" w:eastAsia="Calibri" w:hAnsi="Arial" w:cs="Arial"/>
                <w:sz w:val="24"/>
                <w:szCs w:val="24"/>
              </w:rPr>
            </w:pPr>
          </w:p>
        </w:tc>
        <w:tc>
          <w:tcPr>
            <w:tcW w:w="236" w:type="dxa"/>
          </w:tcPr>
          <w:p w14:paraId="7D9C79D9" w14:textId="77777777" w:rsidR="002F2AF9" w:rsidRPr="006F27F8" w:rsidRDefault="002F2AF9" w:rsidP="00DB7ED6">
            <w:pPr>
              <w:spacing w:after="0" w:line="240" w:lineRule="auto"/>
              <w:jc w:val="center"/>
              <w:rPr>
                <w:rFonts w:ascii="Arial" w:eastAsia="Calibri" w:hAnsi="Arial" w:cs="Arial"/>
                <w:sz w:val="24"/>
                <w:szCs w:val="24"/>
              </w:rPr>
            </w:pPr>
          </w:p>
        </w:tc>
      </w:tr>
      <w:tr w:rsidR="00402B14" w:rsidRPr="006F27F8" w14:paraId="61F9EAD4" w14:textId="77777777" w:rsidTr="00AC73FC">
        <w:tc>
          <w:tcPr>
            <w:tcW w:w="1188" w:type="dxa"/>
          </w:tcPr>
          <w:p w14:paraId="262CB81F" w14:textId="77777777" w:rsidR="00402B14" w:rsidRPr="006F27F8" w:rsidRDefault="00402B14" w:rsidP="00402B14">
            <w:pPr>
              <w:spacing w:after="0" w:line="240" w:lineRule="auto"/>
              <w:jc w:val="center"/>
              <w:rPr>
                <w:rFonts w:ascii="Arial" w:eastAsia="Calibri" w:hAnsi="Arial" w:cs="Arial"/>
                <w:sz w:val="24"/>
                <w:szCs w:val="24"/>
              </w:rPr>
            </w:pPr>
            <w:r>
              <w:rPr>
                <w:rFonts w:ascii="Arial" w:eastAsia="Calibri" w:hAnsi="Arial" w:cs="Arial"/>
                <w:sz w:val="24"/>
                <w:szCs w:val="24"/>
              </w:rPr>
              <w:t>VIII</w:t>
            </w:r>
            <w:r w:rsidR="002071D7">
              <w:rPr>
                <w:rFonts w:ascii="Arial" w:eastAsia="Calibri" w:hAnsi="Arial" w:cs="Arial"/>
                <w:sz w:val="24"/>
                <w:szCs w:val="24"/>
              </w:rPr>
              <w:t>.</w:t>
            </w:r>
          </w:p>
        </w:tc>
        <w:tc>
          <w:tcPr>
            <w:tcW w:w="7308" w:type="dxa"/>
          </w:tcPr>
          <w:p w14:paraId="1CA04F9C" w14:textId="77777777" w:rsidR="00402B14" w:rsidRPr="006F27F8" w:rsidRDefault="00402B14" w:rsidP="00DB7ED6">
            <w:pPr>
              <w:spacing w:after="0" w:line="240" w:lineRule="auto"/>
              <w:rPr>
                <w:rFonts w:ascii="Arial" w:eastAsia="Calibri" w:hAnsi="Arial" w:cs="Arial"/>
                <w:sz w:val="24"/>
                <w:szCs w:val="24"/>
              </w:rPr>
            </w:pPr>
            <w:r>
              <w:rPr>
                <w:rFonts w:ascii="Arial" w:eastAsia="Calibri" w:hAnsi="Arial" w:cs="Arial"/>
                <w:sz w:val="24"/>
                <w:szCs w:val="24"/>
              </w:rPr>
              <w:t>EMERGENCY PREPAREDNESS</w:t>
            </w:r>
          </w:p>
        </w:tc>
        <w:tc>
          <w:tcPr>
            <w:tcW w:w="664" w:type="dxa"/>
          </w:tcPr>
          <w:p w14:paraId="4D1ADF0D" w14:textId="77777777" w:rsidR="00402B14" w:rsidRPr="006F27F8" w:rsidRDefault="00EC2F50" w:rsidP="00DB7ED6">
            <w:pPr>
              <w:spacing w:after="0" w:line="240" w:lineRule="auto"/>
              <w:jc w:val="right"/>
              <w:rPr>
                <w:rFonts w:ascii="Arial" w:eastAsia="Calibri" w:hAnsi="Arial" w:cs="Arial"/>
                <w:sz w:val="24"/>
                <w:szCs w:val="24"/>
              </w:rPr>
            </w:pPr>
            <w:r>
              <w:rPr>
                <w:rFonts w:ascii="Arial" w:eastAsia="Calibri" w:hAnsi="Arial" w:cs="Arial"/>
                <w:sz w:val="24"/>
                <w:szCs w:val="24"/>
              </w:rPr>
              <w:t>49</w:t>
            </w:r>
          </w:p>
        </w:tc>
        <w:tc>
          <w:tcPr>
            <w:tcW w:w="236" w:type="dxa"/>
          </w:tcPr>
          <w:p w14:paraId="1AEBC539" w14:textId="77777777" w:rsidR="00402B14" w:rsidRPr="006F27F8" w:rsidRDefault="00402B14" w:rsidP="00DB7ED6">
            <w:pPr>
              <w:spacing w:after="0" w:line="240" w:lineRule="auto"/>
              <w:jc w:val="center"/>
              <w:rPr>
                <w:rFonts w:ascii="Arial" w:eastAsia="Calibri" w:hAnsi="Arial" w:cs="Arial"/>
                <w:sz w:val="24"/>
                <w:szCs w:val="24"/>
              </w:rPr>
            </w:pPr>
          </w:p>
        </w:tc>
      </w:tr>
      <w:tr w:rsidR="00402B14" w:rsidRPr="006F27F8" w14:paraId="221FB7FF" w14:textId="77777777" w:rsidTr="00AC73FC">
        <w:tc>
          <w:tcPr>
            <w:tcW w:w="1188" w:type="dxa"/>
          </w:tcPr>
          <w:p w14:paraId="4BB2C006" w14:textId="77777777" w:rsidR="00402B14" w:rsidRPr="006F27F8" w:rsidRDefault="00402B14" w:rsidP="00DB7ED6">
            <w:pPr>
              <w:spacing w:after="0" w:line="240" w:lineRule="auto"/>
              <w:jc w:val="center"/>
              <w:rPr>
                <w:rFonts w:ascii="Arial" w:eastAsia="Calibri" w:hAnsi="Arial" w:cs="Arial"/>
                <w:sz w:val="24"/>
                <w:szCs w:val="24"/>
              </w:rPr>
            </w:pPr>
          </w:p>
        </w:tc>
        <w:tc>
          <w:tcPr>
            <w:tcW w:w="7308" w:type="dxa"/>
          </w:tcPr>
          <w:p w14:paraId="237D8D6F" w14:textId="77777777" w:rsidR="00402B14" w:rsidRPr="006F27F8" w:rsidRDefault="00402B14" w:rsidP="00DB7ED6">
            <w:pPr>
              <w:spacing w:after="0" w:line="240" w:lineRule="auto"/>
              <w:rPr>
                <w:rFonts w:ascii="Arial" w:eastAsia="Calibri" w:hAnsi="Arial" w:cs="Arial"/>
                <w:sz w:val="24"/>
                <w:szCs w:val="24"/>
              </w:rPr>
            </w:pPr>
          </w:p>
        </w:tc>
        <w:tc>
          <w:tcPr>
            <w:tcW w:w="664" w:type="dxa"/>
          </w:tcPr>
          <w:p w14:paraId="22A79A57" w14:textId="77777777" w:rsidR="00402B14" w:rsidRPr="006F27F8" w:rsidRDefault="00402B14" w:rsidP="00DB7ED6">
            <w:pPr>
              <w:spacing w:after="0" w:line="240" w:lineRule="auto"/>
              <w:jc w:val="right"/>
              <w:rPr>
                <w:rFonts w:ascii="Arial" w:eastAsia="Calibri" w:hAnsi="Arial" w:cs="Arial"/>
                <w:sz w:val="24"/>
                <w:szCs w:val="24"/>
              </w:rPr>
            </w:pPr>
          </w:p>
        </w:tc>
        <w:tc>
          <w:tcPr>
            <w:tcW w:w="236" w:type="dxa"/>
          </w:tcPr>
          <w:p w14:paraId="12D8CC3B" w14:textId="77777777" w:rsidR="00402B14" w:rsidRPr="006F27F8" w:rsidRDefault="00402B14" w:rsidP="00DB7ED6">
            <w:pPr>
              <w:spacing w:after="0" w:line="240" w:lineRule="auto"/>
              <w:jc w:val="center"/>
              <w:rPr>
                <w:rFonts w:ascii="Arial" w:eastAsia="Calibri" w:hAnsi="Arial" w:cs="Arial"/>
                <w:sz w:val="24"/>
                <w:szCs w:val="24"/>
              </w:rPr>
            </w:pPr>
          </w:p>
        </w:tc>
      </w:tr>
      <w:tr w:rsidR="00402B14" w:rsidRPr="006F27F8" w14:paraId="49AE2D61" w14:textId="77777777" w:rsidTr="00AC73FC">
        <w:tc>
          <w:tcPr>
            <w:tcW w:w="1188" w:type="dxa"/>
          </w:tcPr>
          <w:p w14:paraId="35E26CD5" w14:textId="77777777" w:rsidR="00402B14" w:rsidRPr="006F27F8" w:rsidRDefault="00402B14" w:rsidP="00DB7ED6">
            <w:pPr>
              <w:spacing w:after="0" w:line="240" w:lineRule="auto"/>
              <w:jc w:val="center"/>
              <w:rPr>
                <w:rFonts w:ascii="Arial" w:eastAsia="Calibri" w:hAnsi="Arial" w:cs="Arial"/>
                <w:sz w:val="24"/>
                <w:szCs w:val="24"/>
              </w:rPr>
            </w:pPr>
            <w:r>
              <w:rPr>
                <w:rFonts w:ascii="Arial" w:eastAsia="Calibri" w:hAnsi="Arial" w:cs="Arial"/>
                <w:sz w:val="24"/>
                <w:szCs w:val="24"/>
              </w:rPr>
              <w:t>IX</w:t>
            </w:r>
            <w:r w:rsidR="002071D7">
              <w:rPr>
                <w:rFonts w:ascii="Arial" w:eastAsia="Calibri" w:hAnsi="Arial" w:cs="Arial"/>
                <w:sz w:val="24"/>
                <w:szCs w:val="24"/>
              </w:rPr>
              <w:t>.</w:t>
            </w:r>
          </w:p>
        </w:tc>
        <w:tc>
          <w:tcPr>
            <w:tcW w:w="7308" w:type="dxa"/>
          </w:tcPr>
          <w:p w14:paraId="4A75EDE3" w14:textId="77777777" w:rsidR="00402B14" w:rsidRPr="006F27F8" w:rsidRDefault="00402B14" w:rsidP="00DB7ED6">
            <w:pPr>
              <w:spacing w:after="0" w:line="240" w:lineRule="auto"/>
              <w:rPr>
                <w:rFonts w:ascii="Arial" w:eastAsia="Calibri" w:hAnsi="Arial" w:cs="Arial"/>
                <w:sz w:val="24"/>
                <w:szCs w:val="24"/>
              </w:rPr>
            </w:pPr>
            <w:r>
              <w:rPr>
                <w:rFonts w:ascii="Arial" w:eastAsia="Calibri" w:hAnsi="Arial" w:cs="Arial"/>
                <w:sz w:val="24"/>
                <w:szCs w:val="24"/>
              </w:rPr>
              <w:t>MATERIALS MANAGEMENT</w:t>
            </w:r>
          </w:p>
        </w:tc>
        <w:tc>
          <w:tcPr>
            <w:tcW w:w="664" w:type="dxa"/>
          </w:tcPr>
          <w:p w14:paraId="2933F462" w14:textId="77777777" w:rsidR="00402B14" w:rsidRPr="006F27F8" w:rsidRDefault="000F1173" w:rsidP="00DB7ED6">
            <w:pPr>
              <w:spacing w:after="0" w:line="240" w:lineRule="auto"/>
              <w:jc w:val="right"/>
              <w:rPr>
                <w:rFonts w:ascii="Arial" w:eastAsia="Calibri" w:hAnsi="Arial" w:cs="Arial"/>
                <w:sz w:val="24"/>
                <w:szCs w:val="24"/>
              </w:rPr>
            </w:pPr>
            <w:r>
              <w:rPr>
                <w:rFonts w:ascii="Arial" w:eastAsia="Calibri" w:hAnsi="Arial" w:cs="Arial"/>
                <w:sz w:val="24"/>
                <w:szCs w:val="24"/>
              </w:rPr>
              <w:t>5</w:t>
            </w:r>
            <w:r w:rsidR="00EC2F50">
              <w:rPr>
                <w:rFonts w:ascii="Arial" w:eastAsia="Calibri" w:hAnsi="Arial" w:cs="Arial"/>
                <w:sz w:val="24"/>
                <w:szCs w:val="24"/>
              </w:rPr>
              <w:t>2</w:t>
            </w:r>
          </w:p>
        </w:tc>
        <w:tc>
          <w:tcPr>
            <w:tcW w:w="236" w:type="dxa"/>
          </w:tcPr>
          <w:p w14:paraId="4933220D" w14:textId="77777777" w:rsidR="00402B14" w:rsidRPr="006F27F8" w:rsidRDefault="00402B14" w:rsidP="00DB7ED6">
            <w:pPr>
              <w:spacing w:after="0" w:line="240" w:lineRule="auto"/>
              <w:jc w:val="center"/>
              <w:rPr>
                <w:rFonts w:ascii="Arial" w:eastAsia="Calibri" w:hAnsi="Arial" w:cs="Arial"/>
                <w:sz w:val="24"/>
                <w:szCs w:val="24"/>
              </w:rPr>
            </w:pPr>
          </w:p>
        </w:tc>
      </w:tr>
      <w:tr w:rsidR="00402B14" w:rsidRPr="006F27F8" w14:paraId="7A2130CD" w14:textId="77777777" w:rsidTr="00AC73FC">
        <w:tc>
          <w:tcPr>
            <w:tcW w:w="1188" w:type="dxa"/>
          </w:tcPr>
          <w:p w14:paraId="3A0FC837" w14:textId="77777777" w:rsidR="00402B14" w:rsidRPr="006F27F8" w:rsidRDefault="00402B14" w:rsidP="00DB7ED6">
            <w:pPr>
              <w:spacing w:after="0" w:line="240" w:lineRule="auto"/>
              <w:jc w:val="center"/>
              <w:rPr>
                <w:rFonts w:ascii="Arial" w:eastAsia="Calibri" w:hAnsi="Arial" w:cs="Arial"/>
                <w:sz w:val="24"/>
                <w:szCs w:val="24"/>
              </w:rPr>
            </w:pPr>
          </w:p>
        </w:tc>
        <w:tc>
          <w:tcPr>
            <w:tcW w:w="7308" w:type="dxa"/>
          </w:tcPr>
          <w:p w14:paraId="0A80C7FE" w14:textId="77777777" w:rsidR="00402B14" w:rsidRPr="006F27F8" w:rsidRDefault="00402B14" w:rsidP="00DB7ED6">
            <w:pPr>
              <w:spacing w:after="0" w:line="240" w:lineRule="auto"/>
              <w:rPr>
                <w:rFonts w:ascii="Arial" w:eastAsia="Calibri" w:hAnsi="Arial" w:cs="Arial"/>
                <w:sz w:val="24"/>
                <w:szCs w:val="24"/>
              </w:rPr>
            </w:pPr>
          </w:p>
        </w:tc>
        <w:tc>
          <w:tcPr>
            <w:tcW w:w="664" w:type="dxa"/>
          </w:tcPr>
          <w:p w14:paraId="0984FEDE" w14:textId="77777777" w:rsidR="00402B14" w:rsidRPr="006F27F8" w:rsidRDefault="00402B14" w:rsidP="00DB7ED6">
            <w:pPr>
              <w:spacing w:after="0" w:line="240" w:lineRule="auto"/>
              <w:jc w:val="right"/>
              <w:rPr>
                <w:rFonts w:ascii="Arial" w:eastAsia="Calibri" w:hAnsi="Arial" w:cs="Arial"/>
                <w:sz w:val="24"/>
                <w:szCs w:val="24"/>
              </w:rPr>
            </w:pPr>
          </w:p>
        </w:tc>
        <w:tc>
          <w:tcPr>
            <w:tcW w:w="236" w:type="dxa"/>
          </w:tcPr>
          <w:p w14:paraId="4E3248D7" w14:textId="77777777" w:rsidR="00402B14" w:rsidRPr="006F27F8" w:rsidRDefault="00402B14" w:rsidP="00DB7ED6">
            <w:pPr>
              <w:spacing w:after="0" w:line="240" w:lineRule="auto"/>
              <w:jc w:val="center"/>
              <w:rPr>
                <w:rFonts w:ascii="Arial" w:eastAsia="Calibri" w:hAnsi="Arial" w:cs="Arial"/>
                <w:sz w:val="24"/>
                <w:szCs w:val="24"/>
              </w:rPr>
            </w:pPr>
          </w:p>
        </w:tc>
      </w:tr>
      <w:tr w:rsidR="002F2AF9" w:rsidRPr="006F27F8" w14:paraId="286C6F76" w14:textId="77777777" w:rsidTr="00AC73FC">
        <w:tc>
          <w:tcPr>
            <w:tcW w:w="1188" w:type="dxa"/>
          </w:tcPr>
          <w:p w14:paraId="665A1A5D" w14:textId="77777777" w:rsidR="00740370" w:rsidRPr="006F27F8" w:rsidRDefault="00740370" w:rsidP="00402B14">
            <w:pPr>
              <w:spacing w:after="0" w:line="240" w:lineRule="auto"/>
              <w:jc w:val="center"/>
              <w:rPr>
                <w:rFonts w:ascii="Arial" w:eastAsia="Calibri" w:hAnsi="Arial" w:cs="Arial"/>
                <w:sz w:val="24"/>
                <w:szCs w:val="24"/>
              </w:rPr>
            </w:pPr>
            <w:r>
              <w:rPr>
                <w:rFonts w:ascii="Arial" w:eastAsia="Calibri" w:hAnsi="Arial" w:cs="Arial"/>
                <w:sz w:val="24"/>
                <w:szCs w:val="24"/>
              </w:rPr>
              <w:t>X</w:t>
            </w:r>
            <w:r w:rsidR="002071D7">
              <w:rPr>
                <w:rFonts w:ascii="Arial" w:eastAsia="Calibri" w:hAnsi="Arial" w:cs="Arial"/>
                <w:sz w:val="24"/>
                <w:szCs w:val="24"/>
              </w:rPr>
              <w:t>.</w:t>
            </w:r>
          </w:p>
        </w:tc>
        <w:tc>
          <w:tcPr>
            <w:tcW w:w="7308" w:type="dxa"/>
          </w:tcPr>
          <w:p w14:paraId="29B23F39" w14:textId="77777777" w:rsidR="00740370" w:rsidRPr="006F27F8" w:rsidRDefault="00740370" w:rsidP="00DB7ED6">
            <w:pPr>
              <w:spacing w:after="0" w:line="240" w:lineRule="auto"/>
              <w:rPr>
                <w:rFonts w:ascii="Arial" w:eastAsia="Calibri" w:hAnsi="Arial" w:cs="Arial"/>
                <w:sz w:val="24"/>
                <w:szCs w:val="24"/>
              </w:rPr>
            </w:pPr>
            <w:r>
              <w:rPr>
                <w:rFonts w:ascii="Arial" w:eastAsia="Calibri" w:hAnsi="Arial" w:cs="Arial"/>
                <w:sz w:val="24"/>
                <w:szCs w:val="24"/>
              </w:rPr>
              <w:t>CUSTOMER SERVICE</w:t>
            </w:r>
          </w:p>
        </w:tc>
        <w:tc>
          <w:tcPr>
            <w:tcW w:w="664" w:type="dxa"/>
          </w:tcPr>
          <w:p w14:paraId="36303497" w14:textId="77777777" w:rsidR="002F2AF9" w:rsidRPr="006F27F8" w:rsidRDefault="000F1173" w:rsidP="00DB7ED6">
            <w:pPr>
              <w:spacing w:after="0" w:line="240" w:lineRule="auto"/>
              <w:jc w:val="right"/>
              <w:rPr>
                <w:rFonts w:ascii="Arial" w:eastAsia="Calibri" w:hAnsi="Arial" w:cs="Arial"/>
                <w:sz w:val="24"/>
                <w:szCs w:val="24"/>
              </w:rPr>
            </w:pPr>
            <w:r>
              <w:rPr>
                <w:rFonts w:ascii="Arial" w:eastAsia="Calibri" w:hAnsi="Arial" w:cs="Arial"/>
                <w:sz w:val="24"/>
                <w:szCs w:val="24"/>
              </w:rPr>
              <w:t>5</w:t>
            </w:r>
            <w:r w:rsidR="00EC2F50">
              <w:rPr>
                <w:rFonts w:ascii="Arial" w:eastAsia="Calibri" w:hAnsi="Arial" w:cs="Arial"/>
                <w:sz w:val="24"/>
                <w:szCs w:val="24"/>
              </w:rPr>
              <w:t>6</w:t>
            </w:r>
          </w:p>
        </w:tc>
        <w:tc>
          <w:tcPr>
            <w:tcW w:w="236" w:type="dxa"/>
          </w:tcPr>
          <w:p w14:paraId="725E583F" w14:textId="77777777" w:rsidR="002F2AF9" w:rsidRPr="006F27F8" w:rsidRDefault="002F2AF9" w:rsidP="00DB7ED6">
            <w:pPr>
              <w:spacing w:after="0" w:line="240" w:lineRule="auto"/>
              <w:jc w:val="center"/>
              <w:rPr>
                <w:rFonts w:ascii="Arial" w:eastAsia="Calibri" w:hAnsi="Arial" w:cs="Arial"/>
                <w:sz w:val="24"/>
                <w:szCs w:val="24"/>
              </w:rPr>
            </w:pPr>
          </w:p>
        </w:tc>
      </w:tr>
      <w:tr w:rsidR="002F2AF9" w:rsidRPr="006F27F8" w14:paraId="357C5A59" w14:textId="77777777" w:rsidTr="00AC73FC">
        <w:tc>
          <w:tcPr>
            <w:tcW w:w="1188" w:type="dxa"/>
          </w:tcPr>
          <w:p w14:paraId="62FCBE08" w14:textId="77777777" w:rsidR="002F2AF9" w:rsidRPr="006F27F8" w:rsidRDefault="002F2AF9" w:rsidP="00DB7ED6">
            <w:pPr>
              <w:spacing w:after="0" w:line="240" w:lineRule="auto"/>
              <w:jc w:val="center"/>
              <w:rPr>
                <w:rFonts w:ascii="Arial" w:eastAsia="Calibri" w:hAnsi="Arial" w:cs="Arial"/>
                <w:sz w:val="24"/>
                <w:szCs w:val="24"/>
              </w:rPr>
            </w:pPr>
          </w:p>
        </w:tc>
        <w:tc>
          <w:tcPr>
            <w:tcW w:w="7308" w:type="dxa"/>
          </w:tcPr>
          <w:p w14:paraId="151333A4" w14:textId="77777777" w:rsidR="002F2AF9" w:rsidRPr="006F27F8" w:rsidRDefault="002F2AF9" w:rsidP="00DB7ED6">
            <w:pPr>
              <w:spacing w:after="0" w:line="240" w:lineRule="auto"/>
              <w:ind w:left="324"/>
              <w:rPr>
                <w:rFonts w:ascii="Arial" w:eastAsia="Calibri" w:hAnsi="Arial" w:cs="Arial"/>
                <w:sz w:val="24"/>
                <w:szCs w:val="24"/>
              </w:rPr>
            </w:pPr>
          </w:p>
        </w:tc>
        <w:tc>
          <w:tcPr>
            <w:tcW w:w="664" w:type="dxa"/>
          </w:tcPr>
          <w:p w14:paraId="1CB0E249" w14:textId="77777777" w:rsidR="002F2AF9" w:rsidRPr="006F27F8" w:rsidRDefault="002F2AF9" w:rsidP="00DB7ED6">
            <w:pPr>
              <w:spacing w:after="0" w:line="240" w:lineRule="auto"/>
              <w:jc w:val="right"/>
              <w:rPr>
                <w:rFonts w:ascii="Arial" w:eastAsia="Calibri" w:hAnsi="Arial" w:cs="Arial"/>
                <w:sz w:val="24"/>
                <w:szCs w:val="24"/>
              </w:rPr>
            </w:pPr>
          </w:p>
        </w:tc>
        <w:tc>
          <w:tcPr>
            <w:tcW w:w="236" w:type="dxa"/>
          </w:tcPr>
          <w:p w14:paraId="48E5DDD7" w14:textId="77777777" w:rsidR="002F2AF9" w:rsidRPr="006F27F8" w:rsidRDefault="002F2AF9" w:rsidP="00DB7ED6">
            <w:pPr>
              <w:spacing w:after="0" w:line="240" w:lineRule="auto"/>
              <w:jc w:val="center"/>
              <w:rPr>
                <w:rFonts w:ascii="Arial" w:eastAsia="Calibri" w:hAnsi="Arial" w:cs="Arial"/>
                <w:sz w:val="24"/>
                <w:szCs w:val="24"/>
              </w:rPr>
            </w:pPr>
          </w:p>
        </w:tc>
      </w:tr>
      <w:tr w:rsidR="00402B14" w:rsidRPr="006F27F8" w14:paraId="21D631AF" w14:textId="77777777" w:rsidTr="00402B14">
        <w:tc>
          <w:tcPr>
            <w:tcW w:w="1188" w:type="dxa"/>
          </w:tcPr>
          <w:p w14:paraId="7EA2C89E" w14:textId="77777777" w:rsidR="00402B14" w:rsidRPr="006F27F8" w:rsidRDefault="00402B14" w:rsidP="00DB7ED6">
            <w:pPr>
              <w:spacing w:after="0" w:line="240" w:lineRule="auto"/>
              <w:jc w:val="center"/>
              <w:rPr>
                <w:rFonts w:ascii="Arial" w:eastAsia="Calibri" w:hAnsi="Arial" w:cs="Arial"/>
                <w:sz w:val="24"/>
                <w:szCs w:val="24"/>
              </w:rPr>
            </w:pPr>
            <w:r>
              <w:rPr>
                <w:rFonts w:ascii="Arial" w:eastAsia="Calibri" w:hAnsi="Arial" w:cs="Arial"/>
                <w:sz w:val="24"/>
                <w:szCs w:val="24"/>
              </w:rPr>
              <w:t>XI</w:t>
            </w:r>
            <w:r w:rsidR="002071D7">
              <w:rPr>
                <w:rFonts w:ascii="Arial" w:eastAsia="Calibri" w:hAnsi="Arial" w:cs="Arial"/>
                <w:sz w:val="24"/>
                <w:szCs w:val="24"/>
              </w:rPr>
              <w:t>.</w:t>
            </w:r>
          </w:p>
        </w:tc>
        <w:tc>
          <w:tcPr>
            <w:tcW w:w="7308" w:type="dxa"/>
          </w:tcPr>
          <w:p w14:paraId="45F74FC2" w14:textId="77777777" w:rsidR="00402B14" w:rsidRPr="006F27F8" w:rsidRDefault="00402B14" w:rsidP="00AC73FC">
            <w:pPr>
              <w:spacing w:after="0" w:line="240" w:lineRule="auto"/>
              <w:rPr>
                <w:rFonts w:ascii="Arial" w:eastAsia="Calibri" w:hAnsi="Arial" w:cs="Arial"/>
                <w:sz w:val="24"/>
                <w:szCs w:val="24"/>
              </w:rPr>
            </w:pPr>
            <w:r>
              <w:rPr>
                <w:rFonts w:ascii="Arial" w:eastAsia="Calibri" w:hAnsi="Arial" w:cs="Arial"/>
                <w:sz w:val="24"/>
                <w:szCs w:val="24"/>
              </w:rPr>
              <w:t>HUMAN RESOURCES</w:t>
            </w:r>
          </w:p>
        </w:tc>
        <w:tc>
          <w:tcPr>
            <w:tcW w:w="664" w:type="dxa"/>
          </w:tcPr>
          <w:p w14:paraId="3BBB90C8" w14:textId="77777777" w:rsidR="00402B14" w:rsidRPr="006F27F8" w:rsidRDefault="00EC2F50" w:rsidP="00DB7ED6">
            <w:pPr>
              <w:spacing w:after="0" w:line="240" w:lineRule="auto"/>
              <w:jc w:val="right"/>
              <w:rPr>
                <w:rFonts w:ascii="Arial" w:eastAsia="Calibri" w:hAnsi="Arial" w:cs="Arial"/>
                <w:sz w:val="24"/>
                <w:szCs w:val="24"/>
              </w:rPr>
            </w:pPr>
            <w:r>
              <w:rPr>
                <w:rFonts w:ascii="Arial" w:eastAsia="Calibri" w:hAnsi="Arial" w:cs="Arial"/>
                <w:sz w:val="24"/>
                <w:szCs w:val="24"/>
              </w:rPr>
              <w:t>88</w:t>
            </w:r>
          </w:p>
        </w:tc>
        <w:tc>
          <w:tcPr>
            <w:tcW w:w="236" w:type="dxa"/>
          </w:tcPr>
          <w:p w14:paraId="25AE1130" w14:textId="77777777" w:rsidR="00402B14" w:rsidRPr="006F27F8" w:rsidRDefault="00402B14" w:rsidP="00DB7ED6">
            <w:pPr>
              <w:spacing w:after="0" w:line="240" w:lineRule="auto"/>
              <w:jc w:val="center"/>
              <w:rPr>
                <w:rFonts w:ascii="Arial" w:eastAsia="Calibri" w:hAnsi="Arial" w:cs="Arial"/>
                <w:sz w:val="24"/>
                <w:szCs w:val="24"/>
              </w:rPr>
            </w:pPr>
          </w:p>
        </w:tc>
      </w:tr>
      <w:tr w:rsidR="00402B14" w:rsidRPr="006F27F8" w14:paraId="661D330B" w14:textId="77777777" w:rsidTr="00402B14">
        <w:tc>
          <w:tcPr>
            <w:tcW w:w="1188" w:type="dxa"/>
          </w:tcPr>
          <w:p w14:paraId="313CD8D9" w14:textId="77777777" w:rsidR="00402B14" w:rsidRPr="006F27F8" w:rsidRDefault="00402B14" w:rsidP="00DB7ED6">
            <w:pPr>
              <w:spacing w:after="0" w:line="240" w:lineRule="auto"/>
              <w:jc w:val="center"/>
              <w:rPr>
                <w:rFonts w:ascii="Arial" w:eastAsia="Calibri" w:hAnsi="Arial" w:cs="Arial"/>
                <w:sz w:val="24"/>
                <w:szCs w:val="24"/>
              </w:rPr>
            </w:pPr>
          </w:p>
        </w:tc>
        <w:tc>
          <w:tcPr>
            <w:tcW w:w="7308" w:type="dxa"/>
          </w:tcPr>
          <w:p w14:paraId="0657C13F" w14:textId="77777777" w:rsidR="00402B14" w:rsidRPr="006F27F8" w:rsidRDefault="00402B14" w:rsidP="00DB7ED6">
            <w:pPr>
              <w:spacing w:after="0" w:line="240" w:lineRule="auto"/>
              <w:ind w:left="324"/>
              <w:rPr>
                <w:rFonts w:ascii="Arial" w:eastAsia="Calibri" w:hAnsi="Arial" w:cs="Arial"/>
                <w:sz w:val="24"/>
                <w:szCs w:val="24"/>
              </w:rPr>
            </w:pPr>
          </w:p>
        </w:tc>
        <w:tc>
          <w:tcPr>
            <w:tcW w:w="664" w:type="dxa"/>
          </w:tcPr>
          <w:p w14:paraId="6F9D3B24" w14:textId="77777777" w:rsidR="00402B14" w:rsidRPr="006F27F8" w:rsidRDefault="00402B14" w:rsidP="00DB7ED6">
            <w:pPr>
              <w:spacing w:after="0" w:line="240" w:lineRule="auto"/>
              <w:jc w:val="right"/>
              <w:rPr>
                <w:rFonts w:ascii="Arial" w:eastAsia="Calibri" w:hAnsi="Arial" w:cs="Arial"/>
                <w:sz w:val="24"/>
                <w:szCs w:val="24"/>
              </w:rPr>
            </w:pPr>
          </w:p>
        </w:tc>
        <w:tc>
          <w:tcPr>
            <w:tcW w:w="236" w:type="dxa"/>
          </w:tcPr>
          <w:p w14:paraId="7DF2C930" w14:textId="77777777" w:rsidR="00402B14" w:rsidRPr="006F27F8" w:rsidRDefault="00402B14" w:rsidP="00DB7ED6">
            <w:pPr>
              <w:spacing w:after="0" w:line="240" w:lineRule="auto"/>
              <w:jc w:val="center"/>
              <w:rPr>
                <w:rFonts w:ascii="Arial" w:eastAsia="Calibri" w:hAnsi="Arial" w:cs="Arial"/>
                <w:sz w:val="24"/>
                <w:szCs w:val="24"/>
              </w:rPr>
            </w:pPr>
          </w:p>
        </w:tc>
      </w:tr>
      <w:tr w:rsidR="00402B14" w:rsidRPr="006F27F8" w14:paraId="157446B2" w14:textId="77777777" w:rsidTr="00402B14">
        <w:tc>
          <w:tcPr>
            <w:tcW w:w="1188" w:type="dxa"/>
          </w:tcPr>
          <w:p w14:paraId="093C0989" w14:textId="77777777" w:rsidR="00402B14" w:rsidRPr="006F27F8" w:rsidRDefault="00402B14" w:rsidP="00402B14">
            <w:pPr>
              <w:spacing w:after="0" w:line="240" w:lineRule="auto"/>
              <w:jc w:val="center"/>
              <w:rPr>
                <w:rFonts w:ascii="Arial" w:eastAsia="Calibri" w:hAnsi="Arial" w:cs="Arial"/>
                <w:sz w:val="24"/>
                <w:szCs w:val="24"/>
              </w:rPr>
            </w:pPr>
            <w:r>
              <w:rPr>
                <w:rFonts w:ascii="Arial" w:eastAsia="Calibri" w:hAnsi="Arial" w:cs="Arial"/>
                <w:sz w:val="24"/>
                <w:szCs w:val="24"/>
              </w:rPr>
              <w:t>XII</w:t>
            </w:r>
            <w:r w:rsidR="002071D7">
              <w:rPr>
                <w:rFonts w:ascii="Arial" w:eastAsia="Calibri" w:hAnsi="Arial" w:cs="Arial"/>
                <w:sz w:val="24"/>
                <w:szCs w:val="24"/>
              </w:rPr>
              <w:t>.</w:t>
            </w:r>
          </w:p>
        </w:tc>
        <w:tc>
          <w:tcPr>
            <w:tcW w:w="7308" w:type="dxa"/>
          </w:tcPr>
          <w:p w14:paraId="5F468CC2" w14:textId="77777777" w:rsidR="00402B14" w:rsidRPr="006F27F8" w:rsidRDefault="00402B14" w:rsidP="00AC73FC">
            <w:pPr>
              <w:spacing w:after="0" w:line="240" w:lineRule="auto"/>
              <w:rPr>
                <w:rFonts w:ascii="Arial" w:eastAsia="Calibri" w:hAnsi="Arial" w:cs="Arial"/>
                <w:sz w:val="24"/>
                <w:szCs w:val="24"/>
              </w:rPr>
            </w:pPr>
            <w:r>
              <w:rPr>
                <w:rFonts w:ascii="Arial" w:eastAsia="Calibri" w:hAnsi="Arial" w:cs="Arial"/>
                <w:sz w:val="24"/>
                <w:szCs w:val="24"/>
              </w:rPr>
              <w:t>FLEET MANAGEMENT</w:t>
            </w:r>
          </w:p>
        </w:tc>
        <w:tc>
          <w:tcPr>
            <w:tcW w:w="664" w:type="dxa"/>
          </w:tcPr>
          <w:p w14:paraId="3092CCF6" w14:textId="77777777" w:rsidR="00402B14" w:rsidRPr="006F27F8" w:rsidRDefault="00EC2F50" w:rsidP="00DB7ED6">
            <w:pPr>
              <w:spacing w:after="0" w:line="240" w:lineRule="auto"/>
              <w:jc w:val="right"/>
              <w:rPr>
                <w:rFonts w:ascii="Arial" w:eastAsia="Calibri" w:hAnsi="Arial" w:cs="Arial"/>
                <w:sz w:val="24"/>
                <w:szCs w:val="24"/>
              </w:rPr>
            </w:pPr>
            <w:r>
              <w:rPr>
                <w:rFonts w:ascii="Arial" w:eastAsia="Calibri" w:hAnsi="Arial" w:cs="Arial"/>
                <w:sz w:val="24"/>
                <w:szCs w:val="24"/>
              </w:rPr>
              <w:t>97</w:t>
            </w:r>
          </w:p>
        </w:tc>
        <w:tc>
          <w:tcPr>
            <w:tcW w:w="236" w:type="dxa"/>
          </w:tcPr>
          <w:p w14:paraId="0ACDD515" w14:textId="77777777" w:rsidR="00402B14" w:rsidRPr="006F27F8" w:rsidRDefault="00402B14" w:rsidP="00DB7ED6">
            <w:pPr>
              <w:spacing w:after="0" w:line="240" w:lineRule="auto"/>
              <w:jc w:val="center"/>
              <w:rPr>
                <w:rFonts w:ascii="Arial" w:eastAsia="Calibri" w:hAnsi="Arial" w:cs="Arial"/>
                <w:sz w:val="24"/>
                <w:szCs w:val="24"/>
              </w:rPr>
            </w:pPr>
          </w:p>
        </w:tc>
      </w:tr>
      <w:tr w:rsidR="00402B14" w:rsidRPr="006F27F8" w14:paraId="71177C48" w14:textId="77777777" w:rsidTr="00402B14">
        <w:tc>
          <w:tcPr>
            <w:tcW w:w="1188" w:type="dxa"/>
          </w:tcPr>
          <w:p w14:paraId="28C8D9C1" w14:textId="77777777" w:rsidR="00402B14" w:rsidRPr="006F27F8" w:rsidRDefault="00402B14" w:rsidP="00DB7ED6">
            <w:pPr>
              <w:spacing w:after="0" w:line="240" w:lineRule="auto"/>
              <w:jc w:val="center"/>
              <w:rPr>
                <w:rFonts w:ascii="Arial" w:eastAsia="Calibri" w:hAnsi="Arial" w:cs="Arial"/>
                <w:sz w:val="24"/>
                <w:szCs w:val="24"/>
              </w:rPr>
            </w:pPr>
          </w:p>
        </w:tc>
        <w:tc>
          <w:tcPr>
            <w:tcW w:w="7308" w:type="dxa"/>
          </w:tcPr>
          <w:p w14:paraId="3C5698B4" w14:textId="77777777" w:rsidR="00402B14" w:rsidRPr="006F27F8" w:rsidRDefault="00402B14" w:rsidP="00DB7ED6">
            <w:pPr>
              <w:spacing w:after="0" w:line="240" w:lineRule="auto"/>
              <w:ind w:left="324"/>
              <w:rPr>
                <w:rFonts w:ascii="Arial" w:eastAsia="Calibri" w:hAnsi="Arial" w:cs="Arial"/>
                <w:sz w:val="24"/>
                <w:szCs w:val="24"/>
              </w:rPr>
            </w:pPr>
          </w:p>
        </w:tc>
        <w:tc>
          <w:tcPr>
            <w:tcW w:w="664" w:type="dxa"/>
          </w:tcPr>
          <w:p w14:paraId="612D1831" w14:textId="77777777" w:rsidR="00402B14" w:rsidRPr="006F27F8" w:rsidRDefault="00402B14" w:rsidP="00DB7ED6">
            <w:pPr>
              <w:spacing w:after="0" w:line="240" w:lineRule="auto"/>
              <w:jc w:val="right"/>
              <w:rPr>
                <w:rFonts w:ascii="Arial" w:eastAsia="Calibri" w:hAnsi="Arial" w:cs="Arial"/>
                <w:sz w:val="24"/>
                <w:szCs w:val="24"/>
              </w:rPr>
            </w:pPr>
          </w:p>
        </w:tc>
        <w:tc>
          <w:tcPr>
            <w:tcW w:w="236" w:type="dxa"/>
          </w:tcPr>
          <w:p w14:paraId="1A05F1BC" w14:textId="77777777" w:rsidR="00402B14" w:rsidRPr="006F27F8" w:rsidRDefault="00402B14" w:rsidP="00DB7ED6">
            <w:pPr>
              <w:spacing w:after="0" w:line="240" w:lineRule="auto"/>
              <w:jc w:val="center"/>
              <w:rPr>
                <w:rFonts w:ascii="Arial" w:eastAsia="Calibri" w:hAnsi="Arial" w:cs="Arial"/>
                <w:sz w:val="24"/>
                <w:szCs w:val="24"/>
              </w:rPr>
            </w:pPr>
          </w:p>
        </w:tc>
      </w:tr>
      <w:tr w:rsidR="00402B14" w:rsidRPr="006F27F8" w14:paraId="067D7A39" w14:textId="77777777" w:rsidTr="00402B14">
        <w:tc>
          <w:tcPr>
            <w:tcW w:w="1188" w:type="dxa"/>
          </w:tcPr>
          <w:p w14:paraId="2D07BED5" w14:textId="77777777" w:rsidR="00402B14" w:rsidRPr="006F27F8" w:rsidRDefault="00402B14" w:rsidP="00402B14">
            <w:pPr>
              <w:spacing w:after="0" w:line="240" w:lineRule="auto"/>
              <w:jc w:val="center"/>
              <w:rPr>
                <w:rFonts w:ascii="Arial" w:eastAsia="Calibri" w:hAnsi="Arial" w:cs="Arial"/>
                <w:sz w:val="24"/>
                <w:szCs w:val="24"/>
              </w:rPr>
            </w:pPr>
            <w:r>
              <w:rPr>
                <w:rFonts w:ascii="Arial" w:eastAsia="Calibri" w:hAnsi="Arial" w:cs="Arial"/>
                <w:sz w:val="24"/>
                <w:szCs w:val="24"/>
              </w:rPr>
              <w:t>XIII</w:t>
            </w:r>
            <w:r w:rsidR="002071D7">
              <w:rPr>
                <w:rFonts w:ascii="Arial" w:eastAsia="Calibri" w:hAnsi="Arial" w:cs="Arial"/>
                <w:sz w:val="24"/>
                <w:szCs w:val="24"/>
              </w:rPr>
              <w:t>.</w:t>
            </w:r>
          </w:p>
        </w:tc>
        <w:tc>
          <w:tcPr>
            <w:tcW w:w="7308" w:type="dxa"/>
          </w:tcPr>
          <w:p w14:paraId="1D30C1C8" w14:textId="77777777" w:rsidR="00402B14" w:rsidRPr="006F27F8" w:rsidRDefault="00402B14" w:rsidP="00AC73FC">
            <w:pPr>
              <w:spacing w:after="0" w:line="240" w:lineRule="auto"/>
              <w:rPr>
                <w:rFonts w:ascii="Arial" w:eastAsia="Calibri" w:hAnsi="Arial" w:cs="Arial"/>
                <w:sz w:val="24"/>
                <w:szCs w:val="24"/>
              </w:rPr>
            </w:pPr>
            <w:r>
              <w:rPr>
                <w:rFonts w:ascii="Arial" w:eastAsia="Calibri" w:hAnsi="Arial" w:cs="Arial"/>
                <w:sz w:val="24"/>
                <w:szCs w:val="24"/>
              </w:rPr>
              <w:t>FACILITIES MANAGEMENT</w:t>
            </w:r>
          </w:p>
        </w:tc>
        <w:tc>
          <w:tcPr>
            <w:tcW w:w="664" w:type="dxa"/>
          </w:tcPr>
          <w:p w14:paraId="7286C54F" w14:textId="77777777" w:rsidR="00402B14" w:rsidRPr="006F27F8" w:rsidRDefault="000F1173" w:rsidP="00DB7ED6">
            <w:pPr>
              <w:spacing w:after="0" w:line="240" w:lineRule="auto"/>
              <w:jc w:val="right"/>
              <w:rPr>
                <w:rFonts w:ascii="Arial" w:eastAsia="Calibri" w:hAnsi="Arial" w:cs="Arial"/>
                <w:sz w:val="24"/>
                <w:szCs w:val="24"/>
              </w:rPr>
            </w:pPr>
            <w:r>
              <w:rPr>
                <w:rFonts w:ascii="Arial" w:eastAsia="Calibri" w:hAnsi="Arial" w:cs="Arial"/>
                <w:sz w:val="24"/>
                <w:szCs w:val="24"/>
              </w:rPr>
              <w:t>1</w:t>
            </w:r>
            <w:r w:rsidR="00EC2F50">
              <w:rPr>
                <w:rFonts w:ascii="Arial" w:eastAsia="Calibri" w:hAnsi="Arial" w:cs="Arial"/>
                <w:sz w:val="24"/>
                <w:szCs w:val="24"/>
              </w:rPr>
              <w:t>0</w:t>
            </w:r>
            <w:r w:rsidR="00556C37">
              <w:rPr>
                <w:rFonts w:ascii="Arial" w:eastAsia="Calibri" w:hAnsi="Arial" w:cs="Arial"/>
                <w:sz w:val="24"/>
                <w:szCs w:val="24"/>
              </w:rPr>
              <w:t>7</w:t>
            </w:r>
          </w:p>
        </w:tc>
        <w:tc>
          <w:tcPr>
            <w:tcW w:w="236" w:type="dxa"/>
          </w:tcPr>
          <w:p w14:paraId="374C559F" w14:textId="77777777" w:rsidR="00402B14" w:rsidRPr="006F27F8" w:rsidRDefault="00402B14" w:rsidP="00DB7ED6">
            <w:pPr>
              <w:spacing w:after="0" w:line="240" w:lineRule="auto"/>
              <w:jc w:val="center"/>
              <w:rPr>
                <w:rFonts w:ascii="Arial" w:eastAsia="Calibri" w:hAnsi="Arial" w:cs="Arial"/>
                <w:sz w:val="24"/>
                <w:szCs w:val="24"/>
              </w:rPr>
            </w:pPr>
          </w:p>
        </w:tc>
      </w:tr>
      <w:tr w:rsidR="00402B14" w:rsidRPr="006F27F8" w14:paraId="2E56FB06" w14:textId="77777777" w:rsidTr="00402B14">
        <w:tc>
          <w:tcPr>
            <w:tcW w:w="1188" w:type="dxa"/>
          </w:tcPr>
          <w:p w14:paraId="16C69ECC" w14:textId="77777777" w:rsidR="00402B14" w:rsidRDefault="00402B14" w:rsidP="00402B14">
            <w:pPr>
              <w:spacing w:after="0" w:line="240" w:lineRule="auto"/>
              <w:jc w:val="center"/>
              <w:rPr>
                <w:rFonts w:ascii="Arial" w:eastAsia="Calibri" w:hAnsi="Arial" w:cs="Arial"/>
                <w:sz w:val="24"/>
                <w:szCs w:val="24"/>
              </w:rPr>
            </w:pPr>
          </w:p>
        </w:tc>
        <w:tc>
          <w:tcPr>
            <w:tcW w:w="7308" w:type="dxa"/>
          </w:tcPr>
          <w:p w14:paraId="5CC6B387" w14:textId="77777777" w:rsidR="00402B14" w:rsidRDefault="00402B14" w:rsidP="00402B14">
            <w:pPr>
              <w:spacing w:after="0" w:line="240" w:lineRule="auto"/>
              <w:rPr>
                <w:rFonts w:ascii="Arial" w:eastAsia="Calibri" w:hAnsi="Arial" w:cs="Arial"/>
                <w:sz w:val="24"/>
                <w:szCs w:val="24"/>
              </w:rPr>
            </w:pPr>
          </w:p>
        </w:tc>
        <w:tc>
          <w:tcPr>
            <w:tcW w:w="664" w:type="dxa"/>
          </w:tcPr>
          <w:p w14:paraId="4DE21D74" w14:textId="77777777" w:rsidR="00402B14" w:rsidRPr="006F27F8" w:rsidRDefault="00402B14" w:rsidP="00DB7ED6">
            <w:pPr>
              <w:spacing w:after="0" w:line="240" w:lineRule="auto"/>
              <w:jc w:val="right"/>
              <w:rPr>
                <w:rFonts w:ascii="Arial" w:eastAsia="Calibri" w:hAnsi="Arial" w:cs="Arial"/>
                <w:sz w:val="24"/>
                <w:szCs w:val="24"/>
              </w:rPr>
            </w:pPr>
          </w:p>
        </w:tc>
        <w:tc>
          <w:tcPr>
            <w:tcW w:w="236" w:type="dxa"/>
          </w:tcPr>
          <w:p w14:paraId="7690DC0E" w14:textId="77777777" w:rsidR="00402B14" w:rsidRPr="006F27F8" w:rsidRDefault="00402B14" w:rsidP="00DB7ED6">
            <w:pPr>
              <w:spacing w:after="0" w:line="240" w:lineRule="auto"/>
              <w:jc w:val="center"/>
              <w:rPr>
                <w:rFonts w:ascii="Arial" w:eastAsia="Calibri" w:hAnsi="Arial" w:cs="Arial"/>
                <w:sz w:val="24"/>
                <w:szCs w:val="24"/>
              </w:rPr>
            </w:pPr>
          </w:p>
        </w:tc>
      </w:tr>
      <w:tr w:rsidR="00402B14" w:rsidRPr="006F27F8" w14:paraId="5CA21311" w14:textId="77777777" w:rsidTr="00402B14">
        <w:tc>
          <w:tcPr>
            <w:tcW w:w="1188" w:type="dxa"/>
          </w:tcPr>
          <w:p w14:paraId="59E8EB6C" w14:textId="77777777" w:rsidR="00402B14" w:rsidRDefault="00402B14" w:rsidP="00402B14">
            <w:pPr>
              <w:spacing w:after="0" w:line="240" w:lineRule="auto"/>
              <w:jc w:val="center"/>
              <w:rPr>
                <w:rFonts w:ascii="Arial" w:eastAsia="Calibri" w:hAnsi="Arial" w:cs="Arial"/>
                <w:sz w:val="24"/>
                <w:szCs w:val="24"/>
              </w:rPr>
            </w:pPr>
            <w:r>
              <w:rPr>
                <w:rFonts w:ascii="Arial" w:eastAsia="Calibri" w:hAnsi="Arial" w:cs="Arial"/>
                <w:sz w:val="24"/>
                <w:szCs w:val="24"/>
              </w:rPr>
              <w:t>XIV</w:t>
            </w:r>
            <w:r w:rsidR="002071D7">
              <w:rPr>
                <w:rFonts w:ascii="Arial" w:eastAsia="Calibri" w:hAnsi="Arial" w:cs="Arial"/>
                <w:sz w:val="24"/>
                <w:szCs w:val="24"/>
              </w:rPr>
              <w:t>.</w:t>
            </w:r>
          </w:p>
        </w:tc>
        <w:tc>
          <w:tcPr>
            <w:tcW w:w="7308" w:type="dxa"/>
          </w:tcPr>
          <w:p w14:paraId="579C6AB2" w14:textId="77777777" w:rsidR="00402B14" w:rsidRDefault="00402B14" w:rsidP="00402B14">
            <w:pPr>
              <w:spacing w:after="0" w:line="240" w:lineRule="auto"/>
              <w:rPr>
                <w:rFonts w:ascii="Arial" w:eastAsia="Calibri" w:hAnsi="Arial" w:cs="Arial"/>
                <w:sz w:val="24"/>
                <w:szCs w:val="24"/>
              </w:rPr>
            </w:pPr>
            <w:r>
              <w:rPr>
                <w:rFonts w:ascii="Arial" w:eastAsia="Calibri" w:hAnsi="Arial" w:cs="Arial"/>
                <w:sz w:val="24"/>
                <w:szCs w:val="24"/>
              </w:rPr>
              <w:t>ACKNOWLEDGEMENTS</w:t>
            </w:r>
          </w:p>
        </w:tc>
        <w:tc>
          <w:tcPr>
            <w:tcW w:w="664" w:type="dxa"/>
          </w:tcPr>
          <w:p w14:paraId="26B60E0D" w14:textId="77777777" w:rsidR="00402B14" w:rsidRPr="006F27F8" w:rsidRDefault="000F1173" w:rsidP="00DB7ED6">
            <w:pPr>
              <w:spacing w:after="0" w:line="240" w:lineRule="auto"/>
              <w:jc w:val="right"/>
              <w:rPr>
                <w:rFonts w:ascii="Arial" w:eastAsia="Calibri" w:hAnsi="Arial" w:cs="Arial"/>
                <w:sz w:val="24"/>
                <w:szCs w:val="24"/>
              </w:rPr>
            </w:pPr>
            <w:r>
              <w:rPr>
                <w:rFonts w:ascii="Arial" w:eastAsia="Calibri" w:hAnsi="Arial" w:cs="Arial"/>
                <w:sz w:val="24"/>
                <w:szCs w:val="24"/>
              </w:rPr>
              <w:t>11</w:t>
            </w:r>
            <w:r w:rsidR="00556C37">
              <w:rPr>
                <w:rFonts w:ascii="Arial" w:eastAsia="Calibri" w:hAnsi="Arial" w:cs="Arial"/>
                <w:sz w:val="24"/>
                <w:szCs w:val="24"/>
              </w:rPr>
              <w:t>0</w:t>
            </w:r>
          </w:p>
        </w:tc>
        <w:tc>
          <w:tcPr>
            <w:tcW w:w="236" w:type="dxa"/>
          </w:tcPr>
          <w:p w14:paraId="3145C4F7" w14:textId="77777777" w:rsidR="00402B14" w:rsidRPr="006F27F8" w:rsidRDefault="00402B14" w:rsidP="00DB7ED6">
            <w:pPr>
              <w:spacing w:after="0" w:line="240" w:lineRule="auto"/>
              <w:jc w:val="center"/>
              <w:rPr>
                <w:rFonts w:ascii="Arial" w:eastAsia="Calibri" w:hAnsi="Arial" w:cs="Arial"/>
                <w:sz w:val="24"/>
                <w:szCs w:val="24"/>
              </w:rPr>
            </w:pPr>
          </w:p>
        </w:tc>
      </w:tr>
    </w:tbl>
    <w:p w14:paraId="50C25D20" w14:textId="77777777" w:rsidR="002F2AF9" w:rsidRPr="006F27F8" w:rsidRDefault="002F2AF9" w:rsidP="00DB7ED6">
      <w:pPr>
        <w:spacing w:after="0" w:line="240" w:lineRule="auto"/>
        <w:jc w:val="center"/>
        <w:rPr>
          <w:rFonts w:ascii="Calibri" w:eastAsia="Calibri" w:hAnsi="Calibri" w:cs="Times New Roman"/>
        </w:rPr>
      </w:pPr>
    </w:p>
    <w:p w14:paraId="4B7B6852" w14:textId="77777777" w:rsidR="002F2AF9" w:rsidRPr="006F27F8" w:rsidRDefault="002F2AF9" w:rsidP="00DB7ED6">
      <w:pPr>
        <w:spacing w:after="0" w:line="240" w:lineRule="auto"/>
        <w:jc w:val="center"/>
        <w:rPr>
          <w:rFonts w:ascii="Arial" w:eastAsia="Calibri" w:hAnsi="Arial" w:cs="Arial"/>
          <w:b/>
        </w:rPr>
      </w:pPr>
      <w:r w:rsidRPr="006F27F8">
        <w:rPr>
          <w:rFonts w:ascii="Calibri" w:eastAsia="Calibri" w:hAnsi="Calibri" w:cs="Times New Roman"/>
          <w:b/>
        </w:rPr>
        <w:br w:type="page"/>
      </w:r>
    </w:p>
    <w:p w14:paraId="585DE782" w14:textId="77777777" w:rsidR="002F2AF9" w:rsidRPr="006E519A" w:rsidRDefault="002F2AF9" w:rsidP="00DB7ED6">
      <w:pPr>
        <w:spacing w:after="0" w:line="240" w:lineRule="auto"/>
        <w:jc w:val="center"/>
        <w:rPr>
          <w:rFonts w:ascii="Arial" w:eastAsia="Calibri" w:hAnsi="Arial" w:cs="Arial"/>
          <w:b/>
          <w:sz w:val="26"/>
          <w:szCs w:val="26"/>
          <w:u w:val="single"/>
        </w:rPr>
      </w:pPr>
      <w:bookmarkStart w:id="0" w:name="_Hlk520967814"/>
      <w:r w:rsidRPr="006E519A">
        <w:rPr>
          <w:rFonts w:ascii="Arial" w:eastAsia="Calibri" w:hAnsi="Arial" w:cs="Arial"/>
          <w:b/>
          <w:sz w:val="26"/>
          <w:szCs w:val="26"/>
          <w:u w:val="single"/>
        </w:rPr>
        <w:t>LIST OF EXHIBITS</w:t>
      </w:r>
    </w:p>
    <w:bookmarkEnd w:id="0"/>
    <w:p w14:paraId="25873846" w14:textId="77777777" w:rsidR="002F2AF9" w:rsidRPr="006F27F8" w:rsidRDefault="002F2AF9" w:rsidP="00DB7ED6">
      <w:pPr>
        <w:spacing w:after="0" w:line="240" w:lineRule="auto"/>
        <w:jc w:val="center"/>
        <w:rPr>
          <w:rFonts w:ascii="Arial" w:eastAsia="Calibri" w:hAnsi="Arial" w:cs="Arial"/>
          <w:b/>
        </w:rPr>
      </w:pPr>
    </w:p>
    <w:tbl>
      <w:tblPr>
        <w:tblW w:w="0" w:type="auto"/>
        <w:tblInd w:w="-252" w:type="dxa"/>
        <w:tblLook w:val="01E0" w:firstRow="1" w:lastRow="1" w:firstColumn="1" w:lastColumn="1" w:noHBand="0" w:noVBand="0"/>
      </w:tblPr>
      <w:tblGrid>
        <w:gridCol w:w="1017"/>
        <w:gridCol w:w="7455"/>
        <w:gridCol w:w="884"/>
        <w:gridCol w:w="256"/>
      </w:tblGrid>
      <w:tr w:rsidR="002F2AF9" w:rsidRPr="006F27F8" w14:paraId="1FCEF534" w14:textId="77777777" w:rsidTr="00FE1CA4">
        <w:tc>
          <w:tcPr>
            <w:tcW w:w="1017" w:type="dxa"/>
          </w:tcPr>
          <w:p w14:paraId="4F86AB4C" w14:textId="77777777" w:rsidR="002F2AF9" w:rsidRPr="006F27F8" w:rsidRDefault="002F2AF9" w:rsidP="00DB7ED6">
            <w:pPr>
              <w:spacing w:after="0" w:line="240" w:lineRule="auto"/>
              <w:jc w:val="center"/>
              <w:rPr>
                <w:rFonts w:ascii="Arial" w:eastAsia="Calibri" w:hAnsi="Arial" w:cs="Arial"/>
                <w:b/>
                <w:sz w:val="24"/>
                <w:szCs w:val="24"/>
                <w:u w:val="single"/>
              </w:rPr>
            </w:pPr>
            <w:r w:rsidRPr="006F27F8">
              <w:rPr>
                <w:rFonts w:ascii="Arial" w:eastAsia="Calibri" w:hAnsi="Arial" w:cs="Arial"/>
                <w:b/>
                <w:sz w:val="24"/>
                <w:szCs w:val="24"/>
                <w:u w:val="single"/>
              </w:rPr>
              <w:t>Exhibit</w:t>
            </w:r>
          </w:p>
        </w:tc>
        <w:tc>
          <w:tcPr>
            <w:tcW w:w="7455" w:type="dxa"/>
          </w:tcPr>
          <w:p w14:paraId="7C666297" w14:textId="77777777" w:rsidR="002F2AF9" w:rsidRPr="006F27F8" w:rsidRDefault="002F2AF9" w:rsidP="00DB7ED6">
            <w:pPr>
              <w:spacing w:after="0" w:line="240" w:lineRule="auto"/>
              <w:jc w:val="center"/>
              <w:rPr>
                <w:rFonts w:ascii="Arial" w:eastAsia="Calibri" w:hAnsi="Arial" w:cs="Arial"/>
                <w:b/>
                <w:sz w:val="24"/>
                <w:szCs w:val="24"/>
              </w:rPr>
            </w:pPr>
          </w:p>
        </w:tc>
        <w:tc>
          <w:tcPr>
            <w:tcW w:w="1140" w:type="dxa"/>
            <w:gridSpan w:val="2"/>
          </w:tcPr>
          <w:p w14:paraId="7EE12ED7" w14:textId="77777777" w:rsidR="002F2AF9" w:rsidRPr="006F27F8" w:rsidRDefault="002F2AF9" w:rsidP="00DB7ED6">
            <w:pPr>
              <w:spacing w:after="0" w:line="240" w:lineRule="auto"/>
              <w:jc w:val="center"/>
              <w:rPr>
                <w:rFonts w:ascii="Arial" w:eastAsia="Calibri" w:hAnsi="Arial" w:cs="Arial"/>
                <w:b/>
                <w:sz w:val="24"/>
                <w:szCs w:val="24"/>
                <w:u w:val="single"/>
              </w:rPr>
            </w:pPr>
            <w:r w:rsidRPr="006F27F8">
              <w:rPr>
                <w:rFonts w:ascii="Arial" w:eastAsia="Calibri" w:hAnsi="Arial" w:cs="Arial"/>
                <w:b/>
                <w:sz w:val="24"/>
                <w:szCs w:val="24"/>
                <w:u w:val="single"/>
              </w:rPr>
              <w:t>Page</w:t>
            </w:r>
          </w:p>
        </w:tc>
      </w:tr>
      <w:tr w:rsidR="002F2AF9" w:rsidRPr="006F27F8" w14:paraId="18A05C59" w14:textId="77777777" w:rsidTr="00FE1CA4">
        <w:tc>
          <w:tcPr>
            <w:tcW w:w="1017" w:type="dxa"/>
          </w:tcPr>
          <w:p w14:paraId="61A1928C" w14:textId="77777777" w:rsidR="002F2AF9" w:rsidRPr="006F27F8" w:rsidRDefault="002F2AF9" w:rsidP="00DB7ED6">
            <w:pPr>
              <w:spacing w:after="0" w:line="240" w:lineRule="auto"/>
              <w:jc w:val="center"/>
              <w:rPr>
                <w:rFonts w:ascii="Arial" w:eastAsia="Calibri" w:hAnsi="Arial" w:cs="Arial"/>
                <w:sz w:val="24"/>
                <w:szCs w:val="24"/>
              </w:rPr>
            </w:pPr>
          </w:p>
        </w:tc>
        <w:tc>
          <w:tcPr>
            <w:tcW w:w="7455" w:type="dxa"/>
          </w:tcPr>
          <w:p w14:paraId="0E7FE9B7" w14:textId="77777777" w:rsidR="002F2AF9" w:rsidRPr="006F27F8" w:rsidRDefault="002F2AF9" w:rsidP="00DB7ED6">
            <w:pPr>
              <w:spacing w:after="0" w:line="240" w:lineRule="auto"/>
              <w:jc w:val="center"/>
              <w:rPr>
                <w:rFonts w:ascii="Arial" w:eastAsia="Calibri" w:hAnsi="Arial" w:cs="Arial"/>
                <w:b/>
                <w:sz w:val="24"/>
                <w:szCs w:val="24"/>
              </w:rPr>
            </w:pPr>
          </w:p>
        </w:tc>
        <w:tc>
          <w:tcPr>
            <w:tcW w:w="1140" w:type="dxa"/>
            <w:gridSpan w:val="2"/>
          </w:tcPr>
          <w:p w14:paraId="5C35D7B0" w14:textId="77777777" w:rsidR="002F2AF9" w:rsidRPr="006F27F8" w:rsidRDefault="002F2AF9" w:rsidP="00DB7ED6">
            <w:pPr>
              <w:spacing w:after="0" w:line="240" w:lineRule="auto"/>
              <w:jc w:val="center"/>
              <w:rPr>
                <w:rFonts w:ascii="Arial" w:eastAsia="Calibri" w:hAnsi="Arial" w:cs="Arial"/>
                <w:b/>
                <w:sz w:val="24"/>
                <w:szCs w:val="24"/>
              </w:rPr>
            </w:pPr>
          </w:p>
        </w:tc>
      </w:tr>
      <w:tr w:rsidR="002F2AF9" w:rsidRPr="006F27F8" w14:paraId="1EA6FACA" w14:textId="77777777" w:rsidTr="00FE1CA4">
        <w:tc>
          <w:tcPr>
            <w:tcW w:w="1017" w:type="dxa"/>
          </w:tcPr>
          <w:p w14:paraId="5B037AE7" w14:textId="77777777" w:rsidR="002F2AF9" w:rsidRPr="00A93F8C" w:rsidRDefault="002F2AF9" w:rsidP="00DB7ED6">
            <w:pPr>
              <w:spacing w:after="0" w:line="240" w:lineRule="auto"/>
              <w:jc w:val="center"/>
              <w:rPr>
                <w:rFonts w:ascii="Arial" w:eastAsia="Calibri" w:hAnsi="Arial" w:cs="Arial"/>
                <w:sz w:val="24"/>
                <w:szCs w:val="24"/>
              </w:rPr>
            </w:pPr>
            <w:r w:rsidRPr="00A93F8C">
              <w:rPr>
                <w:rFonts w:ascii="Arial" w:eastAsia="Calibri" w:hAnsi="Arial" w:cs="Arial"/>
                <w:sz w:val="24"/>
                <w:szCs w:val="24"/>
              </w:rPr>
              <w:t>II-1</w:t>
            </w:r>
          </w:p>
        </w:tc>
        <w:tc>
          <w:tcPr>
            <w:tcW w:w="7455" w:type="dxa"/>
          </w:tcPr>
          <w:p w14:paraId="2F8ECF14" w14:textId="77777777" w:rsidR="002F2AF9" w:rsidRPr="00A93F8C" w:rsidRDefault="00154FE0" w:rsidP="00062185">
            <w:pPr>
              <w:spacing w:after="0" w:line="240" w:lineRule="auto"/>
              <w:ind w:left="405" w:hanging="360"/>
              <w:rPr>
                <w:rFonts w:ascii="Arial" w:eastAsia="Calibri" w:hAnsi="Arial" w:cs="Arial"/>
                <w:sz w:val="24"/>
                <w:szCs w:val="24"/>
              </w:rPr>
            </w:pPr>
            <w:r w:rsidRPr="00A93F8C">
              <w:rPr>
                <w:rFonts w:ascii="Arial" w:eastAsia="Calibri" w:hAnsi="Arial" w:cs="Arial"/>
                <w:sz w:val="24"/>
                <w:szCs w:val="24"/>
              </w:rPr>
              <w:t xml:space="preserve">Summary of </w:t>
            </w:r>
            <w:r w:rsidR="00A93F8C" w:rsidRPr="00A93F8C">
              <w:rPr>
                <w:rFonts w:ascii="Arial" w:eastAsia="Calibri" w:hAnsi="Arial" w:cs="Arial"/>
                <w:sz w:val="24"/>
                <w:szCs w:val="24"/>
              </w:rPr>
              <w:t>November 2014</w:t>
            </w:r>
            <w:r w:rsidR="00356CB0" w:rsidRPr="00A93F8C">
              <w:rPr>
                <w:rFonts w:ascii="Arial" w:eastAsia="Calibri" w:hAnsi="Arial" w:cs="Arial"/>
                <w:sz w:val="24"/>
                <w:szCs w:val="24"/>
              </w:rPr>
              <w:t xml:space="preserve"> Management Audit Recommendations and Staff’s Follow-Up Findings, Conclusions, and Recommendations</w:t>
            </w:r>
          </w:p>
        </w:tc>
        <w:tc>
          <w:tcPr>
            <w:tcW w:w="884" w:type="dxa"/>
          </w:tcPr>
          <w:p w14:paraId="14AAFFF8" w14:textId="77777777" w:rsidR="00CA396B" w:rsidRPr="00A93F8C" w:rsidRDefault="00C164EE" w:rsidP="00DB7ED6">
            <w:pPr>
              <w:spacing w:after="0" w:line="240" w:lineRule="auto"/>
              <w:jc w:val="right"/>
              <w:rPr>
                <w:rFonts w:ascii="Arial" w:eastAsia="Calibri" w:hAnsi="Arial" w:cs="Arial"/>
                <w:sz w:val="24"/>
                <w:szCs w:val="24"/>
              </w:rPr>
            </w:pPr>
            <w:r>
              <w:rPr>
                <w:rFonts w:ascii="Arial" w:eastAsia="Calibri" w:hAnsi="Arial" w:cs="Arial"/>
                <w:sz w:val="24"/>
                <w:szCs w:val="24"/>
              </w:rPr>
              <w:t>5</w:t>
            </w:r>
          </w:p>
        </w:tc>
        <w:tc>
          <w:tcPr>
            <w:tcW w:w="256" w:type="dxa"/>
          </w:tcPr>
          <w:p w14:paraId="7F2A8E6D" w14:textId="77777777" w:rsidR="002F2AF9" w:rsidRPr="00CA0D61" w:rsidRDefault="002F2AF9">
            <w:pPr>
              <w:spacing w:after="0" w:line="240" w:lineRule="auto"/>
              <w:jc w:val="center"/>
              <w:rPr>
                <w:rFonts w:ascii="Arial" w:eastAsia="Calibri" w:hAnsi="Arial" w:cs="Arial"/>
                <w:sz w:val="24"/>
                <w:szCs w:val="24"/>
                <w:highlight w:val="yellow"/>
              </w:rPr>
            </w:pPr>
          </w:p>
        </w:tc>
      </w:tr>
      <w:tr w:rsidR="00EC2F50" w:rsidRPr="006F27F8" w14:paraId="3BE9EA73" w14:textId="77777777" w:rsidTr="00FE1CA4">
        <w:tc>
          <w:tcPr>
            <w:tcW w:w="1017" w:type="dxa"/>
          </w:tcPr>
          <w:p w14:paraId="06EFCF5C" w14:textId="77777777" w:rsidR="00EC2F50" w:rsidRPr="00A93F8C" w:rsidRDefault="00EC2F50" w:rsidP="00DB7ED6">
            <w:pPr>
              <w:spacing w:after="0" w:line="240" w:lineRule="auto"/>
              <w:jc w:val="center"/>
              <w:rPr>
                <w:rFonts w:ascii="Arial" w:eastAsia="Calibri" w:hAnsi="Arial" w:cs="Arial"/>
                <w:sz w:val="24"/>
                <w:szCs w:val="24"/>
              </w:rPr>
            </w:pPr>
          </w:p>
        </w:tc>
        <w:tc>
          <w:tcPr>
            <w:tcW w:w="7455" w:type="dxa"/>
          </w:tcPr>
          <w:p w14:paraId="38F2A3D6" w14:textId="77777777" w:rsidR="00EC2F50" w:rsidRPr="00A93F8C" w:rsidRDefault="00EC2F50" w:rsidP="00062185">
            <w:pPr>
              <w:spacing w:after="0" w:line="240" w:lineRule="auto"/>
              <w:ind w:left="405" w:hanging="360"/>
              <w:rPr>
                <w:rFonts w:ascii="Arial" w:eastAsia="Calibri" w:hAnsi="Arial" w:cs="Arial"/>
                <w:sz w:val="24"/>
                <w:szCs w:val="24"/>
              </w:rPr>
            </w:pPr>
          </w:p>
        </w:tc>
        <w:tc>
          <w:tcPr>
            <w:tcW w:w="884" w:type="dxa"/>
          </w:tcPr>
          <w:p w14:paraId="4F84110C" w14:textId="77777777" w:rsidR="00EC2F50" w:rsidRDefault="00EC2F50" w:rsidP="00DB7ED6">
            <w:pPr>
              <w:spacing w:after="0" w:line="240" w:lineRule="auto"/>
              <w:jc w:val="right"/>
              <w:rPr>
                <w:rFonts w:ascii="Arial" w:eastAsia="Calibri" w:hAnsi="Arial" w:cs="Arial"/>
                <w:sz w:val="24"/>
                <w:szCs w:val="24"/>
              </w:rPr>
            </w:pPr>
          </w:p>
        </w:tc>
        <w:tc>
          <w:tcPr>
            <w:tcW w:w="256" w:type="dxa"/>
          </w:tcPr>
          <w:p w14:paraId="188EDE11" w14:textId="77777777" w:rsidR="00EC2F50" w:rsidRPr="00CA0D61" w:rsidRDefault="00EC2F50">
            <w:pPr>
              <w:spacing w:after="0" w:line="240" w:lineRule="auto"/>
              <w:jc w:val="center"/>
              <w:rPr>
                <w:rFonts w:ascii="Arial" w:eastAsia="Calibri" w:hAnsi="Arial" w:cs="Arial"/>
                <w:sz w:val="24"/>
                <w:szCs w:val="24"/>
                <w:highlight w:val="yellow"/>
              </w:rPr>
            </w:pPr>
          </w:p>
        </w:tc>
      </w:tr>
      <w:tr w:rsidR="00EC2F50" w:rsidRPr="006F27F8" w14:paraId="319EEEA0" w14:textId="77777777" w:rsidTr="00FE1CA4">
        <w:tc>
          <w:tcPr>
            <w:tcW w:w="1017" w:type="dxa"/>
          </w:tcPr>
          <w:p w14:paraId="17D40111" w14:textId="77777777" w:rsidR="00EC2F50" w:rsidRPr="00A93F8C" w:rsidRDefault="00EC2F50" w:rsidP="00DB7ED6">
            <w:pPr>
              <w:spacing w:after="0" w:line="240" w:lineRule="auto"/>
              <w:jc w:val="center"/>
              <w:rPr>
                <w:rFonts w:ascii="Arial" w:eastAsia="Calibri" w:hAnsi="Arial" w:cs="Arial"/>
                <w:sz w:val="24"/>
                <w:szCs w:val="24"/>
              </w:rPr>
            </w:pPr>
            <w:r>
              <w:rPr>
                <w:rFonts w:ascii="Arial" w:eastAsia="Calibri" w:hAnsi="Arial" w:cs="Arial"/>
                <w:sz w:val="24"/>
                <w:szCs w:val="24"/>
              </w:rPr>
              <w:t>III-1</w:t>
            </w:r>
          </w:p>
        </w:tc>
        <w:tc>
          <w:tcPr>
            <w:tcW w:w="7455" w:type="dxa"/>
          </w:tcPr>
          <w:p w14:paraId="3B39A0FF" w14:textId="77777777" w:rsidR="00EC2F50" w:rsidRPr="00A93F8C" w:rsidRDefault="00EC2F50">
            <w:pPr>
              <w:spacing w:after="0" w:line="240" w:lineRule="auto"/>
              <w:ind w:left="405" w:hanging="360"/>
              <w:rPr>
                <w:rFonts w:ascii="Arial" w:eastAsia="Calibri" w:hAnsi="Arial" w:cs="Arial"/>
                <w:sz w:val="24"/>
                <w:szCs w:val="24"/>
              </w:rPr>
            </w:pPr>
            <w:r w:rsidRPr="00EC2F50">
              <w:rPr>
                <w:rFonts w:ascii="Arial" w:eastAsia="Calibri" w:hAnsi="Arial" w:cs="Arial"/>
                <w:sz w:val="24"/>
                <w:szCs w:val="24"/>
              </w:rPr>
              <w:t>FirstEnergy Pennsylvania Companies</w:t>
            </w:r>
            <w:r w:rsidR="00DE1134">
              <w:rPr>
                <w:rFonts w:ascii="Arial" w:eastAsia="Calibri" w:hAnsi="Arial" w:cs="Arial"/>
                <w:sz w:val="24"/>
                <w:szCs w:val="24"/>
              </w:rPr>
              <w:t xml:space="preserve"> </w:t>
            </w:r>
            <w:r w:rsidRPr="00EC2F50">
              <w:rPr>
                <w:rFonts w:ascii="Arial" w:eastAsia="Calibri" w:hAnsi="Arial" w:cs="Arial"/>
                <w:sz w:val="24"/>
                <w:szCs w:val="24"/>
              </w:rPr>
              <w:t>Performance Objectives in the Pennsylvania Management Reports</w:t>
            </w:r>
            <w:r w:rsidR="006135EF">
              <w:rPr>
                <w:rFonts w:ascii="Arial" w:eastAsia="Calibri" w:hAnsi="Arial" w:cs="Arial"/>
                <w:sz w:val="24"/>
                <w:szCs w:val="24"/>
              </w:rPr>
              <w:t xml:space="preserve"> and Executive Leadership Team Reports</w:t>
            </w:r>
            <w:r w:rsidR="00DE1134">
              <w:rPr>
                <w:rFonts w:ascii="Arial" w:eastAsia="Calibri" w:hAnsi="Arial" w:cs="Arial"/>
                <w:sz w:val="24"/>
                <w:szCs w:val="24"/>
              </w:rPr>
              <w:t xml:space="preserve"> - </w:t>
            </w:r>
            <w:r w:rsidRPr="00EC2F50">
              <w:rPr>
                <w:rFonts w:ascii="Arial" w:eastAsia="Calibri" w:hAnsi="Arial" w:cs="Arial"/>
                <w:sz w:val="24"/>
                <w:szCs w:val="24"/>
              </w:rPr>
              <w:t>For the Years 2015 through 2017</w:t>
            </w:r>
          </w:p>
        </w:tc>
        <w:tc>
          <w:tcPr>
            <w:tcW w:w="884" w:type="dxa"/>
          </w:tcPr>
          <w:p w14:paraId="2CE23CD7" w14:textId="77777777" w:rsidR="00EC2F50" w:rsidRDefault="00DE1134" w:rsidP="00DB7ED6">
            <w:pPr>
              <w:spacing w:after="0" w:line="240" w:lineRule="auto"/>
              <w:jc w:val="right"/>
              <w:rPr>
                <w:rFonts w:ascii="Arial" w:eastAsia="Calibri" w:hAnsi="Arial" w:cs="Arial"/>
                <w:sz w:val="24"/>
                <w:szCs w:val="24"/>
              </w:rPr>
            </w:pPr>
            <w:r>
              <w:rPr>
                <w:rFonts w:ascii="Arial" w:eastAsia="Calibri" w:hAnsi="Arial" w:cs="Arial"/>
                <w:sz w:val="24"/>
                <w:szCs w:val="24"/>
              </w:rPr>
              <w:t>15</w:t>
            </w:r>
          </w:p>
        </w:tc>
        <w:tc>
          <w:tcPr>
            <w:tcW w:w="256" w:type="dxa"/>
          </w:tcPr>
          <w:p w14:paraId="7E44D4A6" w14:textId="77777777" w:rsidR="00EC2F50" w:rsidRPr="00CA0D61" w:rsidRDefault="00EC2F50">
            <w:pPr>
              <w:spacing w:after="0" w:line="240" w:lineRule="auto"/>
              <w:jc w:val="center"/>
              <w:rPr>
                <w:rFonts w:ascii="Arial" w:eastAsia="Calibri" w:hAnsi="Arial" w:cs="Arial"/>
                <w:sz w:val="24"/>
                <w:szCs w:val="24"/>
                <w:highlight w:val="yellow"/>
              </w:rPr>
            </w:pPr>
          </w:p>
        </w:tc>
      </w:tr>
      <w:tr w:rsidR="002F2AF9" w:rsidRPr="006F27F8" w14:paraId="0ACFF078" w14:textId="77777777" w:rsidTr="00FE1CA4">
        <w:tc>
          <w:tcPr>
            <w:tcW w:w="1017" w:type="dxa"/>
          </w:tcPr>
          <w:p w14:paraId="39352F97" w14:textId="77777777" w:rsidR="002F2AF9" w:rsidRPr="00CA0D61" w:rsidRDefault="002F2AF9" w:rsidP="00DB7ED6">
            <w:pPr>
              <w:spacing w:after="0" w:line="240" w:lineRule="auto"/>
              <w:jc w:val="center"/>
              <w:rPr>
                <w:rFonts w:ascii="Arial" w:eastAsia="Calibri" w:hAnsi="Arial" w:cs="Arial"/>
                <w:sz w:val="24"/>
                <w:szCs w:val="24"/>
                <w:highlight w:val="yellow"/>
              </w:rPr>
            </w:pPr>
          </w:p>
        </w:tc>
        <w:tc>
          <w:tcPr>
            <w:tcW w:w="7455" w:type="dxa"/>
          </w:tcPr>
          <w:p w14:paraId="486F87ED" w14:textId="77777777" w:rsidR="002F2AF9" w:rsidRPr="00CA0D61" w:rsidRDefault="002F2AF9" w:rsidP="00DB7ED6">
            <w:pPr>
              <w:spacing w:after="0" w:line="240" w:lineRule="auto"/>
              <w:rPr>
                <w:rFonts w:ascii="Arial" w:eastAsia="Calibri" w:hAnsi="Arial" w:cs="Arial"/>
                <w:sz w:val="24"/>
                <w:szCs w:val="24"/>
                <w:highlight w:val="yellow"/>
              </w:rPr>
            </w:pPr>
          </w:p>
        </w:tc>
        <w:tc>
          <w:tcPr>
            <w:tcW w:w="884" w:type="dxa"/>
          </w:tcPr>
          <w:p w14:paraId="79BE614A" w14:textId="77777777" w:rsidR="002F2AF9" w:rsidRPr="00CA0D61" w:rsidRDefault="002F2AF9">
            <w:pPr>
              <w:spacing w:after="0" w:line="240" w:lineRule="auto"/>
              <w:jc w:val="right"/>
              <w:rPr>
                <w:rFonts w:ascii="Arial" w:eastAsia="Calibri" w:hAnsi="Arial" w:cs="Arial"/>
                <w:b/>
                <w:sz w:val="24"/>
                <w:szCs w:val="24"/>
                <w:highlight w:val="yellow"/>
              </w:rPr>
            </w:pPr>
          </w:p>
        </w:tc>
        <w:tc>
          <w:tcPr>
            <w:tcW w:w="256" w:type="dxa"/>
          </w:tcPr>
          <w:p w14:paraId="17A75E0E" w14:textId="77777777" w:rsidR="002F2AF9" w:rsidRPr="00CA0D61" w:rsidRDefault="002F2AF9">
            <w:pPr>
              <w:spacing w:after="0" w:line="240" w:lineRule="auto"/>
              <w:jc w:val="center"/>
              <w:rPr>
                <w:rFonts w:ascii="Arial" w:eastAsia="Calibri" w:hAnsi="Arial" w:cs="Arial"/>
                <w:b/>
                <w:sz w:val="24"/>
                <w:szCs w:val="24"/>
                <w:highlight w:val="yellow"/>
              </w:rPr>
            </w:pPr>
          </w:p>
        </w:tc>
      </w:tr>
      <w:tr w:rsidR="0015389F" w:rsidRPr="006F27F8" w14:paraId="18B1F2F1" w14:textId="77777777" w:rsidTr="00FE1CA4">
        <w:tc>
          <w:tcPr>
            <w:tcW w:w="1017" w:type="dxa"/>
          </w:tcPr>
          <w:p w14:paraId="6648D39A" w14:textId="77777777" w:rsidR="0015389F" w:rsidRPr="00297D53" w:rsidRDefault="00297D53" w:rsidP="00DB7ED6">
            <w:pPr>
              <w:spacing w:after="0" w:line="240" w:lineRule="auto"/>
              <w:jc w:val="center"/>
              <w:rPr>
                <w:rFonts w:ascii="Arial" w:eastAsia="Calibri" w:hAnsi="Arial" w:cs="Arial"/>
                <w:sz w:val="24"/>
                <w:szCs w:val="24"/>
              </w:rPr>
            </w:pPr>
            <w:r w:rsidRPr="00297D53">
              <w:rPr>
                <w:rFonts w:ascii="Arial" w:eastAsia="Calibri" w:hAnsi="Arial" w:cs="Arial"/>
                <w:sz w:val="24"/>
                <w:szCs w:val="24"/>
              </w:rPr>
              <w:t>IV</w:t>
            </w:r>
            <w:r w:rsidR="00452627" w:rsidRPr="00297D53">
              <w:rPr>
                <w:rFonts w:ascii="Arial" w:eastAsia="Calibri" w:hAnsi="Arial" w:cs="Arial"/>
                <w:sz w:val="24"/>
                <w:szCs w:val="24"/>
              </w:rPr>
              <w:t>-1</w:t>
            </w:r>
          </w:p>
        </w:tc>
        <w:tc>
          <w:tcPr>
            <w:tcW w:w="7455" w:type="dxa"/>
          </w:tcPr>
          <w:p w14:paraId="12EABB00" w14:textId="77777777" w:rsidR="0015389F" w:rsidRPr="00297D53" w:rsidRDefault="00BB390A" w:rsidP="002A0C5A">
            <w:pPr>
              <w:spacing w:after="0" w:line="240" w:lineRule="auto"/>
              <w:ind w:left="405" w:hanging="405"/>
              <w:rPr>
                <w:rFonts w:ascii="Arial" w:eastAsia="Calibri" w:hAnsi="Arial" w:cs="Arial"/>
                <w:sz w:val="24"/>
                <w:szCs w:val="24"/>
              </w:rPr>
            </w:pPr>
            <w:r>
              <w:rPr>
                <w:rFonts w:ascii="Arial" w:eastAsia="Calibri" w:hAnsi="Arial" w:cs="Arial"/>
                <w:sz w:val="24"/>
                <w:szCs w:val="24"/>
              </w:rPr>
              <w:t xml:space="preserve">FirstEnergy Corporation’s </w:t>
            </w:r>
            <w:r w:rsidR="00297D53">
              <w:rPr>
                <w:rFonts w:ascii="Arial" w:eastAsia="Calibri" w:hAnsi="Arial" w:cs="Arial"/>
                <w:sz w:val="24"/>
                <w:szCs w:val="24"/>
              </w:rPr>
              <w:t>Audit Fees as a Percent of Revenue, and as a Percent of Assets</w:t>
            </w:r>
            <w:r w:rsidR="00062185" w:rsidRPr="00297D53">
              <w:rPr>
                <w:rFonts w:ascii="Arial" w:eastAsia="Calibri" w:hAnsi="Arial" w:cs="Arial"/>
                <w:sz w:val="24"/>
                <w:szCs w:val="24"/>
              </w:rPr>
              <w:t xml:space="preserve"> –</w:t>
            </w:r>
            <w:r w:rsidR="006F58F1" w:rsidRPr="00297D53">
              <w:rPr>
                <w:rFonts w:ascii="Arial" w:eastAsia="Calibri" w:hAnsi="Arial" w:cs="Arial"/>
                <w:sz w:val="24"/>
                <w:szCs w:val="24"/>
              </w:rPr>
              <w:t xml:space="preserve"> </w:t>
            </w:r>
            <w:r w:rsidR="00297D53">
              <w:rPr>
                <w:rFonts w:ascii="Arial" w:eastAsia="Calibri" w:hAnsi="Arial" w:cs="Arial"/>
                <w:sz w:val="24"/>
                <w:szCs w:val="24"/>
              </w:rPr>
              <w:t>For the Years 2014 and 2015</w:t>
            </w:r>
          </w:p>
        </w:tc>
        <w:tc>
          <w:tcPr>
            <w:tcW w:w="884" w:type="dxa"/>
          </w:tcPr>
          <w:p w14:paraId="5214B2BC" w14:textId="77777777" w:rsidR="0015389F" w:rsidRPr="00C164EE" w:rsidRDefault="00DA4649">
            <w:pPr>
              <w:spacing w:after="0" w:line="240" w:lineRule="auto"/>
              <w:jc w:val="right"/>
              <w:rPr>
                <w:rFonts w:ascii="Arial" w:eastAsia="Calibri" w:hAnsi="Arial" w:cs="Arial"/>
                <w:sz w:val="24"/>
                <w:szCs w:val="24"/>
              </w:rPr>
            </w:pPr>
            <w:r>
              <w:rPr>
                <w:rFonts w:ascii="Arial" w:eastAsia="Calibri" w:hAnsi="Arial" w:cs="Arial"/>
                <w:sz w:val="24"/>
                <w:szCs w:val="24"/>
              </w:rPr>
              <w:t>18</w:t>
            </w:r>
          </w:p>
        </w:tc>
        <w:tc>
          <w:tcPr>
            <w:tcW w:w="256" w:type="dxa"/>
          </w:tcPr>
          <w:p w14:paraId="7F19B7ED" w14:textId="77777777" w:rsidR="0015389F" w:rsidRPr="00C164EE" w:rsidRDefault="0015389F">
            <w:pPr>
              <w:spacing w:after="0" w:line="240" w:lineRule="auto"/>
              <w:jc w:val="center"/>
              <w:rPr>
                <w:rFonts w:ascii="Arial" w:eastAsia="Calibri" w:hAnsi="Arial" w:cs="Arial"/>
                <w:b/>
                <w:sz w:val="24"/>
                <w:szCs w:val="24"/>
              </w:rPr>
            </w:pPr>
          </w:p>
        </w:tc>
      </w:tr>
      <w:tr w:rsidR="0015389F" w:rsidRPr="006F27F8" w14:paraId="44DD3E3F" w14:textId="77777777" w:rsidTr="00FE1CA4">
        <w:tc>
          <w:tcPr>
            <w:tcW w:w="1017" w:type="dxa"/>
          </w:tcPr>
          <w:p w14:paraId="7DC1B421" w14:textId="77777777" w:rsidR="0015389F" w:rsidRPr="00CA0D61" w:rsidRDefault="0015389F" w:rsidP="00DB7ED6">
            <w:pPr>
              <w:spacing w:after="0" w:line="240" w:lineRule="auto"/>
              <w:jc w:val="center"/>
              <w:rPr>
                <w:rFonts w:ascii="Arial" w:eastAsia="Calibri" w:hAnsi="Arial" w:cs="Arial"/>
                <w:sz w:val="24"/>
                <w:szCs w:val="24"/>
                <w:highlight w:val="yellow"/>
              </w:rPr>
            </w:pPr>
          </w:p>
        </w:tc>
        <w:tc>
          <w:tcPr>
            <w:tcW w:w="7455" w:type="dxa"/>
          </w:tcPr>
          <w:p w14:paraId="0B28591E" w14:textId="77777777" w:rsidR="0015389F" w:rsidRPr="00CA0D61" w:rsidRDefault="0015389F" w:rsidP="00DB7ED6">
            <w:pPr>
              <w:spacing w:after="0" w:line="240" w:lineRule="auto"/>
              <w:rPr>
                <w:rFonts w:ascii="Arial" w:eastAsia="Calibri" w:hAnsi="Arial" w:cs="Arial"/>
                <w:sz w:val="24"/>
                <w:szCs w:val="24"/>
                <w:highlight w:val="yellow"/>
              </w:rPr>
            </w:pPr>
          </w:p>
        </w:tc>
        <w:tc>
          <w:tcPr>
            <w:tcW w:w="884" w:type="dxa"/>
          </w:tcPr>
          <w:p w14:paraId="25EF8295" w14:textId="77777777" w:rsidR="0015389F" w:rsidRPr="00CA0D61" w:rsidRDefault="0015389F">
            <w:pPr>
              <w:spacing w:after="0" w:line="240" w:lineRule="auto"/>
              <w:jc w:val="right"/>
              <w:rPr>
                <w:rFonts w:ascii="Arial" w:eastAsia="Calibri" w:hAnsi="Arial" w:cs="Arial"/>
                <w:sz w:val="24"/>
                <w:szCs w:val="24"/>
                <w:highlight w:val="yellow"/>
              </w:rPr>
            </w:pPr>
          </w:p>
        </w:tc>
        <w:tc>
          <w:tcPr>
            <w:tcW w:w="256" w:type="dxa"/>
          </w:tcPr>
          <w:p w14:paraId="707147D2" w14:textId="77777777" w:rsidR="0015389F" w:rsidRPr="00CA0D61" w:rsidRDefault="0015389F">
            <w:pPr>
              <w:spacing w:after="0" w:line="240" w:lineRule="auto"/>
              <w:jc w:val="center"/>
              <w:rPr>
                <w:rFonts w:ascii="Arial" w:eastAsia="Calibri" w:hAnsi="Arial" w:cs="Arial"/>
                <w:sz w:val="24"/>
                <w:szCs w:val="24"/>
                <w:highlight w:val="yellow"/>
              </w:rPr>
            </w:pPr>
          </w:p>
        </w:tc>
      </w:tr>
      <w:tr w:rsidR="0015389F" w:rsidRPr="006F27F8" w14:paraId="34156471" w14:textId="77777777" w:rsidTr="00FE1CA4">
        <w:tc>
          <w:tcPr>
            <w:tcW w:w="1017" w:type="dxa"/>
          </w:tcPr>
          <w:p w14:paraId="76A9D392" w14:textId="77777777" w:rsidR="0015389F" w:rsidRPr="009F087A" w:rsidRDefault="009F087A" w:rsidP="00261B6D">
            <w:pPr>
              <w:spacing w:after="0" w:line="240" w:lineRule="auto"/>
              <w:jc w:val="center"/>
              <w:rPr>
                <w:rFonts w:ascii="Arial" w:eastAsia="Calibri" w:hAnsi="Arial" w:cs="Arial"/>
                <w:sz w:val="24"/>
                <w:szCs w:val="24"/>
              </w:rPr>
            </w:pPr>
            <w:r w:rsidRPr="009F087A">
              <w:rPr>
                <w:rFonts w:ascii="Arial" w:eastAsia="Calibri" w:hAnsi="Arial" w:cs="Arial"/>
                <w:sz w:val="24"/>
                <w:szCs w:val="24"/>
              </w:rPr>
              <w:t>VI-1</w:t>
            </w:r>
          </w:p>
        </w:tc>
        <w:tc>
          <w:tcPr>
            <w:tcW w:w="7455" w:type="dxa"/>
          </w:tcPr>
          <w:p w14:paraId="6C267C53" w14:textId="77777777" w:rsidR="0015389F" w:rsidRPr="009F087A" w:rsidRDefault="00BB390A" w:rsidP="00964F41">
            <w:pPr>
              <w:spacing w:after="0" w:line="240" w:lineRule="auto"/>
              <w:ind w:left="405" w:hanging="405"/>
              <w:rPr>
                <w:rFonts w:ascii="Arial" w:eastAsia="Calibri" w:hAnsi="Arial" w:cs="Arial"/>
                <w:sz w:val="24"/>
                <w:szCs w:val="24"/>
              </w:rPr>
            </w:pPr>
            <w:r>
              <w:rPr>
                <w:rFonts w:ascii="Arial" w:eastAsia="Calibri" w:hAnsi="Arial" w:cs="Arial"/>
                <w:sz w:val="24"/>
                <w:szCs w:val="24"/>
              </w:rPr>
              <w:t xml:space="preserve">FirstEnergy Pennsylvania Companies’ </w:t>
            </w:r>
            <w:r w:rsidR="009F087A">
              <w:rPr>
                <w:rFonts w:ascii="Arial" w:eastAsia="Calibri" w:hAnsi="Arial" w:cs="Arial"/>
                <w:sz w:val="24"/>
                <w:szCs w:val="24"/>
              </w:rPr>
              <w:t>Dividends Paid, Net Income, and Dividend Payout Ratio</w:t>
            </w:r>
            <w:r w:rsidR="00062185" w:rsidRPr="009F087A">
              <w:rPr>
                <w:rFonts w:ascii="Arial" w:eastAsia="Calibri" w:hAnsi="Arial" w:cs="Arial"/>
                <w:sz w:val="24"/>
                <w:szCs w:val="24"/>
              </w:rPr>
              <w:t xml:space="preserve"> –</w:t>
            </w:r>
            <w:r w:rsidR="00CA7011" w:rsidRPr="009F087A">
              <w:rPr>
                <w:rFonts w:ascii="Arial" w:eastAsia="Calibri" w:hAnsi="Arial" w:cs="Arial"/>
                <w:sz w:val="24"/>
                <w:szCs w:val="24"/>
              </w:rPr>
              <w:t xml:space="preserve"> </w:t>
            </w:r>
            <w:r w:rsidR="009F087A">
              <w:rPr>
                <w:rFonts w:ascii="Arial" w:eastAsia="Calibri" w:hAnsi="Arial" w:cs="Arial"/>
                <w:sz w:val="24"/>
                <w:szCs w:val="24"/>
              </w:rPr>
              <w:t xml:space="preserve">For the Years </w:t>
            </w:r>
            <w:r w:rsidR="00CB7C5F">
              <w:rPr>
                <w:rFonts w:ascii="Arial" w:eastAsia="Calibri" w:hAnsi="Arial" w:cs="Arial"/>
                <w:sz w:val="24"/>
                <w:szCs w:val="24"/>
              </w:rPr>
              <w:t>2008 through 2013</w:t>
            </w:r>
          </w:p>
        </w:tc>
        <w:tc>
          <w:tcPr>
            <w:tcW w:w="884" w:type="dxa"/>
          </w:tcPr>
          <w:p w14:paraId="1B7C78C3" w14:textId="77777777" w:rsidR="0015389F" w:rsidRPr="009F087A" w:rsidRDefault="00C164EE">
            <w:pPr>
              <w:spacing w:after="0" w:line="240" w:lineRule="auto"/>
              <w:jc w:val="right"/>
              <w:rPr>
                <w:rFonts w:ascii="Arial" w:eastAsia="Calibri" w:hAnsi="Arial" w:cs="Arial"/>
                <w:sz w:val="24"/>
                <w:szCs w:val="24"/>
              </w:rPr>
            </w:pPr>
            <w:r>
              <w:rPr>
                <w:rFonts w:ascii="Arial" w:eastAsia="Calibri" w:hAnsi="Arial" w:cs="Arial"/>
                <w:sz w:val="24"/>
                <w:szCs w:val="24"/>
              </w:rPr>
              <w:t>2</w:t>
            </w:r>
            <w:r w:rsidR="00625123">
              <w:rPr>
                <w:rFonts w:ascii="Arial" w:eastAsia="Calibri" w:hAnsi="Arial" w:cs="Arial"/>
                <w:sz w:val="24"/>
                <w:szCs w:val="24"/>
              </w:rPr>
              <w:t>4</w:t>
            </w:r>
          </w:p>
        </w:tc>
        <w:tc>
          <w:tcPr>
            <w:tcW w:w="256" w:type="dxa"/>
          </w:tcPr>
          <w:p w14:paraId="11318704" w14:textId="77777777" w:rsidR="0015389F" w:rsidRPr="00CA0D61" w:rsidRDefault="0015389F">
            <w:pPr>
              <w:spacing w:after="0" w:line="240" w:lineRule="auto"/>
              <w:jc w:val="center"/>
              <w:rPr>
                <w:rFonts w:ascii="Arial" w:eastAsia="Calibri" w:hAnsi="Arial" w:cs="Arial"/>
                <w:sz w:val="24"/>
                <w:szCs w:val="24"/>
                <w:highlight w:val="yellow"/>
              </w:rPr>
            </w:pPr>
          </w:p>
        </w:tc>
      </w:tr>
      <w:tr w:rsidR="00CB7C5F" w:rsidRPr="006F27F8" w14:paraId="2E2AC9B8" w14:textId="77777777" w:rsidTr="00FE1CA4">
        <w:tc>
          <w:tcPr>
            <w:tcW w:w="1017" w:type="dxa"/>
          </w:tcPr>
          <w:p w14:paraId="33BB2189" w14:textId="77777777" w:rsidR="00CB7C5F" w:rsidRPr="009F087A" w:rsidRDefault="00CB7C5F" w:rsidP="00261B6D">
            <w:pPr>
              <w:spacing w:after="0" w:line="240" w:lineRule="auto"/>
              <w:jc w:val="center"/>
              <w:rPr>
                <w:rFonts w:ascii="Arial" w:eastAsia="Calibri" w:hAnsi="Arial" w:cs="Arial"/>
                <w:sz w:val="24"/>
                <w:szCs w:val="24"/>
              </w:rPr>
            </w:pPr>
          </w:p>
        </w:tc>
        <w:tc>
          <w:tcPr>
            <w:tcW w:w="7455" w:type="dxa"/>
          </w:tcPr>
          <w:p w14:paraId="2D02607C" w14:textId="77777777" w:rsidR="00CB7C5F" w:rsidRDefault="00CB7C5F" w:rsidP="00964F41">
            <w:pPr>
              <w:spacing w:after="0" w:line="240" w:lineRule="auto"/>
              <w:ind w:left="405" w:hanging="405"/>
              <w:rPr>
                <w:rFonts w:ascii="Arial" w:eastAsia="Calibri" w:hAnsi="Arial" w:cs="Arial"/>
                <w:sz w:val="24"/>
                <w:szCs w:val="24"/>
              </w:rPr>
            </w:pPr>
          </w:p>
        </w:tc>
        <w:tc>
          <w:tcPr>
            <w:tcW w:w="884" w:type="dxa"/>
          </w:tcPr>
          <w:p w14:paraId="4F3C351C" w14:textId="77777777" w:rsidR="00CB7C5F" w:rsidRDefault="00CB7C5F">
            <w:pPr>
              <w:spacing w:after="0" w:line="240" w:lineRule="auto"/>
              <w:jc w:val="right"/>
              <w:rPr>
                <w:rFonts w:ascii="Arial" w:eastAsia="Calibri" w:hAnsi="Arial" w:cs="Arial"/>
                <w:sz w:val="24"/>
                <w:szCs w:val="24"/>
              </w:rPr>
            </w:pPr>
          </w:p>
        </w:tc>
        <w:tc>
          <w:tcPr>
            <w:tcW w:w="256" w:type="dxa"/>
          </w:tcPr>
          <w:p w14:paraId="53CE58A0" w14:textId="77777777" w:rsidR="00CB7C5F" w:rsidRPr="00CA0D61" w:rsidRDefault="00CB7C5F">
            <w:pPr>
              <w:spacing w:after="0" w:line="240" w:lineRule="auto"/>
              <w:jc w:val="center"/>
              <w:rPr>
                <w:rFonts w:ascii="Arial" w:eastAsia="Calibri" w:hAnsi="Arial" w:cs="Arial"/>
                <w:sz w:val="24"/>
                <w:szCs w:val="24"/>
                <w:highlight w:val="yellow"/>
              </w:rPr>
            </w:pPr>
          </w:p>
        </w:tc>
      </w:tr>
      <w:tr w:rsidR="00CB7C5F" w:rsidRPr="006F27F8" w14:paraId="65AA558D" w14:textId="77777777" w:rsidTr="00FE1CA4">
        <w:tc>
          <w:tcPr>
            <w:tcW w:w="1017" w:type="dxa"/>
          </w:tcPr>
          <w:p w14:paraId="3A895848" w14:textId="77777777" w:rsidR="00CB7C5F" w:rsidRPr="009F087A" w:rsidRDefault="00CB7C5F" w:rsidP="00261B6D">
            <w:pPr>
              <w:spacing w:after="0" w:line="240" w:lineRule="auto"/>
              <w:jc w:val="center"/>
              <w:rPr>
                <w:rFonts w:ascii="Arial" w:eastAsia="Calibri" w:hAnsi="Arial" w:cs="Arial"/>
                <w:sz w:val="24"/>
                <w:szCs w:val="24"/>
              </w:rPr>
            </w:pPr>
            <w:r>
              <w:rPr>
                <w:rFonts w:ascii="Arial" w:eastAsia="Calibri" w:hAnsi="Arial" w:cs="Arial"/>
                <w:sz w:val="24"/>
                <w:szCs w:val="24"/>
              </w:rPr>
              <w:t>VI-2</w:t>
            </w:r>
          </w:p>
        </w:tc>
        <w:tc>
          <w:tcPr>
            <w:tcW w:w="7455" w:type="dxa"/>
          </w:tcPr>
          <w:p w14:paraId="420CA416" w14:textId="77777777" w:rsidR="00CB7C5F" w:rsidRDefault="00CB7C5F" w:rsidP="00964F41">
            <w:pPr>
              <w:spacing w:after="0" w:line="240" w:lineRule="auto"/>
              <w:ind w:left="405" w:hanging="405"/>
              <w:rPr>
                <w:rFonts w:ascii="Arial" w:eastAsia="Calibri" w:hAnsi="Arial" w:cs="Arial"/>
                <w:sz w:val="24"/>
                <w:szCs w:val="24"/>
              </w:rPr>
            </w:pPr>
            <w:r>
              <w:rPr>
                <w:rFonts w:ascii="Arial" w:eastAsia="Calibri" w:hAnsi="Arial" w:cs="Arial"/>
                <w:sz w:val="24"/>
                <w:szCs w:val="24"/>
              </w:rPr>
              <w:t>FirstEnergy Pennsylvania Companies’ Dividends Paid, Net Income, and Dividend Payout Ratio</w:t>
            </w:r>
            <w:r w:rsidRPr="009F087A">
              <w:rPr>
                <w:rFonts w:ascii="Arial" w:eastAsia="Calibri" w:hAnsi="Arial" w:cs="Arial"/>
                <w:sz w:val="24"/>
                <w:szCs w:val="24"/>
              </w:rPr>
              <w:t xml:space="preserve"> – </w:t>
            </w:r>
            <w:r>
              <w:rPr>
                <w:rFonts w:ascii="Arial" w:eastAsia="Calibri" w:hAnsi="Arial" w:cs="Arial"/>
                <w:sz w:val="24"/>
                <w:szCs w:val="24"/>
              </w:rPr>
              <w:t>For the Years 2014 through 2016</w:t>
            </w:r>
          </w:p>
        </w:tc>
        <w:tc>
          <w:tcPr>
            <w:tcW w:w="884" w:type="dxa"/>
          </w:tcPr>
          <w:p w14:paraId="79FFC957" w14:textId="77777777" w:rsidR="00CB7C5F" w:rsidRDefault="00625123">
            <w:pPr>
              <w:spacing w:after="0" w:line="240" w:lineRule="auto"/>
              <w:jc w:val="right"/>
              <w:rPr>
                <w:rFonts w:ascii="Arial" w:eastAsia="Calibri" w:hAnsi="Arial" w:cs="Arial"/>
                <w:sz w:val="24"/>
                <w:szCs w:val="24"/>
              </w:rPr>
            </w:pPr>
            <w:r>
              <w:rPr>
                <w:rFonts w:ascii="Arial" w:eastAsia="Calibri" w:hAnsi="Arial" w:cs="Arial"/>
                <w:sz w:val="24"/>
                <w:szCs w:val="24"/>
              </w:rPr>
              <w:t>26</w:t>
            </w:r>
          </w:p>
        </w:tc>
        <w:tc>
          <w:tcPr>
            <w:tcW w:w="256" w:type="dxa"/>
          </w:tcPr>
          <w:p w14:paraId="64DBF747" w14:textId="77777777" w:rsidR="00CB7C5F" w:rsidRPr="00CA0D61" w:rsidRDefault="00CB7C5F">
            <w:pPr>
              <w:spacing w:after="0" w:line="240" w:lineRule="auto"/>
              <w:jc w:val="center"/>
              <w:rPr>
                <w:rFonts w:ascii="Arial" w:eastAsia="Calibri" w:hAnsi="Arial" w:cs="Arial"/>
                <w:sz w:val="24"/>
                <w:szCs w:val="24"/>
                <w:highlight w:val="yellow"/>
              </w:rPr>
            </w:pPr>
          </w:p>
        </w:tc>
      </w:tr>
      <w:tr w:rsidR="0015389F" w:rsidRPr="006F27F8" w14:paraId="47D63CDE" w14:textId="77777777" w:rsidTr="00FE1CA4">
        <w:tc>
          <w:tcPr>
            <w:tcW w:w="1017" w:type="dxa"/>
          </w:tcPr>
          <w:p w14:paraId="52A0FE9A" w14:textId="77777777" w:rsidR="0015389F" w:rsidRPr="00CA0D61" w:rsidRDefault="0015389F" w:rsidP="00DB7ED6">
            <w:pPr>
              <w:spacing w:after="0" w:line="240" w:lineRule="auto"/>
              <w:jc w:val="center"/>
              <w:rPr>
                <w:rFonts w:ascii="Arial" w:eastAsia="Calibri" w:hAnsi="Arial" w:cs="Arial"/>
                <w:sz w:val="24"/>
                <w:szCs w:val="24"/>
                <w:highlight w:val="yellow"/>
              </w:rPr>
            </w:pPr>
          </w:p>
        </w:tc>
        <w:tc>
          <w:tcPr>
            <w:tcW w:w="7455" w:type="dxa"/>
          </w:tcPr>
          <w:p w14:paraId="055447DE" w14:textId="77777777" w:rsidR="0015389F" w:rsidRPr="00CA0D61" w:rsidRDefault="0015389F" w:rsidP="00DB7ED6">
            <w:pPr>
              <w:spacing w:after="0" w:line="240" w:lineRule="auto"/>
              <w:rPr>
                <w:rFonts w:ascii="Arial" w:eastAsia="Calibri" w:hAnsi="Arial" w:cs="Arial"/>
                <w:sz w:val="24"/>
                <w:szCs w:val="24"/>
                <w:highlight w:val="yellow"/>
              </w:rPr>
            </w:pPr>
          </w:p>
        </w:tc>
        <w:tc>
          <w:tcPr>
            <w:tcW w:w="884" w:type="dxa"/>
          </w:tcPr>
          <w:p w14:paraId="0D55D509" w14:textId="77777777" w:rsidR="0015389F" w:rsidRPr="00CA0D61" w:rsidRDefault="0015389F">
            <w:pPr>
              <w:spacing w:after="0" w:line="240" w:lineRule="auto"/>
              <w:jc w:val="right"/>
              <w:rPr>
                <w:rFonts w:ascii="Arial" w:eastAsia="Calibri" w:hAnsi="Arial" w:cs="Arial"/>
                <w:sz w:val="24"/>
                <w:szCs w:val="24"/>
                <w:highlight w:val="yellow"/>
              </w:rPr>
            </w:pPr>
          </w:p>
        </w:tc>
        <w:tc>
          <w:tcPr>
            <w:tcW w:w="256" w:type="dxa"/>
          </w:tcPr>
          <w:p w14:paraId="30DA7564" w14:textId="77777777" w:rsidR="0015389F" w:rsidRPr="00CA0D61" w:rsidRDefault="0015389F">
            <w:pPr>
              <w:spacing w:after="0" w:line="240" w:lineRule="auto"/>
              <w:jc w:val="center"/>
              <w:rPr>
                <w:rFonts w:ascii="Arial" w:eastAsia="Calibri" w:hAnsi="Arial" w:cs="Arial"/>
                <w:sz w:val="24"/>
                <w:szCs w:val="24"/>
                <w:highlight w:val="yellow"/>
              </w:rPr>
            </w:pPr>
          </w:p>
        </w:tc>
      </w:tr>
      <w:tr w:rsidR="0015389F" w:rsidRPr="006F27F8" w14:paraId="2E8BBBCD" w14:textId="77777777" w:rsidTr="00FE1CA4">
        <w:tc>
          <w:tcPr>
            <w:tcW w:w="1017" w:type="dxa"/>
          </w:tcPr>
          <w:p w14:paraId="00E9EBB1" w14:textId="77777777" w:rsidR="0015389F" w:rsidRPr="00025CA4" w:rsidRDefault="00025CA4" w:rsidP="00CA7011">
            <w:pPr>
              <w:spacing w:after="0" w:line="240" w:lineRule="auto"/>
              <w:jc w:val="center"/>
              <w:rPr>
                <w:rFonts w:ascii="Arial" w:eastAsia="Calibri" w:hAnsi="Arial" w:cs="Arial"/>
                <w:sz w:val="24"/>
                <w:szCs w:val="24"/>
              </w:rPr>
            </w:pPr>
            <w:r w:rsidRPr="00025CA4">
              <w:rPr>
                <w:rFonts w:ascii="Arial" w:eastAsia="Calibri" w:hAnsi="Arial" w:cs="Arial"/>
                <w:sz w:val="24"/>
                <w:szCs w:val="24"/>
              </w:rPr>
              <w:t>VII-1</w:t>
            </w:r>
          </w:p>
        </w:tc>
        <w:tc>
          <w:tcPr>
            <w:tcW w:w="7455" w:type="dxa"/>
          </w:tcPr>
          <w:p w14:paraId="29038D04" w14:textId="77777777" w:rsidR="0015389F" w:rsidRPr="00025CA4" w:rsidRDefault="00514606" w:rsidP="00964F41">
            <w:pPr>
              <w:spacing w:after="0" w:line="240" w:lineRule="auto"/>
              <w:ind w:left="405" w:hanging="405"/>
              <w:rPr>
                <w:rFonts w:ascii="Arial" w:eastAsia="Calibri" w:hAnsi="Arial" w:cs="Arial"/>
                <w:sz w:val="24"/>
                <w:szCs w:val="24"/>
              </w:rPr>
            </w:pPr>
            <w:r>
              <w:rPr>
                <w:rFonts w:ascii="Arial" w:eastAsia="Calibri" w:hAnsi="Arial" w:cs="Arial"/>
                <w:sz w:val="24"/>
                <w:szCs w:val="24"/>
              </w:rPr>
              <w:t xml:space="preserve">FirstEnergy Pennsylvania Companies’ </w:t>
            </w:r>
            <w:r w:rsidR="00025CA4">
              <w:rPr>
                <w:rFonts w:ascii="Arial" w:eastAsia="Calibri" w:hAnsi="Arial" w:cs="Arial"/>
                <w:sz w:val="24"/>
                <w:szCs w:val="24"/>
              </w:rPr>
              <w:t>Reliability Performance</w:t>
            </w:r>
            <w:r w:rsidR="00CA7011" w:rsidRPr="00025CA4">
              <w:rPr>
                <w:rFonts w:ascii="Arial" w:eastAsia="Calibri" w:hAnsi="Arial" w:cs="Arial"/>
                <w:sz w:val="24"/>
                <w:szCs w:val="24"/>
              </w:rPr>
              <w:t xml:space="preserve"> </w:t>
            </w:r>
            <w:r w:rsidR="0055320C" w:rsidRPr="00025CA4">
              <w:rPr>
                <w:rFonts w:ascii="Arial" w:eastAsia="Calibri" w:hAnsi="Arial" w:cs="Arial"/>
                <w:sz w:val="24"/>
                <w:szCs w:val="24"/>
              </w:rPr>
              <w:t xml:space="preserve">– </w:t>
            </w:r>
            <w:r w:rsidR="00025CA4">
              <w:rPr>
                <w:rFonts w:ascii="Arial" w:eastAsia="Calibri" w:hAnsi="Arial" w:cs="Arial"/>
                <w:sz w:val="24"/>
                <w:szCs w:val="24"/>
              </w:rPr>
              <w:t>For the Year 2013</w:t>
            </w:r>
          </w:p>
        </w:tc>
        <w:tc>
          <w:tcPr>
            <w:tcW w:w="884" w:type="dxa"/>
          </w:tcPr>
          <w:p w14:paraId="08459046" w14:textId="77777777" w:rsidR="0015389F" w:rsidRPr="00C164EE" w:rsidRDefault="00DA4649">
            <w:pPr>
              <w:spacing w:after="0" w:line="240" w:lineRule="auto"/>
              <w:jc w:val="right"/>
              <w:rPr>
                <w:rFonts w:ascii="Arial" w:eastAsia="Calibri" w:hAnsi="Arial" w:cs="Arial"/>
                <w:sz w:val="24"/>
                <w:szCs w:val="24"/>
              </w:rPr>
            </w:pPr>
            <w:r>
              <w:rPr>
                <w:rFonts w:ascii="Arial" w:eastAsia="Calibri" w:hAnsi="Arial" w:cs="Arial"/>
                <w:sz w:val="24"/>
                <w:szCs w:val="24"/>
              </w:rPr>
              <w:t>29</w:t>
            </w:r>
          </w:p>
        </w:tc>
        <w:tc>
          <w:tcPr>
            <w:tcW w:w="256" w:type="dxa"/>
          </w:tcPr>
          <w:p w14:paraId="6FBC86C9" w14:textId="77777777" w:rsidR="0015389F" w:rsidRPr="00CA0D61" w:rsidRDefault="0015389F">
            <w:pPr>
              <w:spacing w:after="0" w:line="240" w:lineRule="auto"/>
              <w:jc w:val="center"/>
              <w:rPr>
                <w:rFonts w:ascii="Arial" w:eastAsia="Calibri" w:hAnsi="Arial" w:cs="Arial"/>
                <w:sz w:val="24"/>
                <w:szCs w:val="24"/>
                <w:highlight w:val="yellow"/>
              </w:rPr>
            </w:pPr>
          </w:p>
        </w:tc>
      </w:tr>
      <w:tr w:rsidR="0015389F" w:rsidRPr="006F27F8" w14:paraId="5E4E4E14" w14:textId="77777777" w:rsidTr="00FE1CA4">
        <w:tc>
          <w:tcPr>
            <w:tcW w:w="1017" w:type="dxa"/>
          </w:tcPr>
          <w:p w14:paraId="41B0838F" w14:textId="77777777" w:rsidR="0015389F" w:rsidRPr="00CA0D61" w:rsidRDefault="0015389F" w:rsidP="00DB7ED6">
            <w:pPr>
              <w:spacing w:after="0" w:line="240" w:lineRule="auto"/>
              <w:jc w:val="center"/>
              <w:rPr>
                <w:rFonts w:ascii="Arial" w:eastAsia="Calibri" w:hAnsi="Arial" w:cs="Arial"/>
                <w:sz w:val="24"/>
                <w:szCs w:val="24"/>
                <w:highlight w:val="yellow"/>
              </w:rPr>
            </w:pPr>
          </w:p>
        </w:tc>
        <w:tc>
          <w:tcPr>
            <w:tcW w:w="7455" w:type="dxa"/>
          </w:tcPr>
          <w:p w14:paraId="2BB3E7DB" w14:textId="77777777" w:rsidR="0015389F" w:rsidRPr="00025CA4" w:rsidRDefault="0015389F" w:rsidP="00DB7ED6">
            <w:pPr>
              <w:spacing w:after="0" w:line="240" w:lineRule="auto"/>
              <w:rPr>
                <w:rFonts w:ascii="Arial" w:eastAsia="Calibri" w:hAnsi="Arial" w:cs="Arial"/>
                <w:sz w:val="24"/>
                <w:szCs w:val="24"/>
              </w:rPr>
            </w:pPr>
          </w:p>
        </w:tc>
        <w:tc>
          <w:tcPr>
            <w:tcW w:w="884" w:type="dxa"/>
          </w:tcPr>
          <w:p w14:paraId="2FD28D68" w14:textId="77777777" w:rsidR="0015389F" w:rsidRPr="00C164EE" w:rsidRDefault="0015389F">
            <w:pPr>
              <w:spacing w:after="0" w:line="240" w:lineRule="auto"/>
              <w:jc w:val="right"/>
              <w:rPr>
                <w:rFonts w:ascii="Arial" w:eastAsia="Calibri" w:hAnsi="Arial" w:cs="Arial"/>
                <w:sz w:val="24"/>
                <w:szCs w:val="24"/>
              </w:rPr>
            </w:pPr>
          </w:p>
        </w:tc>
        <w:tc>
          <w:tcPr>
            <w:tcW w:w="256" w:type="dxa"/>
          </w:tcPr>
          <w:p w14:paraId="3B87A83F" w14:textId="77777777" w:rsidR="0015389F" w:rsidRPr="00CA0D61" w:rsidRDefault="0015389F">
            <w:pPr>
              <w:spacing w:after="0" w:line="240" w:lineRule="auto"/>
              <w:jc w:val="center"/>
              <w:rPr>
                <w:rFonts w:ascii="Arial" w:eastAsia="Calibri" w:hAnsi="Arial" w:cs="Arial"/>
                <w:sz w:val="24"/>
                <w:szCs w:val="24"/>
                <w:highlight w:val="yellow"/>
              </w:rPr>
            </w:pPr>
          </w:p>
        </w:tc>
      </w:tr>
      <w:tr w:rsidR="0015389F" w:rsidRPr="006F27F8" w14:paraId="0A8D590B" w14:textId="77777777" w:rsidTr="00FE1CA4">
        <w:tc>
          <w:tcPr>
            <w:tcW w:w="1017" w:type="dxa"/>
          </w:tcPr>
          <w:p w14:paraId="7D164342" w14:textId="77777777" w:rsidR="0015389F" w:rsidRPr="00CA0D61" w:rsidRDefault="00025CA4" w:rsidP="00DB7ED6">
            <w:pPr>
              <w:spacing w:after="0" w:line="240" w:lineRule="auto"/>
              <w:jc w:val="center"/>
              <w:rPr>
                <w:rFonts w:ascii="Arial" w:eastAsia="Calibri" w:hAnsi="Arial" w:cs="Arial"/>
                <w:sz w:val="24"/>
                <w:szCs w:val="24"/>
                <w:highlight w:val="yellow"/>
              </w:rPr>
            </w:pPr>
            <w:r w:rsidRPr="00025CA4">
              <w:rPr>
                <w:rFonts w:ascii="Arial" w:eastAsia="Calibri" w:hAnsi="Arial" w:cs="Arial"/>
                <w:sz w:val="24"/>
                <w:szCs w:val="24"/>
              </w:rPr>
              <w:t>VII-2</w:t>
            </w:r>
          </w:p>
        </w:tc>
        <w:tc>
          <w:tcPr>
            <w:tcW w:w="7455" w:type="dxa"/>
          </w:tcPr>
          <w:p w14:paraId="5A1F2DB1" w14:textId="77777777" w:rsidR="0015389F" w:rsidRPr="00025CA4" w:rsidRDefault="00514606" w:rsidP="00964F41">
            <w:pPr>
              <w:spacing w:after="0" w:line="240" w:lineRule="auto"/>
              <w:ind w:left="405" w:hanging="405"/>
              <w:rPr>
                <w:rFonts w:ascii="Arial" w:eastAsia="Calibri" w:hAnsi="Arial" w:cs="Arial"/>
                <w:sz w:val="24"/>
                <w:szCs w:val="24"/>
              </w:rPr>
            </w:pPr>
            <w:r>
              <w:rPr>
                <w:rFonts w:ascii="Arial" w:eastAsia="Calibri" w:hAnsi="Arial" w:cs="Arial"/>
                <w:sz w:val="24"/>
                <w:szCs w:val="24"/>
              </w:rPr>
              <w:t xml:space="preserve">FirstEnergy Pennsylvania Companies’ </w:t>
            </w:r>
            <w:r w:rsidR="00025CA4">
              <w:rPr>
                <w:rFonts w:ascii="Arial" w:eastAsia="Calibri" w:hAnsi="Arial" w:cs="Arial"/>
                <w:sz w:val="24"/>
                <w:szCs w:val="24"/>
              </w:rPr>
              <w:t xml:space="preserve">Reliability Performance Status </w:t>
            </w:r>
            <w:r w:rsidR="0055320C" w:rsidRPr="00025CA4">
              <w:rPr>
                <w:rFonts w:ascii="Arial" w:eastAsia="Calibri" w:hAnsi="Arial" w:cs="Arial"/>
                <w:sz w:val="24"/>
                <w:szCs w:val="24"/>
              </w:rPr>
              <w:t>–</w:t>
            </w:r>
            <w:r w:rsidR="00CA7011" w:rsidRPr="00025CA4">
              <w:rPr>
                <w:rFonts w:ascii="Arial" w:eastAsia="Calibri" w:hAnsi="Arial" w:cs="Arial"/>
                <w:sz w:val="24"/>
                <w:szCs w:val="24"/>
              </w:rPr>
              <w:t xml:space="preserve"> </w:t>
            </w:r>
            <w:r w:rsidR="00025CA4">
              <w:rPr>
                <w:rFonts w:ascii="Arial" w:eastAsia="Calibri" w:hAnsi="Arial" w:cs="Arial"/>
                <w:sz w:val="24"/>
                <w:szCs w:val="24"/>
              </w:rPr>
              <w:t>For the Years 2009 through 2013</w:t>
            </w:r>
          </w:p>
        </w:tc>
        <w:tc>
          <w:tcPr>
            <w:tcW w:w="884" w:type="dxa"/>
          </w:tcPr>
          <w:p w14:paraId="7928BCBC" w14:textId="77777777" w:rsidR="0015389F" w:rsidRPr="00C164EE" w:rsidRDefault="00DA4649">
            <w:pPr>
              <w:spacing w:after="0" w:line="240" w:lineRule="auto"/>
              <w:jc w:val="right"/>
              <w:rPr>
                <w:rFonts w:ascii="Arial" w:eastAsia="Calibri" w:hAnsi="Arial" w:cs="Arial"/>
                <w:sz w:val="24"/>
                <w:szCs w:val="24"/>
              </w:rPr>
            </w:pPr>
            <w:r>
              <w:rPr>
                <w:rFonts w:ascii="Arial" w:eastAsia="Calibri" w:hAnsi="Arial" w:cs="Arial"/>
                <w:sz w:val="24"/>
                <w:szCs w:val="24"/>
              </w:rPr>
              <w:t>30</w:t>
            </w:r>
          </w:p>
        </w:tc>
        <w:tc>
          <w:tcPr>
            <w:tcW w:w="256" w:type="dxa"/>
          </w:tcPr>
          <w:p w14:paraId="2ADD658B" w14:textId="77777777" w:rsidR="0015389F" w:rsidRPr="00CA0D61" w:rsidRDefault="0015389F">
            <w:pPr>
              <w:spacing w:after="0" w:line="240" w:lineRule="auto"/>
              <w:jc w:val="center"/>
              <w:rPr>
                <w:rFonts w:ascii="Arial" w:eastAsia="Calibri" w:hAnsi="Arial" w:cs="Arial"/>
                <w:sz w:val="24"/>
                <w:szCs w:val="24"/>
                <w:highlight w:val="yellow"/>
              </w:rPr>
            </w:pPr>
          </w:p>
        </w:tc>
      </w:tr>
      <w:tr w:rsidR="0015389F" w:rsidRPr="006F27F8" w14:paraId="436CD55F" w14:textId="77777777" w:rsidTr="00FE1CA4">
        <w:tc>
          <w:tcPr>
            <w:tcW w:w="1017" w:type="dxa"/>
          </w:tcPr>
          <w:p w14:paraId="6B9DC2C6" w14:textId="77777777" w:rsidR="0015389F" w:rsidRPr="00CA0D61" w:rsidRDefault="0015389F" w:rsidP="00DB7ED6">
            <w:pPr>
              <w:spacing w:after="0" w:line="240" w:lineRule="auto"/>
              <w:jc w:val="center"/>
              <w:rPr>
                <w:rFonts w:ascii="Arial" w:eastAsia="Calibri" w:hAnsi="Arial" w:cs="Arial"/>
                <w:sz w:val="24"/>
                <w:szCs w:val="24"/>
                <w:highlight w:val="yellow"/>
              </w:rPr>
            </w:pPr>
          </w:p>
        </w:tc>
        <w:tc>
          <w:tcPr>
            <w:tcW w:w="7455" w:type="dxa"/>
          </w:tcPr>
          <w:p w14:paraId="1E462695" w14:textId="77777777" w:rsidR="0015389F" w:rsidRPr="00CA0D61" w:rsidRDefault="0015389F" w:rsidP="00DB7ED6">
            <w:pPr>
              <w:spacing w:after="0" w:line="240" w:lineRule="auto"/>
              <w:rPr>
                <w:rFonts w:ascii="Arial" w:eastAsia="Calibri" w:hAnsi="Arial" w:cs="Arial"/>
                <w:sz w:val="24"/>
                <w:szCs w:val="24"/>
                <w:highlight w:val="yellow"/>
              </w:rPr>
            </w:pPr>
          </w:p>
        </w:tc>
        <w:tc>
          <w:tcPr>
            <w:tcW w:w="884" w:type="dxa"/>
          </w:tcPr>
          <w:p w14:paraId="0442F754" w14:textId="77777777" w:rsidR="0015389F" w:rsidRPr="00CA0D61" w:rsidRDefault="0015389F">
            <w:pPr>
              <w:spacing w:after="0" w:line="240" w:lineRule="auto"/>
              <w:jc w:val="right"/>
              <w:rPr>
                <w:rFonts w:ascii="Arial" w:eastAsia="Calibri" w:hAnsi="Arial" w:cs="Arial"/>
                <w:sz w:val="24"/>
                <w:szCs w:val="24"/>
                <w:highlight w:val="yellow"/>
              </w:rPr>
            </w:pPr>
          </w:p>
        </w:tc>
        <w:tc>
          <w:tcPr>
            <w:tcW w:w="256" w:type="dxa"/>
          </w:tcPr>
          <w:p w14:paraId="1816F2C9" w14:textId="77777777" w:rsidR="0015389F" w:rsidRPr="00CA0D61" w:rsidRDefault="0015389F">
            <w:pPr>
              <w:spacing w:after="0" w:line="240" w:lineRule="auto"/>
              <w:jc w:val="center"/>
              <w:rPr>
                <w:rFonts w:ascii="Arial" w:eastAsia="Calibri" w:hAnsi="Arial" w:cs="Arial"/>
                <w:sz w:val="24"/>
                <w:szCs w:val="24"/>
                <w:highlight w:val="yellow"/>
              </w:rPr>
            </w:pPr>
          </w:p>
        </w:tc>
      </w:tr>
      <w:tr w:rsidR="0015389F" w:rsidRPr="006F27F8" w14:paraId="65647F84" w14:textId="77777777" w:rsidTr="00FE1CA4">
        <w:tc>
          <w:tcPr>
            <w:tcW w:w="1017" w:type="dxa"/>
          </w:tcPr>
          <w:p w14:paraId="41427ADF" w14:textId="77777777" w:rsidR="0015389F" w:rsidRPr="00CA0D61" w:rsidRDefault="00025CA4" w:rsidP="00DB7ED6">
            <w:pPr>
              <w:spacing w:after="0" w:line="240" w:lineRule="auto"/>
              <w:jc w:val="center"/>
              <w:rPr>
                <w:rFonts w:ascii="Arial" w:eastAsia="Calibri" w:hAnsi="Arial" w:cs="Arial"/>
                <w:sz w:val="24"/>
                <w:szCs w:val="24"/>
                <w:highlight w:val="yellow"/>
              </w:rPr>
            </w:pPr>
            <w:r w:rsidRPr="00025CA4">
              <w:rPr>
                <w:rFonts w:ascii="Arial" w:eastAsia="Calibri" w:hAnsi="Arial" w:cs="Arial"/>
                <w:sz w:val="24"/>
                <w:szCs w:val="24"/>
              </w:rPr>
              <w:t>VII-3</w:t>
            </w:r>
          </w:p>
        </w:tc>
        <w:tc>
          <w:tcPr>
            <w:tcW w:w="7455" w:type="dxa"/>
          </w:tcPr>
          <w:p w14:paraId="2E70A34A" w14:textId="77777777" w:rsidR="0015389F" w:rsidRPr="00CA0D61" w:rsidRDefault="00514606" w:rsidP="003C2232">
            <w:pPr>
              <w:spacing w:after="0" w:line="240" w:lineRule="auto"/>
              <w:ind w:left="405" w:hanging="405"/>
              <w:rPr>
                <w:rFonts w:ascii="Arial" w:eastAsia="Calibri" w:hAnsi="Arial" w:cs="Arial"/>
                <w:sz w:val="24"/>
                <w:szCs w:val="24"/>
                <w:highlight w:val="yellow"/>
              </w:rPr>
            </w:pPr>
            <w:r>
              <w:rPr>
                <w:rFonts w:ascii="Arial" w:eastAsia="Calibri" w:hAnsi="Arial" w:cs="Arial"/>
                <w:sz w:val="24"/>
                <w:szCs w:val="24"/>
              </w:rPr>
              <w:t xml:space="preserve">FirstEnergy Pennsylvania Companies’ </w:t>
            </w:r>
            <w:r w:rsidR="00025CA4" w:rsidRPr="00025CA4">
              <w:rPr>
                <w:rFonts w:ascii="Arial" w:eastAsia="Calibri" w:hAnsi="Arial" w:cs="Arial"/>
                <w:sz w:val="24"/>
                <w:szCs w:val="24"/>
              </w:rPr>
              <w:t>Reliability Perform</w:t>
            </w:r>
            <w:r w:rsidR="00025CA4">
              <w:rPr>
                <w:rFonts w:ascii="Arial" w:eastAsia="Calibri" w:hAnsi="Arial" w:cs="Arial"/>
                <w:sz w:val="24"/>
                <w:szCs w:val="24"/>
              </w:rPr>
              <w:t>ance – For the Years 2014 through 2017</w:t>
            </w:r>
          </w:p>
        </w:tc>
        <w:tc>
          <w:tcPr>
            <w:tcW w:w="884" w:type="dxa"/>
          </w:tcPr>
          <w:p w14:paraId="32352566" w14:textId="77777777" w:rsidR="00CA396B" w:rsidRPr="00CA0D61" w:rsidRDefault="00C164EE" w:rsidP="00C164EE">
            <w:pPr>
              <w:tabs>
                <w:tab w:val="left" w:pos="405"/>
              </w:tabs>
              <w:spacing w:after="0" w:line="240" w:lineRule="auto"/>
              <w:jc w:val="right"/>
              <w:rPr>
                <w:rFonts w:ascii="Arial" w:eastAsia="Calibri" w:hAnsi="Arial" w:cs="Arial"/>
                <w:sz w:val="24"/>
                <w:szCs w:val="24"/>
                <w:highlight w:val="yellow"/>
              </w:rPr>
            </w:pPr>
            <w:r w:rsidRPr="00C164EE">
              <w:rPr>
                <w:rFonts w:ascii="Arial" w:eastAsia="Calibri" w:hAnsi="Arial" w:cs="Arial"/>
                <w:sz w:val="24"/>
                <w:szCs w:val="24"/>
              </w:rPr>
              <w:t>3</w:t>
            </w:r>
            <w:r w:rsidR="00DA4649">
              <w:rPr>
                <w:rFonts w:ascii="Arial" w:eastAsia="Calibri" w:hAnsi="Arial" w:cs="Arial"/>
                <w:sz w:val="24"/>
                <w:szCs w:val="24"/>
              </w:rPr>
              <w:t>1</w:t>
            </w:r>
          </w:p>
        </w:tc>
        <w:tc>
          <w:tcPr>
            <w:tcW w:w="256" w:type="dxa"/>
          </w:tcPr>
          <w:p w14:paraId="3BE899E3" w14:textId="77777777" w:rsidR="0015389F" w:rsidRPr="00CA0D61" w:rsidRDefault="0015389F" w:rsidP="00DB7ED6">
            <w:pPr>
              <w:spacing w:after="0" w:line="240" w:lineRule="auto"/>
              <w:jc w:val="center"/>
              <w:rPr>
                <w:rFonts w:ascii="Arial" w:eastAsia="Calibri" w:hAnsi="Arial" w:cs="Arial"/>
                <w:sz w:val="24"/>
                <w:szCs w:val="24"/>
                <w:highlight w:val="yellow"/>
              </w:rPr>
            </w:pPr>
          </w:p>
        </w:tc>
      </w:tr>
      <w:tr w:rsidR="0015389F" w:rsidRPr="006F27F8" w14:paraId="462895F7" w14:textId="77777777" w:rsidTr="00FE1CA4">
        <w:tc>
          <w:tcPr>
            <w:tcW w:w="1017" w:type="dxa"/>
          </w:tcPr>
          <w:p w14:paraId="5B7CD3ED" w14:textId="77777777" w:rsidR="0015389F" w:rsidRPr="00CA0D61" w:rsidRDefault="0015389F" w:rsidP="00DB7ED6">
            <w:pPr>
              <w:spacing w:after="0" w:line="240" w:lineRule="auto"/>
              <w:jc w:val="center"/>
              <w:rPr>
                <w:rFonts w:ascii="Arial" w:eastAsia="Calibri" w:hAnsi="Arial" w:cs="Arial"/>
                <w:sz w:val="24"/>
                <w:szCs w:val="24"/>
                <w:highlight w:val="yellow"/>
              </w:rPr>
            </w:pPr>
          </w:p>
        </w:tc>
        <w:tc>
          <w:tcPr>
            <w:tcW w:w="7455" w:type="dxa"/>
          </w:tcPr>
          <w:p w14:paraId="5EDB174B" w14:textId="77777777" w:rsidR="0015389F" w:rsidRPr="00CA0D61" w:rsidRDefault="0015389F" w:rsidP="00DB7ED6">
            <w:pPr>
              <w:spacing w:after="0" w:line="240" w:lineRule="auto"/>
              <w:rPr>
                <w:rFonts w:ascii="Arial" w:eastAsia="Calibri" w:hAnsi="Arial" w:cs="Arial"/>
                <w:sz w:val="24"/>
                <w:szCs w:val="24"/>
                <w:highlight w:val="yellow"/>
              </w:rPr>
            </w:pPr>
          </w:p>
        </w:tc>
        <w:tc>
          <w:tcPr>
            <w:tcW w:w="884" w:type="dxa"/>
          </w:tcPr>
          <w:p w14:paraId="16197D2D" w14:textId="77777777" w:rsidR="0015389F" w:rsidRPr="00CA0D61" w:rsidRDefault="0015389F">
            <w:pPr>
              <w:spacing w:after="0" w:line="240" w:lineRule="auto"/>
              <w:jc w:val="right"/>
              <w:rPr>
                <w:rFonts w:ascii="Arial" w:eastAsia="Calibri" w:hAnsi="Arial" w:cs="Arial"/>
                <w:sz w:val="24"/>
                <w:szCs w:val="24"/>
                <w:highlight w:val="yellow"/>
              </w:rPr>
            </w:pPr>
          </w:p>
        </w:tc>
        <w:tc>
          <w:tcPr>
            <w:tcW w:w="256" w:type="dxa"/>
          </w:tcPr>
          <w:p w14:paraId="6AE3F486" w14:textId="77777777" w:rsidR="0015389F" w:rsidRPr="00CA0D61" w:rsidRDefault="0015389F">
            <w:pPr>
              <w:spacing w:after="0" w:line="240" w:lineRule="auto"/>
              <w:jc w:val="center"/>
              <w:rPr>
                <w:rFonts w:ascii="Arial" w:eastAsia="Calibri" w:hAnsi="Arial" w:cs="Arial"/>
                <w:sz w:val="24"/>
                <w:szCs w:val="24"/>
                <w:highlight w:val="yellow"/>
              </w:rPr>
            </w:pPr>
          </w:p>
        </w:tc>
      </w:tr>
      <w:tr w:rsidR="0015389F" w:rsidRPr="006F27F8" w14:paraId="00EC235A" w14:textId="77777777" w:rsidTr="00FE1CA4">
        <w:tc>
          <w:tcPr>
            <w:tcW w:w="1017" w:type="dxa"/>
          </w:tcPr>
          <w:p w14:paraId="1E0E041E" w14:textId="77777777" w:rsidR="0015389F" w:rsidRPr="00CA0D61" w:rsidRDefault="00025CA4" w:rsidP="00DB7ED6">
            <w:pPr>
              <w:spacing w:after="0" w:line="240" w:lineRule="auto"/>
              <w:jc w:val="center"/>
              <w:rPr>
                <w:rFonts w:ascii="Arial" w:eastAsia="Calibri" w:hAnsi="Arial" w:cs="Arial"/>
                <w:sz w:val="24"/>
                <w:szCs w:val="24"/>
                <w:highlight w:val="yellow"/>
              </w:rPr>
            </w:pPr>
            <w:r w:rsidRPr="00025CA4">
              <w:rPr>
                <w:rFonts w:ascii="Arial" w:eastAsia="Calibri" w:hAnsi="Arial" w:cs="Arial"/>
                <w:sz w:val="24"/>
                <w:szCs w:val="24"/>
              </w:rPr>
              <w:t>VII-4</w:t>
            </w:r>
          </w:p>
        </w:tc>
        <w:tc>
          <w:tcPr>
            <w:tcW w:w="7455" w:type="dxa"/>
          </w:tcPr>
          <w:p w14:paraId="1AC0AF25" w14:textId="77777777" w:rsidR="0015389F" w:rsidRPr="00BB390A" w:rsidRDefault="00514606" w:rsidP="00BB390A">
            <w:pPr>
              <w:spacing w:after="0" w:line="240" w:lineRule="auto"/>
              <w:ind w:left="405" w:hanging="405"/>
              <w:rPr>
                <w:rFonts w:ascii="Arial" w:eastAsia="Calibri" w:hAnsi="Arial" w:cs="Arial"/>
                <w:sz w:val="24"/>
                <w:szCs w:val="24"/>
              </w:rPr>
            </w:pPr>
            <w:r>
              <w:rPr>
                <w:rFonts w:ascii="Arial" w:eastAsia="Calibri" w:hAnsi="Arial" w:cs="Arial"/>
                <w:sz w:val="24"/>
                <w:szCs w:val="24"/>
              </w:rPr>
              <w:t xml:space="preserve">FirstEnergy Pennsylvania Companies’ </w:t>
            </w:r>
            <w:r w:rsidR="00025CA4" w:rsidRPr="00025CA4">
              <w:rPr>
                <w:rFonts w:ascii="Arial" w:eastAsia="Calibri" w:hAnsi="Arial" w:cs="Arial"/>
                <w:sz w:val="24"/>
                <w:szCs w:val="24"/>
              </w:rPr>
              <w:t>Number of Field Operations Departments with Overtime Levels Exceeding 15% And the Maximum Overtime Le</w:t>
            </w:r>
            <w:r w:rsidR="00BB390A">
              <w:rPr>
                <w:rFonts w:ascii="Arial" w:eastAsia="Calibri" w:hAnsi="Arial" w:cs="Arial"/>
                <w:sz w:val="24"/>
                <w:szCs w:val="24"/>
              </w:rPr>
              <w:t xml:space="preserve">vel Experienced by a Department - </w:t>
            </w:r>
            <w:r w:rsidR="00025CA4" w:rsidRPr="00025CA4">
              <w:rPr>
                <w:rFonts w:ascii="Arial" w:eastAsia="Calibri" w:hAnsi="Arial" w:cs="Arial"/>
                <w:sz w:val="24"/>
                <w:szCs w:val="24"/>
              </w:rPr>
              <w:t>For Years 2014 through 2017</w:t>
            </w:r>
          </w:p>
        </w:tc>
        <w:tc>
          <w:tcPr>
            <w:tcW w:w="884" w:type="dxa"/>
          </w:tcPr>
          <w:p w14:paraId="6D0BD36A" w14:textId="77777777" w:rsidR="0015389F" w:rsidRPr="00C164EE" w:rsidRDefault="00C164EE" w:rsidP="00C164EE">
            <w:pPr>
              <w:spacing w:after="0" w:line="240" w:lineRule="auto"/>
              <w:jc w:val="right"/>
              <w:rPr>
                <w:rFonts w:ascii="Arial" w:eastAsia="Calibri" w:hAnsi="Arial" w:cs="Arial"/>
                <w:sz w:val="24"/>
                <w:szCs w:val="24"/>
              </w:rPr>
            </w:pPr>
            <w:r w:rsidRPr="00C164EE">
              <w:rPr>
                <w:rFonts w:ascii="Arial" w:eastAsia="Calibri" w:hAnsi="Arial" w:cs="Arial"/>
                <w:sz w:val="24"/>
                <w:szCs w:val="24"/>
              </w:rPr>
              <w:t>3</w:t>
            </w:r>
            <w:r w:rsidR="00DA4649">
              <w:rPr>
                <w:rFonts w:ascii="Arial" w:eastAsia="Calibri" w:hAnsi="Arial" w:cs="Arial"/>
                <w:sz w:val="24"/>
                <w:szCs w:val="24"/>
              </w:rPr>
              <w:t>5</w:t>
            </w:r>
          </w:p>
        </w:tc>
        <w:tc>
          <w:tcPr>
            <w:tcW w:w="256" w:type="dxa"/>
          </w:tcPr>
          <w:p w14:paraId="79BA7374" w14:textId="77777777" w:rsidR="0015389F" w:rsidRPr="00CA0D61" w:rsidRDefault="0015389F">
            <w:pPr>
              <w:spacing w:after="0" w:line="240" w:lineRule="auto"/>
              <w:jc w:val="center"/>
              <w:rPr>
                <w:rFonts w:ascii="Arial" w:eastAsia="Calibri" w:hAnsi="Arial" w:cs="Arial"/>
                <w:b/>
                <w:sz w:val="24"/>
                <w:szCs w:val="24"/>
                <w:highlight w:val="yellow"/>
              </w:rPr>
            </w:pPr>
          </w:p>
        </w:tc>
      </w:tr>
      <w:tr w:rsidR="0015389F" w:rsidRPr="006F27F8" w14:paraId="55327DA3" w14:textId="77777777" w:rsidTr="00FE1CA4">
        <w:tc>
          <w:tcPr>
            <w:tcW w:w="1017" w:type="dxa"/>
          </w:tcPr>
          <w:p w14:paraId="7E14F10F" w14:textId="77777777" w:rsidR="0015389F" w:rsidRPr="00CA0D61" w:rsidRDefault="0015389F" w:rsidP="00DB7ED6">
            <w:pPr>
              <w:spacing w:after="0" w:line="240" w:lineRule="auto"/>
              <w:jc w:val="center"/>
              <w:rPr>
                <w:rFonts w:ascii="Arial" w:eastAsia="Calibri" w:hAnsi="Arial" w:cs="Arial"/>
                <w:sz w:val="24"/>
                <w:szCs w:val="24"/>
                <w:highlight w:val="yellow"/>
              </w:rPr>
            </w:pPr>
          </w:p>
        </w:tc>
        <w:tc>
          <w:tcPr>
            <w:tcW w:w="7455" w:type="dxa"/>
          </w:tcPr>
          <w:p w14:paraId="0470C397" w14:textId="77777777" w:rsidR="0015389F" w:rsidRPr="00CA0D61" w:rsidRDefault="0015389F" w:rsidP="00DB7ED6">
            <w:pPr>
              <w:spacing w:after="0" w:line="240" w:lineRule="auto"/>
              <w:rPr>
                <w:rFonts w:ascii="Arial" w:eastAsia="Calibri" w:hAnsi="Arial" w:cs="Arial"/>
                <w:sz w:val="24"/>
                <w:szCs w:val="24"/>
                <w:highlight w:val="yellow"/>
              </w:rPr>
            </w:pPr>
          </w:p>
        </w:tc>
        <w:tc>
          <w:tcPr>
            <w:tcW w:w="884" w:type="dxa"/>
          </w:tcPr>
          <w:p w14:paraId="750C2F86" w14:textId="77777777" w:rsidR="0015389F" w:rsidRPr="00C164EE" w:rsidRDefault="0015389F">
            <w:pPr>
              <w:spacing w:after="0" w:line="240" w:lineRule="auto"/>
              <w:jc w:val="right"/>
              <w:rPr>
                <w:rFonts w:ascii="Arial" w:eastAsia="Calibri" w:hAnsi="Arial" w:cs="Arial"/>
                <w:sz w:val="24"/>
                <w:szCs w:val="24"/>
              </w:rPr>
            </w:pPr>
          </w:p>
        </w:tc>
        <w:tc>
          <w:tcPr>
            <w:tcW w:w="256" w:type="dxa"/>
          </w:tcPr>
          <w:p w14:paraId="6F88264E" w14:textId="77777777" w:rsidR="0015389F" w:rsidRPr="00CA0D61" w:rsidRDefault="0015389F">
            <w:pPr>
              <w:spacing w:after="0" w:line="240" w:lineRule="auto"/>
              <w:jc w:val="center"/>
              <w:rPr>
                <w:rFonts w:ascii="Arial" w:eastAsia="Calibri" w:hAnsi="Arial" w:cs="Arial"/>
                <w:sz w:val="24"/>
                <w:szCs w:val="24"/>
                <w:highlight w:val="yellow"/>
              </w:rPr>
            </w:pPr>
          </w:p>
        </w:tc>
      </w:tr>
      <w:tr w:rsidR="0015389F" w:rsidRPr="006F27F8" w14:paraId="7FAD0732" w14:textId="77777777" w:rsidTr="00FE1CA4">
        <w:tc>
          <w:tcPr>
            <w:tcW w:w="1017" w:type="dxa"/>
          </w:tcPr>
          <w:p w14:paraId="0D0AC76F" w14:textId="77777777" w:rsidR="0015389F" w:rsidRPr="00CA0D61" w:rsidRDefault="00BB390A" w:rsidP="00DB7ED6">
            <w:pPr>
              <w:spacing w:after="0" w:line="240" w:lineRule="auto"/>
              <w:jc w:val="center"/>
              <w:rPr>
                <w:rFonts w:ascii="Arial" w:eastAsia="Calibri" w:hAnsi="Arial" w:cs="Arial"/>
                <w:sz w:val="24"/>
                <w:szCs w:val="24"/>
                <w:highlight w:val="yellow"/>
              </w:rPr>
            </w:pPr>
            <w:r w:rsidRPr="00BB390A">
              <w:rPr>
                <w:rFonts w:ascii="Arial" w:eastAsia="Calibri" w:hAnsi="Arial" w:cs="Arial"/>
                <w:sz w:val="24"/>
                <w:szCs w:val="24"/>
              </w:rPr>
              <w:t>VII-5</w:t>
            </w:r>
          </w:p>
        </w:tc>
        <w:tc>
          <w:tcPr>
            <w:tcW w:w="7455" w:type="dxa"/>
          </w:tcPr>
          <w:p w14:paraId="7191B268" w14:textId="77777777" w:rsidR="0015389F" w:rsidRPr="00BB390A" w:rsidRDefault="00514606" w:rsidP="00BB390A">
            <w:pPr>
              <w:spacing w:after="0" w:line="240" w:lineRule="auto"/>
              <w:ind w:left="405" w:hanging="405"/>
              <w:rPr>
                <w:rFonts w:ascii="Arial" w:eastAsia="Calibri" w:hAnsi="Arial" w:cs="Arial"/>
                <w:sz w:val="24"/>
                <w:szCs w:val="24"/>
              </w:rPr>
            </w:pPr>
            <w:r>
              <w:rPr>
                <w:rFonts w:ascii="Arial" w:eastAsia="Calibri" w:hAnsi="Arial" w:cs="Arial"/>
                <w:sz w:val="24"/>
                <w:szCs w:val="24"/>
              </w:rPr>
              <w:t xml:space="preserve">FirstEnergy Pennsylvania Companies’ </w:t>
            </w:r>
            <w:r w:rsidR="00BB390A" w:rsidRPr="00BB390A">
              <w:rPr>
                <w:rFonts w:ascii="Arial" w:eastAsia="Calibri" w:hAnsi="Arial" w:cs="Arial"/>
                <w:sz w:val="24"/>
                <w:szCs w:val="24"/>
              </w:rPr>
              <w:t>Av</w:t>
            </w:r>
            <w:r w:rsidR="00BB390A">
              <w:rPr>
                <w:rFonts w:ascii="Arial" w:eastAsia="Calibri" w:hAnsi="Arial" w:cs="Arial"/>
                <w:sz w:val="24"/>
                <w:szCs w:val="24"/>
              </w:rPr>
              <w:t xml:space="preserve">erage Call-Out Acceptance Rates - </w:t>
            </w:r>
            <w:r w:rsidR="00BB390A" w:rsidRPr="00BB390A">
              <w:rPr>
                <w:rFonts w:ascii="Arial" w:eastAsia="Calibri" w:hAnsi="Arial" w:cs="Arial"/>
                <w:sz w:val="24"/>
                <w:szCs w:val="24"/>
              </w:rPr>
              <w:t>For the Years 2014 through 2017</w:t>
            </w:r>
          </w:p>
        </w:tc>
        <w:tc>
          <w:tcPr>
            <w:tcW w:w="884" w:type="dxa"/>
          </w:tcPr>
          <w:p w14:paraId="7D762BC0" w14:textId="77777777" w:rsidR="00CA396B" w:rsidRPr="00C164EE" w:rsidRDefault="00DA4649" w:rsidP="00DB7ED6">
            <w:pPr>
              <w:spacing w:after="0" w:line="240" w:lineRule="auto"/>
              <w:jc w:val="right"/>
              <w:rPr>
                <w:rFonts w:ascii="Arial" w:eastAsia="Calibri" w:hAnsi="Arial" w:cs="Arial"/>
                <w:sz w:val="24"/>
                <w:szCs w:val="24"/>
              </w:rPr>
            </w:pPr>
            <w:r>
              <w:rPr>
                <w:rFonts w:ascii="Arial" w:eastAsia="Calibri" w:hAnsi="Arial" w:cs="Arial"/>
                <w:sz w:val="24"/>
                <w:szCs w:val="24"/>
              </w:rPr>
              <w:t>37</w:t>
            </w:r>
          </w:p>
        </w:tc>
        <w:tc>
          <w:tcPr>
            <w:tcW w:w="256" w:type="dxa"/>
          </w:tcPr>
          <w:p w14:paraId="39795B36" w14:textId="77777777" w:rsidR="0015389F" w:rsidRPr="00CA0D61" w:rsidRDefault="0015389F" w:rsidP="00DB7ED6">
            <w:pPr>
              <w:spacing w:after="0" w:line="240" w:lineRule="auto"/>
              <w:jc w:val="center"/>
              <w:rPr>
                <w:rFonts w:ascii="Arial" w:eastAsia="Calibri" w:hAnsi="Arial" w:cs="Arial"/>
                <w:b/>
                <w:sz w:val="24"/>
                <w:szCs w:val="24"/>
                <w:highlight w:val="yellow"/>
              </w:rPr>
            </w:pPr>
          </w:p>
        </w:tc>
      </w:tr>
      <w:tr w:rsidR="0015389F" w:rsidRPr="006F27F8" w14:paraId="1554D2E8" w14:textId="77777777" w:rsidTr="00FE1CA4">
        <w:tc>
          <w:tcPr>
            <w:tcW w:w="1017" w:type="dxa"/>
          </w:tcPr>
          <w:p w14:paraId="2BFA0E8A" w14:textId="77777777" w:rsidR="0015389F" w:rsidRPr="00CA0D61" w:rsidRDefault="0015389F" w:rsidP="00DB7ED6">
            <w:pPr>
              <w:spacing w:after="0" w:line="240" w:lineRule="auto"/>
              <w:jc w:val="center"/>
              <w:rPr>
                <w:rFonts w:ascii="Arial" w:eastAsia="Calibri" w:hAnsi="Arial" w:cs="Arial"/>
                <w:sz w:val="24"/>
                <w:szCs w:val="24"/>
                <w:highlight w:val="yellow"/>
              </w:rPr>
            </w:pPr>
          </w:p>
        </w:tc>
        <w:tc>
          <w:tcPr>
            <w:tcW w:w="7455" w:type="dxa"/>
          </w:tcPr>
          <w:p w14:paraId="330C83E6" w14:textId="77777777" w:rsidR="0015389F" w:rsidRPr="00CA0D61" w:rsidRDefault="0015389F" w:rsidP="00DB7ED6">
            <w:pPr>
              <w:spacing w:after="0" w:line="240" w:lineRule="auto"/>
              <w:rPr>
                <w:rFonts w:ascii="Arial" w:eastAsia="Calibri" w:hAnsi="Arial" w:cs="Arial"/>
                <w:sz w:val="24"/>
                <w:szCs w:val="24"/>
                <w:highlight w:val="yellow"/>
              </w:rPr>
            </w:pPr>
          </w:p>
        </w:tc>
        <w:tc>
          <w:tcPr>
            <w:tcW w:w="884" w:type="dxa"/>
          </w:tcPr>
          <w:p w14:paraId="022CD823" w14:textId="77777777" w:rsidR="0015389F" w:rsidRPr="00C164EE" w:rsidRDefault="0015389F">
            <w:pPr>
              <w:spacing w:after="0" w:line="240" w:lineRule="auto"/>
              <w:jc w:val="right"/>
              <w:rPr>
                <w:rFonts w:ascii="Arial" w:eastAsia="Calibri" w:hAnsi="Arial" w:cs="Arial"/>
                <w:sz w:val="24"/>
                <w:szCs w:val="24"/>
              </w:rPr>
            </w:pPr>
          </w:p>
        </w:tc>
        <w:tc>
          <w:tcPr>
            <w:tcW w:w="256" w:type="dxa"/>
          </w:tcPr>
          <w:p w14:paraId="0D6C786E" w14:textId="77777777" w:rsidR="0015389F" w:rsidRPr="00CA0D61" w:rsidRDefault="0015389F">
            <w:pPr>
              <w:spacing w:after="0" w:line="240" w:lineRule="auto"/>
              <w:jc w:val="center"/>
              <w:rPr>
                <w:rFonts w:ascii="Arial" w:eastAsia="Calibri" w:hAnsi="Arial" w:cs="Arial"/>
                <w:sz w:val="24"/>
                <w:szCs w:val="24"/>
                <w:highlight w:val="yellow"/>
              </w:rPr>
            </w:pPr>
          </w:p>
        </w:tc>
      </w:tr>
      <w:tr w:rsidR="00BD3717" w:rsidRPr="006F27F8" w14:paraId="03B5848E" w14:textId="77777777" w:rsidTr="00FE1CA4">
        <w:tc>
          <w:tcPr>
            <w:tcW w:w="1017" w:type="dxa"/>
          </w:tcPr>
          <w:p w14:paraId="722BC893" w14:textId="77777777" w:rsidR="00BD3717" w:rsidRPr="00CA0D61" w:rsidRDefault="00BB390A" w:rsidP="00DB7ED6">
            <w:pPr>
              <w:spacing w:after="0" w:line="240" w:lineRule="auto"/>
              <w:jc w:val="center"/>
              <w:rPr>
                <w:rFonts w:ascii="Arial" w:eastAsia="Calibri" w:hAnsi="Arial" w:cs="Arial"/>
                <w:sz w:val="24"/>
                <w:szCs w:val="24"/>
                <w:highlight w:val="yellow"/>
              </w:rPr>
            </w:pPr>
            <w:r w:rsidRPr="00BB390A">
              <w:rPr>
                <w:rFonts w:ascii="Arial" w:eastAsia="Calibri" w:hAnsi="Arial" w:cs="Arial"/>
                <w:sz w:val="24"/>
                <w:szCs w:val="24"/>
              </w:rPr>
              <w:t>VII-6</w:t>
            </w:r>
          </w:p>
        </w:tc>
        <w:tc>
          <w:tcPr>
            <w:tcW w:w="7455" w:type="dxa"/>
          </w:tcPr>
          <w:p w14:paraId="14BA9562" w14:textId="77777777" w:rsidR="00BD3717" w:rsidRPr="00BB390A" w:rsidRDefault="00514606" w:rsidP="00BB390A">
            <w:pPr>
              <w:autoSpaceDE w:val="0"/>
              <w:autoSpaceDN w:val="0"/>
              <w:adjustRightInd w:val="0"/>
              <w:spacing w:after="0" w:line="240" w:lineRule="auto"/>
              <w:ind w:left="405" w:hanging="360"/>
              <w:rPr>
                <w:rFonts w:ascii="Arial" w:eastAsia="Times New Roman" w:hAnsi="Arial" w:cs="Arial"/>
                <w:sz w:val="24"/>
                <w:szCs w:val="24"/>
              </w:rPr>
            </w:pPr>
            <w:r>
              <w:rPr>
                <w:rFonts w:ascii="Arial" w:eastAsia="Times New Roman" w:hAnsi="Arial" w:cs="Arial"/>
                <w:sz w:val="24"/>
                <w:szCs w:val="24"/>
              </w:rPr>
              <w:t xml:space="preserve">FirstEnergy Pennsylvania Companies’ </w:t>
            </w:r>
            <w:r w:rsidR="00BB390A" w:rsidRPr="00BB390A">
              <w:rPr>
                <w:rFonts w:ascii="Arial" w:eastAsia="Times New Roman" w:hAnsi="Arial" w:cs="Arial"/>
                <w:sz w:val="24"/>
                <w:szCs w:val="24"/>
              </w:rPr>
              <w:t>Lowest Call-Out Acc</w:t>
            </w:r>
            <w:r w:rsidR="00BB390A">
              <w:rPr>
                <w:rFonts w:ascii="Arial" w:eastAsia="Times New Roman" w:hAnsi="Arial" w:cs="Arial"/>
                <w:sz w:val="24"/>
                <w:szCs w:val="24"/>
              </w:rPr>
              <w:t xml:space="preserve">eptance Rates by Service Center - </w:t>
            </w:r>
            <w:r w:rsidR="00BB390A" w:rsidRPr="00BB390A">
              <w:rPr>
                <w:rFonts w:ascii="Arial" w:eastAsia="Times New Roman" w:hAnsi="Arial" w:cs="Arial"/>
                <w:sz w:val="24"/>
                <w:szCs w:val="24"/>
              </w:rPr>
              <w:t>For the Years 2014 through 2017</w:t>
            </w:r>
          </w:p>
        </w:tc>
        <w:tc>
          <w:tcPr>
            <w:tcW w:w="884" w:type="dxa"/>
          </w:tcPr>
          <w:p w14:paraId="55018C52" w14:textId="77777777" w:rsidR="00CA396B" w:rsidRPr="00C164EE" w:rsidRDefault="00DA4649">
            <w:pPr>
              <w:spacing w:after="0" w:line="240" w:lineRule="auto"/>
              <w:jc w:val="right"/>
              <w:rPr>
                <w:rFonts w:ascii="Arial" w:eastAsia="Calibri" w:hAnsi="Arial" w:cs="Arial"/>
                <w:sz w:val="24"/>
                <w:szCs w:val="24"/>
              </w:rPr>
            </w:pPr>
            <w:r>
              <w:rPr>
                <w:rFonts w:ascii="Arial" w:eastAsia="Calibri" w:hAnsi="Arial" w:cs="Arial"/>
                <w:sz w:val="24"/>
                <w:szCs w:val="24"/>
              </w:rPr>
              <w:t>38</w:t>
            </w:r>
          </w:p>
        </w:tc>
        <w:tc>
          <w:tcPr>
            <w:tcW w:w="256" w:type="dxa"/>
          </w:tcPr>
          <w:p w14:paraId="3770F6B6" w14:textId="77777777" w:rsidR="00BD3717" w:rsidRPr="00CA0D61" w:rsidRDefault="00BD3717">
            <w:pPr>
              <w:spacing w:after="0" w:line="240" w:lineRule="auto"/>
              <w:jc w:val="center"/>
              <w:rPr>
                <w:rFonts w:ascii="Arial" w:eastAsia="Calibri" w:hAnsi="Arial" w:cs="Arial"/>
                <w:b/>
                <w:sz w:val="24"/>
                <w:szCs w:val="24"/>
                <w:highlight w:val="yellow"/>
              </w:rPr>
            </w:pPr>
          </w:p>
        </w:tc>
      </w:tr>
      <w:tr w:rsidR="00D12DA8" w:rsidRPr="006F27F8" w14:paraId="498E7C96" w14:textId="77777777" w:rsidTr="00FE1CA4">
        <w:tc>
          <w:tcPr>
            <w:tcW w:w="1017" w:type="dxa"/>
          </w:tcPr>
          <w:p w14:paraId="65AAE64B" w14:textId="77777777" w:rsidR="00D12DA8" w:rsidRPr="00CA0D61" w:rsidRDefault="00D12DA8" w:rsidP="00DB7ED6">
            <w:pPr>
              <w:spacing w:after="0" w:line="240" w:lineRule="auto"/>
              <w:jc w:val="center"/>
              <w:rPr>
                <w:rFonts w:ascii="Arial" w:eastAsia="Calibri" w:hAnsi="Arial" w:cs="Arial"/>
                <w:sz w:val="24"/>
                <w:szCs w:val="24"/>
                <w:highlight w:val="yellow"/>
              </w:rPr>
            </w:pPr>
          </w:p>
        </w:tc>
        <w:tc>
          <w:tcPr>
            <w:tcW w:w="7455" w:type="dxa"/>
          </w:tcPr>
          <w:p w14:paraId="6851B99D" w14:textId="77777777" w:rsidR="00D12DA8" w:rsidRPr="00CA0D61" w:rsidRDefault="00D12DA8" w:rsidP="00964F41">
            <w:pPr>
              <w:spacing w:after="0" w:line="240" w:lineRule="auto"/>
              <w:ind w:left="405" w:hanging="405"/>
              <w:rPr>
                <w:rFonts w:ascii="Arial" w:eastAsia="Calibri" w:hAnsi="Arial" w:cs="Arial"/>
                <w:sz w:val="24"/>
                <w:szCs w:val="24"/>
                <w:highlight w:val="yellow"/>
              </w:rPr>
            </w:pPr>
          </w:p>
        </w:tc>
        <w:tc>
          <w:tcPr>
            <w:tcW w:w="884" w:type="dxa"/>
          </w:tcPr>
          <w:p w14:paraId="224AAB3B" w14:textId="77777777" w:rsidR="00D12DA8" w:rsidRPr="00C164EE" w:rsidRDefault="00D12DA8">
            <w:pPr>
              <w:spacing w:after="0" w:line="240" w:lineRule="auto"/>
              <w:jc w:val="right"/>
              <w:rPr>
                <w:rFonts w:ascii="Arial" w:eastAsia="Calibri" w:hAnsi="Arial" w:cs="Arial"/>
                <w:sz w:val="24"/>
                <w:szCs w:val="24"/>
              </w:rPr>
            </w:pPr>
          </w:p>
        </w:tc>
        <w:tc>
          <w:tcPr>
            <w:tcW w:w="256" w:type="dxa"/>
          </w:tcPr>
          <w:p w14:paraId="2597BF31" w14:textId="77777777" w:rsidR="00D12DA8" w:rsidRPr="00CA0D61" w:rsidRDefault="00D12DA8">
            <w:pPr>
              <w:spacing w:after="0" w:line="240" w:lineRule="auto"/>
              <w:jc w:val="center"/>
              <w:rPr>
                <w:rFonts w:ascii="Arial" w:eastAsia="Calibri" w:hAnsi="Arial" w:cs="Arial"/>
                <w:b/>
                <w:sz w:val="24"/>
                <w:szCs w:val="24"/>
                <w:highlight w:val="yellow"/>
              </w:rPr>
            </w:pPr>
          </w:p>
        </w:tc>
      </w:tr>
      <w:tr w:rsidR="00BD3717" w:rsidRPr="006F27F8" w14:paraId="0EC21BDE" w14:textId="77777777" w:rsidTr="00FE1CA4">
        <w:tc>
          <w:tcPr>
            <w:tcW w:w="1017" w:type="dxa"/>
          </w:tcPr>
          <w:p w14:paraId="7A4E72C3" w14:textId="77777777" w:rsidR="00BD3717" w:rsidRPr="00CA0D61" w:rsidRDefault="00BB390A" w:rsidP="00DB7ED6">
            <w:pPr>
              <w:spacing w:after="0" w:line="240" w:lineRule="auto"/>
              <w:jc w:val="center"/>
              <w:rPr>
                <w:rFonts w:ascii="Arial" w:eastAsia="Calibri" w:hAnsi="Arial" w:cs="Arial"/>
                <w:sz w:val="24"/>
                <w:szCs w:val="24"/>
                <w:highlight w:val="yellow"/>
              </w:rPr>
            </w:pPr>
            <w:r w:rsidRPr="00BB390A">
              <w:rPr>
                <w:rFonts w:ascii="Arial" w:eastAsia="Calibri" w:hAnsi="Arial" w:cs="Arial"/>
                <w:sz w:val="24"/>
                <w:szCs w:val="24"/>
              </w:rPr>
              <w:t>VII-7</w:t>
            </w:r>
          </w:p>
        </w:tc>
        <w:tc>
          <w:tcPr>
            <w:tcW w:w="7455" w:type="dxa"/>
          </w:tcPr>
          <w:p w14:paraId="2E958EBD" w14:textId="77777777" w:rsidR="00BD3717" w:rsidRPr="00BB390A" w:rsidRDefault="00514606" w:rsidP="00BB390A">
            <w:pPr>
              <w:spacing w:after="0" w:line="240" w:lineRule="auto"/>
              <w:ind w:left="405" w:hanging="405"/>
              <w:rPr>
                <w:rFonts w:ascii="Arial" w:eastAsia="Calibri" w:hAnsi="Arial" w:cs="Arial"/>
                <w:sz w:val="24"/>
                <w:szCs w:val="24"/>
              </w:rPr>
            </w:pPr>
            <w:r>
              <w:rPr>
                <w:rFonts w:ascii="Arial" w:eastAsia="Calibri" w:hAnsi="Arial" w:cs="Arial"/>
                <w:sz w:val="24"/>
                <w:szCs w:val="24"/>
              </w:rPr>
              <w:t xml:space="preserve">Metropolitan Edison Company’s </w:t>
            </w:r>
            <w:r w:rsidR="00BB390A">
              <w:rPr>
                <w:rFonts w:ascii="Arial" w:eastAsia="Calibri" w:hAnsi="Arial" w:cs="Arial"/>
                <w:sz w:val="24"/>
                <w:szCs w:val="24"/>
              </w:rPr>
              <w:t xml:space="preserve">Individual Overtime Levels - </w:t>
            </w:r>
            <w:r w:rsidR="00BB390A" w:rsidRPr="00BB390A">
              <w:rPr>
                <w:rFonts w:ascii="Arial" w:eastAsia="Calibri" w:hAnsi="Arial" w:cs="Arial"/>
                <w:sz w:val="24"/>
                <w:szCs w:val="24"/>
              </w:rPr>
              <w:t>For the Years 2014 through 2017</w:t>
            </w:r>
          </w:p>
        </w:tc>
        <w:tc>
          <w:tcPr>
            <w:tcW w:w="884" w:type="dxa"/>
          </w:tcPr>
          <w:p w14:paraId="3A91B1B7" w14:textId="77777777" w:rsidR="00CA396B" w:rsidRPr="00C164EE" w:rsidRDefault="00DA4649">
            <w:pPr>
              <w:spacing w:after="0" w:line="240" w:lineRule="auto"/>
              <w:jc w:val="right"/>
              <w:rPr>
                <w:rFonts w:ascii="Arial" w:eastAsia="Calibri" w:hAnsi="Arial" w:cs="Arial"/>
                <w:sz w:val="24"/>
                <w:szCs w:val="24"/>
              </w:rPr>
            </w:pPr>
            <w:r>
              <w:rPr>
                <w:rFonts w:ascii="Arial" w:eastAsia="Calibri" w:hAnsi="Arial" w:cs="Arial"/>
                <w:sz w:val="24"/>
                <w:szCs w:val="24"/>
              </w:rPr>
              <w:t>39</w:t>
            </w:r>
          </w:p>
        </w:tc>
        <w:tc>
          <w:tcPr>
            <w:tcW w:w="256" w:type="dxa"/>
          </w:tcPr>
          <w:p w14:paraId="025B9725" w14:textId="77777777" w:rsidR="00BD3717" w:rsidRPr="00CA0D61" w:rsidRDefault="00BD3717">
            <w:pPr>
              <w:spacing w:after="0" w:line="240" w:lineRule="auto"/>
              <w:jc w:val="center"/>
              <w:rPr>
                <w:rFonts w:ascii="Arial" w:eastAsia="Calibri" w:hAnsi="Arial" w:cs="Arial"/>
                <w:b/>
                <w:sz w:val="24"/>
                <w:szCs w:val="24"/>
                <w:highlight w:val="yellow"/>
              </w:rPr>
            </w:pPr>
          </w:p>
        </w:tc>
      </w:tr>
      <w:tr w:rsidR="00BB390A" w:rsidRPr="006F27F8" w14:paraId="29B78162" w14:textId="77777777" w:rsidTr="00FE1CA4">
        <w:tc>
          <w:tcPr>
            <w:tcW w:w="1017" w:type="dxa"/>
          </w:tcPr>
          <w:p w14:paraId="47B3DAAF" w14:textId="77777777" w:rsidR="00BB390A" w:rsidRPr="00BB390A" w:rsidRDefault="00BB390A" w:rsidP="00DB7ED6">
            <w:pPr>
              <w:spacing w:after="0" w:line="240" w:lineRule="auto"/>
              <w:jc w:val="center"/>
              <w:rPr>
                <w:rFonts w:ascii="Arial" w:eastAsia="Calibri" w:hAnsi="Arial" w:cs="Arial"/>
                <w:sz w:val="24"/>
                <w:szCs w:val="24"/>
              </w:rPr>
            </w:pPr>
          </w:p>
        </w:tc>
        <w:tc>
          <w:tcPr>
            <w:tcW w:w="7455" w:type="dxa"/>
          </w:tcPr>
          <w:p w14:paraId="59D93D8B" w14:textId="77777777" w:rsidR="00BB390A" w:rsidRDefault="00BB390A" w:rsidP="00BB390A">
            <w:pPr>
              <w:spacing w:after="0" w:line="240" w:lineRule="auto"/>
              <w:ind w:left="405" w:hanging="405"/>
              <w:rPr>
                <w:rFonts w:ascii="Arial" w:eastAsia="Calibri" w:hAnsi="Arial" w:cs="Arial"/>
                <w:sz w:val="24"/>
                <w:szCs w:val="24"/>
              </w:rPr>
            </w:pPr>
          </w:p>
        </w:tc>
        <w:tc>
          <w:tcPr>
            <w:tcW w:w="884" w:type="dxa"/>
          </w:tcPr>
          <w:p w14:paraId="7E1AF2C1" w14:textId="77777777" w:rsidR="00BB390A" w:rsidRPr="00C164EE" w:rsidRDefault="00BB390A">
            <w:pPr>
              <w:spacing w:after="0" w:line="240" w:lineRule="auto"/>
              <w:jc w:val="right"/>
              <w:rPr>
                <w:rFonts w:ascii="Arial" w:eastAsia="Calibri" w:hAnsi="Arial" w:cs="Arial"/>
                <w:sz w:val="24"/>
                <w:szCs w:val="24"/>
              </w:rPr>
            </w:pPr>
          </w:p>
        </w:tc>
        <w:tc>
          <w:tcPr>
            <w:tcW w:w="256" w:type="dxa"/>
          </w:tcPr>
          <w:p w14:paraId="6ADFE094" w14:textId="77777777" w:rsidR="00BB390A" w:rsidRPr="00CA0D61" w:rsidRDefault="00BB390A">
            <w:pPr>
              <w:spacing w:after="0" w:line="240" w:lineRule="auto"/>
              <w:jc w:val="center"/>
              <w:rPr>
                <w:rFonts w:ascii="Arial" w:eastAsia="Calibri" w:hAnsi="Arial" w:cs="Arial"/>
                <w:b/>
                <w:sz w:val="24"/>
                <w:szCs w:val="24"/>
                <w:highlight w:val="yellow"/>
              </w:rPr>
            </w:pPr>
          </w:p>
        </w:tc>
      </w:tr>
      <w:tr w:rsidR="00BB390A" w:rsidRPr="006F27F8" w14:paraId="1F2E5202" w14:textId="77777777" w:rsidTr="00FE1CA4">
        <w:tc>
          <w:tcPr>
            <w:tcW w:w="1017" w:type="dxa"/>
          </w:tcPr>
          <w:p w14:paraId="7FEB4A90" w14:textId="77777777" w:rsidR="00BB390A" w:rsidRPr="00BB390A" w:rsidRDefault="00BB390A" w:rsidP="00DB7ED6">
            <w:pPr>
              <w:spacing w:after="0" w:line="240" w:lineRule="auto"/>
              <w:jc w:val="center"/>
              <w:rPr>
                <w:rFonts w:ascii="Arial" w:eastAsia="Calibri" w:hAnsi="Arial" w:cs="Arial"/>
                <w:sz w:val="24"/>
                <w:szCs w:val="24"/>
              </w:rPr>
            </w:pPr>
            <w:r>
              <w:rPr>
                <w:rFonts w:ascii="Arial" w:eastAsia="Calibri" w:hAnsi="Arial" w:cs="Arial"/>
                <w:sz w:val="24"/>
                <w:szCs w:val="24"/>
              </w:rPr>
              <w:t>VII-8</w:t>
            </w:r>
          </w:p>
        </w:tc>
        <w:tc>
          <w:tcPr>
            <w:tcW w:w="7455" w:type="dxa"/>
          </w:tcPr>
          <w:p w14:paraId="00987ED6" w14:textId="77777777" w:rsidR="00BB390A" w:rsidRDefault="00514606" w:rsidP="00BB390A">
            <w:pPr>
              <w:spacing w:after="0" w:line="240" w:lineRule="auto"/>
              <w:ind w:left="405" w:hanging="405"/>
              <w:rPr>
                <w:rFonts w:ascii="Arial" w:eastAsia="Calibri" w:hAnsi="Arial" w:cs="Arial"/>
                <w:sz w:val="24"/>
                <w:szCs w:val="24"/>
              </w:rPr>
            </w:pPr>
            <w:r>
              <w:rPr>
                <w:rFonts w:ascii="Arial" w:eastAsia="Calibri" w:hAnsi="Arial" w:cs="Arial"/>
                <w:sz w:val="24"/>
                <w:szCs w:val="24"/>
              </w:rPr>
              <w:t>Pennsylvania Electric Company’s</w:t>
            </w:r>
            <w:r w:rsidRPr="00514606">
              <w:rPr>
                <w:rFonts w:ascii="Arial" w:eastAsia="Calibri" w:hAnsi="Arial" w:cs="Arial"/>
                <w:sz w:val="24"/>
                <w:szCs w:val="24"/>
              </w:rPr>
              <w:t xml:space="preserve"> Individual Overtime Levels - For the Years 2014 through 2017</w:t>
            </w:r>
          </w:p>
        </w:tc>
        <w:tc>
          <w:tcPr>
            <w:tcW w:w="884" w:type="dxa"/>
          </w:tcPr>
          <w:p w14:paraId="7546896B" w14:textId="77777777" w:rsidR="00BB390A" w:rsidRPr="00C164EE" w:rsidRDefault="00DA4649">
            <w:pPr>
              <w:spacing w:after="0" w:line="240" w:lineRule="auto"/>
              <w:jc w:val="right"/>
              <w:rPr>
                <w:rFonts w:ascii="Arial" w:eastAsia="Calibri" w:hAnsi="Arial" w:cs="Arial"/>
                <w:sz w:val="24"/>
                <w:szCs w:val="24"/>
              </w:rPr>
            </w:pPr>
            <w:r>
              <w:rPr>
                <w:rFonts w:ascii="Arial" w:eastAsia="Calibri" w:hAnsi="Arial" w:cs="Arial"/>
                <w:sz w:val="24"/>
                <w:szCs w:val="24"/>
              </w:rPr>
              <w:t>40</w:t>
            </w:r>
          </w:p>
        </w:tc>
        <w:tc>
          <w:tcPr>
            <w:tcW w:w="256" w:type="dxa"/>
          </w:tcPr>
          <w:p w14:paraId="2E12B81F" w14:textId="77777777" w:rsidR="00BB390A" w:rsidRPr="00CA0D61" w:rsidRDefault="00BB390A">
            <w:pPr>
              <w:spacing w:after="0" w:line="240" w:lineRule="auto"/>
              <w:jc w:val="center"/>
              <w:rPr>
                <w:rFonts w:ascii="Arial" w:eastAsia="Calibri" w:hAnsi="Arial" w:cs="Arial"/>
                <w:b/>
                <w:sz w:val="24"/>
                <w:szCs w:val="24"/>
                <w:highlight w:val="yellow"/>
              </w:rPr>
            </w:pPr>
          </w:p>
        </w:tc>
      </w:tr>
    </w:tbl>
    <w:p w14:paraId="4F0CDAE9" w14:textId="77777777" w:rsidR="00DA4649" w:rsidRPr="006E519A" w:rsidRDefault="00DA4649" w:rsidP="00DA4649">
      <w:pPr>
        <w:spacing w:after="0" w:line="240" w:lineRule="auto"/>
        <w:jc w:val="center"/>
        <w:rPr>
          <w:rFonts w:ascii="Arial" w:eastAsia="Calibri" w:hAnsi="Arial" w:cs="Arial"/>
          <w:b/>
          <w:sz w:val="26"/>
          <w:szCs w:val="26"/>
          <w:u w:val="single"/>
        </w:rPr>
      </w:pPr>
      <w:r w:rsidRPr="006E519A">
        <w:rPr>
          <w:rFonts w:ascii="Arial" w:eastAsia="Calibri" w:hAnsi="Arial" w:cs="Arial"/>
          <w:b/>
          <w:sz w:val="26"/>
          <w:szCs w:val="26"/>
          <w:u w:val="single"/>
        </w:rPr>
        <w:t>LIST OF EXHIBITS</w:t>
      </w:r>
      <w:r>
        <w:rPr>
          <w:rFonts w:ascii="Arial" w:eastAsia="Calibri" w:hAnsi="Arial" w:cs="Arial"/>
          <w:b/>
          <w:sz w:val="26"/>
          <w:szCs w:val="26"/>
          <w:u w:val="single"/>
        </w:rPr>
        <w:t xml:space="preserve"> (Continued)</w:t>
      </w:r>
    </w:p>
    <w:p w14:paraId="3B3701B9" w14:textId="77777777" w:rsidR="007C0CF2" w:rsidRPr="00D86BC8" w:rsidRDefault="007C0CF2" w:rsidP="00D86BC8">
      <w:pPr>
        <w:spacing w:after="0" w:line="240" w:lineRule="auto"/>
        <w:jc w:val="center"/>
        <w:rPr>
          <w:rFonts w:ascii="Arial" w:eastAsia="Calibri" w:hAnsi="Arial" w:cs="Arial"/>
          <w:b/>
          <w:sz w:val="26"/>
          <w:szCs w:val="26"/>
          <w:highlight w:val="yellow"/>
          <w:u w:val="single"/>
        </w:rPr>
      </w:pPr>
    </w:p>
    <w:tbl>
      <w:tblPr>
        <w:tblW w:w="0" w:type="auto"/>
        <w:tblInd w:w="-252" w:type="dxa"/>
        <w:tblLook w:val="01E0" w:firstRow="1" w:lastRow="1" w:firstColumn="1" w:lastColumn="1" w:noHBand="0" w:noVBand="0"/>
      </w:tblPr>
      <w:tblGrid>
        <w:gridCol w:w="1017"/>
        <w:gridCol w:w="7455"/>
        <w:gridCol w:w="884"/>
        <w:gridCol w:w="256"/>
      </w:tblGrid>
      <w:tr w:rsidR="00FE1CA4" w:rsidRPr="00625123" w14:paraId="7C7469C4" w14:textId="77777777" w:rsidTr="00FE1CA4">
        <w:tc>
          <w:tcPr>
            <w:tcW w:w="1017" w:type="dxa"/>
          </w:tcPr>
          <w:p w14:paraId="4849F152" w14:textId="77777777" w:rsidR="00FE1CA4" w:rsidRPr="00D86BC8" w:rsidRDefault="00FE1CA4" w:rsidP="00FE1CA4">
            <w:pPr>
              <w:spacing w:after="0" w:line="240" w:lineRule="auto"/>
              <w:jc w:val="center"/>
              <w:rPr>
                <w:rFonts w:ascii="Arial" w:eastAsia="Calibri" w:hAnsi="Arial" w:cs="Arial"/>
                <w:b/>
                <w:sz w:val="24"/>
                <w:szCs w:val="24"/>
                <w:u w:val="single"/>
              </w:rPr>
            </w:pPr>
            <w:r w:rsidRPr="00DA4649">
              <w:rPr>
                <w:rFonts w:ascii="Arial" w:eastAsia="Calibri" w:hAnsi="Arial" w:cs="Arial"/>
                <w:b/>
                <w:sz w:val="24"/>
                <w:szCs w:val="24"/>
                <w:u w:val="single"/>
              </w:rPr>
              <w:t>Exhibit</w:t>
            </w:r>
          </w:p>
        </w:tc>
        <w:tc>
          <w:tcPr>
            <w:tcW w:w="7455" w:type="dxa"/>
          </w:tcPr>
          <w:p w14:paraId="57BBABD5" w14:textId="77777777" w:rsidR="00FE1CA4" w:rsidRPr="00DA4649" w:rsidRDefault="00FE1CA4" w:rsidP="00FE1CA4">
            <w:pPr>
              <w:spacing w:after="0" w:line="240" w:lineRule="auto"/>
              <w:jc w:val="center"/>
              <w:rPr>
                <w:rFonts w:ascii="Arial" w:eastAsia="Calibri" w:hAnsi="Arial" w:cs="Arial"/>
                <w:b/>
                <w:sz w:val="24"/>
                <w:szCs w:val="24"/>
              </w:rPr>
            </w:pPr>
          </w:p>
        </w:tc>
        <w:tc>
          <w:tcPr>
            <w:tcW w:w="884" w:type="dxa"/>
          </w:tcPr>
          <w:p w14:paraId="55BBEA70" w14:textId="77777777" w:rsidR="00FE1CA4" w:rsidRPr="00DA4649" w:rsidRDefault="00FE1CA4" w:rsidP="00FE1CA4">
            <w:pPr>
              <w:spacing w:after="0" w:line="240" w:lineRule="auto"/>
              <w:jc w:val="center"/>
              <w:rPr>
                <w:rFonts w:ascii="Arial" w:eastAsia="Calibri" w:hAnsi="Arial" w:cs="Arial"/>
                <w:b/>
                <w:sz w:val="24"/>
                <w:szCs w:val="24"/>
                <w:u w:val="single"/>
              </w:rPr>
            </w:pPr>
            <w:r w:rsidRPr="00DA4649">
              <w:rPr>
                <w:rFonts w:ascii="Arial" w:eastAsia="Calibri" w:hAnsi="Arial" w:cs="Arial"/>
                <w:b/>
                <w:sz w:val="24"/>
                <w:szCs w:val="24"/>
                <w:u w:val="single"/>
              </w:rPr>
              <w:t>Page</w:t>
            </w:r>
          </w:p>
        </w:tc>
        <w:tc>
          <w:tcPr>
            <w:tcW w:w="256" w:type="dxa"/>
          </w:tcPr>
          <w:p w14:paraId="251D9F49" w14:textId="77777777" w:rsidR="00FE1CA4" w:rsidRPr="00D86BC8" w:rsidRDefault="00FE1CA4" w:rsidP="00FE1CA4">
            <w:pPr>
              <w:spacing w:after="0" w:line="240" w:lineRule="auto"/>
              <w:jc w:val="center"/>
              <w:rPr>
                <w:rFonts w:ascii="Arial" w:eastAsia="Calibri" w:hAnsi="Arial" w:cs="Arial"/>
                <w:b/>
                <w:sz w:val="24"/>
                <w:szCs w:val="24"/>
              </w:rPr>
            </w:pPr>
          </w:p>
        </w:tc>
      </w:tr>
      <w:tr w:rsidR="00FE1CA4" w:rsidRPr="00625123" w14:paraId="4B288ED2" w14:textId="77777777" w:rsidTr="00FE1CA4">
        <w:tc>
          <w:tcPr>
            <w:tcW w:w="1017" w:type="dxa"/>
          </w:tcPr>
          <w:p w14:paraId="190A7187" w14:textId="77777777" w:rsidR="00FE1CA4" w:rsidRPr="00D86BC8" w:rsidRDefault="00FE1CA4" w:rsidP="00FE1CA4">
            <w:pPr>
              <w:spacing w:after="0" w:line="240" w:lineRule="auto"/>
              <w:jc w:val="center"/>
              <w:rPr>
                <w:rFonts w:ascii="Arial" w:eastAsia="Calibri" w:hAnsi="Arial" w:cs="Arial"/>
                <w:sz w:val="24"/>
                <w:szCs w:val="24"/>
              </w:rPr>
            </w:pPr>
          </w:p>
        </w:tc>
        <w:tc>
          <w:tcPr>
            <w:tcW w:w="7455" w:type="dxa"/>
          </w:tcPr>
          <w:p w14:paraId="40B1FC1E" w14:textId="77777777" w:rsidR="00FE1CA4" w:rsidRPr="00D86BC8" w:rsidRDefault="00FE1CA4" w:rsidP="00FE1CA4">
            <w:pPr>
              <w:spacing w:after="0" w:line="240" w:lineRule="auto"/>
              <w:rPr>
                <w:rFonts w:ascii="Arial" w:eastAsia="Calibri" w:hAnsi="Arial" w:cs="Arial"/>
                <w:sz w:val="24"/>
                <w:szCs w:val="24"/>
              </w:rPr>
            </w:pPr>
          </w:p>
        </w:tc>
        <w:tc>
          <w:tcPr>
            <w:tcW w:w="884" w:type="dxa"/>
          </w:tcPr>
          <w:p w14:paraId="0721EDF5" w14:textId="77777777" w:rsidR="00FE1CA4" w:rsidRPr="00D86BC8" w:rsidRDefault="00FE1CA4" w:rsidP="00FE1CA4">
            <w:pPr>
              <w:spacing w:after="0" w:line="240" w:lineRule="auto"/>
              <w:jc w:val="right"/>
              <w:rPr>
                <w:rFonts w:ascii="Arial" w:eastAsia="Calibri" w:hAnsi="Arial" w:cs="Arial"/>
                <w:b/>
                <w:sz w:val="24"/>
                <w:szCs w:val="24"/>
              </w:rPr>
            </w:pPr>
          </w:p>
        </w:tc>
        <w:tc>
          <w:tcPr>
            <w:tcW w:w="256" w:type="dxa"/>
          </w:tcPr>
          <w:p w14:paraId="3BB2886D" w14:textId="77777777" w:rsidR="00FE1CA4" w:rsidRPr="00D86BC8" w:rsidRDefault="00FE1CA4" w:rsidP="00FE1CA4">
            <w:pPr>
              <w:spacing w:after="0" w:line="240" w:lineRule="auto"/>
              <w:jc w:val="center"/>
              <w:rPr>
                <w:rFonts w:ascii="Arial" w:eastAsia="Calibri" w:hAnsi="Arial" w:cs="Arial"/>
                <w:b/>
                <w:sz w:val="24"/>
                <w:szCs w:val="24"/>
              </w:rPr>
            </w:pPr>
          </w:p>
        </w:tc>
      </w:tr>
      <w:tr w:rsidR="00DE1134" w:rsidRPr="00625123" w14:paraId="75E60D1A" w14:textId="77777777" w:rsidTr="00FE1CA4">
        <w:tc>
          <w:tcPr>
            <w:tcW w:w="1017" w:type="dxa"/>
          </w:tcPr>
          <w:p w14:paraId="6DFBE43B" w14:textId="77777777" w:rsidR="00DE1134" w:rsidRPr="00DA4649" w:rsidRDefault="00DE1134" w:rsidP="00FE1CA4">
            <w:pPr>
              <w:spacing w:after="0" w:line="240" w:lineRule="auto"/>
              <w:jc w:val="center"/>
              <w:rPr>
                <w:rFonts w:ascii="Arial" w:eastAsia="Calibri" w:hAnsi="Arial" w:cs="Arial"/>
                <w:sz w:val="24"/>
                <w:szCs w:val="24"/>
              </w:rPr>
            </w:pPr>
            <w:r w:rsidRPr="00DA4649">
              <w:rPr>
                <w:rFonts w:ascii="Arial" w:eastAsia="Calibri" w:hAnsi="Arial" w:cs="Arial"/>
                <w:sz w:val="24"/>
                <w:szCs w:val="24"/>
              </w:rPr>
              <w:t>VII-9</w:t>
            </w:r>
          </w:p>
        </w:tc>
        <w:tc>
          <w:tcPr>
            <w:tcW w:w="7455" w:type="dxa"/>
          </w:tcPr>
          <w:p w14:paraId="736F9262" w14:textId="77777777" w:rsidR="00DE1134" w:rsidRPr="00DA4649" w:rsidRDefault="00DE1134" w:rsidP="00FE1CA4">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Pennsylvania Electric Company’s Individual Overtime Levels - For the Years 2014 through 2017</w:t>
            </w:r>
          </w:p>
        </w:tc>
        <w:tc>
          <w:tcPr>
            <w:tcW w:w="884" w:type="dxa"/>
          </w:tcPr>
          <w:p w14:paraId="1A4FA99F" w14:textId="77777777" w:rsidR="00DE1134" w:rsidRPr="00DA4649" w:rsidRDefault="00DE1134" w:rsidP="00FE1CA4">
            <w:pPr>
              <w:spacing w:after="0" w:line="240" w:lineRule="auto"/>
              <w:jc w:val="right"/>
              <w:rPr>
                <w:rFonts w:ascii="Arial" w:eastAsia="Calibri" w:hAnsi="Arial" w:cs="Arial"/>
                <w:sz w:val="24"/>
                <w:szCs w:val="24"/>
              </w:rPr>
            </w:pPr>
            <w:r w:rsidRPr="00DA4649">
              <w:rPr>
                <w:rFonts w:ascii="Arial" w:eastAsia="Calibri" w:hAnsi="Arial" w:cs="Arial"/>
                <w:sz w:val="24"/>
                <w:szCs w:val="24"/>
              </w:rPr>
              <w:t>4</w:t>
            </w:r>
            <w:r w:rsidR="00DA4649">
              <w:rPr>
                <w:rFonts w:ascii="Arial" w:eastAsia="Calibri" w:hAnsi="Arial" w:cs="Arial"/>
                <w:sz w:val="24"/>
                <w:szCs w:val="24"/>
              </w:rPr>
              <w:t>0</w:t>
            </w:r>
          </w:p>
        </w:tc>
        <w:tc>
          <w:tcPr>
            <w:tcW w:w="256" w:type="dxa"/>
          </w:tcPr>
          <w:p w14:paraId="7D2B0184" w14:textId="77777777" w:rsidR="00DE1134" w:rsidRPr="00D86BC8" w:rsidRDefault="00DE1134" w:rsidP="00FE1CA4">
            <w:pPr>
              <w:spacing w:after="0" w:line="240" w:lineRule="auto"/>
              <w:jc w:val="center"/>
              <w:rPr>
                <w:rFonts w:ascii="Arial" w:eastAsia="Calibri" w:hAnsi="Arial" w:cs="Arial"/>
                <w:b/>
                <w:sz w:val="24"/>
                <w:szCs w:val="24"/>
              </w:rPr>
            </w:pPr>
          </w:p>
        </w:tc>
      </w:tr>
      <w:tr w:rsidR="00DE1134" w:rsidRPr="00625123" w14:paraId="3839D503" w14:textId="77777777" w:rsidTr="00FE1CA4">
        <w:tc>
          <w:tcPr>
            <w:tcW w:w="1017" w:type="dxa"/>
          </w:tcPr>
          <w:p w14:paraId="15918ADF" w14:textId="77777777" w:rsidR="00DE1134" w:rsidRPr="00DA4649" w:rsidRDefault="00DE1134" w:rsidP="00FE1CA4">
            <w:pPr>
              <w:spacing w:after="0" w:line="240" w:lineRule="auto"/>
              <w:jc w:val="center"/>
              <w:rPr>
                <w:rFonts w:ascii="Arial" w:eastAsia="Calibri" w:hAnsi="Arial" w:cs="Arial"/>
                <w:sz w:val="24"/>
                <w:szCs w:val="24"/>
              </w:rPr>
            </w:pPr>
          </w:p>
        </w:tc>
        <w:tc>
          <w:tcPr>
            <w:tcW w:w="7455" w:type="dxa"/>
          </w:tcPr>
          <w:p w14:paraId="0B893A32" w14:textId="77777777" w:rsidR="00DE1134" w:rsidRPr="00DA4649" w:rsidRDefault="00DE1134" w:rsidP="00FE1CA4">
            <w:pPr>
              <w:spacing w:after="0" w:line="240" w:lineRule="auto"/>
              <w:ind w:left="405" w:hanging="405"/>
              <w:rPr>
                <w:rFonts w:ascii="Arial" w:eastAsia="Calibri" w:hAnsi="Arial" w:cs="Arial"/>
                <w:sz w:val="24"/>
                <w:szCs w:val="24"/>
              </w:rPr>
            </w:pPr>
          </w:p>
        </w:tc>
        <w:tc>
          <w:tcPr>
            <w:tcW w:w="884" w:type="dxa"/>
          </w:tcPr>
          <w:p w14:paraId="2A8A57F2" w14:textId="77777777" w:rsidR="00DE1134" w:rsidRPr="00DA4649" w:rsidRDefault="00DE1134" w:rsidP="00FE1CA4">
            <w:pPr>
              <w:spacing w:after="0" w:line="240" w:lineRule="auto"/>
              <w:jc w:val="right"/>
              <w:rPr>
                <w:rFonts w:ascii="Arial" w:eastAsia="Calibri" w:hAnsi="Arial" w:cs="Arial"/>
                <w:sz w:val="24"/>
                <w:szCs w:val="24"/>
              </w:rPr>
            </w:pPr>
          </w:p>
        </w:tc>
        <w:tc>
          <w:tcPr>
            <w:tcW w:w="256" w:type="dxa"/>
          </w:tcPr>
          <w:p w14:paraId="185CB935" w14:textId="77777777" w:rsidR="00DE1134" w:rsidRPr="00D86BC8" w:rsidRDefault="00DE1134" w:rsidP="00FE1CA4">
            <w:pPr>
              <w:spacing w:after="0" w:line="240" w:lineRule="auto"/>
              <w:jc w:val="center"/>
              <w:rPr>
                <w:rFonts w:ascii="Arial" w:eastAsia="Calibri" w:hAnsi="Arial" w:cs="Arial"/>
                <w:b/>
                <w:sz w:val="24"/>
                <w:szCs w:val="24"/>
              </w:rPr>
            </w:pPr>
          </w:p>
        </w:tc>
      </w:tr>
      <w:tr w:rsidR="00FE1CA4" w:rsidRPr="00625123" w14:paraId="0DBF6406" w14:textId="77777777" w:rsidTr="00FE1CA4">
        <w:tc>
          <w:tcPr>
            <w:tcW w:w="1017" w:type="dxa"/>
          </w:tcPr>
          <w:p w14:paraId="1DAD94C1" w14:textId="77777777" w:rsidR="00FE1CA4" w:rsidRPr="00DA4649" w:rsidRDefault="00FE1CA4" w:rsidP="00FE1CA4">
            <w:pPr>
              <w:spacing w:after="0" w:line="240" w:lineRule="auto"/>
              <w:jc w:val="center"/>
              <w:rPr>
                <w:rFonts w:ascii="Arial" w:eastAsia="Calibri" w:hAnsi="Arial" w:cs="Arial"/>
                <w:sz w:val="24"/>
                <w:szCs w:val="24"/>
              </w:rPr>
            </w:pPr>
            <w:r w:rsidRPr="00DA4649">
              <w:rPr>
                <w:rFonts w:ascii="Arial" w:eastAsia="Calibri" w:hAnsi="Arial" w:cs="Arial"/>
                <w:sz w:val="24"/>
                <w:szCs w:val="24"/>
              </w:rPr>
              <w:t>VII-10</w:t>
            </w:r>
          </w:p>
        </w:tc>
        <w:tc>
          <w:tcPr>
            <w:tcW w:w="7455" w:type="dxa"/>
          </w:tcPr>
          <w:p w14:paraId="27308097" w14:textId="77777777" w:rsidR="00FE1CA4" w:rsidRPr="00DA4649" w:rsidRDefault="00FE1CA4" w:rsidP="00FE1CA4">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West Penn Power Company’s Individual Overtime Levels - For the Years 2014 through 2017</w:t>
            </w:r>
          </w:p>
        </w:tc>
        <w:tc>
          <w:tcPr>
            <w:tcW w:w="884" w:type="dxa"/>
          </w:tcPr>
          <w:p w14:paraId="0AC1D77B" w14:textId="77777777" w:rsidR="00FE1CA4" w:rsidRPr="00DA4649" w:rsidRDefault="00C164EE" w:rsidP="00FE1CA4">
            <w:pPr>
              <w:spacing w:after="0" w:line="240" w:lineRule="auto"/>
              <w:jc w:val="right"/>
              <w:rPr>
                <w:rFonts w:ascii="Arial" w:eastAsia="Calibri" w:hAnsi="Arial" w:cs="Arial"/>
                <w:sz w:val="24"/>
                <w:szCs w:val="24"/>
              </w:rPr>
            </w:pPr>
            <w:r w:rsidRPr="00DA4649">
              <w:rPr>
                <w:rFonts w:ascii="Arial" w:eastAsia="Calibri" w:hAnsi="Arial" w:cs="Arial"/>
                <w:sz w:val="24"/>
                <w:szCs w:val="24"/>
              </w:rPr>
              <w:t>4</w:t>
            </w:r>
            <w:r w:rsidR="00DA4649">
              <w:rPr>
                <w:rFonts w:ascii="Arial" w:eastAsia="Calibri" w:hAnsi="Arial" w:cs="Arial"/>
                <w:sz w:val="24"/>
                <w:szCs w:val="24"/>
              </w:rPr>
              <w:t>1</w:t>
            </w:r>
          </w:p>
        </w:tc>
        <w:tc>
          <w:tcPr>
            <w:tcW w:w="256" w:type="dxa"/>
          </w:tcPr>
          <w:p w14:paraId="49744D1E" w14:textId="77777777" w:rsidR="00FE1CA4" w:rsidRPr="00D86BC8" w:rsidRDefault="00FE1CA4" w:rsidP="00FE1CA4">
            <w:pPr>
              <w:spacing w:after="0" w:line="240" w:lineRule="auto"/>
              <w:jc w:val="center"/>
              <w:rPr>
                <w:rFonts w:ascii="Arial" w:eastAsia="Calibri" w:hAnsi="Arial" w:cs="Arial"/>
                <w:b/>
                <w:sz w:val="24"/>
                <w:szCs w:val="24"/>
              </w:rPr>
            </w:pPr>
          </w:p>
        </w:tc>
      </w:tr>
      <w:tr w:rsidR="00FE1CA4" w:rsidRPr="00625123" w14:paraId="27E1AA99" w14:textId="77777777" w:rsidTr="00FE1CA4">
        <w:tc>
          <w:tcPr>
            <w:tcW w:w="1017" w:type="dxa"/>
          </w:tcPr>
          <w:p w14:paraId="026CF1C8" w14:textId="77777777" w:rsidR="00FE1CA4" w:rsidRPr="00D86BC8" w:rsidRDefault="00FE1CA4" w:rsidP="00FE1CA4">
            <w:pPr>
              <w:spacing w:after="0" w:line="240" w:lineRule="auto"/>
              <w:jc w:val="center"/>
              <w:rPr>
                <w:rFonts w:ascii="Arial" w:eastAsia="Calibri" w:hAnsi="Arial" w:cs="Arial"/>
                <w:sz w:val="24"/>
                <w:szCs w:val="24"/>
              </w:rPr>
            </w:pPr>
          </w:p>
        </w:tc>
        <w:tc>
          <w:tcPr>
            <w:tcW w:w="7455" w:type="dxa"/>
          </w:tcPr>
          <w:p w14:paraId="28843098" w14:textId="77777777" w:rsidR="00FE1CA4" w:rsidRPr="00D86BC8" w:rsidRDefault="00FE1CA4" w:rsidP="00FE1CA4">
            <w:pPr>
              <w:spacing w:after="0" w:line="240" w:lineRule="auto"/>
              <w:rPr>
                <w:rFonts w:ascii="Arial" w:eastAsia="Calibri" w:hAnsi="Arial" w:cs="Arial"/>
                <w:sz w:val="24"/>
                <w:szCs w:val="24"/>
              </w:rPr>
            </w:pPr>
          </w:p>
        </w:tc>
        <w:tc>
          <w:tcPr>
            <w:tcW w:w="884" w:type="dxa"/>
          </w:tcPr>
          <w:p w14:paraId="7248EDC4" w14:textId="77777777" w:rsidR="00FE1CA4" w:rsidRPr="00DA4649" w:rsidRDefault="00FE1CA4" w:rsidP="00FE1CA4">
            <w:pPr>
              <w:spacing w:after="0" w:line="240" w:lineRule="auto"/>
              <w:jc w:val="right"/>
              <w:rPr>
                <w:rFonts w:ascii="Arial" w:eastAsia="Calibri" w:hAnsi="Arial" w:cs="Arial"/>
                <w:b/>
                <w:sz w:val="24"/>
                <w:szCs w:val="24"/>
              </w:rPr>
            </w:pPr>
          </w:p>
        </w:tc>
        <w:tc>
          <w:tcPr>
            <w:tcW w:w="256" w:type="dxa"/>
          </w:tcPr>
          <w:p w14:paraId="72D67209" w14:textId="77777777" w:rsidR="00FE1CA4" w:rsidRPr="00D86BC8" w:rsidRDefault="00FE1CA4" w:rsidP="00FE1CA4">
            <w:pPr>
              <w:spacing w:after="0" w:line="240" w:lineRule="auto"/>
              <w:jc w:val="center"/>
              <w:rPr>
                <w:rFonts w:ascii="Arial" w:eastAsia="Calibri" w:hAnsi="Arial" w:cs="Arial"/>
                <w:b/>
                <w:sz w:val="24"/>
                <w:szCs w:val="24"/>
              </w:rPr>
            </w:pPr>
          </w:p>
        </w:tc>
      </w:tr>
      <w:tr w:rsidR="00FE1CA4" w:rsidRPr="00625123" w14:paraId="4C2ADA74" w14:textId="77777777" w:rsidTr="00FE1CA4">
        <w:tc>
          <w:tcPr>
            <w:tcW w:w="1017" w:type="dxa"/>
          </w:tcPr>
          <w:p w14:paraId="175A75A5" w14:textId="77777777" w:rsidR="00FE1CA4" w:rsidRPr="00DA4649" w:rsidRDefault="00FE1CA4" w:rsidP="00FE1CA4">
            <w:pPr>
              <w:spacing w:after="0" w:line="240" w:lineRule="auto"/>
              <w:jc w:val="center"/>
              <w:rPr>
                <w:rFonts w:ascii="Arial" w:eastAsia="Calibri" w:hAnsi="Arial" w:cs="Arial"/>
                <w:sz w:val="24"/>
                <w:szCs w:val="24"/>
              </w:rPr>
            </w:pPr>
            <w:r w:rsidRPr="00DA4649">
              <w:rPr>
                <w:rFonts w:ascii="Arial" w:eastAsia="Calibri" w:hAnsi="Arial" w:cs="Arial"/>
                <w:sz w:val="24"/>
                <w:szCs w:val="24"/>
              </w:rPr>
              <w:t>VII-11</w:t>
            </w:r>
          </w:p>
        </w:tc>
        <w:tc>
          <w:tcPr>
            <w:tcW w:w="7455" w:type="dxa"/>
          </w:tcPr>
          <w:p w14:paraId="045FE80D" w14:textId="77777777" w:rsidR="00FE1CA4" w:rsidRPr="00DA4649" w:rsidRDefault="00FE1CA4" w:rsidP="00FE1CA4">
            <w:pPr>
              <w:spacing w:after="0" w:line="240" w:lineRule="auto"/>
              <w:ind w:left="390" w:hanging="390"/>
              <w:rPr>
                <w:rFonts w:ascii="Arial" w:eastAsia="Calibri" w:hAnsi="Arial" w:cs="Arial"/>
                <w:sz w:val="24"/>
                <w:szCs w:val="24"/>
              </w:rPr>
            </w:pPr>
            <w:r w:rsidRPr="00DA4649">
              <w:rPr>
                <w:rFonts w:ascii="Arial" w:eastAsia="Calibri" w:hAnsi="Arial" w:cs="Arial"/>
                <w:sz w:val="24"/>
                <w:szCs w:val="24"/>
              </w:rPr>
              <w:t>FirstEnergy Pennsylvania Companies’ Circuits Appearing on the Quarterly Worst Performing Circuit List for an Entire Year (Appearing All Four Times in a Year) – For the Years 2015 through 2017</w:t>
            </w:r>
          </w:p>
        </w:tc>
        <w:tc>
          <w:tcPr>
            <w:tcW w:w="884" w:type="dxa"/>
          </w:tcPr>
          <w:p w14:paraId="6E55FB88" w14:textId="77777777" w:rsidR="00FE1CA4" w:rsidRPr="00DA4649" w:rsidRDefault="00C164EE" w:rsidP="00FE1CA4">
            <w:pPr>
              <w:spacing w:after="0" w:line="240" w:lineRule="auto"/>
              <w:jc w:val="right"/>
              <w:rPr>
                <w:rFonts w:ascii="Arial" w:eastAsia="Calibri" w:hAnsi="Arial" w:cs="Arial"/>
                <w:sz w:val="24"/>
                <w:szCs w:val="24"/>
              </w:rPr>
            </w:pPr>
            <w:r w:rsidRPr="00DA4649">
              <w:rPr>
                <w:rFonts w:ascii="Arial" w:eastAsia="Calibri" w:hAnsi="Arial" w:cs="Arial"/>
                <w:sz w:val="24"/>
                <w:szCs w:val="24"/>
              </w:rPr>
              <w:t>4</w:t>
            </w:r>
            <w:r w:rsidR="00DA4649">
              <w:rPr>
                <w:rFonts w:ascii="Arial" w:eastAsia="Calibri" w:hAnsi="Arial" w:cs="Arial"/>
                <w:sz w:val="24"/>
                <w:szCs w:val="24"/>
              </w:rPr>
              <w:t>3</w:t>
            </w:r>
          </w:p>
        </w:tc>
        <w:tc>
          <w:tcPr>
            <w:tcW w:w="256" w:type="dxa"/>
          </w:tcPr>
          <w:p w14:paraId="739F952D" w14:textId="77777777" w:rsidR="00FE1CA4" w:rsidRPr="00D86BC8" w:rsidRDefault="00FE1CA4" w:rsidP="00FE1CA4">
            <w:pPr>
              <w:spacing w:after="0" w:line="240" w:lineRule="auto"/>
              <w:jc w:val="center"/>
              <w:rPr>
                <w:rFonts w:ascii="Arial" w:eastAsia="Calibri" w:hAnsi="Arial" w:cs="Arial"/>
                <w:sz w:val="24"/>
                <w:szCs w:val="24"/>
              </w:rPr>
            </w:pPr>
          </w:p>
        </w:tc>
      </w:tr>
      <w:tr w:rsidR="00FE1CA4" w:rsidRPr="00625123" w14:paraId="67858845" w14:textId="77777777" w:rsidTr="00FE1CA4">
        <w:tc>
          <w:tcPr>
            <w:tcW w:w="1017" w:type="dxa"/>
          </w:tcPr>
          <w:p w14:paraId="230B7EC4" w14:textId="77777777" w:rsidR="00FE1CA4" w:rsidRPr="00D86BC8" w:rsidRDefault="00FE1CA4" w:rsidP="00FE1CA4">
            <w:pPr>
              <w:spacing w:after="0" w:line="240" w:lineRule="auto"/>
              <w:jc w:val="center"/>
              <w:rPr>
                <w:rFonts w:ascii="Arial" w:eastAsia="Calibri" w:hAnsi="Arial" w:cs="Arial"/>
                <w:sz w:val="24"/>
                <w:szCs w:val="24"/>
              </w:rPr>
            </w:pPr>
          </w:p>
        </w:tc>
        <w:tc>
          <w:tcPr>
            <w:tcW w:w="7455" w:type="dxa"/>
          </w:tcPr>
          <w:p w14:paraId="0B0AEAE4" w14:textId="77777777" w:rsidR="00FE1CA4" w:rsidRPr="00D86BC8" w:rsidRDefault="00FE1CA4" w:rsidP="00FE1CA4">
            <w:pPr>
              <w:spacing w:after="0" w:line="240" w:lineRule="auto"/>
              <w:rPr>
                <w:rFonts w:ascii="Arial" w:eastAsia="Calibri" w:hAnsi="Arial" w:cs="Arial"/>
                <w:sz w:val="24"/>
                <w:szCs w:val="24"/>
              </w:rPr>
            </w:pPr>
          </w:p>
        </w:tc>
        <w:tc>
          <w:tcPr>
            <w:tcW w:w="884" w:type="dxa"/>
          </w:tcPr>
          <w:p w14:paraId="3CE1DD75" w14:textId="77777777" w:rsidR="00FE1CA4" w:rsidRPr="00DA4649" w:rsidRDefault="00FE1CA4" w:rsidP="00FE1CA4">
            <w:pPr>
              <w:spacing w:after="0" w:line="240" w:lineRule="auto"/>
              <w:jc w:val="right"/>
              <w:rPr>
                <w:rFonts w:ascii="Arial" w:eastAsia="Calibri" w:hAnsi="Arial" w:cs="Arial"/>
                <w:sz w:val="24"/>
                <w:szCs w:val="24"/>
              </w:rPr>
            </w:pPr>
          </w:p>
        </w:tc>
        <w:tc>
          <w:tcPr>
            <w:tcW w:w="256" w:type="dxa"/>
          </w:tcPr>
          <w:p w14:paraId="3FF9A6EC" w14:textId="77777777" w:rsidR="00FE1CA4" w:rsidRPr="00D86BC8" w:rsidRDefault="00FE1CA4" w:rsidP="00FE1CA4">
            <w:pPr>
              <w:spacing w:after="0" w:line="240" w:lineRule="auto"/>
              <w:jc w:val="center"/>
              <w:rPr>
                <w:rFonts w:ascii="Arial" w:eastAsia="Calibri" w:hAnsi="Arial" w:cs="Arial"/>
                <w:sz w:val="24"/>
                <w:szCs w:val="24"/>
              </w:rPr>
            </w:pPr>
          </w:p>
        </w:tc>
      </w:tr>
      <w:tr w:rsidR="00FE1CA4" w:rsidRPr="00625123" w14:paraId="0D5BFABB" w14:textId="77777777" w:rsidTr="00FE1CA4">
        <w:tc>
          <w:tcPr>
            <w:tcW w:w="1017" w:type="dxa"/>
          </w:tcPr>
          <w:p w14:paraId="08C9A56C" w14:textId="77777777" w:rsidR="00FE1CA4" w:rsidRPr="00DA4649" w:rsidRDefault="00FE1CA4" w:rsidP="00FE1CA4">
            <w:pPr>
              <w:spacing w:after="0" w:line="240" w:lineRule="auto"/>
              <w:jc w:val="center"/>
              <w:rPr>
                <w:rFonts w:ascii="Arial" w:eastAsia="Calibri" w:hAnsi="Arial" w:cs="Arial"/>
                <w:sz w:val="24"/>
                <w:szCs w:val="24"/>
              </w:rPr>
            </w:pPr>
            <w:r w:rsidRPr="00DA4649">
              <w:rPr>
                <w:rFonts w:ascii="Arial" w:eastAsia="Calibri" w:hAnsi="Arial" w:cs="Arial"/>
                <w:sz w:val="24"/>
                <w:szCs w:val="24"/>
              </w:rPr>
              <w:t>VII-12</w:t>
            </w:r>
          </w:p>
        </w:tc>
        <w:tc>
          <w:tcPr>
            <w:tcW w:w="7455" w:type="dxa"/>
          </w:tcPr>
          <w:p w14:paraId="3ADBD85B" w14:textId="77777777" w:rsidR="00FE1CA4" w:rsidRPr="00DA4649" w:rsidRDefault="00FE1CA4" w:rsidP="00FE1CA4">
            <w:pPr>
              <w:spacing w:after="0" w:line="240" w:lineRule="auto"/>
              <w:ind w:left="390" w:hanging="390"/>
              <w:rPr>
                <w:rFonts w:ascii="Arial" w:eastAsia="Calibri" w:hAnsi="Arial" w:cs="Arial"/>
                <w:sz w:val="24"/>
                <w:szCs w:val="24"/>
              </w:rPr>
            </w:pPr>
            <w:r w:rsidRPr="00DA4649">
              <w:rPr>
                <w:rFonts w:ascii="Arial" w:eastAsia="Calibri" w:hAnsi="Arial" w:cs="Arial"/>
                <w:sz w:val="24"/>
                <w:szCs w:val="24"/>
              </w:rPr>
              <w:t>Metropolitan Edison Company’s Priority 3 Repairs Compared to Implementation Plan Estimated End Dates - As of December 2017</w:t>
            </w:r>
          </w:p>
        </w:tc>
        <w:tc>
          <w:tcPr>
            <w:tcW w:w="884" w:type="dxa"/>
          </w:tcPr>
          <w:p w14:paraId="1F07F6C6" w14:textId="77777777" w:rsidR="00FE1CA4" w:rsidRPr="00DA4649" w:rsidRDefault="00DA4649" w:rsidP="00FE1CA4">
            <w:pPr>
              <w:spacing w:after="0" w:line="240" w:lineRule="auto"/>
              <w:jc w:val="right"/>
              <w:rPr>
                <w:rFonts w:ascii="Arial" w:eastAsia="Calibri" w:hAnsi="Arial" w:cs="Arial"/>
                <w:sz w:val="24"/>
                <w:szCs w:val="24"/>
              </w:rPr>
            </w:pPr>
            <w:r>
              <w:rPr>
                <w:rFonts w:ascii="Arial" w:eastAsia="Calibri" w:hAnsi="Arial" w:cs="Arial"/>
                <w:sz w:val="24"/>
                <w:szCs w:val="24"/>
              </w:rPr>
              <w:t>47</w:t>
            </w:r>
          </w:p>
        </w:tc>
        <w:tc>
          <w:tcPr>
            <w:tcW w:w="256" w:type="dxa"/>
          </w:tcPr>
          <w:p w14:paraId="0F92C9FF" w14:textId="77777777" w:rsidR="00FE1CA4" w:rsidRPr="00D86BC8" w:rsidRDefault="00FE1CA4" w:rsidP="00FE1CA4">
            <w:pPr>
              <w:spacing w:after="0" w:line="240" w:lineRule="auto"/>
              <w:jc w:val="center"/>
              <w:rPr>
                <w:rFonts w:ascii="Arial" w:eastAsia="Calibri" w:hAnsi="Arial" w:cs="Arial"/>
                <w:sz w:val="24"/>
                <w:szCs w:val="24"/>
              </w:rPr>
            </w:pPr>
          </w:p>
        </w:tc>
      </w:tr>
      <w:tr w:rsidR="00FE1CA4" w:rsidRPr="00625123" w14:paraId="77B50138" w14:textId="77777777" w:rsidTr="00FE1CA4">
        <w:tc>
          <w:tcPr>
            <w:tcW w:w="1017" w:type="dxa"/>
          </w:tcPr>
          <w:p w14:paraId="1CAE892A" w14:textId="77777777" w:rsidR="00FE1CA4" w:rsidRPr="00D86BC8" w:rsidRDefault="00FE1CA4" w:rsidP="00FE1CA4">
            <w:pPr>
              <w:spacing w:after="0" w:line="240" w:lineRule="auto"/>
              <w:jc w:val="center"/>
              <w:rPr>
                <w:rFonts w:ascii="Arial" w:eastAsia="Calibri" w:hAnsi="Arial" w:cs="Arial"/>
                <w:sz w:val="24"/>
                <w:szCs w:val="24"/>
              </w:rPr>
            </w:pPr>
          </w:p>
        </w:tc>
        <w:tc>
          <w:tcPr>
            <w:tcW w:w="7455" w:type="dxa"/>
          </w:tcPr>
          <w:p w14:paraId="6ED0D0B2" w14:textId="77777777" w:rsidR="00FE1CA4" w:rsidRPr="00D86BC8" w:rsidRDefault="00FE1CA4" w:rsidP="00FE1CA4">
            <w:pPr>
              <w:spacing w:after="0" w:line="240" w:lineRule="auto"/>
              <w:rPr>
                <w:rFonts w:ascii="Arial" w:eastAsia="Calibri" w:hAnsi="Arial" w:cs="Arial"/>
                <w:sz w:val="24"/>
                <w:szCs w:val="24"/>
              </w:rPr>
            </w:pPr>
          </w:p>
        </w:tc>
        <w:tc>
          <w:tcPr>
            <w:tcW w:w="884" w:type="dxa"/>
          </w:tcPr>
          <w:p w14:paraId="5BE31E98" w14:textId="77777777" w:rsidR="00FE1CA4" w:rsidRPr="00DA4649" w:rsidRDefault="00FE1CA4" w:rsidP="00FE1CA4">
            <w:pPr>
              <w:spacing w:after="0" w:line="240" w:lineRule="auto"/>
              <w:jc w:val="right"/>
              <w:rPr>
                <w:rFonts w:ascii="Arial" w:eastAsia="Calibri" w:hAnsi="Arial" w:cs="Arial"/>
                <w:sz w:val="24"/>
                <w:szCs w:val="24"/>
              </w:rPr>
            </w:pPr>
          </w:p>
        </w:tc>
        <w:tc>
          <w:tcPr>
            <w:tcW w:w="256" w:type="dxa"/>
          </w:tcPr>
          <w:p w14:paraId="331996A5" w14:textId="77777777" w:rsidR="00FE1CA4" w:rsidRPr="00D86BC8" w:rsidRDefault="00FE1CA4" w:rsidP="00FE1CA4">
            <w:pPr>
              <w:spacing w:after="0" w:line="240" w:lineRule="auto"/>
              <w:jc w:val="center"/>
              <w:rPr>
                <w:rFonts w:ascii="Arial" w:eastAsia="Calibri" w:hAnsi="Arial" w:cs="Arial"/>
                <w:sz w:val="24"/>
                <w:szCs w:val="24"/>
              </w:rPr>
            </w:pPr>
          </w:p>
        </w:tc>
      </w:tr>
      <w:tr w:rsidR="00FE1CA4" w:rsidRPr="00625123" w14:paraId="784A22CC" w14:textId="77777777" w:rsidTr="00FE1CA4">
        <w:tc>
          <w:tcPr>
            <w:tcW w:w="1017" w:type="dxa"/>
          </w:tcPr>
          <w:p w14:paraId="75FCB3E8" w14:textId="77777777" w:rsidR="00FE1CA4" w:rsidRPr="00DA4649" w:rsidRDefault="00FE1CA4" w:rsidP="00FE1CA4">
            <w:pPr>
              <w:spacing w:after="0" w:line="240" w:lineRule="auto"/>
              <w:jc w:val="center"/>
              <w:rPr>
                <w:rFonts w:ascii="Arial" w:eastAsia="Calibri" w:hAnsi="Arial" w:cs="Arial"/>
                <w:sz w:val="24"/>
                <w:szCs w:val="24"/>
              </w:rPr>
            </w:pPr>
            <w:r w:rsidRPr="00DA4649">
              <w:rPr>
                <w:rFonts w:ascii="Arial" w:eastAsia="Calibri" w:hAnsi="Arial" w:cs="Arial"/>
                <w:sz w:val="24"/>
                <w:szCs w:val="24"/>
              </w:rPr>
              <w:t>VII-13</w:t>
            </w:r>
          </w:p>
        </w:tc>
        <w:tc>
          <w:tcPr>
            <w:tcW w:w="7455" w:type="dxa"/>
          </w:tcPr>
          <w:p w14:paraId="7A8EC124" w14:textId="77777777" w:rsidR="00FE1CA4" w:rsidRPr="00DA4649" w:rsidRDefault="00FE1CA4" w:rsidP="00FE1CA4">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Pennsylvania Electric Company’s Priority 3 Repairs Compared to Implementation Plan Estimated End Dates - As of December 2017</w:t>
            </w:r>
          </w:p>
        </w:tc>
        <w:tc>
          <w:tcPr>
            <w:tcW w:w="884" w:type="dxa"/>
          </w:tcPr>
          <w:p w14:paraId="519477A4" w14:textId="77777777" w:rsidR="00FE1CA4" w:rsidRPr="00DA4649" w:rsidRDefault="00DA4649" w:rsidP="00FE1CA4">
            <w:pPr>
              <w:spacing w:after="0" w:line="240" w:lineRule="auto"/>
              <w:jc w:val="right"/>
              <w:rPr>
                <w:rFonts w:ascii="Arial" w:eastAsia="Calibri" w:hAnsi="Arial" w:cs="Arial"/>
                <w:sz w:val="24"/>
                <w:szCs w:val="24"/>
              </w:rPr>
            </w:pPr>
            <w:r>
              <w:rPr>
                <w:rFonts w:ascii="Arial" w:eastAsia="Calibri" w:hAnsi="Arial" w:cs="Arial"/>
                <w:sz w:val="24"/>
                <w:szCs w:val="24"/>
              </w:rPr>
              <w:t>47</w:t>
            </w:r>
          </w:p>
        </w:tc>
        <w:tc>
          <w:tcPr>
            <w:tcW w:w="256" w:type="dxa"/>
          </w:tcPr>
          <w:p w14:paraId="47BEA844" w14:textId="77777777" w:rsidR="00FE1CA4" w:rsidRPr="00D86BC8" w:rsidRDefault="00FE1CA4" w:rsidP="00FE1CA4">
            <w:pPr>
              <w:spacing w:after="0" w:line="240" w:lineRule="auto"/>
              <w:jc w:val="center"/>
              <w:rPr>
                <w:rFonts w:ascii="Arial" w:eastAsia="Calibri" w:hAnsi="Arial" w:cs="Arial"/>
                <w:sz w:val="24"/>
                <w:szCs w:val="24"/>
              </w:rPr>
            </w:pPr>
          </w:p>
        </w:tc>
      </w:tr>
      <w:tr w:rsidR="00FE1CA4" w:rsidRPr="00625123" w14:paraId="6707FA54" w14:textId="77777777" w:rsidTr="00FE1CA4">
        <w:tc>
          <w:tcPr>
            <w:tcW w:w="1017" w:type="dxa"/>
          </w:tcPr>
          <w:p w14:paraId="4F25F41B" w14:textId="77777777" w:rsidR="00FE1CA4" w:rsidRPr="00DA4649" w:rsidRDefault="00FE1CA4" w:rsidP="00FE1CA4">
            <w:pPr>
              <w:spacing w:after="0" w:line="240" w:lineRule="auto"/>
              <w:jc w:val="center"/>
              <w:rPr>
                <w:rFonts w:ascii="Arial" w:eastAsia="Calibri" w:hAnsi="Arial" w:cs="Arial"/>
                <w:sz w:val="24"/>
                <w:szCs w:val="24"/>
              </w:rPr>
            </w:pPr>
            <w:r w:rsidRPr="00DA4649">
              <w:rPr>
                <w:rFonts w:ascii="Arial" w:eastAsia="Calibri" w:hAnsi="Arial" w:cs="Arial"/>
                <w:sz w:val="24"/>
                <w:szCs w:val="24"/>
              </w:rPr>
              <w:t>VIII-1</w:t>
            </w:r>
          </w:p>
        </w:tc>
        <w:tc>
          <w:tcPr>
            <w:tcW w:w="7455" w:type="dxa"/>
          </w:tcPr>
          <w:p w14:paraId="7E127D5B" w14:textId="77777777" w:rsidR="00FE1CA4" w:rsidRPr="00DA4649" w:rsidRDefault="00FE1CA4" w:rsidP="00FE1CA4">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Pennsylvania Public Utility Commission’s Public Utility Security Planning and Readiness Self Certification Form</w:t>
            </w:r>
          </w:p>
        </w:tc>
        <w:tc>
          <w:tcPr>
            <w:tcW w:w="884" w:type="dxa"/>
          </w:tcPr>
          <w:p w14:paraId="26600C30" w14:textId="77777777" w:rsidR="00FE1CA4" w:rsidRPr="00DA4649" w:rsidRDefault="00DA4649" w:rsidP="00FE1CA4">
            <w:pPr>
              <w:spacing w:after="0" w:line="240" w:lineRule="auto"/>
              <w:jc w:val="right"/>
              <w:rPr>
                <w:rFonts w:ascii="Arial" w:eastAsia="Calibri" w:hAnsi="Arial" w:cs="Arial"/>
                <w:sz w:val="24"/>
                <w:szCs w:val="24"/>
              </w:rPr>
            </w:pPr>
            <w:r>
              <w:rPr>
                <w:rFonts w:ascii="Arial" w:eastAsia="Calibri" w:hAnsi="Arial" w:cs="Arial"/>
                <w:sz w:val="24"/>
                <w:szCs w:val="24"/>
              </w:rPr>
              <w:t>49</w:t>
            </w:r>
          </w:p>
        </w:tc>
        <w:tc>
          <w:tcPr>
            <w:tcW w:w="256" w:type="dxa"/>
          </w:tcPr>
          <w:p w14:paraId="4DC0584A" w14:textId="77777777" w:rsidR="00FE1CA4" w:rsidRPr="00D86BC8" w:rsidRDefault="00FE1CA4" w:rsidP="00FE1CA4">
            <w:pPr>
              <w:spacing w:after="0" w:line="240" w:lineRule="auto"/>
              <w:jc w:val="center"/>
              <w:rPr>
                <w:rFonts w:ascii="Arial" w:eastAsia="Calibri" w:hAnsi="Arial" w:cs="Arial"/>
                <w:sz w:val="24"/>
                <w:szCs w:val="24"/>
              </w:rPr>
            </w:pPr>
          </w:p>
        </w:tc>
      </w:tr>
      <w:tr w:rsidR="00FE1CA4" w:rsidRPr="00625123" w14:paraId="2B33AF4A" w14:textId="77777777" w:rsidTr="00FE1CA4">
        <w:tc>
          <w:tcPr>
            <w:tcW w:w="1017" w:type="dxa"/>
          </w:tcPr>
          <w:p w14:paraId="381B547D" w14:textId="77777777" w:rsidR="00FE1CA4" w:rsidRPr="00D86BC8" w:rsidRDefault="00FE1CA4" w:rsidP="00FE1CA4">
            <w:pPr>
              <w:spacing w:after="0" w:line="240" w:lineRule="auto"/>
              <w:jc w:val="center"/>
              <w:rPr>
                <w:rFonts w:ascii="Arial" w:eastAsia="Calibri" w:hAnsi="Arial" w:cs="Arial"/>
                <w:sz w:val="24"/>
                <w:szCs w:val="24"/>
              </w:rPr>
            </w:pPr>
          </w:p>
        </w:tc>
        <w:tc>
          <w:tcPr>
            <w:tcW w:w="7455" w:type="dxa"/>
          </w:tcPr>
          <w:p w14:paraId="0B850F70" w14:textId="77777777" w:rsidR="00FE1CA4" w:rsidRPr="00D86BC8" w:rsidRDefault="00FE1CA4" w:rsidP="00FE1CA4">
            <w:pPr>
              <w:spacing w:after="0" w:line="240" w:lineRule="auto"/>
              <w:rPr>
                <w:rFonts w:ascii="Arial" w:eastAsia="Calibri" w:hAnsi="Arial" w:cs="Arial"/>
                <w:sz w:val="24"/>
                <w:szCs w:val="24"/>
              </w:rPr>
            </w:pPr>
          </w:p>
        </w:tc>
        <w:tc>
          <w:tcPr>
            <w:tcW w:w="884" w:type="dxa"/>
          </w:tcPr>
          <w:p w14:paraId="0AADEEDE" w14:textId="77777777" w:rsidR="00FE1CA4" w:rsidRPr="00DA4649" w:rsidRDefault="00FE1CA4" w:rsidP="00FE1CA4">
            <w:pPr>
              <w:spacing w:after="0" w:line="240" w:lineRule="auto"/>
              <w:jc w:val="right"/>
              <w:rPr>
                <w:rFonts w:ascii="Arial" w:eastAsia="Calibri" w:hAnsi="Arial" w:cs="Arial"/>
                <w:sz w:val="24"/>
                <w:szCs w:val="24"/>
              </w:rPr>
            </w:pPr>
          </w:p>
        </w:tc>
        <w:tc>
          <w:tcPr>
            <w:tcW w:w="256" w:type="dxa"/>
          </w:tcPr>
          <w:p w14:paraId="4DB17072" w14:textId="77777777" w:rsidR="00FE1CA4" w:rsidRPr="00D86BC8" w:rsidRDefault="00FE1CA4" w:rsidP="00FE1CA4">
            <w:pPr>
              <w:spacing w:after="0" w:line="240" w:lineRule="auto"/>
              <w:jc w:val="center"/>
              <w:rPr>
                <w:rFonts w:ascii="Arial" w:eastAsia="Calibri" w:hAnsi="Arial" w:cs="Arial"/>
                <w:sz w:val="24"/>
                <w:szCs w:val="24"/>
              </w:rPr>
            </w:pPr>
          </w:p>
        </w:tc>
      </w:tr>
      <w:tr w:rsidR="00FE1CA4" w:rsidRPr="00625123" w14:paraId="780A780C" w14:textId="77777777" w:rsidTr="00FE1CA4">
        <w:tc>
          <w:tcPr>
            <w:tcW w:w="1017" w:type="dxa"/>
          </w:tcPr>
          <w:p w14:paraId="78D8769B" w14:textId="77777777" w:rsidR="00FE1CA4" w:rsidRPr="00DA4649" w:rsidRDefault="00FE1CA4" w:rsidP="00FE1CA4">
            <w:pPr>
              <w:spacing w:after="0" w:line="240" w:lineRule="auto"/>
              <w:jc w:val="center"/>
              <w:rPr>
                <w:rFonts w:ascii="Arial" w:eastAsia="Calibri" w:hAnsi="Arial" w:cs="Arial"/>
                <w:sz w:val="24"/>
                <w:szCs w:val="24"/>
              </w:rPr>
            </w:pPr>
            <w:r w:rsidRPr="00DA4649">
              <w:rPr>
                <w:rFonts w:ascii="Arial" w:eastAsia="Calibri" w:hAnsi="Arial" w:cs="Arial"/>
                <w:sz w:val="24"/>
                <w:szCs w:val="24"/>
              </w:rPr>
              <w:t>IX-1</w:t>
            </w:r>
          </w:p>
        </w:tc>
        <w:tc>
          <w:tcPr>
            <w:tcW w:w="7455" w:type="dxa"/>
          </w:tcPr>
          <w:p w14:paraId="234B1883" w14:textId="77777777" w:rsidR="00FE1CA4" w:rsidRPr="00DA4649" w:rsidRDefault="00FE1CA4" w:rsidP="00FE1CA4">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FirstEnergy Pennsylvania Companies’ Inventory Turnover Levels (Excluding Emergency Stock) - For the Year 2013</w:t>
            </w:r>
          </w:p>
        </w:tc>
        <w:tc>
          <w:tcPr>
            <w:tcW w:w="884" w:type="dxa"/>
          </w:tcPr>
          <w:p w14:paraId="12F82B57" w14:textId="77777777" w:rsidR="00FE1CA4" w:rsidRPr="00DA4649" w:rsidRDefault="00C164EE" w:rsidP="00FE1CA4">
            <w:pPr>
              <w:spacing w:after="0" w:line="240" w:lineRule="auto"/>
              <w:jc w:val="right"/>
              <w:rPr>
                <w:rFonts w:ascii="Arial" w:eastAsia="Calibri" w:hAnsi="Arial" w:cs="Arial"/>
                <w:sz w:val="24"/>
                <w:szCs w:val="24"/>
              </w:rPr>
            </w:pPr>
            <w:r w:rsidRPr="00DA4649">
              <w:rPr>
                <w:rFonts w:ascii="Arial" w:eastAsia="Calibri" w:hAnsi="Arial" w:cs="Arial"/>
                <w:sz w:val="24"/>
                <w:szCs w:val="24"/>
              </w:rPr>
              <w:t>5</w:t>
            </w:r>
            <w:r w:rsidR="00DA4649">
              <w:rPr>
                <w:rFonts w:ascii="Arial" w:eastAsia="Calibri" w:hAnsi="Arial" w:cs="Arial"/>
                <w:sz w:val="24"/>
                <w:szCs w:val="24"/>
              </w:rPr>
              <w:t>2</w:t>
            </w:r>
          </w:p>
        </w:tc>
        <w:tc>
          <w:tcPr>
            <w:tcW w:w="256" w:type="dxa"/>
          </w:tcPr>
          <w:p w14:paraId="55A36299" w14:textId="77777777" w:rsidR="00FE1CA4" w:rsidRPr="00D86BC8" w:rsidRDefault="00FE1CA4" w:rsidP="00FE1CA4">
            <w:pPr>
              <w:spacing w:after="0" w:line="240" w:lineRule="auto"/>
              <w:jc w:val="center"/>
              <w:rPr>
                <w:rFonts w:ascii="Arial" w:eastAsia="Calibri" w:hAnsi="Arial" w:cs="Arial"/>
                <w:sz w:val="24"/>
                <w:szCs w:val="24"/>
              </w:rPr>
            </w:pPr>
          </w:p>
        </w:tc>
      </w:tr>
      <w:tr w:rsidR="00FE1CA4" w:rsidRPr="00625123" w14:paraId="2A8E63BC" w14:textId="77777777" w:rsidTr="00FE1CA4">
        <w:tc>
          <w:tcPr>
            <w:tcW w:w="1017" w:type="dxa"/>
          </w:tcPr>
          <w:p w14:paraId="44AC56DA" w14:textId="77777777" w:rsidR="00FE1CA4" w:rsidRPr="00DA4649" w:rsidRDefault="00FE1CA4" w:rsidP="00FE1CA4">
            <w:pPr>
              <w:spacing w:after="0" w:line="240" w:lineRule="auto"/>
              <w:jc w:val="center"/>
              <w:rPr>
                <w:rFonts w:ascii="Arial" w:eastAsia="Calibri" w:hAnsi="Arial" w:cs="Arial"/>
                <w:sz w:val="24"/>
                <w:szCs w:val="24"/>
              </w:rPr>
            </w:pPr>
          </w:p>
        </w:tc>
        <w:tc>
          <w:tcPr>
            <w:tcW w:w="7455" w:type="dxa"/>
          </w:tcPr>
          <w:p w14:paraId="228CB1A7" w14:textId="77777777" w:rsidR="00FE1CA4" w:rsidRPr="00DA4649" w:rsidRDefault="00FE1CA4" w:rsidP="00FE1CA4">
            <w:pPr>
              <w:spacing w:after="0" w:line="240" w:lineRule="auto"/>
              <w:rPr>
                <w:rFonts w:ascii="Arial" w:eastAsia="Calibri" w:hAnsi="Arial" w:cs="Arial"/>
                <w:sz w:val="24"/>
                <w:szCs w:val="24"/>
              </w:rPr>
            </w:pPr>
          </w:p>
        </w:tc>
        <w:tc>
          <w:tcPr>
            <w:tcW w:w="884" w:type="dxa"/>
          </w:tcPr>
          <w:p w14:paraId="0A881FF3" w14:textId="77777777" w:rsidR="00FE1CA4" w:rsidRPr="00DA4649" w:rsidRDefault="00FE1CA4" w:rsidP="00FE1CA4">
            <w:pPr>
              <w:spacing w:after="0" w:line="240" w:lineRule="auto"/>
              <w:jc w:val="right"/>
              <w:rPr>
                <w:rFonts w:ascii="Arial" w:eastAsia="Calibri" w:hAnsi="Arial" w:cs="Arial"/>
                <w:sz w:val="24"/>
                <w:szCs w:val="24"/>
              </w:rPr>
            </w:pPr>
          </w:p>
        </w:tc>
        <w:tc>
          <w:tcPr>
            <w:tcW w:w="256" w:type="dxa"/>
          </w:tcPr>
          <w:p w14:paraId="233E5D4F" w14:textId="77777777" w:rsidR="00FE1CA4" w:rsidRPr="00D86BC8" w:rsidRDefault="00FE1CA4" w:rsidP="00FE1CA4">
            <w:pPr>
              <w:spacing w:after="0" w:line="240" w:lineRule="auto"/>
              <w:jc w:val="center"/>
              <w:rPr>
                <w:rFonts w:ascii="Arial" w:eastAsia="Calibri" w:hAnsi="Arial" w:cs="Arial"/>
                <w:sz w:val="24"/>
                <w:szCs w:val="24"/>
              </w:rPr>
            </w:pPr>
          </w:p>
        </w:tc>
      </w:tr>
      <w:tr w:rsidR="00FE1CA4" w:rsidRPr="00625123" w14:paraId="3E14A3DC" w14:textId="77777777" w:rsidTr="00FE1CA4">
        <w:trPr>
          <w:trHeight w:val="297"/>
        </w:trPr>
        <w:tc>
          <w:tcPr>
            <w:tcW w:w="1017" w:type="dxa"/>
          </w:tcPr>
          <w:p w14:paraId="3394FA71" w14:textId="77777777" w:rsidR="00FE1CA4" w:rsidRPr="00DA4649" w:rsidRDefault="00FE1CA4" w:rsidP="00FE1CA4">
            <w:pPr>
              <w:spacing w:after="0" w:line="240" w:lineRule="auto"/>
              <w:jc w:val="center"/>
              <w:rPr>
                <w:rFonts w:ascii="Arial" w:eastAsia="Calibri" w:hAnsi="Arial" w:cs="Arial"/>
                <w:sz w:val="24"/>
                <w:szCs w:val="24"/>
              </w:rPr>
            </w:pPr>
            <w:r w:rsidRPr="00DA4649">
              <w:rPr>
                <w:rFonts w:ascii="Arial" w:eastAsia="Calibri" w:hAnsi="Arial" w:cs="Arial"/>
                <w:sz w:val="24"/>
                <w:szCs w:val="24"/>
              </w:rPr>
              <w:t>IX-2</w:t>
            </w:r>
          </w:p>
        </w:tc>
        <w:tc>
          <w:tcPr>
            <w:tcW w:w="7455" w:type="dxa"/>
          </w:tcPr>
          <w:p w14:paraId="75587E0A" w14:textId="77777777" w:rsidR="00FE1CA4" w:rsidRPr="00DA4649" w:rsidRDefault="00FE1CA4" w:rsidP="00FE1CA4">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FirstEnergy Pennsylvania Companies’ Inventory Goals For 2017</w:t>
            </w:r>
          </w:p>
        </w:tc>
        <w:tc>
          <w:tcPr>
            <w:tcW w:w="884" w:type="dxa"/>
          </w:tcPr>
          <w:p w14:paraId="5EE8404A" w14:textId="77777777" w:rsidR="00FE1CA4" w:rsidRPr="00DA4649" w:rsidRDefault="00C164EE" w:rsidP="00FE1CA4">
            <w:pPr>
              <w:spacing w:after="0" w:line="240" w:lineRule="auto"/>
              <w:jc w:val="right"/>
              <w:rPr>
                <w:rFonts w:ascii="Arial" w:eastAsia="Calibri" w:hAnsi="Arial" w:cs="Arial"/>
                <w:sz w:val="24"/>
                <w:szCs w:val="24"/>
              </w:rPr>
            </w:pPr>
            <w:r w:rsidRPr="00DA4649">
              <w:rPr>
                <w:rFonts w:ascii="Arial" w:eastAsia="Calibri" w:hAnsi="Arial" w:cs="Arial"/>
                <w:sz w:val="24"/>
                <w:szCs w:val="24"/>
              </w:rPr>
              <w:t>5</w:t>
            </w:r>
            <w:r w:rsidR="00DA4649">
              <w:rPr>
                <w:rFonts w:ascii="Arial" w:eastAsia="Calibri" w:hAnsi="Arial" w:cs="Arial"/>
                <w:sz w:val="24"/>
                <w:szCs w:val="24"/>
              </w:rPr>
              <w:t>3</w:t>
            </w:r>
          </w:p>
        </w:tc>
        <w:tc>
          <w:tcPr>
            <w:tcW w:w="256" w:type="dxa"/>
          </w:tcPr>
          <w:p w14:paraId="0EF73E10" w14:textId="77777777" w:rsidR="00FE1CA4" w:rsidRPr="00D86BC8" w:rsidRDefault="00FE1CA4" w:rsidP="00FE1CA4">
            <w:pPr>
              <w:spacing w:after="0" w:line="240" w:lineRule="auto"/>
              <w:jc w:val="center"/>
              <w:rPr>
                <w:rFonts w:ascii="Arial" w:eastAsia="Calibri" w:hAnsi="Arial" w:cs="Arial"/>
                <w:sz w:val="24"/>
                <w:szCs w:val="24"/>
              </w:rPr>
            </w:pPr>
          </w:p>
        </w:tc>
      </w:tr>
      <w:tr w:rsidR="00FE1CA4" w:rsidRPr="00625123" w14:paraId="4A17B5CE" w14:textId="77777777" w:rsidTr="00FE1CA4">
        <w:tc>
          <w:tcPr>
            <w:tcW w:w="1017" w:type="dxa"/>
          </w:tcPr>
          <w:p w14:paraId="38DF03AB" w14:textId="77777777" w:rsidR="00FE1CA4" w:rsidRPr="00DA4649" w:rsidRDefault="00FE1CA4" w:rsidP="00FE1CA4">
            <w:pPr>
              <w:spacing w:after="0" w:line="240" w:lineRule="auto"/>
              <w:jc w:val="center"/>
              <w:rPr>
                <w:rFonts w:ascii="Arial" w:eastAsia="Calibri" w:hAnsi="Arial" w:cs="Arial"/>
                <w:sz w:val="24"/>
                <w:szCs w:val="24"/>
              </w:rPr>
            </w:pPr>
          </w:p>
        </w:tc>
        <w:tc>
          <w:tcPr>
            <w:tcW w:w="7455" w:type="dxa"/>
          </w:tcPr>
          <w:p w14:paraId="5E9C7B4E" w14:textId="77777777" w:rsidR="00FE1CA4" w:rsidRPr="00DA4649" w:rsidRDefault="00FE1CA4" w:rsidP="00FE1CA4">
            <w:pPr>
              <w:spacing w:after="0" w:line="240" w:lineRule="auto"/>
              <w:rPr>
                <w:rFonts w:ascii="Arial" w:eastAsia="Calibri" w:hAnsi="Arial" w:cs="Arial"/>
                <w:sz w:val="24"/>
                <w:szCs w:val="24"/>
              </w:rPr>
            </w:pPr>
          </w:p>
        </w:tc>
        <w:tc>
          <w:tcPr>
            <w:tcW w:w="884" w:type="dxa"/>
          </w:tcPr>
          <w:p w14:paraId="3433446A" w14:textId="77777777" w:rsidR="00FE1CA4" w:rsidRPr="00DA4649" w:rsidRDefault="00FE1CA4" w:rsidP="00FE1CA4">
            <w:pPr>
              <w:spacing w:after="0" w:line="240" w:lineRule="auto"/>
              <w:jc w:val="right"/>
              <w:rPr>
                <w:rFonts w:ascii="Arial" w:eastAsia="Calibri" w:hAnsi="Arial" w:cs="Arial"/>
                <w:sz w:val="24"/>
                <w:szCs w:val="24"/>
              </w:rPr>
            </w:pPr>
          </w:p>
        </w:tc>
        <w:tc>
          <w:tcPr>
            <w:tcW w:w="256" w:type="dxa"/>
          </w:tcPr>
          <w:p w14:paraId="2DD4719F" w14:textId="77777777" w:rsidR="00FE1CA4" w:rsidRPr="00D86BC8" w:rsidRDefault="00FE1CA4" w:rsidP="00FE1CA4">
            <w:pPr>
              <w:spacing w:after="0" w:line="240" w:lineRule="auto"/>
              <w:jc w:val="center"/>
              <w:rPr>
                <w:rFonts w:ascii="Arial" w:eastAsia="Calibri" w:hAnsi="Arial" w:cs="Arial"/>
                <w:sz w:val="24"/>
                <w:szCs w:val="24"/>
              </w:rPr>
            </w:pPr>
          </w:p>
        </w:tc>
      </w:tr>
      <w:tr w:rsidR="00FE1CA4" w:rsidRPr="00625123" w14:paraId="37781390" w14:textId="77777777" w:rsidTr="00FE1CA4">
        <w:tc>
          <w:tcPr>
            <w:tcW w:w="1017" w:type="dxa"/>
          </w:tcPr>
          <w:p w14:paraId="0AA67FE6" w14:textId="77777777" w:rsidR="00FE1CA4" w:rsidRPr="00DA4649" w:rsidRDefault="00FE1CA4" w:rsidP="00FE1CA4">
            <w:pPr>
              <w:spacing w:after="0" w:line="240" w:lineRule="auto"/>
              <w:jc w:val="center"/>
              <w:rPr>
                <w:rFonts w:ascii="Arial" w:eastAsia="Calibri" w:hAnsi="Arial" w:cs="Arial"/>
                <w:sz w:val="24"/>
                <w:szCs w:val="24"/>
              </w:rPr>
            </w:pPr>
            <w:r w:rsidRPr="00DA4649">
              <w:rPr>
                <w:rFonts w:ascii="Arial" w:eastAsia="Calibri" w:hAnsi="Arial" w:cs="Arial"/>
                <w:sz w:val="24"/>
                <w:szCs w:val="24"/>
              </w:rPr>
              <w:t>IX-3</w:t>
            </w:r>
          </w:p>
        </w:tc>
        <w:tc>
          <w:tcPr>
            <w:tcW w:w="7455" w:type="dxa"/>
          </w:tcPr>
          <w:p w14:paraId="308548C9" w14:textId="77777777" w:rsidR="00FE1CA4" w:rsidRPr="00DA4649" w:rsidRDefault="00FE1CA4" w:rsidP="00545DE3">
            <w:pPr>
              <w:spacing w:after="0" w:line="240" w:lineRule="auto"/>
              <w:ind w:left="383" w:hanging="383"/>
              <w:rPr>
                <w:rFonts w:ascii="Arial" w:eastAsia="Calibri" w:hAnsi="Arial" w:cs="Arial"/>
                <w:sz w:val="24"/>
                <w:szCs w:val="24"/>
              </w:rPr>
            </w:pPr>
            <w:r w:rsidRPr="00DA4649">
              <w:rPr>
                <w:rFonts w:ascii="Arial" w:eastAsia="Calibri" w:hAnsi="Arial" w:cs="Arial"/>
                <w:sz w:val="24"/>
                <w:szCs w:val="24"/>
              </w:rPr>
              <w:t>FirstEnergy Pennsylvania Companies’ Inventory Turnover Statistics - For the Years 2014 through 2017</w:t>
            </w:r>
          </w:p>
        </w:tc>
        <w:tc>
          <w:tcPr>
            <w:tcW w:w="884" w:type="dxa"/>
          </w:tcPr>
          <w:p w14:paraId="044623A3" w14:textId="77777777" w:rsidR="00FE1CA4" w:rsidRPr="00DA4649" w:rsidRDefault="00C164EE" w:rsidP="00FE1CA4">
            <w:pPr>
              <w:spacing w:after="0" w:line="240" w:lineRule="auto"/>
              <w:jc w:val="right"/>
              <w:rPr>
                <w:rFonts w:ascii="Arial" w:eastAsia="Calibri" w:hAnsi="Arial" w:cs="Arial"/>
                <w:sz w:val="24"/>
                <w:szCs w:val="24"/>
              </w:rPr>
            </w:pPr>
            <w:r w:rsidRPr="00DA4649">
              <w:rPr>
                <w:rFonts w:ascii="Arial" w:eastAsia="Calibri" w:hAnsi="Arial" w:cs="Arial"/>
                <w:sz w:val="24"/>
                <w:szCs w:val="24"/>
              </w:rPr>
              <w:t>5</w:t>
            </w:r>
            <w:r w:rsidR="00DA4649">
              <w:rPr>
                <w:rFonts w:ascii="Arial" w:eastAsia="Calibri" w:hAnsi="Arial" w:cs="Arial"/>
                <w:sz w:val="24"/>
                <w:szCs w:val="24"/>
              </w:rPr>
              <w:t>4</w:t>
            </w:r>
          </w:p>
        </w:tc>
        <w:tc>
          <w:tcPr>
            <w:tcW w:w="256" w:type="dxa"/>
          </w:tcPr>
          <w:p w14:paraId="11D1C4D0" w14:textId="77777777" w:rsidR="00FE1CA4" w:rsidRPr="00D86BC8" w:rsidRDefault="00FE1CA4" w:rsidP="00FE1CA4">
            <w:pPr>
              <w:spacing w:after="0" w:line="240" w:lineRule="auto"/>
              <w:jc w:val="center"/>
              <w:rPr>
                <w:rFonts w:ascii="Arial" w:eastAsia="Calibri" w:hAnsi="Arial" w:cs="Arial"/>
                <w:sz w:val="24"/>
                <w:szCs w:val="24"/>
              </w:rPr>
            </w:pPr>
          </w:p>
        </w:tc>
      </w:tr>
      <w:tr w:rsidR="00FE1CA4" w:rsidRPr="00625123" w14:paraId="5B1BA18D" w14:textId="77777777" w:rsidTr="00FE1CA4">
        <w:tc>
          <w:tcPr>
            <w:tcW w:w="1017" w:type="dxa"/>
          </w:tcPr>
          <w:p w14:paraId="14935767" w14:textId="77777777" w:rsidR="00FE1CA4" w:rsidRPr="00DA4649" w:rsidRDefault="00FE1CA4" w:rsidP="00FE1CA4">
            <w:pPr>
              <w:spacing w:after="0" w:line="240" w:lineRule="auto"/>
              <w:jc w:val="center"/>
              <w:rPr>
                <w:rFonts w:ascii="Arial" w:eastAsia="Calibri" w:hAnsi="Arial" w:cs="Arial"/>
                <w:sz w:val="24"/>
                <w:szCs w:val="24"/>
              </w:rPr>
            </w:pPr>
          </w:p>
        </w:tc>
        <w:tc>
          <w:tcPr>
            <w:tcW w:w="7455" w:type="dxa"/>
          </w:tcPr>
          <w:p w14:paraId="738CC6F5" w14:textId="77777777" w:rsidR="00FE1CA4" w:rsidRPr="00DA4649" w:rsidRDefault="00FE1CA4" w:rsidP="00FE1CA4">
            <w:pPr>
              <w:spacing w:after="0" w:line="240" w:lineRule="auto"/>
              <w:rPr>
                <w:rFonts w:ascii="Arial" w:eastAsia="Calibri" w:hAnsi="Arial" w:cs="Arial"/>
                <w:sz w:val="24"/>
                <w:szCs w:val="24"/>
              </w:rPr>
            </w:pPr>
          </w:p>
        </w:tc>
        <w:tc>
          <w:tcPr>
            <w:tcW w:w="884" w:type="dxa"/>
          </w:tcPr>
          <w:p w14:paraId="7AB99C36" w14:textId="77777777" w:rsidR="00FE1CA4" w:rsidRPr="00DA4649" w:rsidRDefault="00FE1CA4" w:rsidP="00FE1CA4">
            <w:pPr>
              <w:spacing w:after="0" w:line="240" w:lineRule="auto"/>
              <w:jc w:val="right"/>
              <w:rPr>
                <w:rFonts w:ascii="Arial" w:eastAsia="Calibri" w:hAnsi="Arial" w:cs="Arial"/>
                <w:sz w:val="24"/>
                <w:szCs w:val="24"/>
              </w:rPr>
            </w:pPr>
          </w:p>
        </w:tc>
        <w:tc>
          <w:tcPr>
            <w:tcW w:w="256" w:type="dxa"/>
          </w:tcPr>
          <w:p w14:paraId="3DAAC385" w14:textId="77777777" w:rsidR="00FE1CA4" w:rsidRPr="00D86BC8" w:rsidRDefault="00FE1CA4" w:rsidP="00FE1CA4">
            <w:pPr>
              <w:spacing w:after="0" w:line="240" w:lineRule="auto"/>
              <w:jc w:val="center"/>
              <w:rPr>
                <w:rFonts w:ascii="Arial" w:eastAsia="Calibri" w:hAnsi="Arial" w:cs="Arial"/>
                <w:sz w:val="24"/>
                <w:szCs w:val="24"/>
              </w:rPr>
            </w:pPr>
          </w:p>
        </w:tc>
      </w:tr>
      <w:tr w:rsidR="00FE1CA4" w:rsidRPr="00625123" w14:paraId="60C80A0A" w14:textId="77777777" w:rsidTr="00FE1CA4">
        <w:tc>
          <w:tcPr>
            <w:tcW w:w="1017" w:type="dxa"/>
          </w:tcPr>
          <w:p w14:paraId="4E118F10" w14:textId="77777777" w:rsidR="00FE1CA4" w:rsidRPr="00DA4649" w:rsidRDefault="00FE1CA4" w:rsidP="00FE1CA4">
            <w:pPr>
              <w:spacing w:after="0" w:line="240" w:lineRule="auto"/>
              <w:jc w:val="center"/>
              <w:rPr>
                <w:rFonts w:ascii="Arial" w:eastAsia="Calibri" w:hAnsi="Arial" w:cs="Arial"/>
                <w:sz w:val="24"/>
                <w:szCs w:val="24"/>
              </w:rPr>
            </w:pPr>
            <w:r w:rsidRPr="00DA4649">
              <w:rPr>
                <w:rFonts w:ascii="Arial" w:eastAsia="Calibri" w:hAnsi="Arial" w:cs="Arial"/>
                <w:sz w:val="24"/>
                <w:szCs w:val="24"/>
              </w:rPr>
              <w:t>IX-4</w:t>
            </w:r>
          </w:p>
        </w:tc>
        <w:tc>
          <w:tcPr>
            <w:tcW w:w="7455" w:type="dxa"/>
          </w:tcPr>
          <w:p w14:paraId="12AA47C9" w14:textId="77777777" w:rsidR="00FE1CA4" w:rsidRPr="00DA4649" w:rsidRDefault="00FE1CA4" w:rsidP="00FE1CA4">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FirstEnergy Pennsylvania Companies’ Realized Savings from Increasing Inventory Turnover</w:t>
            </w:r>
          </w:p>
        </w:tc>
        <w:tc>
          <w:tcPr>
            <w:tcW w:w="884" w:type="dxa"/>
          </w:tcPr>
          <w:p w14:paraId="29909DDF" w14:textId="77777777" w:rsidR="00FE1CA4" w:rsidRPr="00DA4649" w:rsidRDefault="00C164EE" w:rsidP="00FE1CA4">
            <w:pPr>
              <w:spacing w:after="0" w:line="240" w:lineRule="auto"/>
              <w:jc w:val="right"/>
              <w:rPr>
                <w:rFonts w:ascii="Arial" w:eastAsia="Calibri" w:hAnsi="Arial" w:cs="Arial"/>
                <w:sz w:val="24"/>
                <w:szCs w:val="24"/>
              </w:rPr>
            </w:pPr>
            <w:r w:rsidRPr="00DA4649">
              <w:rPr>
                <w:rFonts w:ascii="Arial" w:eastAsia="Calibri" w:hAnsi="Arial" w:cs="Arial"/>
                <w:sz w:val="24"/>
                <w:szCs w:val="24"/>
              </w:rPr>
              <w:t>5</w:t>
            </w:r>
            <w:r w:rsidR="00DA4649">
              <w:rPr>
                <w:rFonts w:ascii="Arial" w:eastAsia="Calibri" w:hAnsi="Arial" w:cs="Arial"/>
                <w:sz w:val="24"/>
                <w:szCs w:val="24"/>
              </w:rPr>
              <w:t>5</w:t>
            </w:r>
          </w:p>
        </w:tc>
        <w:tc>
          <w:tcPr>
            <w:tcW w:w="256" w:type="dxa"/>
          </w:tcPr>
          <w:p w14:paraId="2C05422A" w14:textId="77777777" w:rsidR="00FE1CA4" w:rsidRPr="00D86BC8" w:rsidRDefault="00FE1CA4" w:rsidP="00FE1CA4">
            <w:pPr>
              <w:spacing w:after="0" w:line="240" w:lineRule="auto"/>
              <w:jc w:val="center"/>
              <w:rPr>
                <w:rFonts w:ascii="Arial" w:eastAsia="Calibri" w:hAnsi="Arial" w:cs="Arial"/>
                <w:sz w:val="24"/>
                <w:szCs w:val="24"/>
              </w:rPr>
            </w:pPr>
          </w:p>
        </w:tc>
      </w:tr>
      <w:tr w:rsidR="00FE1CA4" w:rsidRPr="00625123" w14:paraId="7135AA70" w14:textId="77777777" w:rsidTr="00FE1CA4">
        <w:tc>
          <w:tcPr>
            <w:tcW w:w="1017" w:type="dxa"/>
          </w:tcPr>
          <w:p w14:paraId="75361817" w14:textId="77777777" w:rsidR="00FE1CA4" w:rsidRPr="00DA4649" w:rsidRDefault="00FE1CA4" w:rsidP="00FE1CA4">
            <w:pPr>
              <w:spacing w:after="0" w:line="240" w:lineRule="auto"/>
              <w:jc w:val="center"/>
              <w:rPr>
                <w:rFonts w:ascii="Arial" w:eastAsia="Calibri" w:hAnsi="Arial" w:cs="Arial"/>
                <w:sz w:val="24"/>
                <w:szCs w:val="24"/>
              </w:rPr>
            </w:pPr>
          </w:p>
        </w:tc>
        <w:tc>
          <w:tcPr>
            <w:tcW w:w="7455" w:type="dxa"/>
          </w:tcPr>
          <w:p w14:paraId="3747313A" w14:textId="77777777" w:rsidR="00FE1CA4" w:rsidRPr="00DA4649" w:rsidRDefault="00FE1CA4" w:rsidP="00FE1CA4">
            <w:pPr>
              <w:spacing w:after="0" w:line="240" w:lineRule="auto"/>
              <w:ind w:left="405" w:hanging="405"/>
              <w:rPr>
                <w:rFonts w:ascii="Arial" w:eastAsia="Calibri" w:hAnsi="Arial" w:cs="Arial"/>
                <w:sz w:val="24"/>
                <w:szCs w:val="24"/>
              </w:rPr>
            </w:pPr>
          </w:p>
        </w:tc>
        <w:tc>
          <w:tcPr>
            <w:tcW w:w="884" w:type="dxa"/>
          </w:tcPr>
          <w:p w14:paraId="4138561C" w14:textId="77777777" w:rsidR="00FE1CA4" w:rsidRPr="00DA4649" w:rsidRDefault="00FE1CA4" w:rsidP="00FE1CA4">
            <w:pPr>
              <w:spacing w:after="0" w:line="240" w:lineRule="auto"/>
              <w:jc w:val="right"/>
              <w:rPr>
                <w:rFonts w:ascii="Arial" w:eastAsia="Calibri" w:hAnsi="Arial" w:cs="Arial"/>
                <w:sz w:val="24"/>
                <w:szCs w:val="24"/>
              </w:rPr>
            </w:pPr>
          </w:p>
        </w:tc>
        <w:tc>
          <w:tcPr>
            <w:tcW w:w="256" w:type="dxa"/>
          </w:tcPr>
          <w:p w14:paraId="294C5A6C" w14:textId="77777777" w:rsidR="00FE1CA4" w:rsidRPr="00D86BC8" w:rsidRDefault="00FE1CA4" w:rsidP="00FE1CA4">
            <w:pPr>
              <w:spacing w:after="0" w:line="240" w:lineRule="auto"/>
              <w:jc w:val="center"/>
              <w:rPr>
                <w:rFonts w:ascii="Arial" w:eastAsia="Calibri" w:hAnsi="Arial" w:cs="Arial"/>
                <w:sz w:val="24"/>
                <w:szCs w:val="24"/>
              </w:rPr>
            </w:pPr>
          </w:p>
        </w:tc>
      </w:tr>
      <w:tr w:rsidR="00FE1CA4" w:rsidRPr="00625123" w14:paraId="7AF21ACF" w14:textId="77777777" w:rsidTr="00FE1CA4">
        <w:tc>
          <w:tcPr>
            <w:tcW w:w="1017" w:type="dxa"/>
          </w:tcPr>
          <w:p w14:paraId="32D87649" w14:textId="77777777" w:rsidR="00FE1CA4" w:rsidRPr="00DA4649" w:rsidRDefault="00FE1CA4" w:rsidP="00FE1CA4">
            <w:pPr>
              <w:spacing w:after="0" w:line="240" w:lineRule="auto"/>
              <w:jc w:val="center"/>
              <w:rPr>
                <w:rFonts w:ascii="Arial" w:eastAsia="Calibri" w:hAnsi="Arial" w:cs="Arial"/>
                <w:sz w:val="24"/>
                <w:szCs w:val="24"/>
              </w:rPr>
            </w:pPr>
            <w:r w:rsidRPr="00DA4649">
              <w:rPr>
                <w:rFonts w:ascii="Arial" w:hAnsi="Arial" w:cs="Arial"/>
                <w:sz w:val="24"/>
                <w:szCs w:val="24"/>
              </w:rPr>
              <w:t>X-1</w:t>
            </w:r>
          </w:p>
          <w:p w14:paraId="353EA211" w14:textId="77777777" w:rsidR="00FE1CA4" w:rsidRPr="00DA4649" w:rsidRDefault="00FE1CA4" w:rsidP="00FE1CA4">
            <w:pPr>
              <w:spacing w:after="0" w:line="240" w:lineRule="auto"/>
              <w:jc w:val="center"/>
              <w:rPr>
                <w:rFonts w:ascii="Arial" w:eastAsia="Calibri" w:hAnsi="Arial" w:cs="Arial"/>
                <w:sz w:val="24"/>
                <w:szCs w:val="24"/>
              </w:rPr>
            </w:pPr>
          </w:p>
        </w:tc>
        <w:tc>
          <w:tcPr>
            <w:tcW w:w="7455" w:type="dxa"/>
          </w:tcPr>
          <w:p w14:paraId="3EDC2DF5" w14:textId="77777777" w:rsidR="00FE1CA4" w:rsidRPr="00DA4649" w:rsidRDefault="00FE1CA4" w:rsidP="00FE1CA4">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FirstEnergy Pennsylvania Companies’ Meter Read Rates and Error Rates - For the Years 2009 through 2013</w:t>
            </w:r>
          </w:p>
        </w:tc>
        <w:tc>
          <w:tcPr>
            <w:tcW w:w="884" w:type="dxa"/>
          </w:tcPr>
          <w:p w14:paraId="1FDBEA4B" w14:textId="77777777" w:rsidR="00FE1CA4" w:rsidRPr="00DA4649" w:rsidRDefault="00DA4649" w:rsidP="00FE1CA4">
            <w:pPr>
              <w:spacing w:after="0" w:line="240" w:lineRule="auto"/>
              <w:jc w:val="right"/>
              <w:rPr>
                <w:rFonts w:ascii="Arial" w:eastAsia="Calibri" w:hAnsi="Arial" w:cs="Arial"/>
                <w:sz w:val="24"/>
                <w:szCs w:val="24"/>
              </w:rPr>
            </w:pPr>
            <w:r>
              <w:rPr>
                <w:rFonts w:ascii="Arial" w:eastAsia="Calibri" w:hAnsi="Arial" w:cs="Arial"/>
                <w:sz w:val="24"/>
                <w:szCs w:val="24"/>
              </w:rPr>
              <w:t>57</w:t>
            </w:r>
          </w:p>
        </w:tc>
        <w:tc>
          <w:tcPr>
            <w:tcW w:w="256" w:type="dxa"/>
          </w:tcPr>
          <w:p w14:paraId="52B8145D" w14:textId="77777777" w:rsidR="00FE1CA4" w:rsidRPr="00D86BC8" w:rsidRDefault="00FE1CA4" w:rsidP="00FE1CA4">
            <w:pPr>
              <w:spacing w:after="0" w:line="240" w:lineRule="auto"/>
              <w:jc w:val="center"/>
              <w:rPr>
                <w:rFonts w:ascii="Arial" w:eastAsia="Calibri" w:hAnsi="Arial" w:cs="Arial"/>
                <w:sz w:val="24"/>
                <w:szCs w:val="24"/>
              </w:rPr>
            </w:pPr>
          </w:p>
        </w:tc>
      </w:tr>
      <w:tr w:rsidR="00FE1CA4" w:rsidRPr="00625123" w14:paraId="211AB212" w14:textId="77777777" w:rsidTr="00FE1CA4">
        <w:tc>
          <w:tcPr>
            <w:tcW w:w="1017" w:type="dxa"/>
          </w:tcPr>
          <w:p w14:paraId="34FB6E09" w14:textId="77777777" w:rsidR="00FE1CA4" w:rsidRPr="00DA4649" w:rsidRDefault="00FE1CA4" w:rsidP="00FE1CA4">
            <w:pPr>
              <w:spacing w:after="0" w:line="240" w:lineRule="auto"/>
              <w:jc w:val="center"/>
              <w:rPr>
                <w:rFonts w:ascii="Arial" w:hAnsi="Arial" w:cs="Arial"/>
                <w:sz w:val="24"/>
                <w:szCs w:val="24"/>
              </w:rPr>
            </w:pPr>
          </w:p>
        </w:tc>
        <w:tc>
          <w:tcPr>
            <w:tcW w:w="7455" w:type="dxa"/>
          </w:tcPr>
          <w:p w14:paraId="2CB92C68" w14:textId="77777777" w:rsidR="00FE1CA4" w:rsidRPr="00DA4649" w:rsidRDefault="00FE1CA4" w:rsidP="00FE1CA4">
            <w:pPr>
              <w:spacing w:after="0" w:line="240" w:lineRule="auto"/>
              <w:ind w:left="405" w:hanging="405"/>
              <w:rPr>
                <w:rFonts w:ascii="Arial" w:eastAsia="Calibri" w:hAnsi="Arial" w:cs="Arial"/>
                <w:sz w:val="24"/>
                <w:szCs w:val="24"/>
              </w:rPr>
            </w:pPr>
          </w:p>
        </w:tc>
        <w:tc>
          <w:tcPr>
            <w:tcW w:w="884" w:type="dxa"/>
          </w:tcPr>
          <w:p w14:paraId="56E96327" w14:textId="77777777" w:rsidR="00FE1CA4" w:rsidRPr="00DA4649" w:rsidRDefault="00FE1CA4" w:rsidP="00FE1CA4">
            <w:pPr>
              <w:spacing w:after="0" w:line="240" w:lineRule="auto"/>
              <w:jc w:val="right"/>
              <w:rPr>
                <w:rFonts w:ascii="Arial" w:eastAsia="Calibri" w:hAnsi="Arial" w:cs="Arial"/>
                <w:sz w:val="24"/>
                <w:szCs w:val="24"/>
              </w:rPr>
            </w:pPr>
          </w:p>
        </w:tc>
        <w:tc>
          <w:tcPr>
            <w:tcW w:w="256" w:type="dxa"/>
          </w:tcPr>
          <w:p w14:paraId="528DB30C" w14:textId="77777777" w:rsidR="00FE1CA4" w:rsidRPr="00D86BC8" w:rsidRDefault="00FE1CA4" w:rsidP="00FE1CA4">
            <w:pPr>
              <w:spacing w:after="0" w:line="240" w:lineRule="auto"/>
              <w:jc w:val="center"/>
              <w:rPr>
                <w:rFonts w:ascii="Arial" w:eastAsia="Calibri" w:hAnsi="Arial" w:cs="Arial"/>
                <w:sz w:val="24"/>
                <w:szCs w:val="24"/>
              </w:rPr>
            </w:pPr>
          </w:p>
        </w:tc>
      </w:tr>
      <w:tr w:rsidR="00FE1CA4" w:rsidRPr="00625123" w14:paraId="27E0BE24" w14:textId="77777777" w:rsidTr="00FE1CA4">
        <w:tc>
          <w:tcPr>
            <w:tcW w:w="1017" w:type="dxa"/>
          </w:tcPr>
          <w:p w14:paraId="182E26CC" w14:textId="77777777" w:rsidR="00FE1CA4" w:rsidRPr="00DA4649" w:rsidRDefault="00FE1CA4" w:rsidP="00FE1CA4">
            <w:pPr>
              <w:spacing w:after="0" w:line="240" w:lineRule="auto"/>
              <w:jc w:val="center"/>
              <w:rPr>
                <w:rFonts w:ascii="Arial" w:hAnsi="Arial" w:cs="Arial"/>
                <w:sz w:val="24"/>
                <w:szCs w:val="24"/>
              </w:rPr>
            </w:pPr>
            <w:r w:rsidRPr="00DA4649">
              <w:rPr>
                <w:rFonts w:ascii="Arial" w:hAnsi="Arial" w:cs="Arial"/>
                <w:sz w:val="24"/>
                <w:szCs w:val="24"/>
              </w:rPr>
              <w:t>X-2</w:t>
            </w:r>
          </w:p>
        </w:tc>
        <w:tc>
          <w:tcPr>
            <w:tcW w:w="7455" w:type="dxa"/>
          </w:tcPr>
          <w:p w14:paraId="3D9313CF" w14:textId="77777777" w:rsidR="00FE1CA4" w:rsidRPr="00DA4649" w:rsidRDefault="00FE1CA4" w:rsidP="00FE1CA4">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FirstEnergy Pennsylvania Companies’ Meter Reader Staffing Levels - For the Years 2014 through 2017</w:t>
            </w:r>
          </w:p>
        </w:tc>
        <w:tc>
          <w:tcPr>
            <w:tcW w:w="884" w:type="dxa"/>
          </w:tcPr>
          <w:p w14:paraId="4E6BD2C7" w14:textId="77777777" w:rsidR="00FE1CA4" w:rsidRPr="00DA4649" w:rsidRDefault="00DA4649" w:rsidP="00FE1CA4">
            <w:pPr>
              <w:spacing w:after="0" w:line="240" w:lineRule="auto"/>
              <w:jc w:val="right"/>
              <w:rPr>
                <w:rFonts w:ascii="Arial" w:eastAsia="Calibri" w:hAnsi="Arial" w:cs="Arial"/>
                <w:sz w:val="24"/>
                <w:szCs w:val="24"/>
              </w:rPr>
            </w:pPr>
            <w:r>
              <w:rPr>
                <w:rFonts w:ascii="Arial" w:eastAsia="Calibri" w:hAnsi="Arial" w:cs="Arial"/>
                <w:sz w:val="24"/>
                <w:szCs w:val="24"/>
              </w:rPr>
              <w:t>58</w:t>
            </w:r>
          </w:p>
        </w:tc>
        <w:tc>
          <w:tcPr>
            <w:tcW w:w="256" w:type="dxa"/>
          </w:tcPr>
          <w:p w14:paraId="1981E952" w14:textId="77777777" w:rsidR="00FE1CA4" w:rsidRPr="00D86BC8" w:rsidRDefault="00FE1CA4" w:rsidP="00FE1CA4">
            <w:pPr>
              <w:spacing w:after="0" w:line="240" w:lineRule="auto"/>
              <w:jc w:val="center"/>
              <w:rPr>
                <w:rFonts w:ascii="Arial" w:eastAsia="Calibri" w:hAnsi="Arial" w:cs="Arial"/>
                <w:sz w:val="24"/>
                <w:szCs w:val="24"/>
              </w:rPr>
            </w:pPr>
          </w:p>
        </w:tc>
      </w:tr>
      <w:tr w:rsidR="00FE1CA4" w:rsidRPr="00625123" w14:paraId="7093C10B" w14:textId="77777777" w:rsidTr="00FE1CA4">
        <w:tc>
          <w:tcPr>
            <w:tcW w:w="1017" w:type="dxa"/>
          </w:tcPr>
          <w:p w14:paraId="73EB2C43" w14:textId="77777777" w:rsidR="00FE1CA4" w:rsidRPr="00DA4649" w:rsidRDefault="00FE1CA4" w:rsidP="00FE1CA4">
            <w:pPr>
              <w:spacing w:after="0" w:line="240" w:lineRule="auto"/>
              <w:jc w:val="center"/>
              <w:rPr>
                <w:rFonts w:ascii="Arial" w:hAnsi="Arial" w:cs="Arial"/>
                <w:sz w:val="24"/>
                <w:szCs w:val="24"/>
              </w:rPr>
            </w:pPr>
          </w:p>
        </w:tc>
        <w:tc>
          <w:tcPr>
            <w:tcW w:w="7455" w:type="dxa"/>
          </w:tcPr>
          <w:p w14:paraId="200E0798" w14:textId="77777777" w:rsidR="00FE1CA4" w:rsidRPr="00DA4649" w:rsidRDefault="00FE1CA4" w:rsidP="00FE1CA4">
            <w:pPr>
              <w:spacing w:after="0" w:line="240" w:lineRule="auto"/>
              <w:ind w:left="405" w:hanging="405"/>
              <w:rPr>
                <w:rFonts w:ascii="Arial" w:eastAsia="Calibri" w:hAnsi="Arial" w:cs="Arial"/>
                <w:sz w:val="24"/>
                <w:szCs w:val="24"/>
              </w:rPr>
            </w:pPr>
          </w:p>
        </w:tc>
        <w:tc>
          <w:tcPr>
            <w:tcW w:w="884" w:type="dxa"/>
          </w:tcPr>
          <w:p w14:paraId="5546126E" w14:textId="77777777" w:rsidR="00FE1CA4" w:rsidRPr="00DA4649" w:rsidRDefault="00FE1CA4" w:rsidP="00FE1CA4">
            <w:pPr>
              <w:spacing w:after="0" w:line="240" w:lineRule="auto"/>
              <w:jc w:val="right"/>
              <w:rPr>
                <w:rFonts w:ascii="Arial" w:eastAsia="Calibri" w:hAnsi="Arial" w:cs="Arial"/>
                <w:sz w:val="24"/>
                <w:szCs w:val="24"/>
              </w:rPr>
            </w:pPr>
          </w:p>
        </w:tc>
        <w:tc>
          <w:tcPr>
            <w:tcW w:w="256" w:type="dxa"/>
          </w:tcPr>
          <w:p w14:paraId="7C3DF959" w14:textId="77777777" w:rsidR="00FE1CA4" w:rsidRPr="00D86BC8" w:rsidRDefault="00FE1CA4" w:rsidP="00FE1CA4">
            <w:pPr>
              <w:spacing w:after="0" w:line="240" w:lineRule="auto"/>
              <w:jc w:val="center"/>
              <w:rPr>
                <w:rFonts w:ascii="Arial" w:eastAsia="Calibri" w:hAnsi="Arial" w:cs="Arial"/>
                <w:sz w:val="24"/>
                <w:szCs w:val="24"/>
              </w:rPr>
            </w:pPr>
          </w:p>
        </w:tc>
      </w:tr>
      <w:tr w:rsidR="00FE1CA4" w:rsidRPr="006F27F8" w14:paraId="200CF966" w14:textId="77777777" w:rsidTr="00FE1CA4">
        <w:tc>
          <w:tcPr>
            <w:tcW w:w="1017" w:type="dxa"/>
          </w:tcPr>
          <w:p w14:paraId="6F61AA9F" w14:textId="77777777" w:rsidR="00FE1CA4" w:rsidRPr="00DA4649" w:rsidRDefault="00FE1CA4" w:rsidP="00FE1CA4">
            <w:pPr>
              <w:spacing w:after="0" w:line="240" w:lineRule="auto"/>
              <w:jc w:val="center"/>
              <w:rPr>
                <w:rFonts w:ascii="Arial" w:hAnsi="Arial" w:cs="Arial"/>
                <w:sz w:val="24"/>
                <w:szCs w:val="24"/>
              </w:rPr>
            </w:pPr>
            <w:r w:rsidRPr="00DA4649">
              <w:rPr>
                <w:rFonts w:ascii="Arial" w:hAnsi="Arial" w:cs="Arial"/>
                <w:sz w:val="24"/>
                <w:szCs w:val="24"/>
              </w:rPr>
              <w:t>X-3</w:t>
            </w:r>
          </w:p>
        </w:tc>
        <w:tc>
          <w:tcPr>
            <w:tcW w:w="7455" w:type="dxa"/>
          </w:tcPr>
          <w:p w14:paraId="10DB77B2" w14:textId="77777777" w:rsidR="00FE1CA4" w:rsidRPr="00DA4649" w:rsidRDefault="00FE1CA4" w:rsidP="00FE1CA4">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FirstEnergy Pennsylvania Companies’ Status of Smart Meter Deployment - As of January 1, 2018</w:t>
            </w:r>
          </w:p>
        </w:tc>
        <w:tc>
          <w:tcPr>
            <w:tcW w:w="884" w:type="dxa"/>
          </w:tcPr>
          <w:p w14:paraId="4E8BAAB9" w14:textId="77777777" w:rsidR="00FE1CA4" w:rsidRPr="00DA4649" w:rsidRDefault="00DA4649" w:rsidP="00FE1CA4">
            <w:pPr>
              <w:spacing w:after="0" w:line="240" w:lineRule="auto"/>
              <w:jc w:val="right"/>
              <w:rPr>
                <w:rFonts w:ascii="Arial" w:eastAsia="Calibri" w:hAnsi="Arial" w:cs="Arial"/>
                <w:sz w:val="24"/>
                <w:szCs w:val="24"/>
              </w:rPr>
            </w:pPr>
            <w:r>
              <w:rPr>
                <w:rFonts w:ascii="Arial" w:eastAsia="Calibri" w:hAnsi="Arial" w:cs="Arial"/>
                <w:sz w:val="24"/>
                <w:szCs w:val="24"/>
              </w:rPr>
              <w:t>58</w:t>
            </w:r>
          </w:p>
        </w:tc>
        <w:tc>
          <w:tcPr>
            <w:tcW w:w="256" w:type="dxa"/>
          </w:tcPr>
          <w:p w14:paraId="5F216AD9" w14:textId="77777777" w:rsidR="00FE1CA4" w:rsidRPr="00DA4649" w:rsidRDefault="00FE1CA4" w:rsidP="00FE1CA4">
            <w:pPr>
              <w:spacing w:after="0" w:line="240" w:lineRule="auto"/>
              <w:jc w:val="center"/>
              <w:rPr>
                <w:rFonts w:ascii="Arial" w:eastAsia="Calibri" w:hAnsi="Arial" w:cs="Arial"/>
                <w:sz w:val="24"/>
                <w:szCs w:val="24"/>
              </w:rPr>
            </w:pPr>
          </w:p>
        </w:tc>
      </w:tr>
    </w:tbl>
    <w:p w14:paraId="6D6FA597" w14:textId="77777777" w:rsidR="009C423B" w:rsidRDefault="009C423B" w:rsidP="00C1780D">
      <w:pPr>
        <w:spacing w:after="0" w:line="240" w:lineRule="auto"/>
        <w:jc w:val="center"/>
        <w:rPr>
          <w:rFonts w:ascii="Arial" w:eastAsia="Calibri" w:hAnsi="Arial" w:cs="Arial"/>
          <w:b/>
          <w:sz w:val="26"/>
          <w:szCs w:val="26"/>
          <w:u w:val="single"/>
        </w:rPr>
      </w:pPr>
    </w:p>
    <w:p w14:paraId="33FBAB3C" w14:textId="77777777" w:rsidR="009C423B" w:rsidRDefault="009C423B">
      <w:pPr>
        <w:rPr>
          <w:rFonts w:ascii="Arial" w:eastAsia="Calibri" w:hAnsi="Arial" w:cs="Arial"/>
          <w:b/>
          <w:sz w:val="26"/>
          <w:szCs w:val="26"/>
          <w:u w:val="single"/>
        </w:rPr>
      </w:pPr>
      <w:r>
        <w:rPr>
          <w:rFonts w:ascii="Arial" w:eastAsia="Calibri" w:hAnsi="Arial" w:cs="Arial"/>
          <w:b/>
          <w:sz w:val="26"/>
          <w:szCs w:val="26"/>
          <w:u w:val="single"/>
        </w:rPr>
        <w:br w:type="page"/>
      </w:r>
    </w:p>
    <w:p w14:paraId="041761E0" w14:textId="6F3088C4" w:rsidR="00C1780D" w:rsidRPr="00DA4649" w:rsidRDefault="00C1780D" w:rsidP="00C1780D">
      <w:pPr>
        <w:spacing w:after="0" w:line="240" w:lineRule="auto"/>
        <w:jc w:val="center"/>
        <w:rPr>
          <w:rFonts w:ascii="Arial" w:eastAsia="Calibri" w:hAnsi="Arial" w:cs="Arial"/>
          <w:b/>
          <w:sz w:val="26"/>
          <w:szCs w:val="26"/>
          <w:u w:val="single"/>
        </w:rPr>
      </w:pPr>
      <w:r w:rsidRPr="00DA4649">
        <w:rPr>
          <w:rFonts w:ascii="Arial" w:eastAsia="Calibri" w:hAnsi="Arial" w:cs="Arial"/>
          <w:b/>
          <w:sz w:val="26"/>
          <w:szCs w:val="26"/>
          <w:u w:val="single"/>
        </w:rPr>
        <w:t>LIST OF EXHIBITS (Continued)</w:t>
      </w:r>
    </w:p>
    <w:p w14:paraId="10128EE4" w14:textId="77777777" w:rsidR="003625CF" w:rsidRPr="00DA4649" w:rsidRDefault="003625CF" w:rsidP="00FE1CA4">
      <w:pPr>
        <w:spacing w:after="0" w:line="240" w:lineRule="auto"/>
        <w:rPr>
          <w:rFonts w:ascii="Arial" w:hAnsi="Arial" w:cs="Arial"/>
          <w:b/>
          <w:sz w:val="26"/>
          <w:szCs w:val="26"/>
        </w:rPr>
      </w:pPr>
    </w:p>
    <w:tbl>
      <w:tblPr>
        <w:tblW w:w="0" w:type="auto"/>
        <w:tblInd w:w="-252" w:type="dxa"/>
        <w:tblLook w:val="01E0" w:firstRow="1" w:lastRow="1" w:firstColumn="1" w:lastColumn="1" w:noHBand="0" w:noVBand="0"/>
      </w:tblPr>
      <w:tblGrid>
        <w:gridCol w:w="1017"/>
        <w:gridCol w:w="7455"/>
        <w:gridCol w:w="884"/>
        <w:gridCol w:w="256"/>
      </w:tblGrid>
      <w:tr w:rsidR="003625CF" w:rsidRPr="00DA4649" w14:paraId="2787BD8C" w14:textId="77777777" w:rsidTr="000F7C49">
        <w:tc>
          <w:tcPr>
            <w:tcW w:w="1017" w:type="dxa"/>
          </w:tcPr>
          <w:p w14:paraId="3300835E" w14:textId="77777777" w:rsidR="003625CF" w:rsidRPr="00414704" w:rsidRDefault="003625CF" w:rsidP="001D2FD7">
            <w:pPr>
              <w:spacing w:after="0" w:line="240" w:lineRule="auto"/>
              <w:jc w:val="center"/>
              <w:rPr>
                <w:rFonts w:ascii="Arial" w:eastAsia="Calibri" w:hAnsi="Arial" w:cs="Arial"/>
                <w:b/>
                <w:sz w:val="24"/>
                <w:szCs w:val="24"/>
                <w:u w:val="single"/>
              </w:rPr>
            </w:pPr>
            <w:r w:rsidRPr="00DA4649">
              <w:rPr>
                <w:rFonts w:ascii="Arial" w:eastAsia="Calibri" w:hAnsi="Arial" w:cs="Arial"/>
                <w:b/>
                <w:sz w:val="24"/>
                <w:szCs w:val="24"/>
                <w:u w:val="single"/>
              </w:rPr>
              <w:t>Exhibit</w:t>
            </w:r>
          </w:p>
        </w:tc>
        <w:tc>
          <w:tcPr>
            <w:tcW w:w="7455" w:type="dxa"/>
          </w:tcPr>
          <w:p w14:paraId="35BC6C04" w14:textId="77777777" w:rsidR="003625CF" w:rsidRPr="00DA4649" w:rsidRDefault="003625CF" w:rsidP="001D2FD7">
            <w:pPr>
              <w:spacing w:after="0" w:line="240" w:lineRule="auto"/>
              <w:jc w:val="center"/>
              <w:rPr>
                <w:rFonts w:ascii="Arial" w:eastAsia="Calibri" w:hAnsi="Arial" w:cs="Arial"/>
                <w:b/>
                <w:sz w:val="24"/>
                <w:szCs w:val="24"/>
              </w:rPr>
            </w:pPr>
          </w:p>
        </w:tc>
        <w:tc>
          <w:tcPr>
            <w:tcW w:w="884" w:type="dxa"/>
          </w:tcPr>
          <w:p w14:paraId="18889824" w14:textId="77777777" w:rsidR="003625CF" w:rsidRPr="00DA4649" w:rsidRDefault="003625CF" w:rsidP="001D2FD7">
            <w:pPr>
              <w:spacing w:after="0" w:line="240" w:lineRule="auto"/>
              <w:jc w:val="center"/>
              <w:rPr>
                <w:rFonts w:ascii="Arial" w:eastAsia="Calibri" w:hAnsi="Arial" w:cs="Arial"/>
                <w:b/>
                <w:sz w:val="24"/>
                <w:szCs w:val="24"/>
                <w:u w:val="single"/>
              </w:rPr>
            </w:pPr>
            <w:r w:rsidRPr="00DA4649">
              <w:rPr>
                <w:rFonts w:ascii="Arial" w:eastAsia="Calibri" w:hAnsi="Arial" w:cs="Arial"/>
                <w:b/>
                <w:sz w:val="24"/>
                <w:szCs w:val="24"/>
                <w:u w:val="single"/>
              </w:rPr>
              <w:t>Page</w:t>
            </w:r>
          </w:p>
        </w:tc>
        <w:tc>
          <w:tcPr>
            <w:tcW w:w="256" w:type="dxa"/>
          </w:tcPr>
          <w:p w14:paraId="4B4169E1" w14:textId="77777777" w:rsidR="003625CF" w:rsidRPr="00414704" w:rsidRDefault="003625CF" w:rsidP="001D2FD7">
            <w:pPr>
              <w:spacing w:after="0" w:line="240" w:lineRule="auto"/>
              <w:jc w:val="center"/>
              <w:rPr>
                <w:rFonts w:ascii="Arial" w:eastAsia="Calibri" w:hAnsi="Arial" w:cs="Arial"/>
                <w:b/>
                <w:sz w:val="24"/>
                <w:szCs w:val="24"/>
              </w:rPr>
            </w:pPr>
          </w:p>
        </w:tc>
      </w:tr>
      <w:tr w:rsidR="00DE1134" w:rsidRPr="00DA4649" w14:paraId="19D2FA52" w14:textId="77777777" w:rsidTr="000F7C49">
        <w:tc>
          <w:tcPr>
            <w:tcW w:w="1017" w:type="dxa"/>
          </w:tcPr>
          <w:p w14:paraId="1D7F716A" w14:textId="77777777" w:rsidR="00DE1134" w:rsidRPr="00414704" w:rsidRDefault="00DE1134" w:rsidP="001D2FD7">
            <w:pPr>
              <w:spacing w:after="0" w:line="240" w:lineRule="auto"/>
              <w:jc w:val="center"/>
              <w:rPr>
                <w:rFonts w:ascii="Arial" w:eastAsia="Calibri" w:hAnsi="Arial" w:cs="Arial"/>
                <w:sz w:val="24"/>
                <w:szCs w:val="24"/>
              </w:rPr>
            </w:pPr>
          </w:p>
        </w:tc>
        <w:tc>
          <w:tcPr>
            <w:tcW w:w="7455" w:type="dxa"/>
          </w:tcPr>
          <w:p w14:paraId="3D2EA2E9" w14:textId="77777777" w:rsidR="00DE1134" w:rsidRPr="00414704" w:rsidRDefault="00DE1134" w:rsidP="001D2FD7">
            <w:pPr>
              <w:spacing w:after="0" w:line="240" w:lineRule="auto"/>
              <w:rPr>
                <w:rFonts w:ascii="Arial" w:eastAsia="Calibri" w:hAnsi="Arial" w:cs="Arial"/>
                <w:sz w:val="24"/>
                <w:szCs w:val="24"/>
              </w:rPr>
            </w:pPr>
          </w:p>
        </w:tc>
        <w:tc>
          <w:tcPr>
            <w:tcW w:w="884" w:type="dxa"/>
          </w:tcPr>
          <w:p w14:paraId="412C8F59" w14:textId="77777777" w:rsidR="00DE1134" w:rsidRPr="00414704" w:rsidRDefault="00DE1134" w:rsidP="001D2FD7">
            <w:pPr>
              <w:spacing w:after="0" w:line="240" w:lineRule="auto"/>
              <w:jc w:val="right"/>
              <w:rPr>
                <w:rFonts w:ascii="Arial" w:eastAsia="Calibri" w:hAnsi="Arial" w:cs="Arial"/>
                <w:b/>
                <w:sz w:val="24"/>
                <w:szCs w:val="24"/>
              </w:rPr>
            </w:pPr>
          </w:p>
        </w:tc>
        <w:tc>
          <w:tcPr>
            <w:tcW w:w="256" w:type="dxa"/>
          </w:tcPr>
          <w:p w14:paraId="658426D7" w14:textId="77777777" w:rsidR="00DE1134" w:rsidRPr="00414704" w:rsidRDefault="00DE1134" w:rsidP="001D2FD7">
            <w:pPr>
              <w:spacing w:after="0" w:line="240" w:lineRule="auto"/>
              <w:jc w:val="center"/>
              <w:rPr>
                <w:rFonts w:ascii="Arial" w:eastAsia="Calibri" w:hAnsi="Arial" w:cs="Arial"/>
                <w:b/>
                <w:sz w:val="24"/>
                <w:szCs w:val="24"/>
              </w:rPr>
            </w:pPr>
          </w:p>
        </w:tc>
      </w:tr>
      <w:tr w:rsidR="00DE1134" w:rsidRPr="00DA4649" w14:paraId="5722FF1C" w14:textId="77777777" w:rsidTr="000F7C49">
        <w:tc>
          <w:tcPr>
            <w:tcW w:w="1017" w:type="dxa"/>
          </w:tcPr>
          <w:p w14:paraId="4DD9EB10" w14:textId="77777777" w:rsidR="00DE1134" w:rsidRPr="00414704" w:rsidRDefault="00DE1134" w:rsidP="001D2FD7">
            <w:pPr>
              <w:spacing w:after="0" w:line="240" w:lineRule="auto"/>
              <w:jc w:val="center"/>
              <w:rPr>
                <w:rFonts w:ascii="Arial" w:eastAsia="Calibri" w:hAnsi="Arial" w:cs="Arial"/>
                <w:sz w:val="24"/>
                <w:szCs w:val="24"/>
              </w:rPr>
            </w:pPr>
            <w:r w:rsidRPr="00414704">
              <w:rPr>
                <w:rFonts w:ascii="Arial" w:eastAsia="Calibri" w:hAnsi="Arial" w:cs="Arial"/>
                <w:sz w:val="24"/>
                <w:szCs w:val="24"/>
              </w:rPr>
              <w:t>X-4</w:t>
            </w:r>
          </w:p>
        </w:tc>
        <w:tc>
          <w:tcPr>
            <w:tcW w:w="7455" w:type="dxa"/>
          </w:tcPr>
          <w:p w14:paraId="3C1BA565" w14:textId="77777777" w:rsidR="00DE1134" w:rsidRPr="00414704" w:rsidRDefault="00DE1134" w:rsidP="00414704">
            <w:pPr>
              <w:spacing w:after="0" w:line="240" w:lineRule="auto"/>
              <w:ind w:left="390" w:hanging="450"/>
              <w:rPr>
                <w:rFonts w:ascii="Arial" w:eastAsia="Calibri" w:hAnsi="Arial" w:cs="Arial"/>
                <w:sz w:val="24"/>
                <w:szCs w:val="24"/>
              </w:rPr>
            </w:pPr>
            <w:r w:rsidRPr="00DA4649">
              <w:rPr>
                <w:rFonts w:ascii="Arial" w:eastAsia="Calibri" w:hAnsi="Arial" w:cs="Arial"/>
                <w:sz w:val="24"/>
                <w:szCs w:val="24"/>
              </w:rPr>
              <w:t>FirstEnergy Pennsylvania Companies’ Meter Read Rates and Error Rates - For the Years 2014 through 2017</w:t>
            </w:r>
          </w:p>
        </w:tc>
        <w:tc>
          <w:tcPr>
            <w:tcW w:w="884" w:type="dxa"/>
          </w:tcPr>
          <w:p w14:paraId="0BA4F2B4" w14:textId="77777777" w:rsidR="00DE1134" w:rsidRPr="00414704" w:rsidRDefault="00DA4649" w:rsidP="001D2FD7">
            <w:pPr>
              <w:spacing w:after="0" w:line="240" w:lineRule="auto"/>
              <w:jc w:val="right"/>
              <w:rPr>
                <w:rFonts w:ascii="Arial" w:eastAsia="Calibri" w:hAnsi="Arial" w:cs="Arial"/>
                <w:sz w:val="24"/>
                <w:szCs w:val="24"/>
              </w:rPr>
            </w:pPr>
            <w:r w:rsidRPr="00414704">
              <w:rPr>
                <w:rFonts w:ascii="Arial" w:eastAsia="Calibri" w:hAnsi="Arial" w:cs="Arial"/>
                <w:sz w:val="24"/>
                <w:szCs w:val="24"/>
              </w:rPr>
              <w:t>59</w:t>
            </w:r>
          </w:p>
        </w:tc>
        <w:tc>
          <w:tcPr>
            <w:tcW w:w="256" w:type="dxa"/>
          </w:tcPr>
          <w:p w14:paraId="51FFA327" w14:textId="77777777" w:rsidR="00DE1134" w:rsidRPr="00414704" w:rsidRDefault="00DE1134" w:rsidP="001D2FD7">
            <w:pPr>
              <w:spacing w:after="0" w:line="240" w:lineRule="auto"/>
              <w:jc w:val="center"/>
              <w:rPr>
                <w:rFonts w:ascii="Arial" w:eastAsia="Calibri" w:hAnsi="Arial" w:cs="Arial"/>
                <w:b/>
                <w:sz w:val="24"/>
                <w:szCs w:val="24"/>
              </w:rPr>
            </w:pPr>
          </w:p>
        </w:tc>
      </w:tr>
      <w:tr w:rsidR="003625CF" w:rsidRPr="00DA4649" w14:paraId="7B011D20" w14:textId="77777777" w:rsidTr="000F7C49">
        <w:tc>
          <w:tcPr>
            <w:tcW w:w="1017" w:type="dxa"/>
          </w:tcPr>
          <w:p w14:paraId="74A1BD3F" w14:textId="77777777" w:rsidR="003625CF" w:rsidRPr="00414704" w:rsidRDefault="003625CF" w:rsidP="001D2FD7">
            <w:pPr>
              <w:spacing w:after="0" w:line="240" w:lineRule="auto"/>
              <w:jc w:val="center"/>
              <w:rPr>
                <w:rFonts w:ascii="Arial" w:eastAsia="Calibri" w:hAnsi="Arial" w:cs="Arial"/>
                <w:sz w:val="24"/>
                <w:szCs w:val="24"/>
              </w:rPr>
            </w:pPr>
          </w:p>
        </w:tc>
        <w:tc>
          <w:tcPr>
            <w:tcW w:w="7455" w:type="dxa"/>
          </w:tcPr>
          <w:p w14:paraId="7BE5FF30" w14:textId="77777777" w:rsidR="003625CF" w:rsidRPr="00414704" w:rsidRDefault="003625CF" w:rsidP="001D2FD7">
            <w:pPr>
              <w:spacing w:after="0" w:line="240" w:lineRule="auto"/>
              <w:rPr>
                <w:rFonts w:ascii="Arial" w:eastAsia="Calibri" w:hAnsi="Arial" w:cs="Arial"/>
                <w:sz w:val="24"/>
                <w:szCs w:val="24"/>
              </w:rPr>
            </w:pPr>
          </w:p>
        </w:tc>
        <w:tc>
          <w:tcPr>
            <w:tcW w:w="884" w:type="dxa"/>
          </w:tcPr>
          <w:p w14:paraId="417BC475" w14:textId="77777777" w:rsidR="003625CF" w:rsidRPr="00414704" w:rsidRDefault="003625CF" w:rsidP="001D2FD7">
            <w:pPr>
              <w:spacing w:after="0" w:line="240" w:lineRule="auto"/>
              <w:jc w:val="right"/>
              <w:rPr>
                <w:rFonts w:ascii="Arial" w:eastAsia="Calibri" w:hAnsi="Arial" w:cs="Arial"/>
                <w:b/>
                <w:sz w:val="24"/>
                <w:szCs w:val="24"/>
              </w:rPr>
            </w:pPr>
          </w:p>
        </w:tc>
        <w:tc>
          <w:tcPr>
            <w:tcW w:w="256" w:type="dxa"/>
          </w:tcPr>
          <w:p w14:paraId="442C8542" w14:textId="77777777" w:rsidR="003625CF" w:rsidRPr="00414704" w:rsidRDefault="003625CF" w:rsidP="001D2FD7">
            <w:pPr>
              <w:spacing w:after="0" w:line="240" w:lineRule="auto"/>
              <w:jc w:val="center"/>
              <w:rPr>
                <w:rFonts w:ascii="Arial" w:eastAsia="Calibri" w:hAnsi="Arial" w:cs="Arial"/>
                <w:b/>
                <w:sz w:val="24"/>
                <w:szCs w:val="24"/>
              </w:rPr>
            </w:pPr>
          </w:p>
        </w:tc>
      </w:tr>
      <w:tr w:rsidR="003625CF" w:rsidRPr="00DA4649" w14:paraId="27F4CFBB" w14:textId="77777777" w:rsidTr="000F7C49">
        <w:tc>
          <w:tcPr>
            <w:tcW w:w="1017" w:type="dxa"/>
          </w:tcPr>
          <w:p w14:paraId="74C740E5" w14:textId="77777777" w:rsidR="003625CF" w:rsidRPr="00DA4649" w:rsidRDefault="001D2FD7" w:rsidP="001D2FD7">
            <w:pPr>
              <w:spacing w:after="0" w:line="240" w:lineRule="auto"/>
              <w:jc w:val="center"/>
              <w:rPr>
                <w:rFonts w:ascii="Arial" w:eastAsia="Calibri" w:hAnsi="Arial" w:cs="Arial"/>
                <w:sz w:val="24"/>
                <w:szCs w:val="24"/>
              </w:rPr>
            </w:pPr>
            <w:r w:rsidRPr="00DA4649">
              <w:rPr>
                <w:rFonts w:ascii="Arial" w:eastAsia="Calibri" w:hAnsi="Arial" w:cs="Arial"/>
                <w:sz w:val="24"/>
                <w:szCs w:val="24"/>
              </w:rPr>
              <w:t>X-5</w:t>
            </w:r>
          </w:p>
        </w:tc>
        <w:tc>
          <w:tcPr>
            <w:tcW w:w="7455" w:type="dxa"/>
          </w:tcPr>
          <w:p w14:paraId="1B117D2A" w14:textId="77777777" w:rsidR="001D2FD7" w:rsidRPr="00DA4649" w:rsidRDefault="001D2FD7" w:rsidP="001D2FD7">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FirstEnergy Pennsylvania Companies vs. Panel Average</w:t>
            </w:r>
          </w:p>
          <w:p w14:paraId="08FB845C" w14:textId="77777777" w:rsidR="003625CF" w:rsidRPr="00DA4649" w:rsidRDefault="001D2FD7" w:rsidP="001D2FD7">
            <w:pPr>
              <w:spacing w:after="0" w:line="240" w:lineRule="auto"/>
              <w:ind w:left="390"/>
              <w:rPr>
                <w:rFonts w:ascii="Arial" w:eastAsia="Calibri" w:hAnsi="Arial" w:cs="Arial"/>
                <w:sz w:val="24"/>
                <w:szCs w:val="24"/>
              </w:rPr>
            </w:pPr>
            <w:r w:rsidRPr="00DA4649">
              <w:rPr>
                <w:rFonts w:ascii="Arial" w:eastAsia="Calibri" w:hAnsi="Arial" w:cs="Arial"/>
                <w:sz w:val="24"/>
                <w:szCs w:val="24"/>
              </w:rPr>
              <w:t>Percentage and Number of Meters Not Read in Six Months - For the Years 2014 through 2016</w:t>
            </w:r>
          </w:p>
        </w:tc>
        <w:tc>
          <w:tcPr>
            <w:tcW w:w="884" w:type="dxa"/>
          </w:tcPr>
          <w:p w14:paraId="34117791" w14:textId="77777777" w:rsidR="003625CF" w:rsidRPr="00DA4649" w:rsidRDefault="006E496B" w:rsidP="001D2FD7">
            <w:pPr>
              <w:spacing w:after="0" w:line="240" w:lineRule="auto"/>
              <w:jc w:val="right"/>
              <w:rPr>
                <w:rFonts w:ascii="Arial" w:eastAsia="Calibri" w:hAnsi="Arial" w:cs="Arial"/>
                <w:sz w:val="24"/>
                <w:szCs w:val="24"/>
              </w:rPr>
            </w:pPr>
            <w:r w:rsidRPr="00DA4649">
              <w:rPr>
                <w:rFonts w:ascii="Arial" w:eastAsia="Calibri" w:hAnsi="Arial" w:cs="Arial"/>
                <w:sz w:val="24"/>
                <w:szCs w:val="24"/>
              </w:rPr>
              <w:t>6</w:t>
            </w:r>
            <w:r w:rsidR="00DA4649">
              <w:rPr>
                <w:rFonts w:ascii="Arial" w:eastAsia="Calibri" w:hAnsi="Arial" w:cs="Arial"/>
                <w:sz w:val="24"/>
                <w:szCs w:val="24"/>
              </w:rPr>
              <w:t>1</w:t>
            </w:r>
          </w:p>
        </w:tc>
        <w:tc>
          <w:tcPr>
            <w:tcW w:w="256" w:type="dxa"/>
          </w:tcPr>
          <w:p w14:paraId="1D24CDB8" w14:textId="77777777" w:rsidR="003625CF" w:rsidRPr="00414704" w:rsidRDefault="003625CF" w:rsidP="001D2FD7">
            <w:pPr>
              <w:spacing w:after="0" w:line="240" w:lineRule="auto"/>
              <w:jc w:val="center"/>
              <w:rPr>
                <w:rFonts w:ascii="Arial" w:eastAsia="Calibri" w:hAnsi="Arial" w:cs="Arial"/>
                <w:b/>
                <w:sz w:val="24"/>
                <w:szCs w:val="24"/>
              </w:rPr>
            </w:pPr>
          </w:p>
        </w:tc>
      </w:tr>
      <w:tr w:rsidR="003625CF" w:rsidRPr="00DA4649" w14:paraId="62A8886D" w14:textId="77777777" w:rsidTr="000F7C49">
        <w:tc>
          <w:tcPr>
            <w:tcW w:w="1017" w:type="dxa"/>
          </w:tcPr>
          <w:p w14:paraId="75D20223" w14:textId="77777777" w:rsidR="003625CF" w:rsidRPr="00414704" w:rsidRDefault="003625CF" w:rsidP="001D2FD7">
            <w:pPr>
              <w:spacing w:after="0" w:line="240" w:lineRule="auto"/>
              <w:jc w:val="center"/>
              <w:rPr>
                <w:rFonts w:ascii="Arial" w:eastAsia="Calibri" w:hAnsi="Arial" w:cs="Arial"/>
                <w:sz w:val="24"/>
                <w:szCs w:val="24"/>
              </w:rPr>
            </w:pPr>
          </w:p>
        </w:tc>
        <w:tc>
          <w:tcPr>
            <w:tcW w:w="7455" w:type="dxa"/>
          </w:tcPr>
          <w:p w14:paraId="14A8E451" w14:textId="77777777" w:rsidR="003625CF" w:rsidRPr="00414704" w:rsidRDefault="003625CF" w:rsidP="001D2FD7">
            <w:pPr>
              <w:spacing w:after="0" w:line="240" w:lineRule="auto"/>
              <w:rPr>
                <w:rFonts w:ascii="Arial" w:eastAsia="Calibri" w:hAnsi="Arial" w:cs="Arial"/>
                <w:sz w:val="24"/>
                <w:szCs w:val="24"/>
              </w:rPr>
            </w:pPr>
          </w:p>
        </w:tc>
        <w:tc>
          <w:tcPr>
            <w:tcW w:w="884" w:type="dxa"/>
          </w:tcPr>
          <w:p w14:paraId="2E4BA49C" w14:textId="77777777" w:rsidR="003625CF" w:rsidRPr="00DA4649" w:rsidRDefault="003625CF" w:rsidP="001D2FD7">
            <w:pPr>
              <w:spacing w:after="0" w:line="240" w:lineRule="auto"/>
              <w:jc w:val="right"/>
              <w:rPr>
                <w:rFonts w:ascii="Arial" w:eastAsia="Calibri" w:hAnsi="Arial" w:cs="Arial"/>
                <w:b/>
                <w:sz w:val="24"/>
                <w:szCs w:val="24"/>
              </w:rPr>
            </w:pPr>
          </w:p>
        </w:tc>
        <w:tc>
          <w:tcPr>
            <w:tcW w:w="256" w:type="dxa"/>
          </w:tcPr>
          <w:p w14:paraId="26F6BC74" w14:textId="77777777" w:rsidR="003625CF" w:rsidRPr="00414704" w:rsidRDefault="003625CF" w:rsidP="001D2FD7">
            <w:pPr>
              <w:spacing w:after="0" w:line="240" w:lineRule="auto"/>
              <w:jc w:val="center"/>
              <w:rPr>
                <w:rFonts w:ascii="Arial" w:eastAsia="Calibri" w:hAnsi="Arial" w:cs="Arial"/>
                <w:b/>
                <w:sz w:val="24"/>
                <w:szCs w:val="24"/>
              </w:rPr>
            </w:pPr>
          </w:p>
        </w:tc>
      </w:tr>
      <w:tr w:rsidR="003625CF" w:rsidRPr="00DA4649" w14:paraId="3F8427B5" w14:textId="77777777" w:rsidTr="000F7C49">
        <w:tc>
          <w:tcPr>
            <w:tcW w:w="1017" w:type="dxa"/>
          </w:tcPr>
          <w:p w14:paraId="7686B914" w14:textId="77777777" w:rsidR="003625CF" w:rsidRPr="00DA4649" w:rsidRDefault="001D2FD7" w:rsidP="001D2FD7">
            <w:pPr>
              <w:spacing w:after="0" w:line="240" w:lineRule="auto"/>
              <w:jc w:val="center"/>
              <w:rPr>
                <w:rFonts w:ascii="Arial" w:eastAsia="Calibri" w:hAnsi="Arial" w:cs="Arial"/>
                <w:sz w:val="24"/>
                <w:szCs w:val="24"/>
              </w:rPr>
            </w:pPr>
            <w:r w:rsidRPr="00DA4649">
              <w:rPr>
                <w:rFonts w:ascii="Arial" w:eastAsia="Calibri" w:hAnsi="Arial" w:cs="Arial"/>
                <w:sz w:val="24"/>
                <w:szCs w:val="24"/>
              </w:rPr>
              <w:t>X-6</w:t>
            </w:r>
          </w:p>
        </w:tc>
        <w:tc>
          <w:tcPr>
            <w:tcW w:w="7455" w:type="dxa"/>
          </w:tcPr>
          <w:p w14:paraId="29771B4B" w14:textId="77777777" w:rsidR="003625CF" w:rsidRPr="00DA4649" w:rsidRDefault="001D2FD7" w:rsidP="001D2FD7">
            <w:pPr>
              <w:spacing w:after="0" w:line="240" w:lineRule="auto"/>
              <w:ind w:left="390" w:hanging="390"/>
              <w:rPr>
                <w:rFonts w:ascii="Arial" w:eastAsia="Calibri" w:hAnsi="Arial" w:cs="Arial"/>
                <w:sz w:val="24"/>
                <w:szCs w:val="24"/>
              </w:rPr>
            </w:pPr>
            <w:r w:rsidRPr="00DA4649">
              <w:rPr>
                <w:rFonts w:ascii="Arial" w:eastAsia="Calibri" w:hAnsi="Arial" w:cs="Arial"/>
                <w:sz w:val="24"/>
                <w:szCs w:val="24"/>
              </w:rPr>
              <w:t>FirstEnergy Pennsylvania Companies vs. Panel Average Percentage and Number of Meters Not Read in Twelve Months - - For the Years 2014 through 2016</w:t>
            </w:r>
          </w:p>
        </w:tc>
        <w:tc>
          <w:tcPr>
            <w:tcW w:w="884" w:type="dxa"/>
          </w:tcPr>
          <w:p w14:paraId="595EDCCB" w14:textId="77777777" w:rsidR="003625CF" w:rsidRPr="00DA4649" w:rsidRDefault="006E496B" w:rsidP="001D2FD7">
            <w:pPr>
              <w:spacing w:after="0" w:line="240" w:lineRule="auto"/>
              <w:jc w:val="right"/>
              <w:rPr>
                <w:rFonts w:ascii="Arial" w:eastAsia="Calibri" w:hAnsi="Arial" w:cs="Arial"/>
                <w:sz w:val="24"/>
                <w:szCs w:val="24"/>
              </w:rPr>
            </w:pPr>
            <w:r w:rsidRPr="00DA4649">
              <w:rPr>
                <w:rFonts w:ascii="Arial" w:eastAsia="Calibri" w:hAnsi="Arial" w:cs="Arial"/>
                <w:sz w:val="24"/>
                <w:szCs w:val="24"/>
              </w:rPr>
              <w:t>6</w:t>
            </w:r>
            <w:r w:rsidR="00DA4649">
              <w:rPr>
                <w:rFonts w:ascii="Arial" w:eastAsia="Calibri" w:hAnsi="Arial" w:cs="Arial"/>
                <w:sz w:val="24"/>
                <w:szCs w:val="24"/>
              </w:rPr>
              <w:t>2</w:t>
            </w:r>
          </w:p>
        </w:tc>
        <w:tc>
          <w:tcPr>
            <w:tcW w:w="256" w:type="dxa"/>
          </w:tcPr>
          <w:p w14:paraId="27493BB4" w14:textId="77777777" w:rsidR="003625CF" w:rsidRPr="00414704" w:rsidRDefault="003625CF" w:rsidP="001D2FD7">
            <w:pPr>
              <w:spacing w:after="0" w:line="240" w:lineRule="auto"/>
              <w:jc w:val="center"/>
              <w:rPr>
                <w:rFonts w:ascii="Arial" w:eastAsia="Calibri" w:hAnsi="Arial" w:cs="Arial"/>
                <w:sz w:val="24"/>
                <w:szCs w:val="24"/>
              </w:rPr>
            </w:pPr>
          </w:p>
        </w:tc>
      </w:tr>
      <w:tr w:rsidR="003625CF" w:rsidRPr="00DA4649" w14:paraId="2D27D47D" w14:textId="77777777" w:rsidTr="000F7C49">
        <w:tc>
          <w:tcPr>
            <w:tcW w:w="1017" w:type="dxa"/>
          </w:tcPr>
          <w:p w14:paraId="4BF410E3" w14:textId="77777777" w:rsidR="003625CF" w:rsidRPr="00414704" w:rsidRDefault="003625CF" w:rsidP="001D2FD7">
            <w:pPr>
              <w:spacing w:after="0" w:line="240" w:lineRule="auto"/>
              <w:jc w:val="center"/>
              <w:rPr>
                <w:rFonts w:ascii="Arial" w:eastAsia="Calibri" w:hAnsi="Arial" w:cs="Arial"/>
                <w:sz w:val="24"/>
                <w:szCs w:val="24"/>
              </w:rPr>
            </w:pPr>
          </w:p>
        </w:tc>
        <w:tc>
          <w:tcPr>
            <w:tcW w:w="7455" w:type="dxa"/>
          </w:tcPr>
          <w:p w14:paraId="6D38AEE7" w14:textId="77777777" w:rsidR="003625CF" w:rsidRPr="00414704" w:rsidRDefault="003625CF" w:rsidP="001D2FD7">
            <w:pPr>
              <w:spacing w:after="0" w:line="240" w:lineRule="auto"/>
              <w:rPr>
                <w:rFonts w:ascii="Arial" w:eastAsia="Calibri" w:hAnsi="Arial" w:cs="Arial"/>
                <w:sz w:val="24"/>
                <w:szCs w:val="24"/>
              </w:rPr>
            </w:pPr>
          </w:p>
        </w:tc>
        <w:tc>
          <w:tcPr>
            <w:tcW w:w="884" w:type="dxa"/>
          </w:tcPr>
          <w:p w14:paraId="329AB6F9" w14:textId="77777777" w:rsidR="003625CF" w:rsidRPr="00DA4649" w:rsidRDefault="003625CF" w:rsidP="001D2FD7">
            <w:pPr>
              <w:spacing w:after="0" w:line="240" w:lineRule="auto"/>
              <w:jc w:val="right"/>
              <w:rPr>
                <w:rFonts w:ascii="Arial" w:eastAsia="Calibri" w:hAnsi="Arial" w:cs="Arial"/>
                <w:sz w:val="24"/>
                <w:szCs w:val="24"/>
              </w:rPr>
            </w:pPr>
          </w:p>
        </w:tc>
        <w:tc>
          <w:tcPr>
            <w:tcW w:w="256" w:type="dxa"/>
          </w:tcPr>
          <w:p w14:paraId="746A4D63" w14:textId="77777777" w:rsidR="003625CF" w:rsidRPr="00414704" w:rsidRDefault="003625CF" w:rsidP="001D2FD7">
            <w:pPr>
              <w:spacing w:after="0" w:line="240" w:lineRule="auto"/>
              <w:jc w:val="center"/>
              <w:rPr>
                <w:rFonts w:ascii="Arial" w:eastAsia="Calibri" w:hAnsi="Arial" w:cs="Arial"/>
                <w:sz w:val="24"/>
                <w:szCs w:val="24"/>
              </w:rPr>
            </w:pPr>
          </w:p>
        </w:tc>
      </w:tr>
      <w:tr w:rsidR="003625CF" w:rsidRPr="00DA4649" w14:paraId="1FBF64B1" w14:textId="77777777" w:rsidTr="000F7C49">
        <w:tc>
          <w:tcPr>
            <w:tcW w:w="1017" w:type="dxa"/>
          </w:tcPr>
          <w:p w14:paraId="6C0F8D42" w14:textId="77777777" w:rsidR="003625CF" w:rsidRPr="00DA4649" w:rsidRDefault="001D2FD7" w:rsidP="001D2FD7">
            <w:pPr>
              <w:spacing w:after="0" w:line="240" w:lineRule="auto"/>
              <w:jc w:val="center"/>
              <w:rPr>
                <w:rFonts w:ascii="Arial" w:eastAsia="Calibri" w:hAnsi="Arial" w:cs="Arial"/>
                <w:sz w:val="24"/>
                <w:szCs w:val="24"/>
              </w:rPr>
            </w:pPr>
            <w:r w:rsidRPr="00DA4649">
              <w:rPr>
                <w:rFonts w:ascii="Arial" w:eastAsia="Calibri" w:hAnsi="Arial" w:cs="Arial"/>
                <w:sz w:val="24"/>
                <w:szCs w:val="24"/>
              </w:rPr>
              <w:t>X-7</w:t>
            </w:r>
          </w:p>
        </w:tc>
        <w:tc>
          <w:tcPr>
            <w:tcW w:w="7455" w:type="dxa"/>
          </w:tcPr>
          <w:p w14:paraId="2BAB129E" w14:textId="77777777" w:rsidR="003625CF" w:rsidRPr="00DA4649" w:rsidRDefault="001D2FD7" w:rsidP="001D2FD7">
            <w:pPr>
              <w:spacing w:after="0" w:line="240" w:lineRule="auto"/>
              <w:ind w:left="390" w:hanging="390"/>
              <w:rPr>
                <w:rFonts w:ascii="Arial" w:eastAsia="Calibri" w:hAnsi="Arial" w:cs="Arial"/>
                <w:sz w:val="24"/>
                <w:szCs w:val="24"/>
              </w:rPr>
            </w:pPr>
            <w:r w:rsidRPr="00DA4649">
              <w:rPr>
                <w:rFonts w:ascii="Arial" w:eastAsia="Calibri" w:hAnsi="Arial" w:cs="Arial"/>
                <w:sz w:val="24"/>
                <w:szCs w:val="24"/>
              </w:rPr>
              <w:t>FirstEnergy Pennsylvania Companies’ Billing Reversal Percentages - For the Years 2009 through 2013</w:t>
            </w:r>
          </w:p>
        </w:tc>
        <w:tc>
          <w:tcPr>
            <w:tcW w:w="884" w:type="dxa"/>
          </w:tcPr>
          <w:p w14:paraId="5CF5F1C4" w14:textId="77777777" w:rsidR="003625CF" w:rsidRPr="00DA4649" w:rsidRDefault="006E496B" w:rsidP="001D2FD7">
            <w:pPr>
              <w:spacing w:after="0" w:line="240" w:lineRule="auto"/>
              <w:jc w:val="right"/>
              <w:rPr>
                <w:rFonts w:ascii="Arial" w:eastAsia="Calibri" w:hAnsi="Arial" w:cs="Arial"/>
                <w:sz w:val="24"/>
                <w:szCs w:val="24"/>
              </w:rPr>
            </w:pPr>
            <w:r w:rsidRPr="00DA4649">
              <w:rPr>
                <w:rFonts w:ascii="Arial" w:eastAsia="Calibri" w:hAnsi="Arial" w:cs="Arial"/>
                <w:sz w:val="24"/>
                <w:szCs w:val="24"/>
              </w:rPr>
              <w:t>6</w:t>
            </w:r>
            <w:r w:rsidR="00DA4649">
              <w:rPr>
                <w:rFonts w:ascii="Arial" w:eastAsia="Calibri" w:hAnsi="Arial" w:cs="Arial"/>
                <w:sz w:val="24"/>
                <w:szCs w:val="24"/>
              </w:rPr>
              <w:t>3</w:t>
            </w:r>
          </w:p>
        </w:tc>
        <w:tc>
          <w:tcPr>
            <w:tcW w:w="256" w:type="dxa"/>
          </w:tcPr>
          <w:p w14:paraId="6248D926" w14:textId="77777777" w:rsidR="003625CF" w:rsidRPr="00414704" w:rsidRDefault="003625CF" w:rsidP="001D2FD7">
            <w:pPr>
              <w:spacing w:after="0" w:line="240" w:lineRule="auto"/>
              <w:jc w:val="center"/>
              <w:rPr>
                <w:rFonts w:ascii="Arial" w:eastAsia="Calibri" w:hAnsi="Arial" w:cs="Arial"/>
                <w:sz w:val="24"/>
                <w:szCs w:val="24"/>
              </w:rPr>
            </w:pPr>
          </w:p>
        </w:tc>
      </w:tr>
      <w:tr w:rsidR="003625CF" w:rsidRPr="00DA4649" w14:paraId="2739B6B5" w14:textId="77777777" w:rsidTr="000F7C49">
        <w:tc>
          <w:tcPr>
            <w:tcW w:w="1017" w:type="dxa"/>
          </w:tcPr>
          <w:p w14:paraId="0C86A4A2" w14:textId="77777777" w:rsidR="003625CF" w:rsidRPr="00414704" w:rsidRDefault="003625CF" w:rsidP="001D2FD7">
            <w:pPr>
              <w:spacing w:after="0" w:line="240" w:lineRule="auto"/>
              <w:jc w:val="center"/>
              <w:rPr>
                <w:rFonts w:ascii="Arial" w:eastAsia="Calibri" w:hAnsi="Arial" w:cs="Arial"/>
                <w:sz w:val="24"/>
                <w:szCs w:val="24"/>
              </w:rPr>
            </w:pPr>
          </w:p>
        </w:tc>
        <w:tc>
          <w:tcPr>
            <w:tcW w:w="7455" w:type="dxa"/>
          </w:tcPr>
          <w:p w14:paraId="24669586" w14:textId="77777777" w:rsidR="003625CF" w:rsidRPr="00414704" w:rsidRDefault="003625CF" w:rsidP="001D2FD7">
            <w:pPr>
              <w:spacing w:after="0" w:line="240" w:lineRule="auto"/>
              <w:rPr>
                <w:rFonts w:ascii="Arial" w:eastAsia="Calibri" w:hAnsi="Arial" w:cs="Arial"/>
                <w:sz w:val="24"/>
                <w:szCs w:val="24"/>
              </w:rPr>
            </w:pPr>
          </w:p>
        </w:tc>
        <w:tc>
          <w:tcPr>
            <w:tcW w:w="884" w:type="dxa"/>
          </w:tcPr>
          <w:p w14:paraId="0E82F1C7" w14:textId="77777777" w:rsidR="003625CF" w:rsidRPr="00DA4649" w:rsidRDefault="003625CF" w:rsidP="001D2FD7">
            <w:pPr>
              <w:spacing w:after="0" w:line="240" w:lineRule="auto"/>
              <w:jc w:val="right"/>
              <w:rPr>
                <w:rFonts w:ascii="Arial" w:eastAsia="Calibri" w:hAnsi="Arial" w:cs="Arial"/>
                <w:sz w:val="24"/>
                <w:szCs w:val="24"/>
              </w:rPr>
            </w:pPr>
          </w:p>
        </w:tc>
        <w:tc>
          <w:tcPr>
            <w:tcW w:w="256" w:type="dxa"/>
          </w:tcPr>
          <w:p w14:paraId="50820654" w14:textId="77777777" w:rsidR="003625CF" w:rsidRPr="00414704" w:rsidRDefault="003625CF" w:rsidP="001D2FD7">
            <w:pPr>
              <w:spacing w:after="0" w:line="240" w:lineRule="auto"/>
              <w:jc w:val="center"/>
              <w:rPr>
                <w:rFonts w:ascii="Arial" w:eastAsia="Calibri" w:hAnsi="Arial" w:cs="Arial"/>
                <w:sz w:val="24"/>
                <w:szCs w:val="24"/>
              </w:rPr>
            </w:pPr>
          </w:p>
        </w:tc>
      </w:tr>
      <w:tr w:rsidR="003625CF" w:rsidRPr="00DA4649" w14:paraId="013827A1" w14:textId="77777777" w:rsidTr="000F7C49">
        <w:tc>
          <w:tcPr>
            <w:tcW w:w="1017" w:type="dxa"/>
          </w:tcPr>
          <w:p w14:paraId="6C2310B2" w14:textId="77777777" w:rsidR="003625CF" w:rsidRPr="00DA4649" w:rsidRDefault="001D2FD7" w:rsidP="001D2FD7">
            <w:pPr>
              <w:spacing w:after="0" w:line="240" w:lineRule="auto"/>
              <w:jc w:val="center"/>
              <w:rPr>
                <w:rFonts w:ascii="Arial" w:eastAsia="Calibri" w:hAnsi="Arial" w:cs="Arial"/>
                <w:sz w:val="24"/>
                <w:szCs w:val="24"/>
              </w:rPr>
            </w:pPr>
            <w:r w:rsidRPr="00DA4649">
              <w:rPr>
                <w:rFonts w:ascii="Arial" w:eastAsia="Calibri" w:hAnsi="Arial" w:cs="Arial"/>
                <w:sz w:val="24"/>
                <w:szCs w:val="24"/>
              </w:rPr>
              <w:t>X-8</w:t>
            </w:r>
          </w:p>
        </w:tc>
        <w:tc>
          <w:tcPr>
            <w:tcW w:w="7455" w:type="dxa"/>
          </w:tcPr>
          <w:p w14:paraId="18447FCB" w14:textId="77777777" w:rsidR="003625CF" w:rsidRPr="00DA4649" w:rsidRDefault="001D2FD7" w:rsidP="001D2FD7">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FirstEnergy Pennsylvania Companies’ Billing Reversal Percentages - For the Years 2014 through 2017</w:t>
            </w:r>
          </w:p>
        </w:tc>
        <w:tc>
          <w:tcPr>
            <w:tcW w:w="884" w:type="dxa"/>
          </w:tcPr>
          <w:p w14:paraId="16E73D6E" w14:textId="77777777" w:rsidR="003625CF" w:rsidRPr="00DA4649" w:rsidRDefault="006E496B" w:rsidP="001D2FD7">
            <w:pPr>
              <w:spacing w:after="0" w:line="240" w:lineRule="auto"/>
              <w:jc w:val="right"/>
              <w:rPr>
                <w:rFonts w:ascii="Arial" w:eastAsia="Calibri" w:hAnsi="Arial" w:cs="Arial"/>
                <w:sz w:val="24"/>
                <w:szCs w:val="24"/>
              </w:rPr>
            </w:pPr>
            <w:r w:rsidRPr="00DA4649">
              <w:rPr>
                <w:rFonts w:ascii="Arial" w:eastAsia="Calibri" w:hAnsi="Arial" w:cs="Arial"/>
                <w:sz w:val="24"/>
                <w:szCs w:val="24"/>
              </w:rPr>
              <w:t>6</w:t>
            </w:r>
            <w:r w:rsidR="00DA4649">
              <w:rPr>
                <w:rFonts w:ascii="Arial" w:eastAsia="Calibri" w:hAnsi="Arial" w:cs="Arial"/>
                <w:sz w:val="24"/>
                <w:szCs w:val="24"/>
              </w:rPr>
              <w:t>4</w:t>
            </w:r>
          </w:p>
        </w:tc>
        <w:tc>
          <w:tcPr>
            <w:tcW w:w="256" w:type="dxa"/>
          </w:tcPr>
          <w:p w14:paraId="402C5EA8" w14:textId="77777777" w:rsidR="003625CF" w:rsidRPr="00414704" w:rsidRDefault="003625CF" w:rsidP="001D2FD7">
            <w:pPr>
              <w:spacing w:after="0" w:line="240" w:lineRule="auto"/>
              <w:jc w:val="center"/>
              <w:rPr>
                <w:rFonts w:ascii="Arial" w:eastAsia="Calibri" w:hAnsi="Arial" w:cs="Arial"/>
                <w:sz w:val="24"/>
                <w:szCs w:val="24"/>
              </w:rPr>
            </w:pPr>
          </w:p>
        </w:tc>
      </w:tr>
      <w:tr w:rsidR="003625CF" w:rsidRPr="00DA4649" w14:paraId="7A052124" w14:textId="77777777" w:rsidTr="000F7C49">
        <w:tc>
          <w:tcPr>
            <w:tcW w:w="1017" w:type="dxa"/>
          </w:tcPr>
          <w:p w14:paraId="625501BC" w14:textId="77777777" w:rsidR="003625CF" w:rsidRPr="00414704" w:rsidRDefault="003625CF" w:rsidP="001D2FD7">
            <w:pPr>
              <w:spacing w:after="0" w:line="240" w:lineRule="auto"/>
              <w:jc w:val="center"/>
              <w:rPr>
                <w:rFonts w:ascii="Arial" w:eastAsia="Calibri" w:hAnsi="Arial" w:cs="Arial"/>
                <w:sz w:val="24"/>
                <w:szCs w:val="24"/>
              </w:rPr>
            </w:pPr>
          </w:p>
        </w:tc>
        <w:tc>
          <w:tcPr>
            <w:tcW w:w="7455" w:type="dxa"/>
          </w:tcPr>
          <w:p w14:paraId="7230769E" w14:textId="77777777" w:rsidR="003625CF" w:rsidRPr="00414704" w:rsidRDefault="003625CF" w:rsidP="001D2FD7">
            <w:pPr>
              <w:spacing w:after="0" w:line="240" w:lineRule="auto"/>
              <w:rPr>
                <w:rFonts w:ascii="Arial" w:eastAsia="Calibri" w:hAnsi="Arial" w:cs="Arial"/>
                <w:sz w:val="24"/>
                <w:szCs w:val="24"/>
              </w:rPr>
            </w:pPr>
          </w:p>
        </w:tc>
        <w:tc>
          <w:tcPr>
            <w:tcW w:w="884" w:type="dxa"/>
          </w:tcPr>
          <w:p w14:paraId="4843713A" w14:textId="77777777" w:rsidR="003625CF" w:rsidRPr="00DA4649" w:rsidRDefault="003625CF" w:rsidP="001D2FD7">
            <w:pPr>
              <w:spacing w:after="0" w:line="240" w:lineRule="auto"/>
              <w:jc w:val="right"/>
              <w:rPr>
                <w:rFonts w:ascii="Arial" w:eastAsia="Calibri" w:hAnsi="Arial" w:cs="Arial"/>
                <w:sz w:val="24"/>
                <w:szCs w:val="24"/>
              </w:rPr>
            </w:pPr>
          </w:p>
        </w:tc>
        <w:tc>
          <w:tcPr>
            <w:tcW w:w="256" w:type="dxa"/>
          </w:tcPr>
          <w:p w14:paraId="5E5B9237" w14:textId="77777777" w:rsidR="003625CF" w:rsidRPr="00414704" w:rsidRDefault="003625CF" w:rsidP="001D2FD7">
            <w:pPr>
              <w:spacing w:after="0" w:line="240" w:lineRule="auto"/>
              <w:jc w:val="center"/>
              <w:rPr>
                <w:rFonts w:ascii="Arial" w:eastAsia="Calibri" w:hAnsi="Arial" w:cs="Arial"/>
                <w:sz w:val="24"/>
                <w:szCs w:val="24"/>
              </w:rPr>
            </w:pPr>
          </w:p>
        </w:tc>
      </w:tr>
      <w:tr w:rsidR="003625CF" w:rsidRPr="00DA4649" w14:paraId="5F627276" w14:textId="77777777" w:rsidTr="000F7C49">
        <w:tc>
          <w:tcPr>
            <w:tcW w:w="1017" w:type="dxa"/>
          </w:tcPr>
          <w:p w14:paraId="31D56820" w14:textId="77777777" w:rsidR="003625CF" w:rsidRPr="00DA4649" w:rsidRDefault="001D2FD7" w:rsidP="001D2FD7">
            <w:pPr>
              <w:spacing w:after="0" w:line="240" w:lineRule="auto"/>
              <w:jc w:val="center"/>
              <w:rPr>
                <w:rFonts w:ascii="Arial" w:eastAsia="Calibri" w:hAnsi="Arial" w:cs="Arial"/>
                <w:sz w:val="24"/>
                <w:szCs w:val="24"/>
              </w:rPr>
            </w:pPr>
            <w:r w:rsidRPr="00DA4649">
              <w:rPr>
                <w:rFonts w:ascii="Arial" w:eastAsia="Calibri" w:hAnsi="Arial" w:cs="Arial"/>
                <w:sz w:val="24"/>
                <w:szCs w:val="24"/>
              </w:rPr>
              <w:t>X-9</w:t>
            </w:r>
          </w:p>
        </w:tc>
        <w:tc>
          <w:tcPr>
            <w:tcW w:w="7455" w:type="dxa"/>
          </w:tcPr>
          <w:p w14:paraId="63086BD0" w14:textId="77777777" w:rsidR="003625CF" w:rsidRPr="00DA4649" w:rsidRDefault="001D2FD7" w:rsidP="001D2FD7">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FirstEnergy Pennsylvania Companies’ Potential Annual Savings from Minimizing Customer Service Representative Turnover -For the Years 2010 through 2013</w:t>
            </w:r>
          </w:p>
        </w:tc>
        <w:tc>
          <w:tcPr>
            <w:tcW w:w="884" w:type="dxa"/>
          </w:tcPr>
          <w:p w14:paraId="551D02BF" w14:textId="77777777" w:rsidR="003625CF" w:rsidRPr="00DA4649" w:rsidRDefault="006E496B" w:rsidP="001D2FD7">
            <w:pPr>
              <w:spacing w:after="0" w:line="240" w:lineRule="auto"/>
              <w:jc w:val="right"/>
              <w:rPr>
                <w:rFonts w:ascii="Arial" w:eastAsia="Calibri" w:hAnsi="Arial" w:cs="Arial"/>
                <w:sz w:val="24"/>
                <w:szCs w:val="24"/>
              </w:rPr>
            </w:pPr>
            <w:r w:rsidRPr="00DA4649">
              <w:rPr>
                <w:rFonts w:ascii="Arial" w:eastAsia="Calibri" w:hAnsi="Arial" w:cs="Arial"/>
                <w:sz w:val="24"/>
                <w:szCs w:val="24"/>
              </w:rPr>
              <w:t>6</w:t>
            </w:r>
            <w:r w:rsidR="00DA4649">
              <w:rPr>
                <w:rFonts w:ascii="Arial" w:eastAsia="Calibri" w:hAnsi="Arial" w:cs="Arial"/>
                <w:sz w:val="24"/>
                <w:szCs w:val="24"/>
              </w:rPr>
              <w:t>5</w:t>
            </w:r>
          </w:p>
        </w:tc>
        <w:tc>
          <w:tcPr>
            <w:tcW w:w="256" w:type="dxa"/>
          </w:tcPr>
          <w:p w14:paraId="54FF40B6" w14:textId="77777777" w:rsidR="003625CF" w:rsidRPr="00414704" w:rsidRDefault="003625CF" w:rsidP="001D2FD7">
            <w:pPr>
              <w:spacing w:after="0" w:line="240" w:lineRule="auto"/>
              <w:jc w:val="center"/>
              <w:rPr>
                <w:rFonts w:ascii="Arial" w:eastAsia="Calibri" w:hAnsi="Arial" w:cs="Arial"/>
                <w:sz w:val="24"/>
                <w:szCs w:val="24"/>
              </w:rPr>
            </w:pPr>
          </w:p>
        </w:tc>
      </w:tr>
      <w:tr w:rsidR="003625CF" w:rsidRPr="00DA4649" w14:paraId="321744B7" w14:textId="77777777" w:rsidTr="000F7C49">
        <w:tc>
          <w:tcPr>
            <w:tcW w:w="1017" w:type="dxa"/>
          </w:tcPr>
          <w:p w14:paraId="5ECE0BBB" w14:textId="77777777" w:rsidR="003625CF" w:rsidRPr="00DA4649" w:rsidRDefault="003625CF" w:rsidP="001D2FD7">
            <w:pPr>
              <w:spacing w:after="0" w:line="240" w:lineRule="auto"/>
              <w:jc w:val="center"/>
              <w:rPr>
                <w:rFonts w:ascii="Arial" w:eastAsia="Calibri" w:hAnsi="Arial" w:cs="Arial"/>
                <w:sz w:val="24"/>
                <w:szCs w:val="24"/>
              </w:rPr>
            </w:pPr>
          </w:p>
        </w:tc>
        <w:tc>
          <w:tcPr>
            <w:tcW w:w="7455" w:type="dxa"/>
          </w:tcPr>
          <w:p w14:paraId="21A4F03C" w14:textId="77777777" w:rsidR="003625CF" w:rsidRPr="00DA4649" w:rsidRDefault="003625CF" w:rsidP="001D2FD7">
            <w:pPr>
              <w:spacing w:after="0" w:line="240" w:lineRule="auto"/>
              <w:rPr>
                <w:rFonts w:ascii="Arial" w:eastAsia="Calibri" w:hAnsi="Arial" w:cs="Arial"/>
                <w:sz w:val="24"/>
                <w:szCs w:val="24"/>
              </w:rPr>
            </w:pPr>
          </w:p>
        </w:tc>
        <w:tc>
          <w:tcPr>
            <w:tcW w:w="884" w:type="dxa"/>
          </w:tcPr>
          <w:p w14:paraId="4FA0E578" w14:textId="77777777" w:rsidR="003625CF" w:rsidRPr="00DA4649" w:rsidRDefault="003625CF" w:rsidP="001D2FD7">
            <w:pPr>
              <w:spacing w:after="0" w:line="240" w:lineRule="auto"/>
              <w:jc w:val="right"/>
              <w:rPr>
                <w:rFonts w:ascii="Arial" w:eastAsia="Calibri" w:hAnsi="Arial" w:cs="Arial"/>
                <w:sz w:val="24"/>
                <w:szCs w:val="24"/>
              </w:rPr>
            </w:pPr>
          </w:p>
        </w:tc>
        <w:tc>
          <w:tcPr>
            <w:tcW w:w="256" w:type="dxa"/>
          </w:tcPr>
          <w:p w14:paraId="6A9004DB" w14:textId="77777777" w:rsidR="003625CF" w:rsidRPr="00414704" w:rsidRDefault="003625CF" w:rsidP="001D2FD7">
            <w:pPr>
              <w:spacing w:after="0" w:line="240" w:lineRule="auto"/>
              <w:jc w:val="center"/>
              <w:rPr>
                <w:rFonts w:ascii="Arial" w:eastAsia="Calibri" w:hAnsi="Arial" w:cs="Arial"/>
                <w:sz w:val="24"/>
                <w:szCs w:val="24"/>
              </w:rPr>
            </w:pPr>
          </w:p>
        </w:tc>
      </w:tr>
      <w:tr w:rsidR="003625CF" w:rsidRPr="00DA4649" w14:paraId="4C1515EB" w14:textId="77777777" w:rsidTr="000F7C49">
        <w:trPr>
          <w:trHeight w:val="297"/>
        </w:trPr>
        <w:tc>
          <w:tcPr>
            <w:tcW w:w="1017" w:type="dxa"/>
          </w:tcPr>
          <w:p w14:paraId="41B3DD53" w14:textId="77777777" w:rsidR="003625CF" w:rsidRPr="00DA4649" w:rsidRDefault="001D2FD7" w:rsidP="001D2FD7">
            <w:pPr>
              <w:spacing w:after="0" w:line="240" w:lineRule="auto"/>
              <w:jc w:val="center"/>
              <w:rPr>
                <w:rFonts w:ascii="Arial" w:eastAsia="Calibri" w:hAnsi="Arial" w:cs="Arial"/>
                <w:sz w:val="24"/>
                <w:szCs w:val="24"/>
              </w:rPr>
            </w:pPr>
            <w:r w:rsidRPr="00DA4649">
              <w:rPr>
                <w:rFonts w:ascii="Arial" w:eastAsia="Calibri" w:hAnsi="Arial" w:cs="Arial"/>
                <w:sz w:val="24"/>
                <w:szCs w:val="24"/>
              </w:rPr>
              <w:t>X-10</w:t>
            </w:r>
          </w:p>
        </w:tc>
        <w:tc>
          <w:tcPr>
            <w:tcW w:w="7455" w:type="dxa"/>
          </w:tcPr>
          <w:p w14:paraId="2C3E7F83" w14:textId="77777777" w:rsidR="003625CF" w:rsidRPr="00DA4649" w:rsidRDefault="001D2FD7" w:rsidP="001D2FD7">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 xml:space="preserve">FirstEnergy Pennsylvania Companies vs. Panel Average </w:t>
            </w:r>
            <w:r w:rsidR="00545DE3" w:rsidRPr="00DA4649">
              <w:rPr>
                <w:rFonts w:ascii="Arial" w:eastAsia="Calibri" w:hAnsi="Arial" w:cs="Arial"/>
                <w:sz w:val="24"/>
                <w:szCs w:val="24"/>
              </w:rPr>
              <w:t xml:space="preserve">         </w:t>
            </w:r>
            <w:r w:rsidRPr="00DA4649">
              <w:rPr>
                <w:rFonts w:ascii="Arial" w:eastAsia="Calibri" w:hAnsi="Arial" w:cs="Arial"/>
                <w:sz w:val="24"/>
                <w:szCs w:val="24"/>
              </w:rPr>
              <w:t>Busy-Out Rate, Call Abandonment Rate, and Calls Answered Within 30 Seconds - For the Years 2008 through 2013</w:t>
            </w:r>
          </w:p>
        </w:tc>
        <w:tc>
          <w:tcPr>
            <w:tcW w:w="884" w:type="dxa"/>
          </w:tcPr>
          <w:p w14:paraId="74AE8D91" w14:textId="77777777" w:rsidR="003625CF" w:rsidRPr="00DA4649" w:rsidRDefault="006E496B" w:rsidP="001D2FD7">
            <w:pPr>
              <w:spacing w:after="0" w:line="240" w:lineRule="auto"/>
              <w:jc w:val="right"/>
              <w:rPr>
                <w:rFonts w:ascii="Arial" w:eastAsia="Calibri" w:hAnsi="Arial" w:cs="Arial"/>
                <w:sz w:val="24"/>
                <w:szCs w:val="24"/>
              </w:rPr>
            </w:pPr>
            <w:r w:rsidRPr="00DA4649">
              <w:rPr>
                <w:rFonts w:ascii="Arial" w:eastAsia="Calibri" w:hAnsi="Arial" w:cs="Arial"/>
                <w:sz w:val="24"/>
                <w:szCs w:val="24"/>
              </w:rPr>
              <w:t>6</w:t>
            </w:r>
            <w:r w:rsidR="00DA4649">
              <w:rPr>
                <w:rFonts w:ascii="Arial" w:eastAsia="Calibri" w:hAnsi="Arial" w:cs="Arial"/>
                <w:sz w:val="24"/>
                <w:szCs w:val="24"/>
              </w:rPr>
              <w:t>6</w:t>
            </w:r>
          </w:p>
        </w:tc>
        <w:tc>
          <w:tcPr>
            <w:tcW w:w="256" w:type="dxa"/>
          </w:tcPr>
          <w:p w14:paraId="6779F0BB" w14:textId="77777777" w:rsidR="003625CF" w:rsidRPr="00414704" w:rsidRDefault="003625CF" w:rsidP="001D2FD7">
            <w:pPr>
              <w:spacing w:after="0" w:line="240" w:lineRule="auto"/>
              <w:jc w:val="center"/>
              <w:rPr>
                <w:rFonts w:ascii="Arial" w:eastAsia="Calibri" w:hAnsi="Arial" w:cs="Arial"/>
                <w:sz w:val="24"/>
                <w:szCs w:val="24"/>
              </w:rPr>
            </w:pPr>
          </w:p>
        </w:tc>
      </w:tr>
      <w:tr w:rsidR="003625CF" w:rsidRPr="00DA4649" w14:paraId="73C665A2" w14:textId="77777777" w:rsidTr="000F7C49">
        <w:tc>
          <w:tcPr>
            <w:tcW w:w="1017" w:type="dxa"/>
          </w:tcPr>
          <w:p w14:paraId="5FF6A5FF" w14:textId="77777777" w:rsidR="003625CF" w:rsidRPr="00DA4649" w:rsidRDefault="003625CF" w:rsidP="001D2FD7">
            <w:pPr>
              <w:spacing w:after="0" w:line="240" w:lineRule="auto"/>
              <w:jc w:val="center"/>
              <w:rPr>
                <w:rFonts w:ascii="Arial" w:eastAsia="Calibri" w:hAnsi="Arial" w:cs="Arial"/>
                <w:sz w:val="24"/>
                <w:szCs w:val="24"/>
              </w:rPr>
            </w:pPr>
          </w:p>
        </w:tc>
        <w:tc>
          <w:tcPr>
            <w:tcW w:w="7455" w:type="dxa"/>
          </w:tcPr>
          <w:p w14:paraId="144B085F" w14:textId="77777777" w:rsidR="003625CF" w:rsidRPr="00DA4649" w:rsidRDefault="003625CF" w:rsidP="001D2FD7">
            <w:pPr>
              <w:spacing w:after="0" w:line="240" w:lineRule="auto"/>
              <w:rPr>
                <w:rFonts w:ascii="Arial" w:eastAsia="Calibri" w:hAnsi="Arial" w:cs="Arial"/>
                <w:sz w:val="24"/>
                <w:szCs w:val="24"/>
              </w:rPr>
            </w:pPr>
          </w:p>
        </w:tc>
        <w:tc>
          <w:tcPr>
            <w:tcW w:w="884" w:type="dxa"/>
          </w:tcPr>
          <w:p w14:paraId="1D8CEB19" w14:textId="77777777" w:rsidR="003625CF" w:rsidRPr="00DA4649" w:rsidRDefault="003625CF" w:rsidP="001D2FD7">
            <w:pPr>
              <w:spacing w:after="0" w:line="240" w:lineRule="auto"/>
              <w:jc w:val="right"/>
              <w:rPr>
                <w:rFonts w:ascii="Arial" w:eastAsia="Calibri" w:hAnsi="Arial" w:cs="Arial"/>
                <w:sz w:val="24"/>
                <w:szCs w:val="24"/>
              </w:rPr>
            </w:pPr>
          </w:p>
        </w:tc>
        <w:tc>
          <w:tcPr>
            <w:tcW w:w="256" w:type="dxa"/>
          </w:tcPr>
          <w:p w14:paraId="4223D59B" w14:textId="77777777" w:rsidR="003625CF" w:rsidRPr="00414704" w:rsidRDefault="003625CF" w:rsidP="001D2FD7">
            <w:pPr>
              <w:spacing w:after="0" w:line="240" w:lineRule="auto"/>
              <w:jc w:val="center"/>
              <w:rPr>
                <w:rFonts w:ascii="Arial" w:eastAsia="Calibri" w:hAnsi="Arial" w:cs="Arial"/>
                <w:sz w:val="24"/>
                <w:szCs w:val="24"/>
              </w:rPr>
            </w:pPr>
          </w:p>
        </w:tc>
      </w:tr>
      <w:tr w:rsidR="003625CF" w:rsidRPr="00DA4649" w14:paraId="088E87C2" w14:textId="77777777" w:rsidTr="000F7C49">
        <w:tc>
          <w:tcPr>
            <w:tcW w:w="1017" w:type="dxa"/>
          </w:tcPr>
          <w:p w14:paraId="1D35FF40" w14:textId="77777777" w:rsidR="003625CF" w:rsidRPr="00DA4649" w:rsidRDefault="001D2FD7" w:rsidP="001D2FD7">
            <w:pPr>
              <w:spacing w:after="0" w:line="240" w:lineRule="auto"/>
              <w:jc w:val="center"/>
              <w:rPr>
                <w:rFonts w:ascii="Arial" w:eastAsia="Calibri" w:hAnsi="Arial" w:cs="Arial"/>
                <w:sz w:val="24"/>
                <w:szCs w:val="24"/>
              </w:rPr>
            </w:pPr>
            <w:r w:rsidRPr="00DA4649">
              <w:rPr>
                <w:rFonts w:ascii="Arial" w:eastAsia="Calibri" w:hAnsi="Arial" w:cs="Arial"/>
                <w:sz w:val="24"/>
                <w:szCs w:val="24"/>
              </w:rPr>
              <w:t>X-11</w:t>
            </w:r>
          </w:p>
        </w:tc>
        <w:tc>
          <w:tcPr>
            <w:tcW w:w="7455" w:type="dxa"/>
          </w:tcPr>
          <w:p w14:paraId="3B8DF66B" w14:textId="77777777" w:rsidR="003625CF" w:rsidRPr="00DA4649" w:rsidRDefault="001D2FD7" w:rsidP="001D2FD7">
            <w:pPr>
              <w:spacing w:after="0" w:line="240" w:lineRule="auto"/>
              <w:ind w:left="390" w:hanging="390"/>
              <w:rPr>
                <w:rFonts w:ascii="Arial" w:eastAsia="Calibri" w:hAnsi="Arial" w:cs="Arial"/>
                <w:sz w:val="24"/>
                <w:szCs w:val="24"/>
              </w:rPr>
            </w:pPr>
            <w:r w:rsidRPr="00DA4649">
              <w:rPr>
                <w:rFonts w:ascii="Arial" w:eastAsia="Calibri" w:hAnsi="Arial" w:cs="Arial"/>
                <w:sz w:val="24"/>
                <w:szCs w:val="24"/>
              </w:rPr>
              <w:t xml:space="preserve">FirstEnergy Pennsylvania Companies vs. Panel Average </w:t>
            </w:r>
            <w:r w:rsidR="00545DE3" w:rsidRPr="00DA4649">
              <w:rPr>
                <w:rFonts w:ascii="Arial" w:eastAsia="Calibri" w:hAnsi="Arial" w:cs="Arial"/>
                <w:sz w:val="24"/>
                <w:szCs w:val="24"/>
              </w:rPr>
              <w:t xml:space="preserve">         </w:t>
            </w:r>
            <w:r w:rsidRPr="00DA4649">
              <w:rPr>
                <w:rFonts w:ascii="Arial" w:eastAsia="Calibri" w:hAnsi="Arial" w:cs="Arial"/>
                <w:sz w:val="24"/>
                <w:szCs w:val="24"/>
              </w:rPr>
              <w:t>Busy-Out Rate, Call Abandonment Rate, and Calls Answered Within 30 Seconds - For the Years 2014 through 2016</w:t>
            </w:r>
          </w:p>
        </w:tc>
        <w:tc>
          <w:tcPr>
            <w:tcW w:w="884" w:type="dxa"/>
          </w:tcPr>
          <w:p w14:paraId="50333B3D" w14:textId="77777777" w:rsidR="003625CF" w:rsidRPr="00DA4649" w:rsidRDefault="00DA4649" w:rsidP="001D2FD7">
            <w:pPr>
              <w:spacing w:after="0" w:line="240" w:lineRule="auto"/>
              <w:jc w:val="right"/>
              <w:rPr>
                <w:rFonts w:ascii="Arial" w:eastAsia="Calibri" w:hAnsi="Arial" w:cs="Arial"/>
                <w:sz w:val="24"/>
                <w:szCs w:val="24"/>
              </w:rPr>
            </w:pPr>
            <w:r>
              <w:rPr>
                <w:rFonts w:ascii="Arial" w:eastAsia="Calibri" w:hAnsi="Arial" w:cs="Arial"/>
                <w:sz w:val="24"/>
                <w:szCs w:val="24"/>
              </w:rPr>
              <w:t>68</w:t>
            </w:r>
          </w:p>
        </w:tc>
        <w:tc>
          <w:tcPr>
            <w:tcW w:w="256" w:type="dxa"/>
          </w:tcPr>
          <w:p w14:paraId="5874813B" w14:textId="77777777" w:rsidR="003625CF" w:rsidRPr="00414704" w:rsidRDefault="003625CF" w:rsidP="001D2FD7">
            <w:pPr>
              <w:spacing w:after="0" w:line="240" w:lineRule="auto"/>
              <w:jc w:val="center"/>
              <w:rPr>
                <w:rFonts w:ascii="Arial" w:eastAsia="Calibri" w:hAnsi="Arial" w:cs="Arial"/>
                <w:sz w:val="24"/>
                <w:szCs w:val="24"/>
              </w:rPr>
            </w:pPr>
          </w:p>
        </w:tc>
      </w:tr>
      <w:tr w:rsidR="003625CF" w:rsidRPr="00DA4649" w14:paraId="58A456F3" w14:textId="77777777" w:rsidTr="000F7C49">
        <w:tc>
          <w:tcPr>
            <w:tcW w:w="1017" w:type="dxa"/>
          </w:tcPr>
          <w:p w14:paraId="5EFAD05A" w14:textId="77777777" w:rsidR="003625CF" w:rsidRPr="00DA4649" w:rsidRDefault="003625CF" w:rsidP="001D2FD7">
            <w:pPr>
              <w:spacing w:after="0" w:line="240" w:lineRule="auto"/>
              <w:jc w:val="center"/>
              <w:rPr>
                <w:rFonts w:ascii="Arial" w:eastAsia="Calibri" w:hAnsi="Arial" w:cs="Arial"/>
                <w:sz w:val="24"/>
                <w:szCs w:val="24"/>
              </w:rPr>
            </w:pPr>
          </w:p>
        </w:tc>
        <w:tc>
          <w:tcPr>
            <w:tcW w:w="7455" w:type="dxa"/>
          </w:tcPr>
          <w:p w14:paraId="5717F359" w14:textId="77777777" w:rsidR="003625CF" w:rsidRPr="00DA4649" w:rsidRDefault="003625CF" w:rsidP="001D2FD7">
            <w:pPr>
              <w:spacing w:after="0" w:line="240" w:lineRule="auto"/>
              <w:rPr>
                <w:rFonts w:ascii="Arial" w:eastAsia="Calibri" w:hAnsi="Arial" w:cs="Arial"/>
                <w:sz w:val="24"/>
                <w:szCs w:val="24"/>
              </w:rPr>
            </w:pPr>
          </w:p>
        </w:tc>
        <w:tc>
          <w:tcPr>
            <w:tcW w:w="884" w:type="dxa"/>
          </w:tcPr>
          <w:p w14:paraId="4CDF7154" w14:textId="77777777" w:rsidR="003625CF" w:rsidRPr="00DA4649" w:rsidRDefault="003625CF" w:rsidP="001D2FD7">
            <w:pPr>
              <w:spacing w:after="0" w:line="240" w:lineRule="auto"/>
              <w:jc w:val="right"/>
              <w:rPr>
                <w:rFonts w:ascii="Arial" w:eastAsia="Calibri" w:hAnsi="Arial" w:cs="Arial"/>
                <w:sz w:val="24"/>
                <w:szCs w:val="24"/>
              </w:rPr>
            </w:pPr>
          </w:p>
        </w:tc>
        <w:tc>
          <w:tcPr>
            <w:tcW w:w="256" w:type="dxa"/>
          </w:tcPr>
          <w:p w14:paraId="330B6EBF" w14:textId="77777777" w:rsidR="003625CF" w:rsidRPr="00414704" w:rsidRDefault="003625CF" w:rsidP="001D2FD7">
            <w:pPr>
              <w:spacing w:after="0" w:line="240" w:lineRule="auto"/>
              <w:jc w:val="center"/>
              <w:rPr>
                <w:rFonts w:ascii="Arial" w:eastAsia="Calibri" w:hAnsi="Arial" w:cs="Arial"/>
                <w:sz w:val="24"/>
                <w:szCs w:val="24"/>
              </w:rPr>
            </w:pPr>
          </w:p>
        </w:tc>
      </w:tr>
      <w:tr w:rsidR="003625CF" w:rsidRPr="00DA4649" w14:paraId="6144D803" w14:textId="77777777" w:rsidTr="000F7C49">
        <w:tc>
          <w:tcPr>
            <w:tcW w:w="1017" w:type="dxa"/>
          </w:tcPr>
          <w:p w14:paraId="33A87FA5" w14:textId="77777777" w:rsidR="003625CF" w:rsidRPr="00DA4649" w:rsidRDefault="001D2FD7" w:rsidP="001D2FD7">
            <w:pPr>
              <w:spacing w:after="0" w:line="240" w:lineRule="auto"/>
              <w:jc w:val="center"/>
              <w:rPr>
                <w:rFonts w:ascii="Arial" w:eastAsia="Calibri" w:hAnsi="Arial" w:cs="Arial"/>
                <w:sz w:val="24"/>
                <w:szCs w:val="24"/>
              </w:rPr>
            </w:pPr>
            <w:r w:rsidRPr="00DA4649">
              <w:rPr>
                <w:rFonts w:ascii="Arial" w:eastAsia="Calibri" w:hAnsi="Arial" w:cs="Arial"/>
                <w:sz w:val="24"/>
                <w:szCs w:val="24"/>
              </w:rPr>
              <w:t>X-12</w:t>
            </w:r>
          </w:p>
        </w:tc>
        <w:tc>
          <w:tcPr>
            <w:tcW w:w="7455" w:type="dxa"/>
          </w:tcPr>
          <w:p w14:paraId="6235AED6" w14:textId="77777777" w:rsidR="003625CF" w:rsidRPr="00DA4649" w:rsidRDefault="001D2FD7" w:rsidP="001D2FD7">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FirstEnergy Pennsylvania Companies’ Annual Savings from Reduced Turnover Costs - For the Years 2014 through 2017</w:t>
            </w:r>
          </w:p>
        </w:tc>
        <w:tc>
          <w:tcPr>
            <w:tcW w:w="884" w:type="dxa"/>
          </w:tcPr>
          <w:p w14:paraId="40813609" w14:textId="77777777" w:rsidR="003625CF" w:rsidRPr="00DA4649" w:rsidRDefault="00DA4649" w:rsidP="001D2FD7">
            <w:pPr>
              <w:spacing w:after="0" w:line="240" w:lineRule="auto"/>
              <w:jc w:val="right"/>
              <w:rPr>
                <w:rFonts w:ascii="Arial" w:eastAsia="Calibri" w:hAnsi="Arial" w:cs="Arial"/>
                <w:sz w:val="24"/>
                <w:szCs w:val="24"/>
              </w:rPr>
            </w:pPr>
            <w:r>
              <w:rPr>
                <w:rFonts w:ascii="Arial" w:eastAsia="Calibri" w:hAnsi="Arial" w:cs="Arial"/>
                <w:sz w:val="24"/>
                <w:szCs w:val="24"/>
              </w:rPr>
              <w:t>70</w:t>
            </w:r>
          </w:p>
        </w:tc>
        <w:tc>
          <w:tcPr>
            <w:tcW w:w="256" w:type="dxa"/>
          </w:tcPr>
          <w:p w14:paraId="3802DF7F" w14:textId="77777777" w:rsidR="003625CF" w:rsidRPr="00414704" w:rsidRDefault="003625CF" w:rsidP="001D2FD7">
            <w:pPr>
              <w:spacing w:after="0" w:line="240" w:lineRule="auto"/>
              <w:jc w:val="center"/>
              <w:rPr>
                <w:rFonts w:ascii="Arial" w:eastAsia="Calibri" w:hAnsi="Arial" w:cs="Arial"/>
                <w:sz w:val="24"/>
                <w:szCs w:val="24"/>
              </w:rPr>
            </w:pPr>
          </w:p>
        </w:tc>
      </w:tr>
      <w:tr w:rsidR="003625CF" w:rsidRPr="00DA4649" w14:paraId="311C51A3" w14:textId="77777777" w:rsidTr="000F7C49">
        <w:tc>
          <w:tcPr>
            <w:tcW w:w="1017" w:type="dxa"/>
          </w:tcPr>
          <w:p w14:paraId="291FD2DE" w14:textId="77777777" w:rsidR="003625CF" w:rsidRPr="00DA4649" w:rsidRDefault="003625CF" w:rsidP="001D2FD7">
            <w:pPr>
              <w:spacing w:after="0" w:line="240" w:lineRule="auto"/>
              <w:jc w:val="center"/>
              <w:rPr>
                <w:rFonts w:ascii="Arial" w:eastAsia="Calibri" w:hAnsi="Arial" w:cs="Arial"/>
                <w:sz w:val="24"/>
                <w:szCs w:val="24"/>
              </w:rPr>
            </w:pPr>
          </w:p>
        </w:tc>
        <w:tc>
          <w:tcPr>
            <w:tcW w:w="7455" w:type="dxa"/>
          </w:tcPr>
          <w:p w14:paraId="44E95814" w14:textId="77777777" w:rsidR="003625CF" w:rsidRPr="00DA4649" w:rsidRDefault="003625CF" w:rsidP="001D2FD7">
            <w:pPr>
              <w:spacing w:after="0" w:line="240" w:lineRule="auto"/>
              <w:ind w:left="405" w:hanging="405"/>
              <w:rPr>
                <w:rFonts w:ascii="Arial" w:eastAsia="Calibri" w:hAnsi="Arial" w:cs="Arial"/>
                <w:sz w:val="24"/>
                <w:szCs w:val="24"/>
              </w:rPr>
            </w:pPr>
          </w:p>
        </w:tc>
        <w:tc>
          <w:tcPr>
            <w:tcW w:w="884" w:type="dxa"/>
          </w:tcPr>
          <w:p w14:paraId="46E4D167" w14:textId="77777777" w:rsidR="003625CF" w:rsidRPr="00DA4649" w:rsidRDefault="003625CF" w:rsidP="001D2FD7">
            <w:pPr>
              <w:spacing w:after="0" w:line="240" w:lineRule="auto"/>
              <w:jc w:val="right"/>
              <w:rPr>
                <w:rFonts w:ascii="Arial" w:eastAsia="Calibri" w:hAnsi="Arial" w:cs="Arial"/>
                <w:sz w:val="24"/>
                <w:szCs w:val="24"/>
              </w:rPr>
            </w:pPr>
          </w:p>
        </w:tc>
        <w:tc>
          <w:tcPr>
            <w:tcW w:w="256" w:type="dxa"/>
          </w:tcPr>
          <w:p w14:paraId="534249F6" w14:textId="77777777" w:rsidR="003625CF" w:rsidRPr="00414704" w:rsidRDefault="003625CF" w:rsidP="001D2FD7">
            <w:pPr>
              <w:spacing w:after="0" w:line="240" w:lineRule="auto"/>
              <w:jc w:val="center"/>
              <w:rPr>
                <w:rFonts w:ascii="Arial" w:eastAsia="Calibri" w:hAnsi="Arial" w:cs="Arial"/>
                <w:sz w:val="24"/>
                <w:szCs w:val="24"/>
              </w:rPr>
            </w:pPr>
          </w:p>
        </w:tc>
      </w:tr>
      <w:tr w:rsidR="003625CF" w:rsidRPr="00DA4649" w14:paraId="6D37A598" w14:textId="77777777" w:rsidTr="000F7C49">
        <w:tc>
          <w:tcPr>
            <w:tcW w:w="1017" w:type="dxa"/>
          </w:tcPr>
          <w:p w14:paraId="2674A9F1" w14:textId="77777777" w:rsidR="003625CF" w:rsidRPr="00DA4649" w:rsidRDefault="003625CF" w:rsidP="001D2FD7">
            <w:pPr>
              <w:spacing w:after="0" w:line="240" w:lineRule="auto"/>
              <w:jc w:val="center"/>
              <w:rPr>
                <w:rFonts w:ascii="Arial" w:eastAsia="Calibri" w:hAnsi="Arial" w:cs="Arial"/>
                <w:sz w:val="24"/>
                <w:szCs w:val="24"/>
              </w:rPr>
            </w:pPr>
            <w:r w:rsidRPr="00DA4649">
              <w:rPr>
                <w:rFonts w:ascii="Arial" w:hAnsi="Arial" w:cs="Arial"/>
                <w:sz w:val="24"/>
                <w:szCs w:val="24"/>
              </w:rPr>
              <w:t>X-1</w:t>
            </w:r>
            <w:r w:rsidR="001D2FD7" w:rsidRPr="00DA4649">
              <w:rPr>
                <w:rFonts w:ascii="Arial" w:hAnsi="Arial" w:cs="Arial"/>
                <w:sz w:val="24"/>
                <w:szCs w:val="24"/>
              </w:rPr>
              <w:t>3</w:t>
            </w:r>
          </w:p>
          <w:p w14:paraId="64A84037" w14:textId="77777777" w:rsidR="003625CF" w:rsidRPr="00DA4649" w:rsidRDefault="003625CF" w:rsidP="001D2FD7">
            <w:pPr>
              <w:spacing w:after="0" w:line="240" w:lineRule="auto"/>
              <w:jc w:val="center"/>
              <w:rPr>
                <w:rFonts w:ascii="Arial" w:eastAsia="Calibri" w:hAnsi="Arial" w:cs="Arial"/>
                <w:sz w:val="24"/>
                <w:szCs w:val="24"/>
              </w:rPr>
            </w:pPr>
          </w:p>
        </w:tc>
        <w:tc>
          <w:tcPr>
            <w:tcW w:w="7455" w:type="dxa"/>
          </w:tcPr>
          <w:p w14:paraId="25B46AA1" w14:textId="77777777" w:rsidR="003625CF" w:rsidRPr="00DA4649" w:rsidRDefault="000F7C49" w:rsidP="000F7C49">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FirstEnergy Pennsylvania Companies’ Residential Disputes with a Response Time Greater Than 30 Days - For the Years 2008 through 2013</w:t>
            </w:r>
          </w:p>
        </w:tc>
        <w:tc>
          <w:tcPr>
            <w:tcW w:w="884" w:type="dxa"/>
          </w:tcPr>
          <w:p w14:paraId="156B6481" w14:textId="77777777" w:rsidR="003625CF" w:rsidRPr="00DA4649" w:rsidRDefault="006E496B" w:rsidP="001D2FD7">
            <w:pPr>
              <w:spacing w:after="0" w:line="240" w:lineRule="auto"/>
              <w:jc w:val="right"/>
              <w:rPr>
                <w:rFonts w:ascii="Arial" w:eastAsia="Calibri" w:hAnsi="Arial" w:cs="Arial"/>
                <w:sz w:val="24"/>
                <w:szCs w:val="24"/>
              </w:rPr>
            </w:pPr>
            <w:r w:rsidRPr="00DA4649">
              <w:rPr>
                <w:rFonts w:ascii="Arial" w:eastAsia="Calibri" w:hAnsi="Arial" w:cs="Arial"/>
                <w:sz w:val="24"/>
                <w:szCs w:val="24"/>
              </w:rPr>
              <w:t>7</w:t>
            </w:r>
            <w:r w:rsidR="00DA4649">
              <w:rPr>
                <w:rFonts w:ascii="Arial" w:eastAsia="Calibri" w:hAnsi="Arial" w:cs="Arial"/>
                <w:sz w:val="24"/>
                <w:szCs w:val="24"/>
              </w:rPr>
              <w:t>1</w:t>
            </w:r>
          </w:p>
        </w:tc>
        <w:tc>
          <w:tcPr>
            <w:tcW w:w="256" w:type="dxa"/>
          </w:tcPr>
          <w:p w14:paraId="53FB5D50" w14:textId="77777777" w:rsidR="003625CF" w:rsidRPr="00414704" w:rsidRDefault="003625CF" w:rsidP="001D2FD7">
            <w:pPr>
              <w:spacing w:after="0" w:line="240" w:lineRule="auto"/>
              <w:jc w:val="center"/>
              <w:rPr>
                <w:rFonts w:ascii="Arial" w:eastAsia="Calibri" w:hAnsi="Arial" w:cs="Arial"/>
                <w:sz w:val="24"/>
                <w:szCs w:val="24"/>
              </w:rPr>
            </w:pPr>
          </w:p>
        </w:tc>
      </w:tr>
      <w:tr w:rsidR="003625CF" w:rsidRPr="00DA4649" w14:paraId="2E3F1F28" w14:textId="77777777" w:rsidTr="000F7C49">
        <w:tc>
          <w:tcPr>
            <w:tcW w:w="1017" w:type="dxa"/>
          </w:tcPr>
          <w:p w14:paraId="0AD8A8C4" w14:textId="77777777" w:rsidR="003625CF" w:rsidRPr="00DA4649" w:rsidRDefault="003625CF" w:rsidP="001D2FD7">
            <w:pPr>
              <w:spacing w:after="0" w:line="240" w:lineRule="auto"/>
              <w:jc w:val="center"/>
              <w:rPr>
                <w:rFonts w:ascii="Arial" w:hAnsi="Arial" w:cs="Arial"/>
                <w:sz w:val="24"/>
                <w:szCs w:val="24"/>
              </w:rPr>
            </w:pPr>
          </w:p>
        </w:tc>
        <w:tc>
          <w:tcPr>
            <w:tcW w:w="7455" w:type="dxa"/>
          </w:tcPr>
          <w:p w14:paraId="34CF1416" w14:textId="77777777" w:rsidR="003625CF" w:rsidRPr="00DA4649" w:rsidRDefault="003625CF" w:rsidP="001D2FD7">
            <w:pPr>
              <w:spacing w:after="0" w:line="240" w:lineRule="auto"/>
              <w:ind w:left="405" w:hanging="405"/>
              <w:rPr>
                <w:rFonts w:ascii="Arial" w:eastAsia="Calibri" w:hAnsi="Arial" w:cs="Arial"/>
                <w:sz w:val="24"/>
                <w:szCs w:val="24"/>
              </w:rPr>
            </w:pPr>
          </w:p>
        </w:tc>
        <w:tc>
          <w:tcPr>
            <w:tcW w:w="884" w:type="dxa"/>
          </w:tcPr>
          <w:p w14:paraId="07426244" w14:textId="77777777" w:rsidR="003625CF" w:rsidRPr="00DA4649" w:rsidRDefault="003625CF" w:rsidP="001D2FD7">
            <w:pPr>
              <w:spacing w:after="0" w:line="240" w:lineRule="auto"/>
              <w:jc w:val="right"/>
              <w:rPr>
                <w:rFonts w:ascii="Arial" w:eastAsia="Calibri" w:hAnsi="Arial" w:cs="Arial"/>
                <w:sz w:val="24"/>
                <w:szCs w:val="24"/>
              </w:rPr>
            </w:pPr>
          </w:p>
        </w:tc>
        <w:tc>
          <w:tcPr>
            <w:tcW w:w="256" w:type="dxa"/>
          </w:tcPr>
          <w:p w14:paraId="18C08F1E" w14:textId="77777777" w:rsidR="003625CF" w:rsidRPr="00414704" w:rsidRDefault="003625CF" w:rsidP="001D2FD7">
            <w:pPr>
              <w:spacing w:after="0" w:line="240" w:lineRule="auto"/>
              <w:jc w:val="center"/>
              <w:rPr>
                <w:rFonts w:ascii="Arial" w:eastAsia="Calibri" w:hAnsi="Arial" w:cs="Arial"/>
                <w:sz w:val="24"/>
                <w:szCs w:val="24"/>
              </w:rPr>
            </w:pPr>
          </w:p>
        </w:tc>
      </w:tr>
      <w:tr w:rsidR="003625CF" w:rsidRPr="00DA4649" w14:paraId="5B5C5DA5" w14:textId="77777777" w:rsidTr="000F7C49">
        <w:tc>
          <w:tcPr>
            <w:tcW w:w="1017" w:type="dxa"/>
          </w:tcPr>
          <w:p w14:paraId="469B1048" w14:textId="77777777" w:rsidR="003625CF" w:rsidRPr="00DA4649" w:rsidRDefault="000F7C49" w:rsidP="001D2FD7">
            <w:pPr>
              <w:spacing w:after="0" w:line="240" w:lineRule="auto"/>
              <w:jc w:val="center"/>
              <w:rPr>
                <w:rFonts w:ascii="Arial" w:hAnsi="Arial" w:cs="Arial"/>
                <w:sz w:val="24"/>
                <w:szCs w:val="24"/>
              </w:rPr>
            </w:pPr>
            <w:r w:rsidRPr="00DA4649">
              <w:rPr>
                <w:rFonts w:ascii="Arial" w:hAnsi="Arial" w:cs="Arial"/>
                <w:sz w:val="24"/>
                <w:szCs w:val="24"/>
              </w:rPr>
              <w:t>X-14</w:t>
            </w:r>
          </w:p>
        </w:tc>
        <w:tc>
          <w:tcPr>
            <w:tcW w:w="7455" w:type="dxa"/>
          </w:tcPr>
          <w:p w14:paraId="45CC7053" w14:textId="77777777" w:rsidR="003625CF" w:rsidRPr="00DA4649" w:rsidRDefault="000F7C49" w:rsidP="000F7C49">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FirstEnergy Pennsylvania Companies vs. Panel Average Residential Disputes with a Response Time Greater Than 30 Days - For the Years 2014 through 2016</w:t>
            </w:r>
          </w:p>
        </w:tc>
        <w:tc>
          <w:tcPr>
            <w:tcW w:w="884" w:type="dxa"/>
          </w:tcPr>
          <w:p w14:paraId="4EFDF5A5" w14:textId="77777777" w:rsidR="003625CF" w:rsidRPr="00DA4649" w:rsidRDefault="006E496B" w:rsidP="001D2FD7">
            <w:pPr>
              <w:spacing w:after="0" w:line="240" w:lineRule="auto"/>
              <w:jc w:val="right"/>
              <w:rPr>
                <w:rFonts w:ascii="Arial" w:eastAsia="Calibri" w:hAnsi="Arial" w:cs="Arial"/>
                <w:sz w:val="24"/>
                <w:szCs w:val="24"/>
              </w:rPr>
            </w:pPr>
            <w:r w:rsidRPr="00DA4649">
              <w:rPr>
                <w:rFonts w:ascii="Arial" w:eastAsia="Calibri" w:hAnsi="Arial" w:cs="Arial"/>
                <w:sz w:val="24"/>
                <w:szCs w:val="24"/>
              </w:rPr>
              <w:t>7</w:t>
            </w:r>
            <w:r w:rsidR="00DA4649">
              <w:rPr>
                <w:rFonts w:ascii="Arial" w:eastAsia="Calibri" w:hAnsi="Arial" w:cs="Arial"/>
                <w:sz w:val="24"/>
                <w:szCs w:val="24"/>
              </w:rPr>
              <w:t>2</w:t>
            </w:r>
          </w:p>
        </w:tc>
        <w:tc>
          <w:tcPr>
            <w:tcW w:w="256" w:type="dxa"/>
          </w:tcPr>
          <w:p w14:paraId="7FC59E71" w14:textId="77777777" w:rsidR="003625CF" w:rsidRPr="00414704" w:rsidRDefault="003625CF" w:rsidP="001D2FD7">
            <w:pPr>
              <w:spacing w:after="0" w:line="240" w:lineRule="auto"/>
              <w:jc w:val="center"/>
              <w:rPr>
                <w:rFonts w:ascii="Arial" w:eastAsia="Calibri" w:hAnsi="Arial" w:cs="Arial"/>
                <w:sz w:val="24"/>
                <w:szCs w:val="24"/>
              </w:rPr>
            </w:pPr>
          </w:p>
        </w:tc>
      </w:tr>
      <w:tr w:rsidR="00FE1CA4" w:rsidRPr="00625123" w14:paraId="68B6875B" w14:textId="77777777" w:rsidTr="000F7C49">
        <w:tc>
          <w:tcPr>
            <w:tcW w:w="1017" w:type="dxa"/>
          </w:tcPr>
          <w:p w14:paraId="018161E1" w14:textId="77777777" w:rsidR="00FE1CA4" w:rsidRPr="00414704" w:rsidRDefault="00FE1CA4" w:rsidP="001D2FD7">
            <w:pPr>
              <w:spacing w:after="0" w:line="240" w:lineRule="auto"/>
              <w:jc w:val="center"/>
              <w:rPr>
                <w:rFonts w:ascii="Arial" w:hAnsi="Arial" w:cs="Arial"/>
                <w:sz w:val="24"/>
                <w:szCs w:val="24"/>
                <w:highlight w:val="yellow"/>
              </w:rPr>
            </w:pPr>
          </w:p>
        </w:tc>
        <w:tc>
          <w:tcPr>
            <w:tcW w:w="7455" w:type="dxa"/>
          </w:tcPr>
          <w:p w14:paraId="5B94AD88" w14:textId="77777777" w:rsidR="00FE1CA4" w:rsidRPr="00414704" w:rsidRDefault="00FE1CA4" w:rsidP="000F7C49">
            <w:pPr>
              <w:spacing w:after="0" w:line="240" w:lineRule="auto"/>
              <w:ind w:left="405" w:hanging="405"/>
              <w:rPr>
                <w:rFonts w:ascii="Arial" w:eastAsia="Calibri" w:hAnsi="Arial" w:cs="Arial"/>
                <w:sz w:val="24"/>
                <w:szCs w:val="24"/>
                <w:highlight w:val="yellow"/>
              </w:rPr>
            </w:pPr>
          </w:p>
        </w:tc>
        <w:tc>
          <w:tcPr>
            <w:tcW w:w="884" w:type="dxa"/>
          </w:tcPr>
          <w:p w14:paraId="71D22E78" w14:textId="77777777" w:rsidR="00FE1CA4" w:rsidRPr="00414704" w:rsidRDefault="00FE1CA4" w:rsidP="001D2FD7">
            <w:pPr>
              <w:spacing w:after="0" w:line="240" w:lineRule="auto"/>
              <w:jc w:val="right"/>
              <w:rPr>
                <w:rFonts w:ascii="Arial" w:eastAsia="Calibri" w:hAnsi="Arial" w:cs="Arial"/>
                <w:sz w:val="24"/>
                <w:szCs w:val="24"/>
                <w:highlight w:val="yellow"/>
              </w:rPr>
            </w:pPr>
          </w:p>
        </w:tc>
        <w:tc>
          <w:tcPr>
            <w:tcW w:w="256" w:type="dxa"/>
          </w:tcPr>
          <w:p w14:paraId="274DA4C3" w14:textId="77777777" w:rsidR="00FE1CA4" w:rsidRPr="00625123" w:rsidRDefault="00FE1CA4" w:rsidP="001D2FD7">
            <w:pPr>
              <w:spacing w:after="0" w:line="240" w:lineRule="auto"/>
              <w:jc w:val="center"/>
              <w:rPr>
                <w:rFonts w:ascii="Arial" w:eastAsia="Calibri" w:hAnsi="Arial" w:cs="Arial"/>
                <w:sz w:val="24"/>
                <w:szCs w:val="24"/>
                <w:highlight w:val="yellow"/>
              </w:rPr>
            </w:pPr>
          </w:p>
        </w:tc>
      </w:tr>
    </w:tbl>
    <w:p w14:paraId="554B3C57" w14:textId="77777777" w:rsidR="009C423B" w:rsidRDefault="009C423B">
      <w:bookmarkStart w:id="1" w:name="_Hlk520968274"/>
      <w:r>
        <w:br w:type="page"/>
      </w:r>
    </w:p>
    <w:tbl>
      <w:tblPr>
        <w:tblW w:w="0" w:type="auto"/>
        <w:tblInd w:w="-252" w:type="dxa"/>
        <w:tblLook w:val="01E0" w:firstRow="1" w:lastRow="1" w:firstColumn="1" w:lastColumn="1" w:noHBand="0" w:noVBand="0"/>
      </w:tblPr>
      <w:tblGrid>
        <w:gridCol w:w="1017"/>
        <w:gridCol w:w="7455"/>
        <w:gridCol w:w="884"/>
      </w:tblGrid>
      <w:tr w:rsidR="00FE1CA4" w:rsidRPr="00DA4649" w14:paraId="159AEEAD" w14:textId="77777777" w:rsidTr="00A07548">
        <w:tc>
          <w:tcPr>
            <w:tcW w:w="1017" w:type="dxa"/>
          </w:tcPr>
          <w:p w14:paraId="3D73A8F1" w14:textId="4B2493E9" w:rsidR="00FE1CA4" w:rsidRPr="00414704" w:rsidRDefault="00FE1CA4" w:rsidP="00FE1CA4">
            <w:pPr>
              <w:spacing w:after="0" w:line="240" w:lineRule="auto"/>
              <w:jc w:val="center"/>
              <w:rPr>
                <w:rFonts w:ascii="Arial" w:eastAsia="Calibri" w:hAnsi="Arial" w:cs="Arial"/>
                <w:sz w:val="24"/>
                <w:szCs w:val="24"/>
              </w:rPr>
            </w:pPr>
          </w:p>
        </w:tc>
        <w:tc>
          <w:tcPr>
            <w:tcW w:w="7455" w:type="dxa"/>
          </w:tcPr>
          <w:p w14:paraId="44A2BC83" w14:textId="77777777" w:rsidR="00FE1CA4" w:rsidRPr="00DA4649" w:rsidRDefault="00636A64" w:rsidP="00FE1CA4">
            <w:pPr>
              <w:spacing w:after="0" w:line="240" w:lineRule="auto"/>
              <w:jc w:val="center"/>
              <w:rPr>
                <w:rFonts w:ascii="Arial" w:eastAsia="Calibri" w:hAnsi="Arial" w:cs="Arial"/>
                <w:sz w:val="24"/>
                <w:szCs w:val="24"/>
              </w:rPr>
            </w:pPr>
            <w:bookmarkStart w:id="2" w:name="_Hlk520968289"/>
            <w:r w:rsidRPr="00DA4649">
              <w:rPr>
                <w:rFonts w:ascii="Arial" w:eastAsia="Calibri" w:hAnsi="Arial" w:cs="Arial"/>
                <w:b/>
                <w:sz w:val="26"/>
                <w:szCs w:val="26"/>
                <w:u w:val="single"/>
              </w:rPr>
              <w:t>LIST OF EXHIBITS (Continued)</w:t>
            </w:r>
            <w:bookmarkEnd w:id="2"/>
          </w:p>
        </w:tc>
        <w:tc>
          <w:tcPr>
            <w:tcW w:w="884" w:type="dxa"/>
          </w:tcPr>
          <w:p w14:paraId="3226CD33" w14:textId="77777777" w:rsidR="00FE1CA4" w:rsidRPr="00DA4649" w:rsidRDefault="00FE1CA4" w:rsidP="00FE1CA4">
            <w:pPr>
              <w:spacing w:after="0" w:line="240" w:lineRule="auto"/>
              <w:jc w:val="right"/>
              <w:rPr>
                <w:rFonts w:ascii="Arial" w:eastAsia="Calibri" w:hAnsi="Arial" w:cs="Arial"/>
                <w:b/>
                <w:sz w:val="24"/>
                <w:szCs w:val="24"/>
              </w:rPr>
            </w:pPr>
          </w:p>
        </w:tc>
      </w:tr>
      <w:bookmarkEnd w:id="1"/>
      <w:tr w:rsidR="00FE1CA4" w:rsidRPr="00DA4649" w14:paraId="07405D83" w14:textId="77777777" w:rsidTr="00A07548">
        <w:tc>
          <w:tcPr>
            <w:tcW w:w="1017" w:type="dxa"/>
          </w:tcPr>
          <w:p w14:paraId="73C331D2" w14:textId="77777777" w:rsidR="00FE1CA4" w:rsidRPr="008E7716" w:rsidRDefault="00FE1CA4" w:rsidP="00FE1CA4">
            <w:pPr>
              <w:spacing w:after="0" w:line="240" w:lineRule="auto"/>
              <w:jc w:val="center"/>
              <w:rPr>
                <w:rFonts w:ascii="Arial" w:eastAsia="Calibri" w:hAnsi="Arial" w:cs="Arial"/>
                <w:sz w:val="24"/>
                <w:szCs w:val="24"/>
              </w:rPr>
            </w:pPr>
          </w:p>
        </w:tc>
        <w:tc>
          <w:tcPr>
            <w:tcW w:w="7455" w:type="dxa"/>
          </w:tcPr>
          <w:p w14:paraId="225B305D" w14:textId="77777777" w:rsidR="00FE1CA4" w:rsidRPr="00DA4649" w:rsidRDefault="00FE1CA4" w:rsidP="00FE1CA4">
            <w:pPr>
              <w:spacing w:after="0" w:line="240" w:lineRule="auto"/>
              <w:rPr>
                <w:rFonts w:ascii="Arial" w:eastAsia="Calibri" w:hAnsi="Arial" w:cs="Arial"/>
                <w:sz w:val="24"/>
                <w:szCs w:val="24"/>
              </w:rPr>
            </w:pPr>
          </w:p>
        </w:tc>
        <w:tc>
          <w:tcPr>
            <w:tcW w:w="884" w:type="dxa"/>
          </w:tcPr>
          <w:p w14:paraId="1F5B28FE" w14:textId="77777777" w:rsidR="00FE1CA4" w:rsidRPr="00DA4649" w:rsidRDefault="00FE1CA4" w:rsidP="00FE1CA4">
            <w:pPr>
              <w:spacing w:after="0" w:line="240" w:lineRule="auto"/>
              <w:jc w:val="right"/>
              <w:rPr>
                <w:rFonts w:ascii="Arial" w:eastAsia="Calibri" w:hAnsi="Arial" w:cs="Arial"/>
                <w:b/>
                <w:sz w:val="24"/>
                <w:szCs w:val="24"/>
              </w:rPr>
            </w:pPr>
          </w:p>
        </w:tc>
      </w:tr>
      <w:tr w:rsidR="00FE1CA4" w:rsidRPr="00DA4649" w14:paraId="6533C8E6" w14:textId="77777777" w:rsidTr="00A07548">
        <w:tc>
          <w:tcPr>
            <w:tcW w:w="1017" w:type="dxa"/>
          </w:tcPr>
          <w:p w14:paraId="4B5017C5" w14:textId="77777777" w:rsidR="00FE1CA4" w:rsidRPr="008E7716" w:rsidRDefault="00FE1CA4" w:rsidP="00FE1CA4">
            <w:pPr>
              <w:spacing w:after="0" w:line="240" w:lineRule="auto"/>
              <w:jc w:val="center"/>
              <w:rPr>
                <w:rFonts w:ascii="Arial" w:eastAsia="Calibri" w:hAnsi="Arial" w:cs="Arial"/>
                <w:b/>
                <w:sz w:val="24"/>
                <w:szCs w:val="24"/>
                <w:u w:val="single"/>
              </w:rPr>
            </w:pPr>
            <w:r w:rsidRPr="00DA4649">
              <w:rPr>
                <w:rFonts w:ascii="Arial" w:eastAsia="Calibri" w:hAnsi="Arial" w:cs="Arial"/>
                <w:b/>
                <w:sz w:val="24"/>
                <w:szCs w:val="24"/>
                <w:u w:val="single"/>
              </w:rPr>
              <w:t>Exhibit</w:t>
            </w:r>
          </w:p>
        </w:tc>
        <w:tc>
          <w:tcPr>
            <w:tcW w:w="7455" w:type="dxa"/>
          </w:tcPr>
          <w:p w14:paraId="5AACCEB6" w14:textId="77777777" w:rsidR="00FE1CA4" w:rsidRPr="00DA4649" w:rsidRDefault="00FE1CA4" w:rsidP="00FE1CA4">
            <w:pPr>
              <w:spacing w:after="0" w:line="240" w:lineRule="auto"/>
              <w:jc w:val="center"/>
              <w:rPr>
                <w:rFonts w:ascii="Arial" w:eastAsia="Calibri" w:hAnsi="Arial" w:cs="Arial"/>
                <w:b/>
                <w:sz w:val="24"/>
                <w:szCs w:val="24"/>
              </w:rPr>
            </w:pPr>
          </w:p>
        </w:tc>
        <w:tc>
          <w:tcPr>
            <w:tcW w:w="884" w:type="dxa"/>
          </w:tcPr>
          <w:p w14:paraId="3282F668" w14:textId="77777777" w:rsidR="00FE1CA4" w:rsidRPr="00DA4649" w:rsidRDefault="00FE1CA4" w:rsidP="00FE1CA4">
            <w:pPr>
              <w:spacing w:after="0" w:line="240" w:lineRule="auto"/>
              <w:jc w:val="center"/>
              <w:rPr>
                <w:rFonts w:ascii="Arial" w:eastAsia="Calibri" w:hAnsi="Arial" w:cs="Arial"/>
                <w:b/>
                <w:sz w:val="24"/>
                <w:szCs w:val="24"/>
                <w:u w:val="single"/>
              </w:rPr>
            </w:pPr>
            <w:r w:rsidRPr="00DA4649">
              <w:rPr>
                <w:rFonts w:ascii="Arial" w:eastAsia="Calibri" w:hAnsi="Arial" w:cs="Arial"/>
                <w:b/>
                <w:sz w:val="24"/>
                <w:szCs w:val="24"/>
                <w:u w:val="single"/>
              </w:rPr>
              <w:t>Page</w:t>
            </w:r>
          </w:p>
        </w:tc>
      </w:tr>
      <w:tr w:rsidR="007C0CF2" w:rsidRPr="00DA4649" w14:paraId="61252655" w14:textId="77777777" w:rsidTr="00A07548">
        <w:tc>
          <w:tcPr>
            <w:tcW w:w="1017" w:type="dxa"/>
          </w:tcPr>
          <w:p w14:paraId="0EAF0696" w14:textId="77777777" w:rsidR="007C0CF2" w:rsidRPr="008E7716" w:rsidRDefault="007C0CF2" w:rsidP="00FE1CA4">
            <w:pPr>
              <w:spacing w:after="0" w:line="240" w:lineRule="auto"/>
              <w:jc w:val="center"/>
              <w:rPr>
                <w:rFonts w:ascii="Arial" w:eastAsia="Calibri" w:hAnsi="Arial" w:cs="Arial"/>
                <w:sz w:val="24"/>
                <w:szCs w:val="24"/>
              </w:rPr>
            </w:pPr>
          </w:p>
        </w:tc>
        <w:tc>
          <w:tcPr>
            <w:tcW w:w="7455" w:type="dxa"/>
          </w:tcPr>
          <w:p w14:paraId="6B9C5299" w14:textId="77777777" w:rsidR="007C0CF2" w:rsidRPr="008E7716" w:rsidRDefault="007C0CF2" w:rsidP="00FE1CA4">
            <w:pPr>
              <w:spacing w:after="0" w:line="240" w:lineRule="auto"/>
              <w:rPr>
                <w:rFonts w:ascii="Arial" w:eastAsia="Calibri" w:hAnsi="Arial" w:cs="Arial"/>
                <w:sz w:val="24"/>
                <w:szCs w:val="24"/>
              </w:rPr>
            </w:pPr>
          </w:p>
        </w:tc>
        <w:tc>
          <w:tcPr>
            <w:tcW w:w="884" w:type="dxa"/>
          </w:tcPr>
          <w:p w14:paraId="6719BAEE" w14:textId="77777777" w:rsidR="007C0CF2" w:rsidRPr="008E7716" w:rsidRDefault="007C0CF2" w:rsidP="00FE1CA4">
            <w:pPr>
              <w:spacing w:after="0" w:line="240" w:lineRule="auto"/>
              <w:jc w:val="right"/>
              <w:rPr>
                <w:rFonts w:ascii="Arial" w:eastAsia="Calibri" w:hAnsi="Arial" w:cs="Arial"/>
                <w:b/>
                <w:sz w:val="24"/>
                <w:szCs w:val="24"/>
              </w:rPr>
            </w:pPr>
          </w:p>
        </w:tc>
      </w:tr>
      <w:tr w:rsidR="007C0CF2" w:rsidRPr="00DA4649" w14:paraId="0E288788" w14:textId="77777777" w:rsidTr="00A07548">
        <w:tc>
          <w:tcPr>
            <w:tcW w:w="1017" w:type="dxa"/>
          </w:tcPr>
          <w:p w14:paraId="693C7DF7" w14:textId="77777777" w:rsidR="007C0CF2" w:rsidRPr="008E7716" w:rsidRDefault="007C0CF2" w:rsidP="00FE1CA4">
            <w:pPr>
              <w:spacing w:after="0" w:line="240" w:lineRule="auto"/>
              <w:jc w:val="center"/>
              <w:rPr>
                <w:rFonts w:ascii="Arial" w:eastAsia="Calibri" w:hAnsi="Arial" w:cs="Arial"/>
                <w:sz w:val="24"/>
                <w:szCs w:val="24"/>
              </w:rPr>
            </w:pPr>
            <w:r w:rsidRPr="008E7716">
              <w:rPr>
                <w:rFonts w:ascii="Arial" w:eastAsia="Calibri" w:hAnsi="Arial" w:cs="Arial"/>
                <w:sz w:val="24"/>
                <w:szCs w:val="24"/>
              </w:rPr>
              <w:t>X-15</w:t>
            </w:r>
          </w:p>
        </w:tc>
        <w:tc>
          <w:tcPr>
            <w:tcW w:w="7455" w:type="dxa"/>
          </w:tcPr>
          <w:p w14:paraId="50B96CEF" w14:textId="77777777" w:rsidR="007C0CF2" w:rsidRPr="008E7716" w:rsidRDefault="007C0CF2" w:rsidP="008E7716">
            <w:pPr>
              <w:spacing w:after="0" w:line="240" w:lineRule="auto"/>
              <w:ind w:left="390" w:hanging="390"/>
              <w:rPr>
                <w:rFonts w:ascii="Arial" w:eastAsia="Calibri" w:hAnsi="Arial" w:cs="Arial"/>
                <w:sz w:val="24"/>
                <w:szCs w:val="24"/>
              </w:rPr>
            </w:pPr>
            <w:r w:rsidRPr="00DA4649">
              <w:rPr>
                <w:rFonts w:ascii="Arial" w:eastAsia="Calibri" w:hAnsi="Arial" w:cs="Arial"/>
                <w:sz w:val="24"/>
                <w:szCs w:val="24"/>
              </w:rPr>
              <w:t>FirstEnergy Pennsylvania Companies vs. Panel Average     Average Arrears per Residential Customer - For the Years 2008 through 2012</w:t>
            </w:r>
          </w:p>
        </w:tc>
        <w:tc>
          <w:tcPr>
            <w:tcW w:w="884" w:type="dxa"/>
          </w:tcPr>
          <w:p w14:paraId="7494DE7E" w14:textId="77777777" w:rsidR="007C0CF2" w:rsidRPr="008E7716" w:rsidRDefault="007C0CF2" w:rsidP="00FE1CA4">
            <w:pPr>
              <w:spacing w:after="0" w:line="240" w:lineRule="auto"/>
              <w:jc w:val="right"/>
              <w:rPr>
                <w:rFonts w:ascii="Arial" w:eastAsia="Calibri" w:hAnsi="Arial" w:cs="Arial"/>
                <w:sz w:val="24"/>
                <w:szCs w:val="24"/>
              </w:rPr>
            </w:pPr>
            <w:r w:rsidRPr="008E7716">
              <w:rPr>
                <w:rFonts w:ascii="Arial" w:eastAsia="Calibri" w:hAnsi="Arial" w:cs="Arial"/>
                <w:sz w:val="24"/>
                <w:szCs w:val="24"/>
              </w:rPr>
              <w:t>7</w:t>
            </w:r>
            <w:r w:rsidR="00DA4649">
              <w:rPr>
                <w:rFonts w:ascii="Arial" w:eastAsia="Calibri" w:hAnsi="Arial" w:cs="Arial"/>
                <w:sz w:val="24"/>
                <w:szCs w:val="24"/>
              </w:rPr>
              <w:t>3</w:t>
            </w:r>
          </w:p>
        </w:tc>
      </w:tr>
      <w:tr w:rsidR="00FE1CA4" w:rsidRPr="00DA4649" w14:paraId="45E82BCA" w14:textId="77777777" w:rsidTr="00A07548">
        <w:tc>
          <w:tcPr>
            <w:tcW w:w="1017" w:type="dxa"/>
          </w:tcPr>
          <w:p w14:paraId="43E41458" w14:textId="77777777" w:rsidR="00FE1CA4" w:rsidRPr="008E7716" w:rsidRDefault="00FE1CA4" w:rsidP="00FE1CA4">
            <w:pPr>
              <w:spacing w:after="0" w:line="240" w:lineRule="auto"/>
              <w:jc w:val="center"/>
              <w:rPr>
                <w:rFonts w:ascii="Arial" w:eastAsia="Calibri" w:hAnsi="Arial" w:cs="Arial"/>
                <w:sz w:val="24"/>
                <w:szCs w:val="24"/>
              </w:rPr>
            </w:pPr>
          </w:p>
        </w:tc>
        <w:tc>
          <w:tcPr>
            <w:tcW w:w="7455" w:type="dxa"/>
          </w:tcPr>
          <w:p w14:paraId="1FED46B1" w14:textId="77777777" w:rsidR="00FE1CA4" w:rsidRPr="008E7716" w:rsidRDefault="00FE1CA4" w:rsidP="00FE1CA4">
            <w:pPr>
              <w:spacing w:after="0" w:line="240" w:lineRule="auto"/>
              <w:rPr>
                <w:rFonts w:ascii="Arial" w:eastAsia="Calibri" w:hAnsi="Arial" w:cs="Arial"/>
                <w:sz w:val="24"/>
                <w:szCs w:val="24"/>
              </w:rPr>
            </w:pPr>
          </w:p>
        </w:tc>
        <w:tc>
          <w:tcPr>
            <w:tcW w:w="884" w:type="dxa"/>
          </w:tcPr>
          <w:p w14:paraId="6CBDBC28" w14:textId="77777777" w:rsidR="00FE1CA4" w:rsidRPr="008E7716" w:rsidRDefault="00FE1CA4" w:rsidP="00FE1CA4">
            <w:pPr>
              <w:spacing w:after="0" w:line="240" w:lineRule="auto"/>
              <w:jc w:val="right"/>
              <w:rPr>
                <w:rFonts w:ascii="Arial" w:eastAsia="Calibri" w:hAnsi="Arial" w:cs="Arial"/>
                <w:b/>
                <w:sz w:val="24"/>
                <w:szCs w:val="24"/>
              </w:rPr>
            </w:pPr>
          </w:p>
        </w:tc>
      </w:tr>
      <w:tr w:rsidR="00FE1CA4" w:rsidRPr="00DA4649" w14:paraId="53ADE2EF" w14:textId="77777777" w:rsidTr="00A07548">
        <w:tc>
          <w:tcPr>
            <w:tcW w:w="1017" w:type="dxa"/>
          </w:tcPr>
          <w:p w14:paraId="76E4B587" w14:textId="77777777" w:rsidR="00FE1CA4" w:rsidRPr="00DA4649" w:rsidRDefault="00FE1CA4" w:rsidP="00FE1CA4">
            <w:pPr>
              <w:spacing w:after="0" w:line="240" w:lineRule="auto"/>
              <w:jc w:val="center"/>
              <w:rPr>
                <w:rFonts w:ascii="Arial" w:eastAsia="Calibri" w:hAnsi="Arial" w:cs="Arial"/>
                <w:sz w:val="24"/>
                <w:szCs w:val="24"/>
              </w:rPr>
            </w:pPr>
            <w:r w:rsidRPr="00DA4649">
              <w:rPr>
                <w:rFonts w:ascii="Arial" w:eastAsia="Calibri" w:hAnsi="Arial" w:cs="Arial"/>
                <w:sz w:val="24"/>
                <w:szCs w:val="24"/>
              </w:rPr>
              <w:t>X-16</w:t>
            </w:r>
          </w:p>
        </w:tc>
        <w:tc>
          <w:tcPr>
            <w:tcW w:w="7455" w:type="dxa"/>
          </w:tcPr>
          <w:p w14:paraId="3F14F162" w14:textId="77777777" w:rsidR="00FE1CA4" w:rsidRPr="00DA4649" w:rsidRDefault="00FE1CA4" w:rsidP="00FE1CA4">
            <w:pPr>
              <w:spacing w:after="0" w:line="240" w:lineRule="auto"/>
              <w:ind w:left="390" w:hanging="390"/>
              <w:rPr>
                <w:rFonts w:ascii="Arial" w:eastAsia="Calibri" w:hAnsi="Arial" w:cs="Arial"/>
                <w:sz w:val="24"/>
                <w:szCs w:val="24"/>
              </w:rPr>
            </w:pPr>
            <w:r w:rsidRPr="00DA4649">
              <w:rPr>
                <w:rFonts w:ascii="Arial" w:eastAsia="Calibri" w:hAnsi="Arial" w:cs="Arial"/>
                <w:sz w:val="24"/>
                <w:szCs w:val="24"/>
              </w:rPr>
              <w:t xml:space="preserve">FirstEnergy Pennsylvania Companies’ Arrearages </w:t>
            </w:r>
            <w:r w:rsidR="00C459B8" w:rsidRPr="00DA4649">
              <w:rPr>
                <w:rFonts w:ascii="Arial" w:eastAsia="Calibri" w:hAnsi="Arial" w:cs="Arial"/>
                <w:sz w:val="24"/>
                <w:szCs w:val="24"/>
              </w:rPr>
              <w:t xml:space="preserve">                       </w:t>
            </w:r>
            <w:r w:rsidRPr="00DA4649">
              <w:rPr>
                <w:rFonts w:ascii="Arial" w:eastAsia="Calibri" w:hAnsi="Arial" w:cs="Arial"/>
                <w:sz w:val="24"/>
                <w:szCs w:val="24"/>
              </w:rPr>
              <w:t>31-60, 61-90, 91 -120 and &gt;120 Days - For the Period 2013 through 2017</w:t>
            </w:r>
          </w:p>
        </w:tc>
        <w:tc>
          <w:tcPr>
            <w:tcW w:w="884" w:type="dxa"/>
          </w:tcPr>
          <w:p w14:paraId="217D0176" w14:textId="77777777" w:rsidR="00FE1CA4" w:rsidRPr="00DA4649" w:rsidRDefault="006E496B" w:rsidP="00FE1CA4">
            <w:pPr>
              <w:spacing w:after="0" w:line="240" w:lineRule="auto"/>
              <w:jc w:val="right"/>
              <w:rPr>
                <w:rFonts w:ascii="Arial" w:eastAsia="Calibri" w:hAnsi="Arial" w:cs="Arial"/>
                <w:sz w:val="24"/>
                <w:szCs w:val="24"/>
              </w:rPr>
            </w:pPr>
            <w:r w:rsidRPr="00DA4649">
              <w:rPr>
                <w:rFonts w:ascii="Arial" w:eastAsia="Calibri" w:hAnsi="Arial" w:cs="Arial"/>
                <w:sz w:val="24"/>
                <w:szCs w:val="24"/>
              </w:rPr>
              <w:t>7</w:t>
            </w:r>
            <w:r w:rsidR="00DA4649">
              <w:rPr>
                <w:rFonts w:ascii="Arial" w:eastAsia="Calibri" w:hAnsi="Arial" w:cs="Arial"/>
                <w:sz w:val="24"/>
                <w:szCs w:val="24"/>
              </w:rPr>
              <w:t>4</w:t>
            </w:r>
          </w:p>
        </w:tc>
      </w:tr>
      <w:tr w:rsidR="00FE1CA4" w:rsidRPr="00DA4649" w14:paraId="7C9989D0" w14:textId="77777777" w:rsidTr="00A07548">
        <w:tc>
          <w:tcPr>
            <w:tcW w:w="1017" w:type="dxa"/>
          </w:tcPr>
          <w:p w14:paraId="50E7C736" w14:textId="77777777" w:rsidR="00FE1CA4" w:rsidRPr="008E7716" w:rsidRDefault="00FE1CA4" w:rsidP="00FE1CA4">
            <w:pPr>
              <w:spacing w:after="0" w:line="240" w:lineRule="auto"/>
              <w:jc w:val="center"/>
              <w:rPr>
                <w:rFonts w:ascii="Arial" w:eastAsia="Calibri" w:hAnsi="Arial" w:cs="Arial"/>
                <w:sz w:val="24"/>
                <w:szCs w:val="24"/>
              </w:rPr>
            </w:pPr>
          </w:p>
        </w:tc>
        <w:tc>
          <w:tcPr>
            <w:tcW w:w="7455" w:type="dxa"/>
          </w:tcPr>
          <w:p w14:paraId="66D23B08" w14:textId="77777777" w:rsidR="00FE1CA4" w:rsidRPr="008E7716" w:rsidRDefault="00FE1CA4" w:rsidP="00FE1CA4">
            <w:pPr>
              <w:spacing w:after="0" w:line="240" w:lineRule="auto"/>
              <w:rPr>
                <w:rFonts w:ascii="Arial" w:eastAsia="Calibri" w:hAnsi="Arial" w:cs="Arial"/>
                <w:sz w:val="24"/>
                <w:szCs w:val="24"/>
              </w:rPr>
            </w:pPr>
          </w:p>
        </w:tc>
        <w:tc>
          <w:tcPr>
            <w:tcW w:w="884" w:type="dxa"/>
          </w:tcPr>
          <w:p w14:paraId="2A2F88A2" w14:textId="77777777" w:rsidR="00FE1CA4" w:rsidRPr="00DA4649" w:rsidRDefault="00FE1CA4" w:rsidP="00FE1CA4">
            <w:pPr>
              <w:spacing w:after="0" w:line="240" w:lineRule="auto"/>
              <w:jc w:val="right"/>
              <w:rPr>
                <w:rFonts w:ascii="Arial" w:eastAsia="Calibri" w:hAnsi="Arial" w:cs="Arial"/>
                <w:b/>
                <w:sz w:val="24"/>
                <w:szCs w:val="24"/>
              </w:rPr>
            </w:pPr>
          </w:p>
        </w:tc>
      </w:tr>
      <w:tr w:rsidR="00FE1CA4" w:rsidRPr="00DA4649" w14:paraId="77FF26A0" w14:textId="77777777" w:rsidTr="00A07548">
        <w:tc>
          <w:tcPr>
            <w:tcW w:w="1017" w:type="dxa"/>
          </w:tcPr>
          <w:p w14:paraId="2948DE09" w14:textId="77777777" w:rsidR="00FE1CA4" w:rsidRPr="00DA4649" w:rsidRDefault="00FE1CA4" w:rsidP="00FE1CA4">
            <w:pPr>
              <w:spacing w:after="0" w:line="240" w:lineRule="auto"/>
              <w:jc w:val="center"/>
              <w:rPr>
                <w:rFonts w:ascii="Arial" w:eastAsia="Calibri" w:hAnsi="Arial" w:cs="Arial"/>
                <w:sz w:val="24"/>
                <w:szCs w:val="24"/>
              </w:rPr>
            </w:pPr>
            <w:r w:rsidRPr="00DA4649">
              <w:rPr>
                <w:rFonts w:ascii="Arial" w:eastAsia="Calibri" w:hAnsi="Arial" w:cs="Arial"/>
                <w:sz w:val="24"/>
                <w:szCs w:val="24"/>
              </w:rPr>
              <w:t>X-17</w:t>
            </w:r>
          </w:p>
        </w:tc>
        <w:tc>
          <w:tcPr>
            <w:tcW w:w="7455" w:type="dxa"/>
          </w:tcPr>
          <w:p w14:paraId="6B7AC147" w14:textId="77777777" w:rsidR="00FE1CA4" w:rsidRPr="00DA4649" w:rsidRDefault="00FE1CA4" w:rsidP="00FE1CA4">
            <w:pPr>
              <w:spacing w:after="0" w:line="240" w:lineRule="auto"/>
              <w:ind w:left="390" w:hanging="390"/>
              <w:rPr>
                <w:rFonts w:ascii="Arial" w:eastAsia="Calibri" w:hAnsi="Arial" w:cs="Arial"/>
                <w:sz w:val="24"/>
                <w:szCs w:val="24"/>
              </w:rPr>
            </w:pPr>
            <w:r w:rsidRPr="00DA4649">
              <w:rPr>
                <w:rFonts w:ascii="Arial" w:eastAsia="Calibri" w:hAnsi="Arial" w:cs="Arial"/>
                <w:sz w:val="24"/>
                <w:szCs w:val="24"/>
              </w:rPr>
              <w:t xml:space="preserve">FirstEnergy Pennsylvania Companies vs. Panel Average </w:t>
            </w:r>
            <w:r w:rsidR="00C459B8" w:rsidRPr="00DA4649">
              <w:rPr>
                <w:rFonts w:ascii="Arial" w:eastAsia="Calibri" w:hAnsi="Arial" w:cs="Arial"/>
                <w:sz w:val="24"/>
                <w:szCs w:val="24"/>
              </w:rPr>
              <w:t xml:space="preserve">    </w:t>
            </w:r>
            <w:r w:rsidRPr="00DA4649">
              <w:rPr>
                <w:rFonts w:ascii="Arial" w:eastAsia="Calibri" w:hAnsi="Arial" w:cs="Arial"/>
                <w:sz w:val="24"/>
                <w:szCs w:val="24"/>
              </w:rPr>
              <w:t>Average Arrearages per Residential Customer - For the Period 2013 through 2016</w:t>
            </w:r>
          </w:p>
        </w:tc>
        <w:tc>
          <w:tcPr>
            <w:tcW w:w="884" w:type="dxa"/>
          </w:tcPr>
          <w:p w14:paraId="5F55C1F8" w14:textId="77777777" w:rsidR="00FE1CA4" w:rsidRPr="00DA4649" w:rsidRDefault="006E496B" w:rsidP="00FE1CA4">
            <w:pPr>
              <w:spacing w:after="0" w:line="240" w:lineRule="auto"/>
              <w:jc w:val="right"/>
              <w:rPr>
                <w:rFonts w:ascii="Arial" w:eastAsia="Calibri" w:hAnsi="Arial" w:cs="Arial"/>
                <w:sz w:val="24"/>
                <w:szCs w:val="24"/>
              </w:rPr>
            </w:pPr>
            <w:r w:rsidRPr="00DA4649">
              <w:rPr>
                <w:rFonts w:ascii="Arial" w:eastAsia="Calibri" w:hAnsi="Arial" w:cs="Arial"/>
                <w:sz w:val="24"/>
                <w:szCs w:val="24"/>
              </w:rPr>
              <w:t>7</w:t>
            </w:r>
            <w:r w:rsidR="00DA4649">
              <w:rPr>
                <w:rFonts w:ascii="Arial" w:eastAsia="Calibri" w:hAnsi="Arial" w:cs="Arial"/>
                <w:sz w:val="24"/>
                <w:szCs w:val="24"/>
              </w:rPr>
              <w:t>5</w:t>
            </w:r>
          </w:p>
        </w:tc>
      </w:tr>
      <w:tr w:rsidR="00FE1CA4" w:rsidRPr="00DA4649" w14:paraId="0F8B1EA6" w14:textId="77777777" w:rsidTr="00A07548">
        <w:tc>
          <w:tcPr>
            <w:tcW w:w="1017" w:type="dxa"/>
          </w:tcPr>
          <w:p w14:paraId="1279B8AC" w14:textId="77777777" w:rsidR="00FE1CA4" w:rsidRPr="008E7716" w:rsidRDefault="00FE1CA4" w:rsidP="00FE1CA4">
            <w:pPr>
              <w:spacing w:after="0" w:line="240" w:lineRule="auto"/>
              <w:jc w:val="center"/>
              <w:rPr>
                <w:rFonts w:ascii="Arial" w:eastAsia="Calibri" w:hAnsi="Arial" w:cs="Arial"/>
                <w:sz w:val="24"/>
                <w:szCs w:val="24"/>
              </w:rPr>
            </w:pPr>
          </w:p>
        </w:tc>
        <w:tc>
          <w:tcPr>
            <w:tcW w:w="7455" w:type="dxa"/>
          </w:tcPr>
          <w:p w14:paraId="62AE4B5D" w14:textId="77777777" w:rsidR="00FE1CA4" w:rsidRPr="008E7716" w:rsidRDefault="00FE1CA4" w:rsidP="00FE1CA4">
            <w:pPr>
              <w:spacing w:after="0" w:line="240" w:lineRule="auto"/>
              <w:rPr>
                <w:rFonts w:ascii="Arial" w:eastAsia="Calibri" w:hAnsi="Arial" w:cs="Arial"/>
                <w:sz w:val="24"/>
                <w:szCs w:val="24"/>
              </w:rPr>
            </w:pPr>
          </w:p>
        </w:tc>
        <w:tc>
          <w:tcPr>
            <w:tcW w:w="884" w:type="dxa"/>
          </w:tcPr>
          <w:p w14:paraId="538E276B" w14:textId="77777777" w:rsidR="00FE1CA4" w:rsidRPr="00DA4649" w:rsidRDefault="00FE1CA4" w:rsidP="00FE1CA4">
            <w:pPr>
              <w:spacing w:after="0" w:line="240" w:lineRule="auto"/>
              <w:jc w:val="right"/>
              <w:rPr>
                <w:rFonts w:ascii="Arial" w:eastAsia="Calibri" w:hAnsi="Arial" w:cs="Arial"/>
                <w:sz w:val="24"/>
                <w:szCs w:val="24"/>
              </w:rPr>
            </w:pPr>
          </w:p>
        </w:tc>
      </w:tr>
      <w:tr w:rsidR="00FE1CA4" w:rsidRPr="00DA4649" w14:paraId="3F1CDBAD" w14:textId="77777777" w:rsidTr="00A07548">
        <w:tc>
          <w:tcPr>
            <w:tcW w:w="1017" w:type="dxa"/>
          </w:tcPr>
          <w:p w14:paraId="6723738F" w14:textId="77777777" w:rsidR="00FE1CA4" w:rsidRPr="00DA4649" w:rsidRDefault="00FE1CA4" w:rsidP="00FE1CA4">
            <w:pPr>
              <w:spacing w:after="0" w:line="240" w:lineRule="auto"/>
              <w:jc w:val="center"/>
              <w:rPr>
                <w:rFonts w:ascii="Arial" w:eastAsia="Calibri" w:hAnsi="Arial" w:cs="Arial"/>
                <w:sz w:val="24"/>
                <w:szCs w:val="24"/>
              </w:rPr>
            </w:pPr>
            <w:r w:rsidRPr="00DA4649">
              <w:rPr>
                <w:rFonts w:ascii="Arial" w:eastAsia="Calibri" w:hAnsi="Arial" w:cs="Arial"/>
                <w:sz w:val="24"/>
                <w:szCs w:val="24"/>
              </w:rPr>
              <w:t>X-18</w:t>
            </w:r>
          </w:p>
        </w:tc>
        <w:tc>
          <w:tcPr>
            <w:tcW w:w="7455" w:type="dxa"/>
          </w:tcPr>
          <w:p w14:paraId="56152A10" w14:textId="77777777" w:rsidR="00FE1CA4" w:rsidRPr="00DA4649" w:rsidRDefault="00FE1CA4" w:rsidP="00FE1CA4">
            <w:pPr>
              <w:spacing w:after="0" w:line="240" w:lineRule="auto"/>
              <w:ind w:left="390" w:hanging="390"/>
              <w:rPr>
                <w:rFonts w:ascii="Arial" w:eastAsia="Calibri" w:hAnsi="Arial" w:cs="Arial"/>
                <w:sz w:val="24"/>
                <w:szCs w:val="24"/>
              </w:rPr>
            </w:pPr>
            <w:r w:rsidRPr="00DA4649">
              <w:rPr>
                <w:rFonts w:ascii="Arial" w:eastAsia="Calibri" w:hAnsi="Arial" w:cs="Arial"/>
                <w:sz w:val="24"/>
                <w:szCs w:val="24"/>
              </w:rPr>
              <w:t>FirstEnergy Pennsylvania Companies’ Final Bill Collection Performance - For the Period 2014 through 2017</w:t>
            </w:r>
          </w:p>
        </w:tc>
        <w:tc>
          <w:tcPr>
            <w:tcW w:w="884" w:type="dxa"/>
          </w:tcPr>
          <w:p w14:paraId="04FB7DFC" w14:textId="77777777" w:rsidR="00FE1CA4" w:rsidRPr="00DA4649" w:rsidRDefault="00DA4649" w:rsidP="00FE1CA4">
            <w:pPr>
              <w:spacing w:after="0" w:line="240" w:lineRule="auto"/>
              <w:jc w:val="right"/>
              <w:rPr>
                <w:rFonts w:ascii="Arial" w:eastAsia="Calibri" w:hAnsi="Arial" w:cs="Arial"/>
                <w:sz w:val="24"/>
                <w:szCs w:val="24"/>
              </w:rPr>
            </w:pPr>
            <w:r>
              <w:rPr>
                <w:rFonts w:ascii="Arial" w:eastAsia="Calibri" w:hAnsi="Arial" w:cs="Arial"/>
                <w:sz w:val="24"/>
                <w:szCs w:val="24"/>
              </w:rPr>
              <w:t>77</w:t>
            </w:r>
          </w:p>
        </w:tc>
      </w:tr>
      <w:tr w:rsidR="00FE1CA4" w:rsidRPr="00DA4649" w14:paraId="5858D258" w14:textId="77777777" w:rsidTr="00A07548">
        <w:tc>
          <w:tcPr>
            <w:tcW w:w="1017" w:type="dxa"/>
          </w:tcPr>
          <w:p w14:paraId="51245F5A" w14:textId="77777777" w:rsidR="00FE1CA4" w:rsidRPr="008E7716" w:rsidRDefault="00FE1CA4" w:rsidP="00FE1CA4">
            <w:pPr>
              <w:spacing w:after="0" w:line="240" w:lineRule="auto"/>
              <w:jc w:val="center"/>
              <w:rPr>
                <w:rFonts w:ascii="Arial" w:eastAsia="Calibri" w:hAnsi="Arial" w:cs="Arial"/>
                <w:sz w:val="24"/>
                <w:szCs w:val="24"/>
              </w:rPr>
            </w:pPr>
          </w:p>
        </w:tc>
        <w:tc>
          <w:tcPr>
            <w:tcW w:w="7455" w:type="dxa"/>
          </w:tcPr>
          <w:p w14:paraId="7B6AE1EC" w14:textId="77777777" w:rsidR="00FE1CA4" w:rsidRPr="008E7716" w:rsidRDefault="00FE1CA4" w:rsidP="00FE1CA4">
            <w:pPr>
              <w:spacing w:after="0" w:line="240" w:lineRule="auto"/>
              <w:rPr>
                <w:rFonts w:ascii="Arial" w:eastAsia="Calibri" w:hAnsi="Arial" w:cs="Arial"/>
                <w:sz w:val="24"/>
                <w:szCs w:val="24"/>
              </w:rPr>
            </w:pPr>
          </w:p>
        </w:tc>
        <w:tc>
          <w:tcPr>
            <w:tcW w:w="884" w:type="dxa"/>
          </w:tcPr>
          <w:p w14:paraId="4E6A1FF5" w14:textId="77777777" w:rsidR="00FE1CA4" w:rsidRPr="00DA4649" w:rsidRDefault="00FE1CA4" w:rsidP="00FE1CA4">
            <w:pPr>
              <w:spacing w:after="0" w:line="240" w:lineRule="auto"/>
              <w:jc w:val="right"/>
              <w:rPr>
                <w:rFonts w:ascii="Arial" w:eastAsia="Calibri" w:hAnsi="Arial" w:cs="Arial"/>
                <w:sz w:val="24"/>
                <w:szCs w:val="24"/>
              </w:rPr>
            </w:pPr>
          </w:p>
        </w:tc>
      </w:tr>
      <w:tr w:rsidR="00FE1CA4" w:rsidRPr="00DA4649" w14:paraId="208456AA" w14:textId="77777777" w:rsidTr="00A07548">
        <w:tc>
          <w:tcPr>
            <w:tcW w:w="1017" w:type="dxa"/>
          </w:tcPr>
          <w:p w14:paraId="628A59BA" w14:textId="77777777" w:rsidR="00FE1CA4" w:rsidRPr="00DA4649" w:rsidRDefault="00FE1CA4" w:rsidP="00FE1CA4">
            <w:pPr>
              <w:spacing w:after="0" w:line="240" w:lineRule="auto"/>
              <w:jc w:val="center"/>
              <w:rPr>
                <w:rFonts w:ascii="Arial" w:eastAsia="Calibri" w:hAnsi="Arial" w:cs="Arial"/>
                <w:sz w:val="24"/>
                <w:szCs w:val="24"/>
              </w:rPr>
            </w:pPr>
            <w:r w:rsidRPr="00DA4649">
              <w:rPr>
                <w:rFonts w:ascii="Arial" w:eastAsia="Calibri" w:hAnsi="Arial" w:cs="Arial"/>
                <w:sz w:val="24"/>
                <w:szCs w:val="24"/>
              </w:rPr>
              <w:t>X-19</w:t>
            </w:r>
          </w:p>
        </w:tc>
        <w:tc>
          <w:tcPr>
            <w:tcW w:w="7455" w:type="dxa"/>
          </w:tcPr>
          <w:p w14:paraId="70A113A7" w14:textId="77777777" w:rsidR="00FE1CA4" w:rsidRPr="00DA4649" w:rsidRDefault="00FE1CA4" w:rsidP="00FE1CA4">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FirstEnergy Pennsylvania Companies’ Primary Collection Performance - For the Period 2014 through 2017</w:t>
            </w:r>
          </w:p>
        </w:tc>
        <w:tc>
          <w:tcPr>
            <w:tcW w:w="884" w:type="dxa"/>
          </w:tcPr>
          <w:p w14:paraId="6E7BDAC3" w14:textId="77777777" w:rsidR="00FE1CA4" w:rsidRPr="00DA4649" w:rsidRDefault="00DA4649" w:rsidP="00FE1CA4">
            <w:pPr>
              <w:spacing w:after="0" w:line="240" w:lineRule="auto"/>
              <w:jc w:val="right"/>
              <w:rPr>
                <w:rFonts w:ascii="Arial" w:eastAsia="Calibri" w:hAnsi="Arial" w:cs="Arial"/>
                <w:sz w:val="24"/>
                <w:szCs w:val="24"/>
              </w:rPr>
            </w:pPr>
            <w:r>
              <w:rPr>
                <w:rFonts w:ascii="Arial" w:eastAsia="Calibri" w:hAnsi="Arial" w:cs="Arial"/>
                <w:sz w:val="24"/>
                <w:szCs w:val="24"/>
              </w:rPr>
              <w:t>78</w:t>
            </w:r>
          </w:p>
        </w:tc>
      </w:tr>
      <w:tr w:rsidR="00FE1CA4" w:rsidRPr="00DA4649" w14:paraId="5AC89B83" w14:textId="77777777" w:rsidTr="00A07548">
        <w:tc>
          <w:tcPr>
            <w:tcW w:w="1017" w:type="dxa"/>
          </w:tcPr>
          <w:p w14:paraId="0FFD79EC" w14:textId="77777777" w:rsidR="00FE1CA4" w:rsidRPr="008E7716" w:rsidRDefault="00FE1CA4" w:rsidP="00FE1CA4">
            <w:pPr>
              <w:spacing w:after="0" w:line="240" w:lineRule="auto"/>
              <w:jc w:val="center"/>
              <w:rPr>
                <w:rFonts w:ascii="Arial" w:eastAsia="Calibri" w:hAnsi="Arial" w:cs="Arial"/>
                <w:sz w:val="24"/>
                <w:szCs w:val="24"/>
              </w:rPr>
            </w:pPr>
          </w:p>
        </w:tc>
        <w:tc>
          <w:tcPr>
            <w:tcW w:w="7455" w:type="dxa"/>
          </w:tcPr>
          <w:p w14:paraId="0A3B1520" w14:textId="77777777" w:rsidR="00FE1CA4" w:rsidRPr="008E7716" w:rsidRDefault="00FE1CA4" w:rsidP="00FE1CA4">
            <w:pPr>
              <w:spacing w:after="0" w:line="240" w:lineRule="auto"/>
              <w:rPr>
                <w:rFonts w:ascii="Arial" w:eastAsia="Calibri" w:hAnsi="Arial" w:cs="Arial"/>
                <w:sz w:val="24"/>
                <w:szCs w:val="24"/>
              </w:rPr>
            </w:pPr>
          </w:p>
        </w:tc>
        <w:tc>
          <w:tcPr>
            <w:tcW w:w="884" w:type="dxa"/>
          </w:tcPr>
          <w:p w14:paraId="17A61D8E" w14:textId="77777777" w:rsidR="00FE1CA4" w:rsidRPr="00DA4649" w:rsidRDefault="00FE1CA4" w:rsidP="00FE1CA4">
            <w:pPr>
              <w:spacing w:after="0" w:line="240" w:lineRule="auto"/>
              <w:jc w:val="right"/>
              <w:rPr>
                <w:rFonts w:ascii="Arial" w:eastAsia="Calibri" w:hAnsi="Arial" w:cs="Arial"/>
                <w:sz w:val="24"/>
                <w:szCs w:val="24"/>
              </w:rPr>
            </w:pPr>
          </w:p>
        </w:tc>
      </w:tr>
      <w:tr w:rsidR="00FE1CA4" w:rsidRPr="00DA4649" w14:paraId="0FD1E242" w14:textId="77777777" w:rsidTr="00A07548">
        <w:tc>
          <w:tcPr>
            <w:tcW w:w="1017" w:type="dxa"/>
          </w:tcPr>
          <w:p w14:paraId="5D02E301" w14:textId="77777777" w:rsidR="00FE1CA4" w:rsidRPr="00DA4649" w:rsidRDefault="00FE1CA4" w:rsidP="00FE1CA4">
            <w:pPr>
              <w:spacing w:after="0" w:line="240" w:lineRule="auto"/>
              <w:jc w:val="center"/>
              <w:rPr>
                <w:rFonts w:ascii="Arial" w:eastAsia="Calibri" w:hAnsi="Arial" w:cs="Arial"/>
                <w:sz w:val="24"/>
                <w:szCs w:val="24"/>
              </w:rPr>
            </w:pPr>
            <w:r w:rsidRPr="00DA4649">
              <w:rPr>
                <w:rFonts w:ascii="Arial" w:eastAsia="Calibri" w:hAnsi="Arial" w:cs="Arial"/>
                <w:sz w:val="24"/>
                <w:szCs w:val="24"/>
              </w:rPr>
              <w:t>X-20</w:t>
            </w:r>
          </w:p>
        </w:tc>
        <w:tc>
          <w:tcPr>
            <w:tcW w:w="7455" w:type="dxa"/>
          </w:tcPr>
          <w:p w14:paraId="52CB8537" w14:textId="77777777" w:rsidR="00FE1CA4" w:rsidRPr="00DA4649" w:rsidRDefault="00FE1CA4" w:rsidP="00FE1CA4">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FirstEnergy Pennsylvania Companies’ Secondary Collection Performance - For the Period 2014 through 2017</w:t>
            </w:r>
          </w:p>
        </w:tc>
        <w:tc>
          <w:tcPr>
            <w:tcW w:w="884" w:type="dxa"/>
          </w:tcPr>
          <w:p w14:paraId="64C25F60" w14:textId="77777777" w:rsidR="00FE1CA4" w:rsidRPr="00DA4649" w:rsidRDefault="00DA4649" w:rsidP="00FE1CA4">
            <w:pPr>
              <w:spacing w:after="0" w:line="240" w:lineRule="auto"/>
              <w:jc w:val="right"/>
              <w:rPr>
                <w:rFonts w:ascii="Arial" w:eastAsia="Calibri" w:hAnsi="Arial" w:cs="Arial"/>
                <w:sz w:val="24"/>
                <w:szCs w:val="24"/>
              </w:rPr>
            </w:pPr>
            <w:r>
              <w:rPr>
                <w:rFonts w:ascii="Arial" w:eastAsia="Calibri" w:hAnsi="Arial" w:cs="Arial"/>
                <w:sz w:val="24"/>
                <w:szCs w:val="24"/>
              </w:rPr>
              <w:t>79</w:t>
            </w:r>
          </w:p>
        </w:tc>
      </w:tr>
      <w:tr w:rsidR="00FE1CA4" w:rsidRPr="00DA4649" w14:paraId="58B86035" w14:textId="77777777" w:rsidTr="00A07548">
        <w:tc>
          <w:tcPr>
            <w:tcW w:w="1017" w:type="dxa"/>
          </w:tcPr>
          <w:p w14:paraId="01E1C58A" w14:textId="77777777" w:rsidR="00FE1CA4" w:rsidRPr="00DA4649" w:rsidRDefault="00FE1CA4" w:rsidP="00FE1CA4">
            <w:pPr>
              <w:spacing w:after="0" w:line="240" w:lineRule="auto"/>
              <w:jc w:val="center"/>
              <w:rPr>
                <w:rFonts w:ascii="Arial" w:eastAsia="Calibri" w:hAnsi="Arial" w:cs="Arial"/>
                <w:sz w:val="24"/>
                <w:szCs w:val="24"/>
              </w:rPr>
            </w:pPr>
          </w:p>
        </w:tc>
        <w:tc>
          <w:tcPr>
            <w:tcW w:w="7455" w:type="dxa"/>
          </w:tcPr>
          <w:p w14:paraId="4D63DE27" w14:textId="77777777" w:rsidR="00FE1CA4" w:rsidRPr="00DA4649" w:rsidRDefault="00FE1CA4" w:rsidP="00FE1CA4">
            <w:pPr>
              <w:spacing w:after="0" w:line="240" w:lineRule="auto"/>
              <w:rPr>
                <w:rFonts w:ascii="Arial" w:eastAsia="Calibri" w:hAnsi="Arial" w:cs="Arial"/>
                <w:sz w:val="24"/>
                <w:szCs w:val="24"/>
              </w:rPr>
            </w:pPr>
          </w:p>
        </w:tc>
        <w:tc>
          <w:tcPr>
            <w:tcW w:w="884" w:type="dxa"/>
          </w:tcPr>
          <w:p w14:paraId="0B4E5FA8" w14:textId="77777777" w:rsidR="00FE1CA4" w:rsidRPr="00DA4649" w:rsidRDefault="00FE1CA4" w:rsidP="00FE1CA4">
            <w:pPr>
              <w:spacing w:after="0" w:line="240" w:lineRule="auto"/>
              <w:jc w:val="right"/>
              <w:rPr>
                <w:rFonts w:ascii="Arial" w:eastAsia="Calibri" w:hAnsi="Arial" w:cs="Arial"/>
                <w:sz w:val="24"/>
                <w:szCs w:val="24"/>
              </w:rPr>
            </w:pPr>
          </w:p>
        </w:tc>
      </w:tr>
      <w:tr w:rsidR="00FE1CA4" w:rsidRPr="00DA4649" w14:paraId="7C81D597" w14:textId="77777777" w:rsidTr="00A07548">
        <w:trPr>
          <w:trHeight w:val="297"/>
        </w:trPr>
        <w:tc>
          <w:tcPr>
            <w:tcW w:w="1017" w:type="dxa"/>
          </w:tcPr>
          <w:p w14:paraId="344FC997" w14:textId="77777777" w:rsidR="00FE1CA4" w:rsidRPr="00DA4649" w:rsidRDefault="00FE1CA4" w:rsidP="00FE1CA4">
            <w:pPr>
              <w:spacing w:after="0" w:line="240" w:lineRule="auto"/>
              <w:jc w:val="center"/>
              <w:rPr>
                <w:rFonts w:ascii="Arial" w:eastAsia="Calibri" w:hAnsi="Arial" w:cs="Arial"/>
                <w:sz w:val="24"/>
                <w:szCs w:val="24"/>
              </w:rPr>
            </w:pPr>
            <w:r w:rsidRPr="00DA4649">
              <w:rPr>
                <w:rFonts w:ascii="Arial" w:eastAsia="Calibri" w:hAnsi="Arial" w:cs="Arial"/>
                <w:sz w:val="24"/>
                <w:szCs w:val="24"/>
              </w:rPr>
              <w:t>X-21</w:t>
            </w:r>
          </w:p>
        </w:tc>
        <w:tc>
          <w:tcPr>
            <w:tcW w:w="7455" w:type="dxa"/>
          </w:tcPr>
          <w:p w14:paraId="73F574C1" w14:textId="77777777" w:rsidR="00FE1CA4" w:rsidRPr="00DA4649" w:rsidRDefault="00FE1CA4" w:rsidP="00FE1CA4">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FirstEnergy Pennsylvania Companies’ Potential Net Collection Amounts for Primary (11%) and Secondary (2%) - For the Period 2014 through 2017</w:t>
            </w:r>
          </w:p>
        </w:tc>
        <w:tc>
          <w:tcPr>
            <w:tcW w:w="884" w:type="dxa"/>
          </w:tcPr>
          <w:p w14:paraId="2A8CF438" w14:textId="77777777" w:rsidR="00FE1CA4" w:rsidRPr="00DA4649" w:rsidRDefault="006E496B" w:rsidP="00FE1CA4">
            <w:pPr>
              <w:spacing w:after="0" w:line="240" w:lineRule="auto"/>
              <w:jc w:val="right"/>
              <w:rPr>
                <w:rFonts w:ascii="Arial" w:eastAsia="Calibri" w:hAnsi="Arial" w:cs="Arial"/>
                <w:sz w:val="24"/>
                <w:szCs w:val="24"/>
              </w:rPr>
            </w:pPr>
            <w:r w:rsidRPr="00DA4649">
              <w:rPr>
                <w:rFonts w:ascii="Arial" w:eastAsia="Calibri" w:hAnsi="Arial" w:cs="Arial"/>
                <w:sz w:val="24"/>
                <w:szCs w:val="24"/>
              </w:rPr>
              <w:t>8</w:t>
            </w:r>
            <w:r w:rsidR="00DA4649">
              <w:rPr>
                <w:rFonts w:ascii="Arial" w:eastAsia="Calibri" w:hAnsi="Arial" w:cs="Arial"/>
                <w:sz w:val="24"/>
                <w:szCs w:val="24"/>
              </w:rPr>
              <w:t>0</w:t>
            </w:r>
          </w:p>
        </w:tc>
      </w:tr>
      <w:tr w:rsidR="00FE1CA4" w:rsidRPr="00DA4649" w14:paraId="50BE5DDC" w14:textId="77777777" w:rsidTr="00A07548">
        <w:tc>
          <w:tcPr>
            <w:tcW w:w="1017" w:type="dxa"/>
          </w:tcPr>
          <w:p w14:paraId="1BEC0C7A" w14:textId="77777777" w:rsidR="00FE1CA4" w:rsidRPr="00DA4649" w:rsidRDefault="00FE1CA4" w:rsidP="00FE1CA4">
            <w:pPr>
              <w:spacing w:after="0" w:line="240" w:lineRule="auto"/>
              <w:jc w:val="center"/>
              <w:rPr>
                <w:rFonts w:ascii="Arial" w:eastAsia="Calibri" w:hAnsi="Arial" w:cs="Arial"/>
                <w:sz w:val="24"/>
                <w:szCs w:val="24"/>
              </w:rPr>
            </w:pPr>
          </w:p>
        </w:tc>
        <w:tc>
          <w:tcPr>
            <w:tcW w:w="7455" w:type="dxa"/>
          </w:tcPr>
          <w:p w14:paraId="49A7594B" w14:textId="77777777" w:rsidR="00FE1CA4" w:rsidRPr="00DA4649" w:rsidRDefault="00FE1CA4" w:rsidP="00FE1CA4">
            <w:pPr>
              <w:spacing w:after="0" w:line="240" w:lineRule="auto"/>
              <w:rPr>
                <w:rFonts w:ascii="Arial" w:eastAsia="Calibri" w:hAnsi="Arial" w:cs="Arial"/>
                <w:sz w:val="24"/>
                <w:szCs w:val="24"/>
              </w:rPr>
            </w:pPr>
          </w:p>
        </w:tc>
        <w:tc>
          <w:tcPr>
            <w:tcW w:w="884" w:type="dxa"/>
          </w:tcPr>
          <w:p w14:paraId="34197C32" w14:textId="77777777" w:rsidR="00FE1CA4" w:rsidRPr="00DA4649" w:rsidRDefault="00FE1CA4" w:rsidP="00FE1CA4">
            <w:pPr>
              <w:spacing w:after="0" w:line="240" w:lineRule="auto"/>
              <w:jc w:val="right"/>
              <w:rPr>
                <w:rFonts w:ascii="Arial" w:eastAsia="Calibri" w:hAnsi="Arial" w:cs="Arial"/>
                <w:sz w:val="24"/>
                <w:szCs w:val="24"/>
              </w:rPr>
            </w:pPr>
          </w:p>
        </w:tc>
      </w:tr>
      <w:tr w:rsidR="00FE1CA4" w:rsidRPr="00DA4649" w14:paraId="1F1B5E42" w14:textId="77777777" w:rsidTr="00A07548">
        <w:tc>
          <w:tcPr>
            <w:tcW w:w="1017" w:type="dxa"/>
          </w:tcPr>
          <w:p w14:paraId="322396A4" w14:textId="77777777" w:rsidR="00FE1CA4" w:rsidRPr="00DA4649" w:rsidRDefault="00FE1CA4" w:rsidP="00FE1CA4">
            <w:pPr>
              <w:spacing w:after="0" w:line="240" w:lineRule="auto"/>
              <w:jc w:val="center"/>
              <w:rPr>
                <w:rFonts w:ascii="Arial" w:eastAsia="Calibri" w:hAnsi="Arial" w:cs="Arial"/>
                <w:sz w:val="24"/>
                <w:szCs w:val="24"/>
              </w:rPr>
            </w:pPr>
            <w:r w:rsidRPr="00DA4649">
              <w:rPr>
                <w:rFonts w:ascii="Arial" w:eastAsia="Calibri" w:hAnsi="Arial" w:cs="Arial"/>
                <w:sz w:val="24"/>
                <w:szCs w:val="24"/>
              </w:rPr>
              <w:t>X-22</w:t>
            </w:r>
          </w:p>
        </w:tc>
        <w:tc>
          <w:tcPr>
            <w:tcW w:w="7455" w:type="dxa"/>
          </w:tcPr>
          <w:p w14:paraId="1A56E3A1" w14:textId="77777777" w:rsidR="00FE1CA4" w:rsidRPr="00DA4649" w:rsidRDefault="00FE1CA4" w:rsidP="00FE1CA4">
            <w:pPr>
              <w:spacing w:after="0" w:line="240" w:lineRule="auto"/>
              <w:ind w:left="390" w:hanging="390"/>
              <w:rPr>
                <w:rFonts w:ascii="Arial" w:eastAsia="Calibri" w:hAnsi="Arial" w:cs="Arial"/>
                <w:sz w:val="24"/>
                <w:szCs w:val="24"/>
              </w:rPr>
            </w:pPr>
            <w:r w:rsidRPr="00DA4649">
              <w:rPr>
                <w:rFonts w:ascii="Arial" w:eastAsia="Calibri" w:hAnsi="Arial" w:cs="Arial"/>
                <w:sz w:val="24"/>
                <w:szCs w:val="24"/>
              </w:rPr>
              <w:t>FirstEnergy Pennsylvania Companies’ Additional Cash Flow - For the Period 2014 through 2017</w:t>
            </w:r>
          </w:p>
        </w:tc>
        <w:tc>
          <w:tcPr>
            <w:tcW w:w="884" w:type="dxa"/>
          </w:tcPr>
          <w:p w14:paraId="126746FF" w14:textId="77777777" w:rsidR="00FE1CA4" w:rsidRPr="00DA4649" w:rsidRDefault="006E496B" w:rsidP="00FE1CA4">
            <w:pPr>
              <w:spacing w:after="0" w:line="240" w:lineRule="auto"/>
              <w:jc w:val="right"/>
              <w:rPr>
                <w:rFonts w:ascii="Arial" w:eastAsia="Calibri" w:hAnsi="Arial" w:cs="Arial"/>
                <w:sz w:val="24"/>
                <w:szCs w:val="24"/>
              </w:rPr>
            </w:pPr>
            <w:r w:rsidRPr="00DA4649">
              <w:rPr>
                <w:rFonts w:ascii="Arial" w:eastAsia="Calibri" w:hAnsi="Arial" w:cs="Arial"/>
                <w:sz w:val="24"/>
                <w:szCs w:val="24"/>
              </w:rPr>
              <w:t>8</w:t>
            </w:r>
            <w:r w:rsidR="00DA4649">
              <w:rPr>
                <w:rFonts w:ascii="Arial" w:eastAsia="Calibri" w:hAnsi="Arial" w:cs="Arial"/>
                <w:sz w:val="24"/>
                <w:szCs w:val="24"/>
              </w:rPr>
              <w:t>1</w:t>
            </w:r>
          </w:p>
        </w:tc>
      </w:tr>
      <w:tr w:rsidR="00FE1CA4" w:rsidRPr="00DA4649" w14:paraId="6FC2C580" w14:textId="77777777" w:rsidTr="00A07548">
        <w:tc>
          <w:tcPr>
            <w:tcW w:w="1017" w:type="dxa"/>
          </w:tcPr>
          <w:p w14:paraId="77FBD799" w14:textId="77777777" w:rsidR="00FE1CA4" w:rsidRPr="00DA4649" w:rsidRDefault="00FE1CA4" w:rsidP="00FE1CA4">
            <w:pPr>
              <w:spacing w:after="0" w:line="240" w:lineRule="auto"/>
              <w:jc w:val="center"/>
              <w:rPr>
                <w:rFonts w:ascii="Arial" w:eastAsia="Calibri" w:hAnsi="Arial" w:cs="Arial"/>
                <w:sz w:val="24"/>
                <w:szCs w:val="24"/>
              </w:rPr>
            </w:pPr>
          </w:p>
        </w:tc>
        <w:tc>
          <w:tcPr>
            <w:tcW w:w="7455" w:type="dxa"/>
          </w:tcPr>
          <w:p w14:paraId="138B0FAE" w14:textId="77777777" w:rsidR="00FE1CA4" w:rsidRPr="00DA4649" w:rsidRDefault="00FE1CA4" w:rsidP="00FE1CA4">
            <w:pPr>
              <w:spacing w:after="0" w:line="240" w:lineRule="auto"/>
              <w:rPr>
                <w:rFonts w:ascii="Arial" w:eastAsia="Calibri" w:hAnsi="Arial" w:cs="Arial"/>
                <w:sz w:val="24"/>
                <w:szCs w:val="24"/>
              </w:rPr>
            </w:pPr>
          </w:p>
        </w:tc>
        <w:tc>
          <w:tcPr>
            <w:tcW w:w="884" w:type="dxa"/>
          </w:tcPr>
          <w:p w14:paraId="58E54CDE" w14:textId="77777777" w:rsidR="00FE1CA4" w:rsidRPr="00DA4649" w:rsidRDefault="00FE1CA4" w:rsidP="00FE1CA4">
            <w:pPr>
              <w:spacing w:after="0" w:line="240" w:lineRule="auto"/>
              <w:jc w:val="right"/>
              <w:rPr>
                <w:rFonts w:ascii="Arial" w:eastAsia="Calibri" w:hAnsi="Arial" w:cs="Arial"/>
                <w:sz w:val="24"/>
                <w:szCs w:val="24"/>
              </w:rPr>
            </w:pPr>
          </w:p>
        </w:tc>
      </w:tr>
      <w:tr w:rsidR="00FE1CA4" w:rsidRPr="00DA4649" w14:paraId="3A18EEE2" w14:textId="77777777" w:rsidTr="00A07548">
        <w:tc>
          <w:tcPr>
            <w:tcW w:w="1017" w:type="dxa"/>
          </w:tcPr>
          <w:p w14:paraId="1E1FAC13" w14:textId="77777777" w:rsidR="00FE1CA4" w:rsidRPr="00DA4649" w:rsidRDefault="00FE1CA4" w:rsidP="00FE1CA4">
            <w:pPr>
              <w:spacing w:after="0" w:line="240" w:lineRule="auto"/>
              <w:jc w:val="center"/>
              <w:rPr>
                <w:rFonts w:ascii="Arial" w:eastAsia="Calibri" w:hAnsi="Arial" w:cs="Arial"/>
                <w:sz w:val="24"/>
                <w:szCs w:val="24"/>
              </w:rPr>
            </w:pPr>
            <w:r w:rsidRPr="00DA4649">
              <w:rPr>
                <w:rFonts w:ascii="Arial" w:eastAsia="Calibri" w:hAnsi="Arial" w:cs="Arial"/>
                <w:sz w:val="24"/>
                <w:szCs w:val="24"/>
              </w:rPr>
              <w:t>X-23</w:t>
            </w:r>
          </w:p>
        </w:tc>
        <w:tc>
          <w:tcPr>
            <w:tcW w:w="7455" w:type="dxa"/>
          </w:tcPr>
          <w:p w14:paraId="40191005" w14:textId="77777777" w:rsidR="00FE1CA4" w:rsidRPr="00DA4649" w:rsidRDefault="00FE1CA4" w:rsidP="00FE1CA4">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FirstEnergy Pennsylvania Companies’ Potential Annual Cost Savings from Reduced Borrowing from Money Pool - For the Period 2014 through 2017</w:t>
            </w:r>
          </w:p>
        </w:tc>
        <w:tc>
          <w:tcPr>
            <w:tcW w:w="884" w:type="dxa"/>
          </w:tcPr>
          <w:p w14:paraId="1C8875B9" w14:textId="77777777" w:rsidR="00FE1CA4" w:rsidRPr="00DA4649" w:rsidRDefault="006E496B" w:rsidP="00FE1CA4">
            <w:pPr>
              <w:spacing w:after="0" w:line="240" w:lineRule="auto"/>
              <w:jc w:val="right"/>
              <w:rPr>
                <w:rFonts w:ascii="Arial" w:eastAsia="Calibri" w:hAnsi="Arial" w:cs="Arial"/>
                <w:sz w:val="24"/>
                <w:szCs w:val="24"/>
              </w:rPr>
            </w:pPr>
            <w:r w:rsidRPr="00DA4649">
              <w:rPr>
                <w:rFonts w:ascii="Arial" w:eastAsia="Calibri" w:hAnsi="Arial" w:cs="Arial"/>
                <w:sz w:val="24"/>
                <w:szCs w:val="24"/>
              </w:rPr>
              <w:t>8</w:t>
            </w:r>
            <w:r w:rsidR="00DA4649">
              <w:rPr>
                <w:rFonts w:ascii="Arial" w:eastAsia="Calibri" w:hAnsi="Arial" w:cs="Arial"/>
                <w:sz w:val="24"/>
                <w:szCs w:val="24"/>
              </w:rPr>
              <w:t>2</w:t>
            </w:r>
          </w:p>
        </w:tc>
      </w:tr>
      <w:tr w:rsidR="00FE1CA4" w:rsidRPr="00DA4649" w14:paraId="75BD3978" w14:textId="77777777" w:rsidTr="00A07548">
        <w:tc>
          <w:tcPr>
            <w:tcW w:w="1017" w:type="dxa"/>
          </w:tcPr>
          <w:p w14:paraId="6991222D" w14:textId="77777777" w:rsidR="00FE1CA4" w:rsidRPr="00DA4649" w:rsidRDefault="00FE1CA4" w:rsidP="00FE1CA4">
            <w:pPr>
              <w:spacing w:after="0" w:line="240" w:lineRule="auto"/>
              <w:jc w:val="center"/>
              <w:rPr>
                <w:rFonts w:ascii="Arial" w:eastAsia="Calibri" w:hAnsi="Arial" w:cs="Arial"/>
                <w:sz w:val="24"/>
                <w:szCs w:val="24"/>
              </w:rPr>
            </w:pPr>
          </w:p>
        </w:tc>
        <w:tc>
          <w:tcPr>
            <w:tcW w:w="7455" w:type="dxa"/>
          </w:tcPr>
          <w:p w14:paraId="7FD8FC86" w14:textId="77777777" w:rsidR="00FE1CA4" w:rsidRPr="00DA4649" w:rsidRDefault="00FE1CA4" w:rsidP="00FE1CA4">
            <w:pPr>
              <w:spacing w:after="0" w:line="240" w:lineRule="auto"/>
              <w:ind w:left="405" w:hanging="405"/>
              <w:rPr>
                <w:rFonts w:ascii="Arial" w:eastAsia="Calibri" w:hAnsi="Arial" w:cs="Arial"/>
                <w:sz w:val="24"/>
                <w:szCs w:val="24"/>
              </w:rPr>
            </w:pPr>
          </w:p>
        </w:tc>
        <w:tc>
          <w:tcPr>
            <w:tcW w:w="884" w:type="dxa"/>
          </w:tcPr>
          <w:p w14:paraId="425C9B43" w14:textId="77777777" w:rsidR="00FE1CA4" w:rsidRPr="00DA4649" w:rsidRDefault="00FE1CA4" w:rsidP="00FE1CA4">
            <w:pPr>
              <w:spacing w:after="0" w:line="240" w:lineRule="auto"/>
              <w:jc w:val="right"/>
              <w:rPr>
                <w:rFonts w:ascii="Arial" w:eastAsia="Calibri" w:hAnsi="Arial" w:cs="Arial"/>
                <w:sz w:val="24"/>
                <w:szCs w:val="24"/>
              </w:rPr>
            </w:pPr>
          </w:p>
        </w:tc>
      </w:tr>
      <w:tr w:rsidR="00FE1CA4" w:rsidRPr="00DA4649" w14:paraId="7CCB1D06" w14:textId="77777777" w:rsidTr="00A07548">
        <w:tc>
          <w:tcPr>
            <w:tcW w:w="1017" w:type="dxa"/>
          </w:tcPr>
          <w:p w14:paraId="7752B284" w14:textId="77777777" w:rsidR="00FE1CA4" w:rsidRPr="00DA4649" w:rsidRDefault="00FE1CA4" w:rsidP="00FE1CA4">
            <w:pPr>
              <w:spacing w:after="0" w:line="240" w:lineRule="auto"/>
              <w:jc w:val="center"/>
              <w:rPr>
                <w:rFonts w:ascii="Arial" w:eastAsia="Calibri" w:hAnsi="Arial" w:cs="Arial"/>
                <w:sz w:val="24"/>
                <w:szCs w:val="24"/>
              </w:rPr>
            </w:pPr>
            <w:r w:rsidRPr="00DA4649">
              <w:rPr>
                <w:rFonts w:ascii="Arial" w:hAnsi="Arial" w:cs="Arial"/>
                <w:sz w:val="24"/>
                <w:szCs w:val="24"/>
              </w:rPr>
              <w:t>X-24</w:t>
            </w:r>
          </w:p>
          <w:p w14:paraId="3A9770F5" w14:textId="77777777" w:rsidR="00FE1CA4" w:rsidRPr="00DA4649" w:rsidRDefault="00FE1CA4" w:rsidP="00FE1CA4">
            <w:pPr>
              <w:spacing w:after="0" w:line="240" w:lineRule="auto"/>
              <w:jc w:val="center"/>
              <w:rPr>
                <w:rFonts w:ascii="Arial" w:eastAsia="Calibri" w:hAnsi="Arial" w:cs="Arial"/>
                <w:sz w:val="24"/>
                <w:szCs w:val="24"/>
              </w:rPr>
            </w:pPr>
          </w:p>
        </w:tc>
        <w:tc>
          <w:tcPr>
            <w:tcW w:w="7455" w:type="dxa"/>
          </w:tcPr>
          <w:p w14:paraId="5ED53C58" w14:textId="77777777" w:rsidR="00FE1CA4" w:rsidRPr="00DA4649" w:rsidRDefault="00FE1CA4" w:rsidP="00FE1CA4">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FirstEnergy Pennsylvania Companies’ Percentage of New Service Installations Requiring No Construction Completed Within Three Days - For the Period April 2015 through December 2017</w:t>
            </w:r>
          </w:p>
        </w:tc>
        <w:tc>
          <w:tcPr>
            <w:tcW w:w="884" w:type="dxa"/>
          </w:tcPr>
          <w:p w14:paraId="3578F7E7" w14:textId="77777777" w:rsidR="00FE1CA4" w:rsidRPr="00DA4649" w:rsidRDefault="006E496B" w:rsidP="00FE1CA4">
            <w:pPr>
              <w:spacing w:after="0" w:line="240" w:lineRule="auto"/>
              <w:jc w:val="right"/>
              <w:rPr>
                <w:rFonts w:ascii="Arial" w:eastAsia="Calibri" w:hAnsi="Arial" w:cs="Arial"/>
                <w:sz w:val="24"/>
                <w:szCs w:val="24"/>
              </w:rPr>
            </w:pPr>
            <w:r w:rsidRPr="00DA4649">
              <w:rPr>
                <w:rFonts w:ascii="Arial" w:eastAsia="Calibri" w:hAnsi="Arial" w:cs="Arial"/>
                <w:sz w:val="24"/>
                <w:szCs w:val="24"/>
              </w:rPr>
              <w:t>8</w:t>
            </w:r>
            <w:r w:rsidR="00DA4649">
              <w:rPr>
                <w:rFonts w:ascii="Arial" w:eastAsia="Calibri" w:hAnsi="Arial" w:cs="Arial"/>
                <w:sz w:val="24"/>
                <w:szCs w:val="24"/>
              </w:rPr>
              <w:t>4</w:t>
            </w:r>
          </w:p>
        </w:tc>
      </w:tr>
      <w:tr w:rsidR="00FE1CA4" w:rsidRPr="00DA4649" w14:paraId="2AB0D413" w14:textId="77777777" w:rsidTr="00A07548">
        <w:tc>
          <w:tcPr>
            <w:tcW w:w="1017" w:type="dxa"/>
          </w:tcPr>
          <w:p w14:paraId="172573A8" w14:textId="77777777" w:rsidR="00FE1CA4" w:rsidRPr="00DA4649" w:rsidRDefault="00FE1CA4" w:rsidP="00FE1CA4">
            <w:pPr>
              <w:spacing w:after="0" w:line="240" w:lineRule="auto"/>
              <w:jc w:val="center"/>
              <w:rPr>
                <w:rFonts w:ascii="Arial" w:hAnsi="Arial" w:cs="Arial"/>
                <w:sz w:val="24"/>
                <w:szCs w:val="24"/>
              </w:rPr>
            </w:pPr>
          </w:p>
        </w:tc>
        <w:tc>
          <w:tcPr>
            <w:tcW w:w="7455" w:type="dxa"/>
          </w:tcPr>
          <w:p w14:paraId="12D2ACE8" w14:textId="77777777" w:rsidR="00FE1CA4" w:rsidRPr="00DA4649" w:rsidRDefault="00FE1CA4" w:rsidP="00FE1CA4">
            <w:pPr>
              <w:spacing w:after="0" w:line="240" w:lineRule="auto"/>
              <w:ind w:left="405" w:hanging="405"/>
              <w:rPr>
                <w:rFonts w:ascii="Arial" w:eastAsia="Calibri" w:hAnsi="Arial" w:cs="Arial"/>
                <w:sz w:val="24"/>
                <w:szCs w:val="24"/>
              </w:rPr>
            </w:pPr>
          </w:p>
        </w:tc>
        <w:tc>
          <w:tcPr>
            <w:tcW w:w="884" w:type="dxa"/>
          </w:tcPr>
          <w:p w14:paraId="373FEE96" w14:textId="77777777" w:rsidR="00FE1CA4" w:rsidRPr="00DA4649" w:rsidRDefault="00FE1CA4" w:rsidP="00FE1CA4">
            <w:pPr>
              <w:spacing w:after="0" w:line="240" w:lineRule="auto"/>
              <w:jc w:val="right"/>
              <w:rPr>
                <w:rFonts w:ascii="Arial" w:eastAsia="Calibri" w:hAnsi="Arial" w:cs="Arial"/>
                <w:sz w:val="24"/>
                <w:szCs w:val="24"/>
              </w:rPr>
            </w:pPr>
          </w:p>
        </w:tc>
      </w:tr>
      <w:tr w:rsidR="00FE1CA4" w:rsidRPr="00DA4649" w14:paraId="66DF0F36" w14:textId="77777777" w:rsidTr="00A07548">
        <w:tc>
          <w:tcPr>
            <w:tcW w:w="1017" w:type="dxa"/>
          </w:tcPr>
          <w:p w14:paraId="5CC49FBD" w14:textId="77777777" w:rsidR="00FE1CA4" w:rsidRPr="00DA4649" w:rsidRDefault="00FE1CA4" w:rsidP="00FE1CA4">
            <w:pPr>
              <w:spacing w:after="0" w:line="240" w:lineRule="auto"/>
              <w:jc w:val="center"/>
              <w:rPr>
                <w:rFonts w:ascii="Arial" w:hAnsi="Arial" w:cs="Arial"/>
                <w:sz w:val="24"/>
                <w:szCs w:val="24"/>
              </w:rPr>
            </w:pPr>
            <w:r w:rsidRPr="00DA4649">
              <w:rPr>
                <w:rFonts w:ascii="Arial" w:hAnsi="Arial" w:cs="Arial"/>
                <w:sz w:val="24"/>
                <w:szCs w:val="24"/>
              </w:rPr>
              <w:t>X-25</w:t>
            </w:r>
          </w:p>
        </w:tc>
        <w:tc>
          <w:tcPr>
            <w:tcW w:w="7455" w:type="dxa"/>
          </w:tcPr>
          <w:p w14:paraId="7E30F065" w14:textId="77777777" w:rsidR="00FE1CA4" w:rsidRPr="00DA4649" w:rsidRDefault="00FE1CA4" w:rsidP="00FE1CA4">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FirstEnergy Pennsylvania Companies’ Percentage of New Service Installations Requiring Construction Completed Within Ten Days - For the Period June 2015 through December 2017</w:t>
            </w:r>
          </w:p>
        </w:tc>
        <w:tc>
          <w:tcPr>
            <w:tcW w:w="884" w:type="dxa"/>
          </w:tcPr>
          <w:p w14:paraId="3683519F" w14:textId="77777777" w:rsidR="00FE1CA4" w:rsidRPr="00DA4649" w:rsidRDefault="006E496B" w:rsidP="00FE1CA4">
            <w:pPr>
              <w:spacing w:after="0" w:line="240" w:lineRule="auto"/>
              <w:jc w:val="right"/>
              <w:rPr>
                <w:rFonts w:ascii="Arial" w:eastAsia="Calibri" w:hAnsi="Arial" w:cs="Arial"/>
                <w:sz w:val="24"/>
                <w:szCs w:val="24"/>
              </w:rPr>
            </w:pPr>
            <w:r w:rsidRPr="00DA4649">
              <w:rPr>
                <w:rFonts w:ascii="Arial" w:eastAsia="Calibri" w:hAnsi="Arial" w:cs="Arial"/>
                <w:sz w:val="24"/>
                <w:szCs w:val="24"/>
              </w:rPr>
              <w:t>8</w:t>
            </w:r>
            <w:r w:rsidR="00DA4649">
              <w:rPr>
                <w:rFonts w:ascii="Arial" w:eastAsia="Calibri" w:hAnsi="Arial" w:cs="Arial"/>
                <w:sz w:val="24"/>
                <w:szCs w:val="24"/>
              </w:rPr>
              <w:t>4</w:t>
            </w:r>
          </w:p>
        </w:tc>
      </w:tr>
      <w:tr w:rsidR="006F0420" w:rsidRPr="00DA4649" w14:paraId="00ED1C57" w14:textId="77777777" w:rsidTr="00A07548">
        <w:tc>
          <w:tcPr>
            <w:tcW w:w="1017" w:type="dxa"/>
          </w:tcPr>
          <w:p w14:paraId="16576B47" w14:textId="77777777" w:rsidR="006F0420" w:rsidRPr="00DA4649" w:rsidRDefault="006F0420" w:rsidP="00FE1CA4">
            <w:pPr>
              <w:spacing w:after="0" w:line="240" w:lineRule="auto"/>
              <w:jc w:val="center"/>
              <w:rPr>
                <w:rFonts w:ascii="Arial" w:hAnsi="Arial" w:cs="Arial"/>
                <w:sz w:val="24"/>
                <w:szCs w:val="24"/>
              </w:rPr>
            </w:pPr>
          </w:p>
        </w:tc>
        <w:tc>
          <w:tcPr>
            <w:tcW w:w="7455" w:type="dxa"/>
          </w:tcPr>
          <w:p w14:paraId="32BB4269" w14:textId="77777777" w:rsidR="006F0420" w:rsidRPr="00DA4649" w:rsidRDefault="006F0420" w:rsidP="00FE1CA4">
            <w:pPr>
              <w:spacing w:after="0" w:line="240" w:lineRule="auto"/>
              <w:ind w:left="405" w:hanging="405"/>
              <w:rPr>
                <w:rFonts w:ascii="Arial" w:eastAsia="Calibri" w:hAnsi="Arial" w:cs="Arial"/>
                <w:sz w:val="24"/>
                <w:szCs w:val="24"/>
              </w:rPr>
            </w:pPr>
          </w:p>
        </w:tc>
        <w:tc>
          <w:tcPr>
            <w:tcW w:w="884" w:type="dxa"/>
          </w:tcPr>
          <w:p w14:paraId="54EF71C9" w14:textId="77777777" w:rsidR="006F0420" w:rsidRPr="00DA4649" w:rsidRDefault="006F0420" w:rsidP="00FE1CA4">
            <w:pPr>
              <w:spacing w:after="0" w:line="240" w:lineRule="auto"/>
              <w:jc w:val="right"/>
              <w:rPr>
                <w:rFonts w:ascii="Arial" w:eastAsia="Calibri" w:hAnsi="Arial" w:cs="Arial"/>
                <w:sz w:val="24"/>
                <w:szCs w:val="24"/>
              </w:rPr>
            </w:pPr>
          </w:p>
        </w:tc>
      </w:tr>
      <w:tr w:rsidR="006F0420" w:rsidRPr="00DA4649" w14:paraId="4EE73A31" w14:textId="77777777" w:rsidTr="00A07548">
        <w:tc>
          <w:tcPr>
            <w:tcW w:w="1017" w:type="dxa"/>
          </w:tcPr>
          <w:p w14:paraId="2364F3CC" w14:textId="77777777" w:rsidR="006F0420" w:rsidRPr="00DA4649" w:rsidRDefault="006F0420" w:rsidP="006F0420">
            <w:pPr>
              <w:spacing w:after="0" w:line="240" w:lineRule="auto"/>
              <w:jc w:val="center"/>
              <w:rPr>
                <w:rFonts w:ascii="Arial" w:hAnsi="Arial" w:cs="Arial"/>
                <w:sz w:val="24"/>
                <w:szCs w:val="24"/>
              </w:rPr>
            </w:pPr>
            <w:r w:rsidRPr="00DA4649">
              <w:rPr>
                <w:rFonts w:ascii="Arial" w:eastAsia="Calibri" w:hAnsi="Arial" w:cs="Arial"/>
                <w:sz w:val="24"/>
                <w:szCs w:val="24"/>
              </w:rPr>
              <w:t>X-26</w:t>
            </w:r>
          </w:p>
        </w:tc>
        <w:tc>
          <w:tcPr>
            <w:tcW w:w="7455" w:type="dxa"/>
          </w:tcPr>
          <w:p w14:paraId="72E9A9CE" w14:textId="77777777" w:rsidR="006F0420" w:rsidRPr="00DA4649" w:rsidRDefault="006F0420" w:rsidP="006F0420">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FirstEnergy Pennsylvania Companies’ Meters Requiring Location Updates - For the Period April 2015 through 2017</w:t>
            </w:r>
          </w:p>
        </w:tc>
        <w:tc>
          <w:tcPr>
            <w:tcW w:w="884" w:type="dxa"/>
          </w:tcPr>
          <w:p w14:paraId="0924413B" w14:textId="77777777" w:rsidR="006F0420" w:rsidRPr="00DA4649" w:rsidRDefault="00DA4649" w:rsidP="006F0420">
            <w:pPr>
              <w:spacing w:after="0" w:line="240" w:lineRule="auto"/>
              <w:jc w:val="right"/>
              <w:rPr>
                <w:rFonts w:ascii="Arial" w:eastAsia="Calibri" w:hAnsi="Arial" w:cs="Arial"/>
                <w:sz w:val="24"/>
                <w:szCs w:val="24"/>
              </w:rPr>
            </w:pPr>
            <w:r>
              <w:rPr>
                <w:rFonts w:ascii="Arial" w:eastAsia="Calibri" w:hAnsi="Arial" w:cs="Arial"/>
                <w:sz w:val="24"/>
                <w:szCs w:val="24"/>
              </w:rPr>
              <w:t>87</w:t>
            </w:r>
          </w:p>
        </w:tc>
      </w:tr>
    </w:tbl>
    <w:p w14:paraId="17B047C3" w14:textId="77777777" w:rsidR="003625CF" w:rsidRPr="00DA4649" w:rsidRDefault="00C44628" w:rsidP="00C44628">
      <w:pPr>
        <w:spacing w:after="0" w:line="240" w:lineRule="auto"/>
        <w:jc w:val="center"/>
        <w:rPr>
          <w:rFonts w:ascii="Arial" w:eastAsia="Calibri" w:hAnsi="Arial" w:cs="Arial"/>
          <w:b/>
          <w:sz w:val="26"/>
          <w:szCs w:val="26"/>
          <w:u w:val="single"/>
        </w:rPr>
      </w:pPr>
      <w:r w:rsidRPr="00DA4649">
        <w:rPr>
          <w:rFonts w:ascii="Arial" w:eastAsia="Calibri" w:hAnsi="Arial" w:cs="Arial"/>
          <w:b/>
          <w:sz w:val="26"/>
          <w:szCs w:val="26"/>
          <w:u w:val="single"/>
        </w:rPr>
        <w:t>LIST OF EXHIBITS (Continued)</w:t>
      </w:r>
    </w:p>
    <w:p w14:paraId="60BDD523" w14:textId="77777777" w:rsidR="00C44628" w:rsidRPr="00DA4649" w:rsidRDefault="00C44628">
      <w:pPr>
        <w:spacing w:after="0" w:line="240" w:lineRule="auto"/>
        <w:jc w:val="center"/>
        <w:rPr>
          <w:rFonts w:ascii="Arial" w:hAnsi="Arial" w:cs="Arial"/>
          <w:b/>
          <w:sz w:val="26"/>
          <w:szCs w:val="26"/>
        </w:rPr>
      </w:pPr>
    </w:p>
    <w:tbl>
      <w:tblPr>
        <w:tblW w:w="0" w:type="auto"/>
        <w:tblInd w:w="-252" w:type="dxa"/>
        <w:tblLook w:val="01E0" w:firstRow="1" w:lastRow="1" w:firstColumn="1" w:lastColumn="1" w:noHBand="0" w:noVBand="0"/>
      </w:tblPr>
      <w:tblGrid>
        <w:gridCol w:w="1017"/>
        <w:gridCol w:w="7455"/>
        <w:gridCol w:w="884"/>
      </w:tblGrid>
      <w:tr w:rsidR="00E331AB" w:rsidRPr="00DA4649" w14:paraId="68AA438E" w14:textId="77777777" w:rsidTr="00A07548">
        <w:tc>
          <w:tcPr>
            <w:tcW w:w="1017" w:type="dxa"/>
          </w:tcPr>
          <w:p w14:paraId="6DA67CA0" w14:textId="77777777" w:rsidR="00E331AB" w:rsidRPr="00150BF5" w:rsidRDefault="00E331AB" w:rsidP="00A07548">
            <w:pPr>
              <w:spacing w:after="0" w:line="240" w:lineRule="auto"/>
              <w:jc w:val="center"/>
              <w:rPr>
                <w:rFonts w:ascii="Arial" w:eastAsia="Calibri" w:hAnsi="Arial" w:cs="Arial"/>
                <w:b/>
                <w:sz w:val="24"/>
                <w:szCs w:val="24"/>
                <w:u w:val="single"/>
              </w:rPr>
            </w:pPr>
            <w:r w:rsidRPr="00DA4649">
              <w:rPr>
                <w:rFonts w:ascii="Arial" w:eastAsia="Calibri" w:hAnsi="Arial" w:cs="Arial"/>
                <w:b/>
                <w:sz w:val="24"/>
                <w:szCs w:val="24"/>
                <w:u w:val="single"/>
              </w:rPr>
              <w:t>Exhibit</w:t>
            </w:r>
          </w:p>
        </w:tc>
        <w:tc>
          <w:tcPr>
            <w:tcW w:w="7455" w:type="dxa"/>
          </w:tcPr>
          <w:p w14:paraId="2707E8F5" w14:textId="77777777" w:rsidR="00E331AB" w:rsidRPr="00DA4649" w:rsidRDefault="00E331AB" w:rsidP="00A07548">
            <w:pPr>
              <w:spacing w:after="0" w:line="240" w:lineRule="auto"/>
              <w:jc w:val="center"/>
              <w:rPr>
                <w:rFonts w:ascii="Arial" w:eastAsia="Calibri" w:hAnsi="Arial" w:cs="Arial"/>
                <w:b/>
                <w:sz w:val="24"/>
                <w:szCs w:val="24"/>
              </w:rPr>
            </w:pPr>
          </w:p>
        </w:tc>
        <w:tc>
          <w:tcPr>
            <w:tcW w:w="884" w:type="dxa"/>
          </w:tcPr>
          <w:p w14:paraId="7580C8F5" w14:textId="77777777" w:rsidR="00E331AB" w:rsidRPr="00DA4649" w:rsidRDefault="00E331AB" w:rsidP="00A07548">
            <w:pPr>
              <w:spacing w:after="0" w:line="240" w:lineRule="auto"/>
              <w:jc w:val="center"/>
              <w:rPr>
                <w:rFonts w:ascii="Arial" w:eastAsia="Calibri" w:hAnsi="Arial" w:cs="Arial"/>
                <w:b/>
                <w:sz w:val="24"/>
                <w:szCs w:val="24"/>
                <w:u w:val="single"/>
              </w:rPr>
            </w:pPr>
            <w:r w:rsidRPr="00DA4649">
              <w:rPr>
                <w:rFonts w:ascii="Arial" w:eastAsia="Calibri" w:hAnsi="Arial" w:cs="Arial"/>
                <w:b/>
                <w:sz w:val="24"/>
                <w:szCs w:val="24"/>
                <w:u w:val="single"/>
              </w:rPr>
              <w:t>Page</w:t>
            </w:r>
          </w:p>
        </w:tc>
      </w:tr>
      <w:tr w:rsidR="00BA7D3C" w:rsidRPr="00DA4649" w14:paraId="119C8D37" w14:textId="77777777" w:rsidTr="00A07548">
        <w:tc>
          <w:tcPr>
            <w:tcW w:w="1017" w:type="dxa"/>
          </w:tcPr>
          <w:p w14:paraId="66EE95CB" w14:textId="77777777" w:rsidR="00BA7D3C" w:rsidRPr="00150BF5" w:rsidRDefault="00BA7D3C" w:rsidP="00A07548">
            <w:pPr>
              <w:spacing w:after="0" w:line="240" w:lineRule="auto"/>
              <w:jc w:val="center"/>
              <w:rPr>
                <w:rFonts w:ascii="Arial" w:eastAsia="Calibri" w:hAnsi="Arial" w:cs="Arial"/>
                <w:sz w:val="24"/>
                <w:szCs w:val="24"/>
              </w:rPr>
            </w:pPr>
          </w:p>
        </w:tc>
        <w:tc>
          <w:tcPr>
            <w:tcW w:w="7455" w:type="dxa"/>
          </w:tcPr>
          <w:p w14:paraId="69F58C92" w14:textId="77777777" w:rsidR="00BA7D3C" w:rsidRPr="00150BF5" w:rsidRDefault="00BA7D3C" w:rsidP="00A07548">
            <w:pPr>
              <w:spacing w:after="0" w:line="240" w:lineRule="auto"/>
              <w:rPr>
                <w:rFonts w:ascii="Arial" w:eastAsia="Calibri" w:hAnsi="Arial" w:cs="Arial"/>
                <w:sz w:val="24"/>
                <w:szCs w:val="24"/>
              </w:rPr>
            </w:pPr>
          </w:p>
        </w:tc>
        <w:tc>
          <w:tcPr>
            <w:tcW w:w="884" w:type="dxa"/>
          </w:tcPr>
          <w:p w14:paraId="0C1EB899" w14:textId="77777777" w:rsidR="00BA7D3C" w:rsidRPr="00150BF5" w:rsidRDefault="00BA7D3C" w:rsidP="00A07548">
            <w:pPr>
              <w:spacing w:after="0" w:line="240" w:lineRule="auto"/>
              <w:jc w:val="right"/>
              <w:rPr>
                <w:rFonts w:ascii="Arial" w:eastAsia="Calibri" w:hAnsi="Arial" w:cs="Arial"/>
                <w:b/>
                <w:sz w:val="24"/>
                <w:szCs w:val="24"/>
              </w:rPr>
            </w:pPr>
          </w:p>
        </w:tc>
      </w:tr>
      <w:tr w:rsidR="00BA7D3C" w:rsidRPr="00DA4649" w14:paraId="7E2A7B33" w14:textId="77777777" w:rsidTr="00A07548">
        <w:tc>
          <w:tcPr>
            <w:tcW w:w="1017" w:type="dxa"/>
          </w:tcPr>
          <w:p w14:paraId="3DE24355" w14:textId="77777777" w:rsidR="00BA7D3C" w:rsidRPr="00150BF5" w:rsidRDefault="00BA7D3C" w:rsidP="00A07548">
            <w:pPr>
              <w:spacing w:after="0" w:line="240" w:lineRule="auto"/>
              <w:jc w:val="center"/>
              <w:rPr>
                <w:rFonts w:ascii="Arial" w:eastAsia="Calibri" w:hAnsi="Arial" w:cs="Arial"/>
                <w:sz w:val="24"/>
                <w:szCs w:val="24"/>
              </w:rPr>
            </w:pPr>
            <w:r w:rsidRPr="00150BF5">
              <w:rPr>
                <w:rFonts w:ascii="Arial" w:eastAsia="Calibri" w:hAnsi="Arial" w:cs="Arial"/>
                <w:sz w:val="24"/>
                <w:szCs w:val="24"/>
              </w:rPr>
              <w:t>XI-1</w:t>
            </w:r>
          </w:p>
        </w:tc>
        <w:tc>
          <w:tcPr>
            <w:tcW w:w="7455" w:type="dxa"/>
          </w:tcPr>
          <w:p w14:paraId="2C3DF13E" w14:textId="77777777" w:rsidR="00BA7D3C" w:rsidRPr="00150BF5" w:rsidRDefault="00C44628" w:rsidP="00150BF5">
            <w:pPr>
              <w:spacing w:after="0" w:line="240" w:lineRule="auto"/>
              <w:ind w:left="390" w:hanging="390"/>
              <w:rPr>
                <w:rFonts w:ascii="Arial" w:eastAsia="Calibri" w:hAnsi="Arial" w:cs="Arial"/>
                <w:sz w:val="24"/>
                <w:szCs w:val="24"/>
              </w:rPr>
            </w:pPr>
            <w:r w:rsidRPr="00DA4649">
              <w:rPr>
                <w:rFonts w:ascii="Arial" w:eastAsia="Calibri" w:hAnsi="Arial" w:cs="Arial"/>
                <w:sz w:val="24"/>
                <w:szCs w:val="24"/>
              </w:rPr>
              <w:t>FirstEnergy Pennsylvania Companies’ Record of Achieving Safety Goals - For the Years 2009 through 2013</w:t>
            </w:r>
          </w:p>
        </w:tc>
        <w:tc>
          <w:tcPr>
            <w:tcW w:w="884" w:type="dxa"/>
          </w:tcPr>
          <w:p w14:paraId="5F5C9770" w14:textId="77777777" w:rsidR="00BA7D3C" w:rsidRPr="00150BF5" w:rsidRDefault="00DA4649" w:rsidP="00A07548">
            <w:pPr>
              <w:spacing w:after="0" w:line="240" w:lineRule="auto"/>
              <w:jc w:val="right"/>
              <w:rPr>
                <w:rFonts w:ascii="Arial" w:eastAsia="Calibri" w:hAnsi="Arial" w:cs="Arial"/>
                <w:sz w:val="24"/>
                <w:szCs w:val="24"/>
              </w:rPr>
            </w:pPr>
            <w:r w:rsidRPr="00150BF5">
              <w:rPr>
                <w:rFonts w:ascii="Arial" w:eastAsia="Calibri" w:hAnsi="Arial" w:cs="Arial"/>
                <w:sz w:val="24"/>
                <w:szCs w:val="24"/>
              </w:rPr>
              <w:t>89</w:t>
            </w:r>
          </w:p>
        </w:tc>
      </w:tr>
      <w:tr w:rsidR="00E331AB" w:rsidRPr="00DA4649" w14:paraId="76B2705D" w14:textId="77777777" w:rsidTr="00A07548">
        <w:tc>
          <w:tcPr>
            <w:tcW w:w="1017" w:type="dxa"/>
          </w:tcPr>
          <w:p w14:paraId="3EC559B9" w14:textId="77777777" w:rsidR="00E331AB" w:rsidRPr="00150BF5" w:rsidRDefault="00E331AB" w:rsidP="00A07548">
            <w:pPr>
              <w:spacing w:after="0" w:line="240" w:lineRule="auto"/>
              <w:jc w:val="center"/>
              <w:rPr>
                <w:rFonts w:ascii="Arial" w:eastAsia="Calibri" w:hAnsi="Arial" w:cs="Arial"/>
                <w:sz w:val="24"/>
                <w:szCs w:val="24"/>
              </w:rPr>
            </w:pPr>
          </w:p>
        </w:tc>
        <w:tc>
          <w:tcPr>
            <w:tcW w:w="7455" w:type="dxa"/>
          </w:tcPr>
          <w:p w14:paraId="340FF456" w14:textId="77777777" w:rsidR="00E331AB" w:rsidRPr="00150BF5" w:rsidRDefault="00E331AB" w:rsidP="00A07548">
            <w:pPr>
              <w:spacing w:after="0" w:line="240" w:lineRule="auto"/>
              <w:rPr>
                <w:rFonts w:ascii="Arial" w:eastAsia="Calibri" w:hAnsi="Arial" w:cs="Arial"/>
                <w:sz w:val="24"/>
                <w:szCs w:val="24"/>
              </w:rPr>
            </w:pPr>
          </w:p>
        </w:tc>
        <w:tc>
          <w:tcPr>
            <w:tcW w:w="884" w:type="dxa"/>
          </w:tcPr>
          <w:p w14:paraId="631D50D2" w14:textId="77777777" w:rsidR="00E331AB" w:rsidRPr="00150BF5" w:rsidRDefault="00E331AB" w:rsidP="00A07548">
            <w:pPr>
              <w:spacing w:after="0" w:line="240" w:lineRule="auto"/>
              <w:jc w:val="right"/>
              <w:rPr>
                <w:rFonts w:ascii="Arial" w:eastAsia="Calibri" w:hAnsi="Arial" w:cs="Arial"/>
                <w:b/>
                <w:sz w:val="24"/>
                <w:szCs w:val="24"/>
              </w:rPr>
            </w:pPr>
          </w:p>
        </w:tc>
      </w:tr>
      <w:tr w:rsidR="00E331AB" w:rsidRPr="00DA4649" w14:paraId="25718AE6" w14:textId="77777777" w:rsidTr="00A07548">
        <w:tc>
          <w:tcPr>
            <w:tcW w:w="1017" w:type="dxa"/>
          </w:tcPr>
          <w:p w14:paraId="368D8517" w14:textId="77777777" w:rsidR="00E331AB" w:rsidRPr="00DA4649" w:rsidRDefault="00E331AB" w:rsidP="00A07548">
            <w:pPr>
              <w:spacing w:after="0" w:line="240" w:lineRule="auto"/>
              <w:jc w:val="center"/>
              <w:rPr>
                <w:rFonts w:ascii="Arial" w:eastAsia="Calibri" w:hAnsi="Arial" w:cs="Arial"/>
                <w:sz w:val="24"/>
                <w:szCs w:val="24"/>
              </w:rPr>
            </w:pPr>
            <w:r w:rsidRPr="00DA4649">
              <w:rPr>
                <w:rFonts w:ascii="Arial" w:eastAsia="Calibri" w:hAnsi="Arial" w:cs="Arial"/>
                <w:sz w:val="24"/>
                <w:szCs w:val="24"/>
              </w:rPr>
              <w:t>X</w:t>
            </w:r>
            <w:r w:rsidR="00DF118B" w:rsidRPr="00DA4649">
              <w:rPr>
                <w:rFonts w:ascii="Arial" w:eastAsia="Calibri" w:hAnsi="Arial" w:cs="Arial"/>
                <w:sz w:val="24"/>
                <w:szCs w:val="24"/>
              </w:rPr>
              <w:t>I-2</w:t>
            </w:r>
          </w:p>
        </w:tc>
        <w:tc>
          <w:tcPr>
            <w:tcW w:w="7455" w:type="dxa"/>
          </w:tcPr>
          <w:p w14:paraId="6E378D02" w14:textId="77777777" w:rsidR="00E331AB" w:rsidRPr="00DA4649" w:rsidRDefault="00DF118B" w:rsidP="00DF118B">
            <w:pPr>
              <w:spacing w:after="0" w:line="240" w:lineRule="auto"/>
              <w:ind w:left="390" w:hanging="390"/>
              <w:rPr>
                <w:rFonts w:ascii="Arial" w:eastAsia="Calibri" w:hAnsi="Arial" w:cs="Arial"/>
                <w:sz w:val="24"/>
                <w:szCs w:val="24"/>
              </w:rPr>
            </w:pPr>
            <w:r w:rsidRPr="00DA4649">
              <w:rPr>
                <w:rFonts w:ascii="Arial" w:eastAsia="Calibri" w:hAnsi="Arial" w:cs="Arial"/>
                <w:sz w:val="24"/>
                <w:szCs w:val="24"/>
              </w:rPr>
              <w:t>FirstEnergy Pennsylvania Companies’ OSHA Rates Comparison -For the Years 2009 through 2013 and 2014 through 2017</w:t>
            </w:r>
          </w:p>
        </w:tc>
        <w:tc>
          <w:tcPr>
            <w:tcW w:w="884" w:type="dxa"/>
          </w:tcPr>
          <w:p w14:paraId="642974C5" w14:textId="77777777" w:rsidR="00E331AB" w:rsidRPr="00DA4649" w:rsidRDefault="006E496B" w:rsidP="00A07548">
            <w:pPr>
              <w:spacing w:after="0" w:line="240" w:lineRule="auto"/>
              <w:jc w:val="right"/>
              <w:rPr>
                <w:rFonts w:ascii="Arial" w:eastAsia="Calibri" w:hAnsi="Arial" w:cs="Arial"/>
                <w:sz w:val="24"/>
                <w:szCs w:val="24"/>
              </w:rPr>
            </w:pPr>
            <w:r w:rsidRPr="00DA4649">
              <w:rPr>
                <w:rFonts w:ascii="Arial" w:eastAsia="Calibri" w:hAnsi="Arial" w:cs="Arial"/>
                <w:sz w:val="24"/>
                <w:szCs w:val="24"/>
              </w:rPr>
              <w:t>9</w:t>
            </w:r>
            <w:r w:rsidR="00DA4649">
              <w:rPr>
                <w:rFonts w:ascii="Arial" w:eastAsia="Calibri" w:hAnsi="Arial" w:cs="Arial"/>
                <w:sz w:val="24"/>
                <w:szCs w:val="24"/>
              </w:rPr>
              <w:t>0</w:t>
            </w:r>
          </w:p>
        </w:tc>
      </w:tr>
      <w:tr w:rsidR="00E331AB" w:rsidRPr="00DA4649" w14:paraId="55B38F81" w14:textId="77777777" w:rsidTr="00A07548">
        <w:tc>
          <w:tcPr>
            <w:tcW w:w="1017" w:type="dxa"/>
          </w:tcPr>
          <w:p w14:paraId="0FEA7186" w14:textId="77777777" w:rsidR="00E331AB" w:rsidRPr="00DA4649" w:rsidRDefault="00E331AB" w:rsidP="00A07548">
            <w:pPr>
              <w:spacing w:after="0" w:line="240" w:lineRule="auto"/>
              <w:jc w:val="center"/>
              <w:rPr>
                <w:rFonts w:ascii="Arial" w:eastAsia="Calibri" w:hAnsi="Arial" w:cs="Arial"/>
                <w:sz w:val="24"/>
                <w:szCs w:val="24"/>
              </w:rPr>
            </w:pPr>
          </w:p>
        </w:tc>
        <w:tc>
          <w:tcPr>
            <w:tcW w:w="7455" w:type="dxa"/>
          </w:tcPr>
          <w:p w14:paraId="3011DE99" w14:textId="77777777" w:rsidR="00E331AB" w:rsidRPr="00DA4649" w:rsidRDefault="00E331AB" w:rsidP="00A07548">
            <w:pPr>
              <w:spacing w:after="0" w:line="240" w:lineRule="auto"/>
              <w:rPr>
                <w:rFonts w:ascii="Arial" w:eastAsia="Calibri" w:hAnsi="Arial" w:cs="Arial"/>
                <w:sz w:val="24"/>
                <w:szCs w:val="24"/>
              </w:rPr>
            </w:pPr>
          </w:p>
        </w:tc>
        <w:tc>
          <w:tcPr>
            <w:tcW w:w="884" w:type="dxa"/>
          </w:tcPr>
          <w:p w14:paraId="389560E9" w14:textId="77777777" w:rsidR="00E331AB" w:rsidRPr="00DA4649" w:rsidRDefault="00E331AB" w:rsidP="00A07548">
            <w:pPr>
              <w:spacing w:after="0" w:line="240" w:lineRule="auto"/>
              <w:jc w:val="right"/>
              <w:rPr>
                <w:rFonts w:ascii="Arial" w:eastAsia="Calibri" w:hAnsi="Arial" w:cs="Arial"/>
                <w:sz w:val="24"/>
                <w:szCs w:val="24"/>
              </w:rPr>
            </w:pPr>
          </w:p>
        </w:tc>
      </w:tr>
      <w:tr w:rsidR="00E331AB" w:rsidRPr="00DA4649" w14:paraId="0CBFEC9E" w14:textId="77777777" w:rsidTr="00A07548">
        <w:tc>
          <w:tcPr>
            <w:tcW w:w="1017" w:type="dxa"/>
          </w:tcPr>
          <w:p w14:paraId="64951EEE" w14:textId="77777777" w:rsidR="00E331AB" w:rsidRPr="00DA4649" w:rsidRDefault="00DF118B" w:rsidP="00A07548">
            <w:pPr>
              <w:spacing w:after="0" w:line="240" w:lineRule="auto"/>
              <w:jc w:val="center"/>
              <w:rPr>
                <w:rFonts w:ascii="Arial" w:eastAsia="Calibri" w:hAnsi="Arial" w:cs="Arial"/>
                <w:sz w:val="24"/>
                <w:szCs w:val="24"/>
              </w:rPr>
            </w:pPr>
            <w:r w:rsidRPr="00DA4649">
              <w:rPr>
                <w:rFonts w:ascii="Arial" w:eastAsia="Calibri" w:hAnsi="Arial" w:cs="Arial"/>
                <w:sz w:val="24"/>
                <w:szCs w:val="24"/>
              </w:rPr>
              <w:t>XI-3</w:t>
            </w:r>
          </w:p>
        </w:tc>
        <w:tc>
          <w:tcPr>
            <w:tcW w:w="7455" w:type="dxa"/>
          </w:tcPr>
          <w:p w14:paraId="47D06CD9" w14:textId="77777777" w:rsidR="00E331AB" w:rsidRPr="00DA4649" w:rsidRDefault="00DF118B" w:rsidP="00DF118B">
            <w:pPr>
              <w:spacing w:after="0" w:line="240" w:lineRule="auto"/>
              <w:ind w:left="390" w:hanging="390"/>
              <w:rPr>
                <w:rFonts w:ascii="Arial" w:eastAsia="Calibri" w:hAnsi="Arial" w:cs="Arial"/>
                <w:sz w:val="24"/>
                <w:szCs w:val="24"/>
              </w:rPr>
            </w:pPr>
            <w:r w:rsidRPr="00DA4649">
              <w:rPr>
                <w:rFonts w:ascii="Arial" w:eastAsia="Calibri" w:hAnsi="Arial" w:cs="Arial"/>
                <w:sz w:val="24"/>
                <w:szCs w:val="24"/>
              </w:rPr>
              <w:t>FirstEnergy Pennsylvania Companies’ DART Rates Comparison -For the Years 2009 through 2013 and 2014 through 2017</w:t>
            </w:r>
          </w:p>
        </w:tc>
        <w:tc>
          <w:tcPr>
            <w:tcW w:w="884" w:type="dxa"/>
          </w:tcPr>
          <w:p w14:paraId="21EC9940" w14:textId="77777777" w:rsidR="00E331AB" w:rsidRPr="00DA4649" w:rsidRDefault="006E496B" w:rsidP="00A07548">
            <w:pPr>
              <w:spacing w:after="0" w:line="240" w:lineRule="auto"/>
              <w:jc w:val="right"/>
              <w:rPr>
                <w:rFonts w:ascii="Arial" w:eastAsia="Calibri" w:hAnsi="Arial" w:cs="Arial"/>
                <w:sz w:val="24"/>
                <w:szCs w:val="24"/>
              </w:rPr>
            </w:pPr>
            <w:r w:rsidRPr="00DA4649">
              <w:rPr>
                <w:rFonts w:ascii="Arial" w:eastAsia="Calibri" w:hAnsi="Arial" w:cs="Arial"/>
                <w:sz w:val="24"/>
                <w:szCs w:val="24"/>
              </w:rPr>
              <w:t>9</w:t>
            </w:r>
            <w:r w:rsidR="00DA4649">
              <w:rPr>
                <w:rFonts w:ascii="Arial" w:eastAsia="Calibri" w:hAnsi="Arial" w:cs="Arial"/>
                <w:sz w:val="24"/>
                <w:szCs w:val="24"/>
              </w:rPr>
              <w:t>1</w:t>
            </w:r>
          </w:p>
        </w:tc>
      </w:tr>
      <w:tr w:rsidR="00E331AB" w:rsidRPr="00DA4649" w14:paraId="744E7F04" w14:textId="77777777" w:rsidTr="00A07548">
        <w:tc>
          <w:tcPr>
            <w:tcW w:w="1017" w:type="dxa"/>
          </w:tcPr>
          <w:p w14:paraId="39E51E00" w14:textId="77777777" w:rsidR="00E331AB" w:rsidRPr="00DA4649" w:rsidRDefault="00E331AB" w:rsidP="00A07548">
            <w:pPr>
              <w:spacing w:after="0" w:line="240" w:lineRule="auto"/>
              <w:jc w:val="center"/>
              <w:rPr>
                <w:rFonts w:ascii="Arial" w:eastAsia="Calibri" w:hAnsi="Arial" w:cs="Arial"/>
                <w:sz w:val="24"/>
                <w:szCs w:val="24"/>
              </w:rPr>
            </w:pPr>
          </w:p>
        </w:tc>
        <w:tc>
          <w:tcPr>
            <w:tcW w:w="7455" w:type="dxa"/>
          </w:tcPr>
          <w:p w14:paraId="25BCAD1C" w14:textId="77777777" w:rsidR="00E331AB" w:rsidRPr="00DA4649" w:rsidRDefault="00E331AB" w:rsidP="00A07548">
            <w:pPr>
              <w:spacing w:after="0" w:line="240" w:lineRule="auto"/>
              <w:rPr>
                <w:rFonts w:ascii="Arial" w:eastAsia="Calibri" w:hAnsi="Arial" w:cs="Arial"/>
                <w:sz w:val="24"/>
                <w:szCs w:val="24"/>
              </w:rPr>
            </w:pPr>
          </w:p>
        </w:tc>
        <w:tc>
          <w:tcPr>
            <w:tcW w:w="884" w:type="dxa"/>
          </w:tcPr>
          <w:p w14:paraId="5249CD1C" w14:textId="77777777" w:rsidR="00E331AB" w:rsidRPr="00DA4649" w:rsidRDefault="00E331AB" w:rsidP="00A07548">
            <w:pPr>
              <w:spacing w:after="0" w:line="240" w:lineRule="auto"/>
              <w:jc w:val="right"/>
              <w:rPr>
                <w:rFonts w:ascii="Arial" w:eastAsia="Calibri" w:hAnsi="Arial" w:cs="Arial"/>
                <w:sz w:val="24"/>
                <w:szCs w:val="24"/>
              </w:rPr>
            </w:pPr>
          </w:p>
        </w:tc>
      </w:tr>
      <w:tr w:rsidR="00E331AB" w:rsidRPr="00DA4649" w14:paraId="601CB87C" w14:textId="77777777" w:rsidTr="00A07548">
        <w:tc>
          <w:tcPr>
            <w:tcW w:w="1017" w:type="dxa"/>
          </w:tcPr>
          <w:p w14:paraId="026BA01D" w14:textId="77777777" w:rsidR="00E331AB" w:rsidRPr="00DA4649" w:rsidRDefault="00E331AB" w:rsidP="00A07548">
            <w:pPr>
              <w:spacing w:after="0" w:line="240" w:lineRule="auto"/>
              <w:jc w:val="center"/>
              <w:rPr>
                <w:rFonts w:ascii="Arial" w:eastAsia="Calibri" w:hAnsi="Arial" w:cs="Arial"/>
                <w:sz w:val="24"/>
                <w:szCs w:val="24"/>
              </w:rPr>
            </w:pPr>
            <w:r w:rsidRPr="00DA4649">
              <w:rPr>
                <w:rFonts w:ascii="Arial" w:eastAsia="Calibri" w:hAnsi="Arial" w:cs="Arial"/>
                <w:sz w:val="24"/>
                <w:szCs w:val="24"/>
              </w:rPr>
              <w:t>X</w:t>
            </w:r>
            <w:r w:rsidR="00DF118B" w:rsidRPr="00DA4649">
              <w:rPr>
                <w:rFonts w:ascii="Arial" w:eastAsia="Calibri" w:hAnsi="Arial" w:cs="Arial"/>
                <w:sz w:val="24"/>
                <w:szCs w:val="24"/>
              </w:rPr>
              <w:t>I-4</w:t>
            </w:r>
          </w:p>
        </w:tc>
        <w:tc>
          <w:tcPr>
            <w:tcW w:w="7455" w:type="dxa"/>
          </w:tcPr>
          <w:p w14:paraId="75EA1C20" w14:textId="77777777" w:rsidR="00E331AB" w:rsidRPr="00DA4649" w:rsidRDefault="00DF118B" w:rsidP="00DF118B">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FirstEnergy Pennsylvania Companies’ CMVA Performance - For the Years 2014 through 2017</w:t>
            </w:r>
          </w:p>
        </w:tc>
        <w:tc>
          <w:tcPr>
            <w:tcW w:w="884" w:type="dxa"/>
          </w:tcPr>
          <w:p w14:paraId="3145DC2F" w14:textId="77777777" w:rsidR="00E331AB" w:rsidRPr="00DA4649" w:rsidRDefault="006E496B" w:rsidP="00A07548">
            <w:pPr>
              <w:spacing w:after="0" w:line="240" w:lineRule="auto"/>
              <w:jc w:val="right"/>
              <w:rPr>
                <w:rFonts w:ascii="Arial" w:eastAsia="Calibri" w:hAnsi="Arial" w:cs="Arial"/>
                <w:sz w:val="24"/>
                <w:szCs w:val="24"/>
              </w:rPr>
            </w:pPr>
            <w:r w:rsidRPr="00DA4649">
              <w:rPr>
                <w:rFonts w:ascii="Arial" w:eastAsia="Calibri" w:hAnsi="Arial" w:cs="Arial"/>
                <w:sz w:val="24"/>
                <w:szCs w:val="24"/>
              </w:rPr>
              <w:t>9</w:t>
            </w:r>
            <w:r w:rsidR="00DA4649">
              <w:rPr>
                <w:rFonts w:ascii="Arial" w:eastAsia="Calibri" w:hAnsi="Arial" w:cs="Arial"/>
                <w:sz w:val="24"/>
                <w:szCs w:val="24"/>
              </w:rPr>
              <w:t>1</w:t>
            </w:r>
          </w:p>
        </w:tc>
      </w:tr>
      <w:tr w:rsidR="00E331AB" w:rsidRPr="00DA4649" w14:paraId="4156C172" w14:textId="77777777" w:rsidTr="00A07548">
        <w:tc>
          <w:tcPr>
            <w:tcW w:w="1017" w:type="dxa"/>
          </w:tcPr>
          <w:p w14:paraId="48DE5CD7" w14:textId="77777777" w:rsidR="00E331AB" w:rsidRPr="00DA4649" w:rsidRDefault="00E331AB" w:rsidP="00A07548">
            <w:pPr>
              <w:spacing w:after="0" w:line="240" w:lineRule="auto"/>
              <w:jc w:val="center"/>
              <w:rPr>
                <w:rFonts w:ascii="Arial" w:eastAsia="Calibri" w:hAnsi="Arial" w:cs="Arial"/>
                <w:sz w:val="24"/>
                <w:szCs w:val="24"/>
              </w:rPr>
            </w:pPr>
          </w:p>
        </w:tc>
        <w:tc>
          <w:tcPr>
            <w:tcW w:w="7455" w:type="dxa"/>
          </w:tcPr>
          <w:p w14:paraId="159C7E3F" w14:textId="77777777" w:rsidR="00E331AB" w:rsidRPr="00DA4649" w:rsidRDefault="00E331AB" w:rsidP="00A07548">
            <w:pPr>
              <w:spacing w:after="0" w:line="240" w:lineRule="auto"/>
              <w:rPr>
                <w:rFonts w:ascii="Arial" w:eastAsia="Calibri" w:hAnsi="Arial" w:cs="Arial"/>
                <w:sz w:val="24"/>
                <w:szCs w:val="24"/>
              </w:rPr>
            </w:pPr>
          </w:p>
        </w:tc>
        <w:tc>
          <w:tcPr>
            <w:tcW w:w="884" w:type="dxa"/>
          </w:tcPr>
          <w:p w14:paraId="2FA3FE12" w14:textId="77777777" w:rsidR="00E331AB" w:rsidRPr="00DA4649" w:rsidRDefault="00E331AB" w:rsidP="00A07548">
            <w:pPr>
              <w:spacing w:after="0" w:line="240" w:lineRule="auto"/>
              <w:jc w:val="right"/>
              <w:rPr>
                <w:rFonts w:ascii="Arial" w:eastAsia="Calibri" w:hAnsi="Arial" w:cs="Arial"/>
                <w:sz w:val="24"/>
                <w:szCs w:val="24"/>
              </w:rPr>
            </w:pPr>
          </w:p>
        </w:tc>
      </w:tr>
      <w:tr w:rsidR="00E331AB" w:rsidRPr="00DA4649" w14:paraId="217CF580" w14:textId="77777777" w:rsidTr="00A07548">
        <w:tc>
          <w:tcPr>
            <w:tcW w:w="1017" w:type="dxa"/>
          </w:tcPr>
          <w:p w14:paraId="38480223" w14:textId="77777777" w:rsidR="00E331AB" w:rsidRPr="00DA4649" w:rsidRDefault="00E331AB" w:rsidP="00A07548">
            <w:pPr>
              <w:spacing w:after="0" w:line="240" w:lineRule="auto"/>
              <w:jc w:val="center"/>
              <w:rPr>
                <w:rFonts w:ascii="Arial" w:eastAsia="Calibri" w:hAnsi="Arial" w:cs="Arial"/>
                <w:sz w:val="24"/>
                <w:szCs w:val="24"/>
              </w:rPr>
            </w:pPr>
            <w:r w:rsidRPr="00DA4649">
              <w:rPr>
                <w:rFonts w:ascii="Arial" w:eastAsia="Calibri" w:hAnsi="Arial" w:cs="Arial"/>
                <w:sz w:val="24"/>
                <w:szCs w:val="24"/>
              </w:rPr>
              <w:t>X</w:t>
            </w:r>
            <w:r w:rsidR="00DF118B" w:rsidRPr="00DA4649">
              <w:rPr>
                <w:rFonts w:ascii="Arial" w:eastAsia="Calibri" w:hAnsi="Arial" w:cs="Arial"/>
                <w:sz w:val="24"/>
                <w:szCs w:val="24"/>
              </w:rPr>
              <w:t>I-5</w:t>
            </w:r>
          </w:p>
        </w:tc>
        <w:tc>
          <w:tcPr>
            <w:tcW w:w="7455" w:type="dxa"/>
          </w:tcPr>
          <w:p w14:paraId="3D86DCBF" w14:textId="77777777" w:rsidR="00E331AB" w:rsidRPr="00DA4649" w:rsidRDefault="00DF118B" w:rsidP="00DF118B">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FirstEnergy Pennsylvania Companies’ Record of Achieving Safety Goals - For the Years 2014 through 2017</w:t>
            </w:r>
          </w:p>
        </w:tc>
        <w:tc>
          <w:tcPr>
            <w:tcW w:w="884" w:type="dxa"/>
          </w:tcPr>
          <w:p w14:paraId="79CF51AB" w14:textId="77777777" w:rsidR="00E331AB" w:rsidRPr="00DA4649" w:rsidRDefault="006E496B" w:rsidP="00A07548">
            <w:pPr>
              <w:spacing w:after="0" w:line="240" w:lineRule="auto"/>
              <w:jc w:val="right"/>
              <w:rPr>
                <w:rFonts w:ascii="Arial" w:eastAsia="Calibri" w:hAnsi="Arial" w:cs="Arial"/>
                <w:sz w:val="24"/>
                <w:szCs w:val="24"/>
              </w:rPr>
            </w:pPr>
            <w:r w:rsidRPr="00DA4649">
              <w:rPr>
                <w:rFonts w:ascii="Arial" w:eastAsia="Calibri" w:hAnsi="Arial" w:cs="Arial"/>
                <w:sz w:val="24"/>
                <w:szCs w:val="24"/>
              </w:rPr>
              <w:t>9</w:t>
            </w:r>
            <w:r w:rsidR="00DA4649">
              <w:rPr>
                <w:rFonts w:ascii="Arial" w:eastAsia="Calibri" w:hAnsi="Arial" w:cs="Arial"/>
                <w:sz w:val="24"/>
                <w:szCs w:val="24"/>
              </w:rPr>
              <w:t>2</w:t>
            </w:r>
          </w:p>
        </w:tc>
      </w:tr>
      <w:tr w:rsidR="00E331AB" w:rsidRPr="00DA4649" w14:paraId="2B295D53" w14:textId="77777777" w:rsidTr="00A07548">
        <w:tc>
          <w:tcPr>
            <w:tcW w:w="1017" w:type="dxa"/>
          </w:tcPr>
          <w:p w14:paraId="51E2E406" w14:textId="77777777" w:rsidR="00E331AB" w:rsidRPr="00DA4649" w:rsidRDefault="00E331AB" w:rsidP="00A07548">
            <w:pPr>
              <w:spacing w:after="0" w:line="240" w:lineRule="auto"/>
              <w:jc w:val="center"/>
              <w:rPr>
                <w:rFonts w:ascii="Arial" w:eastAsia="Calibri" w:hAnsi="Arial" w:cs="Arial"/>
                <w:sz w:val="24"/>
                <w:szCs w:val="24"/>
              </w:rPr>
            </w:pPr>
          </w:p>
        </w:tc>
        <w:tc>
          <w:tcPr>
            <w:tcW w:w="7455" w:type="dxa"/>
          </w:tcPr>
          <w:p w14:paraId="0852A0AF" w14:textId="77777777" w:rsidR="00E331AB" w:rsidRPr="00DA4649" w:rsidRDefault="00E331AB" w:rsidP="00A07548">
            <w:pPr>
              <w:spacing w:after="0" w:line="240" w:lineRule="auto"/>
              <w:rPr>
                <w:rFonts w:ascii="Arial" w:eastAsia="Calibri" w:hAnsi="Arial" w:cs="Arial"/>
                <w:sz w:val="24"/>
                <w:szCs w:val="24"/>
              </w:rPr>
            </w:pPr>
          </w:p>
        </w:tc>
        <w:tc>
          <w:tcPr>
            <w:tcW w:w="884" w:type="dxa"/>
          </w:tcPr>
          <w:p w14:paraId="64EB1FA1" w14:textId="77777777" w:rsidR="00E331AB" w:rsidRPr="00DA4649" w:rsidRDefault="00E331AB" w:rsidP="00A07548">
            <w:pPr>
              <w:spacing w:after="0" w:line="240" w:lineRule="auto"/>
              <w:jc w:val="right"/>
              <w:rPr>
                <w:rFonts w:ascii="Arial" w:eastAsia="Calibri" w:hAnsi="Arial" w:cs="Arial"/>
                <w:sz w:val="24"/>
                <w:szCs w:val="24"/>
              </w:rPr>
            </w:pPr>
          </w:p>
        </w:tc>
      </w:tr>
      <w:tr w:rsidR="00E331AB" w:rsidRPr="00DA4649" w14:paraId="377366D7" w14:textId="77777777" w:rsidTr="00A07548">
        <w:trPr>
          <w:trHeight w:val="297"/>
        </w:trPr>
        <w:tc>
          <w:tcPr>
            <w:tcW w:w="1017" w:type="dxa"/>
          </w:tcPr>
          <w:p w14:paraId="6CEDF9F7" w14:textId="77777777" w:rsidR="00E331AB" w:rsidRPr="00DA4649" w:rsidRDefault="00E331AB" w:rsidP="00A07548">
            <w:pPr>
              <w:spacing w:after="0" w:line="240" w:lineRule="auto"/>
              <w:jc w:val="center"/>
              <w:rPr>
                <w:rFonts w:ascii="Arial" w:eastAsia="Calibri" w:hAnsi="Arial" w:cs="Arial"/>
                <w:sz w:val="24"/>
                <w:szCs w:val="24"/>
              </w:rPr>
            </w:pPr>
            <w:r w:rsidRPr="00DA4649">
              <w:rPr>
                <w:rFonts w:ascii="Arial" w:eastAsia="Calibri" w:hAnsi="Arial" w:cs="Arial"/>
                <w:sz w:val="24"/>
                <w:szCs w:val="24"/>
              </w:rPr>
              <w:t>X</w:t>
            </w:r>
            <w:r w:rsidR="00AF0C11" w:rsidRPr="00DA4649">
              <w:rPr>
                <w:rFonts w:ascii="Arial" w:eastAsia="Calibri" w:hAnsi="Arial" w:cs="Arial"/>
                <w:sz w:val="24"/>
                <w:szCs w:val="24"/>
              </w:rPr>
              <w:t>I-6</w:t>
            </w:r>
          </w:p>
        </w:tc>
        <w:tc>
          <w:tcPr>
            <w:tcW w:w="7455" w:type="dxa"/>
          </w:tcPr>
          <w:p w14:paraId="009B5725" w14:textId="77777777" w:rsidR="00E331AB" w:rsidRPr="00DA4649" w:rsidRDefault="00AF0C11" w:rsidP="00AF0C11">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Metropolitan Edison Company’s Absenteeism Rates - For the Years 2009 through 2017</w:t>
            </w:r>
          </w:p>
        </w:tc>
        <w:tc>
          <w:tcPr>
            <w:tcW w:w="884" w:type="dxa"/>
          </w:tcPr>
          <w:p w14:paraId="626AD4D2" w14:textId="77777777" w:rsidR="00E331AB" w:rsidRPr="00DA4649" w:rsidRDefault="006E496B" w:rsidP="00A07548">
            <w:pPr>
              <w:spacing w:after="0" w:line="240" w:lineRule="auto"/>
              <w:jc w:val="right"/>
              <w:rPr>
                <w:rFonts w:ascii="Arial" w:eastAsia="Calibri" w:hAnsi="Arial" w:cs="Arial"/>
                <w:sz w:val="24"/>
                <w:szCs w:val="24"/>
              </w:rPr>
            </w:pPr>
            <w:r w:rsidRPr="00DA4649">
              <w:rPr>
                <w:rFonts w:ascii="Arial" w:eastAsia="Calibri" w:hAnsi="Arial" w:cs="Arial"/>
                <w:sz w:val="24"/>
                <w:szCs w:val="24"/>
              </w:rPr>
              <w:t>9</w:t>
            </w:r>
            <w:r w:rsidR="00DA4649">
              <w:rPr>
                <w:rFonts w:ascii="Arial" w:eastAsia="Calibri" w:hAnsi="Arial" w:cs="Arial"/>
                <w:sz w:val="24"/>
                <w:szCs w:val="24"/>
              </w:rPr>
              <w:t>4</w:t>
            </w:r>
          </w:p>
        </w:tc>
      </w:tr>
      <w:tr w:rsidR="00E331AB" w:rsidRPr="00DA4649" w14:paraId="787C70F2" w14:textId="77777777" w:rsidTr="00A07548">
        <w:tc>
          <w:tcPr>
            <w:tcW w:w="1017" w:type="dxa"/>
          </w:tcPr>
          <w:p w14:paraId="613D1048" w14:textId="77777777" w:rsidR="00E331AB" w:rsidRPr="00DA4649" w:rsidRDefault="00E331AB" w:rsidP="00A07548">
            <w:pPr>
              <w:spacing w:after="0" w:line="240" w:lineRule="auto"/>
              <w:jc w:val="center"/>
              <w:rPr>
                <w:rFonts w:ascii="Arial" w:eastAsia="Calibri" w:hAnsi="Arial" w:cs="Arial"/>
                <w:sz w:val="24"/>
                <w:szCs w:val="24"/>
              </w:rPr>
            </w:pPr>
          </w:p>
        </w:tc>
        <w:tc>
          <w:tcPr>
            <w:tcW w:w="7455" w:type="dxa"/>
          </w:tcPr>
          <w:p w14:paraId="7EA6939D" w14:textId="77777777" w:rsidR="00E331AB" w:rsidRPr="00DA4649" w:rsidRDefault="00E331AB" w:rsidP="00A07548">
            <w:pPr>
              <w:spacing w:after="0" w:line="240" w:lineRule="auto"/>
              <w:rPr>
                <w:rFonts w:ascii="Arial" w:eastAsia="Calibri" w:hAnsi="Arial" w:cs="Arial"/>
                <w:sz w:val="24"/>
                <w:szCs w:val="24"/>
              </w:rPr>
            </w:pPr>
          </w:p>
        </w:tc>
        <w:tc>
          <w:tcPr>
            <w:tcW w:w="884" w:type="dxa"/>
          </w:tcPr>
          <w:p w14:paraId="5779D8BB" w14:textId="77777777" w:rsidR="00E331AB" w:rsidRPr="00DA4649" w:rsidRDefault="00E331AB" w:rsidP="00A07548">
            <w:pPr>
              <w:spacing w:after="0" w:line="240" w:lineRule="auto"/>
              <w:jc w:val="right"/>
              <w:rPr>
                <w:rFonts w:ascii="Arial" w:eastAsia="Calibri" w:hAnsi="Arial" w:cs="Arial"/>
                <w:sz w:val="24"/>
                <w:szCs w:val="24"/>
              </w:rPr>
            </w:pPr>
          </w:p>
        </w:tc>
      </w:tr>
      <w:tr w:rsidR="00E331AB" w:rsidRPr="00DA4649" w14:paraId="0090211D" w14:textId="77777777" w:rsidTr="00A07548">
        <w:tc>
          <w:tcPr>
            <w:tcW w:w="1017" w:type="dxa"/>
          </w:tcPr>
          <w:p w14:paraId="5905ED26" w14:textId="77777777" w:rsidR="00E331AB" w:rsidRPr="00DA4649" w:rsidRDefault="00E331AB" w:rsidP="00A07548">
            <w:pPr>
              <w:spacing w:after="0" w:line="240" w:lineRule="auto"/>
              <w:jc w:val="center"/>
              <w:rPr>
                <w:rFonts w:ascii="Arial" w:eastAsia="Calibri" w:hAnsi="Arial" w:cs="Arial"/>
                <w:sz w:val="24"/>
                <w:szCs w:val="24"/>
              </w:rPr>
            </w:pPr>
            <w:r w:rsidRPr="00DA4649">
              <w:rPr>
                <w:rFonts w:ascii="Arial" w:eastAsia="Calibri" w:hAnsi="Arial" w:cs="Arial"/>
                <w:sz w:val="24"/>
                <w:szCs w:val="24"/>
              </w:rPr>
              <w:t>X</w:t>
            </w:r>
            <w:r w:rsidR="00AF0C11" w:rsidRPr="00DA4649">
              <w:rPr>
                <w:rFonts w:ascii="Arial" w:eastAsia="Calibri" w:hAnsi="Arial" w:cs="Arial"/>
                <w:sz w:val="24"/>
                <w:szCs w:val="24"/>
              </w:rPr>
              <w:t>I-7</w:t>
            </w:r>
          </w:p>
        </w:tc>
        <w:tc>
          <w:tcPr>
            <w:tcW w:w="7455" w:type="dxa"/>
          </w:tcPr>
          <w:p w14:paraId="5367A0BF" w14:textId="77777777" w:rsidR="00E331AB" w:rsidRPr="00DA4649" w:rsidRDefault="00AF0C11" w:rsidP="00A07548">
            <w:pPr>
              <w:spacing w:after="0" w:line="240" w:lineRule="auto"/>
              <w:ind w:left="390" w:hanging="390"/>
              <w:rPr>
                <w:rFonts w:ascii="Arial" w:eastAsia="Calibri" w:hAnsi="Arial" w:cs="Arial"/>
                <w:sz w:val="24"/>
                <w:szCs w:val="24"/>
              </w:rPr>
            </w:pPr>
            <w:r w:rsidRPr="00DA4649">
              <w:rPr>
                <w:rFonts w:ascii="Arial" w:eastAsia="Calibri" w:hAnsi="Arial" w:cs="Arial"/>
                <w:sz w:val="24"/>
                <w:szCs w:val="24"/>
              </w:rPr>
              <w:t>Pennsylvania Electric Company’s Absenteeism Rates - For the Years 2009 through 2017</w:t>
            </w:r>
          </w:p>
        </w:tc>
        <w:tc>
          <w:tcPr>
            <w:tcW w:w="884" w:type="dxa"/>
          </w:tcPr>
          <w:p w14:paraId="498EA657" w14:textId="77777777" w:rsidR="00E331AB" w:rsidRPr="00DA4649" w:rsidRDefault="006E496B" w:rsidP="00A07548">
            <w:pPr>
              <w:spacing w:after="0" w:line="240" w:lineRule="auto"/>
              <w:jc w:val="right"/>
              <w:rPr>
                <w:rFonts w:ascii="Arial" w:eastAsia="Calibri" w:hAnsi="Arial" w:cs="Arial"/>
                <w:sz w:val="24"/>
                <w:szCs w:val="24"/>
              </w:rPr>
            </w:pPr>
            <w:r w:rsidRPr="00DA4649">
              <w:rPr>
                <w:rFonts w:ascii="Arial" w:eastAsia="Calibri" w:hAnsi="Arial" w:cs="Arial"/>
                <w:sz w:val="24"/>
                <w:szCs w:val="24"/>
              </w:rPr>
              <w:t>9</w:t>
            </w:r>
            <w:r w:rsidR="00DA4649">
              <w:rPr>
                <w:rFonts w:ascii="Arial" w:eastAsia="Calibri" w:hAnsi="Arial" w:cs="Arial"/>
                <w:sz w:val="24"/>
                <w:szCs w:val="24"/>
              </w:rPr>
              <w:t>4</w:t>
            </w:r>
          </w:p>
        </w:tc>
      </w:tr>
      <w:tr w:rsidR="00E331AB" w:rsidRPr="00DA4649" w14:paraId="0DF36084" w14:textId="77777777" w:rsidTr="00A07548">
        <w:tc>
          <w:tcPr>
            <w:tcW w:w="1017" w:type="dxa"/>
          </w:tcPr>
          <w:p w14:paraId="34531048" w14:textId="77777777" w:rsidR="00E331AB" w:rsidRPr="00DA4649" w:rsidRDefault="00E331AB" w:rsidP="00A07548">
            <w:pPr>
              <w:spacing w:after="0" w:line="240" w:lineRule="auto"/>
              <w:jc w:val="center"/>
              <w:rPr>
                <w:rFonts w:ascii="Arial" w:eastAsia="Calibri" w:hAnsi="Arial" w:cs="Arial"/>
                <w:sz w:val="24"/>
                <w:szCs w:val="24"/>
              </w:rPr>
            </w:pPr>
          </w:p>
        </w:tc>
        <w:tc>
          <w:tcPr>
            <w:tcW w:w="7455" w:type="dxa"/>
          </w:tcPr>
          <w:p w14:paraId="71A45D37" w14:textId="77777777" w:rsidR="00E331AB" w:rsidRPr="00DA4649" w:rsidRDefault="00E331AB" w:rsidP="00A07548">
            <w:pPr>
              <w:spacing w:after="0" w:line="240" w:lineRule="auto"/>
              <w:rPr>
                <w:rFonts w:ascii="Arial" w:eastAsia="Calibri" w:hAnsi="Arial" w:cs="Arial"/>
                <w:sz w:val="24"/>
                <w:szCs w:val="24"/>
              </w:rPr>
            </w:pPr>
          </w:p>
        </w:tc>
        <w:tc>
          <w:tcPr>
            <w:tcW w:w="884" w:type="dxa"/>
          </w:tcPr>
          <w:p w14:paraId="49990220" w14:textId="77777777" w:rsidR="00E331AB" w:rsidRPr="00DA4649" w:rsidRDefault="00E331AB" w:rsidP="00A07548">
            <w:pPr>
              <w:spacing w:after="0" w:line="240" w:lineRule="auto"/>
              <w:jc w:val="right"/>
              <w:rPr>
                <w:rFonts w:ascii="Arial" w:eastAsia="Calibri" w:hAnsi="Arial" w:cs="Arial"/>
                <w:sz w:val="24"/>
                <w:szCs w:val="24"/>
              </w:rPr>
            </w:pPr>
          </w:p>
        </w:tc>
      </w:tr>
      <w:tr w:rsidR="00E331AB" w:rsidRPr="00DA4649" w14:paraId="1E99E705" w14:textId="77777777" w:rsidTr="00A07548">
        <w:tc>
          <w:tcPr>
            <w:tcW w:w="1017" w:type="dxa"/>
          </w:tcPr>
          <w:p w14:paraId="4CCA6817" w14:textId="77777777" w:rsidR="00E331AB" w:rsidRPr="00DA4649" w:rsidRDefault="00AF0C11" w:rsidP="00A07548">
            <w:pPr>
              <w:spacing w:after="0" w:line="240" w:lineRule="auto"/>
              <w:jc w:val="center"/>
              <w:rPr>
                <w:rFonts w:ascii="Arial" w:eastAsia="Calibri" w:hAnsi="Arial" w:cs="Arial"/>
                <w:sz w:val="24"/>
                <w:szCs w:val="24"/>
              </w:rPr>
            </w:pPr>
            <w:r w:rsidRPr="00DA4649">
              <w:rPr>
                <w:rFonts w:ascii="Arial" w:eastAsia="Calibri" w:hAnsi="Arial" w:cs="Arial"/>
                <w:sz w:val="24"/>
                <w:szCs w:val="24"/>
              </w:rPr>
              <w:t>XI-8</w:t>
            </w:r>
          </w:p>
        </w:tc>
        <w:tc>
          <w:tcPr>
            <w:tcW w:w="7455" w:type="dxa"/>
          </w:tcPr>
          <w:p w14:paraId="0C0826C8" w14:textId="77777777" w:rsidR="00E331AB" w:rsidRPr="00DA4649" w:rsidRDefault="00AF0C11" w:rsidP="00A07548">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Pennsylvania Power Company’s Absenteeism Rates - For the Years 2009 through 2017</w:t>
            </w:r>
          </w:p>
        </w:tc>
        <w:tc>
          <w:tcPr>
            <w:tcW w:w="884" w:type="dxa"/>
          </w:tcPr>
          <w:p w14:paraId="2FC473C4" w14:textId="77777777" w:rsidR="00E331AB" w:rsidRPr="00DA4649" w:rsidRDefault="006E496B" w:rsidP="00A07548">
            <w:pPr>
              <w:spacing w:after="0" w:line="240" w:lineRule="auto"/>
              <w:jc w:val="right"/>
              <w:rPr>
                <w:rFonts w:ascii="Arial" w:eastAsia="Calibri" w:hAnsi="Arial" w:cs="Arial"/>
                <w:sz w:val="24"/>
                <w:szCs w:val="24"/>
              </w:rPr>
            </w:pPr>
            <w:r w:rsidRPr="00DA4649">
              <w:rPr>
                <w:rFonts w:ascii="Arial" w:eastAsia="Calibri" w:hAnsi="Arial" w:cs="Arial"/>
                <w:sz w:val="24"/>
                <w:szCs w:val="24"/>
              </w:rPr>
              <w:t>9</w:t>
            </w:r>
            <w:r w:rsidR="006D4DD2">
              <w:rPr>
                <w:rFonts w:ascii="Arial" w:eastAsia="Calibri" w:hAnsi="Arial" w:cs="Arial"/>
                <w:sz w:val="24"/>
                <w:szCs w:val="24"/>
              </w:rPr>
              <w:t>5</w:t>
            </w:r>
          </w:p>
        </w:tc>
      </w:tr>
      <w:tr w:rsidR="00E331AB" w:rsidRPr="00DA4649" w14:paraId="7B19C795" w14:textId="77777777" w:rsidTr="00A07548">
        <w:tc>
          <w:tcPr>
            <w:tcW w:w="1017" w:type="dxa"/>
          </w:tcPr>
          <w:p w14:paraId="114062DE" w14:textId="77777777" w:rsidR="00E331AB" w:rsidRPr="00DA4649" w:rsidRDefault="00E331AB" w:rsidP="00A07548">
            <w:pPr>
              <w:spacing w:after="0" w:line="240" w:lineRule="auto"/>
              <w:jc w:val="center"/>
              <w:rPr>
                <w:rFonts w:ascii="Arial" w:eastAsia="Calibri" w:hAnsi="Arial" w:cs="Arial"/>
                <w:sz w:val="24"/>
                <w:szCs w:val="24"/>
              </w:rPr>
            </w:pPr>
          </w:p>
        </w:tc>
        <w:tc>
          <w:tcPr>
            <w:tcW w:w="7455" w:type="dxa"/>
          </w:tcPr>
          <w:p w14:paraId="6E1D8D07" w14:textId="77777777" w:rsidR="00E331AB" w:rsidRPr="00DA4649" w:rsidRDefault="00E331AB" w:rsidP="00A07548">
            <w:pPr>
              <w:spacing w:after="0" w:line="240" w:lineRule="auto"/>
              <w:ind w:left="405" w:hanging="405"/>
              <w:rPr>
                <w:rFonts w:ascii="Arial" w:eastAsia="Calibri" w:hAnsi="Arial" w:cs="Arial"/>
                <w:sz w:val="24"/>
                <w:szCs w:val="24"/>
              </w:rPr>
            </w:pPr>
          </w:p>
        </w:tc>
        <w:tc>
          <w:tcPr>
            <w:tcW w:w="884" w:type="dxa"/>
          </w:tcPr>
          <w:p w14:paraId="7EB83016" w14:textId="77777777" w:rsidR="00E331AB" w:rsidRPr="00DA4649" w:rsidRDefault="00E331AB" w:rsidP="00A07548">
            <w:pPr>
              <w:spacing w:after="0" w:line="240" w:lineRule="auto"/>
              <w:jc w:val="right"/>
              <w:rPr>
                <w:rFonts w:ascii="Arial" w:eastAsia="Calibri" w:hAnsi="Arial" w:cs="Arial"/>
                <w:sz w:val="24"/>
                <w:szCs w:val="24"/>
              </w:rPr>
            </w:pPr>
          </w:p>
        </w:tc>
      </w:tr>
      <w:tr w:rsidR="00E331AB" w:rsidRPr="00DA4649" w14:paraId="5D04C8A5" w14:textId="77777777" w:rsidTr="00A07548">
        <w:tc>
          <w:tcPr>
            <w:tcW w:w="1017" w:type="dxa"/>
          </w:tcPr>
          <w:p w14:paraId="270A8841" w14:textId="77777777" w:rsidR="00E331AB" w:rsidRPr="00DA4649" w:rsidRDefault="00AF0C11" w:rsidP="00A07548">
            <w:pPr>
              <w:spacing w:after="0" w:line="240" w:lineRule="auto"/>
              <w:jc w:val="center"/>
              <w:rPr>
                <w:rFonts w:ascii="Arial" w:eastAsia="Calibri" w:hAnsi="Arial" w:cs="Arial"/>
                <w:sz w:val="24"/>
                <w:szCs w:val="24"/>
              </w:rPr>
            </w:pPr>
            <w:r w:rsidRPr="00DA4649">
              <w:rPr>
                <w:rFonts w:ascii="Arial" w:hAnsi="Arial" w:cs="Arial"/>
                <w:sz w:val="24"/>
                <w:szCs w:val="24"/>
              </w:rPr>
              <w:t>XI-9</w:t>
            </w:r>
          </w:p>
          <w:p w14:paraId="5A19F975" w14:textId="77777777" w:rsidR="00E331AB" w:rsidRPr="00DA4649" w:rsidRDefault="00E331AB" w:rsidP="00A07548">
            <w:pPr>
              <w:spacing w:after="0" w:line="240" w:lineRule="auto"/>
              <w:jc w:val="center"/>
              <w:rPr>
                <w:rFonts w:ascii="Arial" w:eastAsia="Calibri" w:hAnsi="Arial" w:cs="Arial"/>
                <w:sz w:val="24"/>
                <w:szCs w:val="24"/>
              </w:rPr>
            </w:pPr>
          </w:p>
        </w:tc>
        <w:tc>
          <w:tcPr>
            <w:tcW w:w="7455" w:type="dxa"/>
          </w:tcPr>
          <w:p w14:paraId="3183E129" w14:textId="77777777" w:rsidR="00E331AB" w:rsidRPr="00DA4649" w:rsidRDefault="00AF0C11" w:rsidP="00A07548">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West Penn Power Company’s Absenteeism Rates - For the Years 2009 through 2017</w:t>
            </w:r>
          </w:p>
        </w:tc>
        <w:tc>
          <w:tcPr>
            <w:tcW w:w="884" w:type="dxa"/>
          </w:tcPr>
          <w:p w14:paraId="2B61ABB3" w14:textId="77777777" w:rsidR="00E331AB" w:rsidRPr="00DA4649" w:rsidRDefault="006E496B" w:rsidP="00A07548">
            <w:pPr>
              <w:spacing w:after="0" w:line="240" w:lineRule="auto"/>
              <w:jc w:val="right"/>
              <w:rPr>
                <w:rFonts w:ascii="Arial" w:eastAsia="Calibri" w:hAnsi="Arial" w:cs="Arial"/>
                <w:sz w:val="24"/>
                <w:szCs w:val="24"/>
              </w:rPr>
            </w:pPr>
            <w:r w:rsidRPr="00DA4649">
              <w:rPr>
                <w:rFonts w:ascii="Arial" w:eastAsia="Calibri" w:hAnsi="Arial" w:cs="Arial"/>
                <w:sz w:val="24"/>
                <w:szCs w:val="24"/>
              </w:rPr>
              <w:t>9</w:t>
            </w:r>
            <w:r w:rsidR="006D4DD2">
              <w:rPr>
                <w:rFonts w:ascii="Arial" w:eastAsia="Calibri" w:hAnsi="Arial" w:cs="Arial"/>
                <w:sz w:val="24"/>
                <w:szCs w:val="24"/>
              </w:rPr>
              <w:t>5</w:t>
            </w:r>
          </w:p>
        </w:tc>
      </w:tr>
      <w:tr w:rsidR="00E331AB" w:rsidRPr="00DA4649" w14:paraId="1D00E413" w14:textId="77777777" w:rsidTr="00A07548">
        <w:tc>
          <w:tcPr>
            <w:tcW w:w="1017" w:type="dxa"/>
          </w:tcPr>
          <w:p w14:paraId="1B923AE2" w14:textId="77777777" w:rsidR="00E331AB" w:rsidRPr="00DA4649" w:rsidRDefault="00E331AB" w:rsidP="00A07548">
            <w:pPr>
              <w:spacing w:after="0" w:line="240" w:lineRule="auto"/>
              <w:jc w:val="center"/>
              <w:rPr>
                <w:rFonts w:ascii="Arial" w:hAnsi="Arial" w:cs="Arial"/>
                <w:sz w:val="24"/>
                <w:szCs w:val="24"/>
              </w:rPr>
            </w:pPr>
          </w:p>
        </w:tc>
        <w:tc>
          <w:tcPr>
            <w:tcW w:w="7455" w:type="dxa"/>
          </w:tcPr>
          <w:p w14:paraId="53E9BAE1" w14:textId="77777777" w:rsidR="00E331AB" w:rsidRPr="00DA4649" w:rsidRDefault="00E331AB" w:rsidP="00A07548">
            <w:pPr>
              <w:spacing w:after="0" w:line="240" w:lineRule="auto"/>
              <w:ind w:left="405" w:hanging="405"/>
              <w:rPr>
                <w:rFonts w:ascii="Arial" w:eastAsia="Calibri" w:hAnsi="Arial" w:cs="Arial"/>
                <w:sz w:val="24"/>
                <w:szCs w:val="24"/>
              </w:rPr>
            </w:pPr>
          </w:p>
        </w:tc>
        <w:tc>
          <w:tcPr>
            <w:tcW w:w="884" w:type="dxa"/>
          </w:tcPr>
          <w:p w14:paraId="48B32E38" w14:textId="77777777" w:rsidR="00E331AB" w:rsidRPr="00DA4649" w:rsidRDefault="00E331AB" w:rsidP="00A07548">
            <w:pPr>
              <w:spacing w:after="0" w:line="240" w:lineRule="auto"/>
              <w:jc w:val="right"/>
              <w:rPr>
                <w:rFonts w:ascii="Arial" w:eastAsia="Calibri" w:hAnsi="Arial" w:cs="Arial"/>
                <w:sz w:val="24"/>
                <w:szCs w:val="24"/>
              </w:rPr>
            </w:pPr>
          </w:p>
        </w:tc>
      </w:tr>
      <w:tr w:rsidR="00E331AB" w:rsidRPr="00DA4649" w14:paraId="24A5B1BD" w14:textId="77777777" w:rsidTr="00A07548">
        <w:tc>
          <w:tcPr>
            <w:tcW w:w="1017" w:type="dxa"/>
          </w:tcPr>
          <w:p w14:paraId="463A7C8D" w14:textId="77777777" w:rsidR="00E331AB" w:rsidRPr="00DA4649" w:rsidRDefault="009807B4" w:rsidP="00A07548">
            <w:pPr>
              <w:spacing w:after="0" w:line="240" w:lineRule="auto"/>
              <w:jc w:val="center"/>
              <w:rPr>
                <w:rFonts w:ascii="Arial" w:hAnsi="Arial" w:cs="Arial"/>
                <w:sz w:val="24"/>
                <w:szCs w:val="24"/>
              </w:rPr>
            </w:pPr>
            <w:r w:rsidRPr="00DA4649">
              <w:rPr>
                <w:rFonts w:ascii="Arial" w:hAnsi="Arial" w:cs="Arial"/>
                <w:sz w:val="24"/>
                <w:szCs w:val="24"/>
              </w:rPr>
              <w:t>XII-1</w:t>
            </w:r>
          </w:p>
        </w:tc>
        <w:tc>
          <w:tcPr>
            <w:tcW w:w="7455" w:type="dxa"/>
          </w:tcPr>
          <w:p w14:paraId="4CC90A48" w14:textId="77777777" w:rsidR="00E331AB" w:rsidRPr="00DA4649" w:rsidRDefault="009807B4" w:rsidP="009807B4">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FirstEnergy Pennsylvania Companies’ Fleet Age Analysis by Vehicle Class - As of August 2013</w:t>
            </w:r>
          </w:p>
        </w:tc>
        <w:tc>
          <w:tcPr>
            <w:tcW w:w="884" w:type="dxa"/>
          </w:tcPr>
          <w:p w14:paraId="579C5CEC" w14:textId="77777777" w:rsidR="00E331AB" w:rsidRPr="00DA4649" w:rsidRDefault="006D4DD2" w:rsidP="00A07548">
            <w:pPr>
              <w:spacing w:after="0" w:line="240" w:lineRule="auto"/>
              <w:jc w:val="right"/>
              <w:rPr>
                <w:rFonts w:ascii="Arial" w:eastAsia="Calibri" w:hAnsi="Arial" w:cs="Arial"/>
                <w:sz w:val="24"/>
                <w:szCs w:val="24"/>
              </w:rPr>
            </w:pPr>
            <w:r>
              <w:rPr>
                <w:rFonts w:ascii="Arial" w:eastAsia="Calibri" w:hAnsi="Arial" w:cs="Arial"/>
                <w:sz w:val="24"/>
                <w:szCs w:val="24"/>
              </w:rPr>
              <w:t>98</w:t>
            </w:r>
          </w:p>
        </w:tc>
      </w:tr>
      <w:tr w:rsidR="009807B4" w:rsidRPr="00DA4649" w14:paraId="18FDFF74" w14:textId="77777777" w:rsidTr="00A07548">
        <w:tc>
          <w:tcPr>
            <w:tcW w:w="1017" w:type="dxa"/>
          </w:tcPr>
          <w:p w14:paraId="03A057A3" w14:textId="77777777" w:rsidR="009807B4" w:rsidRPr="00DA4649" w:rsidRDefault="009807B4" w:rsidP="00A07548">
            <w:pPr>
              <w:spacing w:after="0" w:line="240" w:lineRule="auto"/>
              <w:jc w:val="center"/>
              <w:rPr>
                <w:rFonts w:ascii="Arial" w:hAnsi="Arial" w:cs="Arial"/>
                <w:sz w:val="24"/>
                <w:szCs w:val="24"/>
              </w:rPr>
            </w:pPr>
          </w:p>
        </w:tc>
        <w:tc>
          <w:tcPr>
            <w:tcW w:w="7455" w:type="dxa"/>
          </w:tcPr>
          <w:p w14:paraId="394EAFA1" w14:textId="77777777" w:rsidR="009807B4" w:rsidRPr="00DA4649" w:rsidRDefault="009807B4" w:rsidP="009807B4">
            <w:pPr>
              <w:spacing w:after="0" w:line="240" w:lineRule="auto"/>
              <w:ind w:left="405" w:hanging="405"/>
              <w:rPr>
                <w:rFonts w:ascii="Arial" w:eastAsia="Calibri" w:hAnsi="Arial" w:cs="Arial"/>
                <w:sz w:val="24"/>
                <w:szCs w:val="24"/>
              </w:rPr>
            </w:pPr>
          </w:p>
        </w:tc>
        <w:tc>
          <w:tcPr>
            <w:tcW w:w="884" w:type="dxa"/>
          </w:tcPr>
          <w:p w14:paraId="1AB47BCC" w14:textId="77777777" w:rsidR="009807B4" w:rsidRPr="00DA4649" w:rsidRDefault="009807B4" w:rsidP="00A07548">
            <w:pPr>
              <w:spacing w:after="0" w:line="240" w:lineRule="auto"/>
              <w:jc w:val="right"/>
              <w:rPr>
                <w:rFonts w:ascii="Arial" w:eastAsia="Calibri" w:hAnsi="Arial" w:cs="Arial"/>
                <w:sz w:val="24"/>
                <w:szCs w:val="24"/>
              </w:rPr>
            </w:pPr>
          </w:p>
        </w:tc>
      </w:tr>
      <w:tr w:rsidR="009807B4" w:rsidRPr="00DA4649" w14:paraId="63EB53A9" w14:textId="77777777" w:rsidTr="00A07548">
        <w:tc>
          <w:tcPr>
            <w:tcW w:w="1017" w:type="dxa"/>
          </w:tcPr>
          <w:p w14:paraId="633DBD69" w14:textId="77777777" w:rsidR="009807B4" w:rsidRPr="00DA4649" w:rsidRDefault="009807B4" w:rsidP="00A07548">
            <w:pPr>
              <w:spacing w:after="0" w:line="240" w:lineRule="auto"/>
              <w:jc w:val="center"/>
              <w:rPr>
                <w:rFonts w:ascii="Arial" w:hAnsi="Arial" w:cs="Arial"/>
                <w:sz w:val="24"/>
                <w:szCs w:val="24"/>
              </w:rPr>
            </w:pPr>
            <w:r w:rsidRPr="00DA4649">
              <w:rPr>
                <w:rFonts w:ascii="Arial" w:hAnsi="Arial" w:cs="Arial"/>
                <w:sz w:val="24"/>
                <w:szCs w:val="24"/>
              </w:rPr>
              <w:t>XII-2</w:t>
            </w:r>
          </w:p>
        </w:tc>
        <w:tc>
          <w:tcPr>
            <w:tcW w:w="7455" w:type="dxa"/>
          </w:tcPr>
          <w:p w14:paraId="52984ECB" w14:textId="77777777" w:rsidR="009807B4" w:rsidRPr="00DA4649" w:rsidRDefault="009807B4" w:rsidP="009807B4">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FirstEnergy Pennsylvania Companies’ Vehicle and Equipment Replacement Criteria</w:t>
            </w:r>
          </w:p>
        </w:tc>
        <w:tc>
          <w:tcPr>
            <w:tcW w:w="884" w:type="dxa"/>
          </w:tcPr>
          <w:p w14:paraId="38139FEF" w14:textId="77777777" w:rsidR="009807B4" w:rsidRPr="00DA4649" w:rsidRDefault="006D4DD2" w:rsidP="00A07548">
            <w:pPr>
              <w:spacing w:after="0" w:line="240" w:lineRule="auto"/>
              <w:jc w:val="right"/>
              <w:rPr>
                <w:rFonts w:ascii="Arial" w:eastAsia="Calibri" w:hAnsi="Arial" w:cs="Arial"/>
                <w:sz w:val="24"/>
                <w:szCs w:val="24"/>
              </w:rPr>
            </w:pPr>
            <w:r>
              <w:rPr>
                <w:rFonts w:ascii="Arial" w:eastAsia="Calibri" w:hAnsi="Arial" w:cs="Arial"/>
                <w:sz w:val="24"/>
                <w:szCs w:val="24"/>
              </w:rPr>
              <w:t>99</w:t>
            </w:r>
          </w:p>
        </w:tc>
      </w:tr>
      <w:tr w:rsidR="009807B4" w:rsidRPr="00DA4649" w14:paraId="6AE44F71" w14:textId="77777777" w:rsidTr="00A07548">
        <w:tc>
          <w:tcPr>
            <w:tcW w:w="1017" w:type="dxa"/>
          </w:tcPr>
          <w:p w14:paraId="55F5714E" w14:textId="77777777" w:rsidR="009807B4" w:rsidRPr="00DA4649" w:rsidRDefault="009807B4" w:rsidP="00A07548">
            <w:pPr>
              <w:spacing w:after="0" w:line="240" w:lineRule="auto"/>
              <w:jc w:val="center"/>
              <w:rPr>
                <w:rFonts w:ascii="Arial" w:hAnsi="Arial" w:cs="Arial"/>
                <w:sz w:val="24"/>
                <w:szCs w:val="24"/>
              </w:rPr>
            </w:pPr>
          </w:p>
        </w:tc>
        <w:tc>
          <w:tcPr>
            <w:tcW w:w="7455" w:type="dxa"/>
          </w:tcPr>
          <w:p w14:paraId="4408A14A" w14:textId="77777777" w:rsidR="009807B4" w:rsidRPr="00DA4649" w:rsidRDefault="009807B4" w:rsidP="009807B4">
            <w:pPr>
              <w:spacing w:after="0" w:line="240" w:lineRule="auto"/>
              <w:ind w:left="405" w:hanging="405"/>
              <w:rPr>
                <w:rFonts w:ascii="Arial" w:eastAsia="Calibri" w:hAnsi="Arial" w:cs="Arial"/>
                <w:sz w:val="24"/>
                <w:szCs w:val="24"/>
              </w:rPr>
            </w:pPr>
          </w:p>
        </w:tc>
        <w:tc>
          <w:tcPr>
            <w:tcW w:w="884" w:type="dxa"/>
          </w:tcPr>
          <w:p w14:paraId="1A207990" w14:textId="77777777" w:rsidR="009807B4" w:rsidRPr="00DA4649" w:rsidRDefault="009807B4" w:rsidP="00A07548">
            <w:pPr>
              <w:spacing w:after="0" w:line="240" w:lineRule="auto"/>
              <w:jc w:val="right"/>
              <w:rPr>
                <w:rFonts w:ascii="Arial" w:eastAsia="Calibri" w:hAnsi="Arial" w:cs="Arial"/>
                <w:sz w:val="24"/>
                <w:szCs w:val="24"/>
              </w:rPr>
            </w:pPr>
          </w:p>
        </w:tc>
      </w:tr>
      <w:tr w:rsidR="00E331AB" w:rsidRPr="00DA4649" w14:paraId="08171A63" w14:textId="77777777" w:rsidTr="00A07548">
        <w:tc>
          <w:tcPr>
            <w:tcW w:w="1017" w:type="dxa"/>
          </w:tcPr>
          <w:p w14:paraId="53C8A2DA" w14:textId="77777777" w:rsidR="00E331AB" w:rsidRPr="00DA4649" w:rsidRDefault="009807B4" w:rsidP="00A07548">
            <w:pPr>
              <w:spacing w:after="0" w:line="240" w:lineRule="auto"/>
              <w:jc w:val="center"/>
              <w:rPr>
                <w:rFonts w:ascii="Arial" w:hAnsi="Arial" w:cs="Arial"/>
                <w:sz w:val="24"/>
                <w:szCs w:val="24"/>
              </w:rPr>
            </w:pPr>
            <w:r w:rsidRPr="00DA4649">
              <w:rPr>
                <w:rFonts w:ascii="Arial" w:hAnsi="Arial" w:cs="Arial"/>
                <w:sz w:val="24"/>
                <w:szCs w:val="24"/>
              </w:rPr>
              <w:t>XII-3</w:t>
            </w:r>
          </w:p>
        </w:tc>
        <w:tc>
          <w:tcPr>
            <w:tcW w:w="7455" w:type="dxa"/>
          </w:tcPr>
          <w:p w14:paraId="531C6853" w14:textId="77777777" w:rsidR="00E331AB" w:rsidRPr="00DA4649" w:rsidRDefault="000238F2" w:rsidP="000238F2">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FirstEnergy Pennsylvania Companies’ Fleet Age Analysis by Vehicle Class - As of March 2018</w:t>
            </w:r>
          </w:p>
        </w:tc>
        <w:tc>
          <w:tcPr>
            <w:tcW w:w="884" w:type="dxa"/>
          </w:tcPr>
          <w:p w14:paraId="03DB1DE9" w14:textId="77777777" w:rsidR="00E331AB" w:rsidRPr="00DA4649" w:rsidRDefault="006D4DD2" w:rsidP="00A07548">
            <w:pPr>
              <w:spacing w:after="0" w:line="240" w:lineRule="auto"/>
              <w:jc w:val="right"/>
              <w:rPr>
                <w:rFonts w:ascii="Arial" w:eastAsia="Calibri" w:hAnsi="Arial" w:cs="Arial"/>
                <w:sz w:val="24"/>
                <w:szCs w:val="24"/>
              </w:rPr>
            </w:pPr>
            <w:r>
              <w:rPr>
                <w:rFonts w:ascii="Arial" w:eastAsia="Calibri" w:hAnsi="Arial" w:cs="Arial"/>
                <w:sz w:val="24"/>
                <w:szCs w:val="24"/>
              </w:rPr>
              <w:t>99</w:t>
            </w:r>
          </w:p>
        </w:tc>
      </w:tr>
      <w:tr w:rsidR="00BD250F" w:rsidRPr="00DA4649" w14:paraId="008C9327" w14:textId="77777777" w:rsidTr="00A07548">
        <w:tc>
          <w:tcPr>
            <w:tcW w:w="1017" w:type="dxa"/>
          </w:tcPr>
          <w:p w14:paraId="795BF7EA" w14:textId="77777777" w:rsidR="00BD250F" w:rsidRPr="00DA4649" w:rsidRDefault="00BD250F" w:rsidP="00A07548">
            <w:pPr>
              <w:spacing w:after="0" w:line="240" w:lineRule="auto"/>
              <w:jc w:val="center"/>
              <w:rPr>
                <w:rFonts w:ascii="Arial" w:hAnsi="Arial" w:cs="Arial"/>
                <w:sz w:val="24"/>
                <w:szCs w:val="24"/>
              </w:rPr>
            </w:pPr>
          </w:p>
        </w:tc>
        <w:tc>
          <w:tcPr>
            <w:tcW w:w="7455" w:type="dxa"/>
          </w:tcPr>
          <w:p w14:paraId="5842D5CD" w14:textId="77777777" w:rsidR="00BD250F" w:rsidRPr="00DA4649" w:rsidRDefault="00BD250F" w:rsidP="000238F2">
            <w:pPr>
              <w:spacing w:after="0" w:line="240" w:lineRule="auto"/>
              <w:ind w:left="405" w:hanging="405"/>
              <w:rPr>
                <w:rFonts w:ascii="Arial" w:eastAsia="Calibri" w:hAnsi="Arial" w:cs="Arial"/>
                <w:sz w:val="24"/>
                <w:szCs w:val="24"/>
              </w:rPr>
            </w:pPr>
          </w:p>
        </w:tc>
        <w:tc>
          <w:tcPr>
            <w:tcW w:w="884" w:type="dxa"/>
          </w:tcPr>
          <w:p w14:paraId="1710F4D0" w14:textId="77777777" w:rsidR="00BD250F" w:rsidRPr="00DA4649" w:rsidRDefault="00BD250F" w:rsidP="00A07548">
            <w:pPr>
              <w:spacing w:after="0" w:line="240" w:lineRule="auto"/>
              <w:jc w:val="right"/>
              <w:rPr>
                <w:rFonts w:ascii="Arial" w:eastAsia="Calibri" w:hAnsi="Arial" w:cs="Arial"/>
                <w:sz w:val="24"/>
                <w:szCs w:val="24"/>
              </w:rPr>
            </w:pPr>
          </w:p>
        </w:tc>
      </w:tr>
      <w:tr w:rsidR="00BD250F" w:rsidRPr="00DA4649" w14:paraId="04D26C59" w14:textId="77777777" w:rsidTr="00A07548">
        <w:tc>
          <w:tcPr>
            <w:tcW w:w="1017" w:type="dxa"/>
          </w:tcPr>
          <w:p w14:paraId="2BF5EC80" w14:textId="77777777" w:rsidR="00BD250F" w:rsidRPr="00DA4649" w:rsidRDefault="00BD250F" w:rsidP="00BD250F">
            <w:pPr>
              <w:spacing w:after="0" w:line="240" w:lineRule="auto"/>
              <w:jc w:val="center"/>
              <w:rPr>
                <w:rFonts w:ascii="Arial" w:hAnsi="Arial" w:cs="Arial"/>
                <w:sz w:val="24"/>
                <w:szCs w:val="24"/>
              </w:rPr>
            </w:pPr>
            <w:r w:rsidRPr="00DA4649">
              <w:rPr>
                <w:rFonts w:ascii="Arial" w:eastAsia="Calibri" w:hAnsi="Arial" w:cs="Arial"/>
                <w:sz w:val="24"/>
                <w:szCs w:val="24"/>
              </w:rPr>
              <w:t>XII-4</w:t>
            </w:r>
          </w:p>
        </w:tc>
        <w:tc>
          <w:tcPr>
            <w:tcW w:w="7455" w:type="dxa"/>
          </w:tcPr>
          <w:p w14:paraId="147EC039" w14:textId="77777777" w:rsidR="00BD250F" w:rsidRPr="00DA4649" w:rsidRDefault="00BD250F" w:rsidP="00BD250F">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FirstEnergy Pennsylvania Companies’ Salvage Value of Retired Vehicles - For the Years 2015 through 2017</w:t>
            </w:r>
          </w:p>
        </w:tc>
        <w:tc>
          <w:tcPr>
            <w:tcW w:w="884" w:type="dxa"/>
          </w:tcPr>
          <w:p w14:paraId="5DA101E4" w14:textId="77777777" w:rsidR="00BD250F" w:rsidRPr="00DA4649" w:rsidRDefault="006E496B" w:rsidP="00BD250F">
            <w:pPr>
              <w:spacing w:after="0" w:line="240" w:lineRule="auto"/>
              <w:jc w:val="right"/>
              <w:rPr>
                <w:rFonts w:ascii="Arial" w:eastAsia="Calibri" w:hAnsi="Arial" w:cs="Arial"/>
                <w:sz w:val="24"/>
                <w:szCs w:val="24"/>
              </w:rPr>
            </w:pPr>
            <w:r w:rsidRPr="00DA4649">
              <w:rPr>
                <w:rFonts w:ascii="Arial" w:eastAsia="Calibri" w:hAnsi="Arial" w:cs="Arial"/>
                <w:sz w:val="24"/>
                <w:szCs w:val="24"/>
              </w:rPr>
              <w:t>10</w:t>
            </w:r>
            <w:r w:rsidR="006D4DD2">
              <w:rPr>
                <w:rFonts w:ascii="Arial" w:eastAsia="Calibri" w:hAnsi="Arial" w:cs="Arial"/>
                <w:sz w:val="24"/>
                <w:szCs w:val="24"/>
              </w:rPr>
              <w:t>4</w:t>
            </w:r>
          </w:p>
        </w:tc>
      </w:tr>
      <w:tr w:rsidR="00BD250F" w:rsidRPr="00DA4649" w14:paraId="37239249" w14:textId="77777777" w:rsidTr="00A07548">
        <w:tc>
          <w:tcPr>
            <w:tcW w:w="1017" w:type="dxa"/>
          </w:tcPr>
          <w:p w14:paraId="17934C54" w14:textId="77777777" w:rsidR="00BD250F" w:rsidRPr="00DA4649" w:rsidRDefault="00BD250F" w:rsidP="00BD250F">
            <w:pPr>
              <w:spacing w:after="0" w:line="240" w:lineRule="auto"/>
              <w:jc w:val="center"/>
              <w:rPr>
                <w:rFonts w:ascii="Arial" w:eastAsia="Calibri" w:hAnsi="Arial" w:cs="Arial"/>
                <w:sz w:val="24"/>
                <w:szCs w:val="24"/>
              </w:rPr>
            </w:pPr>
          </w:p>
        </w:tc>
        <w:tc>
          <w:tcPr>
            <w:tcW w:w="7455" w:type="dxa"/>
          </w:tcPr>
          <w:p w14:paraId="08E3FCA0" w14:textId="77777777" w:rsidR="00BD250F" w:rsidRPr="00DA4649" w:rsidRDefault="00BD250F" w:rsidP="00BD250F">
            <w:pPr>
              <w:spacing w:after="0" w:line="240" w:lineRule="auto"/>
              <w:ind w:left="405" w:hanging="405"/>
              <w:rPr>
                <w:rFonts w:ascii="Arial" w:eastAsia="Calibri" w:hAnsi="Arial" w:cs="Arial"/>
                <w:sz w:val="24"/>
                <w:szCs w:val="24"/>
              </w:rPr>
            </w:pPr>
          </w:p>
        </w:tc>
        <w:tc>
          <w:tcPr>
            <w:tcW w:w="884" w:type="dxa"/>
          </w:tcPr>
          <w:p w14:paraId="2D5F2BE4" w14:textId="77777777" w:rsidR="00BD250F" w:rsidRPr="00DA4649" w:rsidRDefault="00BD250F" w:rsidP="00BD250F">
            <w:pPr>
              <w:spacing w:after="0" w:line="240" w:lineRule="auto"/>
              <w:jc w:val="right"/>
              <w:rPr>
                <w:rFonts w:ascii="Arial" w:eastAsia="Calibri" w:hAnsi="Arial" w:cs="Arial"/>
                <w:sz w:val="24"/>
                <w:szCs w:val="24"/>
              </w:rPr>
            </w:pPr>
          </w:p>
        </w:tc>
      </w:tr>
      <w:tr w:rsidR="00BD250F" w:rsidRPr="00DA4649" w14:paraId="4C638CB2" w14:textId="77777777" w:rsidTr="00A07548">
        <w:tc>
          <w:tcPr>
            <w:tcW w:w="1017" w:type="dxa"/>
          </w:tcPr>
          <w:p w14:paraId="6AAFC6CB" w14:textId="77777777" w:rsidR="00BD250F" w:rsidRPr="00DA4649" w:rsidRDefault="00BD250F" w:rsidP="00BD250F">
            <w:pPr>
              <w:spacing w:after="0" w:line="240" w:lineRule="auto"/>
              <w:jc w:val="center"/>
              <w:rPr>
                <w:rFonts w:ascii="Arial" w:eastAsia="Calibri" w:hAnsi="Arial" w:cs="Arial"/>
                <w:sz w:val="24"/>
                <w:szCs w:val="24"/>
              </w:rPr>
            </w:pPr>
            <w:r w:rsidRPr="00DA4649">
              <w:rPr>
                <w:rFonts w:ascii="Arial" w:eastAsia="Calibri" w:hAnsi="Arial" w:cs="Arial"/>
                <w:sz w:val="24"/>
                <w:szCs w:val="24"/>
              </w:rPr>
              <w:t>XII-5</w:t>
            </w:r>
          </w:p>
        </w:tc>
        <w:tc>
          <w:tcPr>
            <w:tcW w:w="7455" w:type="dxa"/>
          </w:tcPr>
          <w:p w14:paraId="746A5680" w14:textId="77777777" w:rsidR="00BD250F" w:rsidRPr="00DA4649" w:rsidRDefault="00BD250F" w:rsidP="00BD250F">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FirstEnergy Pennsylvania Companies’ Maintenance Cost Savings -For the Years 2015 through 2017</w:t>
            </w:r>
          </w:p>
        </w:tc>
        <w:tc>
          <w:tcPr>
            <w:tcW w:w="884" w:type="dxa"/>
          </w:tcPr>
          <w:p w14:paraId="2E8556E6" w14:textId="77777777" w:rsidR="00BD250F" w:rsidRPr="00DA4649" w:rsidRDefault="006E496B" w:rsidP="00BD250F">
            <w:pPr>
              <w:spacing w:after="0" w:line="240" w:lineRule="auto"/>
              <w:jc w:val="right"/>
              <w:rPr>
                <w:rFonts w:ascii="Arial" w:eastAsia="Calibri" w:hAnsi="Arial" w:cs="Arial"/>
                <w:sz w:val="24"/>
                <w:szCs w:val="24"/>
              </w:rPr>
            </w:pPr>
            <w:r w:rsidRPr="00DA4649">
              <w:rPr>
                <w:rFonts w:ascii="Arial" w:eastAsia="Calibri" w:hAnsi="Arial" w:cs="Arial"/>
                <w:sz w:val="24"/>
                <w:szCs w:val="24"/>
              </w:rPr>
              <w:t>10</w:t>
            </w:r>
            <w:r w:rsidR="00556C37">
              <w:rPr>
                <w:rFonts w:ascii="Arial" w:eastAsia="Calibri" w:hAnsi="Arial" w:cs="Arial"/>
                <w:sz w:val="24"/>
                <w:szCs w:val="24"/>
              </w:rPr>
              <w:t>4</w:t>
            </w:r>
          </w:p>
        </w:tc>
      </w:tr>
    </w:tbl>
    <w:p w14:paraId="22196C05" w14:textId="77777777" w:rsidR="000820F9" w:rsidRPr="00DA4649" w:rsidRDefault="000820F9"/>
    <w:tbl>
      <w:tblPr>
        <w:tblW w:w="0" w:type="auto"/>
        <w:tblInd w:w="-252" w:type="dxa"/>
        <w:tblLook w:val="01E0" w:firstRow="1" w:lastRow="1" w:firstColumn="1" w:lastColumn="1" w:noHBand="0" w:noVBand="0"/>
      </w:tblPr>
      <w:tblGrid>
        <w:gridCol w:w="1017"/>
        <w:gridCol w:w="7455"/>
        <w:gridCol w:w="884"/>
      </w:tblGrid>
      <w:tr w:rsidR="000238F2" w:rsidRPr="00DA4649" w14:paraId="329C138D" w14:textId="77777777" w:rsidTr="00A07548">
        <w:tc>
          <w:tcPr>
            <w:tcW w:w="1017" w:type="dxa"/>
          </w:tcPr>
          <w:p w14:paraId="4451D01C" w14:textId="77777777" w:rsidR="000238F2" w:rsidRPr="00DA4649" w:rsidRDefault="000238F2" w:rsidP="00A07548">
            <w:pPr>
              <w:spacing w:after="0" w:line="240" w:lineRule="auto"/>
              <w:jc w:val="center"/>
              <w:rPr>
                <w:rFonts w:ascii="Arial" w:eastAsia="Calibri" w:hAnsi="Arial" w:cs="Arial"/>
                <w:sz w:val="24"/>
                <w:szCs w:val="24"/>
              </w:rPr>
            </w:pPr>
          </w:p>
        </w:tc>
        <w:tc>
          <w:tcPr>
            <w:tcW w:w="7455" w:type="dxa"/>
          </w:tcPr>
          <w:p w14:paraId="11A9A947" w14:textId="77777777" w:rsidR="00677D9D" w:rsidRPr="00DA4649" w:rsidRDefault="00677D9D" w:rsidP="00677D9D">
            <w:pPr>
              <w:spacing w:after="0" w:line="240" w:lineRule="auto"/>
              <w:jc w:val="center"/>
              <w:rPr>
                <w:rFonts w:ascii="Arial" w:eastAsia="Calibri" w:hAnsi="Arial" w:cs="Arial"/>
                <w:b/>
                <w:sz w:val="26"/>
                <w:szCs w:val="26"/>
                <w:u w:val="single"/>
              </w:rPr>
            </w:pPr>
            <w:r w:rsidRPr="00DA4649">
              <w:rPr>
                <w:rFonts w:ascii="Arial" w:eastAsia="Calibri" w:hAnsi="Arial" w:cs="Arial"/>
                <w:b/>
                <w:sz w:val="26"/>
                <w:szCs w:val="26"/>
                <w:u w:val="single"/>
              </w:rPr>
              <w:t>LIST OF EXHIBITS (Continued)</w:t>
            </w:r>
          </w:p>
          <w:p w14:paraId="34CFB9DF" w14:textId="77777777" w:rsidR="000238F2" w:rsidRPr="00DA4649" w:rsidRDefault="000238F2" w:rsidP="00A07548">
            <w:pPr>
              <w:spacing w:after="0" w:line="240" w:lineRule="auto"/>
              <w:rPr>
                <w:rFonts w:ascii="Arial" w:eastAsia="Calibri" w:hAnsi="Arial" w:cs="Arial"/>
                <w:sz w:val="24"/>
                <w:szCs w:val="24"/>
              </w:rPr>
            </w:pPr>
          </w:p>
        </w:tc>
        <w:tc>
          <w:tcPr>
            <w:tcW w:w="884" w:type="dxa"/>
          </w:tcPr>
          <w:p w14:paraId="201A78E1" w14:textId="77777777" w:rsidR="000238F2" w:rsidRPr="00DA4649" w:rsidRDefault="000238F2" w:rsidP="00A07548">
            <w:pPr>
              <w:spacing w:after="0" w:line="240" w:lineRule="auto"/>
              <w:jc w:val="right"/>
              <w:rPr>
                <w:rFonts w:ascii="Arial" w:eastAsia="Calibri" w:hAnsi="Arial" w:cs="Arial"/>
                <w:b/>
                <w:sz w:val="24"/>
                <w:szCs w:val="24"/>
              </w:rPr>
            </w:pPr>
          </w:p>
        </w:tc>
      </w:tr>
      <w:tr w:rsidR="000238F2" w:rsidRPr="00DA4649" w14:paraId="0655760C" w14:textId="77777777" w:rsidTr="00A07548">
        <w:tc>
          <w:tcPr>
            <w:tcW w:w="1017" w:type="dxa"/>
          </w:tcPr>
          <w:p w14:paraId="28A6CA76" w14:textId="77777777" w:rsidR="000238F2" w:rsidRPr="00DA4649" w:rsidRDefault="000238F2" w:rsidP="00A07548">
            <w:pPr>
              <w:spacing w:after="0" w:line="240" w:lineRule="auto"/>
              <w:jc w:val="center"/>
              <w:rPr>
                <w:rFonts w:ascii="Arial" w:eastAsia="Calibri" w:hAnsi="Arial" w:cs="Arial"/>
                <w:b/>
                <w:sz w:val="24"/>
                <w:szCs w:val="24"/>
                <w:u w:val="single"/>
              </w:rPr>
            </w:pPr>
            <w:r w:rsidRPr="00DA4649">
              <w:rPr>
                <w:rFonts w:ascii="Arial" w:eastAsia="Calibri" w:hAnsi="Arial" w:cs="Arial"/>
                <w:b/>
                <w:sz w:val="24"/>
                <w:szCs w:val="24"/>
                <w:u w:val="single"/>
              </w:rPr>
              <w:t>Exhibit</w:t>
            </w:r>
          </w:p>
        </w:tc>
        <w:tc>
          <w:tcPr>
            <w:tcW w:w="7455" w:type="dxa"/>
          </w:tcPr>
          <w:p w14:paraId="21B1DA39" w14:textId="77777777" w:rsidR="000238F2" w:rsidRPr="00DA4649" w:rsidRDefault="000238F2" w:rsidP="00A07548">
            <w:pPr>
              <w:spacing w:after="0" w:line="240" w:lineRule="auto"/>
              <w:jc w:val="center"/>
              <w:rPr>
                <w:rFonts w:ascii="Arial" w:eastAsia="Calibri" w:hAnsi="Arial" w:cs="Arial"/>
                <w:b/>
                <w:sz w:val="24"/>
                <w:szCs w:val="24"/>
              </w:rPr>
            </w:pPr>
          </w:p>
        </w:tc>
        <w:tc>
          <w:tcPr>
            <w:tcW w:w="884" w:type="dxa"/>
          </w:tcPr>
          <w:p w14:paraId="3F0D8FE1" w14:textId="77777777" w:rsidR="000238F2" w:rsidRPr="00DA4649" w:rsidRDefault="000238F2" w:rsidP="00A07548">
            <w:pPr>
              <w:spacing w:after="0" w:line="240" w:lineRule="auto"/>
              <w:jc w:val="center"/>
              <w:rPr>
                <w:rFonts w:ascii="Arial" w:eastAsia="Calibri" w:hAnsi="Arial" w:cs="Arial"/>
                <w:b/>
                <w:sz w:val="24"/>
                <w:szCs w:val="24"/>
                <w:u w:val="single"/>
              </w:rPr>
            </w:pPr>
            <w:r w:rsidRPr="00DA4649">
              <w:rPr>
                <w:rFonts w:ascii="Arial" w:eastAsia="Calibri" w:hAnsi="Arial" w:cs="Arial"/>
                <w:b/>
                <w:sz w:val="24"/>
                <w:szCs w:val="24"/>
                <w:u w:val="single"/>
              </w:rPr>
              <w:t>Page</w:t>
            </w:r>
          </w:p>
        </w:tc>
      </w:tr>
      <w:tr w:rsidR="000238F2" w:rsidRPr="00DA4649" w14:paraId="6B19E1F0" w14:textId="77777777" w:rsidTr="00A07548">
        <w:tc>
          <w:tcPr>
            <w:tcW w:w="1017" w:type="dxa"/>
          </w:tcPr>
          <w:p w14:paraId="179E4C88" w14:textId="77777777" w:rsidR="000238F2" w:rsidRPr="00DA4649" w:rsidRDefault="000238F2" w:rsidP="00A07548">
            <w:pPr>
              <w:spacing w:after="0" w:line="240" w:lineRule="auto"/>
              <w:jc w:val="center"/>
              <w:rPr>
                <w:rFonts w:ascii="Arial" w:eastAsia="Calibri" w:hAnsi="Arial" w:cs="Arial"/>
                <w:sz w:val="24"/>
                <w:szCs w:val="24"/>
              </w:rPr>
            </w:pPr>
          </w:p>
        </w:tc>
        <w:tc>
          <w:tcPr>
            <w:tcW w:w="7455" w:type="dxa"/>
          </w:tcPr>
          <w:p w14:paraId="2EEAAA4A" w14:textId="77777777" w:rsidR="000238F2" w:rsidRPr="00DA4649" w:rsidRDefault="000238F2" w:rsidP="00A07548">
            <w:pPr>
              <w:spacing w:after="0" w:line="240" w:lineRule="auto"/>
              <w:rPr>
                <w:rFonts w:ascii="Arial" w:eastAsia="Calibri" w:hAnsi="Arial" w:cs="Arial"/>
                <w:sz w:val="24"/>
                <w:szCs w:val="24"/>
              </w:rPr>
            </w:pPr>
          </w:p>
        </w:tc>
        <w:tc>
          <w:tcPr>
            <w:tcW w:w="884" w:type="dxa"/>
          </w:tcPr>
          <w:p w14:paraId="7B93AB27" w14:textId="77777777" w:rsidR="000238F2" w:rsidRPr="00DA4649" w:rsidRDefault="000238F2" w:rsidP="00A07548">
            <w:pPr>
              <w:spacing w:after="0" w:line="240" w:lineRule="auto"/>
              <w:jc w:val="right"/>
              <w:rPr>
                <w:rFonts w:ascii="Arial" w:eastAsia="Calibri" w:hAnsi="Arial" w:cs="Arial"/>
                <w:b/>
                <w:sz w:val="24"/>
                <w:szCs w:val="24"/>
              </w:rPr>
            </w:pPr>
          </w:p>
        </w:tc>
      </w:tr>
      <w:tr w:rsidR="000238F2" w:rsidRPr="00DA4649" w14:paraId="10509AD2" w14:textId="77777777" w:rsidTr="00A07548">
        <w:tc>
          <w:tcPr>
            <w:tcW w:w="1017" w:type="dxa"/>
          </w:tcPr>
          <w:p w14:paraId="5AFDAE3F" w14:textId="77777777" w:rsidR="000238F2" w:rsidRPr="00DA4649" w:rsidRDefault="000238F2" w:rsidP="00A07548">
            <w:pPr>
              <w:spacing w:after="0" w:line="240" w:lineRule="auto"/>
              <w:jc w:val="center"/>
              <w:rPr>
                <w:rFonts w:ascii="Arial" w:eastAsia="Calibri" w:hAnsi="Arial" w:cs="Arial"/>
                <w:sz w:val="24"/>
                <w:szCs w:val="24"/>
              </w:rPr>
            </w:pPr>
            <w:r w:rsidRPr="00DA4649">
              <w:rPr>
                <w:rFonts w:ascii="Arial" w:eastAsia="Calibri" w:hAnsi="Arial" w:cs="Arial"/>
                <w:sz w:val="24"/>
                <w:szCs w:val="24"/>
              </w:rPr>
              <w:t>XII-6</w:t>
            </w:r>
          </w:p>
        </w:tc>
        <w:tc>
          <w:tcPr>
            <w:tcW w:w="7455" w:type="dxa"/>
          </w:tcPr>
          <w:p w14:paraId="51127CAE" w14:textId="77777777" w:rsidR="000238F2" w:rsidRPr="00DA4649" w:rsidRDefault="000238F2" w:rsidP="000238F2">
            <w:pPr>
              <w:spacing w:after="0" w:line="240" w:lineRule="auto"/>
              <w:ind w:left="390" w:hanging="390"/>
              <w:rPr>
                <w:rFonts w:ascii="Arial" w:eastAsia="Calibri" w:hAnsi="Arial" w:cs="Arial"/>
                <w:sz w:val="24"/>
                <w:szCs w:val="24"/>
              </w:rPr>
            </w:pPr>
            <w:r w:rsidRPr="00DA4649">
              <w:rPr>
                <w:rFonts w:ascii="Arial" w:eastAsia="Calibri" w:hAnsi="Arial" w:cs="Arial"/>
                <w:sz w:val="24"/>
                <w:szCs w:val="24"/>
              </w:rPr>
              <w:t>FirstEnergy Pennsylvania Companies’ Overdue Preventive Maintenance Tasks Year-End 2013</w:t>
            </w:r>
          </w:p>
        </w:tc>
        <w:tc>
          <w:tcPr>
            <w:tcW w:w="884" w:type="dxa"/>
          </w:tcPr>
          <w:p w14:paraId="4D45F83A" w14:textId="77777777" w:rsidR="000238F2" w:rsidRPr="00DA4649" w:rsidRDefault="006E496B" w:rsidP="00A07548">
            <w:pPr>
              <w:spacing w:after="0" w:line="240" w:lineRule="auto"/>
              <w:jc w:val="right"/>
              <w:rPr>
                <w:rFonts w:ascii="Arial" w:eastAsia="Calibri" w:hAnsi="Arial" w:cs="Arial"/>
                <w:sz w:val="24"/>
                <w:szCs w:val="24"/>
              </w:rPr>
            </w:pPr>
            <w:r w:rsidRPr="00DA4649">
              <w:rPr>
                <w:rFonts w:ascii="Arial" w:eastAsia="Calibri" w:hAnsi="Arial" w:cs="Arial"/>
                <w:sz w:val="24"/>
                <w:szCs w:val="24"/>
              </w:rPr>
              <w:t>10</w:t>
            </w:r>
            <w:r w:rsidR="00556C37">
              <w:rPr>
                <w:rFonts w:ascii="Arial" w:eastAsia="Calibri" w:hAnsi="Arial" w:cs="Arial"/>
                <w:sz w:val="24"/>
                <w:szCs w:val="24"/>
              </w:rPr>
              <w:t>5</w:t>
            </w:r>
          </w:p>
        </w:tc>
      </w:tr>
      <w:tr w:rsidR="000238F2" w:rsidRPr="00DA4649" w14:paraId="417D11F1" w14:textId="77777777" w:rsidTr="00A07548">
        <w:tc>
          <w:tcPr>
            <w:tcW w:w="1017" w:type="dxa"/>
          </w:tcPr>
          <w:p w14:paraId="7F502448" w14:textId="77777777" w:rsidR="000238F2" w:rsidRPr="00DA4649" w:rsidRDefault="000238F2" w:rsidP="00A07548">
            <w:pPr>
              <w:spacing w:after="0" w:line="240" w:lineRule="auto"/>
              <w:jc w:val="center"/>
              <w:rPr>
                <w:rFonts w:ascii="Arial" w:eastAsia="Calibri" w:hAnsi="Arial" w:cs="Arial"/>
                <w:sz w:val="24"/>
                <w:szCs w:val="24"/>
              </w:rPr>
            </w:pPr>
          </w:p>
        </w:tc>
        <w:tc>
          <w:tcPr>
            <w:tcW w:w="7455" w:type="dxa"/>
          </w:tcPr>
          <w:p w14:paraId="408CCEA0" w14:textId="77777777" w:rsidR="000238F2" w:rsidRPr="00DA4649" w:rsidRDefault="000238F2" w:rsidP="00A07548">
            <w:pPr>
              <w:spacing w:after="0" w:line="240" w:lineRule="auto"/>
              <w:rPr>
                <w:rFonts w:ascii="Arial" w:eastAsia="Calibri" w:hAnsi="Arial" w:cs="Arial"/>
                <w:sz w:val="24"/>
                <w:szCs w:val="24"/>
              </w:rPr>
            </w:pPr>
          </w:p>
        </w:tc>
        <w:tc>
          <w:tcPr>
            <w:tcW w:w="884" w:type="dxa"/>
          </w:tcPr>
          <w:p w14:paraId="74DF9C53" w14:textId="77777777" w:rsidR="000238F2" w:rsidRPr="00DA4649" w:rsidRDefault="000238F2" w:rsidP="00A07548">
            <w:pPr>
              <w:spacing w:after="0" w:line="240" w:lineRule="auto"/>
              <w:jc w:val="right"/>
              <w:rPr>
                <w:rFonts w:ascii="Arial" w:eastAsia="Calibri" w:hAnsi="Arial" w:cs="Arial"/>
                <w:sz w:val="24"/>
                <w:szCs w:val="24"/>
              </w:rPr>
            </w:pPr>
          </w:p>
        </w:tc>
      </w:tr>
      <w:tr w:rsidR="000238F2" w:rsidRPr="00DA4649" w14:paraId="1571E172" w14:textId="77777777" w:rsidTr="00A07548">
        <w:tc>
          <w:tcPr>
            <w:tcW w:w="1017" w:type="dxa"/>
          </w:tcPr>
          <w:p w14:paraId="762612B4" w14:textId="77777777" w:rsidR="000238F2" w:rsidRPr="00DA4649" w:rsidRDefault="000238F2" w:rsidP="00A07548">
            <w:pPr>
              <w:spacing w:after="0" w:line="240" w:lineRule="auto"/>
              <w:jc w:val="center"/>
              <w:rPr>
                <w:rFonts w:ascii="Arial" w:eastAsia="Calibri" w:hAnsi="Arial" w:cs="Arial"/>
                <w:sz w:val="24"/>
                <w:szCs w:val="24"/>
              </w:rPr>
            </w:pPr>
            <w:r w:rsidRPr="00DA4649">
              <w:rPr>
                <w:rFonts w:ascii="Arial" w:eastAsia="Calibri" w:hAnsi="Arial" w:cs="Arial"/>
                <w:sz w:val="24"/>
                <w:szCs w:val="24"/>
              </w:rPr>
              <w:t>XII-7</w:t>
            </w:r>
          </w:p>
        </w:tc>
        <w:tc>
          <w:tcPr>
            <w:tcW w:w="7455" w:type="dxa"/>
          </w:tcPr>
          <w:p w14:paraId="2DA88086" w14:textId="77777777" w:rsidR="000238F2" w:rsidRPr="00DA4649" w:rsidRDefault="000238F2" w:rsidP="000238F2">
            <w:pPr>
              <w:spacing w:after="0" w:line="240" w:lineRule="auto"/>
              <w:ind w:left="390" w:hanging="390"/>
              <w:rPr>
                <w:rFonts w:ascii="Arial" w:eastAsia="Calibri" w:hAnsi="Arial" w:cs="Arial"/>
                <w:sz w:val="24"/>
                <w:szCs w:val="24"/>
              </w:rPr>
            </w:pPr>
            <w:r w:rsidRPr="00DA4649">
              <w:rPr>
                <w:rFonts w:ascii="Arial" w:eastAsia="Calibri" w:hAnsi="Arial" w:cs="Arial"/>
                <w:sz w:val="24"/>
                <w:szCs w:val="24"/>
              </w:rPr>
              <w:t>FirstEnergy Pennsylvania Companies’ Overdue Critical PMs and Overdue PMs - For the Years 2013 through 2017</w:t>
            </w:r>
          </w:p>
        </w:tc>
        <w:tc>
          <w:tcPr>
            <w:tcW w:w="884" w:type="dxa"/>
          </w:tcPr>
          <w:p w14:paraId="34575558" w14:textId="77777777" w:rsidR="000238F2" w:rsidRPr="00DA4649" w:rsidRDefault="006E496B" w:rsidP="00A07548">
            <w:pPr>
              <w:spacing w:after="0" w:line="240" w:lineRule="auto"/>
              <w:jc w:val="right"/>
              <w:rPr>
                <w:rFonts w:ascii="Arial" w:eastAsia="Calibri" w:hAnsi="Arial" w:cs="Arial"/>
                <w:sz w:val="24"/>
                <w:szCs w:val="24"/>
              </w:rPr>
            </w:pPr>
            <w:r w:rsidRPr="00DA4649">
              <w:rPr>
                <w:rFonts w:ascii="Arial" w:eastAsia="Calibri" w:hAnsi="Arial" w:cs="Arial"/>
                <w:sz w:val="24"/>
                <w:szCs w:val="24"/>
              </w:rPr>
              <w:t>10</w:t>
            </w:r>
            <w:r w:rsidR="00556C37">
              <w:rPr>
                <w:rFonts w:ascii="Arial" w:eastAsia="Calibri" w:hAnsi="Arial" w:cs="Arial"/>
                <w:sz w:val="24"/>
                <w:szCs w:val="24"/>
              </w:rPr>
              <w:t>6</w:t>
            </w:r>
          </w:p>
        </w:tc>
      </w:tr>
      <w:tr w:rsidR="000238F2" w:rsidRPr="00DA4649" w14:paraId="64A52191" w14:textId="77777777" w:rsidTr="00A07548">
        <w:tc>
          <w:tcPr>
            <w:tcW w:w="1017" w:type="dxa"/>
          </w:tcPr>
          <w:p w14:paraId="4CE28909" w14:textId="77777777" w:rsidR="000238F2" w:rsidRPr="00DA4649" w:rsidRDefault="000238F2" w:rsidP="00A07548">
            <w:pPr>
              <w:spacing w:after="0" w:line="240" w:lineRule="auto"/>
              <w:jc w:val="center"/>
              <w:rPr>
                <w:rFonts w:ascii="Arial" w:eastAsia="Calibri" w:hAnsi="Arial" w:cs="Arial"/>
                <w:sz w:val="24"/>
                <w:szCs w:val="24"/>
              </w:rPr>
            </w:pPr>
          </w:p>
        </w:tc>
        <w:tc>
          <w:tcPr>
            <w:tcW w:w="7455" w:type="dxa"/>
          </w:tcPr>
          <w:p w14:paraId="29B00812" w14:textId="77777777" w:rsidR="000238F2" w:rsidRPr="00DA4649" w:rsidRDefault="000238F2" w:rsidP="00A07548">
            <w:pPr>
              <w:spacing w:after="0" w:line="240" w:lineRule="auto"/>
              <w:rPr>
                <w:rFonts w:ascii="Arial" w:eastAsia="Calibri" w:hAnsi="Arial" w:cs="Arial"/>
                <w:sz w:val="24"/>
                <w:szCs w:val="24"/>
              </w:rPr>
            </w:pPr>
          </w:p>
        </w:tc>
        <w:tc>
          <w:tcPr>
            <w:tcW w:w="884" w:type="dxa"/>
          </w:tcPr>
          <w:p w14:paraId="6132604C" w14:textId="77777777" w:rsidR="000238F2" w:rsidRPr="00DA4649" w:rsidRDefault="000238F2" w:rsidP="00A07548">
            <w:pPr>
              <w:spacing w:after="0" w:line="240" w:lineRule="auto"/>
              <w:jc w:val="right"/>
              <w:rPr>
                <w:rFonts w:ascii="Arial" w:eastAsia="Calibri" w:hAnsi="Arial" w:cs="Arial"/>
                <w:sz w:val="24"/>
                <w:szCs w:val="24"/>
              </w:rPr>
            </w:pPr>
          </w:p>
        </w:tc>
      </w:tr>
      <w:tr w:rsidR="000238F2" w:rsidRPr="00CA0D61" w14:paraId="5668E3E1" w14:textId="77777777" w:rsidTr="00A07548">
        <w:tc>
          <w:tcPr>
            <w:tcW w:w="1017" w:type="dxa"/>
          </w:tcPr>
          <w:p w14:paraId="2E05AF56" w14:textId="77777777" w:rsidR="000238F2" w:rsidRPr="00DA4649" w:rsidRDefault="000238F2" w:rsidP="00A07548">
            <w:pPr>
              <w:spacing w:after="0" w:line="240" w:lineRule="auto"/>
              <w:jc w:val="center"/>
              <w:rPr>
                <w:rFonts w:ascii="Arial" w:eastAsia="Calibri" w:hAnsi="Arial" w:cs="Arial"/>
                <w:sz w:val="24"/>
                <w:szCs w:val="24"/>
              </w:rPr>
            </w:pPr>
            <w:r w:rsidRPr="00DA4649">
              <w:rPr>
                <w:rFonts w:ascii="Arial" w:eastAsia="Calibri" w:hAnsi="Arial" w:cs="Arial"/>
                <w:sz w:val="24"/>
                <w:szCs w:val="24"/>
              </w:rPr>
              <w:t>XII-8</w:t>
            </w:r>
          </w:p>
        </w:tc>
        <w:tc>
          <w:tcPr>
            <w:tcW w:w="7455" w:type="dxa"/>
          </w:tcPr>
          <w:p w14:paraId="2B245328" w14:textId="77777777" w:rsidR="000238F2" w:rsidRPr="00DA4649" w:rsidRDefault="000238F2" w:rsidP="000238F2">
            <w:pPr>
              <w:spacing w:after="0" w:line="240" w:lineRule="auto"/>
              <w:ind w:left="405" w:hanging="405"/>
              <w:rPr>
                <w:rFonts w:ascii="Arial" w:eastAsia="Calibri" w:hAnsi="Arial" w:cs="Arial"/>
                <w:sz w:val="24"/>
                <w:szCs w:val="24"/>
              </w:rPr>
            </w:pPr>
            <w:r w:rsidRPr="00DA4649">
              <w:rPr>
                <w:rFonts w:ascii="Arial" w:eastAsia="Calibri" w:hAnsi="Arial" w:cs="Arial"/>
                <w:sz w:val="24"/>
                <w:szCs w:val="24"/>
              </w:rPr>
              <w:t>FirstEnergy Pennsylvania Companies’ Overdue Critical PMs and Overdue PMs - 2017</w:t>
            </w:r>
          </w:p>
        </w:tc>
        <w:tc>
          <w:tcPr>
            <w:tcW w:w="884" w:type="dxa"/>
          </w:tcPr>
          <w:p w14:paraId="2B96E200" w14:textId="77777777" w:rsidR="000238F2" w:rsidRPr="006E496B" w:rsidRDefault="006E496B" w:rsidP="00A07548">
            <w:pPr>
              <w:spacing w:after="0" w:line="240" w:lineRule="auto"/>
              <w:jc w:val="right"/>
              <w:rPr>
                <w:rFonts w:ascii="Arial" w:eastAsia="Calibri" w:hAnsi="Arial" w:cs="Arial"/>
                <w:sz w:val="24"/>
                <w:szCs w:val="24"/>
              </w:rPr>
            </w:pPr>
            <w:r w:rsidRPr="00DA4649">
              <w:rPr>
                <w:rFonts w:ascii="Arial" w:eastAsia="Calibri" w:hAnsi="Arial" w:cs="Arial"/>
                <w:sz w:val="24"/>
                <w:szCs w:val="24"/>
              </w:rPr>
              <w:t>10</w:t>
            </w:r>
            <w:r w:rsidR="00556C37">
              <w:rPr>
                <w:rFonts w:ascii="Arial" w:eastAsia="Calibri" w:hAnsi="Arial" w:cs="Arial"/>
                <w:sz w:val="24"/>
                <w:szCs w:val="24"/>
              </w:rPr>
              <w:t>6</w:t>
            </w:r>
          </w:p>
        </w:tc>
      </w:tr>
    </w:tbl>
    <w:p w14:paraId="10FB0C54" w14:textId="77777777" w:rsidR="00D144F0" w:rsidRDefault="00D144F0" w:rsidP="00B05255">
      <w:pPr>
        <w:spacing w:after="0" w:line="240" w:lineRule="auto"/>
        <w:jc w:val="center"/>
        <w:rPr>
          <w:rFonts w:ascii="Arial" w:hAnsi="Arial" w:cs="Arial"/>
          <w:b/>
          <w:sz w:val="26"/>
          <w:szCs w:val="26"/>
        </w:rPr>
        <w:sectPr w:rsidR="00D144F0" w:rsidSect="00FA2E63">
          <w:headerReference w:type="even" r:id="rId14"/>
          <w:headerReference w:type="default" r:id="rId15"/>
          <w:footerReference w:type="default" r:id="rId16"/>
          <w:headerReference w:type="first" r:id="rId17"/>
          <w:footerReference w:type="first" r:id="rId18"/>
          <w:pgSz w:w="12240" w:h="15840" w:code="1"/>
          <w:pgMar w:top="1440" w:right="1440" w:bottom="1008" w:left="1440" w:header="1440" w:footer="720" w:gutter="0"/>
          <w:pgNumType w:fmt="lowerRoman" w:start="1"/>
          <w:cols w:space="720"/>
          <w:noEndnote/>
          <w:docGrid w:linePitch="326"/>
        </w:sectPr>
      </w:pPr>
    </w:p>
    <w:p w14:paraId="0A14A0FA" w14:textId="77777777" w:rsidR="002F2AF9" w:rsidRPr="00AC73FC" w:rsidRDefault="00B73523" w:rsidP="00B73523">
      <w:pPr>
        <w:spacing w:after="0" w:line="240" w:lineRule="auto"/>
        <w:jc w:val="center"/>
        <w:rPr>
          <w:rFonts w:ascii="Arial" w:hAnsi="Arial" w:cs="Arial"/>
          <w:sz w:val="26"/>
          <w:szCs w:val="26"/>
        </w:rPr>
      </w:pPr>
      <w:r w:rsidRPr="00B73523">
        <w:rPr>
          <w:rFonts w:ascii="Arial" w:hAnsi="Arial" w:cs="Arial"/>
          <w:b/>
          <w:sz w:val="26"/>
          <w:szCs w:val="26"/>
        </w:rPr>
        <w:t>I.</w:t>
      </w:r>
      <w:r>
        <w:rPr>
          <w:rFonts w:ascii="Arial" w:hAnsi="Arial" w:cs="Arial"/>
          <w:b/>
          <w:sz w:val="26"/>
          <w:szCs w:val="26"/>
        </w:rPr>
        <w:t xml:space="preserve"> </w:t>
      </w:r>
      <w:r w:rsidR="002F2AF9" w:rsidRPr="00AC73FC">
        <w:rPr>
          <w:rFonts w:ascii="Arial" w:hAnsi="Arial" w:cs="Arial"/>
          <w:b/>
          <w:sz w:val="26"/>
          <w:szCs w:val="26"/>
        </w:rPr>
        <w:t>INTRODUCTION</w:t>
      </w:r>
    </w:p>
    <w:p w14:paraId="54703B9C" w14:textId="77777777" w:rsidR="002F2AF9" w:rsidRDefault="002F2AF9">
      <w:pPr>
        <w:spacing w:after="0" w:line="240" w:lineRule="auto"/>
        <w:jc w:val="center"/>
        <w:rPr>
          <w:rFonts w:ascii="Arial" w:hAnsi="Arial" w:cs="Arial"/>
          <w:b/>
          <w:sz w:val="24"/>
          <w:szCs w:val="24"/>
        </w:rPr>
      </w:pPr>
    </w:p>
    <w:p w14:paraId="70ABB0A0" w14:textId="77777777" w:rsidR="002F2AF9" w:rsidRDefault="002F2AF9">
      <w:pPr>
        <w:spacing w:after="0" w:line="240" w:lineRule="auto"/>
        <w:jc w:val="center"/>
        <w:rPr>
          <w:rFonts w:ascii="Arial" w:hAnsi="Arial" w:cs="Arial"/>
          <w:b/>
          <w:sz w:val="24"/>
          <w:szCs w:val="24"/>
        </w:rPr>
      </w:pPr>
    </w:p>
    <w:p w14:paraId="05A3EBFB" w14:textId="77777777" w:rsidR="002F2AF9" w:rsidRDefault="002F2AF9">
      <w:pPr>
        <w:spacing w:after="0" w:line="240" w:lineRule="auto"/>
        <w:rPr>
          <w:rFonts w:ascii="Arial" w:hAnsi="Arial" w:cs="Arial"/>
          <w:b/>
          <w:sz w:val="24"/>
          <w:szCs w:val="24"/>
          <w:u w:val="single"/>
        </w:rPr>
      </w:pPr>
      <w:r>
        <w:rPr>
          <w:rFonts w:ascii="Arial" w:hAnsi="Arial" w:cs="Arial"/>
          <w:b/>
          <w:sz w:val="24"/>
          <w:szCs w:val="24"/>
        </w:rPr>
        <w:t xml:space="preserve">A.  </w:t>
      </w:r>
      <w:r>
        <w:rPr>
          <w:rFonts w:ascii="Arial" w:hAnsi="Arial" w:cs="Arial"/>
          <w:b/>
          <w:sz w:val="24"/>
          <w:szCs w:val="24"/>
          <w:u w:val="single"/>
        </w:rPr>
        <w:t>Background</w:t>
      </w:r>
    </w:p>
    <w:p w14:paraId="7CA0A76A" w14:textId="77777777" w:rsidR="002F2AF9" w:rsidRDefault="002F2AF9">
      <w:pPr>
        <w:spacing w:after="0" w:line="240" w:lineRule="auto"/>
        <w:rPr>
          <w:rFonts w:ascii="Arial" w:hAnsi="Arial" w:cs="Arial"/>
          <w:b/>
          <w:sz w:val="24"/>
          <w:szCs w:val="24"/>
          <w:u w:val="single"/>
        </w:rPr>
      </w:pPr>
    </w:p>
    <w:p w14:paraId="3A43864B" w14:textId="77777777" w:rsidR="00636A64" w:rsidRDefault="002071D7" w:rsidP="004B231E">
      <w:pPr>
        <w:spacing w:after="0" w:line="240" w:lineRule="auto"/>
        <w:ind w:firstLine="720"/>
        <w:rPr>
          <w:rFonts w:ascii="Arial" w:hAnsi="Arial" w:cs="Arial"/>
          <w:sz w:val="24"/>
          <w:szCs w:val="24"/>
        </w:rPr>
      </w:pPr>
      <w:r>
        <w:rPr>
          <w:rFonts w:ascii="Arial" w:hAnsi="Arial" w:cs="Arial"/>
          <w:sz w:val="24"/>
          <w:szCs w:val="24"/>
        </w:rPr>
        <w:t>On</w:t>
      </w:r>
      <w:r w:rsidR="002F2AF9">
        <w:rPr>
          <w:rFonts w:ascii="Arial" w:hAnsi="Arial" w:cs="Arial"/>
          <w:sz w:val="24"/>
          <w:szCs w:val="24"/>
        </w:rPr>
        <w:t xml:space="preserve"> </w:t>
      </w:r>
      <w:r w:rsidR="00C56CC7">
        <w:rPr>
          <w:rFonts w:ascii="Arial" w:hAnsi="Arial" w:cs="Arial"/>
          <w:sz w:val="24"/>
          <w:szCs w:val="24"/>
        </w:rPr>
        <w:t>July</w:t>
      </w:r>
      <w:r>
        <w:rPr>
          <w:rFonts w:ascii="Arial" w:hAnsi="Arial" w:cs="Arial"/>
          <w:sz w:val="24"/>
          <w:szCs w:val="24"/>
        </w:rPr>
        <w:t xml:space="preserve"> 16,</w:t>
      </w:r>
      <w:r w:rsidR="00C56CC7">
        <w:rPr>
          <w:rFonts w:ascii="Arial" w:hAnsi="Arial" w:cs="Arial"/>
          <w:sz w:val="24"/>
          <w:szCs w:val="24"/>
        </w:rPr>
        <w:t xml:space="preserve"> 2013</w:t>
      </w:r>
      <w:r w:rsidR="002F2AF9">
        <w:rPr>
          <w:rFonts w:ascii="Arial" w:hAnsi="Arial" w:cs="Arial"/>
          <w:sz w:val="24"/>
          <w:szCs w:val="24"/>
        </w:rPr>
        <w:t>, the Manage</w:t>
      </w:r>
      <w:r w:rsidR="00CD2762">
        <w:rPr>
          <w:rFonts w:ascii="Arial" w:hAnsi="Arial" w:cs="Arial"/>
          <w:sz w:val="24"/>
          <w:szCs w:val="24"/>
        </w:rPr>
        <w:t xml:space="preserve">ment Audit </w:t>
      </w:r>
      <w:r>
        <w:rPr>
          <w:rFonts w:ascii="Arial" w:hAnsi="Arial" w:cs="Arial"/>
          <w:sz w:val="24"/>
          <w:szCs w:val="24"/>
        </w:rPr>
        <w:t>Staff</w:t>
      </w:r>
      <w:r w:rsidR="002F2AF9">
        <w:rPr>
          <w:rFonts w:ascii="Arial" w:hAnsi="Arial" w:cs="Arial"/>
          <w:sz w:val="24"/>
          <w:szCs w:val="24"/>
        </w:rPr>
        <w:t xml:space="preserve"> of the Pennsylvania Public Utility Commission’s (PUC or Commission) Bureau of Audits </w:t>
      </w:r>
      <w:r w:rsidR="002F2AF9" w:rsidRPr="009B3936">
        <w:rPr>
          <w:rFonts w:ascii="Arial" w:hAnsi="Arial" w:cs="Arial"/>
          <w:sz w:val="24"/>
          <w:szCs w:val="24"/>
        </w:rPr>
        <w:t xml:space="preserve">initiated a </w:t>
      </w:r>
      <w:r w:rsidR="00C849BA">
        <w:rPr>
          <w:rFonts w:ascii="Arial" w:hAnsi="Arial" w:cs="Arial"/>
          <w:sz w:val="24"/>
          <w:szCs w:val="24"/>
        </w:rPr>
        <w:t xml:space="preserve">Focused </w:t>
      </w:r>
      <w:r w:rsidR="002F2AF9" w:rsidRPr="009B3936">
        <w:rPr>
          <w:rFonts w:ascii="Arial" w:hAnsi="Arial" w:cs="Arial"/>
          <w:sz w:val="24"/>
          <w:szCs w:val="24"/>
        </w:rPr>
        <w:t xml:space="preserve">Management and Operations Audit </w:t>
      </w:r>
      <w:r w:rsidR="000B7C60">
        <w:rPr>
          <w:rFonts w:ascii="Arial" w:hAnsi="Arial" w:cs="Arial"/>
          <w:sz w:val="24"/>
          <w:szCs w:val="24"/>
        </w:rPr>
        <w:t xml:space="preserve">(Management Audit) </w:t>
      </w:r>
      <w:r w:rsidR="002F2AF9" w:rsidRPr="009B3936">
        <w:rPr>
          <w:rFonts w:ascii="Arial" w:hAnsi="Arial" w:cs="Arial"/>
          <w:sz w:val="24"/>
          <w:szCs w:val="24"/>
        </w:rPr>
        <w:t>of</w:t>
      </w:r>
      <w:r w:rsidR="002F2AF9">
        <w:rPr>
          <w:rFonts w:ascii="Arial" w:hAnsi="Arial" w:cs="Arial"/>
          <w:sz w:val="24"/>
          <w:szCs w:val="24"/>
        </w:rPr>
        <w:t xml:space="preserve"> </w:t>
      </w:r>
      <w:r w:rsidR="00C56CC7">
        <w:rPr>
          <w:rFonts w:ascii="Arial" w:hAnsi="Arial" w:cs="Arial"/>
          <w:sz w:val="24"/>
          <w:szCs w:val="24"/>
        </w:rPr>
        <w:t xml:space="preserve">Metropolitan Edison Company (Met-Ed), Pennsylvania Electric Company (Penelec), Pennsylvania Power Company (Penn Power), and West Penn Power Company (West Penn Power), collectively referred to as the FirstEnergy Pennsylvania Companies </w:t>
      </w:r>
      <w:r w:rsidR="0017296E">
        <w:rPr>
          <w:rFonts w:ascii="Arial" w:hAnsi="Arial" w:cs="Arial"/>
          <w:sz w:val="24"/>
          <w:szCs w:val="24"/>
        </w:rPr>
        <w:t>(</w:t>
      </w:r>
      <w:r w:rsidR="00C56CC7">
        <w:rPr>
          <w:rFonts w:ascii="Arial" w:hAnsi="Arial" w:cs="Arial"/>
          <w:sz w:val="24"/>
          <w:szCs w:val="24"/>
        </w:rPr>
        <w:t xml:space="preserve">FE-PA </w:t>
      </w:r>
      <w:r w:rsidR="00C91799">
        <w:rPr>
          <w:rFonts w:ascii="Arial" w:hAnsi="Arial" w:cs="Arial"/>
          <w:sz w:val="24"/>
          <w:szCs w:val="24"/>
        </w:rPr>
        <w:t>c</w:t>
      </w:r>
      <w:r w:rsidR="00C56CC7">
        <w:rPr>
          <w:rFonts w:ascii="Arial" w:hAnsi="Arial" w:cs="Arial"/>
          <w:sz w:val="24"/>
          <w:szCs w:val="24"/>
        </w:rPr>
        <w:t>ompanies</w:t>
      </w:r>
      <w:r w:rsidR="000D3D4F">
        <w:rPr>
          <w:rFonts w:ascii="Arial" w:hAnsi="Arial" w:cs="Arial"/>
          <w:sz w:val="24"/>
          <w:szCs w:val="24"/>
        </w:rPr>
        <w:t xml:space="preserve"> or companies</w:t>
      </w:r>
      <w:r w:rsidR="002F2AF9">
        <w:rPr>
          <w:rFonts w:ascii="Arial" w:hAnsi="Arial" w:cs="Arial"/>
          <w:sz w:val="24"/>
          <w:szCs w:val="24"/>
        </w:rPr>
        <w:t xml:space="preserve">).  </w:t>
      </w:r>
      <w:r w:rsidR="00747B4D">
        <w:rPr>
          <w:rFonts w:ascii="Arial" w:hAnsi="Arial" w:cs="Arial"/>
          <w:sz w:val="24"/>
          <w:szCs w:val="24"/>
        </w:rPr>
        <w:t xml:space="preserve">Met-Ed, Penelec and West Penn Power are owned by FirstEnergy Corp. (FirstEnergy).  Penn Power is a subsidiary of Ohio Edison Company, which is also owned by FirstEnergy.  As each of the </w:t>
      </w:r>
      <w:r w:rsidR="00DC3D9B">
        <w:rPr>
          <w:rFonts w:ascii="Arial" w:hAnsi="Arial" w:cs="Arial"/>
          <w:sz w:val="24"/>
          <w:szCs w:val="24"/>
        </w:rPr>
        <w:t>FE-PA companies</w:t>
      </w:r>
      <w:r w:rsidR="00747B4D">
        <w:rPr>
          <w:rFonts w:ascii="Arial" w:hAnsi="Arial" w:cs="Arial"/>
          <w:sz w:val="24"/>
          <w:szCs w:val="24"/>
        </w:rPr>
        <w:t xml:space="preserve"> are owned and jointly operated by FirstEnergy</w:t>
      </w:r>
      <w:r w:rsidR="003A71E4">
        <w:rPr>
          <w:rStyle w:val="FootnoteReference"/>
          <w:rFonts w:ascii="Arial" w:hAnsi="Arial" w:cs="Arial"/>
          <w:sz w:val="24"/>
          <w:szCs w:val="24"/>
        </w:rPr>
        <w:footnoteReference w:id="1"/>
      </w:r>
      <w:r w:rsidR="00747B4D">
        <w:rPr>
          <w:rFonts w:ascii="Arial" w:hAnsi="Arial" w:cs="Arial"/>
          <w:sz w:val="24"/>
          <w:szCs w:val="24"/>
        </w:rPr>
        <w:t xml:space="preserve">, the focused management and operations audits were conducted concurrently.  </w:t>
      </w:r>
    </w:p>
    <w:p w14:paraId="4B83BD98" w14:textId="77777777" w:rsidR="00636A64" w:rsidRDefault="00636A64" w:rsidP="004B231E">
      <w:pPr>
        <w:spacing w:after="0" w:line="240" w:lineRule="auto"/>
        <w:ind w:firstLine="720"/>
        <w:rPr>
          <w:rFonts w:ascii="Arial" w:hAnsi="Arial" w:cs="Arial"/>
          <w:sz w:val="24"/>
          <w:szCs w:val="24"/>
        </w:rPr>
      </w:pPr>
    </w:p>
    <w:p w14:paraId="180D3B99" w14:textId="77777777" w:rsidR="002F2AF9" w:rsidRPr="004B231E" w:rsidRDefault="003B4554" w:rsidP="004B231E">
      <w:pPr>
        <w:spacing w:after="0" w:line="240" w:lineRule="auto"/>
        <w:ind w:firstLine="720"/>
        <w:rPr>
          <w:rFonts w:ascii="Arial" w:hAnsi="Arial" w:cs="Arial"/>
          <w:sz w:val="24"/>
          <w:szCs w:val="24"/>
        </w:rPr>
      </w:pPr>
      <w:r>
        <w:rPr>
          <w:rFonts w:ascii="Arial" w:hAnsi="Arial" w:cs="Arial"/>
          <w:sz w:val="24"/>
          <w:szCs w:val="24"/>
        </w:rPr>
        <w:t>I</w:t>
      </w:r>
      <w:r w:rsidR="002F2AF9" w:rsidRPr="00350ABA">
        <w:rPr>
          <w:rFonts w:ascii="Arial" w:hAnsi="Arial" w:cs="Arial"/>
          <w:sz w:val="24"/>
          <w:szCs w:val="24"/>
        </w:rPr>
        <w:t xml:space="preserve">n </w:t>
      </w:r>
      <w:r w:rsidR="00C56CC7">
        <w:rPr>
          <w:rFonts w:ascii="Arial" w:hAnsi="Arial" w:cs="Arial"/>
          <w:sz w:val="24"/>
          <w:szCs w:val="24"/>
        </w:rPr>
        <w:t>November</w:t>
      </w:r>
      <w:r w:rsidR="00A73808" w:rsidRPr="00350ABA">
        <w:rPr>
          <w:rFonts w:ascii="Arial" w:hAnsi="Arial" w:cs="Arial"/>
          <w:sz w:val="24"/>
          <w:szCs w:val="24"/>
        </w:rPr>
        <w:t xml:space="preserve"> 201</w:t>
      </w:r>
      <w:r w:rsidR="00C56CC7">
        <w:rPr>
          <w:rFonts w:ascii="Arial" w:hAnsi="Arial" w:cs="Arial"/>
          <w:sz w:val="24"/>
          <w:szCs w:val="24"/>
        </w:rPr>
        <w:t>4</w:t>
      </w:r>
      <w:r w:rsidR="002F2AF9" w:rsidRPr="00350ABA">
        <w:rPr>
          <w:rFonts w:ascii="Arial" w:hAnsi="Arial" w:cs="Arial"/>
          <w:sz w:val="24"/>
          <w:szCs w:val="24"/>
        </w:rPr>
        <w:t>,</w:t>
      </w:r>
      <w:r>
        <w:rPr>
          <w:rFonts w:ascii="Arial" w:hAnsi="Arial" w:cs="Arial"/>
          <w:sz w:val="24"/>
          <w:szCs w:val="24"/>
        </w:rPr>
        <w:t xml:space="preserve"> the Bureau of Audits</w:t>
      </w:r>
      <w:r w:rsidR="002F2AF9" w:rsidRPr="00350ABA">
        <w:rPr>
          <w:rFonts w:ascii="Arial" w:hAnsi="Arial" w:cs="Arial"/>
          <w:sz w:val="24"/>
          <w:szCs w:val="24"/>
        </w:rPr>
        <w:t xml:space="preserve"> issued</w:t>
      </w:r>
      <w:r w:rsidR="002F2AF9">
        <w:rPr>
          <w:rFonts w:ascii="Arial" w:hAnsi="Arial" w:cs="Arial"/>
          <w:sz w:val="24"/>
          <w:szCs w:val="24"/>
        </w:rPr>
        <w:t xml:space="preserve"> a final report </w:t>
      </w:r>
      <w:r>
        <w:rPr>
          <w:rFonts w:ascii="Arial" w:hAnsi="Arial" w:cs="Arial"/>
          <w:sz w:val="24"/>
          <w:szCs w:val="24"/>
        </w:rPr>
        <w:t xml:space="preserve">with </w:t>
      </w:r>
      <w:r w:rsidR="00C56CC7">
        <w:rPr>
          <w:rFonts w:ascii="Arial" w:hAnsi="Arial" w:cs="Arial"/>
          <w:sz w:val="24"/>
          <w:szCs w:val="24"/>
        </w:rPr>
        <w:t>28</w:t>
      </w:r>
      <w:r w:rsidR="002F2AF9" w:rsidRPr="00916974">
        <w:rPr>
          <w:rFonts w:ascii="Arial" w:hAnsi="Arial" w:cs="Arial"/>
          <w:sz w:val="24"/>
          <w:szCs w:val="24"/>
        </w:rPr>
        <w:t xml:space="preserve"> recommendations for improvement.  </w:t>
      </w:r>
      <w:r w:rsidR="00C56CC7" w:rsidRPr="004B231E">
        <w:rPr>
          <w:rFonts w:ascii="Arial" w:hAnsi="Arial" w:cs="Arial"/>
          <w:sz w:val="24"/>
          <w:szCs w:val="24"/>
        </w:rPr>
        <w:t xml:space="preserve">The </w:t>
      </w:r>
      <w:r w:rsidR="00DC3D9B">
        <w:rPr>
          <w:rFonts w:ascii="Arial" w:hAnsi="Arial" w:cs="Arial"/>
          <w:sz w:val="24"/>
          <w:szCs w:val="24"/>
        </w:rPr>
        <w:t>FE-PA companies</w:t>
      </w:r>
      <w:r w:rsidR="00CF466E" w:rsidRPr="004B231E">
        <w:rPr>
          <w:rFonts w:ascii="Arial" w:hAnsi="Arial" w:cs="Arial"/>
          <w:sz w:val="24"/>
          <w:szCs w:val="24"/>
        </w:rPr>
        <w:t xml:space="preserve"> </w:t>
      </w:r>
      <w:r w:rsidR="002F52F2">
        <w:rPr>
          <w:rFonts w:ascii="Arial" w:hAnsi="Arial" w:cs="Arial"/>
          <w:sz w:val="24"/>
          <w:szCs w:val="24"/>
        </w:rPr>
        <w:t>filed</w:t>
      </w:r>
      <w:r w:rsidR="00C56CC7" w:rsidRPr="004B231E">
        <w:rPr>
          <w:rFonts w:ascii="Arial" w:hAnsi="Arial" w:cs="Arial"/>
          <w:sz w:val="24"/>
          <w:szCs w:val="24"/>
        </w:rPr>
        <w:t xml:space="preserve"> </w:t>
      </w:r>
      <w:r>
        <w:rPr>
          <w:rFonts w:ascii="Arial" w:hAnsi="Arial" w:cs="Arial"/>
          <w:sz w:val="24"/>
          <w:szCs w:val="24"/>
        </w:rPr>
        <w:t xml:space="preserve">an </w:t>
      </w:r>
      <w:r w:rsidR="002F52F2">
        <w:rPr>
          <w:rFonts w:ascii="Arial" w:hAnsi="Arial" w:cs="Arial"/>
          <w:sz w:val="24"/>
          <w:szCs w:val="24"/>
        </w:rPr>
        <w:t xml:space="preserve">Implementation Plan on January 8, 2015.  </w:t>
      </w:r>
      <w:r w:rsidR="002F2AF9" w:rsidRPr="004B231E">
        <w:rPr>
          <w:rFonts w:ascii="Arial" w:hAnsi="Arial" w:cs="Arial"/>
          <w:sz w:val="24"/>
          <w:szCs w:val="24"/>
        </w:rPr>
        <w:t xml:space="preserve">On </w:t>
      </w:r>
      <w:r w:rsidR="002F52F2">
        <w:rPr>
          <w:rFonts w:ascii="Arial" w:hAnsi="Arial" w:cs="Arial"/>
          <w:sz w:val="24"/>
          <w:szCs w:val="24"/>
        </w:rPr>
        <w:t xml:space="preserve">February 12, </w:t>
      </w:r>
      <w:r w:rsidR="0017296E" w:rsidRPr="004B231E">
        <w:rPr>
          <w:rFonts w:ascii="Arial" w:hAnsi="Arial" w:cs="Arial"/>
          <w:sz w:val="24"/>
          <w:szCs w:val="24"/>
        </w:rPr>
        <w:t>201</w:t>
      </w:r>
      <w:r w:rsidR="004B231E" w:rsidRPr="004B231E">
        <w:rPr>
          <w:rFonts w:ascii="Arial" w:hAnsi="Arial" w:cs="Arial"/>
          <w:sz w:val="24"/>
          <w:szCs w:val="24"/>
        </w:rPr>
        <w:t>5</w:t>
      </w:r>
      <w:r w:rsidR="0017296E" w:rsidRPr="004B231E">
        <w:rPr>
          <w:rFonts w:ascii="Arial" w:hAnsi="Arial" w:cs="Arial"/>
          <w:sz w:val="24"/>
          <w:szCs w:val="24"/>
        </w:rPr>
        <w:t xml:space="preserve">, at </w:t>
      </w:r>
      <w:r w:rsidR="004B231E" w:rsidRPr="004B231E">
        <w:rPr>
          <w:rFonts w:ascii="Arial" w:hAnsi="Arial" w:cs="Arial"/>
          <w:sz w:val="24"/>
          <w:szCs w:val="24"/>
        </w:rPr>
        <w:t>D-2013-236591, D-2013-2365992, D</w:t>
      </w:r>
      <w:r w:rsidR="00AA4E25">
        <w:rPr>
          <w:rFonts w:ascii="Arial" w:hAnsi="Arial" w:cs="Arial"/>
          <w:sz w:val="24"/>
          <w:szCs w:val="24"/>
        </w:rPr>
        <w:noBreakHyphen/>
      </w:r>
      <w:r w:rsidR="004B231E" w:rsidRPr="004B231E">
        <w:rPr>
          <w:rFonts w:ascii="Arial" w:hAnsi="Arial" w:cs="Arial"/>
          <w:sz w:val="24"/>
          <w:szCs w:val="24"/>
        </w:rPr>
        <w:t>2013</w:t>
      </w:r>
      <w:r w:rsidR="00AA4E25">
        <w:rPr>
          <w:rFonts w:ascii="Arial" w:hAnsi="Arial" w:cs="Arial"/>
          <w:sz w:val="24"/>
          <w:szCs w:val="24"/>
        </w:rPr>
        <w:noBreakHyphen/>
      </w:r>
      <w:r w:rsidR="004B231E" w:rsidRPr="004B231E">
        <w:rPr>
          <w:rFonts w:ascii="Arial" w:hAnsi="Arial" w:cs="Arial"/>
          <w:sz w:val="24"/>
          <w:szCs w:val="24"/>
        </w:rPr>
        <w:t>2365993, and D-2013-2365994</w:t>
      </w:r>
      <w:r w:rsidR="002F2AF9" w:rsidRPr="004B231E">
        <w:rPr>
          <w:rFonts w:ascii="Arial" w:hAnsi="Arial" w:cs="Arial"/>
          <w:sz w:val="24"/>
          <w:szCs w:val="24"/>
        </w:rPr>
        <w:t xml:space="preserve">, the Commission made the audit report and Implementation Plan public and directed </w:t>
      </w:r>
      <w:r w:rsidR="004B231E" w:rsidRPr="004B231E">
        <w:rPr>
          <w:rFonts w:ascii="Arial" w:hAnsi="Arial" w:cs="Arial"/>
          <w:sz w:val="24"/>
          <w:szCs w:val="24"/>
        </w:rPr>
        <w:t>the Companies</w:t>
      </w:r>
      <w:r w:rsidR="001F5043" w:rsidRPr="004B231E">
        <w:rPr>
          <w:rFonts w:ascii="Arial" w:hAnsi="Arial" w:cs="Arial"/>
          <w:sz w:val="24"/>
          <w:szCs w:val="24"/>
        </w:rPr>
        <w:t xml:space="preserve"> </w:t>
      </w:r>
      <w:r w:rsidR="002F2AF9" w:rsidRPr="004B231E">
        <w:rPr>
          <w:rFonts w:ascii="Arial" w:hAnsi="Arial" w:cs="Arial"/>
          <w:sz w:val="24"/>
          <w:szCs w:val="24"/>
        </w:rPr>
        <w:t>to:</w:t>
      </w:r>
    </w:p>
    <w:p w14:paraId="4EB42C15" w14:textId="77777777" w:rsidR="002F2AF9" w:rsidRPr="004B231E" w:rsidRDefault="002F2AF9">
      <w:pPr>
        <w:spacing w:after="0" w:line="240" w:lineRule="auto"/>
        <w:rPr>
          <w:rFonts w:ascii="Arial" w:hAnsi="Arial" w:cs="Arial"/>
          <w:sz w:val="24"/>
          <w:szCs w:val="24"/>
        </w:rPr>
      </w:pPr>
    </w:p>
    <w:p w14:paraId="710BF0C0" w14:textId="77777777" w:rsidR="002F2AF9" w:rsidRPr="004B231E" w:rsidRDefault="002F2AF9">
      <w:pPr>
        <w:pStyle w:val="ListParagraph"/>
        <w:numPr>
          <w:ilvl w:val="0"/>
          <w:numId w:val="1"/>
        </w:numPr>
        <w:spacing w:after="0" w:line="240" w:lineRule="auto"/>
        <w:ind w:left="1080"/>
        <w:rPr>
          <w:rFonts w:ascii="Arial" w:hAnsi="Arial" w:cs="Arial"/>
          <w:sz w:val="24"/>
          <w:szCs w:val="24"/>
        </w:rPr>
      </w:pPr>
      <w:r w:rsidRPr="004B231E">
        <w:rPr>
          <w:rFonts w:ascii="Arial" w:hAnsi="Arial" w:cs="Arial"/>
          <w:sz w:val="24"/>
          <w:szCs w:val="24"/>
        </w:rPr>
        <w:t xml:space="preserve">Proceed with its </w:t>
      </w:r>
      <w:r w:rsidR="00CA0D61">
        <w:rPr>
          <w:rFonts w:ascii="Arial" w:hAnsi="Arial" w:cs="Arial"/>
          <w:sz w:val="24"/>
          <w:szCs w:val="24"/>
        </w:rPr>
        <w:t>January 8</w:t>
      </w:r>
      <w:r w:rsidR="004B231E" w:rsidRPr="004B231E">
        <w:rPr>
          <w:rFonts w:ascii="Arial" w:hAnsi="Arial" w:cs="Arial"/>
          <w:sz w:val="24"/>
          <w:szCs w:val="24"/>
        </w:rPr>
        <w:t>, 2015</w:t>
      </w:r>
      <w:r w:rsidR="00EF76A1" w:rsidRPr="004B231E">
        <w:rPr>
          <w:rFonts w:ascii="Arial" w:hAnsi="Arial" w:cs="Arial"/>
          <w:sz w:val="24"/>
          <w:szCs w:val="24"/>
        </w:rPr>
        <w:t xml:space="preserve"> </w:t>
      </w:r>
      <w:r w:rsidR="001F5043" w:rsidRPr="004B231E">
        <w:rPr>
          <w:rFonts w:ascii="Arial" w:hAnsi="Arial" w:cs="Arial"/>
          <w:sz w:val="24"/>
          <w:szCs w:val="24"/>
        </w:rPr>
        <w:t>I</w:t>
      </w:r>
      <w:r w:rsidRPr="004B231E">
        <w:rPr>
          <w:rFonts w:ascii="Arial" w:hAnsi="Arial" w:cs="Arial"/>
          <w:sz w:val="24"/>
          <w:szCs w:val="24"/>
        </w:rPr>
        <w:t>mplementation Plan</w:t>
      </w:r>
      <w:r w:rsidR="00746FDA" w:rsidRPr="004B231E">
        <w:rPr>
          <w:rFonts w:ascii="Arial" w:hAnsi="Arial" w:cs="Arial"/>
          <w:sz w:val="24"/>
          <w:szCs w:val="24"/>
        </w:rPr>
        <w:t>; and</w:t>
      </w:r>
    </w:p>
    <w:p w14:paraId="721FEEC2" w14:textId="77777777" w:rsidR="002F2AF9" w:rsidRPr="004B231E" w:rsidRDefault="002F2AF9">
      <w:pPr>
        <w:spacing w:after="0" w:line="240" w:lineRule="auto"/>
        <w:rPr>
          <w:rFonts w:ascii="Arial" w:hAnsi="Arial" w:cs="Arial"/>
          <w:sz w:val="24"/>
          <w:szCs w:val="24"/>
        </w:rPr>
      </w:pPr>
    </w:p>
    <w:p w14:paraId="4E176FCD" w14:textId="77777777" w:rsidR="002F2AF9" w:rsidRPr="004B231E" w:rsidRDefault="002F2AF9">
      <w:pPr>
        <w:pStyle w:val="ListParagraph"/>
        <w:numPr>
          <w:ilvl w:val="0"/>
          <w:numId w:val="1"/>
        </w:numPr>
        <w:spacing w:after="0" w:line="240" w:lineRule="auto"/>
        <w:ind w:left="1080"/>
        <w:rPr>
          <w:rFonts w:ascii="Arial" w:hAnsi="Arial" w:cs="Arial"/>
          <w:sz w:val="24"/>
          <w:szCs w:val="24"/>
        </w:rPr>
      </w:pPr>
      <w:r w:rsidRPr="004B231E">
        <w:rPr>
          <w:rFonts w:ascii="Arial" w:hAnsi="Arial" w:cs="Arial"/>
          <w:sz w:val="24"/>
          <w:szCs w:val="24"/>
        </w:rPr>
        <w:t xml:space="preserve">Submit progress reports on the implementation annually, by </w:t>
      </w:r>
      <w:r w:rsidR="004B231E" w:rsidRPr="004B231E">
        <w:rPr>
          <w:rFonts w:ascii="Arial" w:hAnsi="Arial" w:cs="Arial"/>
          <w:sz w:val="24"/>
          <w:szCs w:val="24"/>
        </w:rPr>
        <w:t>February</w:t>
      </w:r>
      <w:r w:rsidR="001F5043" w:rsidRPr="004B231E">
        <w:rPr>
          <w:rFonts w:ascii="Arial" w:hAnsi="Arial" w:cs="Arial"/>
          <w:sz w:val="24"/>
          <w:szCs w:val="24"/>
        </w:rPr>
        <w:t xml:space="preserve"> </w:t>
      </w:r>
      <w:r w:rsidRPr="004B231E">
        <w:rPr>
          <w:rFonts w:ascii="Arial" w:hAnsi="Arial" w:cs="Arial"/>
          <w:sz w:val="24"/>
          <w:szCs w:val="24"/>
        </w:rPr>
        <w:t>1</w:t>
      </w:r>
      <w:r w:rsidR="001F5043" w:rsidRPr="004B231E">
        <w:rPr>
          <w:rFonts w:ascii="Arial" w:hAnsi="Arial" w:cs="Arial"/>
          <w:sz w:val="24"/>
          <w:szCs w:val="24"/>
        </w:rPr>
        <w:t>,</w:t>
      </w:r>
      <w:r w:rsidRPr="004B231E">
        <w:rPr>
          <w:rFonts w:ascii="Arial" w:hAnsi="Arial" w:cs="Arial"/>
          <w:sz w:val="24"/>
          <w:szCs w:val="24"/>
        </w:rPr>
        <w:t xml:space="preserve"> for the next three years.  </w:t>
      </w:r>
    </w:p>
    <w:p w14:paraId="7428F7E4" w14:textId="77777777" w:rsidR="00384ADF" w:rsidRPr="003D7D27" w:rsidRDefault="00384ADF">
      <w:pPr>
        <w:spacing w:after="0" w:line="240" w:lineRule="auto"/>
        <w:rPr>
          <w:rFonts w:ascii="Arial" w:hAnsi="Arial" w:cs="Arial"/>
          <w:sz w:val="24"/>
          <w:szCs w:val="24"/>
          <w:highlight w:val="yellow"/>
        </w:rPr>
      </w:pPr>
    </w:p>
    <w:p w14:paraId="62BADFA9" w14:textId="77777777" w:rsidR="004C1777" w:rsidRDefault="006E519A">
      <w:pPr>
        <w:spacing w:after="0" w:line="240" w:lineRule="auto"/>
        <w:ind w:firstLine="720"/>
        <w:rPr>
          <w:rFonts w:ascii="Arial" w:hAnsi="Arial" w:cs="Arial"/>
          <w:sz w:val="24"/>
          <w:szCs w:val="24"/>
        </w:rPr>
      </w:pPr>
      <w:r w:rsidRPr="006E519A">
        <w:rPr>
          <w:rFonts w:ascii="Arial" w:hAnsi="Arial" w:cs="Arial"/>
          <w:sz w:val="24"/>
          <w:szCs w:val="24"/>
        </w:rPr>
        <w:t xml:space="preserve">  After the Commission made the audit report and Implementation Plan public, a Commission Order was entered on March 30, 2015 directing the FE-PA companies to file a more detailed, revised Implementation Plan within sixty days or by May 29, 2015.  The Revised Implementation Plan was filed on May 29, 2015, indicating acceptance of 26 recommendations, partially accepting one recommendation, and rejecting one recommendation.  </w:t>
      </w:r>
    </w:p>
    <w:p w14:paraId="36233DB9" w14:textId="77777777" w:rsidR="004C1777" w:rsidRDefault="004C1777">
      <w:pPr>
        <w:spacing w:after="0" w:line="240" w:lineRule="auto"/>
        <w:ind w:firstLine="720"/>
        <w:rPr>
          <w:rFonts w:ascii="Arial" w:hAnsi="Arial" w:cs="Arial"/>
          <w:sz w:val="24"/>
          <w:szCs w:val="24"/>
        </w:rPr>
      </w:pPr>
    </w:p>
    <w:p w14:paraId="0103A832" w14:textId="77777777" w:rsidR="002F2AF9" w:rsidRDefault="002F2AF9">
      <w:pPr>
        <w:spacing w:after="0" w:line="240" w:lineRule="auto"/>
        <w:ind w:firstLine="720"/>
        <w:rPr>
          <w:rFonts w:ascii="Arial" w:hAnsi="Arial" w:cs="Arial"/>
          <w:sz w:val="24"/>
          <w:szCs w:val="24"/>
        </w:rPr>
      </w:pPr>
      <w:r w:rsidRPr="004B231E">
        <w:rPr>
          <w:rFonts w:ascii="Arial" w:hAnsi="Arial" w:cs="Arial"/>
          <w:sz w:val="24"/>
          <w:szCs w:val="24"/>
        </w:rPr>
        <w:t xml:space="preserve">Since </w:t>
      </w:r>
      <w:r w:rsidR="004B231E" w:rsidRPr="004B231E">
        <w:rPr>
          <w:rFonts w:ascii="Arial" w:hAnsi="Arial" w:cs="Arial"/>
          <w:sz w:val="24"/>
          <w:szCs w:val="24"/>
        </w:rPr>
        <w:t>February 2016</w:t>
      </w:r>
      <w:r w:rsidR="00EF76A1" w:rsidRPr="004B231E">
        <w:rPr>
          <w:rFonts w:ascii="Arial" w:hAnsi="Arial" w:cs="Arial"/>
          <w:sz w:val="24"/>
          <w:szCs w:val="24"/>
        </w:rPr>
        <w:t xml:space="preserve">, </w:t>
      </w:r>
      <w:r w:rsidR="00CA0D61">
        <w:rPr>
          <w:rFonts w:ascii="Arial" w:hAnsi="Arial" w:cs="Arial"/>
          <w:sz w:val="24"/>
          <w:szCs w:val="24"/>
        </w:rPr>
        <w:t xml:space="preserve">the </w:t>
      </w:r>
      <w:r w:rsidR="00DC3D9B">
        <w:rPr>
          <w:rFonts w:ascii="Arial" w:hAnsi="Arial" w:cs="Arial"/>
          <w:sz w:val="24"/>
          <w:szCs w:val="24"/>
        </w:rPr>
        <w:t>FE-PA companies</w:t>
      </w:r>
      <w:r w:rsidR="009660C2" w:rsidRPr="004B231E">
        <w:rPr>
          <w:rFonts w:ascii="Arial" w:hAnsi="Arial" w:cs="Arial"/>
          <w:sz w:val="24"/>
          <w:szCs w:val="24"/>
        </w:rPr>
        <w:t xml:space="preserve"> </w:t>
      </w:r>
      <w:r w:rsidR="00CA0D61">
        <w:rPr>
          <w:rFonts w:ascii="Arial" w:hAnsi="Arial" w:cs="Arial"/>
          <w:sz w:val="24"/>
          <w:szCs w:val="24"/>
        </w:rPr>
        <w:t>have</w:t>
      </w:r>
      <w:r w:rsidRPr="004B231E">
        <w:rPr>
          <w:rFonts w:ascii="Arial" w:hAnsi="Arial" w:cs="Arial"/>
          <w:sz w:val="24"/>
          <w:szCs w:val="24"/>
        </w:rPr>
        <w:t xml:space="preserve"> submitted </w:t>
      </w:r>
      <w:r w:rsidR="00B621A1" w:rsidRPr="004B231E">
        <w:rPr>
          <w:rFonts w:ascii="Arial" w:hAnsi="Arial" w:cs="Arial"/>
          <w:sz w:val="24"/>
          <w:szCs w:val="24"/>
        </w:rPr>
        <w:t>three</w:t>
      </w:r>
      <w:r w:rsidR="00BB66E7" w:rsidRPr="004B231E">
        <w:rPr>
          <w:rFonts w:ascii="Arial" w:hAnsi="Arial" w:cs="Arial"/>
          <w:sz w:val="24"/>
          <w:szCs w:val="24"/>
        </w:rPr>
        <w:t xml:space="preserve"> </w:t>
      </w:r>
      <w:r w:rsidRPr="004B231E">
        <w:rPr>
          <w:rFonts w:ascii="Arial" w:hAnsi="Arial" w:cs="Arial"/>
          <w:sz w:val="24"/>
          <w:szCs w:val="24"/>
        </w:rPr>
        <w:t>Implementation Plan updates as req</w:t>
      </w:r>
      <w:r w:rsidR="004B231E">
        <w:rPr>
          <w:rFonts w:ascii="Arial" w:hAnsi="Arial" w:cs="Arial"/>
          <w:sz w:val="24"/>
          <w:szCs w:val="24"/>
        </w:rPr>
        <w:t xml:space="preserve">uested to ascertain the </w:t>
      </w:r>
      <w:r w:rsidR="00DC3D9B">
        <w:rPr>
          <w:rFonts w:ascii="Arial" w:hAnsi="Arial" w:cs="Arial"/>
          <w:sz w:val="24"/>
          <w:szCs w:val="24"/>
        </w:rPr>
        <w:t>FE-PA companies</w:t>
      </w:r>
      <w:r w:rsidR="004B231E">
        <w:rPr>
          <w:rFonts w:ascii="Arial" w:hAnsi="Arial" w:cs="Arial"/>
          <w:sz w:val="24"/>
          <w:szCs w:val="24"/>
        </w:rPr>
        <w:t>’</w:t>
      </w:r>
      <w:r w:rsidRPr="004B231E">
        <w:rPr>
          <w:rFonts w:ascii="Arial" w:hAnsi="Arial" w:cs="Arial"/>
          <w:sz w:val="24"/>
          <w:szCs w:val="24"/>
        </w:rPr>
        <w:t xml:space="preserve"> progress in implementing the recommendations from the management audit report.  Based on a review of th</w:t>
      </w:r>
      <w:r w:rsidR="00BB66E7" w:rsidRPr="004B231E">
        <w:rPr>
          <w:rFonts w:ascii="Arial" w:hAnsi="Arial" w:cs="Arial"/>
          <w:sz w:val="24"/>
          <w:szCs w:val="24"/>
        </w:rPr>
        <w:t xml:space="preserve">ese </w:t>
      </w:r>
      <w:r w:rsidRPr="004B231E">
        <w:rPr>
          <w:rFonts w:ascii="Arial" w:hAnsi="Arial" w:cs="Arial"/>
          <w:sz w:val="24"/>
          <w:szCs w:val="24"/>
        </w:rPr>
        <w:t>update</w:t>
      </w:r>
      <w:r w:rsidR="00BB66E7" w:rsidRPr="004B231E">
        <w:rPr>
          <w:rFonts w:ascii="Arial" w:hAnsi="Arial" w:cs="Arial"/>
          <w:sz w:val="24"/>
          <w:szCs w:val="24"/>
        </w:rPr>
        <w:t>s</w:t>
      </w:r>
      <w:r w:rsidRPr="004B231E">
        <w:rPr>
          <w:rFonts w:ascii="Arial" w:hAnsi="Arial" w:cs="Arial"/>
          <w:sz w:val="24"/>
          <w:szCs w:val="24"/>
        </w:rPr>
        <w:t>, t</w:t>
      </w:r>
      <w:r w:rsidR="00CD2762">
        <w:rPr>
          <w:rFonts w:ascii="Arial" w:hAnsi="Arial" w:cs="Arial"/>
          <w:sz w:val="24"/>
          <w:szCs w:val="24"/>
        </w:rPr>
        <w:t>he a</w:t>
      </w:r>
      <w:r w:rsidR="004B231E">
        <w:rPr>
          <w:rFonts w:ascii="Arial" w:hAnsi="Arial" w:cs="Arial"/>
          <w:sz w:val="24"/>
          <w:szCs w:val="24"/>
        </w:rPr>
        <w:t>uditors</w:t>
      </w:r>
      <w:r w:rsidRPr="004B231E">
        <w:rPr>
          <w:rFonts w:ascii="Arial" w:hAnsi="Arial" w:cs="Arial"/>
          <w:sz w:val="24"/>
          <w:szCs w:val="24"/>
        </w:rPr>
        <w:t xml:space="preserve"> elected to conduct a Management Efficiency Investigation (MEI) of </w:t>
      </w:r>
      <w:r w:rsidR="004B231E">
        <w:rPr>
          <w:rFonts w:ascii="Arial" w:hAnsi="Arial" w:cs="Arial"/>
          <w:sz w:val="24"/>
          <w:szCs w:val="24"/>
        </w:rPr>
        <w:t xml:space="preserve">the FE-PA </w:t>
      </w:r>
      <w:r w:rsidR="00C91799">
        <w:rPr>
          <w:rFonts w:ascii="Arial" w:hAnsi="Arial" w:cs="Arial"/>
          <w:sz w:val="24"/>
          <w:szCs w:val="24"/>
        </w:rPr>
        <w:t>c</w:t>
      </w:r>
      <w:r w:rsidR="004B231E">
        <w:rPr>
          <w:rFonts w:ascii="Arial" w:hAnsi="Arial" w:cs="Arial"/>
          <w:sz w:val="24"/>
          <w:szCs w:val="24"/>
        </w:rPr>
        <w:t>ompanies’</w:t>
      </w:r>
      <w:r w:rsidR="00117925" w:rsidRPr="004B231E">
        <w:rPr>
          <w:rFonts w:ascii="Arial" w:hAnsi="Arial" w:cs="Arial"/>
          <w:sz w:val="24"/>
          <w:szCs w:val="24"/>
        </w:rPr>
        <w:t xml:space="preserve"> </w:t>
      </w:r>
      <w:r w:rsidRPr="004B231E">
        <w:rPr>
          <w:rFonts w:ascii="Arial" w:hAnsi="Arial" w:cs="Arial"/>
          <w:sz w:val="24"/>
          <w:szCs w:val="24"/>
        </w:rPr>
        <w:t xml:space="preserve">progress in </w:t>
      </w:r>
      <w:r w:rsidR="00636A64">
        <w:rPr>
          <w:rFonts w:ascii="Arial" w:hAnsi="Arial" w:cs="Arial"/>
          <w:sz w:val="24"/>
          <w:szCs w:val="24"/>
        </w:rPr>
        <w:t>implementing</w:t>
      </w:r>
      <w:r w:rsidR="00EC0A13" w:rsidRPr="004B231E">
        <w:rPr>
          <w:rFonts w:ascii="Arial" w:hAnsi="Arial" w:cs="Arial"/>
          <w:sz w:val="24"/>
          <w:szCs w:val="24"/>
        </w:rPr>
        <w:t xml:space="preserve"> the </w:t>
      </w:r>
      <w:r w:rsidR="002F52F2">
        <w:rPr>
          <w:rFonts w:ascii="Arial" w:hAnsi="Arial" w:cs="Arial"/>
          <w:sz w:val="24"/>
          <w:szCs w:val="24"/>
        </w:rPr>
        <w:t xml:space="preserve">26 </w:t>
      </w:r>
      <w:r w:rsidR="00EC0A13" w:rsidRPr="004B231E">
        <w:rPr>
          <w:rFonts w:ascii="Arial" w:hAnsi="Arial" w:cs="Arial"/>
          <w:sz w:val="24"/>
          <w:szCs w:val="24"/>
        </w:rPr>
        <w:t>accepted</w:t>
      </w:r>
      <w:r w:rsidR="004B231E">
        <w:rPr>
          <w:rFonts w:ascii="Arial" w:hAnsi="Arial" w:cs="Arial"/>
          <w:sz w:val="24"/>
          <w:szCs w:val="24"/>
        </w:rPr>
        <w:t>, and one partially accepted</w:t>
      </w:r>
      <w:r w:rsidR="009F385F" w:rsidRPr="004B231E">
        <w:rPr>
          <w:rFonts w:ascii="Arial" w:hAnsi="Arial" w:cs="Arial"/>
          <w:sz w:val="24"/>
          <w:szCs w:val="24"/>
        </w:rPr>
        <w:t xml:space="preserve"> original recommendations</w:t>
      </w:r>
      <w:r w:rsidR="000820F9">
        <w:rPr>
          <w:rFonts w:ascii="Arial" w:hAnsi="Arial" w:cs="Arial"/>
          <w:sz w:val="24"/>
          <w:szCs w:val="24"/>
        </w:rPr>
        <w:t xml:space="preserve"> from the Revised Implementation Plan</w:t>
      </w:r>
      <w:r w:rsidR="009F385F" w:rsidRPr="004B231E">
        <w:rPr>
          <w:rFonts w:ascii="Arial" w:hAnsi="Arial" w:cs="Arial"/>
          <w:sz w:val="24"/>
          <w:szCs w:val="24"/>
        </w:rPr>
        <w:t>.</w:t>
      </w:r>
      <w:r w:rsidR="00A56F02" w:rsidRPr="004B231E">
        <w:rPr>
          <w:rFonts w:ascii="Arial" w:hAnsi="Arial" w:cs="Arial"/>
          <w:sz w:val="24"/>
          <w:szCs w:val="24"/>
        </w:rPr>
        <w:t xml:space="preserve">  </w:t>
      </w:r>
      <w:r w:rsidR="0001155A">
        <w:rPr>
          <w:rFonts w:ascii="Arial" w:hAnsi="Arial" w:cs="Arial"/>
          <w:sz w:val="24"/>
          <w:szCs w:val="24"/>
        </w:rPr>
        <w:t xml:space="preserve">The remaining recommendation was rejected by the </w:t>
      </w:r>
      <w:r w:rsidR="00DC3D9B">
        <w:rPr>
          <w:rFonts w:ascii="Arial" w:hAnsi="Arial" w:cs="Arial"/>
          <w:sz w:val="24"/>
          <w:szCs w:val="24"/>
        </w:rPr>
        <w:t>FE-PA companies</w:t>
      </w:r>
      <w:r w:rsidR="0001155A">
        <w:rPr>
          <w:rFonts w:ascii="Arial" w:hAnsi="Arial" w:cs="Arial"/>
          <w:sz w:val="24"/>
          <w:szCs w:val="24"/>
        </w:rPr>
        <w:t xml:space="preserve"> </w:t>
      </w:r>
      <w:r w:rsidR="00007126">
        <w:rPr>
          <w:rFonts w:ascii="Arial" w:hAnsi="Arial" w:cs="Arial"/>
          <w:sz w:val="24"/>
          <w:szCs w:val="24"/>
        </w:rPr>
        <w:t xml:space="preserve">and not subject to our review. </w:t>
      </w:r>
      <w:r w:rsidR="00A56F02" w:rsidRPr="004B231E">
        <w:rPr>
          <w:rFonts w:ascii="Arial" w:hAnsi="Arial" w:cs="Arial"/>
          <w:sz w:val="24"/>
          <w:szCs w:val="24"/>
        </w:rPr>
        <w:t>Specific items of management effectiveness and operational efficiency may be investigated pursuant to Title 66 Pa. C.S. § 516(b).</w:t>
      </w:r>
    </w:p>
    <w:p w14:paraId="04582C4E" w14:textId="77777777" w:rsidR="00007126" w:rsidRDefault="00007126">
      <w:pPr>
        <w:spacing w:after="0" w:line="240" w:lineRule="auto"/>
        <w:ind w:firstLine="720"/>
        <w:rPr>
          <w:rFonts w:ascii="Arial" w:hAnsi="Arial" w:cs="Arial"/>
          <w:sz w:val="24"/>
          <w:szCs w:val="24"/>
        </w:rPr>
      </w:pPr>
    </w:p>
    <w:p w14:paraId="45A87145" w14:textId="77777777" w:rsidR="004C1777" w:rsidRDefault="004C1777">
      <w:pPr>
        <w:spacing w:after="0" w:line="240" w:lineRule="auto"/>
        <w:rPr>
          <w:rFonts w:ascii="Arial" w:hAnsi="Arial" w:cs="Arial"/>
          <w:b/>
          <w:sz w:val="24"/>
          <w:szCs w:val="24"/>
        </w:rPr>
      </w:pPr>
    </w:p>
    <w:p w14:paraId="6A0E4D99" w14:textId="77777777" w:rsidR="002F2AF9" w:rsidRDefault="002F2AF9">
      <w:pPr>
        <w:spacing w:after="0" w:line="240" w:lineRule="auto"/>
        <w:rPr>
          <w:rFonts w:ascii="Arial" w:hAnsi="Arial" w:cs="Arial"/>
          <w:b/>
          <w:sz w:val="24"/>
          <w:szCs w:val="24"/>
          <w:u w:val="single"/>
        </w:rPr>
      </w:pPr>
      <w:r>
        <w:rPr>
          <w:rFonts w:ascii="Arial" w:hAnsi="Arial" w:cs="Arial"/>
          <w:b/>
          <w:sz w:val="24"/>
          <w:szCs w:val="24"/>
        </w:rPr>
        <w:t xml:space="preserve">B.  </w:t>
      </w:r>
      <w:r>
        <w:rPr>
          <w:rFonts w:ascii="Arial" w:hAnsi="Arial" w:cs="Arial"/>
          <w:b/>
          <w:sz w:val="24"/>
          <w:szCs w:val="24"/>
          <w:u w:val="single"/>
        </w:rPr>
        <w:t>Objective and Scope</w:t>
      </w:r>
    </w:p>
    <w:p w14:paraId="41C3C5E4" w14:textId="77777777" w:rsidR="002F2AF9" w:rsidRDefault="002F2AF9">
      <w:pPr>
        <w:spacing w:after="0" w:line="240" w:lineRule="auto"/>
        <w:rPr>
          <w:rFonts w:ascii="Arial" w:hAnsi="Arial" w:cs="Arial"/>
          <w:b/>
          <w:sz w:val="24"/>
          <w:szCs w:val="24"/>
          <w:u w:val="single"/>
        </w:rPr>
      </w:pPr>
    </w:p>
    <w:p w14:paraId="0E8B9778" w14:textId="77777777" w:rsidR="002F2AF9" w:rsidRDefault="002F2AF9">
      <w:pPr>
        <w:spacing w:after="0" w:line="240" w:lineRule="auto"/>
        <w:rPr>
          <w:rFonts w:ascii="Arial" w:hAnsi="Arial" w:cs="Arial"/>
          <w:sz w:val="24"/>
          <w:szCs w:val="24"/>
        </w:rPr>
      </w:pPr>
      <w:r>
        <w:rPr>
          <w:rFonts w:ascii="Arial" w:hAnsi="Arial" w:cs="Arial"/>
          <w:sz w:val="24"/>
          <w:szCs w:val="24"/>
        </w:rPr>
        <w:tab/>
        <w:t xml:space="preserve">The objective of this MEI was to review and evaluate the effectiveness of </w:t>
      </w:r>
      <w:r w:rsidR="00C56CC7">
        <w:rPr>
          <w:rFonts w:ascii="Arial" w:hAnsi="Arial" w:cs="Arial"/>
          <w:sz w:val="24"/>
          <w:szCs w:val="24"/>
        </w:rPr>
        <w:t>the FE</w:t>
      </w:r>
      <w:r w:rsidR="00580C4D">
        <w:rPr>
          <w:rFonts w:ascii="Arial" w:hAnsi="Arial" w:cs="Arial"/>
          <w:sz w:val="24"/>
          <w:szCs w:val="24"/>
        </w:rPr>
        <w:noBreakHyphen/>
      </w:r>
      <w:r w:rsidR="00C56CC7">
        <w:rPr>
          <w:rFonts w:ascii="Arial" w:hAnsi="Arial" w:cs="Arial"/>
          <w:sz w:val="24"/>
          <w:szCs w:val="24"/>
        </w:rPr>
        <w:t xml:space="preserve">PA </w:t>
      </w:r>
      <w:r w:rsidR="00C91799">
        <w:rPr>
          <w:rFonts w:ascii="Arial" w:hAnsi="Arial" w:cs="Arial"/>
          <w:sz w:val="24"/>
          <w:szCs w:val="24"/>
        </w:rPr>
        <w:t>c</w:t>
      </w:r>
      <w:r w:rsidR="00C56CC7">
        <w:rPr>
          <w:rFonts w:ascii="Arial" w:hAnsi="Arial" w:cs="Arial"/>
          <w:sz w:val="24"/>
          <w:szCs w:val="24"/>
        </w:rPr>
        <w:t>ompanies’</w:t>
      </w:r>
      <w:r w:rsidR="006D6962">
        <w:rPr>
          <w:rFonts w:ascii="Arial" w:hAnsi="Arial" w:cs="Arial"/>
          <w:sz w:val="24"/>
          <w:szCs w:val="24"/>
        </w:rPr>
        <w:t xml:space="preserve"> </w:t>
      </w:r>
      <w:r>
        <w:rPr>
          <w:rFonts w:ascii="Arial" w:hAnsi="Arial" w:cs="Arial"/>
          <w:sz w:val="24"/>
          <w:szCs w:val="24"/>
        </w:rPr>
        <w:t xml:space="preserve">efforts to implement </w:t>
      </w:r>
      <w:r w:rsidR="00580C4D">
        <w:rPr>
          <w:rFonts w:ascii="Arial" w:hAnsi="Arial" w:cs="Arial"/>
          <w:sz w:val="24"/>
          <w:szCs w:val="24"/>
        </w:rPr>
        <w:t xml:space="preserve">certain </w:t>
      </w:r>
      <w:r>
        <w:rPr>
          <w:rFonts w:ascii="Arial" w:hAnsi="Arial" w:cs="Arial"/>
          <w:sz w:val="24"/>
          <w:szCs w:val="24"/>
        </w:rPr>
        <w:t xml:space="preserve">recommendations </w:t>
      </w:r>
      <w:r w:rsidR="00580C4D">
        <w:rPr>
          <w:rFonts w:ascii="Arial" w:hAnsi="Arial" w:cs="Arial"/>
          <w:sz w:val="24"/>
          <w:szCs w:val="24"/>
        </w:rPr>
        <w:t>included</w:t>
      </w:r>
      <w:r>
        <w:rPr>
          <w:rFonts w:ascii="Arial" w:hAnsi="Arial" w:cs="Arial"/>
          <w:sz w:val="24"/>
          <w:szCs w:val="24"/>
        </w:rPr>
        <w:t xml:space="preserve"> in the Management Audit released in </w:t>
      </w:r>
      <w:r w:rsidR="00C56CC7">
        <w:rPr>
          <w:rFonts w:ascii="Arial" w:hAnsi="Arial" w:cs="Arial"/>
          <w:sz w:val="24"/>
          <w:szCs w:val="24"/>
        </w:rPr>
        <w:t>November 2014</w:t>
      </w:r>
      <w:r w:rsidR="006D6962">
        <w:rPr>
          <w:rFonts w:ascii="Arial" w:hAnsi="Arial" w:cs="Arial"/>
          <w:sz w:val="24"/>
          <w:szCs w:val="24"/>
        </w:rPr>
        <w:t xml:space="preserve">.  </w:t>
      </w:r>
      <w:r>
        <w:rPr>
          <w:rFonts w:ascii="Arial" w:hAnsi="Arial" w:cs="Arial"/>
          <w:sz w:val="24"/>
          <w:szCs w:val="24"/>
        </w:rPr>
        <w:t xml:space="preserve">The scope of </w:t>
      </w:r>
      <w:r w:rsidR="00580C4D">
        <w:rPr>
          <w:rFonts w:ascii="Arial" w:hAnsi="Arial" w:cs="Arial"/>
          <w:sz w:val="24"/>
          <w:szCs w:val="24"/>
        </w:rPr>
        <w:t>this</w:t>
      </w:r>
      <w:r>
        <w:rPr>
          <w:rFonts w:ascii="Arial" w:hAnsi="Arial" w:cs="Arial"/>
          <w:sz w:val="24"/>
          <w:szCs w:val="24"/>
        </w:rPr>
        <w:t xml:space="preserve"> evaluation</w:t>
      </w:r>
      <w:r w:rsidR="00580C4D">
        <w:rPr>
          <w:rFonts w:ascii="Arial" w:hAnsi="Arial" w:cs="Arial"/>
          <w:sz w:val="24"/>
          <w:szCs w:val="24"/>
        </w:rPr>
        <w:t xml:space="preserve"> was limited to</w:t>
      </w:r>
      <w:r>
        <w:rPr>
          <w:rFonts w:ascii="Arial" w:hAnsi="Arial" w:cs="Arial"/>
          <w:sz w:val="24"/>
          <w:szCs w:val="24"/>
        </w:rPr>
        <w:t xml:space="preserve"> </w:t>
      </w:r>
      <w:r w:rsidR="00C56CC7">
        <w:rPr>
          <w:rFonts w:ascii="Arial" w:hAnsi="Arial" w:cs="Arial"/>
          <w:sz w:val="24"/>
          <w:szCs w:val="24"/>
        </w:rPr>
        <w:t xml:space="preserve">the FE-PA </w:t>
      </w:r>
      <w:r w:rsidR="00C91799">
        <w:rPr>
          <w:rFonts w:ascii="Arial" w:hAnsi="Arial" w:cs="Arial"/>
          <w:sz w:val="24"/>
          <w:szCs w:val="24"/>
        </w:rPr>
        <w:t>c</w:t>
      </w:r>
      <w:r w:rsidR="00C56CC7">
        <w:rPr>
          <w:rFonts w:ascii="Arial" w:hAnsi="Arial" w:cs="Arial"/>
          <w:sz w:val="24"/>
          <w:szCs w:val="24"/>
        </w:rPr>
        <w:t>ompanie</w:t>
      </w:r>
      <w:r w:rsidR="006D6962">
        <w:rPr>
          <w:rFonts w:ascii="Arial" w:hAnsi="Arial" w:cs="Arial"/>
          <w:sz w:val="24"/>
          <w:szCs w:val="24"/>
        </w:rPr>
        <w:t>s</w:t>
      </w:r>
      <w:r w:rsidR="00C56CC7">
        <w:rPr>
          <w:rFonts w:ascii="Arial" w:hAnsi="Arial" w:cs="Arial"/>
          <w:sz w:val="24"/>
          <w:szCs w:val="24"/>
        </w:rPr>
        <w:t>’</w:t>
      </w:r>
      <w:r w:rsidR="006D6962">
        <w:rPr>
          <w:rFonts w:ascii="Arial" w:hAnsi="Arial" w:cs="Arial"/>
          <w:sz w:val="24"/>
          <w:szCs w:val="24"/>
        </w:rPr>
        <w:t xml:space="preserve"> </w:t>
      </w:r>
      <w:r>
        <w:rPr>
          <w:rFonts w:ascii="Arial" w:hAnsi="Arial" w:cs="Arial"/>
          <w:sz w:val="24"/>
          <w:szCs w:val="24"/>
        </w:rPr>
        <w:t xml:space="preserve">efforts in implementing </w:t>
      </w:r>
      <w:r w:rsidR="00580C4D">
        <w:rPr>
          <w:rFonts w:ascii="Arial" w:hAnsi="Arial" w:cs="Arial"/>
          <w:sz w:val="24"/>
          <w:szCs w:val="24"/>
        </w:rPr>
        <w:t xml:space="preserve">the </w:t>
      </w:r>
      <w:r>
        <w:rPr>
          <w:rFonts w:ascii="Arial" w:hAnsi="Arial" w:cs="Arial"/>
          <w:sz w:val="24"/>
          <w:szCs w:val="24"/>
        </w:rPr>
        <w:t>prior management audit recommendations in the functional areas of:</w:t>
      </w:r>
    </w:p>
    <w:p w14:paraId="1C3E8FB1" w14:textId="77777777" w:rsidR="002F2AF9" w:rsidRDefault="002F2AF9">
      <w:pPr>
        <w:pStyle w:val="ListParagraph"/>
        <w:spacing w:after="0" w:line="240" w:lineRule="auto"/>
        <w:ind w:left="1080"/>
        <w:rPr>
          <w:rFonts w:ascii="Arial" w:hAnsi="Arial" w:cs="Arial"/>
          <w:sz w:val="24"/>
          <w:szCs w:val="24"/>
        </w:rPr>
      </w:pPr>
    </w:p>
    <w:p w14:paraId="271B3C83" w14:textId="77777777" w:rsidR="003946A1" w:rsidRDefault="003D7D27">
      <w:pPr>
        <w:pStyle w:val="ListParagraph"/>
        <w:numPr>
          <w:ilvl w:val="0"/>
          <w:numId w:val="2"/>
        </w:numPr>
        <w:spacing w:after="0" w:line="240" w:lineRule="auto"/>
        <w:ind w:left="1080"/>
        <w:rPr>
          <w:rFonts w:ascii="Arial" w:hAnsi="Arial" w:cs="Arial"/>
          <w:sz w:val="24"/>
          <w:szCs w:val="24"/>
        </w:rPr>
      </w:pPr>
      <w:r>
        <w:rPr>
          <w:rFonts w:ascii="Arial" w:hAnsi="Arial" w:cs="Arial"/>
          <w:sz w:val="24"/>
          <w:szCs w:val="24"/>
        </w:rPr>
        <w:t>Executive Management and Organizational Structure</w:t>
      </w:r>
    </w:p>
    <w:p w14:paraId="5AED44CE" w14:textId="77777777" w:rsidR="003D7D27" w:rsidRDefault="003D7D27">
      <w:pPr>
        <w:pStyle w:val="ListParagraph"/>
        <w:numPr>
          <w:ilvl w:val="0"/>
          <w:numId w:val="2"/>
        </w:numPr>
        <w:spacing w:after="0" w:line="240" w:lineRule="auto"/>
        <w:ind w:left="1080"/>
        <w:rPr>
          <w:rFonts w:ascii="Arial" w:hAnsi="Arial" w:cs="Arial"/>
          <w:sz w:val="24"/>
          <w:szCs w:val="24"/>
        </w:rPr>
      </w:pPr>
      <w:r>
        <w:rPr>
          <w:rFonts w:ascii="Arial" w:hAnsi="Arial" w:cs="Arial"/>
          <w:sz w:val="24"/>
          <w:szCs w:val="24"/>
        </w:rPr>
        <w:t>Corporate Governance</w:t>
      </w:r>
    </w:p>
    <w:p w14:paraId="5B757D28" w14:textId="77777777" w:rsidR="003D7D27" w:rsidRDefault="003D7D27">
      <w:pPr>
        <w:pStyle w:val="ListParagraph"/>
        <w:numPr>
          <w:ilvl w:val="0"/>
          <w:numId w:val="2"/>
        </w:numPr>
        <w:spacing w:after="0" w:line="240" w:lineRule="auto"/>
        <w:ind w:left="1080"/>
        <w:rPr>
          <w:rFonts w:ascii="Arial" w:hAnsi="Arial" w:cs="Arial"/>
          <w:sz w:val="24"/>
          <w:szCs w:val="24"/>
        </w:rPr>
      </w:pPr>
      <w:r>
        <w:rPr>
          <w:rFonts w:ascii="Arial" w:hAnsi="Arial" w:cs="Arial"/>
          <w:sz w:val="24"/>
          <w:szCs w:val="24"/>
        </w:rPr>
        <w:t>Affiliated Relationships and Cost Allocations</w:t>
      </w:r>
    </w:p>
    <w:p w14:paraId="454F5E11" w14:textId="77777777" w:rsidR="003D7D27" w:rsidRDefault="003D7D27">
      <w:pPr>
        <w:pStyle w:val="ListParagraph"/>
        <w:numPr>
          <w:ilvl w:val="0"/>
          <w:numId w:val="2"/>
        </w:numPr>
        <w:spacing w:after="0" w:line="240" w:lineRule="auto"/>
        <w:ind w:left="1080"/>
        <w:rPr>
          <w:rFonts w:ascii="Arial" w:hAnsi="Arial" w:cs="Arial"/>
          <w:sz w:val="24"/>
          <w:szCs w:val="24"/>
        </w:rPr>
      </w:pPr>
      <w:r>
        <w:rPr>
          <w:rFonts w:ascii="Arial" w:hAnsi="Arial" w:cs="Arial"/>
          <w:sz w:val="24"/>
          <w:szCs w:val="24"/>
        </w:rPr>
        <w:t>Financial Management</w:t>
      </w:r>
    </w:p>
    <w:p w14:paraId="10D899A8" w14:textId="77777777" w:rsidR="003D7D27" w:rsidRDefault="003D7D27" w:rsidP="003D7D27">
      <w:pPr>
        <w:pStyle w:val="ListParagraph"/>
        <w:numPr>
          <w:ilvl w:val="0"/>
          <w:numId w:val="2"/>
        </w:numPr>
        <w:spacing w:after="0" w:line="240" w:lineRule="auto"/>
        <w:ind w:left="1080"/>
        <w:rPr>
          <w:rFonts w:ascii="Arial" w:hAnsi="Arial" w:cs="Arial"/>
          <w:sz w:val="24"/>
          <w:szCs w:val="24"/>
        </w:rPr>
      </w:pPr>
      <w:r>
        <w:rPr>
          <w:rFonts w:ascii="Arial" w:hAnsi="Arial" w:cs="Arial"/>
          <w:sz w:val="24"/>
          <w:szCs w:val="24"/>
        </w:rPr>
        <w:t>Electric Operations</w:t>
      </w:r>
    </w:p>
    <w:p w14:paraId="608B6F96" w14:textId="77777777" w:rsidR="003D7D27" w:rsidRPr="003D7D27" w:rsidRDefault="003D7D27" w:rsidP="003D7D27">
      <w:pPr>
        <w:pStyle w:val="ListParagraph"/>
        <w:numPr>
          <w:ilvl w:val="0"/>
          <w:numId w:val="2"/>
        </w:numPr>
        <w:spacing w:after="0" w:line="240" w:lineRule="auto"/>
        <w:ind w:left="1080"/>
        <w:rPr>
          <w:rFonts w:ascii="Arial" w:hAnsi="Arial" w:cs="Arial"/>
          <w:sz w:val="24"/>
          <w:szCs w:val="24"/>
        </w:rPr>
      </w:pPr>
      <w:r>
        <w:rPr>
          <w:rFonts w:ascii="Arial" w:hAnsi="Arial" w:cs="Arial"/>
          <w:sz w:val="24"/>
          <w:szCs w:val="24"/>
        </w:rPr>
        <w:t>Materials Management</w:t>
      </w:r>
    </w:p>
    <w:p w14:paraId="6044B81D" w14:textId="77777777" w:rsidR="006D6962" w:rsidRDefault="00B621A1">
      <w:pPr>
        <w:pStyle w:val="ListParagraph"/>
        <w:numPr>
          <w:ilvl w:val="0"/>
          <w:numId w:val="2"/>
        </w:numPr>
        <w:spacing w:after="0" w:line="240" w:lineRule="auto"/>
        <w:ind w:left="1080"/>
        <w:rPr>
          <w:rFonts w:ascii="Arial" w:hAnsi="Arial" w:cs="Arial"/>
          <w:sz w:val="24"/>
          <w:szCs w:val="24"/>
        </w:rPr>
      </w:pPr>
      <w:r>
        <w:rPr>
          <w:rFonts w:ascii="Arial" w:hAnsi="Arial" w:cs="Arial"/>
          <w:sz w:val="24"/>
          <w:szCs w:val="24"/>
        </w:rPr>
        <w:t>Customer Service</w:t>
      </w:r>
    </w:p>
    <w:p w14:paraId="47581C95" w14:textId="77777777" w:rsidR="003D7D27" w:rsidRDefault="003D7D27">
      <w:pPr>
        <w:pStyle w:val="ListParagraph"/>
        <w:numPr>
          <w:ilvl w:val="0"/>
          <w:numId w:val="2"/>
        </w:numPr>
        <w:spacing w:after="0" w:line="240" w:lineRule="auto"/>
        <w:ind w:left="1080"/>
        <w:rPr>
          <w:rFonts w:ascii="Arial" w:hAnsi="Arial" w:cs="Arial"/>
          <w:sz w:val="24"/>
          <w:szCs w:val="24"/>
        </w:rPr>
      </w:pPr>
      <w:r>
        <w:rPr>
          <w:rFonts w:ascii="Arial" w:hAnsi="Arial" w:cs="Arial"/>
          <w:sz w:val="24"/>
          <w:szCs w:val="24"/>
        </w:rPr>
        <w:t>Human Resources</w:t>
      </w:r>
    </w:p>
    <w:p w14:paraId="1A4D5720" w14:textId="77777777" w:rsidR="003946A1" w:rsidRDefault="003D7D27">
      <w:pPr>
        <w:pStyle w:val="ListParagraph"/>
        <w:numPr>
          <w:ilvl w:val="0"/>
          <w:numId w:val="2"/>
        </w:numPr>
        <w:spacing w:after="0" w:line="240" w:lineRule="auto"/>
        <w:ind w:left="1080"/>
        <w:rPr>
          <w:rFonts w:ascii="Arial" w:hAnsi="Arial" w:cs="Arial"/>
          <w:sz w:val="24"/>
          <w:szCs w:val="24"/>
        </w:rPr>
      </w:pPr>
      <w:r>
        <w:rPr>
          <w:rFonts w:ascii="Arial" w:hAnsi="Arial" w:cs="Arial"/>
          <w:sz w:val="24"/>
          <w:szCs w:val="24"/>
        </w:rPr>
        <w:t>Fleet Management</w:t>
      </w:r>
    </w:p>
    <w:p w14:paraId="241415AF" w14:textId="77777777" w:rsidR="003D7D27" w:rsidRDefault="003D7D27">
      <w:pPr>
        <w:pStyle w:val="ListParagraph"/>
        <w:numPr>
          <w:ilvl w:val="0"/>
          <w:numId w:val="2"/>
        </w:numPr>
        <w:spacing w:after="0" w:line="240" w:lineRule="auto"/>
        <w:ind w:left="1080"/>
        <w:rPr>
          <w:rFonts w:ascii="Arial" w:hAnsi="Arial" w:cs="Arial"/>
          <w:sz w:val="24"/>
          <w:szCs w:val="24"/>
        </w:rPr>
      </w:pPr>
      <w:r>
        <w:rPr>
          <w:rFonts w:ascii="Arial" w:hAnsi="Arial" w:cs="Arial"/>
          <w:sz w:val="24"/>
          <w:szCs w:val="24"/>
        </w:rPr>
        <w:t>Facilities Management</w:t>
      </w:r>
    </w:p>
    <w:p w14:paraId="319090C0" w14:textId="77777777" w:rsidR="00DB7ED6" w:rsidRDefault="00DB7ED6">
      <w:pPr>
        <w:spacing w:after="0" w:line="240" w:lineRule="auto"/>
        <w:rPr>
          <w:rFonts w:ascii="Arial" w:hAnsi="Arial" w:cs="Arial"/>
          <w:sz w:val="24"/>
          <w:szCs w:val="24"/>
        </w:rPr>
      </w:pPr>
    </w:p>
    <w:p w14:paraId="120DD5BE" w14:textId="77777777" w:rsidR="00580C4D" w:rsidRPr="00AC73FC" w:rsidRDefault="00580C4D" w:rsidP="00AC73FC">
      <w:pPr>
        <w:spacing w:after="0" w:line="240" w:lineRule="auto"/>
        <w:ind w:firstLine="720"/>
        <w:rPr>
          <w:rFonts w:ascii="Arial" w:hAnsi="Arial" w:cs="Arial"/>
          <w:sz w:val="24"/>
          <w:szCs w:val="24"/>
        </w:rPr>
      </w:pPr>
      <w:r w:rsidRPr="00AC73FC">
        <w:rPr>
          <w:rFonts w:ascii="Arial" w:hAnsi="Arial" w:cs="Arial"/>
          <w:sz w:val="24"/>
          <w:szCs w:val="24"/>
        </w:rPr>
        <w:t xml:space="preserve">Additionally, the PUC auditors deemed it prudent to review </w:t>
      </w:r>
      <w:r>
        <w:rPr>
          <w:rFonts w:ascii="Arial" w:hAnsi="Arial" w:cs="Arial"/>
          <w:sz w:val="24"/>
          <w:szCs w:val="24"/>
        </w:rPr>
        <w:t xml:space="preserve">the FE-PA </w:t>
      </w:r>
      <w:r w:rsidR="00C91799">
        <w:rPr>
          <w:rFonts w:ascii="Arial" w:hAnsi="Arial" w:cs="Arial"/>
          <w:sz w:val="24"/>
          <w:szCs w:val="24"/>
        </w:rPr>
        <w:t>c</w:t>
      </w:r>
      <w:r>
        <w:rPr>
          <w:rFonts w:ascii="Arial" w:hAnsi="Arial" w:cs="Arial"/>
          <w:sz w:val="24"/>
          <w:szCs w:val="24"/>
        </w:rPr>
        <w:t>ompanies’</w:t>
      </w:r>
      <w:r w:rsidRPr="00AC73FC">
        <w:rPr>
          <w:rFonts w:ascii="Arial" w:hAnsi="Arial" w:cs="Arial"/>
          <w:sz w:val="24"/>
          <w:szCs w:val="24"/>
        </w:rPr>
        <w:t xml:space="preserve"> compliance with PUC regulations at 52 Pa. Code Chapter 101 regarding physical security, cyber security, emergency response, and business continuity plans.</w:t>
      </w:r>
    </w:p>
    <w:p w14:paraId="37CD9225" w14:textId="77777777" w:rsidR="003C7E56" w:rsidRDefault="003C7E56" w:rsidP="008A70A5">
      <w:pPr>
        <w:spacing w:line="240" w:lineRule="auto"/>
        <w:rPr>
          <w:rFonts w:ascii="Arial" w:hAnsi="Arial" w:cs="Arial"/>
          <w:b/>
          <w:sz w:val="24"/>
          <w:szCs w:val="24"/>
        </w:rPr>
      </w:pPr>
    </w:p>
    <w:p w14:paraId="646C7127" w14:textId="77777777" w:rsidR="002F2AF9" w:rsidRDefault="002F2AF9" w:rsidP="00DB7ED6">
      <w:pPr>
        <w:spacing w:after="0" w:line="240" w:lineRule="auto"/>
        <w:rPr>
          <w:rFonts w:ascii="Arial" w:hAnsi="Arial" w:cs="Arial"/>
          <w:b/>
          <w:sz w:val="24"/>
          <w:szCs w:val="24"/>
          <w:u w:val="single"/>
        </w:rPr>
      </w:pPr>
      <w:r>
        <w:rPr>
          <w:rFonts w:ascii="Arial" w:hAnsi="Arial" w:cs="Arial"/>
          <w:b/>
          <w:sz w:val="24"/>
          <w:szCs w:val="24"/>
        </w:rPr>
        <w:t xml:space="preserve">C.  </w:t>
      </w:r>
      <w:r>
        <w:rPr>
          <w:rFonts w:ascii="Arial" w:hAnsi="Arial" w:cs="Arial"/>
          <w:b/>
          <w:sz w:val="24"/>
          <w:szCs w:val="24"/>
          <w:u w:val="single"/>
        </w:rPr>
        <w:t>Approach</w:t>
      </w:r>
    </w:p>
    <w:p w14:paraId="2F3DCB99" w14:textId="77777777" w:rsidR="002F2AF9" w:rsidRDefault="002F2AF9" w:rsidP="00DB7ED6">
      <w:pPr>
        <w:spacing w:after="0" w:line="240" w:lineRule="auto"/>
        <w:rPr>
          <w:rFonts w:ascii="Arial" w:hAnsi="Arial" w:cs="Arial"/>
          <w:b/>
          <w:sz w:val="24"/>
          <w:szCs w:val="24"/>
          <w:u w:val="single"/>
        </w:rPr>
      </w:pPr>
    </w:p>
    <w:p w14:paraId="70B86BAB" w14:textId="77777777" w:rsidR="002F2AF9" w:rsidRDefault="002F2AF9">
      <w:pPr>
        <w:spacing w:after="0" w:line="240" w:lineRule="auto"/>
        <w:rPr>
          <w:rFonts w:ascii="Arial" w:hAnsi="Arial" w:cs="Arial"/>
          <w:sz w:val="24"/>
          <w:szCs w:val="24"/>
        </w:rPr>
      </w:pPr>
      <w:r>
        <w:rPr>
          <w:rFonts w:ascii="Arial" w:hAnsi="Arial" w:cs="Arial"/>
          <w:sz w:val="24"/>
          <w:szCs w:val="24"/>
        </w:rPr>
        <w:tab/>
      </w:r>
      <w:r w:rsidR="00C91799" w:rsidRPr="006E519A">
        <w:rPr>
          <w:rFonts w:ascii="Arial" w:hAnsi="Arial" w:cs="Arial"/>
          <w:sz w:val="24"/>
          <w:szCs w:val="24"/>
        </w:rPr>
        <w:t>The Management Audit Staff of the PUC’s Bureau of Audits (audit staff or auditors) began fieldwork on</w:t>
      </w:r>
      <w:r w:rsidR="00C91799">
        <w:rPr>
          <w:rFonts w:ascii="Arial" w:hAnsi="Arial" w:cs="Arial"/>
          <w:sz w:val="24"/>
          <w:szCs w:val="24"/>
        </w:rPr>
        <w:t xml:space="preserve"> </w:t>
      </w:r>
      <w:r w:rsidR="00C56CC7">
        <w:rPr>
          <w:rFonts w:ascii="Arial" w:hAnsi="Arial" w:cs="Arial"/>
          <w:sz w:val="24"/>
          <w:szCs w:val="24"/>
        </w:rPr>
        <w:t>November 15, 2017</w:t>
      </w:r>
      <w:r w:rsidR="00C91799">
        <w:rPr>
          <w:rFonts w:ascii="Arial" w:hAnsi="Arial" w:cs="Arial"/>
          <w:sz w:val="24"/>
          <w:szCs w:val="24"/>
        </w:rPr>
        <w:t>.  Fieldwork</w:t>
      </w:r>
      <w:r>
        <w:rPr>
          <w:rFonts w:ascii="Arial" w:hAnsi="Arial" w:cs="Arial"/>
          <w:sz w:val="24"/>
          <w:szCs w:val="24"/>
        </w:rPr>
        <w:t xml:space="preserve"> continued </w:t>
      </w:r>
      <w:r w:rsidR="00BF4777">
        <w:rPr>
          <w:rFonts w:ascii="Arial" w:hAnsi="Arial" w:cs="Arial"/>
          <w:sz w:val="24"/>
          <w:szCs w:val="24"/>
        </w:rPr>
        <w:t xml:space="preserve">intermittently </w:t>
      </w:r>
      <w:r>
        <w:rPr>
          <w:rFonts w:ascii="Arial" w:hAnsi="Arial" w:cs="Arial"/>
          <w:sz w:val="24"/>
          <w:szCs w:val="24"/>
        </w:rPr>
        <w:t xml:space="preserve">through </w:t>
      </w:r>
      <w:r w:rsidR="00C56CC7">
        <w:rPr>
          <w:rFonts w:ascii="Arial" w:hAnsi="Arial" w:cs="Arial"/>
          <w:sz w:val="24"/>
          <w:szCs w:val="24"/>
        </w:rPr>
        <w:t>April 12</w:t>
      </w:r>
      <w:r w:rsidR="00E7349F" w:rsidRPr="008603CB">
        <w:rPr>
          <w:rFonts w:ascii="Arial" w:hAnsi="Arial" w:cs="Arial"/>
          <w:sz w:val="24"/>
          <w:szCs w:val="24"/>
        </w:rPr>
        <w:t>, 201</w:t>
      </w:r>
      <w:r w:rsidR="00C56CC7">
        <w:rPr>
          <w:rFonts w:ascii="Arial" w:hAnsi="Arial" w:cs="Arial"/>
          <w:sz w:val="24"/>
          <w:szCs w:val="24"/>
        </w:rPr>
        <w:t>8</w:t>
      </w:r>
      <w:r w:rsidR="000A5EFF">
        <w:rPr>
          <w:rFonts w:ascii="Arial" w:hAnsi="Arial" w:cs="Arial"/>
          <w:sz w:val="24"/>
          <w:szCs w:val="24"/>
        </w:rPr>
        <w:t xml:space="preserve">.  </w:t>
      </w:r>
      <w:r>
        <w:rPr>
          <w:rFonts w:ascii="Arial" w:hAnsi="Arial" w:cs="Arial"/>
          <w:sz w:val="24"/>
          <w:szCs w:val="24"/>
        </w:rPr>
        <w:t xml:space="preserve">The fact gathering process included:  </w:t>
      </w:r>
    </w:p>
    <w:p w14:paraId="6E077D13" w14:textId="77777777" w:rsidR="002F2AF9" w:rsidRDefault="002F2AF9">
      <w:pPr>
        <w:spacing w:after="0" w:line="240" w:lineRule="auto"/>
        <w:rPr>
          <w:rFonts w:ascii="Arial" w:hAnsi="Arial" w:cs="Arial"/>
          <w:sz w:val="24"/>
          <w:szCs w:val="24"/>
        </w:rPr>
      </w:pPr>
    </w:p>
    <w:p w14:paraId="305628C8" w14:textId="77777777" w:rsidR="002F2AF9" w:rsidRDefault="002F2AF9">
      <w:pPr>
        <w:pStyle w:val="ListParagraph"/>
        <w:numPr>
          <w:ilvl w:val="0"/>
          <w:numId w:val="2"/>
        </w:numPr>
        <w:spacing w:after="0" w:line="240" w:lineRule="auto"/>
        <w:ind w:left="1080"/>
        <w:rPr>
          <w:rFonts w:ascii="Arial" w:hAnsi="Arial" w:cs="Arial"/>
          <w:sz w:val="24"/>
          <w:szCs w:val="24"/>
        </w:rPr>
      </w:pPr>
      <w:r>
        <w:rPr>
          <w:rFonts w:ascii="Arial" w:hAnsi="Arial" w:cs="Arial"/>
          <w:sz w:val="24"/>
          <w:szCs w:val="24"/>
        </w:rPr>
        <w:t xml:space="preserve">Interviews with </w:t>
      </w:r>
      <w:r w:rsidR="00C91799">
        <w:rPr>
          <w:rFonts w:ascii="Arial" w:hAnsi="Arial" w:cs="Arial"/>
          <w:sz w:val="24"/>
          <w:szCs w:val="24"/>
        </w:rPr>
        <w:t>c</w:t>
      </w:r>
      <w:r w:rsidR="00280678">
        <w:rPr>
          <w:rFonts w:ascii="Arial" w:hAnsi="Arial" w:cs="Arial"/>
          <w:sz w:val="24"/>
          <w:szCs w:val="24"/>
        </w:rPr>
        <w:t>ompanies’</w:t>
      </w:r>
      <w:r w:rsidR="003946A1">
        <w:rPr>
          <w:rFonts w:ascii="Arial" w:hAnsi="Arial" w:cs="Arial"/>
          <w:sz w:val="24"/>
          <w:szCs w:val="24"/>
        </w:rPr>
        <w:t xml:space="preserve"> </w:t>
      </w:r>
      <w:r>
        <w:rPr>
          <w:rFonts w:ascii="Arial" w:hAnsi="Arial" w:cs="Arial"/>
          <w:sz w:val="24"/>
          <w:szCs w:val="24"/>
        </w:rPr>
        <w:t>personnel</w:t>
      </w:r>
      <w:r w:rsidR="00C91799">
        <w:rPr>
          <w:rFonts w:ascii="Arial" w:hAnsi="Arial" w:cs="Arial"/>
          <w:sz w:val="24"/>
          <w:szCs w:val="24"/>
        </w:rPr>
        <w:t>;</w:t>
      </w:r>
      <w:r>
        <w:rPr>
          <w:rFonts w:ascii="Arial" w:hAnsi="Arial" w:cs="Arial"/>
          <w:sz w:val="24"/>
          <w:szCs w:val="24"/>
        </w:rPr>
        <w:t xml:space="preserve"> </w:t>
      </w:r>
    </w:p>
    <w:p w14:paraId="74674344" w14:textId="77777777" w:rsidR="002F2AF9" w:rsidRPr="00C03296" w:rsidRDefault="002F2AF9">
      <w:pPr>
        <w:spacing w:after="0" w:line="240" w:lineRule="auto"/>
        <w:rPr>
          <w:rFonts w:ascii="Arial" w:hAnsi="Arial" w:cs="Arial"/>
          <w:sz w:val="24"/>
          <w:szCs w:val="24"/>
        </w:rPr>
      </w:pPr>
      <w:r w:rsidRPr="00C03296">
        <w:rPr>
          <w:rFonts w:ascii="Arial" w:hAnsi="Arial" w:cs="Arial"/>
          <w:sz w:val="24"/>
          <w:szCs w:val="24"/>
        </w:rPr>
        <w:t xml:space="preserve"> </w:t>
      </w:r>
    </w:p>
    <w:p w14:paraId="388C73E6" w14:textId="77777777" w:rsidR="00C91799" w:rsidRDefault="00280678">
      <w:pPr>
        <w:pStyle w:val="ListParagraph"/>
        <w:numPr>
          <w:ilvl w:val="0"/>
          <w:numId w:val="2"/>
        </w:numPr>
        <w:spacing w:after="0" w:line="240" w:lineRule="auto"/>
        <w:ind w:left="1080"/>
        <w:rPr>
          <w:rFonts w:ascii="Arial" w:hAnsi="Arial" w:cs="Arial"/>
          <w:sz w:val="24"/>
          <w:szCs w:val="24"/>
        </w:rPr>
      </w:pPr>
      <w:r>
        <w:rPr>
          <w:rFonts w:ascii="Arial" w:hAnsi="Arial" w:cs="Arial"/>
          <w:sz w:val="24"/>
          <w:szCs w:val="24"/>
        </w:rPr>
        <w:t xml:space="preserve">Analysis of selected </w:t>
      </w:r>
      <w:r w:rsidR="002F2AF9">
        <w:rPr>
          <w:rFonts w:ascii="Arial" w:hAnsi="Arial" w:cs="Arial"/>
          <w:sz w:val="24"/>
          <w:szCs w:val="24"/>
        </w:rPr>
        <w:t xml:space="preserve">records, documents, reports, and other information for the period </w:t>
      </w:r>
      <w:r w:rsidR="00C56CC7">
        <w:rPr>
          <w:rFonts w:ascii="Arial" w:hAnsi="Arial" w:cs="Arial"/>
          <w:sz w:val="24"/>
          <w:szCs w:val="24"/>
        </w:rPr>
        <w:t>2013</w:t>
      </w:r>
      <w:r w:rsidR="000A5EFF">
        <w:rPr>
          <w:rFonts w:ascii="Arial" w:hAnsi="Arial" w:cs="Arial"/>
          <w:sz w:val="24"/>
          <w:szCs w:val="24"/>
        </w:rPr>
        <w:t xml:space="preserve"> through </w:t>
      </w:r>
      <w:r w:rsidR="00B36DAF">
        <w:rPr>
          <w:rFonts w:ascii="Arial" w:hAnsi="Arial" w:cs="Arial"/>
          <w:sz w:val="24"/>
          <w:szCs w:val="24"/>
        </w:rPr>
        <w:t>April 2018</w:t>
      </w:r>
      <w:r w:rsidR="00C91799">
        <w:rPr>
          <w:rFonts w:ascii="Arial" w:hAnsi="Arial" w:cs="Arial"/>
          <w:sz w:val="24"/>
          <w:szCs w:val="24"/>
        </w:rPr>
        <w:t>; and,</w:t>
      </w:r>
    </w:p>
    <w:p w14:paraId="7F47237B" w14:textId="77777777" w:rsidR="00C91799" w:rsidRPr="006E519A" w:rsidRDefault="00C91799" w:rsidP="006E519A">
      <w:pPr>
        <w:pStyle w:val="ListParagraph"/>
        <w:rPr>
          <w:rFonts w:ascii="Arial" w:hAnsi="Arial" w:cs="Arial"/>
          <w:sz w:val="24"/>
          <w:szCs w:val="24"/>
        </w:rPr>
      </w:pPr>
    </w:p>
    <w:p w14:paraId="67291939" w14:textId="77777777" w:rsidR="00C91799" w:rsidRPr="00C91799" w:rsidRDefault="00C91799" w:rsidP="006E519A">
      <w:pPr>
        <w:pStyle w:val="ListParagraph"/>
        <w:numPr>
          <w:ilvl w:val="0"/>
          <w:numId w:val="2"/>
        </w:numPr>
        <w:spacing w:after="0" w:line="240" w:lineRule="auto"/>
        <w:ind w:left="1080"/>
        <w:rPr>
          <w:rFonts w:ascii="Arial" w:hAnsi="Arial" w:cs="Arial"/>
          <w:sz w:val="24"/>
          <w:szCs w:val="24"/>
        </w:rPr>
      </w:pPr>
      <w:r w:rsidRPr="006E519A">
        <w:rPr>
          <w:rFonts w:ascii="Arial" w:hAnsi="Arial" w:cs="Arial"/>
          <w:sz w:val="24"/>
          <w:szCs w:val="24"/>
        </w:rPr>
        <w:t>Visits to selected company facilities.</w:t>
      </w:r>
    </w:p>
    <w:p w14:paraId="2EB97D25" w14:textId="77777777" w:rsidR="002F2AF9" w:rsidRPr="00D454DB" w:rsidRDefault="002F2AF9">
      <w:pPr>
        <w:spacing w:after="0" w:line="240" w:lineRule="auto"/>
        <w:rPr>
          <w:rFonts w:ascii="Arial" w:hAnsi="Arial" w:cs="Arial"/>
          <w:sz w:val="24"/>
          <w:szCs w:val="24"/>
        </w:rPr>
      </w:pPr>
    </w:p>
    <w:p w14:paraId="1D02BB53" w14:textId="77777777" w:rsidR="002F2AF9" w:rsidRPr="008D7A89" w:rsidRDefault="002F2AF9" w:rsidP="00062185">
      <w:pPr>
        <w:spacing w:after="0" w:line="240" w:lineRule="auto"/>
        <w:contextualSpacing/>
        <w:jc w:val="center"/>
        <w:rPr>
          <w:rFonts w:ascii="Arial" w:hAnsi="Arial" w:cs="Arial"/>
          <w:b/>
          <w:sz w:val="26"/>
          <w:szCs w:val="26"/>
        </w:rPr>
      </w:pPr>
      <w:r w:rsidRPr="008D7A89">
        <w:rPr>
          <w:rFonts w:ascii="Arial" w:hAnsi="Arial" w:cs="Arial"/>
          <w:b/>
          <w:sz w:val="26"/>
          <w:szCs w:val="26"/>
        </w:rPr>
        <w:t>II. SUMMARY OF MANAGEMENT EFFECTIVENESS</w:t>
      </w:r>
    </w:p>
    <w:p w14:paraId="0CD9328D" w14:textId="77777777" w:rsidR="002F2AF9" w:rsidRPr="00E019FF" w:rsidRDefault="002F2AF9" w:rsidP="00062185">
      <w:pPr>
        <w:spacing w:after="0" w:line="240" w:lineRule="auto"/>
        <w:contextualSpacing/>
        <w:jc w:val="center"/>
        <w:rPr>
          <w:rFonts w:ascii="Arial" w:hAnsi="Arial" w:cs="Arial"/>
          <w:sz w:val="26"/>
          <w:szCs w:val="26"/>
        </w:rPr>
      </w:pPr>
      <w:r w:rsidRPr="008D7A89">
        <w:rPr>
          <w:rFonts w:ascii="Arial" w:hAnsi="Arial" w:cs="Arial"/>
          <w:b/>
          <w:sz w:val="26"/>
          <w:szCs w:val="26"/>
        </w:rPr>
        <w:t>AND OPERATIONAL EFFICIENCY</w:t>
      </w:r>
    </w:p>
    <w:p w14:paraId="03750512" w14:textId="77777777" w:rsidR="002F2AF9" w:rsidRDefault="002F2AF9" w:rsidP="00062185">
      <w:pPr>
        <w:spacing w:after="0" w:line="240" w:lineRule="auto"/>
        <w:contextualSpacing/>
        <w:rPr>
          <w:rFonts w:ascii="Arial" w:hAnsi="Arial" w:cs="Arial"/>
          <w:sz w:val="24"/>
          <w:szCs w:val="24"/>
        </w:rPr>
      </w:pPr>
    </w:p>
    <w:p w14:paraId="3B503FB5" w14:textId="77777777" w:rsidR="00062185" w:rsidRDefault="00062185" w:rsidP="00062185">
      <w:pPr>
        <w:spacing w:after="0" w:line="240" w:lineRule="auto"/>
        <w:contextualSpacing/>
        <w:rPr>
          <w:rFonts w:ascii="Arial" w:hAnsi="Arial" w:cs="Arial"/>
          <w:sz w:val="24"/>
          <w:szCs w:val="24"/>
        </w:rPr>
      </w:pPr>
    </w:p>
    <w:p w14:paraId="10A8D720" w14:textId="229A329B" w:rsidR="002F2AF9" w:rsidRDefault="002F2AF9" w:rsidP="00062185">
      <w:pPr>
        <w:spacing w:after="0" w:line="240" w:lineRule="auto"/>
        <w:contextualSpacing/>
        <w:rPr>
          <w:rFonts w:ascii="Arial" w:hAnsi="Arial" w:cs="Arial"/>
          <w:sz w:val="24"/>
          <w:szCs w:val="24"/>
        </w:rPr>
      </w:pPr>
      <w:r>
        <w:rPr>
          <w:rFonts w:ascii="Arial" w:hAnsi="Arial" w:cs="Arial"/>
          <w:sz w:val="24"/>
          <w:szCs w:val="24"/>
        </w:rPr>
        <w:tab/>
      </w:r>
      <w:r w:rsidR="00CD2762">
        <w:rPr>
          <w:rFonts w:ascii="Arial" w:hAnsi="Arial" w:cs="Arial"/>
          <w:sz w:val="24"/>
          <w:szCs w:val="24"/>
        </w:rPr>
        <w:t xml:space="preserve">The </w:t>
      </w:r>
      <w:r w:rsidR="009B0D96">
        <w:rPr>
          <w:rFonts w:ascii="Arial" w:hAnsi="Arial" w:cs="Arial"/>
          <w:sz w:val="24"/>
          <w:szCs w:val="24"/>
        </w:rPr>
        <w:t xml:space="preserve">PUC </w:t>
      </w:r>
      <w:r w:rsidR="00CD2762">
        <w:rPr>
          <w:rFonts w:ascii="Arial" w:hAnsi="Arial" w:cs="Arial"/>
          <w:sz w:val="24"/>
          <w:szCs w:val="24"/>
        </w:rPr>
        <w:t>a</w:t>
      </w:r>
      <w:r w:rsidR="00D075D0">
        <w:rPr>
          <w:rFonts w:ascii="Arial" w:hAnsi="Arial" w:cs="Arial"/>
          <w:sz w:val="24"/>
          <w:szCs w:val="24"/>
        </w:rPr>
        <w:t>uditors</w:t>
      </w:r>
      <w:r w:rsidR="003D7D27">
        <w:rPr>
          <w:rFonts w:ascii="Arial" w:hAnsi="Arial" w:cs="Arial"/>
          <w:sz w:val="24"/>
          <w:szCs w:val="24"/>
        </w:rPr>
        <w:t xml:space="preserve"> found that the FE-PA </w:t>
      </w:r>
      <w:r w:rsidR="00C91799">
        <w:rPr>
          <w:rFonts w:ascii="Arial" w:hAnsi="Arial" w:cs="Arial"/>
          <w:sz w:val="24"/>
          <w:szCs w:val="24"/>
        </w:rPr>
        <w:t>c</w:t>
      </w:r>
      <w:r w:rsidR="003D7D27">
        <w:rPr>
          <w:rFonts w:ascii="Arial" w:hAnsi="Arial" w:cs="Arial"/>
          <w:sz w:val="24"/>
          <w:szCs w:val="24"/>
        </w:rPr>
        <w:t>ompanies</w:t>
      </w:r>
      <w:r w:rsidR="003946A1">
        <w:rPr>
          <w:rFonts w:ascii="Arial" w:hAnsi="Arial" w:cs="Arial"/>
          <w:sz w:val="24"/>
          <w:szCs w:val="24"/>
        </w:rPr>
        <w:t xml:space="preserve"> </w:t>
      </w:r>
      <w:r w:rsidR="003D7D27">
        <w:rPr>
          <w:rFonts w:ascii="Arial" w:hAnsi="Arial" w:cs="Arial"/>
          <w:sz w:val="24"/>
          <w:szCs w:val="24"/>
        </w:rPr>
        <w:t>have</w:t>
      </w:r>
      <w:r w:rsidRPr="00AB1E05">
        <w:rPr>
          <w:rFonts w:ascii="Arial" w:hAnsi="Arial" w:cs="Arial"/>
          <w:sz w:val="24"/>
          <w:szCs w:val="24"/>
        </w:rPr>
        <w:t xml:space="preserve"> </w:t>
      </w:r>
      <w:r w:rsidR="009B0D96">
        <w:rPr>
          <w:rFonts w:ascii="Arial" w:hAnsi="Arial" w:cs="Arial"/>
          <w:sz w:val="24"/>
          <w:szCs w:val="24"/>
        </w:rPr>
        <w:t>implemented</w:t>
      </w:r>
      <w:r w:rsidRPr="00AB1E05">
        <w:rPr>
          <w:rFonts w:ascii="Arial" w:hAnsi="Arial" w:cs="Arial"/>
          <w:sz w:val="24"/>
          <w:szCs w:val="24"/>
        </w:rPr>
        <w:t xml:space="preserve"> or substantially </w:t>
      </w:r>
      <w:r w:rsidRPr="00A07548">
        <w:rPr>
          <w:rFonts w:ascii="Arial" w:hAnsi="Arial" w:cs="Arial"/>
          <w:sz w:val="24"/>
          <w:szCs w:val="24"/>
        </w:rPr>
        <w:t xml:space="preserve">implemented </w:t>
      </w:r>
      <w:r w:rsidR="009B0D96" w:rsidRPr="00807EBA">
        <w:rPr>
          <w:rFonts w:ascii="Arial" w:hAnsi="Arial" w:cs="Arial"/>
          <w:sz w:val="24"/>
          <w:szCs w:val="24"/>
        </w:rPr>
        <w:t>1</w:t>
      </w:r>
      <w:r w:rsidR="00807EBA" w:rsidRPr="00807EBA">
        <w:rPr>
          <w:rFonts w:ascii="Arial" w:hAnsi="Arial" w:cs="Arial"/>
          <w:sz w:val="24"/>
          <w:szCs w:val="24"/>
        </w:rPr>
        <w:t>3</w:t>
      </w:r>
      <w:r w:rsidR="00076F38" w:rsidRPr="00807EBA">
        <w:rPr>
          <w:rFonts w:ascii="Arial" w:hAnsi="Arial" w:cs="Arial"/>
          <w:sz w:val="24"/>
          <w:szCs w:val="24"/>
        </w:rPr>
        <w:t xml:space="preserve"> </w:t>
      </w:r>
      <w:r w:rsidRPr="00807EBA">
        <w:rPr>
          <w:rFonts w:ascii="Arial" w:hAnsi="Arial" w:cs="Arial"/>
          <w:sz w:val="24"/>
          <w:szCs w:val="24"/>
        </w:rPr>
        <w:t xml:space="preserve">of the </w:t>
      </w:r>
      <w:r w:rsidR="009B0D96" w:rsidRPr="00807EBA">
        <w:rPr>
          <w:rFonts w:ascii="Arial" w:hAnsi="Arial" w:cs="Arial"/>
          <w:sz w:val="24"/>
          <w:szCs w:val="24"/>
        </w:rPr>
        <w:t>2</w:t>
      </w:r>
      <w:r w:rsidR="00807EBA" w:rsidRPr="00807EBA">
        <w:rPr>
          <w:rFonts w:ascii="Arial" w:hAnsi="Arial" w:cs="Arial"/>
          <w:sz w:val="24"/>
          <w:szCs w:val="24"/>
        </w:rPr>
        <w:t>7</w:t>
      </w:r>
      <w:r w:rsidRPr="00A07548">
        <w:rPr>
          <w:rFonts w:ascii="Arial" w:hAnsi="Arial" w:cs="Arial"/>
          <w:sz w:val="24"/>
          <w:szCs w:val="24"/>
        </w:rPr>
        <w:t xml:space="preserve"> prior Management Audit recommendations reviewed</w:t>
      </w:r>
      <w:r w:rsidR="00353BDE" w:rsidRPr="00A07548">
        <w:rPr>
          <w:rFonts w:ascii="Arial" w:hAnsi="Arial" w:cs="Arial"/>
          <w:sz w:val="24"/>
          <w:szCs w:val="24"/>
        </w:rPr>
        <w:t xml:space="preserve"> and </w:t>
      </w:r>
      <w:r w:rsidR="00347614">
        <w:rPr>
          <w:rFonts w:ascii="Arial" w:hAnsi="Arial" w:cs="Arial"/>
          <w:sz w:val="24"/>
          <w:szCs w:val="24"/>
        </w:rPr>
        <w:t>have</w:t>
      </w:r>
      <w:r w:rsidRPr="00A07548">
        <w:rPr>
          <w:rFonts w:ascii="Arial" w:hAnsi="Arial" w:cs="Arial"/>
          <w:sz w:val="24"/>
          <w:szCs w:val="24"/>
        </w:rPr>
        <w:t xml:space="preserve"> taken some action on </w:t>
      </w:r>
      <w:r w:rsidR="00353BDE" w:rsidRPr="00A07548">
        <w:rPr>
          <w:rFonts w:ascii="Arial" w:hAnsi="Arial" w:cs="Arial"/>
          <w:sz w:val="24"/>
          <w:szCs w:val="24"/>
        </w:rPr>
        <w:t xml:space="preserve">the remaining </w:t>
      </w:r>
      <w:r w:rsidR="009B0D96">
        <w:rPr>
          <w:rFonts w:ascii="Arial" w:hAnsi="Arial" w:cs="Arial"/>
          <w:sz w:val="24"/>
          <w:szCs w:val="24"/>
        </w:rPr>
        <w:t>14</w:t>
      </w:r>
      <w:r w:rsidR="00062185" w:rsidRPr="00062185">
        <w:rPr>
          <w:rFonts w:ascii="Arial" w:hAnsi="Arial" w:cs="Arial"/>
          <w:sz w:val="24"/>
          <w:szCs w:val="24"/>
        </w:rPr>
        <w:t xml:space="preserve"> </w:t>
      </w:r>
      <w:r w:rsidRPr="00062185">
        <w:rPr>
          <w:rFonts w:ascii="Arial" w:hAnsi="Arial" w:cs="Arial"/>
          <w:sz w:val="24"/>
          <w:szCs w:val="24"/>
        </w:rPr>
        <w:t>recommendation</w:t>
      </w:r>
      <w:r w:rsidR="00546512" w:rsidRPr="00062185">
        <w:rPr>
          <w:rFonts w:ascii="Arial" w:hAnsi="Arial" w:cs="Arial"/>
          <w:sz w:val="24"/>
          <w:szCs w:val="24"/>
        </w:rPr>
        <w:t>s</w:t>
      </w:r>
      <w:r w:rsidR="00353BDE">
        <w:rPr>
          <w:rFonts w:ascii="Arial" w:hAnsi="Arial" w:cs="Arial"/>
          <w:sz w:val="24"/>
          <w:szCs w:val="24"/>
        </w:rPr>
        <w:t xml:space="preserve">.  </w:t>
      </w:r>
      <w:r w:rsidRPr="00AB1E05">
        <w:rPr>
          <w:rFonts w:ascii="Arial" w:hAnsi="Arial" w:cs="Arial"/>
          <w:sz w:val="24"/>
          <w:szCs w:val="24"/>
        </w:rPr>
        <w:t>Among the more notable improvements are</w:t>
      </w:r>
      <w:r>
        <w:rPr>
          <w:rFonts w:ascii="Arial" w:hAnsi="Arial" w:cs="Arial"/>
          <w:sz w:val="24"/>
          <w:szCs w:val="24"/>
        </w:rPr>
        <w:t>:</w:t>
      </w:r>
    </w:p>
    <w:p w14:paraId="3851AE55" w14:textId="77777777" w:rsidR="008A7FD2" w:rsidRPr="008A7FD2" w:rsidRDefault="008A7FD2" w:rsidP="00062185">
      <w:pPr>
        <w:pStyle w:val="ListParagraph"/>
        <w:spacing w:after="0" w:line="240" w:lineRule="auto"/>
        <w:ind w:left="1080"/>
        <w:rPr>
          <w:rFonts w:ascii="Arial" w:hAnsi="Arial" w:cs="Arial"/>
          <w:sz w:val="24"/>
          <w:szCs w:val="24"/>
        </w:rPr>
      </w:pPr>
    </w:p>
    <w:p w14:paraId="3099C633" w14:textId="77777777" w:rsidR="00C96918" w:rsidRPr="00F04046" w:rsidRDefault="00F04046" w:rsidP="00062185">
      <w:pPr>
        <w:pStyle w:val="ListParagraph"/>
        <w:numPr>
          <w:ilvl w:val="0"/>
          <w:numId w:val="4"/>
        </w:numPr>
        <w:spacing w:after="0" w:line="240" w:lineRule="auto"/>
        <w:ind w:left="1080"/>
        <w:rPr>
          <w:rFonts w:ascii="Arial" w:hAnsi="Arial" w:cs="Arial"/>
          <w:sz w:val="24"/>
          <w:szCs w:val="24"/>
        </w:rPr>
      </w:pPr>
      <w:r w:rsidRPr="00F04046">
        <w:rPr>
          <w:rFonts w:ascii="Arial" w:hAnsi="Arial" w:cs="Arial"/>
          <w:sz w:val="24"/>
          <w:szCs w:val="24"/>
        </w:rPr>
        <w:t>Periodically rebid</w:t>
      </w:r>
      <w:r>
        <w:rPr>
          <w:rFonts w:ascii="Arial" w:hAnsi="Arial" w:cs="Arial"/>
          <w:sz w:val="24"/>
          <w:szCs w:val="24"/>
        </w:rPr>
        <w:t>ding</w:t>
      </w:r>
      <w:r w:rsidRPr="00F04046">
        <w:rPr>
          <w:rFonts w:ascii="Arial" w:hAnsi="Arial" w:cs="Arial"/>
          <w:sz w:val="24"/>
          <w:szCs w:val="24"/>
        </w:rPr>
        <w:t xml:space="preserve"> and/or conduct</w:t>
      </w:r>
      <w:r>
        <w:rPr>
          <w:rFonts w:ascii="Arial" w:hAnsi="Arial" w:cs="Arial"/>
          <w:sz w:val="24"/>
          <w:szCs w:val="24"/>
        </w:rPr>
        <w:t>ing</w:t>
      </w:r>
      <w:r w:rsidRPr="00F04046">
        <w:rPr>
          <w:rFonts w:ascii="Arial" w:hAnsi="Arial" w:cs="Arial"/>
          <w:sz w:val="24"/>
          <w:szCs w:val="24"/>
        </w:rPr>
        <w:t xml:space="preserve"> cost comparisons for external audit services</w:t>
      </w:r>
      <w:r w:rsidR="0000202F">
        <w:rPr>
          <w:rFonts w:ascii="Arial" w:hAnsi="Arial" w:cs="Arial"/>
          <w:sz w:val="24"/>
          <w:szCs w:val="24"/>
        </w:rPr>
        <w:t xml:space="preserve"> </w:t>
      </w:r>
      <w:r w:rsidR="008F3EEF">
        <w:rPr>
          <w:rFonts w:ascii="Arial" w:hAnsi="Arial" w:cs="Arial"/>
          <w:sz w:val="24"/>
          <w:szCs w:val="24"/>
        </w:rPr>
        <w:t>resulted in an approximate $331,000 reduction in audit fees</w:t>
      </w:r>
      <w:r w:rsidRPr="00F04046">
        <w:rPr>
          <w:rFonts w:ascii="Arial" w:hAnsi="Arial" w:cs="Arial"/>
          <w:sz w:val="24"/>
          <w:szCs w:val="24"/>
        </w:rPr>
        <w:t>.</w:t>
      </w:r>
    </w:p>
    <w:p w14:paraId="16556BC5" w14:textId="77777777" w:rsidR="00C96918" w:rsidRPr="00F04046" w:rsidRDefault="00F04046" w:rsidP="00062185">
      <w:pPr>
        <w:pStyle w:val="ListParagraph"/>
        <w:numPr>
          <w:ilvl w:val="0"/>
          <w:numId w:val="4"/>
        </w:numPr>
        <w:spacing w:after="0" w:line="240" w:lineRule="auto"/>
        <w:ind w:left="1080"/>
        <w:rPr>
          <w:rFonts w:ascii="Arial" w:hAnsi="Arial" w:cs="Arial"/>
          <w:sz w:val="24"/>
          <w:szCs w:val="24"/>
        </w:rPr>
      </w:pPr>
      <w:r>
        <w:rPr>
          <w:rFonts w:ascii="Arial" w:hAnsi="Arial" w:cs="Arial"/>
          <w:sz w:val="24"/>
          <w:szCs w:val="24"/>
        </w:rPr>
        <w:t xml:space="preserve">Conducting internal audits of </w:t>
      </w:r>
      <w:r w:rsidR="00C27199">
        <w:rPr>
          <w:rFonts w:ascii="Arial" w:hAnsi="Arial" w:cs="Arial"/>
          <w:sz w:val="24"/>
          <w:szCs w:val="24"/>
        </w:rPr>
        <w:t xml:space="preserve">affiliate transactions and </w:t>
      </w:r>
      <w:r>
        <w:rPr>
          <w:rFonts w:ascii="Arial" w:hAnsi="Arial" w:cs="Arial"/>
          <w:sz w:val="24"/>
          <w:szCs w:val="24"/>
        </w:rPr>
        <w:t xml:space="preserve">cost allocations </w:t>
      </w:r>
      <w:r w:rsidRPr="00F04046">
        <w:rPr>
          <w:rFonts w:ascii="Arial" w:hAnsi="Arial" w:cs="Arial"/>
          <w:sz w:val="24"/>
          <w:szCs w:val="24"/>
        </w:rPr>
        <w:t>at least every three years.</w:t>
      </w:r>
    </w:p>
    <w:p w14:paraId="661424DA" w14:textId="77777777" w:rsidR="00C96918" w:rsidRPr="008F3EEF" w:rsidRDefault="00C820E8" w:rsidP="00DB7ED6">
      <w:pPr>
        <w:pStyle w:val="ListParagraph"/>
        <w:numPr>
          <w:ilvl w:val="0"/>
          <w:numId w:val="4"/>
        </w:numPr>
        <w:spacing w:after="0" w:line="240" w:lineRule="auto"/>
        <w:ind w:left="1080"/>
        <w:rPr>
          <w:rFonts w:ascii="Arial" w:eastAsia="Times New Roman" w:hAnsi="Arial" w:cs="Times New Roman"/>
          <w:sz w:val="24"/>
          <w:szCs w:val="20"/>
        </w:rPr>
      </w:pPr>
      <w:r>
        <w:rPr>
          <w:rFonts w:ascii="Arial" w:eastAsia="Times New Roman" w:hAnsi="Arial" w:cs="Arial"/>
          <w:sz w:val="24"/>
          <w:szCs w:val="20"/>
        </w:rPr>
        <w:t xml:space="preserve">Establishing a written </w:t>
      </w:r>
      <w:r w:rsidR="0008755D" w:rsidRPr="0008755D">
        <w:rPr>
          <w:rFonts w:ascii="Arial" w:eastAsia="Times New Roman" w:hAnsi="Arial" w:cs="Arial"/>
          <w:sz w:val="24"/>
          <w:szCs w:val="20"/>
        </w:rPr>
        <w:t>divi</w:t>
      </w:r>
      <w:r w:rsidR="009661B5">
        <w:rPr>
          <w:rFonts w:ascii="Arial" w:eastAsia="Times New Roman" w:hAnsi="Arial" w:cs="Arial"/>
          <w:sz w:val="24"/>
          <w:szCs w:val="20"/>
        </w:rPr>
        <w:t>dend policy</w:t>
      </w:r>
      <w:r w:rsidR="0008755D">
        <w:rPr>
          <w:rFonts w:ascii="Arial" w:eastAsia="Times New Roman" w:hAnsi="Arial" w:cs="Arial"/>
          <w:sz w:val="24"/>
          <w:szCs w:val="20"/>
        </w:rPr>
        <w:t>.</w:t>
      </w:r>
    </w:p>
    <w:p w14:paraId="2DD6B98E" w14:textId="77777777" w:rsidR="008F3EEF" w:rsidRPr="00450CEC" w:rsidRDefault="000356D0" w:rsidP="008F3EEF">
      <w:pPr>
        <w:pStyle w:val="ListParagraph"/>
        <w:numPr>
          <w:ilvl w:val="0"/>
          <w:numId w:val="4"/>
        </w:numPr>
        <w:spacing w:after="0" w:line="240" w:lineRule="auto"/>
        <w:ind w:left="1080"/>
        <w:rPr>
          <w:rFonts w:ascii="Arial" w:eastAsia="Times New Roman" w:hAnsi="Arial" w:cs="Times New Roman"/>
          <w:sz w:val="24"/>
          <w:szCs w:val="20"/>
        </w:rPr>
      </w:pPr>
      <w:r>
        <w:rPr>
          <w:rFonts w:ascii="Arial" w:eastAsia="Times New Roman" w:hAnsi="Arial" w:cs="Times New Roman"/>
          <w:sz w:val="24"/>
          <w:szCs w:val="20"/>
        </w:rPr>
        <w:t>Increased</w:t>
      </w:r>
      <w:r w:rsidR="008F3EEF">
        <w:rPr>
          <w:rFonts w:ascii="Arial" w:eastAsia="Times New Roman" w:hAnsi="Arial" w:cs="Times New Roman"/>
          <w:sz w:val="24"/>
          <w:szCs w:val="20"/>
        </w:rPr>
        <w:t xml:space="preserve"> inventory turnover that led to one-time savings of approximately </w:t>
      </w:r>
      <w:r w:rsidR="0000202F">
        <w:rPr>
          <w:rFonts w:ascii="Arial" w:eastAsia="Times New Roman" w:hAnsi="Arial" w:cs="Times New Roman"/>
          <w:sz w:val="24"/>
          <w:szCs w:val="20"/>
        </w:rPr>
        <w:t xml:space="preserve">$13.4 million in reduced inventory and </w:t>
      </w:r>
      <w:r w:rsidR="008F3EEF">
        <w:rPr>
          <w:rFonts w:ascii="Arial" w:eastAsia="Times New Roman" w:hAnsi="Arial" w:cs="Times New Roman"/>
          <w:sz w:val="24"/>
          <w:szCs w:val="20"/>
        </w:rPr>
        <w:t xml:space="preserve">annual savings </w:t>
      </w:r>
      <w:r w:rsidR="0000202F">
        <w:rPr>
          <w:rFonts w:ascii="Arial" w:eastAsia="Times New Roman" w:hAnsi="Arial" w:cs="Times New Roman"/>
          <w:sz w:val="24"/>
          <w:szCs w:val="20"/>
        </w:rPr>
        <w:t xml:space="preserve">from reduced carrying costs of approximately $1.34 million for the </w:t>
      </w:r>
      <w:r w:rsidR="00DC3D9B">
        <w:rPr>
          <w:rFonts w:ascii="Arial" w:eastAsia="Times New Roman" w:hAnsi="Arial" w:cs="Times New Roman"/>
          <w:sz w:val="24"/>
          <w:szCs w:val="20"/>
        </w:rPr>
        <w:t>FE-PA companies</w:t>
      </w:r>
      <w:r w:rsidR="0000202F">
        <w:rPr>
          <w:rFonts w:ascii="Arial" w:eastAsia="Times New Roman" w:hAnsi="Arial" w:cs="Times New Roman"/>
          <w:sz w:val="24"/>
          <w:szCs w:val="20"/>
        </w:rPr>
        <w:t xml:space="preserve"> combined</w:t>
      </w:r>
      <w:r w:rsidR="008F3EEF">
        <w:rPr>
          <w:rFonts w:ascii="Arial" w:eastAsia="Times New Roman" w:hAnsi="Arial" w:cs="Times New Roman"/>
          <w:sz w:val="24"/>
          <w:szCs w:val="20"/>
        </w:rPr>
        <w:t>.</w:t>
      </w:r>
    </w:p>
    <w:p w14:paraId="219947D1" w14:textId="77777777" w:rsidR="00C96918" w:rsidRPr="007B0F7D" w:rsidRDefault="000356D0">
      <w:pPr>
        <w:pStyle w:val="ListParagraph"/>
        <w:numPr>
          <w:ilvl w:val="0"/>
          <w:numId w:val="4"/>
        </w:numPr>
        <w:spacing w:after="0" w:line="240" w:lineRule="auto"/>
        <w:ind w:left="1080"/>
        <w:rPr>
          <w:rFonts w:ascii="Arial" w:eastAsia="Times New Roman" w:hAnsi="Arial" w:cs="Arial"/>
          <w:sz w:val="24"/>
          <w:szCs w:val="20"/>
        </w:rPr>
      </w:pPr>
      <w:r>
        <w:rPr>
          <w:rFonts w:ascii="Arial" w:eastAsia="Times New Roman" w:hAnsi="Arial" w:cs="Times New Roman"/>
          <w:sz w:val="24"/>
          <w:szCs w:val="20"/>
        </w:rPr>
        <w:t xml:space="preserve">Improved </w:t>
      </w:r>
      <w:r>
        <w:rPr>
          <w:rFonts w:ascii="Arial" w:hAnsi="Arial" w:cs="Arial"/>
          <w:sz w:val="24"/>
          <w:szCs w:val="24"/>
        </w:rPr>
        <w:t>m</w:t>
      </w:r>
      <w:r w:rsidR="007B0F7D" w:rsidRPr="007B0F7D">
        <w:rPr>
          <w:rFonts w:ascii="Arial" w:hAnsi="Arial" w:cs="Arial"/>
          <w:sz w:val="24"/>
          <w:szCs w:val="24"/>
        </w:rPr>
        <w:t>eter r</w:t>
      </w:r>
      <w:r w:rsidR="007B0F7D">
        <w:rPr>
          <w:rFonts w:ascii="Arial" w:hAnsi="Arial" w:cs="Arial"/>
          <w:sz w:val="24"/>
          <w:szCs w:val="24"/>
        </w:rPr>
        <w:t xml:space="preserve">eading performance </w:t>
      </w:r>
      <w:r w:rsidR="0000202F">
        <w:rPr>
          <w:rFonts w:ascii="Arial" w:hAnsi="Arial" w:cs="Arial"/>
          <w:sz w:val="24"/>
          <w:szCs w:val="24"/>
        </w:rPr>
        <w:t>due to smart meter deployment</w:t>
      </w:r>
      <w:r w:rsidR="007B0F7D">
        <w:rPr>
          <w:rFonts w:ascii="Arial" w:hAnsi="Arial" w:cs="Arial"/>
          <w:sz w:val="24"/>
          <w:szCs w:val="24"/>
        </w:rPr>
        <w:t>.</w:t>
      </w:r>
    </w:p>
    <w:p w14:paraId="1064DE7E" w14:textId="4E38FB73" w:rsidR="00C96918" w:rsidRPr="007B0F7D" w:rsidRDefault="000356D0" w:rsidP="008A70A5">
      <w:pPr>
        <w:pStyle w:val="ListParagraph"/>
        <w:numPr>
          <w:ilvl w:val="0"/>
          <w:numId w:val="4"/>
        </w:numPr>
        <w:spacing w:after="0" w:line="240" w:lineRule="auto"/>
        <w:ind w:left="1080"/>
        <w:rPr>
          <w:rFonts w:ascii="Arial" w:hAnsi="Arial" w:cs="Arial"/>
          <w:sz w:val="24"/>
          <w:szCs w:val="24"/>
        </w:rPr>
      </w:pPr>
      <w:r>
        <w:rPr>
          <w:rFonts w:ascii="Arial" w:hAnsi="Arial" w:cs="Arial"/>
          <w:sz w:val="24"/>
          <w:szCs w:val="24"/>
        </w:rPr>
        <w:t>Decreased the percentage of b</w:t>
      </w:r>
      <w:r w:rsidR="00857DB8">
        <w:rPr>
          <w:rFonts w:ascii="Arial" w:hAnsi="Arial" w:cs="Arial"/>
          <w:sz w:val="24"/>
          <w:szCs w:val="24"/>
        </w:rPr>
        <w:t xml:space="preserve">illing reversals </w:t>
      </w:r>
      <w:r>
        <w:rPr>
          <w:rFonts w:ascii="Arial" w:hAnsi="Arial" w:cs="Arial"/>
          <w:sz w:val="24"/>
          <w:szCs w:val="24"/>
        </w:rPr>
        <w:t xml:space="preserve">through the deployment </w:t>
      </w:r>
      <w:r w:rsidR="00161A3E">
        <w:rPr>
          <w:rFonts w:ascii="Arial" w:hAnsi="Arial" w:cs="Arial"/>
          <w:sz w:val="24"/>
          <w:szCs w:val="24"/>
        </w:rPr>
        <w:t>of</w:t>
      </w:r>
      <w:r w:rsidR="00075F49">
        <w:rPr>
          <w:rFonts w:ascii="Arial" w:hAnsi="Arial" w:cs="Arial"/>
          <w:sz w:val="24"/>
          <w:szCs w:val="24"/>
        </w:rPr>
        <w:t xml:space="preserve"> smart meter</w:t>
      </w:r>
      <w:r>
        <w:rPr>
          <w:rFonts w:ascii="Arial" w:hAnsi="Arial" w:cs="Arial"/>
          <w:sz w:val="24"/>
          <w:szCs w:val="24"/>
        </w:rPr>
        <w:t>s</w:t>
      </w:r>
      <w:r w:rsidR="003C40C8">
        <w:rPr>
          <w:rFonts w:ascii="Arial" w:hAnsi="Arial" w:cs="Arial"/>
          <w:sz w:val="24"/>
          <w:szCs w:val="24"/>
        </w:rPr>
        <w:t xml:space="preserve">, and </w:t>
      </w:r>
      <w:r w:rsidR="003C40C8" w:rsidRPr="00C93C49">
        <w:rPr>
          <w:rFonts w:ascii="Arial" w:eastAsia="Times New Roman" w:hAnsi="Arial" w:cs="Arial"/>
          <w:snapToGrid w:val="0"/>
          <w:sz w:val="24"/>
          <w:szCs w:val="20"/>
        </w:rPr>
        <w:t>changes to identify</w:t>
      </w:r>
      <w:r w:rsidR="00050541">
        <w:rPr>
          <w:rFonts w:ascii="Arial" w:eastAsia="Times New Roman" w:hAnsi="Arial" w:cs="Arial"/>
          <w:snapToGrid w:val="0"/>
          <w:sz w:val="24"/>
          <w:szCs w:val="20"/>
        </w:rPr>
        <w:t>ing</w:t>
      </w:r>
      <w:r w:rsidR="003C40C8" w:rsidRPr="00C93C49">
        <w:rPr>
          <w:rFonts w:ascii="Arial" w:eastAsia="Times New Roman" w:hAnsi="Arial" w:cs="Arial"/>
          <w:snapToGrid w:val="0"/>
          <w:sz w:val="24"/>
          <w:szCs w:val="20"/>
        </w:rPr>
        <w:t xml:space="preserve"> the causes for billing reversals</w:t>
      </w:r>
      <w:r w:rsidR="00050541">
        <w:rPr>
          <w:rFonts w:ascii="Arial" w:eastAsia="Times New Roman" w:hAnsi="Arial" w:cs="Arial"/>
          <w:snapToGrid w:val="0"/>
          <w:sz w:val="24"/>
          <w:szCs w:val="20"/>
        </w:rPr>
        <w:t>.</w:t>
      </w:r>
    </w:p>
    <w:p w14:paraId="08B838C8" w14:textId="77777777" w:rsidR="00C96918" w:rsidRPr="007B0F7D" w:rsidRDefault="000356D0" w:rsidP="008A70A5">
      <w:pPr>
        <w:pStyle w:val="ListParagraph"/>
        <w:numPr>
          <w:ilvl w:val="0"/>
          <w:numId w:val="4"/>
        </w:numPr>
        <w:spacing w:after="0" w:line="240" w:lineRule="auto"/>
        <w:ind w:left="1080"/>
        <w:rPr>
          <w:rFonts w:ascii="Arial" w:hAnsi="Arial" w:cs="Arial"/>
          <w:sz w:val="24"/>
          <w:szCs w:val="24"/>
        </w:rPr>
      </w:pPr>
      <w:r>
        <w:rPr>
          <w:rFonts w:ascii="Arial" w:hAnsi="Arial" w:cs="Arial"/>
          <w:sz w:val="24"/>
          <w:szCs w:val="24"/>
        </w:rPr>
        <w:t>Reduced</w:t>
      </w:r>
      <w:r w:rsidR="00075F49">
        <w:rPr>
          <w:rFonts w:ascii="Arial" w:hAnsi="Arial" w:cs="Arial"/>
          <w:sz w:val="24"/>
          <w:szCs w:val="24"/>
        </w:rPr>
        <w:t xml:space="preserve"> c</w:t>
      </w:r>
      <w:r w:rsidR="007B0F7D">
        <w:rPr>
          <w:rFonts w:ascii="Arial" w:hAnsi="Arial" w:cs="Arial"/>
          <w:sz w:val="24"/>
          <w:szCs w:val="24"/>
        </w:rPr>
        <w:t>ustomer service representative</w:t>
      </w:r>
      <w:r w:rsidR="007B0F7D" w:rsidRPr="007B0F7D">
        <w:rPr>
          <w:rFonts w:ascii="Arial" w:hAnsi="Arial" w:cs="Arial"/>
          <w:sz w:val="24"/>
          <w:szCs w:val="24"/>
        </w:rPr>
        <w:t xml:space="preserve"> turnover</w:t>
      </w:r>
      <w:r w:rsidR="00075F49">
        <w:rPr>
          <w:rFonts w:ascii="Arial" w:hAnsi="Arial" w:cs="Arial"/>
          <w:sz w:val="24"/>
          <w:szCs w:val="24"/>
        </w:rPr>
        <w:t xml:space="preserve"> and related costs result</w:t>
      </w:r>
      <w:r>
        <w:rPr>
          <w:rFonts w:ascii="Arial" w:hAnsi="Arial" w:cs="Arial"/>
          <w:sz w:val="24"/>
          <w:szCs w:val="24"/>
        </w:rPr>
        <w:t>ing</w:t>
      </w:r>
      <w:r w:rsidR="00075F49">
        <w:rPr>
          <w:rFonts w:ascii="Arial" w:hAnsi="Arial" w:cs="Arial"/>
          <w:sz w:val="24"/>
          <w:szCs w:val="24"/>
        </w:rPr>
        <w:t xml:space="preserve"> in annual savings </w:t>
      </w:r>
      <w:r w:rsidR="00215945">
        <w:rPr>
          <w:rFonts w:ascii="Arial" w:hAnsi="Arial" w:cs="Arial"/>
          <w:sz w:val="24"/>
          <w:szCs w:val="24"/>
        </w:rPr>
        <w:t xml:space="preserve">of approximately $24,000 - $31,000 for the FE-PA </w:t>
      </w:r>
      <w:r w:rsidR="008217EB">
        <w:rPr>
          <w:rFonts w:ascii="Arial" w:hAnsi="Arial" w:cs="Arial"/>
          <w:sz w:val="24"/>
          <w:szCs w:val="24"/>
        </w:rPr>
        <w:t>c</w:t>
      </w:r>
      <w:r w:rsidR="00215945">
        <w:rPr>
          <w:rFonts w:ascii="Arial" w:hAnsi="Arial" w:cs="Arial"/>
          <w:sz w:val="24"/>
          <w:szCs w:val="24"/>
        </w:rPr>
        <w:t>ompanies combined</w:t>
      </w:r>
      <w:r w:rsidR="00075F49">
        <w:rPr>
          <w:rFonts w:ascii="Arial" w:hAnsi="Arial" w:cs="Arial"/>
          <w:sz w:val="24"/>
          <w:szCs w:val="24"/>
        </w:rPr>
        <w:t xml:space="preserve"> </w:t>
      </w:r>
      <w:r w:rsidR="00E8427D">
        <w:rPr>
          <w:rFonts w:ascii="Arial" w:hAnsi="Arial" w:cs="Arial"/>
          <w:sz w:val="24"/>
          <w:szCs w:val="24"/>
        </w:rPr>
        <w:t xml:space="preserve">while improving </w:t>
      </w:r>
      <w:r w:rsidR="001227C4" w:rsidRPr="007B0F7D">
        <w:rPr>
          <w:rFonts w:ascii="Arial" w:hAnsi="Arial" w:cs="Arial"/>
          <w:sz w:val="24"/>
          <w:szCs w:val="24"/>
        </w:rPr>
        <w:t>contact</w:t>
      </w:r>
      <w:r w:rsidR="001227C4">
        <w:rPr>
          <w:rFonts w:ascii="Arial" w:hAnsi="Arial" w:cs="Arial"/>
          <w:sz w:val="24"/>
          <w:szCs w:val="24"/>
        </w:rPr>
        <w:t xml:space="preserve"> center performance</w:t>
      </w:r>
      <w:r w:rsidR="00ED0D90">
        <w:rPr>
          <w:rFonts w:ascii="Arial" w:hAnsi="Arial" w:cs="Arial"/>
          <w:sz w:val="24"/>
          <w:szCs w:val="24"/>
        </w:rPr>
        <w:t>.</w:t>
      </w:r>
    </w:p>
    <w:p w14:paraId="1E66FC31" w14:textId="77777777" w:rsidR="00AA4423" w:rsidRPr="007B0F7D" w:rsidRDefault="000356D0" w:rsidP="00DB7ED6">
      <w:pPr>
        <w:pStyle w:val="ListParagraph"/>
        <w:numPr>
          <w:ilvl w:val="0"/>
          <w:numId w:val="4"/>
        </w:numPr>
        <w:spacing w:after="0" w:line="240" w:lineRule="auto"/>
        <w:ind w:left="1080"/>
        <w:rPr>
          <w:rFonts w:ascii="Arial" w:eastAsia="Times New Roman" w:hAnsi="Arial" w:cs="Times New Roman"/>
          <w:sz w:val="24"/>
          <w:szCs w:val="20"/>
        </w:rPr>
      </w:pPr>
      <w:r>
        <w:rPr>
          <w:rFonts w:ascii="Arial" w:hAnsi="Arial" w:cs="Arial"/>
          <w:sz w:val="24"/>
          <w:szCs w:val="24"/>
        </w:rPr>
        <w:t>Reduced the number of r</w:t>
      </w:r>
      <w:r w:rsidR="007B0F7D" w:rsidRPr="007B0F7D">
        <w:rPr>
          <w:rFonts w:ascii="Arial" w:hAnsi="Arial" w:cs="Arial"/>
          <w:sz w:val="24"/>
          <w:szCs w:val="24"/>
        </w:rPr>
        <w:t>esidential disputes with a response time greater than 30</w:t>
      </w:r>
      <w:r w:rsidR="009661B5">
        <w:rPr>
          <w:rFonts w:ascii="Arial" w:hAnsi="Arial" w:cs="Arial"/>
          <w:sz w:val="24"/>
          <w:szCs w:val="24"/>
        </w:rPr>
        <w:t xml:space="preserve"> days to zero.</w:t>
      </w:r>
    </w:p>
    <w:p w14:paraId="6FE5ABBB" w14:textId="77777777" w:rsidR="007B0F7D" w:rsidRPr="009661B5" w:rsidRDefault="000356D0" w:rsidP="00DB7ED6">
      <w:pPr>
        <w:pStyle w:val="ListParagraph"/>
        <w:numPr>
          <w:ilvl w:val="0"/>
          <w:numId w:val="4"/>
        </w:numPr>
        <w:spacing w:after="0" w:line="240" w:lineRule="auto"/>
        <w:ind w:left="1080"/>
        <w:rPr>
          <w:rFonts w:ascii="Arial" w:eastAsia="Times New Roman" w:hAnsi="Arial" w:cs="Times New Roman"/>
          <w:sz w:val="24"/>
          <w:szCs w:val="20"/>
        </w:rPr>
      </w:pPr>
      <w:r>
        <w:rPr>
          <w:rFonts w:ascii="Arial" w:hAnsi="Arial" w:cs="Arial"/>
          <w:sz w:val="24"/>
          <w:szCs w:val="24"/>
        </w:rPr>
        <w:t>Monitoring and improv</w:t>
      </w:r>
      <w:r w:rsidR="00E8427D">
        <w:rPr>
          <w:rFonts w:ascii="Arial" w:hAnsi="Arial" w:cs="Arial"/>
          <w:sz w:val="24"/>
          <w:szCs w:val="24"/>
        </w:rPr>
        <w:t>ed</w:t>
      </w:r>
      <w:r>
        <w:rPr>
          <w:rFonts w:ascii="Arial" w:hAnsi="Arial" w:cs="Arial"/>
          <w:sz w:val="24"/>
          <w:szCs w:val="24"/>
        </w:rPr>
        <w:t xml:space="preserve"> a</w:t>
      </w:r>
      <w:r w:rsidR="009661B5">
        <w:rPr>
          <w:rFonts w:ascii="Arial" w:hAnsi="Arial" w:cs="Arial"/>
          <w:sz w:val="24"/>
          <w:szCs w:val="24"/>
        </w:rPr>
        <w:t xml:space="preserve">ll </w:t>
      </w:r>
      <w:r w:rsidR="007B0F7D" w:rsidRPr="0097082C">
        <w:rPr>
          <w:rFonts w:ascii="Arial" w:hAnsi="Arial" w:cs="Arial"/>
          <w:sz w:val="24"/>
          <w:szCs w:val="24"/>
        </w:rPr>
        <w:t>new service installation performance.</w:t>
      </w:r>
    </w:p>
    <w:p w14:paraId="58FA0D28" w14:textId="77777777" w:rsidR="00ED0D90" w:rsidRDefault="00ED0D90" w:rsidP="00450CEC">
      <w:pPr>
        <w:pStyle w:val="ListParagraph"/>
        <w:numPr>
          <w:ilvl w:val="0"/>
          <w:numId w:val="4"/>
        </w:numPr>
        <w:spacing w:after="0" w:line="240" w:lineRule="auto"/>
        <w:ind w:left="1080"/>
        <w:rPr>
          <w:rFonts w:ascii="Arial" w:eastAsia="Times New Roman" w:hAnsi="Arial" w:cs="Times New Roman"/>
          <w:sz w:val="24"/>
          <w:szCs w:val="20"/>
        </w:rPr>
      </w:pPr>
      <w:r>
        <w:rPr>
          <w:rFonts w:ascii="Arial" w:eastAsia="Times New Roman" w:hAnsi="Arial" w:cs="Times New Roman"/>
          <w:sz w:val="24"/>
          <w:szCs w:val="20"/>
        </w:rPr>
        <w:t>Significantly decreased the number of meters requiring location updates.</w:t>
      </w:r>
    </w:p>
    <w:p w14:paraId="0BD7AAD9" w14:textId="77777777" w:rsidR="009661B5" w:rsidRPr="009661B5" w:rsidRDefault="000356D0" w:rsidP="00DB7ED6">
      <w:pPr>
        <w:pStyle w:val="ListParagraph"/>
        <w:numPr>
          <w:ilvl w:val="0"/>
          <w:numId w:val="4"/>
        </w:numPr>
        <w:spacing w:after="0" w:line="240" w:lineRule="auto"/>
        <w:ind w:left="1080"/>
        <w:rPr>
          <w:rFonts w:ascii="Arial" w:eastAsia="Times New Roman" w:hAnsi="Arial" w:cs="Times New Roman"/>
          <w:sz w:val="24"/>
          <w:szCs w:val="20"/>
        </w:rPr>
      </w:pPr>
      <w:r>
        <w:rPr>
          <w:rFonts w:ascii="Arial" w:eastAsia="Times New Roman" w:hAnsi="Arial" w:cs="Times New Roman"/>
          <w:sz w:val="24"/>
          <w:szCs w:val="20"/>
        </w:rPr>
        <w:t>Implemented a</w:t>
      </w:r>
      <w:r w:rsidR="009661B5" w:rsidRPr="00C74F2F">
        <w:rPr>
          <w:rFonts w:ascii="Arial" w:hAnsi="Arial" w:cs="Arial"/>
          <w:sz w:val="24"/>
          <w:szCs w:val="24"/>
        </w:rPr>
        <w:t xml:space="preserve"> written vehicle replacement policy</w:t>
      </w:r>
      <w:r w:rsidR="009661B5">
        <w:rPr>
          <w:rFonts w:ascii="Arial" w:hAnsi="Arial" w:cs="Arial"/>
          <w:sz w:val="24"/>
          <w:szCs w:val="24"/>
        </w:rPr>
        <w:t>.</w:t>
      </w:r>
    </w:p>
    <w:p w14:paraId="6BC20F36" w14:textId="5F3CAC5D" w:rsidR="009661B5" w:rsidRPr="00E962B7" w:rsidRDefault="000356D0" w:rsidP="00DB7ED6">
      <w:pPr>
        <w:pStyle w:val="ListParagraph"/>
        <w:numPr>
          <w:ilvl w:val="0"/>
          <w:numId w:val="4"/>
        </w:numPr>
        <w:spacing w:after="0" w:line="240" w:lineRule="auto"/>
        <w:ind w:left="1080"/>
        <w:rPr>
          <w:rFonts w:ascii="Arial" w:eastAsia="Times New Roman" w:hAnsi="Arial" w:cs="Times New Roman"/>
          <w:sz w:val="24"/>
          <w:szCs w:val="20"/>
        </w:rPr>
      </w:pPr>
      <w:r w:rsidRPr="008A75D3">
        <w:rPr>
          <w:rFonts w:ascii="Arial" w:hAnsi="Arial" w:cs="Arial"/>
          <w:sz w:val="24"/>
          <w:szCs w:val="24"/>
        </w:rPr>
        <w:t xml:space="preserve">Completed </w:t>
      </w:r>
      <w:r w:rsidR="002E4C1D" w:rsidRPr="008A75D3">
        <w:rPr>
          <w:rFonts w:ascii="Arial" w:hAnsi="Arial" w:cs="Arial"/>
          <w:sz w:val="24"/>
          <w:szCs w:val="24"/>
        </w:rPr>
        <w:t>a</w:t>
      </w:r>
      <w:r w:rsidR="009661B5" w:rsidRPr="008A75D3">
        <w:rPr>
          <w:rFonts w:ascii="Arial" w:hAnsi="Arial" w:cs="Arial"/>
          <w:sz w:val="24"/>
          <w:szCs w:val="24"/>
        </w:rPr>
        <w:t xml:space="preserve"> vehicle usage analysis that resulted in the</w:t>
      </w:r>
      <w:r w:rsidR="00701001" w:rsidRPr="008A75D3">
        <w:rPr>
          <w:rFonts w:ascii="Arial" w:hAnsi="Arial" w:cs="Arial"/>
          <w:sz w:val="24"/>
          <w:szCs w:val="24"/>
        </w:rPr>
        <w:t xml:space="preserve"> elimination of excess vehicles</w:t>
      </w:r>
      <w:r w:rsidR="008A75D3" w:rsidRPr="00F70F0F">
        <w:rPr>
          <w:rFonts w:ascii="Arial" w:hAnsi="Arial" w:cs="Arial"/>
          <w:sz w:val="24"/>
          <w:szCs w:val="24"/>
        </w:rPr>
        <w:t xml:space="preserve"> from 2015 to 2017</w:t>
      </w:r>
      <w:r w:rsidR="00701001" w:rsidRPr="008A75D3">
        <w:rPr>
          <w:rFonts w:ascii="Arial" w:hAnsi="Arial" w:cs="Arial"/>
          <w:sz w:val="24"/>
          <w:szCs w:val="24"/>
        </w:rPr>
        <w:t xml:space="preserve"> </w:t>
      </w:r>
      <w:r w:rsidR="002E4C1D" w:rsidRPr="008A75D3">
        <w:rPr>
          <w:rFonts w:ascii="Arial" w:hAnsi="Arial" w:cs="Arial"/>
          <w:sz w:val="24"/>
          <w:szCs w:val="24"/>
        </w:rPr>
        <w:t xml:space="preserve">for </w:t>
      </w:r>
      <w:r w:rsidR="00E8427D" w:rsidRPr="008A75D3">
        <w:rPr>
          <w:rFonts w:ascii="Arial" w:hAnsi="Arial" w:cs="Arial"/>
          <w:sz w:val="24"/>
          <w:szCs w:val="24"/>
        </w:rPr>
        <w:t>a</w:t>
      </w:r>
      <w:r w:rsidR="00FE404A" w:rsidRPr="008A75D3">
        <w:rPr>
          <w:rFonts w:ascii="Arial" w:hAnsi="Arial" w:cs="Arial"/>
          <w:sz w:val="24"/>
          <w:szCs w:val="24"/>
        </w:rPr>
        <w:t>n</w:t>
      </w:r>
      <w:r w:rsidR="00E8427D" w:rsidRPr="008A75D3">
        <w:rPr>
          <w:rFonts w:ascii="Arial" w:hAnsi="Arial" w:cs="Arial"/>
          <w:sz w:val="24"/>
          <w:szCs w:val="24"/>
        </w:rPr>
        <w:t xml:space="preserve"> </w:t>
      </w:r>
      <w:r w:rsidR="00FE404A" w:rsidRPr="008A75D3">
        <w:rPr>
          <w:rFonts w:ascii="Arial" w:hAnsi="Arial" w:cs="Arial"/>
          <w:sz w:val="24"/>
          <w:szCs w:val="24"/>
        </w:rPr>
        <w:t xml:space="preserve">average </w:t>
      </w:r>
      <w:r w:rsidR="00E8427D" w:rsidRPr="00F01F1E">
        <w:rPr>
          <w:rFonts w:ascii="Arial" w:hAnsi="Arial" w:cs="Arial"/>
          <w:sz w:val="24"/>
          <w:szCs w:val="24"/>
        </w:rPr>
        <w:t>one-time savings of approximately $</w:t>
      </w:r>
      <w:r w:rsidR="00D127D4" w:rsidRPr="00F01F1E">
        <w:rPr>
          <w:rFonts w:ascii="Arial" w:hAnsi="Arial" w:cs="Arial"/>
          <w:sz w:val="24"/>
          <w:szCs w:val="24"/>
        </w:rPr>
        <w:t>45,000</w:t>
      </w:r>
      <w:r w:rsidR="002E4C1D" w:rsidRPr="00F01F1E">
        <w:rPr>
          <w:rFonts w:ascii="Arial" w:hAnsi="Arial" w:cs="Arial"/>
          <w:sz w:val="24"/>
          <w:szCs w:val="24"/>
        </w:rPr>
        <w:t xml:space="preserve"> and </w:t>
      </w:r>
      <w:r w:rsidR="008A75D3" w:rsidRPr="00F70F0F">
        <w:rPr>
          <w:rFonts w:ascii="Arial" w:hAnsi="Arial" w:cs="Arial"/>
          <w:sz w:val="24"/>
          <w:szCs w:val="24"/>
        </w:rPr>
        <w:t xml:space="preserve">an </w:t>
      </w:r>
      <w:r w:rsidR="00FE404A" w:rsidRPr="008A75D3">
        <w:rPr>
          <w:rFonts w:ascii="Arial" w:hAnsi="Arial" w:cs="Arial"/>
          <w:sz w:val="24"/>
          <w:szCs w:val="24"/>
        </w:rPr>
        <w:t xml:space="preserve">average </w:t>
      </w:r>
      <w:r w:rsidR="002E4C1D" w:rsidRPr="008A75D3">
        <w:rPr>
          <w:rFonts w:ascii="Arial" w:hAnsi="Arial" w:cs="Arial"/>
          <w:sz w:val="24"/>
          <w:szCs w:val="24"/>
        </w:rPr>
        <w:t>annual savings from related maintenance expenses of approximately $</w:t>
      </w:r>
      <w:r w:rsidR="00D127D4" w:rsidRPr="00F01F1E">
        <w:rPr>
          <w:rFonts w:ascii="Arial" w:hAnsi="Arial" w:cs="Arial"/>
          <w:sz w:val="24"/>
          <w:szCs w:val="24"/>
        </w:rPr>
        <w:t>96,000</w:t>
      </w:r>
      <w:r w:rsidR="002E4C1D" w:rsidRPr="00F01F1E">
        <w:rPr>
          <w:rFonts w:ascii="Arial" w:hAnsi="Arial" w:cs="Arial"/>
          <w:sz w:val="24"/>
          <w:szCs w:val="24"/>
        </w:rPr>
        <w:t xml:space="preserve"> for the FE-PA </w:t>
      </w:r>
      <w:r w:rsidR="00E8621C" w:rsidRPr="00F01F1E">
        <w:rPr>
          <w:rFonts w:ascii="Arial" w:hAnsi="Arial" w:cs="Arial"/>
          <w:sz w:val="24"/>
          <w:szCs w:val="24"/>
        </w:rPr>
        <w:t>c</w:t>
      </w:r>
      <w:r w:rsidR="002E4C1D" w:rsidRPr="00F01F1E">
        <w:rPr>
          <w:rFonts w:ascii="Arial" w:hAnsi="Arial" w:cs="Arial"/>
          <w:sz w:val="24"/>
          <w:szCs w:val="24"/>
        </w:rPr>
        <w:t>ompanies combined</w:t>
      </w:r>
      <w:r w:rsidR="005F1055" w:rsidRPr="00E962B7">
        <w:rPr>
          <w:rFonts w:ascii="Arial" w:hAnsi="Arial" w:cs="Arial"/>
          <w:sz w:val="24"/>
          <w:szCs w:val="24"/>
        </w:rPr>
        <w:t>.</w:t>
      </w:r>
      <w:r w:rsidR="00E8427D" w:rsidRPr="00E962B7">
        <w:rPr>
          <w:rFonts w:ascii="Arial" w:hAnsi="Arial" w:cs="Arial"/>
          <w:sz w:val="24"/>
          <w:szCs w:val="24"/>
        </w:rPr>
        <w:t xml:space="preserve"> </w:t>
      </w:r>
    </w:p>
    <w:p w14:paraId="0ECE764B" w14:textId="77777777" w:rsidR="009661B5" w:rsidRPr="00EC5DE3" w:rsidRDefault="002E4C1D" w:rsidP="00DB7ED6">
      <w:pPr>
        <w:pStyle w:val="ListParagraph"/>
        <w:numPr>
          <w:ilvl w:val="0"/>
          <w:numId w:val="4"/>
        </w:numPr>
        <w:spacing w:after="0" w:line="240" w:lineRule="auto"/>
        <w:ind w:left="1080"/>
        <w:rPr>
          <w:rFonts w:ascii="Arial" w:eastAsia="Times New Roman" w:hAnsi="Arial" w:cs="Times New Roman"/>
          <w:sz w:val="24"/>
          <w:szCs w:val="20"/>
        </w:rPr>
      </w:pPr>
      <w:r>
        <w:rPr>
          <w:rFonts w:ascii="Arial" w:hAnsi="Arial" w:cs="Arial"/>
          <w:sz w:val="24"/>
          <w:szCs w:val="24"/>
        </w:rPr>
        <w:t>S</w:t>
      </w:r>
      <w:r w:rsidR="006F4F5C">
        <w:rPr>
          <w:rFonts w:ascii="Arial" w:hAnsi="Arial" w:cs="Arial"/>
          <w:sz w:val="24"/>
          <w:szCs w:val="24"/>
        </w:rPr>
        <w:t>ignificant</w:t>
      </w:r>
      <w:r>
        <w:rPr>
          <w:rFonts w:ascii="Arial" w:hAnsi="Arial" w:cs="Arial"/>
          <w:sz w:val="24"/>
          <w:szCs w:val="24"/>
        </w:rPr>
        <w:t>ly</w:t>
      </w:r>
      <w:r w:rsidR="009661B5">
        <w:rPr>
          <w:rFonts w:ascii="Arial" w:hAnsi="Arial" w:cs="Arial"/>
          <w:sz w:val="24"/>
          <w:szCs w:val="24"/>
        </w:rPr>
        <w:t xml:space="preserve"> reduc</w:t>
      </w:r>
      <w:r>
        <w:rPr>
          <w:rFonts w:ascii="Arial" w:hAnsi="Arial" w:cs="Arial"/>
          <w:sz w:val="24"/>
          <w:szCs w:val="24"/>
        </w:rPr>
        <w:t>ed</w:t>
      </w:r>
      <w:r w:rsidR="009661B5">
        <w:rPr>
          <w:rFonts w:ascii="Arial" w:hAnsi="Arial" w:cs="Arial"/>
          <w:sz w:val="24"/>
          <w:szCs w:val="24"/>
        </w:rPr>
        <w:t xml:space="preserve"> </w:t>
      </w:r>
      <w:r w:rsidR="009661B5" w:rsidRPr="00B67305">
        <w:rPr>
          <w:rFonts w:ascii="Arial" w:hAnsi="Arial" w:cs="Arial"/>
          <w:sz w:val="24"/>
          <w:szCs w:val="24"/>
        </w:rPr>
        <w:t>t</w:t>
      </w:r>
      <w:r w:rsidR="009661B5">
        <w:rPr>
          <w:rFonts w:ascii="Arial" w:hAnsi="Arial" w:cs="Arial"/>
          <w:sz w:val="24"/>
          <w:szCs w:val="24"/>
        </w:rPr>
        <w:t>he number of overdue critical preventative maintenance jobs and overdue preventative maintenance</w:t>
      </w:r>
      <w:r w:rsidR="009661B5" w:rsidRPr="00B67305">
        <w:rPr>
          <w:rFonts w:ascii="Arial" w:hAnsi="Arial" w:cs="Arial"/>
          <w:sz w:val="24"/>
          <w:szCs w:val="24"/>
        </w:rPr>
        <w:t xml:space="preserve"> jobs</w:t>
      </w:r>
      <w:r>
        <w:rPr>
          <w:rFonts w:ascii="Arial" w:hAnsi="Arial" w:cs="Arial"/>
          <w:sz w:val="24"/>
          <w:szCs w:val="24"/>
        </w:rPr>
        <w:t xml:space="preserve"> for vehicles owned by the </w:t>
      </w:r>
      <w:r w:rsidR="00DC3D9B">
        <w:rPr>
          <w:rFonts w:ascii="Arial" w:hAnsi="Arial" w:cs="Arial"/>
          <w:sz w:val="24"/>
          <w:szCs w:val="24"/>
        </w:rPr>
        <w:t>FE-PA companies</w:t>
      </w:r>
      <w:r w:rsidR="009661B5" w:rsidRPr="00B67305">
        <w:rPr>
          <w:rFonts w:ascii="Arial" w:hAnsi="Arial" w:cs="Arial"/>
          <w:sz w:val="24"/>
          <w:szCs w:val="24"/>
        </w:rPr>
        <w:t>.</w:t>
      </w:r>
    </w:p>
    <w:p w14:paraId="219CCF79" w14:textId="77777777" w:rsidR="00AA4423" w:rsidRPr="00C27199" w:rsidRDefault="002E4C1D" w:rsidP="00C27199">
      <w:pPr>
        <w:pStyle w:val="ListParagraph"/>
        <w:numPr>
          <w:ilvl w:val="0"/>
          <w:numId w:val="4"/>
        </w:numPr>
        <w:spacing w:after="0" w:line="240" w:lineRule="auto"/>
        <w:ind w:left="1080"/>
        <w:rPr>
          <w:rFonts w:ascii="Arial" w:eastAsia="Times New Roman" w:hAnsi="Arial" w:cs="Times New Roman"/>
          <w:sz w:val="24"/>
          <w:szCs w:val="20"/>
        </w:rPr>
      </w:pPr>
      <w:r>
        <w:rPr>
          <w:rFonts w:ascii="Arial" w:hAnsi="Arial" w:cs="Arial"/>
          <w:sz w:val="24"/>
          <w:szCs w:val="24"/>
        </w:rPr>
        <w:t>Developed d</w:t>
      </w:r>
      <w:r w:rsidR="00EC5DE3" w:rsidRPr="00B67305">
        <w:rPr>
          <w:rFonts w:ascii="Arial" w:hAnsi="Arial" w:cs="Arial"/>
          <w:sz w:val="24"/>
          <w:szCs w:val="24"/>
        </w:rPr>
        <w:t>etailed policies and procedures for facility service operations.</w:t>
      </w:r>
    </w:p>
    <w:p w14:paraId="17D01F97" w14:textId="77777777" w:rsidR="002E4C1D" w:rsidRDefault="002E4C1D" w:rsidP="00DB7ED6">
      <w:pPr>
        <w:spacing w:after="0" w:line="240" w:lineRule="auto"/>
        <w:ind w:firstLine="720"/>
        <w:rPr>
          <w:rFonts w:ascii="Arial" w:hAnsi="Arial" w:cs="Arial"/>
          <w:sz w:val="24"/>
          <w:szCs w:val="24"/>
        </w:rPr>
      </w:pPr>
    </w:p>
    <w:p w14:paraId="26589409" w14:textId="77777777" w:rsidR="0070221F" w:rsidRDefault="009B0D96" w:rsidP="00DB7ED6">
      <w:pPr>
        <w:spacing w:after="0" w:line="240" w:lineRule="auto"/>
        <w:ind w:firstLine="720"/>
        <w:rPr>
          <w:rFonts w:ascii="Arial" w:hAnsi="Arial" w:cs="Arial"/>
          <w:sz w:val="24"/>
          <w:szCs w:val="24"/>
        </w:rPr>
      </w:pPr>
      <w:r w:rsidRPr="00AC73FC">
        <w:rPr>
          <w:rFonts w:ascii="Arial" w:hAnsi="Arial" w:cs="Arial"/>
          <w:sz w:val="24"/>
          <w:szCs w:val="24"/>
        </w:rPr>
        <w:t>Although</w:t>
      </w:r>
      <w:r w:rsidRPr="009B0D96">
        <w:rPr>
          <w:rFonts w:ascii="Arial" w:hAnsi="Arial" w:cs="Arial"/>
          <w:sz w:val="24"/>
          <w:szCs w:val="24"/>
        </w:rPr>
        <w:t xml:space="preserve"> </w:t>
      </w:r>
      <w:r w:rsidR="0070221F">
        <w:rPr>
          <w:rFonts w:ascii="Arial" w:hAnsi="Arial" w:cs="Arial"/>
          <w:sz w:val="24"/>
          <w:szCs w:val="24"/>
        </w:rPr>
        <w:t xml:space="preserve">these accomplishments </w:t>
      </w:r>
      <w:r w:rsidR="00CD2762">
        <w:rPr>
          <w:rFonts w:ascii="Arial" w:hAnsi="Arial" w:cs="Arial"/>
          <w:sz w:val="24"/>
          <w:szCs w:val="24"/>
        </w:rPr>
        <w:t xml:space="preserve">are commendable, the </w:t>
      </w:r>
      <w:r>
        <w:rPr>
          <w:rFonts w:ascii="Arial" w:hAnsi="Arial" w:cs="Arial"/>
          <w:sz w:val="24"/>
          <w:szCs w:val="24"/>
        </w:rPr>
        <w:t xml:space="preserve">PUC </w:t>
      </w:r>
      <w:r w:rsidR="00CD2762">
        <w:rPr>
          <w:rFonts w:ascii="Arial" w:hAnsi="Arial" w:cs="Arial"/>
          <w:sz w:val="24"/>
          <w:szCs w:val="24"/>
        </w:rPr>
        <w:t>a</w:t>
      </w:r>
      <w:r w:rsidR="00D075D0">
        <w:rPr>
          <w:rFonts w:ascii="Arial" w:hAnsi="Arial" w:cs="Arial"/>
          <w:sz w:val="24"/>
          <w:szCs w:val="24"/>
        </w:rPr>
        <w:t>uditors</w:t>
      </w:r>
      <w:r w:rsidR="0070221F">
        <w:rPr>
          <w:rFonts w:ascii="Arial" w:hAnsi="Arial" w:cs="Arial"/>
          <w:sz w:val="24"/>
          <w:szCs w:val="24"/>
        </w:rPr>
        <w:t xml:space="preserve"> identified opportunities </w:t>
      </w:r>
      <w:r>
        <w:rPr>
          <w:rFonts w:ascii="Arial" w:hAnsi="Arial" w:cs="Arial"/>
          <w:sz w:val="24"/>
          <w:szCs w:val="24"/>
        </w:rPr>
        <w:t>for further improvement</w:t>
      </w:r>
      <w:r w:rsidR="00D075D0">
        <w:rPr>
          <w:rFonts w:ascii="Arial" w:hAnsi="Arial" w:cs="Arial"/>
          <w:sz w:val="24"/>
          <w:szCs w:val="24"/>
        </w:rPr>
        <w:t xml:space="preserve">.  </w:t>
      </w:r>
      <w:r w:rsidR="00B22D9E">
        <w:rPr>
          <w:rFonts w:ascii="Arial" w:hAnsi="Arial" w:cs="Arial"/>
          <w:sz w:val="24"/>
          <w:szCs w:val="24"/>
        </w:rPr>
        <w:t>Specifically,</w:t>
      </w:r>
      <w:r w:rsidR="00D075D0">
        <w:rPr>
          <w:rFonts w:ascii="Arial" w:hAnsi="Arial" w:cs="Arial"/>
          <w:sz w:val="24"/>
          <w:szCs w:val="24"/>
        </w:rPr>
        <w:t xml:space="preserve"> the </w:t>
      </w:r>
      <w:r>
        <w:rPr>
          <w:rFonts w:ascii="Arial" w:hAnsi="Arial" w:cs="Arial"/>
          <w:sz w:val="24"/>
          <w:szCs w:val="24"/>
        </w:rPr>
        <w:t xml:space="preserve">FE-PA </w:t>
      </w:r>
      <w:r w:rsidR="00E8621C">
        <w:rPr>
          <w:rFonts w:ascii="Arial" w:hAnsi="Arial" w:cs="Arial"/>
          <w:sz w:val="24"/>
          <w:szCs w:val="24"/>
        </w:rPr>
        <w:t>c</w:t>
      </w:r>
      <w:r w:rsidR="00D075D0">
        <w:rPr>
          <w:rFonts w:ascii="Arial" w:hAnsi="Arial" w:cs="Arial"/>
          <w:sz w:val="24"/>
          <w:szCs w:val="24"/>
        </w:rPr>
        <w:t>ompanies</w:t>
      </w:r>
      <w:r w:rsidR="003946A1">
        <w:rPr>
          <w:rFonts w:ascii="Arial" w:hAnsi="Arial" w:cs="Arial"/>
          <w:sz w:val="24"/>
          <w:szCs w:val="24"/>
        </w:rPr>
        <w:t xml:space="preserve"> </w:t>
      </w:r>
      <w:r w:rsidR="00D075D0">
        <w:rPr>
          <w:rFonts w:ascii="Arial" w:hAnsi="Arial" w:cs="Arial"/>
          <w:sz w:val="24"/>
          <w:szCs w:val="24"/>
        </w:rPr>
        <w:t>need</w:t>
      </w:r>
      <w:r w:rsidR="0070221F">
        <w:rPr>
          <w:rFonts w:ascii="Arial" w:hAnsi="Arial" w:cs="Arial"/>
          <w:sz w:val="24"/>
          <w:szCs w:val="24"/>
        </w:rPr>
        <w:t xml:space="preserve"> to:</w:t>
      </w:r>
    </w:p>
    <w:p w14:paraId="2F33EF3E" w14:textId="77777777" w:rsidR="0070221F" w:rsidRDefault="0070221F">
      <w:pPr>
        <w:spacing w:after="0" w:line="240" w:lineRule="auto"/>
        <w:ind w:firstLine="720"/>
        <w:rPr>
          <w:rFonts w:ascii="Arial" w:hAnsi="Arial" w:cs="Arial"/>
          <w:sz w:val="24"/>
          <w:szCs w:val="24"/>
        </w:rPr>
      </w:pPr>
    </w:p>
    <w:p w14:paraId="766DEC6C" w14:textId="77777777" w:rsidR="00DB1816" w:rsidRPr="00BF181A" w:rsidRDefault="005E5D49" w:rsidP="008A70A5">
      <w:pPr>
        <w:pStyle w:val="ListParagraph"/>
        <w:widowControl w:val="0"/>
        <w:numPr>
          <w:ilvl w:val="0"/>
          <w:numId w:val="5"/>
        </w:numPr>
        <w:autoSpaceDE w:val="0"/>
        <w:autoSpaceDN w:val="0"/>
        <w:adjustRightInd w:val="0"/>
        <w:spacing w:after="0" w:line="240" w:lineRule="auto"/>
        <w:ind w:left="1080"/>
        <w:rPr>
          <w:rFonts w:ascii="Arial" w:hAnsi="Arial" w:cs="Arial"/>
          <w:bCs/>
          <w:color w:val="000000"/>
          <w:sz w:val="24"/>
          <w:szCs w:val="24"/>
        </w:rPr>
      </w:pPr>
      <w:r w:rsidRPr="00BF181A">
        <w:rPr>
          <w:rFonts w:ascii="Arial" w:hAnsi="Arial" w:cs="Arial"/>
          <w:sz w:val="24"/>
          <w:szCs w:val="24"/>
        </w:rPr>
        <w:t xml:space="preserve">Review best practices to ensure that all </w:t>
      </w:r>
      <w:r w:rsidR="004647D5">
        <w:rPr>
          <w:rFonts w:ascii="Arial" w:hAnsi="Arial" w:cs="Arial"/>
          <w:sz w:val="24"/>
          <w:szCs w:val="24"/>
        </w:rPr>
        <w:t xml:space="preserve">performance measure </w:t>
      </w:r>
      <w:r w:rsidRPr="00BF181A">
        <w:rPr>
          <w:rFonts w:ascii="Arial" w:hAnsi="Arial" w:cs="Arial"/>
          <w:sz w:val="24"/>
          <w:szCs w:val="24"/>
        </w:rPr>
        <w:t>targets are being met, establish targets and monitor performance related to shift work, if implemented, and ensure, at a minimum, targets are at a level that meets regulatory requirements.</w:t>
      </w:r>
    </w:p>
    <w:p w14:paraId="7213CF56" w14:textId="77777777" w:rsidR="00AA4423" w:rsidRPr="00F04046" w:rsidRDefault="00F04046" w:rsidP="008A70A5">
      <w:pPr>
        <w:pStyle w:val="ListParagraph"/>
        <w:numPr>
          <w:ilvl w:val="0"/>
          <w:numId w:val="5"/>
        </w:numPr>
        <w:spacing w:after="0" w:line="240" w:lineRule="auto"/>
        <w:ind w:left="1080"/>
        <w:rPr>
          <w:rFonts w:ascii="Arial" w:hAnsi="Arial" w:cs="Arial"/>
          <w:sz w:val="24"/>
          <w:szCs w:val="24"/>
        </w:rPr>
      </w:pPr>
      <w:r w:rsidRPr="00F04046">
        <w:rPr>
          <w:rFonts w:ascii="Arial" w:eastAsia="Times New Roman" w:hAnsi="Arial" w:cs="Arial"/>
          <w:snapToGrid w:val="0"/>
          <w:sz w:val="24"/>
          <w:szCs w:val="20"/>
        </w:rPr>
        <w:t xml:space="preserve">Conduct periodic studies to determine if </w:t>
      </w:r>
      <w:r w:rsidR="00450CEC">
        <w:rPr>
          <w:rFonts w:ascii="Arial" w:eastAsia="Times New Roman" w:hAnsi="Arial" w:cs="Arial"/>
          <w:snapToGrid w:val="0"/>
          <w:sz w:val="24"/>
          <w:szCs w:val="20"/>
        </w:rPr>
        <w:t xml:space="preserve">and to the extent </w:t>
      </w:r>
      <w:r w:rsidRPr="00F04046">
        <w:rPr>
          <w:rFonts w:ascii="Arial" w:eastAsia="Times New Roman" w:hAnsi="Arial" w:cs="Arial"/>
          <w:snapToGrid w:val="0"/>
          <w:sz w:val="24"/>
          <w:szCs w:val="20"/>
        </w:rPr>
        <w:t>the use of outside vendors for affiliate services is cost-justified.</w:t>
      </w:r>
    </w:p>
    <w:p w14:paraId="7D0609DA" w14:textId="77777777" w:rsidR="00450CEC" w:rsidRPr="00450CEC" w:rsidRDefault="00450CEC" w:rsidP="00DB7ED6">
      <w:pPr>
        <w:pStyle w:val="ListParagraph"/>
        <w:numPr>
          <w:ilvl w:val="0"/>
          <w:numId w:val="5"/>
        </w:numPr>
        <w:spacing w:after="0" w:line="240" w:lineRule="auto"/>
        <w:ind w:left="1080"/>
        <w:rPr>
          <w:rFonts w:ascii="Arial" w:eastAsia="Times New Roman" w:hAnsi="Arial" w:cs="Times New Roman"/>
          <w:sz w:val="24"/>
          <w:szCs w:val="20"/>
        </w:rPr>
      </w:pPr>
      <w:r>
        <w:rPr>
          <w:rFonts w:ascii="Arial" w:eastAsia="Times New Roman" w:hAnsi="Arial" w:cs="Times New Roman"/>
          <w:sz w:val="24"/>
          <w:szCs w:val="20"/>
        </w:rPr>
        <w:t>Improve electric reliability performance to meet minimum standards and strive towards achieving benchmark performance through the continued coordination of reliability activities with the PUC’s Bureau of Technical Utility Services</w:t>
      </w:r>
    </w:p>
    <w:p w14:paraId="6BB4FAE3" w14:textId="77777777" w:rsidR="00CC131D" w:rsidRPr="00BF181A" w:rsidRDefault="00BF181A" w:rsidP="00DB7ED6">
      <w:pPr>
        <w:pStyle w:val="ListParagraph"/>
        <w:numPr>
          <w:ilvl w:val="0"/>
          <w:numId w:val="5"/>
        </w:numPr>
        <w:spacing w:after="0" w:line="240" w:lineRule="auto"/>
        <w:ind w:left="1080"/>
        <w:rPr>
          <w:rFonts w:ascii="Arial" w:eastAsia="Times New Roman" w:hAnsi="Arial" w:cs="Times New Roman"/>
          <w:sz w:val="24"/>
          <w:szCs w:val="20"/>
        </w:rPr>
      </w:pPr>
      <w:r w:rsidRPr="00BF181A">
        <w:rPr>
          <w:rFonts w:ascii="Arial" w:hAnsi="Arial" w:cs="Arial"/>
          <w:noProof/>
          <w:color w:val="000000"/>
          <w:sz w:val="24"/>
          <w:szCs w:val="24"/>
        </w:rPr>
        <w:t>Enhance workforce planning and reporting to ensure adequate staffing and periodically report on staffing reviews with the PUC’s Bureau of Technical Utility Services</w:t>
      </w:r>
      <w:r>
        <w:rPr>
          <w:rFonts w:ascii="Arial" w:eastAsia="Times New Roman" w:hAnsi="Arial" w:cs="Arial"/>
          <w:snapToGrid w:val="0"/>
          <w:sz w:val="24"/>
          <w:szCs w:val="20"/>
        </w:rPr>
        <w:t>.</w:t>
      </w:r>
    </w:p>
    <w:p w14:paraId="1909B8B3" w14:textId="77777777" w:rsidR="00CC131D" w:rsidRPr="00396E93" w:rsidRDefault="00BF181A">
      <w:pPr>
        <w:pStyle w:val="ListParagraph"/>
        <w:numPr>
          <w:ilvl w:val="0"/>
          <w:numId w:val="5"/>
        </w:numPr>
        <w:spacing w:after="0" w:line="240" w:lineRule="auto"/>
        <w:ind w:left="1080"/>
        <w:rPr>
          <w:rFonts w:ascii="Arial" w:eastAsia="Times New Roman" w:hAnsi="Arial" w:cs="Times New Roman"/>
          <w:sz w:val="24"/>
          <w:szCs w:val="20"/>
        </w:rPr>
      </w:pPr>
      <w:r w:rsidRPr="00396E93">
        <w:rPr>
          <w:rFonts w:ascii="Arial" w:hAnsi="Arial" w:cs="Arial"/>
          <w:noProof/>
          <w:color w:val="000000"/>
          <w:sz w:val="24"/>
          <w:szCs w:val="24"/>
        </w:rPr>
        <w:t>Conduct a best practices review regarding staffing, call-out acceptance, and shift work strategies, as well as an analysis for additional shifts for each service center and report on the findings to the PUC’s Bureau of Technical Utility Services.</w:t>
      </w:r>
    </w:p>
    <w:p w14:paraId="24FF639A" w14:textId="77777777" w:rsidR="00396E93" w:rsidRPr="00396E93" w:rsidRDefault="00396E93">
      <w:pPr>
        <w:pStyle w:val="ListParagraph"/>
        <w:numPr>
          <w:ilvl w:val="0"/>
          <w:numId w:val="5"/>
        </w:numPr>
        <w:spacing w:after="0" w:line="240" w:lineRule="auto"/>
        <w:ind w:left="1080"/>
        <w:rPr>
          <w:rFonts w:ascii="Arial" w:eastAsia="Times New Roman" w:hAnsi="Arial" w:cs="Times New Roman"/>
          <w:sz w:val="24"/>
          <w:szCs w:val="20"/>
        </w:rPr>
      </w:pPr>
      <w:r w:rsidRPr="001A36E1">
        <w:rPr>
          <w:rFonts w:ascii="Arial" w:hAnsi="Arial" w:cs="Arial"/>
          <w:noProof/>
          <w:color w:val="000000"/>
          <w:sz w:val="24"/>
          <w:szCs w:val="24"/>
        </w:rPr>
        <w:t>Conduct a best practices review of Penn Power’s worst performing circuit rehabilitation strategy</w:t>
      </w:r>
      <w:r w:rsidR="00857DB8">
        <w:rPr>
          <w:rFonts w:ascii="Arial" w:hAnsi="Arial" w:cs="Arial"/>
          <w:noProof/>
          <w:color w:val="000000"/>
          <w:sz w:val="24"/>
          <w:szCs w:val="24"/>
        </w:rPr>
        <w:t>; implement changes across FE-PA company footprint based on the review;</w:t>
      </w:r>
      <w:r w:rsidRPr="001A36E1">
        <w:rPr>
          <w:rFonts w:ascii="Arial" w:hAnsi="Arial" w:cs="Arial"/>
          <w:noProof/>
          <w:color w:val="000000"/>
          <w:sz w:val="24"/>
          <w:szCs w:val="24"/>
        </w:rPr>
        <w:t xml:space="preserve"> and continue to coordinate with the PUC’s Bureau of Technical Utility Services.</w:t>
      </w:r>
    </w:p>
    <w:p w14:paraId="749CC3BD" w14:textId="77777777" w:rsidR="00396E93" w:rsidRPr="00396E93" w:rsidRDefault="00396E93">
      <w:pPr>
        <w:pStyle w:val="ListParagraph"/>
        <w:numPr>
          <w:ilvl w:val="0"/>
          <w:numId w:val="5"/>
        </w:numPr>
        <w:spacing w:after="0" w:line="240" w:lineRule="auto"/>
        <w:ind w:left="1080"/>
        <w:rPr>
          <w:rFonts w:ascii="Arial" w:eastAsia="Times New Roman" w:hAnsi="Arial" w:cs="Times New Roman"/>
          <w:sz w:val="24"/>
          <w:szCs w:val="20"/>
        </w:rPr>
      </w:pPr>
      <w:r w:rsidRPr="001A36E1">
        <w:rPr>
          <w:rFonts w:ascii="Arial" w:hAnsi="Arial" w:cs="Arial"/>
          <w:noProof/>
          <w:color w:val="000000"/>
          <w:sz w:val="24"/>
          <w:szCs w:val="24"/>
        </w:rPr>
        <w:t>Enhance the Damage Prevention Program by defining roles and responsibilities, developing mapping standards, and fully referencing all operational practices and manuals within the Damage Prevention Program.</w:t>
      </w:r>
    </w:p>
    <w:p w14:paraId="3D0E1DB9" w14:textId="77777777" w:rsidR="00396E93" w:rsidRPr="00396E93" w:rsidRDefault="00396E93">
      <w:pPr>
        <w:pStyle w:val="ListParagraph"/>
        <w:numPr>
          <w:ilvl w:val="0"/>
          <w:numId w:val="5"/>
        </w:numPr>
        <w:spacing w:after="0" w:line="240" w:lineRule="auto"/>
        <w:ind w:left="1080"/>
        <w:rPr>
          <w:rFonts w:ascii="Arial" w:eastAsia="Times New Roman" w:hAnsi="Arial" w:cs="Times New Roman"/>
          <w:sz w:val="24"/>
          <w:szCs w:val="20"/>
        </w:rPr>
      </w:pPr>
      <w:r w:rsidRPr="00BF02C3">
        <w:rPr>
          <w:rFonts w:ascii="Arial" w:hAnsi="Arial" w:cs="Arial"/>
          <w:noProof/>
          <w:color w:val="000000"/>
          <w:sz w:val="24"/>
          <w:szCs w:val="24"/>
        </w:rPr>
        <w:t>Complete the backlog reduction plan for Priority 3 repairs as scheduled, and utilize the transmission group employees to continue to address future transmission repairs in a timely fashion.</w:t>
      </w:r>
    </w:p>
    <w:p w14:paraId="619729FB" w14:textId="77777777" w:rsidR="00396E93" w:rsidRPr="00DC4C32" w:rsidRDefault="00396E93">
      <w:pPr>
        <w:pStyle w:val="ListParagraph"/>
        <w:numPr>
          <w:ilvl w:val="0"/>
          <w:numId w:val="5"/>
        </w:numPr>
        <w:spacing w:after="0" w:line="240" w:lineRule="auto"/>
        <w:ind w:left="1080"/>
        <w:rPr>
          <w:rFonts w:ascii="Arial" w:eastAsia="Times New Roman" w:hAnsi="Arial" w:cs="Times New Roman"/>
          <w:sz w:val="24"/>
          <w:szCs w:val="20"/>
        </w:rPr>
      </w:pPr>
      <w:r w:rsidRPr="005C7FED">
        <w:rPr>
          <w:rFonts w:ascii="Arial" w:hAnsi="Arial" w:cs="Arial"/>
          <w:noProof/>
          <w:color w:val="000000"/>
          <w:sz w:val="24"/>
          <w:szCs w:val="24"/>
        </w:rPr>
        <w:t>Continue participation in utility benchmarking studies to ensure inventory goals and practices are aligned with top quartile performing utilities.</w:t>
      </w:r>
    </w:p>
    <w:p w14:paraId="7F3271F9" w14:textId="77777777" w:rsidR="00DC4C32" w:rsidRPr="00DC4C32" w:rsidRDefault="00DC4C32">
      <w:pPr>
        <w:pStyle w:val="ListParagraph"/>
        <w:numPr>
          <w:ilvl w:val="0"/>
          <w:numId w:val="5"/>
        </w:numPr>
        <w:spacing w:after="0" w:line="240" w:lineRule="auto"/>
        <w:ind w:left="1080"/>
        <w:rPr>
          <w:rFonts w:ascii="Arial" w:eastAsia="Times New Roman" w:hAnsi="Arial" w:cs="Times New Roman"/>
          <w:sz w:val="24"/>
          <w:szCs w:val="20"/>
        </w:rPr>
      </w:pPr>
      <w:r w:rsidRPr="00D14C0B">
        <w:rPr>
          <w:rFonts w:ascii="Arial" w:hAnsi="Arial" w:cs="Arial"/>
          <w:noProof/>
          <w:color w:val="000000"/>
          <w:sz w:val="24"/>
          <w:szCs w:val="24"/>
        </w:rPr>
        <w:t>Continue to decrease the percentage and number of meters not read in six and twelve months to be in full compliance with § 56.12.</w:t>
      </w:r>
    </w:p>
    <w:p w14:paraId="4D4B5DF5" w14:textId="77777777" w:rsidR="00DC4C32" w:rsidRPr="00DC4C32" w:rsidRDefault="00DC4C32">
      <w:pPr>
        <w:pStyle w:val="ListParagraph"/>
        <w:numPr>
          <w:ilvl w:val="0"/>
          <w:numId w:val="5"/>
        </w:numPr>
        <w:spacing w:after="0" w:line="240" w:lineRule="auto"/>
        <w:ind w:left="1080"/>
        <w:rPr>
          <w:rFonts w:ascii="Arial" w:eastAsia="Times New Roman" w:hAnsi="Arial" w:cs="Times New Roman"/>
          <w:sz w:val="24"/>
          <w:szCs w:val="20"/>
        </w:rPr>
      </w:pPr>
      <w:r w:rsidRPr="00D14C0B">
        <w:rPr>
          <w:rFonts w:ascii="Arial" w:hAnsi="Arial" w:cs="Arial"/>
          <w:noProof/>
          <w:color w:val="000000"/>
          <w:sz w:val="24"/>
          <w:szCs w:val="24"/>
        </w:rPr>
        <w:t>Establish goals for collection agencies to achieve net collection performance of 11% for primary collections and 2% for secondary collections, monitor the performances of each collection agency, and replace any agency that does not a</w:t>
      </w:r>
      <w:r w:rsidR="00ED0D90">
        <w:rPr>
          <w:rFonts w:ascii="Arial" w:hAnsi="Arial" w:cs="Arial"/>
          <w:noProof/>
          <w:color w:val="000000"/>
          <w:sz w:val="24"/>
          <w:szCs w:val="24"/>
        </w:rPr>
        <w:t>chieve the goals</w:t>
      </w:r>
      <w:r w:rsidR="002E4C1D">
        <w:rPr>
          <w:rFonts w:ascii="Arial" w:hAnsi="Arial" w:cs="Arial"/>
          <w:noProof/>
          <w:color w:val="000000"/>
          <w:sz w:val="24"/>
          <w:szCs w:val="24"/>
        </w:rPr>
        <w:t>.  These improvement</w:t>
      </w:r>
      <w:r w:rsidR="003F4A0A">
        <w:rPr>
          <w:rFonts w:ascii="Arial" w:hAnsi="Arial" w:cs="Arial"/>
          <w:noProof/>
          <w:color w:val="000000"/>
          <w:sz w:val="24"/>
          <w:szCs w:val="24"/>
        </w:rPr>
        <w:t>s</w:t>
      </w:r>
      <w:r w:rsidR="00ED0D90">
        <w:rPr>
          <w:rFonts w:ascii="Arial" w:hAnsi="Arial" w:cs="Arial"/>
          <w:noProof/>
          <w:color w:val="000000"/>
          <w:sz w:val="24"/>
          <w:szCs w:val="24"/>
        </w:rPr>
        <w:t xml:space="preserve"> could </w:t>
      </w:r>
      <w:r w:rsidR="003F4A0A">
        <w:rPr>
          <w:rFonts w:ascii="Arial" w:hAnsi="Arial" w:cs="Arial"/>
          <w:noProof/>
          <w:color w:val="000000"/>
          <w:sz w:val="24"/>
          <w:szCs w:val="24"/>
        </w:rPr>
        <w:t>result in</w:t>
      </w:r>
      <w:r w:rsidR="00ED0D90">
        <w:rPr>
          <w:rFonts w:ascii="Arial" w:hAnsi="Arial" w:cs="Arial"/>
          <w:noProof/>
          <w:color w:val="000000"/>
          <w:sz w:val="24"/>
          <w:szCs w:val="24"/>
        </w:rPr>
        <w:t xml:space="preserve"> </w:t>
      </w:r>
      <w:r w:rsidR="003F4A0A">
        <w:rPr>
          <w:rFonts w:ascii="Arial" w:hAnsi="Arial" w:cs="Arial"/>
          <w:noProof/>
          <w:color w:val="000000"/>
          <w:sz w:val="24"/>
          <w:szCs w:val="24"/>
        </w:rPr>
        <w:t xml:space="preserve">reduced borrowing with a </w:t>
      </w:r>
      <w:r w:rsidR="00ED0D90">
        <w:rPr>
          <w:rFonts w:ascii="Arial" w:hAnsi="Arial" w:cs="Arial"/>
          <w:noProof/>
          <w:color w:val="000000"/>
          <w:sz w:val="24"/>
          <w:szCs w:val="24"/>
        </w:rPr>
        <w:t>potential average annual cost savings of approximately $</w:t>
      </w:r>
      <w:r w:rsidR="003F4A0A">
        <w:rPr>
          <w:rFonts w:ascii="Arial" w:hAnsi="Arial" w:cs="Arial"/>
          <w:noProof/>
          <w:color w:val="000000"/>
          <w:sz w:val="24"/>
          <w:szCs w:val="24"/>
        </w:rPr>
        <w:t xml:space="preserve">75,000 from reduced interest expense for the </w:t>
      </w:r>
      <w:r w:rsidR="00DC3D9B">
        <w:rPr>
          <w:rFonts w:ascii="Arial" w:hAnsi="Arial" w:cs="Arial"/>
          <w:noProof/>
          <w:color w:val="000000"/>
          <w:sz w:val="24"/>
          <w:szCs w:val="24"/>
        </w:rPr>
        <w:t>FE-PA companies</w:t>
      </w:r>
      <w:r w:rsidR="003F4A0A">
        <w:rPr>
          <w:rFonts w:ascii="Arial" w:hAnsi="Arial" w:cs="Arial"/>
          <w:noProof/>
          <w:color w:val="000000"/>
          <w:sz w:val="24"/>
          <w:szCs w:val="24"/>
        </w:rPr>
        <w:t xml:space="preserve"> combined</w:t>
      </w:r>
      <w:r w:rsidR="00ED0D90">
        <w:rPr>
          <w:rFonts w:ascii="Arial" w:hAnsi="Arial" w:cs="Arial"/>
          <w:noProof/>
          <w:color w:val="000000"/>
          <w:sz w:val="24"/>
          <w:szCs w:val="24"/>
        </w:rPr>
        <w:t>.</w:t>
      </w:r>
    </w:p>
    <w:p w14:paraId="5F606D9F" w14:textId="77777777" w:rsidR="00DC4C32" w:rsidRPr="00DC4C32" w:rsidRDefault="00DC4C32">
      <w:pPr>
        <w:pStyle w:val="ListParagraph"/>
        <w:numPr>
          <w:ilvl w:val="0"/>
          <w:numId w:val="5"/>
        </w:numPr>
        <w:spacing w:after="0" w:line="240" w:lineRule="auto"/>
        <w:ind w:left="1080"/>
        <w:rPr>
          <w:rFonts w:ascii="Arial" w:eastAsia="Times New Roman" w:hAnsi="Arial" w:cs="Times New Roman"/>
          <w:sz w:val="24"/>
          <w:szCs w:val="20"/>
        </w:rPr>
      </w:pPr>
      <w:r w:rsidRPr="005844A1">
        <w:rPr>
          <w:rFonts w:ascii="Arial" w:hAnsi="Arial" w:cs="Arial"/>
          <w:noProof/>
          <w:color w:val="000000"/>
          <w:sz w:val="24"/>
          <w:szCs w:val="24"/>
        </w:rPr>
        <w:t xml:space="preserve">Continue to periodically review and improve upon the existing safety program and the implementation of new safety programs </w:t>
      </w:r>
      <w:r w:rsidR="0047772D">
        <w:rPr>
          <w:rFonts w:ascii="Arial" w:hAnsi="Arial" w:cs="Arial"/>
          <w:noProof/>
          <w:color w:val="000000"/>
          <w:sz w:val="24"/>
          <w:szCs w:val="24"/>
        </w:rPr>
        <w:t>to attain performance consistent with established safety goals.</w:t>
      </w:r>
    </w:p>
    <w:p w14:paraId="115A6300" w14:textId="77777777" w:rsidR="00DC4C32" w:rsidRPr="00DC4C32" w:rsidRDefault="0047772D">
      <w:pPr>
        <w:pStyle w:val="ListParagraph"/>
        <w:numPr>
          <w:ilvl w:val="0"/>
          <w:numId w:val="5"/>
        </w:numPr>
        <w:spacing w:after="0" w:line="240" w:lineRule="auto"/>
        <w:ind w:left="1080"/>
        <w:rPr>
          <w:rFonts w:ascii="Arial" w:eastAsia="Times New Roman" w:hAnsi="Arial" w:cs="Times New Roman"/>
          <w:sz w:val="24"/>
          <w:szCs w:val="20"/>
        </w:rPr>
      </w:pPr>
      <w:r>
        <w:rPr>
          <w:rFonts w:ascii="Arial" w:hAnsi="Arial" w:cs="Arial"/>
          <w:noProof/>
          <w:color w:val="000000"/>
          <w:sz w:val="24"/>
          <w:szCs w:val="24"/>
        </w:rPr>
        <w:t>Continue efforts</w:t>
      </w:r>
      <w:r w:rsidR="00DC4C32" w:rsidRPr="00AC5140">
        <w:rPr>
          <w:rFonts w:ascii="Arial" w:hAnsi="Arial" w:cs="Arial"/>
          <w:noProof/>
          <w:color w:val="000000"/>
          <w:sz w:val="24"/>
          <w:szCs w:val="24"/>
        </w:rPr>
        <w:t xml:space="preserve"> to reduce absenteeism through improved sick leave monitoring, counseling, and sharing of best practices.</w:t>
      </w:r>
    </w:p>
    <w:p w14:paraId="5394C29A" w14:textId="77777777" w:rsidR="00DC4C32" w:rsidRPr="00DC4C32" w:rsidRDefault="00DC4C32" w:rsidP="00DC4C32">
      <w:pPr>
        <w:pStyle w:val="ListParagraph"/>
        <w:numPr>
          <w:ilvl w:val="0"/>
          <w:numId w:val="5"/>
        </w:numPr>
        <w:spacing w:after="0" w:line="240" w:lineRule="auto"/>
        <w:ind w:left="1080"/>
        <w:rPr>
          <w:rFonts w:ascii="Arial" w:eastAsia="Times New Roman" w:hAnsi="Arial" w:cs="Times New Roman"/>
          <w:sz w:val="24"/>
          <w:szCs w:val="20"/>
        </w:rPr>
      </w:pPr>
      <w:r w:rsidRPr="00C74F2F">
        <w:rPr>
          <w:rFonts w:ascii="Arial" w:hAnsi="Arial" w:cs="Arial"/>
          <w:noProof/>
          <w:color w:val="000000"/>
          <w:sz w:val="24"/>
          <w:szCs w:val="24"/>
        </w:rPr>
        <w:t>Perform</w:t>
      </w:r>
      <w:r w:rsidR="00701001">
        <w:rPr>
          <w:rFonts w:ascii="Arial" w:hAnsi="Arial" w:cs="Arial"/>
          <w:noProof/>
          <w:color w:val="000000"/>
          <w:sz w:val="24"/>
          <w:szCs w:val="24"/>
        </w:rPr>
        <w:t>, document, and retain</w:t>
      </w:r>
      <w:r w:rsidRPr="00C74F2F">
        <w:rPr>
          <w:rFonts w:ascii="Arial" w:hAnsi="Arial" w:cs="Arial"/>
          <w:noProof/>
          <w:color w:val="000000"/>
          <w:sz w:val="24"/>
          <w:szCs w:val="24"/>
        </w:rPr>
        <w:t xml:space="preserve"> a cost benefit analysis to </w:t>
      </w:r>
      <w:r w:rsidR="00701001">
        <w:rPr>
          <w:rFonts w:ascii="Arial" w:hAnsi="Arial" w:cs="Arial"/>
          <w:noProof/>
          <w:color w:val="000000"/>
          <w:sz w:val="24"/>
          <w:szCs w:val="24"/>
        </w:rPr>
        <w:t>substantiate the decision making process with respect to implementing</w:t>
      </w:r>
      <w:r w:rsidRPr="00C74F2F">
        <w:rPr>
          <w:rFonts w:ascii="Arial" w:hAnsi="Arial" w:cs="Arial"/>
          <w:noProof/>
          <w:color w:val="000000"/>
          <w:sz w:val="24"/>
          <w:szCs w:val="24"/>
        </w:rPr>
        <w:t xml:space="preserve"> </w:t>
      </w:r>
      <w:r w:rsidR="00701001">
        <w:rPr>
          <w:rFonts w:ascii="Arial" w:hAnsi="Arial" w:cs="Arial"/>
          <w:noProof/>
          <w:color w:val="000000"/>
          <w:sz w:val="24"/>
          <w:szCs w:val="24"/>
        </w:rPr>
        <w:t>fuel disbursement</w:t>
      </w:r>
      <w:r w:rsidRPr="00C74F2F">
        <w:rPr>
          <w:rFonts w:ascii="Arial" w:hAnsi="Arial" w:cs="Arial"/>
          <w:noProof/>
          <w:color w:val="000000"/>
          <w:sz w:val="24"/>
          <w:szCs w:val="24"/>
        </w:rPr>
        <w:t xml:space="preserve"> mechanisms/controls at</w:t>
      </w:r>
      <w:r w:rsidR="00701001">
        <w:rPr>
          <w:rFonts w:ascii="Arial" w:hAnsi="Arial" w:cs="Arial"/>
          <w:noProof/>
          <w:color w:val="000000"/>
          <w:sz w:val="24"/>
          <w:szCs w:val="24"/>
        </w:rPr>
        <w:t xml:space="preserve"> on-site</w:t>
      </w:r>
      <w:r w:rsidRPr="00C74F2F">
        <w:rPr>
          <w:rFonts w:ascii="Arial" w:hAnsi="Arial" w:cs="Arial"/>
          <w:noProof/>
          <w:color w:val="000000"/>
          <w:sz w:val="24"/>
          <w:szCs w:val="24"/>
        </w:rPr>
        <w:t xml:space="preserve"> fueling stations.</w:t>
      </w:r>
    </w:p>
    <w:p w14:paraId="0CFA725A" w14:textId="77777777" w:rsidR="003946A1" w:rsidRDefault="003946A1">
      <w:pPr>
        <w:spacing w:after="0" w:line="240" w:lineRule="auto"/>
        <w:ind w:firstLine="720"/>
        <w:rPr>
          <w:rFonts w:ascii="Arial" w:hAnsi="Arial" w:cs="Arial"/>
          <w:sz w:val="24"/>
          <w:szCs w:val="24"/>
        </w:rPr>
      </w:pPr>
    </w:p>
    <w:p w14:paraId="7F01A974" w14:textId="77777777" w:rsidR="003946A1" w:rsidRDefault="003946A1">
      <w:pPr>
        <w:spacing w:after="0" w:line="240" w:lineRule="auto"/>
        <w:ind w:firstLine="720"/>
        <w:rPr>
          <w:rFonts w:ascii="Arial" w:hAnsi="Arial" w:cs="Arial"/>
          <w:sz w:val="24"/>
          <w:szCs w:val="24"/>
        </w:rPr>
      </w:pPr>
    </w:p>
    <w:p w14:paraId="7DCEC145" w14:textId="7A94C253" w:rsidR="00BD4FE2" w:rsidRPr="000C33E4" w:rsidRDefault="0070221F">
      <w:pPr>
        <w:spacing w:after="0" w:line="240" w:lineRule="auto"/>
        <w:ind w:firstLine="720"/>
        <w:sectPr w:rsidR="00BD4FE2" w:rsidRPr="000C33E4" w:rsidSect="004032DF">
          <w:pgSz w:w="12240" w:h="15840" w:code="1"/>
          <w:pgMar w:top="1440" w:right="1440" w:bottom="1008" w:left="1440" w:header="1440" w:footer="720" w:gutter="0"/>
          <w:pgNumType w:fmt="numberInDash" w:start="1"/>
          <w:cols w:space="720"/>
          <w:noEndnote/>
          <w:docGrid w:linePitch="326"/>
        </w:sectPr>
      </w:pPr>
      <w:r>
        <w:rPr>
          <w:rFonts w:ascii="Arial" w:hAnsi="Arial" w:cs="Arial"/>
          <w:sz w:val="24"/>
          <w:szCs w:val="24"/>
        </w:rPr>
        <w:t xml:space="preserve">Exhibit II-1 </w:t>
      </w:r>
      <w:r w:rsidRPr="0008755D">
        <w:rPr>
          <w:rFonts w:ascii="Arial" w:hAnsi="Arial" w:cs="Arial"/>
          <w:sz w:val="24"/>
          <w:szCs w:val="24"/>
        </w:rPr>
        <w:t xml:space="preserve">summarizes the </w:t>
      </w:r>
      <w:r w:rsidR="00616636">
        <w:rPr>
          <w:rFonts w:ascii="Arial" w:hAnsi="Arial" w:cs="Arial"/>
          <w:sz w:val="24"/>
          <w:szCs w:val="24"/>
        </w:rPr>
        <w:t>2</w:t>
      </w:r>
      <w:r w:rsidR="006D3B6C">
        <w:rPr>
          <w:rFonts w:ascii="Arial" w:hAnsi="Arial" w:cs="Arial"/>
          <w:sz w:val="24"/>
          <w:szCs w:val="24"/>
        </w:rPr>
        <w:t>7</w:t>
      </w:r>
      <w:r>
        <w:rPr>
          <w:rFonts w:ascii="Arial" w:hAnsi="Arial" w:cs="Arial"/>
          <w:sz w:val="24"/>
          <w:szCs w:val="24"/>
        </w:rPr>
        <w:t xml:space="preserve"> prior recommendation</w:t>
      </w:r>
      <w:r w:rsidR="00CD2762">
        <w:rPr>
          <w:rFonts w:ascii="Arial" w:hAnsi="Arial" w:cs="Arial"/>
          <w:sz w:val="24"/>
          <w:szCs w:val="24"/>
        </w:rPr>
        <w:t>s reviewed and the</w:t>
      </w:r>
      <w:r w:rsidR="00616636">
        <w:rPr>
          <w:rFonts w:ascii="Arial" w:hAnsi="Arial" w:cs="Arial"/>
          <w:sz w:val="24"/>
          <w:szCs w:val="24"/>
        </w:rPr>
        <w:t xml:space="preserve"> PUC</w:t>
      </w:r>
      <w:r w:rsidR="00CD2762">
        <w:rPr>
          <w:rFonts w:ascii="Arial" w:hAnsi="Arial" w:cs="Arial"/>
          <w:sz w:val="24"/>
          <w:szCs w:val="24"/>
        </w:rPr>
        <w:t xml:space="preserve"> a</w:t>
      </w:r>
      <w:r w:rsidR="00D075D0">
        <w:rPr>
          <w:rFonts w:ascii="Arial" w:hAnsi="Arial" w:cs="Arial"/>
          <w:sz w:val="24"/>
          <w:szCs w:val="24"/>
        </w:rPr>
        <w:t>uditors’</w:t>
      </w:r>
      <w:r>
        <w:rPr>
          <w:rFonts w:ascii="Arial" w:hAnsi="Arial" w:cs="Arial"/>
          <w:sz w:val="24"/>
          <w:szCs w:val="24"/>
        </w:rPr>
        <w:t xml:space="preserve"> follow-up findings, con</w:t>
      </w:r>
      <w:r w:rsidR="00C64DC9">
        <w:rPr>
          <w:rFonts w:ascii="Arial" w:hAnsi="Arial" w:cs="Arial"/>
          <w:sz w:val="24"/>
          <w:szCs w:val="24"/>
        </w:rPr>
        <w:t>clusions, and recommendations.</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0"/>
        <w:gridCol w:w="3180"/>
        <w:gridCol w:w="3180"/>
      </w:tblGrid>
      <w:tr w:rsidR="00BD4FE2" w:rsidRPr="00B36DAF" w14:paraId="3B573AD2" w14:textId="77777777" w:rsidTr="00FB4340">
        <w:trPr>
          <w:trHeight w:val="576"/>
        </w:trPr>
        <w:tc>
          <w:tcPr>
            <w:tcW w:w="3180" w:type="dxa"/>
            <w:tcBorders>
              <w:right w:val="double" w:sz="4" w:space="0" w:color="auto"/>
            </w:tcBorders>
            <w:shd w:val="clear" w:color="auto" w:fill="auto"/>
            <w:vAlign w:val="bottom"/>
            <w:hideMark/>
          </w:tcPr>
          <w:p w14:paraId="7FD97743" w14:textId="77777777" w:rsidR="00BD4FE2" w:rsidRPr="00A93F8C" w:rsidRDefault="00BD4FE2">
            <w:pPr>
              <w:spacing w:after="0" w:line="240" w:lineRule="auto"/>
              <w:jc w:val="center"/>
              <w:rPr>
                <w:rFonts w:ascii="Arial" w:hAnsi="Arial" w:cs="Arial"/>
                <w:b/>
                <w:bCs/>
                <w:color w:val="000000"/>
                <w:sz w:val="24"/>
                <w:szCs w:val="24"/>
              </w:rPr>
            </w:pPr>
            <w:r w:rsidRPr="00A93F8C">
              <w:rPr>
                <w:rFonts w:ascii="Arial" w:hAnsi="Arial" w:cs="Arial"/>
                <w:b/>
                <w:bCs/>
                <w:color w:val="000000"/>
                <w:sz w:val="24"/>
                <w:szCs w:val="24"/>
              </w:rPr>
              <w:t>Prior MA</w:t>
            </w:r>
            <w:r w:rsidRPr="00A93F8C">
              <w:rPr>
                <w:rFonts w:ascii="Arial" w:hAnsi="Arial" w:cs="Arial"/>
                <w:b/>
                <w:bCs/>
                <w:color w:val="000000"/>
                <w:sz w:val="24"/>
                <w:szCs w:val="24"/>
                <w:u w:val="single"/>
              </w:rPr>
              <w:t xml:space="preserve"> </w:t>
            </w:r>
            <w:r w:rsidRPr="00A93F8C">
              <w:rPr>
                <w:rFonts w:ascii="Arial" w:hAnsi="Arial" w:cs="Arial"/>
                <w:b/>
                <w:bCs/>
                <w:color w:val="000000"/>
                <w:sz w:val="24"/>
                <w:szCs w:val="24"/>
              </w:rPr>
              <w:t>Recommendations</w:t>
            </w:r>
          </w:p>
        </w:tc>
        <w:tc>
          <w:tcPr>
            <w:tcW w:w="3180" w:type="dxa"/>
            <w:tcBorders>
              <w:top w:val="single" w:sz="4" w:space="0" w:color="auto"/>
              <w:left w:val="double" w:sz="4" w:space="0" w:color="auto"/>
              <w:bottom w:val="single" w:sz="4" w:space="0" w:color="auto"/>
              <w:right w:val="single" w:sz="4" w:space="0" w:color="auto"/>
            </w:tcBorders>
            <w:shd w:val="clear" w:color="auto" w:fill="auto"/>
            <w:vAlign w:val="bottom"/>
            <w:hideMark/>
          </w:tcPr>
          <w:p w14:paraId="54C147A4" w14:textId="77777777" w:rsidR="00BD4FE2" w:rsidRPr="00A93F8C" w:rsidRDefault="00106658">
            <w:pPr>
              <w:spacing w:after="0" w:line="240" w:lineRule="auto"/>
              <w:jc w:val="center"/>
              <w:rPr>
                <w:rFonts w:ascii="Arial" w:hAnsi="Arial" w:cs="Arial"/>
                <w:b/>
                <w:bCs/>
                <w:color w:val="000000"/>
                <w:sz w:val="24"/>
                <w:szCs w:val="24"/>
              </w:rPr>
            </w:pPr>
            <w:r>
              <w:rPr>
                <w:rFonts w:ascii="Arial" w:hAnsi="Arial" w:cs="Arial"/>
                <w:b/>
                <w:bCs/>
                <w:color w:val="000000"/>
                <w:sz w:val="24"/>
                <w:szCs w:val="24"/>
              </w:rPr>
              <w:t>MEI Follow-up Findings a</w:t>
            </w:r>
            <w:r w:rsidR="00BD4FE2" w:rsidRPr="00A93F8C">
              <w:rPr>
                <w:rFonts w:ascii="Arial" w:hAnsi="Arial" w:cs="Arial"/>
                <w:b/>
                <w:bCs/>
                <w:color w:val="000000"/>
                <w:sz w:val="24"/>
                <w:szCs w:val="24"/>
              </w:rPr>
              <w:t>nd Conclusions</w:t>
            </w:r>
          </w:p>
        </w:tc>
        <w:tc>
          <w:tcPr>
            <w:tcW w:w="3180" w:type="dxa"/>
            <w:tcBorders>
              <w:left w:val="single" w:sz="4" w:space="0" w:color="auto"/>
            </w:tcBorders>
            <w:shd w:val="clear" w:color="auto" w:fill="auto"/>
            <w:vAlign w:val="bottom"/>
            <w:hideMark/>
          </w:tcPr>
          <w:p w14:paraId="15E633A0" w14:textId="77777777" w:rsidR="00BD4FE2" w:rsidRPr="00A93F8C" w:rsidRDefault="00BD4FE2">
            <w:pPr>
              <w:spacing w:after="0" w:line="240" w:lineRule="auto"/>
              <w:ind w:right="-108"/>
              <w:jc w:val="center"/>
              <w:rPr>
                <w:rFonts w:ascii="Arial" w:hAnsi="Arial" w:cs="Arial"/>
                <w:b/>
                <w:bCs/>
                <w:color w:val="000000"/>
                <w:sz w:val="24"/>
                <w:szCs w:val="24"/>
              </w:rPr>
            </w:pPr>
            <w:r w:rsidRPr="00A93F8C">
              <w:rPr>
                <w:rFonts w:ascii="Arial" w:hAnsi="Arial" w:cs="Arial"/>
                <w:b/>
                <w:bCs/>
                <w:color w:val="000000"/>
                <w:sz w:val="24"/>
                <w:szCs w:val="24"/>
              </w:rPr>
              <w:t>MEI Follow-up</w:t>
            </w:r>
            <w:r w:rsidRPr="00A93F8C">
              <w:rPr>
                <w:rFonts w:ascii="Arial" w:hAnsi="Arial" w:cs="Arial"/>
                <w:b/>
                <w:bCs/>
                <w:color w:val="000000"/>
                <w:sz w:val="24"/>
                <w:szCs w:val="24"/>
                <w:u w:val="single"/>
              </w:rPr>
              <w:t xml:space="preserve"> </w:t>
            </w:r>
            <w:r w:rsidRPr="00A93F8C">
              <w:rPr>
                <w:rFonts w:ascii="Arial" w:hAnsi="Arial" w:cs="Arial"/>
                <w:b/>
                <w:bCs/>
                <w:color w:val="000000"/>
                <w:sz w:val="24"/>
                <w:szCs w:val="24"/>
              </w:rPr>
              <w:t>Recommendations</w:t>
            </w:r>
          </w:p>
        </w:tc>
      </w:tr>
      <w:tr w:rsidR="00A4222B" w:rsidRPr="00B36DAF" w14:paraId="50DCE0B6" w14:textId="77777777" w:rsidTr="00275127">
        <w:trPr>
          <w:trHeight w:val="360"/>
        </w:trPr>
        <w:tc>
          <w:tcPr>
            <w:tcW w:w="9540" w:type="dxa"/>
            <w:gridSpan w:val="3"/>
            <w:shd w:val="clear" w:color="auto" w:fill="auto"/>
            <w:vAlign w:val="center"/>
          </w:tcPr>
          <w:p w14:paraId="1C785EE3" w14:textId="77777777" w:rsidR="00A4222B" w:rsidRPr="00AC73FC" w:rsidRDefault="008603CB" w:rsidP="00DB7ED6">
            <w:pPr>
              <w:spacing w:after="0" w:line="240" w:lineRule="auto"/>
              <w:rPr>
                <w:rFonts w:ascii="Arial" w:hAnsi="Arial" w:cs="Arial"/>
                <w:color w:val="000000"/>
                <w:sz w:val="24"/>
                <w:szCs w:val="24"/>
                <w:highlight w:val="yellow"/>
              </w:rPr>
            </w:pPr>
            <w:r w:rsidRPr="00AC73FC">
              <w:rPr>
                <w:rFonts w:ascii="Arial" w:hAnsi="Arial" w:cs="Arial"/>
                <w:b/>
                <w:bCs/>
                <w:color w:val="000000"/>
                <w:sz w:val="24"/>
                <w:szCs w:val="24"/>
              </w:rPr>
              <w:t>III</w:t>
            </w:r>
            <w:r w:rsidR="00A4222B" w:rsidRPr="00AC73FC">
              <w:rPr>
                <w:rFonts w:ascii="Arial" w:hAnsi="Arial" w:cs="Arial"/>
                <w:b/>
                <w:bCs/>
                <w:color w:val="000000"/>
                <w:sz w:val="24"/>
                <w:szCs w:val="24"/>
              </w:rPr>
              <w:t xml:space="preserve">. </w:t>
            </w:r>
            <w:r w:rsidR="00FB4340" w:rsidRPr="00AC73FC">
              <w:rPr>
                <w:rFonts w:ascii="Arial" w:hAnsi="Arial" w:cs="Arial"/>
                <w:b/>
                <w:bCs/>
                <w:color w:val="000000"/>
                <w:sz w:val="24"/>
                <w:szCs w:val="24"/>
              </w:rPr>
              <w:t xml:space="preserve"> </w:t>
            </w:r>
            <w:r w:rsidR="00106658" w:rsidRPr="00AC73FC">
              <w:rPr>
                <w:rFonts w:ascii="Arial" w:hAnsi="Arial" w:cs="Arial"/>
                <w:b/>
                <w:bCs/>
                <w:color w:val="000000"/>
                <w:sz w:val="24"/>
                <w:szCs w:val="24"/>
              </w:rPr>
              <w:t>EXECUTIVE</w:t>
            </w:r>
            <w:r w:rsidR="00734E7B" w:rsidRPr="00AC73FC">
              <w:rPr>
                <w:rFonts w:ascii="Arial" w:hAnsi="Arial" w:cs="Arial"/>
                <w:b/>
                <w:bCs/>
                <w:color w:val="000000"/>
                <w:sz w:val="24"/>
                <w:szCs w:val="24"/>
              </w:rPr>
              <w:t xml:space="preserve"> MANAGEMENT</w:t>
            </w:r>
            <w:r w:rsidR="00106658" w:rsidRPr="00AC73FC">
              <w:rPr>
                <w:rFonts w:ascii="Arial" w:hAnsi="Arial" w:cs="Arial"/>
                <w:b/>
                <w:bCs/>
                <w:color w:val="000000"/>
                <w:sz w:val="24"/>
                <w:szCs w:val="24"/>
              </w:rPr>
              <w:t xml:space="preserve"> AND ORGANIZATIONAL STRUCTURE</w:t>
            </w:r>
            <w:r w:rsidR="00616636" w:rsidRPr="00AC73FC">
              <w:rPr>
                <w:rFonts w:ascii="Arial" w:hAnsi="Arial" w:cs="Arial"/>
                <w:b/>
                <w:bCs/>
                <w:color w:val="000000"/>
                <w:sz w:val="24"/>
                <w:szCs w:val="24"/>
              </w:rPr>
              <w:t xml:space="preserve"> (Page </w:t>
            </w:r>
            <w:r w:rsidR="00DE1425">
              <w:rPr>
                <w:rFonts w:ascii="Arial" w:hAnsi="Arial" w:cs="Arial"/>
                <w:b/>
                <w:bCs/>
                <w:color w:val="000000"/>
                <w:sz w:val="24"/>
                <w:szCs w:val="24"/>
              </w:rPr>
              <w:t>11)</w:t>
            </w:r>
          </w:p>
        </w:tc>
      </w:tr>
      <w:tr w:rsidR="00661CE9" w:rsidRPr="00B36DAF" w14:paraId="45D0981B" w14:textId="77777777" w:rsidTr="00EE4A9B">
        <w:trPr>
          <w:trHeight w:val="602"/>
        </w:trPr>
        <w:tc>
          <w:tcPr>
            <w:tcW w:w="3180" w:type="dxa"/>
            <w:tcBorders>
              <w:right w:val="double" w:sz="4" w:space="0" w:color="auto"/>
            </w:tcBorders>
            <w:shd w:val="clear" w:color="auto" w:fill="auto"/>
          </w:tcPr>
          <w:p w14:paraId="44A59370" w14:textId="77777777" w:rsidR="00661CE9" w:rsidRPr="00AC73FC" w:rsidRDefault="00106658" w:rsidP="0039219A">
            <w:pPr>
              <w:spacing w:after="0" w:line="240" w:lineRule="auto"/>
              <w:rPr>
                <w:rFonts w:ascii="Arial" w:hAnsi="Arial" w:cs="Arial"/>
              </w:rPr>
            </w:pPr>
            <w:r w:rsidRPr="00AC73FC">
              <w:rPr>
                <w:rFonts w:ascii="Arial" w:eastAsia="Times New Roman" w:hAnsi="Arial" w:cs="Times New Roman"/>
              </w:rPr>
              <w:t xml:space="preserve">Establish target goals for metrics used in the Executive Leadership Team Reports and/or Key Performance Indicators that are linked to the </w:t>
            </w:r>
            <w:r w:rsidR="00DC3D9B">
              <w:rPr>
                <w:rFonts w:ascii="Arial" w:eastAsia="Times New Roman" w:hAnsi="Arial" w:cs="Times New Roman"/>
              </w:rPr>
              <w:t>FE-PA companies</w:t>
            </w:r>
            <w:r w:rsidRPr="00AC73FC">
              <w:rPr>
                <w:rFonts w:ascii="Arial" w:eastAsia="Times New Roman" w:hAnsi="Arial" w:cs="Times New Roman"/>
              </w:rPr>
              <w:t xml:space="preserve"> stated performance objectives and/or other regulatory requirements.</w:t>
            </w:r>
          </w:p>
        </w:tc>
        <w:tc>
          <w:tcPr>
            <w:tcW w:w="3180" w:type="dxa"/>
            <w:tcBorders>
              <w:top w:val="single" w:sz="4" w:space="0" w:color="auto"/>
              <w:left w:val="double" w:sz="4" w:space="0" w:color="auto"/>
              <w:bottom w:val="single" w:sz="4" w:space="0" w:color="auto"/>
              <w:right w:val="single" w:sz="4" w:space="0" w:color="auto"/>
            </w:tcBorders>
            <w:shd w:val="clear" w:color="auto" w:fill="auto"/>
          </w:tcPr>
          <w:p w14:paraId="1F160A0E" w14:textId="77777777" w:rsidR="00661CE9" w:rsidRPr="00AC73FC" w:rsidRDefault="008603CB" w:rsidP="007547AA">
            <w:pPr>
              <w:spacing w:after="0" w:line="240" w:lineRule="auto"/>
              <w:rPr>
                <w:rFonts w:ascii="Arial" w:hAnsi="Arial" w:cs="Arial"/>
              </w:rPr>
            </w:pPr>
            <w:r w:rsidRPr="00AC73FC">
              <w:rPr>
                <w:rFonts w:ascii="Arial" w:hAnsi="Arial" w:cs="Arial"/>
              </w:rPr>
              <w:t>III</w:t>
            </w:r>
            <w:r w:rsidR="00275127" w:rsidRPr="00AC73FC">
              <w:rPr>
                <w:rFonts w:ascii="Arial" w:hAnsi="Arial" w:cs="Arial"/>
              </w:rPr>
              <w:t xml:space="preserve">-1 </w:t>
            </w:r>
            <w:r w:rsidR="002F44C8" w:rsidRPr="00AC73FC">
              <w:rPr>
                <w:rFonts w:ascii="Arial" w:hAnsi="Arial" w:cs="Arial"/>
              </w:rPr>
              <w:t>–</w:t>
            </w:r>
            <w:r w:rsidR="00275127" w:rsidRPr="00AC73FC">
              <w:rPr>
                <w:rFonts w:ascii="Arial" w:hAnsi="Arial" w:cs="Arial"/>
              </w:rPr>
              <w:t xml:space="preserve"> </w:t>
            </w:r>
            <w:r w:rsidR="00DC3D9B">
              <w:rPr>
                <w:rFonts w:ascii="Arial" w:hAnsi="Arial" w:cs="Arial"/>
              </w:rPr>
              <w:t>FE-PA companies</w:t>
            </w:r>
            <w:r w:rsidR="008539E4">
              <w:rPr>
                <w:rFonts w:ascii="Arial" w:hAnsi="Arial" w:cs="Arial"/>
              </w:rPr>
              <w:t xml:space="preserve"> have not met </w:t>
            </w:r>
            <w:r w:rsidR="007175D8">
              <w:rPr>
                <w:rFonts w:ascii="Arial" w:hAnsi="Arial" w:cs="Arial"/>
              </w:rPr>
              <w:t xml:space="preserve">all </w:t>
            </w:r>
            <w:r w:rsidR="008539E4">
              <w:rPr>
                <w:rFonts w:ascii="Arial" w:hAnsi="Arial" w:cs="Arial"/>
              </w:rPr>
              <w:t>established</w:t>
            </w:r>
            <w:r w:rsidR="006E4278">
              <w:rPr>
                <w:rFonts w:ascii="Arial" w:hAnsi="Arial" w:cs="Arial"/>
              </w:rPr>
              <w:t xml:space="preserve"> </w:t>
            </w:r>
            <w:r w:rsidR="008539E4">
              <w:rPr>
                <w:rFonts w:ascii="Arial" w:hAnsi="Arial" w:cs="Arial"/>
              </w:rPr>
              <w:t xml:space="preserve">target goals nor have goals been established </w:t>
            </w:r>
            <w:r w:rsidR="006E4278">
              <w:rPr>
                <w:rFonts w:ascii="Arial" w:hAnsi="Arial" w:cs="Arial"/>
              </w:rPr>
              <w:t>to</w:t>
            </w:r>
            <w:r w:rsidR="008539E4">
              <w:rPr>
                <w:rFonts w:ascii="Arial" w:hAnsi="Arial" w:cs="Arial"/>
              </w:rPr>
              <w:t xml:space="preserve"> meet regulatory requirements for various metrics.</w:t>
            </w:r>
          </w:p>
        </w:tc>
        <w:tc>
          <w:tcPr>
            <w:tcW w:w="3180" w:type="dxa"/>
            <w:tcBorders>
              <w:left w:val="single" w:sz="4" w:space="0" w:color="auto"/>
            </w:tcBorders>
            <w:shd w:val="clear" w:color="auto" w:fill="auto"/>
          </w:tcPr>
          <w:p w14:paraId="2B8C70D0" w14:textId="77777777" w:rsidR="00661CE9" w:rsidRPr="00AC73FC" w:rsidRDefault="00106658" w:rsidP="00EE4A9B">
            <w:pPr>
              <w:spacing w:after="0" w:line="240" w:lineRule="auto"/>
              <w:rPr>
                <w:rFonts w:ascii="Arial" w:hAnsi="Arial" w:cs="Arial"/>
                <w:noProof/>
                <w:color w:val="000000"/>
              </w:rPr>
            </w:pPr>
            <w:r w:rsidRPr="00AC73FC">
              <w:rPr>
                <w:rFonts w:ascii="Arial" w:hAnsi="Arial" w:cs="Arial"/>
                <w:noProof/>
                <w:color w:val="000000"/>
              </w:rPr>
              <w:t xml:space="preserve">Review best practices throughout the </w:t>
            </w:r>
            <w:r w:rsidR="00DC3D9B">
              <w:rPr>
                <w:rFonts w:ascii="Arial" w:hAnsi="Arial" w:cs="Arial"/>
                <w:noProof/>
                <w:color w:val="000000"/>
              </w:rPr>
              <w:t>FE-PA companies</w:t>
            </w:r>
            <w:r w:rsidRPr="00AC73FC">
              <w:rPr>
                <w:rFonts w:ascii="Arial" w:hAnsi="Arial" w:cs="Arial"/>
                <w:noProof/>
                <w:color w:val="000000"/>
              </w:rPr>
              <w:t xml:space="preserve"> to ensure that all targets are being met, establish </w:t>
            </w:r>
            <w:r w:rsidR="0054157C">
              <w:rPr>
                <w:rFonts w:ascii="Arial" w:hAnsi="Arial" w:cs="Arial"/>
                <w:noProof/>
                <w:color w:val="000000"/>
              </w:rPr>
              <w:t xml:space="preserve">metrics and </w:t>
            </w:r>
            <w:r w:rsidRPr="00AC73FC">
              <w:rPr>
                <w:rFonts w:ascii="Arial" w:hAnsi="Arial" w:cs="Arial"/>
                <w:noProof/>
                <w:color w:val="000000"/>
              </w:rPr>
              <w:t>targets and monitor performance related to shift work, if implemented, and ensure, at a minimum, targets are at a level that meets regulatory requirements.</w:t>
            </w:r>
          </w:p>
        </w:tc>
      </w:tr>
      <w:tr w:rsidR="008F3713" w:rsidRPr="00B36DAF" w14:paraId="29ED4A7F" w14:textId="77777777" w:rsidTr="008F3713">
        <w:trPr>
          <w:trHeight w:val="360"/>
        </w:trPr>
        <w:tc>
          <w:tcPr>
            <w:tcW w:w="9540" w:type="dxa"/>
            <w:gridSpan w:val="3"/>
            <w:shd w:val="clear" w:color="auto" w:fill="auto"/>
            <w:vAlign w:val="center"/>
          </w:tcPr>
          <w:p w14:paraId="6E6814A7" w14:textId="77777777" w:rsidR="008F3713" w:rsidRPr="00AC73FC" w:rsidRDefault="008F3713" w:rsidP="008F3713">
            <w:pPr>
              <w:spacing w:after="0" w:line="240" w:lineRule="auto"/>
              <w:rPr>
                <w:rFonts w:ascii="Arial" w:hAnsi="Arial" w:cs="Arial"/>
                <w:sz w:val="24"/>
                <w:szCs w:val="24"/>
                <w:highlight w:val="yellow"/>
              </w:rPr>
            </w:pPr>
            <w:r w:rsidRPr="00AC73FC">
              <w:rPr>
                <w:rFonts w:ascii="Arial" w:hAnsi="Arial" w:cs="Arial"/>
                <w:b/>
                <w:color w:val="000000"/>
                <w:sz w:val="24"/>
                <w:szCs w:val="24"/>
              </w:rPr>
              <w:t xml:space="preserve">IV. </w:t>
            </w:r>
            <w:r w:rsidR="00445EB0" w:rsidRPr="00AC73FC">
              <w:rPr>
                <w:rFonts w:ascii="Arial" w:hAnsi="Arial" w:cs="Arial"/>
                <w:b/>
                <w:color w:val="000000"/>
                <w:sz w:val="24"/>
                <w:szCs w:val="24"/>
              </w:rPr>
              <w:t>CORPORATE GOVERNANCE</w:t>
            </w:r>
            <w:r w:rsidR="00616636" w:rsidRPr="00AC73FC">
              <w:rPr>
                <w:rFonts w:ascii="Arial" w:hAnsi="Arial" w:cs="Arial"/>
                <w:b/>
                <w:color w:val="000000"/>
                <w:sz w:val="24"/>
                <w:szCs w:val="24"/>
              </w:rPr>
              <w:t xml:space="preserve"> </w:t>
            </w:r>
            <w:r w:rsidR="00DE1425">
              <w:rPr>
                <w:rFonts w:ascii="Arial" w:hAnsi="Arial" w:cs="Arial"/>
                <w:b/>
                <w:bCs/>
                <w:color w:val="000000"/>
                <w:sz w:val="24"/>
                <w:szCs w:val="24"/>
              </w:rPr>
              <w:t xml:space="preserve">(Page </w:t>
            </w:r>
            <w:r w:rsidR="0070288B">
              <w:rPr>
                <w:rFonts w:ascii="Arial" w:hAnsi="Arial" w:cs="Arial"/>
                <w:b/>
                <w:bCs/>
                <w:color w:val="000000"/>
                <w:sz w:val="24"/>
                <w:szCs w:val="24"/>
              </w:rPr>
              <w:t>17</w:t>
            </w:r>
            <w:r w:rsidR="00616636" w:rsidRPr="00616636">
              <w:rPr>
                <w:rFonts w:ascii="Arial" w:hAnsi="Arial" w:cs="Arial"/>
                <w:b/>
                <w:bCs/>
                <w:color w:val="000000"/>
                <w:sz w:val="24"/>
                <w:szCs w:val="24"/>
              </w:rPr>
              <w:t>)</w:t>
            </w:r>
          </w:p>
        </w:tc>
      </w:tr>
      <w:tr w:rsidR="002F44C8" w:rsidRPr="00B36DAF" w14:paraId="6D029351" w14:textId="77777777" w:rsidTr="00BD4FE2">
        <w:trPr>
          <w:trHeight w:val="1655"/>
        </w:trPr>
        <w:tc>
          <w:tcPr>
            <w:tcW w:w="3180" w:type="dxa"/>
            <w:tcBorders>
              <w:right w:val="double" w:sz="4" w:space="0" w:color="auto"/>
            </w:tcBorders>
            <w:shd w:val="clear" w:color="auto" w:fill="auto"/>
          </w:tcPr>
          <w:p w14:paraId="0F4FBF7C" w14:textId="77777777" w:rsidR="002F44C8" w:rsidRPr="00AC73FC" w:rsidRDefault="00445EB0" w:rsidP="0039219A">
            <w:pPr>
              <w:spacing w:after="0" w:line="240" w:lineRule="auto"/>
              <w:rPr>
                <w:rFonts w:ascii="Arial" w:hAnsi="Arial" w:cs="Arial"/>
                <w:highlight w:val="yellow"/>
              </w:rPr>
            </w:pPr>
            <w:r w:rsidRPr="00AC73FC">
              <w:rPr>
                <w:rFonts w:ascii="Arial" w:hAnsi="Arial" w:cs="Arial"/>
              </w:rPr>
              <w:t>Periodically rebid and/or conduct cost comparisons for external audit services.</w:t>
            </w:r>
          </w:p>
        </w:tc>
        <w:tc>
          <w:tcPr>
            <w:tcW w:w="3180" w:type="dxa"/>
            <w:tcBorders>
              <w:top w:val="single" w:sz="4" w:space="0" w:color="auto"/>
              <w:left w:val="double" w:sz="4" w:space="0" w:color="auto"/>
              <w:bottom w:val="single" w:sz="4" w:space="0" w:color="auto"/>
              <w:right w:val="single" w:sz="4" w:space="0" w:color="auto"/>
            </w:tcBorders>
            <w:shd w:val="clear" w:color="auto" w:fill="auto"/>
          </w:tcPr>
          <w:p w14:paraId="0171A741" w14:textId="77777777" w:rsidR="002F44C8" w:rsidRPr="00AC73FC" w:rsidRDefault="00175671" w:rsidP="00725950">
            <w:pPr>
              <w:spacing w:after="0" w:line="240" w:lineRule="auto"/>
              <w:rPr>
                <w:rFonts w:ascii="Arial" w:hAnsi="Arial" w:cs="Arial"/>
                <w:highlight w:val="yellow"/>
              </w:rPr>
            </w:pPr>
            <w:r w:rsidRPr="00AC73FC">
              <w:rPr>
                <w:rFonts w:ascii="Arial" w:hAnsi="Arial" w:cs="Arial"/>
              </w:rPr>
              <w:t xml:space="preserve">IV-1 – </w:t>
            </w:r>
            <w:r w:rsidR="00445EB0" w:rsidRPr="00AC73FC">
              <w:rPr>
                <w:rFonts w:ascii="Arial" w:hAnsi="Arial" w:cs="Arial"/>
              </w:rPr>
              <w:t>The proposed external audit fees for 2016 were benchmarked against sixteen peer companies and reviewed by management and the Audit Committee when approving the independent auditor.</w:t>
            </w:r>
          </w:p>
        </w:tc>
        <w:tc>
          <w:tcPr>
            <w:tcW w:w="3180" w:type="dxa"/>
            <w:tcBorders>
              <w:left w:val="single" w:sz="4" w:space="0" w:color="auto"/>
            </w:tcBorders>
            <w:shd w:val="clear" w:color="auto" w:fill="auto"/>
          </w:tcPr>
          <w:p w14:paraId="002A2CBA" w14:textId="4A2B1350" w:rsidR="002F44C8" w:rsidRPr="00AC73FC" w:rsidRDefault="00175671" w:rsidP="002F44C8">
            <w:pPr>
              <w:spacing w:after="0" w:line="240" w:lineRule="auto"/>
              <w:rPr>
                <w:rFonts w:ascii="Arial" w:hAnsi="Arial" w:cs="Arial"/>
                <w:highlight w:val="yellow"/>
              </w:rPr>
            </w:pPr>
            <w:r w:rsidRPr="00AC73FC">
              <w:rPr>
                <w:rFonts w:ascii="Arial" w:hAnsi="Arial" w:cs="Arial"/>
              </w:rPr>
              <w:t>None</w:t>
            </w:r>
          </w:p>
        </w:tc>
      </w:tr>
      <w:tr w:rsidR="00F72C9E" w:rsidRPr="00B36DAF" w14:paraId="55CD7518" w14:textId="77777777" w:rsidTr="00514606">
        <w:trPr>
          <w:trHeight w:val="360"/>
        </w:trPr>
        <w:tc>
          <w:tcPr>
            <w:tcW w:w="9540" w:type="dxa"/>
            <w:gridSpan w:val="3"/>
            <w:shd w:val="clear" w:color="auto" w:fill="auto"/>
            <w:vAlign w:val="center"/>
          </w:tcPr>
          <w:p w14:paraId="16DA7529" w14:textId="77777777" w:rsidR="00F72C9E" w:rsidRPr="00AC73FC" w:rsidRDefault="00F72C9E" w:rsidP="00514606">
            <w:pPr>
              <w:spacing w:after="0" w:line="240" w:lineRule="auto"/>
              <w:ind w:left="-18"/>
              <w:rPr>
                <w:rFonts w:ascii="Arial" w:hAnsi="Arial" w:cs="Arial"/>
                <w:noProof/>
                <w:color w:val="000000"/>
                <w:sz w:val="24"/>
                <w:szCs w:val="24"/>
                <w:highlight w:val="yellow"/>
              </w:rPr>
            </w:pPr>
            <w:r w:rsidRPr="00AC73FC">
              <w:rPr>
                <w:rFonts w:ascii="Arial" w:hAnsi="Arial" w:cs="Arial"/>
                <w:b/>
                <w:color w:val="000000"/>
                <w:sz w:val="24"/>
                <w:szCs w:val="24"/>
              </w:rPr>
              <w:t>V. AFFILIATED RELATIONSHIPS AND COST ALLOCATIONS</w:t>
            </w:r>
            <w:r w:rsidR="00616636" w:rsidRPr="00AC73FC">
              <w:rPr>
                <w:rFonts w:ascii="Arial" w:hAnsi="Arial" w:cs="Arial"/>
                <w:b/>
                <w:color w:val="000000"/>
                <w:sz w:val="24"/>
                <w:szCs w:val="24"/>
              </w:rPr>
              <w:t xml:space="preserve"> </w:t>
            </w:r>
            <w:r w:rsidR="00DE1425">
              <w:rPr>
                <w:rFonts w:ascii="Arial" w:hAnsi="Arial" w:cs="Arial"/>
                <w:b/>
                <w:bCs/>
                <w:color w:val="000000"/>
                <w:sz w:val="24"/>
                <w:szCs w:val="24"/>
              </w:rPr>
              <w:t xml:space="preserve">(Page </w:t>
            </w:r>
            <w:r w:rsidR="0070288B">
              <w:rPr>
                <w:rFonts w:ascii="Arial" w:hAnsi="Arial" w:cs="Arial"/>
                <w:b/>
                <w:bCs/>
                <w:color w:val="000000"/>
                <w:sz w:val="24"/>
                <w:szCs w:val="24"/>
              </w:rPr>
              <w:t>19</w:t>
            </w:r>
            <w:r w:rsidR="00616636" w:rsidRPr="00616636">
              <w:rPr>
                <w:rFonts w:ascii="Arial" w:hAnsi="Arial" w:cs="Arial"/>
                <w:b/>
                <w:bCs/>
                <w:color w:val="000000"/>
                <w:sz w:val="24"/>
                <w:szCs w:val="24"/>
              </w:rPr>
              <w:t>)</w:t>
            </w:r>
          </w:p>
        </w:tc>
      </w:tr>
      <w:tr w:rsidR="00F72C9E" w:rsidRPr="00B36DAF" w14:paraId="23C6C4C9" w14:textId="77777777" w:rsidTr="00AC73FC">
        <w:trPr>
          <w:trHeight w:val="2016"/>
        </w:trPr>
        <w:tc>
          <w:tcPr>
            <w:tcW w:w="3180" w:type="dxa"/>
            <w:tcBorders>
              <w:right w:val="double" w:sz="4" w:space="0" w:color="auto"/>
            </w:tcBorders>
            <w:shd w:val="clear" w:color="auto" w:fill="auto"/>
          </w:tcPr>
          <w:p w14:paraId="4611F355" w14:textId="77777777" w:rsidR="00F72C9E" w:rsidRPr="00AC73FC" w:rsidRDefault="00F72C9E" w:rsidP="00514606">
            <w:pPr>
              <w:tabs>
                <w:tab w:val="left" w:pos="5040"/>
                <w:tab w:val="left" w:pos="7200"/>
              </w:tabs>
              <w:spacing w:after="0" w:line="240" w:lineRule="auto"/>
              <w:rPr>
                <w:rFonts w:ascii="Arial" w:eastAsia="Times New Roman" w:hAnsi="Arial" w:cs="Arial"/>
                <w:highlight w:val="yellow"/>
              </w:rPr>
            </w:pPr>
            <w:r w:rsidRPr="00AC73FC">
              <w:rPr>
                <w:rFonts w:ascii="Arial" w:eastAsia="Times New Roman" w:hAnsi="Arial" w:cs="Arial"/>
              </w:rPr>
              <w:t>Conduct periodic internal audits of affiliate transactions and the cost allocation process.</w:t>
            </w:r>
          </w:p>
        </w:tc>
        <w:tc>
          <w:tcPr>
            <w:tcW w:w="3180" w:type="dxa"/>
            <w:tcBorders>
              <w:top w:val="single" w:sz="4" w:space="0" w:color="auto"/>
              <w:left w:val="double" w:sz="4" w:space="0" w:color="auto"/>
              <w:bottom w:val="single" w:sz="4" w:space="0" w:color="auto"/>
              <w:right w:val="single" w:sz="4" w:space="0" w:color="auto"/>
            </w:tcBorders>
            <w:shd w:val="clear" w:color="auto" w:fill="auto"/>
          </w:tcPr>
          <w:p w14:paraId="39B0E702" w14:textId="77777777" w:rsidR="00F72C9E" w:rsidRPr="00AC73FC" w:rsidRDefault="00F72C9E" w:rsidP="00514606">
            <w:pPr>
              <w:spacing w:after="0" w:line="240" w:lineRule="auto"/>
              <w:rPr>
                <w:rFonts w:ascii="Arial" w:eastAsia="Times New Roman" w:hAnsi="Arial" w:cs="Arial"/>
                <w:highlight w:val="yellow"/>
              </w:rPr>
            </w:pPr>
            <w:r w:rsidRPr="00AC73FC">
              <w:rPr>
                <w:rFonts w:ascii="Arial" w:eastAsia="Times New Roman" w:hAnsi="Arial" w:cs="Arial"/>
              </w:rPr>
              <w:t>V-1 – An Internal Audit of Pennsylvania cost allocations was released on November 16, 2017, with additional audits of affiliate transactions and cost allocations to be performed at least every three years.</w:t>
            </w:r>
          </w:p>
        </w:tc>
        <w:tc>
          <w:tcPr>
            <w:tcW w:w="3180" w:type="dxa"/>
            <w:tcBorders>
              <w:left w:val="single" w:sz="4" w:space="0" w:color="auto"/>
            </w:tcBorders>
            <w:shd w:val="clear" w:color="auto" w:fill="auto"/>
          </w:tcPr>
          <w:p w14:paraId="529B1D7A" w14:textId="7190C7B7" w:rsidR="00F72C9E" w:rsidRPr="00AC73FC" w:rsidRDefault="00F72C9E" w:rsidP="00514606">
            <w:pPr>
              <w:spacing w:after="0" w:line="240" w:lineRule="auto"/>
              <w:contextualSpacing/>
              <w:rPr>
                <w:rFonts w:ascii="Arial" w:eastAsia="Times New Roman" w:hAnsi="Arial" w:cs="Arial"/>
                <w:snapToGrid w:val="0"/>
                <w:highlight w:val="yellow"/>
              </w:rPr>
            </w:pPr>
            <w:r w:rsidRPr="00AC73FC">
              <w:rPr>
                <w:rFonts w:ascii="Arial" w:eastAsia="Times New Roman" w:hAnsi="Arial" w:cs="Arial"/>
                <w:snapToGrid w:val="0"/>
              </w:rPr>
              <w:t>None</w:t>
            </w:r>
          </w:p>
        </w:tc>
      </w:tr>
      <w:tr w:rsidR="00616636" w:rsidRPr="00B36DAF" w14:paraId="70E34284" w14:textId="77777777" w:rsidTr="00AC73FC">
        <w:trPr>
          <w:trHeight w:val="1584"/>
        </w:trPr>
        <w:tc>
          <w:tcPr>
            <w:tcW w:w="3180" w:type="dxa"/>
            <w:tcBorders>
              <w:right w:val="double" w:sz="4" w:space="0" w:color="auto"/>
            </w:tcBorders>
            <w:shd w:val="clear" w:color="auto" w:fill="auto"/>
          </w:tcPr>
          <w:p w14:paraId="1B782957" w14:textId="77777777" w:rsidR="00616636" w:rsidRPr="00616636" w:rsidRDefault="00616636" w:rsidP="00616636">
            <w:pPr>
              <w:tabs>
                <w:tab w:val="left" w:pos="5040"/>
                <w:tab w:val="left" w:pos="7200"/>
              </w:tabs>
              <w:spacing w:after="0" w:line="240" w:lineRule="auto"/>
              <w:rPr>
                <w:rFonts w:ascii="Arial" w:eastAsia="Times New Roman" w:hAnsi="Arial" w:cs="Arial"/>
              </w:rPr>
            </w:pPr>
            <w:r w:rsidRPr="00F34A8B">
              <w:rPr>
                <w:rFonts w:ascii="Arial" w:eastAsia="Times New Roman" w:hAnsi="Arial" w:cs="Arial"/>
              </w:rPr>
              <w:t xml:space="preserve">The </w:t>
            </w:r>
            <w:r w:rsidR="00DC3D9B">
              <w:rPr>
                <w:rFonts w:ascii="Arial" w:eastAsia="Times New Roman" w:hAnsi="Arial" w:cs="Arial"/>
              </w:rPr>
              <w:t>FE-PA companies</w:t>
            </w:r>
            <w:r w:rsidRPr="00F34A8B">
              <w:rPr>
                <w:rFonts w:ascii="Arial" w:eastAsia="Times New Roman" w:hAnsi="Arial" w:cs="Arial"/>
              </w:rPr>
              <w:t xml:space="preserve"> do not perform studies which compare the costs for affiliate services with the costs that would be incurred if such services were outsourced.</w:t>
            </w:r>
          </w:p>
        </w:tc>
        <w:tc>
          <w:tcPr>
            <w:tcW w:w="3180" w:type="dxa"/>
            <w:tcBorders>
              <w:top w:val="single" w:sz="4" w:space="0" w:color="auto"/>
              <w:left w:val="double" w:sz="4" w:space="0" w:color="auto"/>
              <w:bottom w:val="single" w:sz="4" w:space="0" w:color="auto"/>
              <w:right w:val="single" w:sz="4" w:space="0" w:color="auto"/>
            </w:tcBorders>
            <w:shd w:val="clear" w:color="auto" w:fill="auto"/>
          </w:tcPr>
          <w:p w14:paraId="6BD6ABAB" w14:textId="77777777" w:rsidR="00616636" w:rsidRPr="00616636" w:rsidRDefault="00616636" w:rsidP="00616636">
            <w:pPr>
              <w:spacing w:after="0" w:line="240" w:lineRule="auto"/>
              <w:rPr>
                <w:rFonts w:ascii="Arial" w:eastAsia="Times New Roman" w:hAnsi="Arial" w:cs="Arial"/>
              </w:rPr>
            </w:pPr>
            <w:r w:rsidRPr="00F34A8B">
              <w:rPr>
                <w:rFonts w:ascii="Arial" w:eastAsia="Times New Roman" w:hAnsi="Arial" w:cs="Arial"/>
              </w:rPr>
              <w:t xml:space="preserve">V-2 – The </w:t>
            </w:r>
            <w:r w:rsidR="00DC3D9B">
              <w:rPr>
                <w:rFonts w:ascii="Arial" w:eastAsia="Times New Roman" w:hAnsi="Arial" w:cs="Arial"/>
              </w:rPr>
              <w:t>FE-PA companies</w:t>
            </w:r>
            <w:r w:rsidRPr="00F34A8B">
              <w:rPr>
                <w:rFonts w:ascii="Arial" w:eastAsia="Times New Roman" w:hAnsi="Arial" w:cs="Arial"/>
              </w:rPr>
              <w:t xml:space="preserve"> do not perform studies which compare the costs for affiliate services with the costs that would be incurred if such services were outsourced.</w:t>
            </w:r>
          </w:p>
        </w:tc>
        <w:tc>
          <w:tcPr>
            <w:tcW w:w="3180" w:type="dxa"/>
            <w:tcBorders>
              <w:left w:val="single" w:sz="4" w:space="0" w:color="auto"/>
            </w:tcBorders>
            <w:shd w:val="clear" w:color="auto" w:fill="auto"/>
          </w:tcPr>
          <w:p w14:paraId="2584C0C0" w14:textId="77777777" w:rsidR="00616636" w:rsidRPr="00616636" w:rsidRDefault="00616636" w:rsidP="00616636">
            <w:pPr>
              <w:spacing w:after="0" w:line="240" w:lineRule="auto"/>
              <w:contextualSpacing/>
              <w:rPr>
                <w:rFonts w:ascii="Arial" w:eastAsia="Times New Roman" w:hAnsi="Arial" w:cs="Arial"/>
                <w:snapToGrid w:val="0"/>
              </w:rPr>
            </w:pPr>
            <w:r w:rsidRPr="00F34A8B">
              <w:rPr>
                <w:rFonts w:ascii="Arial" w:eastAsia="Times New Roman" w:hAnsi="Arial" w:cs="Arial"/>
                <w:snapToGrid w:val="0"/>
              </w:rPr>
              <w:t xml:space="preserve">Conduct periodic studies to determine if </w:t>
            </w:r>
            <w:r w:rsidR="00DF6F28">
              <w:rPr>
                <w:rFonts w:ascii="Arial" w:eastAsia="Times New Roman" w:hAnsi="Arial" w:cs="Arial"/>
                <w:snapToGrid w:val="0"/>
              </w:rPr>
              <w:t xml:space="preserve">and to </w:t>
            </w:r>
            <w:r w:rsidR="006E4278">
              <w:rPr>
                <w:rFonts w:ascii="Arial" w:eastAsia="Times New Roman" w:hAnsi="Arial" w:cs="Arial"/>
                <w:snapToGrid w:val="0"/>
              </w:rPr>
              <w:t>what</w:t>
            </w:r>
            <w:r w:rsidR="00DF6F28">
              <w:rPr>
                <w:rFonts w:ascii="Arial" w:eastAsia="Times New Roman" w:hAnsi="Arial" w:cs="Arial"/>
                <w:snapToGrid w:val="0"/>
              </w:rPr>
              <w:t xml:space="preserve"> extent </w:t>
            </w:r>
            <w:r w:rsidRPr="00F34A8B">
              <w:rPr>
                <w:rFonts w:ascii="Arial" w:eastAsia="Times New Roman" w:hAnsi="Arial" w:cs="Arial"/>
                <w:snapToGrid w:val="0"/>
              </w:rPr>
              <w:t>the use of outside vendors for affiliate services is cost-justified.</w:t>
            </w:r>
          </w:p>
        </w:tc>
      </w:tr>
    </w:tbl>
    <w:p w14:paraId="597BA7B4" w14:textId="77777777" w:rsidR="00602D0C" w:rsidRPr="00B36DAF" w:rsidRDefault="00602D0C">
      <w:pPr>
        <w:spacing w:after="0" w:line="240" w:lineRule="auto"/>
        <w:rPr>
          <w:rFonts w:ascii="Arial" w:hAnsi="Arial" w:cs="Arial"/>
          <w:b/>
          <w:color w:val="000000"/>
          <w:highlight w:val="yellow"/>
        </w:rPr>
        <w:sectPr w:rsidR="00602D0C" w:rsidRPr="00B36DAF" w:rsidSect="00C5506F">
          <w:headerReference w:type="even" r:id="rId19"/>
          <w:headerReference w:type="default" r:id="rId20"/>
          <w:footerReference w:type="default" r:id="rId21"/>
          <w:headerReference w:type="first" r:id="rId22"/>
          <w:footerReference w:type="first" r:id="rId23"/>
          <w:pgSz w:w="12240" w:h="15840" w:code="1"/>
          <w:pgMar w:top="1440" w:right="1440" w:bottom="1008" w:left="1440" w:header="360" w:footer="720" w:gutter="0"/>
          <w:pgNumType w:fmt="numberInDash" w:start="5"/>
          <w:cols w:space="720"/>
          <w:noEndnote/>
          <w:titlePg/>
          <w:docGrid w:linePitch="326"/>
        </w:sect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0"/>
        <w:gridCol w:w="3180"/>
        <w:gridCol w:w="3180"/>
      </w:tblGrid>
      <w:tr w:rsidR="00F82FEF" w:rsidRPr="00B36DAF" w14:paraId="7551503E" w14:textId="77777777" w:rsidTr="00FB4340">
        <w:trPr>
          <w:trHeight w:val="576"/>
        </w:trPr>
        <w:tc>
          <w:tcPr>
            <w:tcW w:w="3180" w:type="dxa"/>
            <w:tcBorders>
              <w:right w:val="double" w:sz="4" w:space="0" w:color="auto"/>
            </w:tcBorders>
            <w:shd w:val="clear" w:color="auto" w:fill="auto"/>
            <w:vAlign w:val="bottom"/>
          </w:tcPr>
          <w:p w14:paraId="77DD9800" w14:textId="77777777" w:rsidR="00F82FEF" w:rsidRPr="00A93F8C" w:rsidRDefault="00F82FEF">
            <w:pPr>
              <w:spacing w:after="0" w:line="240" w:lineRule="auto"/>
              <w:jc w:val="center"/>
              <w:rPr>
                <w:rFonts w:ascii="Arial" w:hAnsi="Arial" w:cs="Arial"/>
                <w:b/>
                <w:bCs/>
                <w:color w:val="000000"/>
                <w:sz w:val="24"/>
                <w:szCs w:val="24"/>
              </w:rPr>
            </w:pPr>
            <w:r w:rsidRPr="00A93F8C">
              <w:rPr>
                <w:rFonts w:ascii="Arial" w:hAnsi="Arial" w:cs="Arial"/>
                <w:b/>
                <w:bCs/>
                <w:color w:val="000000"/>
                <w:sz w:val="24"/>
                <w:szCs w:val="24"/>
              </w:rPr>
              <w:t>Prior MA</w:t>
            </w:r>
            <w:r w:rsidRPr="00A93F8C">
              <w:rPr>
                <w:rFonts w:ascii="Arial" w:hAnsi="Arial" w:cs="Arial"/>
                <w:b/>
                <w:bCs/>
                <w:color w:val="000000"/>
                <w:sz w:val="24"/>
                <w:szCs w:val="24"/>
                <w:u w:val="single"/>
              </w:rPr>
              <w:t xml:space="preserve"> </w:t>
            </w:r>
            <w:r w:rsidRPr="00A93F8C">
              <w:rPr>
                <w:rFonts w:ascii="Arial" w:hAnsi="Arial" w:cs="Arial"/>
                <w:b/>
                <w:bCs/>
                <w:color w:val="000000"/>
                <w:sz w:val="24"/>
                <w:szCs w:val="24"/>
              </w:rPr>
              <w:t>Recommendations</w:t>
            </w:r>
          </w:p>
        </w:tc>
        <w:tc>
          <w:tcPr>
            <w:tcW w:w="3180" w:type="dxa"/>
            <w:tcBorders>
              <w:top w:val="single" w:sz="4" w:space="0" w:color="auto"/>
              <w:left w:val="double" w:sz="4" w:space="0" w:color="auto"/>
              <w:bottom w:val="single" w:sz="4" w:space="0" w:color="auto"/>
              <w:right w:val="single" w:sz="4" w:space="0" w:color="auto"/>
            </w:tcBorders>
            <w:shd w:val="clear" w:color="auto" w:fill="auto"/>
            <w:vAlign w:val="bottom"/>
          </w:tcPr>
          <w:p w14:paraId="0B1D429F" w14:textId="77777777" w:rsidR="00F82FEF" w:rsidRPr="00A93F8C" w:rsidRDefault="00F82FEF">
            <w:pPr>
              <w:spacing w:after="0" w:line="240" w:lineRule="auto"/>
              <w:jc w:val="center"/>
              <w:rPr>
                <w:rFonts w:ascii="Arial" w:hAnsi="Arial" w:cs="Arial"/>
                <w:b/>
                <w:bCs/>
                <w:color w:val="000000"/>
                <w:sz w:val="24"/>
                <w:szCs w:val="24"/>
              </w:rPr>
            </w:pPr>
            <w:r w:rsidRPr="00A93F8C">
              <w:rPr>
                <w:rFonts w:ascii="Arial" w:hAnsi="Arial" w:cs="Arial"/>
                <w:b/>
                <w:bCs/>
                <w:color w:val="000000"/>
                <w:sz w:val="24"/>
                <w:szCs w:val="24"/>
              </w:rPr>
              <w:t xml:space="preserve">MEI Follow-up Findings </w:t>
            </w:r>
            <w:r w:rsidR="00580C4D" w:rsidRPr="00A93F8C">
              <w:rPr>
                <w:rFonts w:ascii="Arial" w:hAnsi="Arial" w:cs="Arial"/>
                <w:b/>
                <w:bCs/>
                <w:color w:val="000000"/>
                <w:sz w:val="24"/>
                <w:szCs w:val="24"/>
              </w:rPr>
              <w:t>and</w:t>
            </w:r>
            <w:r w:rsidRPr="00A93F8C">
              <w:rPr>
                <w:rFonts w:ascii="Arial" w:hAnsi="Arial" w:cs="Arial"/>
                <w:b/>
                <w:bCs/>
                <w:color w:val="000000"/>
                <w:sz w:val="24"/>
                <w:szCs w:val="24"/>
              </w:rPr>
              <w:t xml:space="preserve"> Conclusions</w:t>
            </w:r>
          </w:p>
        </w:tc>
        <w:tc>
          <w:tcPr>
            <w:tcW w:w="3180" w:type="dxa"/>
            <w:tcBorders>
              <w:left w:val="single" w:sz="4" w:space="0" w:color="auto"/>
            </w:tcBorders>
            <w:shd w:val="clear" w:color="auto" w:fill="auto"/>
            <w:vAlign w:val="bottom"/>
          </w:tcPr>
          <w:p w14:paraId="7C9182BC" w14:textId="77777777" w:rsidR="00F82FEF" w:rsidRPr="00A93F8C" w:rsidRDefault="00F82FEF">
            <w:pPr>
              <w:spacing w:after="0" w:line="240" w:lineRule="auto"/>
              <w:ind w:right="-108"/>
              <w:jc w:val="center"/>
              <w:rPr>
                <w:rFonts w:ascii="Arial" w:hAnsi="Arial" w:cs="Arial"/>
                <w:b/>
                <w:bCs/>
                <w:color w:val="000000"/>
                <w:sz w:val="24"/>
                <w:szCs w:val="24"/>
              </w:rPr>
            </w:pPr>
            <w:r w:rsidRPr="00A93F8C">
              <w:rPr>
                <w:rFonts w:ascii="Arial" w:hAnsi="Arial" w:cs="Arial"/>
                <w:b/>
                <w:bCs/>
                <w:color w:val="000000"/>
                <w:sz w:val="24"/>
                <w:szCs w:val="24"/>
              </w:rPr>
              <w:t>MEI Follow-up</w:t>
            </w:r>
            <w:r w:rsidRPr="00A93F8C">
              <w:rPr>
                <w:rFonts w:ascii="Arial" w:hAnsi="Arial" w:cs="Arial"/>
                <w:b/>
                <w:bCs/>
                <w:color w:val="000000"/>
                <w:sz w:val="24"/>
                <w:szCs w:val="24"/>
                <w:u w:val="single"/>
              </w:rPr>
              <w:t xml:space="preserve"> </w:t>
            </w:r>
            <w:r w:rsidRPr="00A93F8C">
              <w:rPr>
                <w:rFonts w:ascii="Arial" w:hAnsi="Arial" w:cs="Arial"/>
                <w:b/>
                <w:bCs/>
                <w:color w:val="000000"/>
                <w:sz w:val="24"/>
                <w:szCs w:val="24"/>
              </w:rPr>
              <w:t>Recommendations</w:t>
            </w:r>
          </w:p>
        </w:tc>
      </w:tr>
      <w:tr w:rsidR="00175671" w:rsidRPr="00B36DAF" w14:paraId="153F6DAB" w14:textId="77777777" w:rsidTr="00175671">
        <w:trPr>
          <w:trHeight w:val="360"/>
        </w:trPr>
        <w:tc>
          <w:tcPr>
            <w:tcW w:w="9540" w:type="dxa"/>
            <w:gridSpan w:val="3"/>
            <w:shd w:val="clear" w:color="auto" w:fill="auto"/>
            <w:vAlign w:val="center"/>
          </w:tcPr>
          <w:p w14:paraId="4B8054BB" w14:textId="77777777" w:rsidR="00175671" w:rsidRPr="00AC73FC" w:rsidRDefault="00175671" w:rsidP="00175671">
            <w:pPr>
              <w:spacing w:after="0" w:line="240" w:lineRule="auto"/>
              <w:rPr>
                <w:rFonts w:ascii="Arial" w:hAnsi="Arial" w:cs="Arial"/>
                <w:b/>
                <w:sz w:val="24"/>
                <w:szCs w:val="24"/>
                <w:highlight w:val="yellow"/>
              </w:rPr>
            </w:pPr>
            <w:r w:rsidRPr="00AC73FC">
              <w:rPr>
                <w:rFonts w:ascii="Arial" w:hAnsi="Arial" w:cs="Arial"/>
                <w:b/>
                <w:sz w:val="24"/>
                <w:szCs w:val="24"/>
              </w:rPr>
              <w:t>V</w:t>
            </w:r>
            <w:r w:rsidR="00095771" w:rsidRPr="00AC73FC">
              <w:rPr>
                <w:rFonts w:ascii="Arial" w:hAnsi="Arial" w:cs="Arial"/>
                <w:b/>
                <w:sz w:val="24"/>
                <w:szCs w:val="24"/>
              </w:rPr>
              <w:t>I</w:t>
            </w:r>
            <w:r w:rsidRPr="00AC73FC">
              <w:rPr>
                <w:rFonts w:ascii="Arial" w:hAnsi="Arial" w:cs="Arial"/>
                <w:b/>
                <w:sz w:val="24"/>
                <w:szCs w:val="24"/>
              </w:rPr>
              <w:t xml:space="preserve">. </w:t>
            </w:r>
            <w:r w:rsidR="00095771" w:rsidRPr="00AC73FC">
              <w:rPr>
                <w:rFonts w:ascii="Arial" w:hAnsi="Arial" w:cs="Arial"/>
                <w:b/>
                <w:sz w:val="24"/>
                <w:szCs w:val="24"/>
              </w:rPr>
              <w:t>FINANCIAL MANAGEMENT</w:t>
            </w:r>
            <w:r w:rsidR="00616636" w:rsidRPr="00AC73FC">
              <w:rPr>
                <w:rFonts w:ascii="Arial" w:hAnsi="Arial" w:cs="Arial"/>
                <w:b/>
                <w:sz w:val="24"/>
                <w:szCs w:val="24"/>
              </w:rPr>
              <w:t xml:space="preserve"> </w:t>
            </w:r>
            <w:r w:rsidR="00DE1425">
              <w:rPr>
                <w:rFonts w:ascii="Arial" w:hAnsi="Arial" w:cs="Arial"/>
                <w:b/>
                <w:bCs/>
                <w:color w:val="000000"/>
                <w:sz w:val="24"/>
                <w:szCs w:val="24"/>
              </w:rPr>
              <w:t>(Page 2</w:t>
            </w:r>
            <w:r w:rsidR="0070288B">
              <w:rPr>
                <w:rFonts w:ascii="Arial" w:hAnsi="Arial" w:cs="Arial"/>
                <w:b/>
                <w:bCs/>
                <w:color w:val="000000"/>
                <w:sz w:val="24"/>
                <w:szCs w:val="24"/>
              </w:rPr>
              <w:t>3</w:t>
            </w:r>
            <w:r w:rsidR="00616636" w:rsidRPr="00616636">
              <w:rPr>
                <w:rFonts w:ascii="Arial" w:hAnsi="Arial" w:cs="Arial"/>
                <w:b/>
                <w:bCs/>
                <w:color w:val="000000"/>
                <w:sz w:val="24"/>
                <w:szCs w:val="24"/>
              </w:rPr>
              <w:t>)</w:t>
            </w:r>
          </w:p>
        </w:tc>
      </w:tr>
      <w:tr w:rsidR="0039219A" w:rsidRPr="00B36DAF" w14:paraId="50E87A0E" w14:textId="77777777" w:rsidTr="00661CE9">
        <w:trPr>
          <w:trHeight w:val="800"/>
        </w:trPr>
        <w:tc>
          <w:tcPr>
            <w:tcW w:w="3180" w:type="dxa"/>
            <w:tcBorders>
              <w:right w:val="double" w:sz="4" w:space="0" w:color="auto"/>
            </w:tcBorders>
            <w:shd w:val="clear" w:color="auto" w:fill="auto"/>
          </w:tcPr>
          <w:p w14:paraId="3D5EE388" w14:textId="77777777" w:rsidR="0039219A" w:rsidRPr="00AC73FC" w:rsidRDefault="00095771" w:rsidP="00DB7ED6">
            <w:pPr>
              <w:tabs>
                <w:tab w:val="left" w:pos="5040"/>
                <w:tab w:val="left" w:pos="7200"/>
              </w:tabs>
              <w:spacing w:after="0" w:line="240" w:lineRule="auto"/>
              <w:rPr>
                <w:rFonts w:ascii="Arial" w:eastAsia="Times New Roman" w:hAnsi="Arial" w:cs="Arial"/>
              </w:rPr>
            </w:pPr>
            <w:r w:rsidRPr="00AC73FC">
              <w:rPr>
                <w:rFonts w:ascii="Arial" w:eastAsia="Times New Roman" w:hAnsi="Arial" w:cs="Arial"/>
              </w:rPr>
              <w:t xml:space="preserve">Establish and document a dividend policy for each of the </w:t>
            </w:r>
            <w:r w:rsidR="00DC3D9B">
              <w:rPr>
                <w:rFonts w:ascii="Arial" w:eastAsia="Times New Roman" w:hAnsi="Arial" w:cs="Arial"/>
              </w:rPr>
              <w:t>FE-PA companies</w:t>
            </w:r>
            <w:r w:rsidRPr="00AC73FC">
              <w:rPr>
                <w:rFonts w:ascii="Arial" w:eastAsia="Times New Roman" w:hAnsi="Arial" w:cs="Arial"/>
              </w:rPr>
              <w:t>, and ensure that advanced notice and explanations are submitted to the Commission prior to making future dividend payments in excess of 85% of net income.</w:t>
            </w:r>
          </w:p>
        </w:tc>
        <w:tc>
          <w:tcPr>
            <w:tcW w:w="3180" w:type="dxa"/>
            <w:tcBorders>
              <w:top w:val="single" w:sz="4" w:space="0" w:color="auto"/>
              <w:left w:val="double" w:sz="4" w:space="0" w:color="auto"/>
              <w:bottom w:val="single" w:sz="4" w:space="0" w:color="auto"/>
              <w:right w:val="single" w:sz="4" w:space="0" w:color="auto"/>
            </w:tcBorders>
            <w:shd w:val="clear" w:color="auto" w:fill="auto"/>
          </w:tcPr>
          <w:p w14:paraId="7C4BAAE6" w14:textId="77777777" w:rsidR="0039219A" w:rsidRPr="00AC73FC" w:rsidRDefault="00175671" w:rsidP="0039219A">
            <w:pPr>
              <w:spacing w:after="0" w:line="240" w:lineRule="auto"/>
              <w:contextualSpacing/>
              <w:rPr>
                <w:rFonts w:ascii="Arial" w:eastAsia="Times New Roman" w:hAnsi="Arial" w:cs="Arial"/>
              </w:rPr>
            </w:pPr>
            <w:r w:rsidRPr="00AC73FC">
              <w:rPr>
                <w:rFonts w:ascii="Arial" w:eastAsia="Times New Roman" w:hAnsi="Arial" w:cs="Arial"/>
              </w:rPr>
              <w:t>V</w:t>
            </w:r>
            <w:r w:rsidR="00095771" w:rsidRPr="00AC73FC">
              <w:rPr>
                <w:rFonts w:ascii="Arial" w:eastAsia="Times New Roman" w:hAnsi="Arial" w:cs="Arial"/>
              </w:rPr>
              <w:t>I</w:t>
            </w:r>
            <w:r w:rsidRPr="00AC73FC">
              <w:rPr>
                <w:rFonts w:ascii="Arial" w:eastAsia="Times New Roman" w:hAnsi="Arial" w:cs="Arial"/>
              </w:rPr>
              <w:t xml:space="preserve">-1 – </w:t>
            </w:r>
            <w:r w:rsidR="00095771" w:rsidRPr="00AC73FC">
              <w:rPr>
                <w:rFonts w:ascii="Arial" w:eastAsia="Times New Roman" w:hAnsi="Arial" w:cs="Arial"/>
              </w:rPr>
              <w:t xml:space="preserve">A dividend policy has been established for each of the </w:t>
            </w:r>
            <w:r w:rsidR="00DC3D9B">
              <w:rPr>
                <w:rFonts w:ascii="Arial" w:eastAsia="Times New Roman" w:hAnsi="Arial" w:cs="Arial"/>
              </w:rPr>
              <w:t>FE-PA companies</w:t>
            </w:r>
            <w:r w:rsidR="00DC7337">
              <w:rPr>
                <w:rFonts w:ascii="Arial" w:eastAsia="Times New Roman" w:hAnsi="Arial" w:cs="Arial"/>
              </w:rPr>
              <w:t>.</w:t>
            </w:r>
          </w:p>
        </w:tc>
        <w:tc>
          <w:tcPr>
            <w:tcW w:w="3180" w:type="dxa"/>
            <w:tcBorders>
              <w:left w:val="single" w:sz="4" w:space="0" w:color="auto"/>
            </w:tcBorders>
            <w:shd w:val="clear" w:color="auto" w:fill="auto"/>
          </w:tcPr>
          <w:p w14:paraId="7DE8393B" w14:textId="5A4AA7A6" w:rsidR="0039219A" w:rsidRPr="00AC73FC" w:rsidRDefault="00175671">
            <w:pPr>
              <w:spacing w:after="0" w:line="240" w:lineRule="auto"/>
              <w:jc w:val="both"/>
              <w:rPr>
                <w:rFonts w:ascii="Arial" w:hAnsi="Arial" w:cs="Arial"/>
              </w:rPr>
            </w:pPr>
            <w:r w:rsidRPr="00AC73FC">
              <w:rPr>
                <w:rFonts w:ascii="Arial" w:hAnsi="Arial" w:cs="Arial"/>
              </w:rPr>
              <w:t>None</w:t>
            </w:r>
          </w:p>
        </w:tc>
      </w:tr>
      <w:tr w:rsidR="00095771" w:rsidRPr="007B0B28" w14:paraId="54A89AD7" w14:textId="77777777" w:rsidTr="00514606">
        <w:trPr>
          <w:trHeight w:val="360"/>
        </w:trPr>
        <w:tc>
          <w:tcPr>
            <w:tcW w:w="9540" w:type="dxa"/>
            <w:gridSpan w:val="3"/>
            <w:shd w:val="clear" w:color="auto" w:fill="auto"/>
            <w:vAlign w:val="center"/>
          </w:tcPr>
          <w:p w14:paraId="019F3B0A" w14:textId="77777777" w:rsidR="00095771" w:rsidRPr="007B0B28" w:rsidRDefault="00095771" w:rsidP="007B0B28">
            <w:pPr>
              <w:spacing w:after="0" w:line="240" w:lineRule="auto"/>
              <w:rPr>
                <w:rFonts w:ascii="Arial" w:hAnsi="Arial" w:cs="Arial"/>
                <w:b/>
                <w:sz w:val="24"/>
                <w:szCs w:val="24"/>
              </w:rPr>
            </w:pPr>
            <w:r w:rsidRPr="007B0B28">
              <w:rPr>
                <w:rFonts w:ascii="Arial" w:hAnsi="Arial" w:cs="Arial"/>
                <w:b/>
                <w:sz w:val="24"/>
                <w:szCs w:val="24"/>
              </w:rPr>
              <w:t xml:space="preserve">VII. ELECTRIC OPERATIONS </w:t>
            </w:r>
            <w:r w:rsidR="00DE1425">
              <w:rPr>
                <w:rFonts w:ascii="Arial" w:hAnsi="Arial" w:cs="Arial"/>
                <w:b/>
                <w:sz w:val="24"/>
                <w:szCs w:val="24"/>
              </w:rPr>
              <w:t xml:space="preserve">(Page </w:t>
            </w:r>
            <w:r w:rsidR="0070288B">
              <w:rPr>
                <w:rFonts w:ascii="Arial" w:hAnsi="Arial" w:cs="Arial"/>
                <w:b/>
                <w:sz w:val="24"/>
                <w:szCs w:val="24"/>
              </w:rPr>
              <w:t>27</w:t>
            </w:r>
            <w:r w:rsidR="00616636" w:rsidRPr="007B0B28">
              <w:rPr>
                <w:rFonts w:ascii="Arial" w:hAnsi="Arial" w:cs="Arial"/>
                <w:b/>
                <w:sz w:val="24"/>
                <w:szCs w:val="24"/>
              </w:rPr>
              <w:t>)</w:t>
            </w:r>
          </w:p>
        </w:tc>
      </w:tr>
      <w:tr w:rsidR="00095771" w:rsidRPr="007B0B28" w14:paraId="6DDD9A09" w14:textId="77777777" w:rsidTr="007B0B28">
        <w:trPr>
          <w:trHeight w:val="2880"/>
        </w:trPr>
        <w:tc>
          <w:tcPr>
            <w:tcW w:w="3180" w:type="dxa"/>
            <w:tcBorders>
              <w:right w:val="double" w:sz="4" w:space="0" w:color="auto"/>
            </w:tcBorders>
            <w:shd w:val="clear" w:color="auto" w:fill="auto"/>
          </w:tcPr>
          <w:p w14:paraId="63490A63" w14:textId="77777777" w:rsidR="00095771" w:rsidRPr="007B0B28" w:rsidRDefault="001A36E1" w:rsidP="00514606">
            <w:pPr>
              <w:spacing w:after="0" w:line="240" w:lineRule="auto"/>
              <w:rPr>
                <w:rFonts w:ascii="Arial" w:hAnsi="Arial" w:cs="Arial"/>
              </w:rPr>
            </w:pPr>
            <w:r w:rsidRPr="007B0B28">
              <w:rPr>
                <w:rFonts w:ascii="Arial" w:hAnsi="Arial" w:cs="Arial"/>
              </w:rPr>
              <w:t>Improve electric reliability performance at Penelec and Penn Power to achieve, at a minimum, both 12 and 36-month reliability standards and strive to achieve benchmark performance; and implement specific measures for West Penn Power to meet the reliability provisions of the 2010 Joint Petition.</w:t>
            </w:r>
          </w:p>
        </w:tc>
        <w:tc>
          <w:tcPr>
            <w:tcW w:w="3180" w:type="dxa"/>
            <w:tcBorders>
              <w:top w:val="single" w:sz="4" w:space="0" w:color="auto"/>
              <w:left w:val="double" w:sz="4" w:space="0" w:color="auto"/>
              <w:bottom w:val="nil"/>
              <w:right w:val="single" w:sz="4" w:space="0" w:color="auto"/>
            </w:tcBorders>
            <w:shd w:val="clear" w:color="auto" w:fill="auto"/>
          </w:tcPr>
          <w:p w14:paraId="04206CEF" w14:textId="77777777" w:rsidR="00095771" w:rsidRPr="007B0B28" w:rsidRDefault="00095771" w:rsidP="00514606">
            <w:pPr>
              <w:spacing w:after="0" w:line="240" w:lineRule="auto"/>
              <w:rPr>
                <w:rFonts w:ascii="Arial" w:hAnsi="Arial" w:cs="Arial"/>
              </w:rPr>
            </w:pPr>
            <w:r w:rsidRPr="007B0B28">
              <w:rPr>
                <w:rFonts w:ascii="Arial" w:hAnsi="Arial" w:cs="Arial"/>
              </w:rPr>
              <w:t xml:space="preserve">VII-1 – </w:t>
            </w:r>
            <w:r w:rsidR="007B0B28">
              <w:rPr>
                <w:rFonts w:ascii="Arial" w:hAnsi="Arial" w:cs="Arial"/>
              </w:rPr>
              <w:t xml:space="preserve">The </w:t>
            </w:r>
            <w:r w:rsidR="00DC3D9B">
              <w:rPr>
                <w:rFonts w:ascii="Arial" w:hAnsi="Arial" w:cs="Arial"/>
              </w:rPr>
              <w:t>FE-PA companies</w:t>
            </w:r>
            <w:r w:rsidR="007B0B28">
              <w:rPr>
                <w:rFonts w:ascii="Arial" w:hAnsi="Arial" w:cs="Arial"/>
              </w:rPr>
              <w:t xml:space="preserve"> have not consistently met all reliability standards since the management audit.</w:t>
            </w:r>
          </w:p>
        </w:tc>
        <w:tc>
          <w:tcPr>
            <w:tcW w:w="3180" w:type="dxa"/>
            <w:tcBorders>
              <w:left w:val="single" w:sz="4" w:space="0" w:color="auto"/>
            </w:tcBorders>
            <w:shd w:val="clear" w:color="auto" w:fill="auto"/>
          </w:tcPr>
          <w:p w14:paraId="6AFFAEB1" w14:textId="77777777" w:rsidR="00095771" w:rsidRPr="007B0B28" w:rsidRDefault="007B0B28" w:rsidP="00514606">
            <w:pPr>
              <w:spacing w:after="0" w:line="240" w:lineRule="auto"/>
              <w:rPr>
                <w:rFonts w:ascii="Arial" w:hAnsi="Arial" w:cs="Arial"/>
              </w:rPr>
            </w:pPr>
            <w:r w:rsidRPr="007B0B28">
              <w:rPr>
                <w:rFonts w:ascii="Arial" w:hAnsi="Arial" w:cs="Arial"/>
              </w:rPr>
              <w:t>Improve electric reliability performance to meet minimum standards and strive toward achieving benchmark performance through the continued coordination with the PUC’s Bureau of Technical Utility Services.</w:t>
            </w:r>
          </w:p>
        </w:tc>
      </w:tr>
      <w:tr w:rsidR="00616636" w:rsidRPr="007B0B28" w14:paraId="7A62D75E" w14:textId="77777777" w:rsidTr="00A327D7">
        <w:trPr>
          <w:trHeight w:val="1718"/>
        </w:trPr>
        <w:tc>
          <w:tcPr>
            <w:tcW w:w="3180" w:type="dxa"/>
            <w:tcBorders>
              <w:right w:val="double" w:sz="4" w:space="0" w:color="auto"/>
            </w:tcBorders>
            <w:shd w:val="clear" w:color="auto" w:fill="auto"/>
          </w:tcPr>
          <w:p w14:paraId="696B2E19" w14:textId="77777777" w:rsidR="00616636" w:rsidRPr="00645B3B" w:rsidRDefault="00645B3B" w:rsidP="00616636">
            <w:pPr>
              <w:spacing w:after="0" w:line="240" w:lineRule="auto"/>
              <w:rPr>
                <w:rFonts w:ascii="Arial" w:hAnsi="Arial" w:cs="Arial"/>
              </w:rPr>
            </w:pPr>
            <w:r w:rsidRPr="00A327D7">
              <w:rPr>
                <w:rFonts w:ascii="Arial" w:hAnsi="Arial" w:cs="Arial"/>
              </w:rPr>
              <w:t>Conduct a staffing study accounting for future retirements to determine the proper staffing levels of craft workers to reduce overtime to the target level of 15% and improve reliability</w:t>
            </w:r>
            <w:r w:rsidRPr="00645B3B" w:rsidDel="003C3A0F">
              <w:rPr>
                <w:rFonts w:ascii="Arial" w:hAnsi="Arial" w:cs="Arial"/>
              </w:rPr>
              <w:t xml:space="preserve"> </w:t>
            </w:r>
          </w:p>
        </w:tc>
        <w:tc>
          <w:tcPr>
            <w:tcW w:w="3180" w:type="dxa"/>
            <w:tcBorders>
              <w:top w:val="single" w:sz="4" w:space="0" w:color="auto"/>
              <w:left w:val="double" w:sz="4" w:space="0" w:color="auto"/>
              <w:bottom w:val="single" w:sz="4" w:space="0" w:color="auto"/>
              <w:right w:val="single" w:sz="4" w:space="0" w:color="auto"/>
            </w:tcBorders>
            <w:shd w:val="clear" w:color="auto" w:fill="auto"/>
          </w:tcPr>
          <w:p w14:paraId="4FD46566" w14:textId="77777777" w:rsidR="00616636" w:rsidRPr="007B0B28" w:rsidRDefault="00616636" w:rsidP="00616636">
            <w:pPr>
              <w:spacing w:after="0" w:line="240" w:lineRule="auto"/>
              <w:rPr>
                <w:rFonts w:ascii="Arial" w:hAnsi="Arial" w:cs="Arial"/>
              </w:rPr>
            </w:pPr>
            <w:r w:rsidRPr="007B0B28">
              <w:rPr>
                <w:rFonts w:ascii="Arial" w:hAnsi="Arial" w:cs="Arial"/>
              </w:rPr>
              <w:t xml:space="preserve">VII-2 </w:t>
            </w:r>
            <w:r w:rsidR="007B0B28">
              <w:rPr>
                <w:rFonts w:ascii="Arial" w:hAnsi="Arial" w:cs="Arial"/>
              </w:rPr>
              <w:t>–</w:t>
            </w:r>
            <w:r w:rsidRPr="007B0B28">
              <w:rPr>
                <w:rFonts w:ascii="Arial" w:hAnsi="Arial" w:cs="Arial"/>
              </w:rPr>
              <w:t xml:space="preserve"> </w:t>
            </w:r>
            <w:r w:rsidR="007B0B28">
              <w:rPr>
                <w:rFonts w:ascii="Arial" w:hAnsi="Arial" w:cs="Arial"/>
              </w:rPr>
              <w:t xml:space="preserve">The staffing study conducted by the </w:t>
            </w:r>
            <w:r w:rsidR="00DC3D9B">
              <w:rPr>
                <w:rFonts w:ascii="Arial" w:hAnsi="Arial" w:cs="Arial"/>
              </w:rPr>
              <w:t>FE-PA companies</w:t>
            </w:r>
            <w:r w:rsidR="007B0B28">
              <w:rPr>
                <w:rFonts w:ascii="Arial" w:hAnsi="Arial" w:cs="Arial"/>
              </w:rPr>
              <w:t xml:space="preserve"> did not include all aspects required for a thorough review of workforce needs</w:t>
            </w:r>
            <w:r w:rsidRPr="007B0B28">
              <w:rPr>
                <w:rFonts w:ascii="Arial" w:hAnsi="Arial" w:cs="Arial"/>
              </w:rPr>
              <w:t>.</w:t>
            </w:r>
          </w:p>
        </w:tc>
        <w:tc>
          <w:tcPr>
            <w:tcW w:w="3180" w:type="dxa"/>
            <w:tcBorders>
              <w:left w:val="single" w:sz="4" w:space="0" w:color="auto"/>
            </w:tcBorders>
            <w:shd w:val="clear" w:color="auto" w:fill="auto"/>
          </w:tcPr>
          <w:p w14:paraId="2242DE9C" w14:textId="77777777" w:rsidR="00616636" w:rsidRPr="007B0B28" w:rsidRDefault="007B0B28" w:rsidP="00616636">
            <w:pPr>
              <w:spacing w:after="0" w:line="240" w:lineRule="auto"/>
              <w:rPr>
                <w:rFonts w:ascii="Arial" w:hAnsi="Arial" w:cs="Arial"/>
              </w:rPr>
            </w:pPr>
            <w:r>
              <w:rPr>
                <w:rFonts w:ascii="Arial" w:hAnsi="Arial" w:cs="Arial"/>
              </w:rPr>
              <w:t>Enhance workforce planning and reporting to ensure adequate staffing and periodically report on staffing reviews with the PUC’s Bureau of Technical Utility Services.</w:t>
            </w:r>
          </w:p>
        </w:tc>
      </w:tr>
      <w:tr w:rsidR="003C3A0F" w:rsidRPr="007B0B28" w14:paraId="449BABC8" w14:textId="77777777" w:rsidTr="00AC73FC">
        <w:trPr>
          <w:trHeight w:val="2160"/>
        </w:trPr>
        <w:tc>
          <w:tcPr>
            <w:tcW w:w="3180" w:type="dxa"/>
            <w:tcBorders>
              <w:right w:val="double" w:sz="4" w:space="0" w:color="auto"/>
            </w:tcBorders>
            <w:shd w:val="clear" w:color="auto" w:fill="auto"/>
          </w:tcPr>
          <w:p w14:paraId="3CED230A" w14:textId="77777777" w:rsidR="003C3A0F" w:rsidRPr="007B0B28" w:rsidRDefault="003C3A0F" w:rsidP="003C3A0F">
            <w:pPr>
              <w:spacing w:after="0" w:line="240" w:lineRule="auto"/>
              <w:rPr>
                <w:rFonts w:ascii="Arial" w:hAnsi="Arial" w:cs="Arial"/>
              </w:rPr>
            </w:pPr>
            <w:r w:rsidRPr="007B0B28">
              <w:rPr>
                <w:rFonts w:ascii="Arial" w:hAnsi="Arial" w:cs="Arial"/>
              </w:rPr>
              <w:t>Initiate policies to enforce union contract provisions which require craft worker acceptance of emergency call outs.</w:t>
            </w:r>
          </w:p>
        </w:tc>
        <w:tc>
          <w:tcPr>
            <w:tcW w:w="3180" w:type="dxa"/>
            <w:tcBorders>
              <w:top w:val="single" w:sz="4" w:space="0" w:color="auto"/>
              <w:left w:val="double" w:sz="4" w:space="0" w:color="auto"/>
              <w:bottom w:val="single" w:sz="4" w:space="0" w:color="auto"/>
              <w:right w:val="single" w:sz="4" w:space="0" w:color="auto"/>
            </w:tcBorders>
            <w:shd w:val="clear" w:color="auto" w:fill="auto"/>
          </w:tcPr>
          <w:p w14:paraId="70661411" w14:textId="77777777" w:rsidR="003C3A0F" w:rsidRPr="007B0B28" w:rsidRDefault="003C3A0F" w:rsidP="003C3A0F">
            <w:pPr>
              <w:spacing w:after="0" w:line="240" w:lineRule="auto"/>
              <w:rPr>
                <w:rFonts w:ascii="Arial" w:hAnsi="Arial" w:cs="Arial"/>
              </w:rPr>
            </w:pPr>
            <w:r w:rsidRPr="007B0B28">
              <w:rPr>
                <w:rFonts w:ascii="Arial" w:hAnsi="Arial" w:cs="Arial"/>
              </w:rPr>
              <w:t xml:space="preserve">VII-3 </w:t>
            </w:r>
            <w:r>
              <w:rPr>
                <w:rFonts w:ascii="Arial" w:hAnsi="Arial" w:cs="Arial"/>
              </w:rPr>
              <w:t>–</w:t>
            </w:r>
            <w:r w:rsidRPr="007B0B28">
              <w:rPr>
                <w:rFonts w:ascii="Arial" w:hAnsi="Arial" w:cs="Arial"/>
              </w:rPr>
              <w:t xml:space="preserve"> </w:t>
            </w:r>
            <w:r>
              <w:rPr>
                <w:rFonts w:ascii="Arial" w:hAnsi="Arial" w:cs="Arial"/>
              </w:rPr>
              <w:t>Although some improvements have been achieved, service centers are still experiencing low call-out acceptance rates and high individual overtime levels.</w:t>
            </w:r>
          </w:p>
        </w:tc>
        <w:tc>
          <w:tcPr>
            <w:tcW w:w="3180" w:type="dxa"/>
            <w:tcBorders>
              <w:left w:val="single" w:sz="4" w:space="0" w:color="auto"/>
            </w:tcBorders>
            <w:shd w:val="clear" w:color="auto" w:fill="auto"/>
          </w:tcPr>
          <w:p w14:paraId="171CBD6D" w14:textId="77777777" w:rsidR="003C3A0F" w:rsidRPr="007B0B28" w:rsidRDefault="003C3A0F" w:rsidP="003C3A0F">
            <w:pPr>
              <w:spacing w:after="0" w:line="240" w:lineRule="auto"/>
              <w:rPr>
                <w:rFonts w:ascii="Arial" w:hAnsi="Arial" w:cs="Arial"/>
              </w:rPr>
            </w:pPr>
            <w:r w:rsidRPr="007B0B28">
              <w:rPr>
                <w:rFonts w:ascii="Arial" w:hAnsi="Arial" w:cs="Arial"/>
              </w:rPr>
              <w:t xml:space="preserve">Conduct a best practice review of </w:t>
            </w:r>
            <w:r>
              <w:rPr>
                <w:rFonts w:ascii="Arial" w:hAnsi="Arial" w:cs="Arial"/>
              </w:rPr>
              <w:t xml:space="preserve">the </w:t>
            </w:r>
            <w:r w:rsidR="00DC3D9B">
              <w:rPr>
                <w:rFonts w:ascii="Arial" w:hAnsi="Arial" w:cs="Arial"/>
              </w:rPr>
              <w:t>FE-PA companies</w:t>
            </w:r>
            <w:r>
              <w:rPr>
                <w:rFonts w:ascii="Arial" w:hAnsi="Arial" w:cs="Arial"/>
              </w:rPr>
              <w:t xml:space="preserve"> </w:t>
            </w:r>
            <w:r w:rsidR="00F964AE">
              <w:rPr>
                <w:rFonts w:ascii="Arial" w:hAnsi="Arial" w:cs="Arial"/>
              </w:rPr>
              <w:t>on</w:t>
            </w:r>
            <w:r>
              <w:rPr>
                <w:rFonts w:ascii="Arial" w:hAnsi="Arial" w:cs="Arial"/>
              </w:rPr>
              <w:t xml:space="preserve"> staffing, call-out acceptance, and shift work strategies, as well as an analysis </w:t>
            </w:r>
            <w:r w:rsidR="006E4278">
              <w:rPr>
                <w:rFonts w:ascii="Arial" w:hAnsi="Arial" w:cs="Arial"/>
              </w:rPr>
              <w:t>of</w:t>
            </w:r>
            <w:r>
              <w:rPr>
                <w:rFonts w:ascii="Arial" w:hAnsi="Arial" w:cs="Arial"/>
              </w:rPr>
              <w:t xml:space="preserve"> additional shifts for each service center and report on the findings to the PUC’s Bureau of Technical Utility Services.</w:t>
            </w:r>
          </w:p>
        </w:tc>
      </w:tr>
    </w:tbl>
    <w:p w14:paraId="2319DF71" w14:textId="77777777" w:rsidR="00602D0C" w:rsidRPr="007B0B28" w:rsidRDefault="00602D0C">
      <w:pPr>
        <w:spacing w:after="0" w:line="240" w:lineRule="auto"/>
        <w:rPr>
          <w:rFonts w:ascii="Arial" w:hAnsi="Arial" w:cs="Arial"/>
        </w:rPr>
        <w:sectPr w:rsidR="00602D0C" w:rsidRPr="007B0B28" w:rsidSect="00791590">
          <w:headerReference w:type="even" r:id="rId24"/>
          <w:headerReference w:type="default" r:id="rId25"/>
          <w:headerReference w:type="first" r:id="rId26"/>
          <w:footerReference w:type="first" r:id="rId27"/>
          <w:pgSz w:w="12240" w:h="15840" w:code="1"/>
          <w:pgMar w:top="1440" w:right="1440" w:bottom="1008" w:left="1440" w:header="360" w:footer="720" w:gutter="0"/>
          <w:pgNumType w:fmt="numberInDash" w:start="6"/>
          <w:cols w:space="720"/>
          <w:noEndnote/>
          <w:titlePg/>
          <w:docGrid w:linePitch="326"/>
        </w:sect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0"/>
        <w:gridCol w:w="3180"/>
        <w:gridCol w:w="3180"/>
      </w:tblGrid>
      <w:tr w:rsidR="00A1108E" w:rsidRPr="007B0B28" w14:paraId="52A1D074" w14:textId="77777777" w:rsidTr="00EF0427">
        <w:trPr>
          <w:trHeight w:val="576"/>
        </w:trPr>
        <w:tc>
          <w:tcPr>
            <w:tcW w:w="3180" w:type="dxa"/>
            <w:tcBorders>
              <w:right w:val="double" w:sz="4" w:space="0" w:color="auto"/>
            </w:tcBorders>
            <w:shd w:val="clear" w:color="auto" w:fill="auto"/>
            <w:vAlign w:val="bottom"/>
          </w:tcPr>
          <w:p w14:paraId="329DA5FA" w14:textId="77777777" w:rsidR="00A1108E" w:rsidRPr="00D53FB1" w:rsidRDefault="00A1108E" w:rsidP="00D53FB1">
            <w:pPr>
              <w:spacing w:after="0" w:line="240" w:lineRule="auto"/>
              <w:jc w:val="center"/>
              <w:rPr>
                <w:rFonts w:ascii="Arial" w:hAnsi="Arial" w:cs="Arial"/>
                <w:b/>
                <w:sz w:val="24"/>
                <w:szCs w:val="24"/>
              </w:rPr>
            </w:pPr>
            <w:r w:rsidRPr="00D53FB1">
              <w:rPr>
                <w:rFonts w:ascii="Arial" w:hAnsi="Arial" w:cs="Arial"/>
                <w:b/>
                <w:sz w:val="24"/>
                <w:szCs w:val="24"/>
              </w:rPr>
              <w:t>Prior MA Recommendations</w:t>
            </w:r>
          </w:p>
        </w:tc>
        <w:tc>
          <w:tcPr>
            <w:tcW w:w="3180" w:type="dxa"/>
            <w:tcBorders>
              <w:top w:val="single" w:sz="4" w:space="0" w:color="auto"/>
              <w:left w:val="double" w:sz="4" w:space="0" w:color="auto"/>
              <w:bottom w:val="single" w:sz="4" w:space="0" w:color="auto"/>
              <w:right w:val="single" w:sz="4" w:space="0" w:color="auto"/>
            </w:tcBorders>
            <w:shd w:val="clear" w:color="auto" w:fill="auto"/>
            <w:vAlign w:val="bottom"/>
          </w:tcPr>
          <w:p w14:paraId="64F53CF0" w14:textId="77777777" w:rsidR="00A1108E" w:rsidRPr="00D53FB1" w:rsidRDefault="00A1108E" w:rsidP="00D53FB1">
            <w:pPr>
              <w:spacing w:after="0" w:line="240" w:lineRule="auto"/>
              <w:jc w:val="center"/>
              <w:rPr>
                <w:rFonts w:ascii="Arial" w:hAnsi="Arial" w:cs="Arial"/>
                <w:b/>
                <w:sz w:val="24"/>
                <w:szCs w:val="24"/>
              </w:rPr>
            </w:pPr>
            <w:r w:rsidRPr="00D53FB1">
              <w:rPr>
                <w:rFonts w:ascii="Arial" w:hAnsi="Arial" w:cs="Arial"/>
                <w:b/>
                <w:sz w:val="24"/>
                <w:szCs w:val="24"/>
              </w:rPr>
              <w:t xml:space="preserve">MEI Follow-up Findings </w:t>
            </w:r>
            <w:r w:rsidR="00580C4D" w:rsidRPr="00D53FB1">
              <w:rPr>
                <w:rFonts w:ascii="Arial" w:hAnsi="Arial" w:cs="Arial"/>
                <w:b/>
                <w:sz w:val="24"/>
                <w:szCs w:val="24"/>
              </w:rPr>
              <w:t>and</w:t>
            </w:r>
            <w:r w:rsidRPr="00D53FB1">
              <w:rPr>
                <w:rFonts w:ascii="Arial" w:hAnsi="Arial" w:cs="Arial"/>
                <w:b/>
                <w:sz w:val="24"/>
                <w:szCs w:val="24"/>
              </w:rPr>
              <w:t xml:space="preserve"> Conclusions</w:t>
            </w:r>
          </w:p>
        </w:tc>
        <w:tc>
          <w:tcPr>
            <w:tcW w:w="3180" w:type="dxa"/>
            <w:tcBorders>
              <w:left w:val="single" w:sz="4" w:space="0" w:color="auto"/>
            </w:tcBorders>
            <w:shd w:val="clear" w:color="auto" w:fill="auto"/>
            <w:vAlign w:val="bottom"/>
          </w:tcPr>
          <w:p w14:paraId="2F2FAA37" w14:textId="77777777" w:rsidR="00A1108E" w:rsidRPr="00D53FB1" w:rsidRDefault="00A1108E" w:rsidP="00D53FB1">
            <w:pPr>
              <w:spacing w:after="0" w:line="240" w:lineRule="auto"/>
              <w:jc w:val="center"/>
              <w:rPr>
                <w:rFonts w:ascii="Arial" w:hAnsi="Arial" w:cs="Arial"/>
                <w:b/>
                <w:sz w:val="24"/>
                <w:szCs w:val="24"/>
              </w:rPr>
            </w:pPr>
            <w:r w:rsidRPr="00D53FB1">
              <w:rPr>
                <w:rFonts w:ascii="Arial" w:hAnsi="Arial" w:cs="Arial"/>
                <w:b/>
                <w:sz w:val="24"/>
                <w:szCs w:val="24"/>
              </w:rPr>
              <w:t>MEI Follow-up Recommendations</w:t>
            </w:r>
          </w:p>
        </w:tc>
      </w:tr>
      <w:tr w:rsidR="00A1108E" w:rsidRPr="007B0B28" w14:paraId="7A04E86C" w14:textId="77777777" w:rsidTr="00EF0427">
        <w:trPr>
          <w:trHeight w:val="360"/>
        </w:trPr>
        <w:tc>
          <w:tcPr>
            <w:tcW w:w="9540" w:type="dxa"/>
            <w:gridSpan w:val="3"/>
            <w:shd w:val="clear" w:color="auto" w:fill="auto"/>
            <w:vAlign w:val="center"/>
          </w:tcPr>
          <w:p w14:paraId="24C6CF21" w14:textId="77777777" w:rsidR="00A1108E" w:rsidRPr="007B0B28" w:rsidRDefault="00A1108E" w:rsidP="007B0B28">
            <w:pPr>
              <w:spacing w:after="0" w:line="240" w:lineRule="auto"/>
              <w:rPr>
                <w:rFonts w:ascii="Arial" w:hAnsi="Arial" w:cs="Arial"/>
                <w:b/>
                <w:sz w:val="24"/>
                <w:szCs w:val="24"/>
              </w:rPr>
            </w:pPr>
            <w:r w:rsidRPr="007B0B28">
              <w:rPr>
                <w:rFonts w:ascii="Arial" w:hAnsi="Arial" w:cs="Arial"/>
                <w:b/>
                <w:sz w:val="24"/>
                <w:szCs w:val="24"/>
              </w:rPr>
              <w:t>V</w:t>
            </w:r>
            <w:r w:rsidR="00095771" w:rsidRPr="007B0B28">
              <w:rPr>
                <w:rFonts w:ascii="Arial" w:hAnsi="Arial" w:cs="Arial"/>
                <w:b/>
                <w:sz w:val="24"/>
                <w:szCs w:val="24"/>
              </w:rPr>
              <w:t>II</w:t>
            </w:r>
            <w:r w:rsidRPr="007B0B28">
              <w:rPr>
                <w:rFonts w:ascii="Arial" w:hAnsi="Arial" w:cs="Arial"/>
                <w:b/>
                <w:sz w:val="24"/>
                <w:szCs w:val="24"/>
              </w:rPr>
              <w:t xml:space="preserve">. </w:t>
            </w:r>
            <w:r w:rsidR="00095771" w:rsidRPr="007B0B28">
              <w:rPr>
                <w:rFonts w:ascii="Arial" w:hAnsi="Arial" w:cs="Arial"/>
                <w:b/>
                <w:sz w:val="24"/>
                <w:szCs w:val="24"/>
              </w:rPr>
              <w:t>ELECTRIC</w:t>
            </w:r>
            <w:r w:rsidR="00425FAB" w:rsidRPr="007B0B28">
              <w:rPr>
                <w:rFonts w:ascii="Arial" w:hAnsi="Arial" w:cs="Arial"/>
                <w:b/>
                <w:sz w:val="24"/>
                <w:szCs w:val="24"/>
              </w:rPr>
              <w:t xml:space="preserve"> OPERATIONS</w:t>
            </w:r>
            <w:r w:rsidR="00175671" w:rsidRPr="007B0B28">
              <w:rPr>
                <w:rFonts w:ascii="Arial" w:hAnsi="Arial" w:cs="Arial"/>
                <w:b/>
                <w:sz w:val="24"/>
                <w:szCs w:val="24"/>
              </w:rPr>
              <w:t xml:space="preserve"> (C</w:t>
            </w:r>
            <w:r w:rsidR="00A8592B">
              <w:rPr>
                <w:rFonts w:ascii="Arial" w:hAnsi="Arial" w:cs="Arial"/>
                <w:b/>
                <w:sz w:val="24"/>
                <w:szCs w:val="24"/>
              </w:rPr>
              <w:t>ontinued</w:t>
            </w:r>
            <w:r w:rsidR="00175671" w:rsidRPr="007B0B28">
              <w:rPr>
                <w:rFonts w:ascii="Arial" w:hAnsi="Arial" w:cs="Arial"/>
                <w:b/>
                <w:sz w:val="24"/>
                <w:szCs w:val="24"/>
              </w:rPr>
              <w:t>)</w:t>
            </w:r>
            <w:r w:rsidR="00DE1425">
              <w:rPr>
                <w:rFonts w:ascii="Arial" w:hAnsi="Arial" w:cs="Arial"/>
                <w:b/>
                <w:sz w:val="24"/>
                <w:szCs w:val="24"/>
              </w:rPr>
              <w:t xml:space="preserve"> (Page </w:t>
            </w:r>
            <w:r w:rsidR="0070288B">
              <w:rPr>
                <w:rFonts w:ascii="Arial" w:hAnsi="Arial" w:cs="Arial"/>
                <w:b/>
                <w:sz w:val="24"/>
                <w:szCs w:val="24"/>
              </w:rPr>
              <w:t>27</w:t>
            </w:r>
            <w:r w:rsidR="009D4792" w:rsidRPr="007B0B28">
              <w:rPr>
                <w:rFonts w:ascii="Arial" w:hAnsi="Arial" w:cs="Arial"/>
                <w:b/>
                <w:sz w:val="24"/>
                <w:szCs w:val="24"/>
              </w:rPr>
              <w:t>)</w:t>
            </w:r>
          </w:p>
        </w:tc>
      </w:tr>
      <w:tr w:rsidR="003C3A0F" w:rsidRPr="007B0B28" w14:paraId="15DA8457" w14:textId="77777777" w:rsidTr="00AC73FC">
        <w:trPr>
          <w:trHeight w:val="2304"/>
        </w:trPr>
        <w:tc>
          <w:tcPr>
            <w:tcW w:w="3180" w:type="dxa"/>
            <w:tcBorders>
              <w:right w:val="double" w:sz="4" w:space="0" w:color="auto"/>
            </w:tcBorders>
            <w:shd w:val="clear" w:color="auto" w:fill="auto"/>
          </w:tcPr>
          <w:p w14:paraId="2955635C" w14:textId="77777777" w:rsidR="003C3A0F" w:rsidRPr="007B0B28" w:rsidRDefault="003C3A0F" w:rsidP="003C3A0F">
            <w:pPr>
              <w:spacing w:after="0" w:line="240" w:lineRule="auto"/>
              <w:rPr>
                <w:rFonts w:ascii="Arial" w:hAnsi="Arial" w:cs="Arial"/>
              </w:rPr>
            </w:pPr>
            <w:r w:rsidRPr="007B0B28">
              <w:rPr>
                <w:rFonts w:ascii="Arial" w:hAnsi="Arial" w:cs="Arial"/>
              </w:rPr>
              <w:t>Develop and implement remedial actions that effectively correct the deficiencies of circuits found on the worst performing circuits list such that the circuits do not re-appear on the list for several years.</w:t>
            </w:r>
          </w:p>
        </w:tc>
        <w:tc>
          <w:tcPr>
            <w:tcW w:w="3180" w:type="dxa"/>
            <w:tcBorders>
              <w:top w:val="single" w:sz="4" w:space="0" w:color="auto"/>
              <w:left w:val="double" w:sz="4" w:space="0" w:color="auto"/>
              <w:bottom w:val="single" w:sz="4" w:space="0" w:color="auto"/>
              <w:right w:val="single" w:sz="4" w:space="0" w:color="auto"/>
            </w:tcBorders>
            <w:shd w:val="clear" w:color="auto" w:fill="auto"/>
          </w:tcPr>
          <w:p w14:paraId="4BD17818" w14:textId="77777777" w:rsidR="003C3A0F" w:rsidRPr="007B0B28" w:rsidRDefault="003C3A0F" w:rsidP="003C3A0F">
            <w:pPr>
              <w:spacing w:after="0" w:line="240" w:lineRule="auto"/>
              <w:rPr>
                <w:rFonts w:ascii="Arial" w:hAnsi="Arial" w:cs="Arial"/>
              </w:rPr>
            </w:pPr>
            <w:r w:rsidRPr="007B0B28">
              <w:rPr>
                <w:rFonts w:ascii="Arial" w:hAnsi="Arial" w:cs="Arial"/>
              </w:rPr>
              <w:t xml:space="preserve">VII-4 </w:t>
            </w:r>
            <w:r>
              <w:rPr>
                <w:rFonts w:ascii="Arial" w:hAnsi="Arial" w:cs="Arial"/>
              </w:rPr>
              <w:t>–</w:t>
            </w:r>
            <w:r w:rsidRPr="007B0B28">
              <w:rPr>
                <w:rFonts w:ascii="Arial" w:hAnsi="Arial" w:cs="Arial"/>
              </w:rPr>
              <w:t xml:space="preserve"> </w:t>
            </w:r>
            <w:r>
              <w:rPr>
                <w:rFonts w:ascii="Arial" w:hAnsi="Arial" w:cs="Arial"/>
              </w:rPr>
              <w:t>Several circuits continue to appear on the worst performing circuits list for Met-Ed, Penelec and West Penn Power</w:t>
            </w:r>
            <w:r w:rsidRPr="007B0B28">
              <w:rPr>
                <w:rFonts w:ascii="Arial" w:hAnsi="Arial" w:cs="Arial"/>
              </w:rPr>
              <w:t>.</w:t>
            </w:r>
          </w:p>
        </w:tc>
        <w:tc>
          <w:tcPr>
            <w:tcW w:w="3180" w:type="dxa"/>
            <w:tcBorders>
              <w:left w:val="single" w:sz="4" w:space="0" w:color="auto"/>
            </w:tcBorders>
            <w:shd w:val="clear" w:color="auto" w:fill="auto"/>
          </w:tcPr>
          <w:p w14:paraId="3DF908FC" w14:textId="77777777" w:rsidR="003C3A0F" w:rsidRPr="007B0B28" w:rsidRDefault="003C3A0F" w:rsidP="003C3A0F">
            <w:pPr>
              <w:spacing w:after="0" w:line="240" w:lineRule="auto"/>
              <w:rPr>
                <w:rFonts w:ascii="Arial" w:hAnsi="Arial" w:cs="Arial"/>
              </w:rPr>
            </w:pPr>
            <w:r w:rsidRPr="00D53FB1">
              <w:rPr>
                <w:rFonts w:ascii="Arial" w:hAnsi="Arial" w:cs="Arial"/>
              </w:rPr>
              <w:t>Conduct a best practice review of Penn Power’s worst performing circuit rehabilitation strategy; implement changes across the FE-PA company footprint based on the review; and continue to coordinate with the PUC’s Bureau of Technical Utility Services.</w:t>
            </w:r>
          </w:p>
        </w:tc>
      </w:tr>
      <w:tr w:rsidR="003C3A0F" w:rsidRPr="007B0B28" w14:paraId="2C7D223A" w14:textId="77777777" w:rsidTr="00AC73FC">
        <w:trPr>
          <w:trHeight w:val="1872"/>
        </w:trPr>
        <w:tc>
          <w:tcPr>
            <w:tcW w:w="3180" w:type="dxa"/>
            <w:tcBorders>
              <w:right w:val="double" w:sz="4" w:space="0" w:color="auto"/>
            </w:tcBorders>
            <w:shd w:val="clear" w:color="auto" w:fill="auto"/>
          </w:tcPr>
          <w:p w14:paraId="7B13BA72" w14:textId="77777777" w:rsidR="003C3A0F" w:rsidRPr="007B0B28" w:rsidRDefault="003C3A0F" w:rsidP="003C3A0F">
            <w:pPr>
              <w:spacing w:after="0" w:line="240" w:lineRule="auto"/>
              <w:rPr>
                <w:rFonts w:ascii="Arial" w:hAnsi="Arial" w:cs="Arial"/>
              </w:rPr>
            </w:pPr>
            <w:r w:rsidRPr="007B0B28">
              <w:rPr>
                <w:rFonts w:ascii="Arial" w:hAnsi="Arial" w:cs="Arial"/>
              </w:rPr>
              <w:t>Establish a documented Damage Prevention Program to track and measure line hit incidents; recover damages for all line hit incidents; and to take proactive measures to mitigate future line hits.</w:t>
            </w:r>
          </w:p>
        </w:tc>
        <w:tc>
          <w:tcPr>
            <w:tcW w:w="3180" w:type="dxa"/>
            <w:tcBorders>
              <w:top w:val="single" w:sz="4" w:space="0" w:color="auto"/>
              <w:left w:val="double" w:sz="4" w:space="0" w:color="auto"/>
              <w:bottom w:val="single" w:sz="4" w:space="0" w:color="auto"/>
              <w:right w:val="single" w:sz="4" w:space="0" w:color="auto"/>
            </w:tcBorders>
            <w:shd w:val="clear" w:color="auto" w:fill="auto"/>
          </w:tcPr>
          <w:p w14:paraId="3EE49423" w14:textId="77777777" w:rsidR="003C3A0F" w:rsidRPr="007B0B28" w:rsidRDefault="003C3A0F" w:rsidP="003C3A0F">
            <w:pPr>
              <w:spacing w:after="0" w:line="240" w:lineRule="auto"/>
              <w:rPr>
                <w:rFonts w:ascii="Arial" w:hAnsi="Arial" w:cs="Arial"/>
              </w:rPr>
            </w:pPr>
            <w:r w:rsidRPr="007B0B28">
              <w:rPr>
                <w:rFonts w:ascii="Arial" w:hAnsi="Arial" w:cs="Arial"/>
              </w:rPr>
              <w:t xml:space="preserve">VII-5 - </w:t>
            </w:r>
            <w:r w:rsidRPr="00D53FB1">
              <w:rPr>
                <w:rFonts w:ascii="Arial" w:hAnsi="Arial" w:cs="Arial"/>
              </w:rPr>
              <w:t>FirstEnergy has developed a damage prevention plan but should take additional steps to make the plan more comprehensive.</w:t>
            </w:r>
          </w:p>
        </w:tc>
        <w:tc>
          <w:tcPr>
            <w:tcW w:w="3180" w:type="dxa"/>
            <w:tcBorders>
              <w:left w:val="single" w:sz="4" w:space="0" w:color="auto"/>
            </w:tcBorders>
            <w:shd w:val="clear" w:color="auto" w:fill="auto"/>
          </w:tcPr>
          <w:p w14:paraId="6213CBC5" w14:textId="77777777" w:rsidR="003C3A0F" w:rsidRPr="007B0B28" w:rsidRDefault="003C3A0F" w:rsidP="003C3A0F">
            <w:pPr>
              <w:spacing w:after="0" w:line="240" w:lineRule="auto"/>
              <w:rPr>
                <w:rFonts w:ascii="Arial" w:hAnsi="Arial" w:cs="Arial"/>
              </w:rPr>
            </w:pPr>
            <w:r w:rsidRPr="00D53FB1">
              <w:rPr>
                <w:rFonts w:ascii="Arial" w:hAnsi="Arial" w:cs="Arial"/>
              </w:rPr>
              <w:t>Enhance the Damage Prevention Program by defining roles and responsibilities, developing mapping standards, and fully referencing all operational practices and manuals within the Damage Prevention Program.</w:t>
            </w:r>
          </w:p>
        </w:tc>
      </w:tr>
      <w:tr w:rsidR="003C3A0F" w:rsidRPr="007B0B28" w14:paraId="6E94CF83" w14:textId="77777777" w:rsidTr="00A327D7">
        <w:trPr>
          <w:trHeight w:val="1700"/>
        </w:trPr>
        <w:tc>
          <w:tcPr>
            <w:tcW w:w="3180" w:type="dxa"/>
            <w:tcBorders>
              <w:right w:val="double" w:sz="4" w:space="0" w:color="auto"/>
            </w:tcBorders>
            <w:shd w:val="clear" w:color="auto" w:fill="auto"/>
          </w:tcPr>
          <w:p w14:paraId="5796E6DB" w14:textId="77777777" w:rsidR="003C3A0F" w:rsidRPr="007B0B28" w:rsidRDefault="003C3A0F" w:rsidP="003C3A0F">
            <w:pPr>
              <w:spacing w:after="0" w:line="240" w:lineRule="auto"/>
              <w:rPr>
                <w:rFonts w:ascii="Arial" w:hAnsi="Arial" w:cs="Arial"/>
              </w:rPr>
            </w:pPr>
            <w:r w:rsidRPr="007B0B28">
              <w:rPr>
                <w:rFonts w:ascii="Arial" w:hAnsi="Arial" w:cs="Arial"/>
              </w:rPr>
              <w:t>Implement and/or modify backlog reduction plans for Met-Ed and Penelec in order to effectively and efficiently reduce the number of overdue Priority 3 conditions.</w:t>
            </w:r>
          </w:p>
        </w:tc>
        <w:tc>
          <w:tcPr>
            <w:tcW w:w="3180" w:type="dxa"/>
            <w:tcBorders>
              <w:top w:val="single" w:sz="4" w:space="0" w:color="auto"/>
              <w:left w:val="double" w:sz="4" w:space="0" w:color="auto"/>
              <w:bottom w:val="single" w:sz="4" w:space="0" w:color="auto"/>
              <w:right w:val="single" w:sz="4" w:space="0" w:color="auto"/>
            </w:tcBorders>
            <w:shd w:val="clear" w:color="auto" w:fill="auto"/>
          </w:tcPr>
          <w:p w14:paraId="53234CF4" w14:textId="77777777" w:rsidR="000931F7" w:rsidRPr="00A327D7" w:rsidRDefault="000931F7" w:rsidP="000931F7">
            <w:pPr>
              <w:spacing w:after="0" w:line="240" w:lineRule="auto"/>
              <w:rPr>
                <w:rFonts w:ascii="Arial" w:hAnsi="Arial" w:cs="Arial"/>
              </w:rPr>
            </w:pPr>
            <w:r>
              <w:rPr>
                <w:rFonts w:ascii="Arial" w:hAnsi="Arial" w:cs="Arial"/>
              </w:rPr>
              <w:t>VII-6</w:t>
            </w:r>
            <w:r w:rsidRPr="007B0B28">
              <w:rPr>
                <w:rFonts w:ascii="Arial" w:hAnsi="Arial" w:cs="Arial"/>
              </w:rPr>
              <w:t xml:space="preserve"> - </w:t>
            </w:r>
            <w:r w:rsidRPr="00A327D7">
              <w:rPr>
                <w:rFonts w:ascii="Arial" w:hAnsi="Arial" w:cs="Arial"/>
              </w:rPr>
              <w:t>Met-Ed and Penelec are on pace to eliminate P3 backlogs by the end of 2019.</w:t>
            </w:r>
          </w:p>
          <w:p w14:paraId="0C4C0DFA" w14:textId="77777777" w:rsidR="003C3A0F" w:rsidRPr="000931F7" w:rsidRDefault="003C3A0F" w:rsidP="003C3A0F">
            <w:pPr>
              <w:spacing w:after="0" w:line="240" w:lineRule="auto"/>
              <w:rPr>
                <w:rFonts w:ascii="Arial" w:hAnsi="Arial" w:cs="Arial"/>
              </w:rPr>
            </w:pPr>
          </w:p>
        </w:tc>
        <w:tc>
          <w:tcPr>
            <w:tcW w:w="3180" w:type="dxa"/>
            <w:tcBorders>
              <w:left w:val="single" w:sz="4" w:space="0" w:color="auto"/>
            </w:tcBorders>
            <w:shd w:val="clear" w:color="auto" w:fill="auto"/>
          </w:tcPr>
          <w:p w14:paraId="5CC0E16C" w14:textId="77777777" w:rsidR="003C3A0F" w:rsidRPr="000931F7" w:rsidRDefault="000931F7" w:rsidP="003C3A0F">
            <w:pPr>
              <w:spacing w:after="0" w:line="240" w:lineRule="auto"/>
              <w:rPr>
                <w:rFonts w:ascii="Arial" w:hAnsi="Arial" w:cs="Arial"/>
              </w:rPr>
            </w:pPr>
            <w:r w:rsidRPr="00A327D7">
              <w:rPr>
                <w:rFonts w:ascii="Arial" w:hAnsi="Arial" w:cs="Arial"/>
              </w:rPr>
              <w:t>Complete the backlog reduction plan for Priority 3 repairs as scheduled and utilize the transmission group employees to continue to address future transmission repairs in a timely fashion.</w:t>
            </w:r>
          </w:p>
        </w:tc>
      </w:tr>
      <w:tr w:rsidR="003C3A0F" w:rsidRPr="00B36DAF" w14:paraId="6CB53703" w14:textId="77777777" w:rsidTr="00EF0427">
        <w:trPr>
          <w:trHeight w:val="360"/>
        </w:trPr>
        <w:tc>
          <w:tcPr>
            <w:tcW w:w="9540" w:type="dxa"/>
            <w:gridSpan w:val="3"/>
            <w:shd w:val="clear" w:color="auto" w:fill="auto"/>
            <w:vAlign w:val="center"/>
          </w:tcPr>
          <w:p w14:paraId="5DE9C847" w14:textId="77777777" w:rsidR="003C3A0F" w:rsidRPr="00AC73FC" w:rsidRDefault="003C3A0F" w:rsidP="003C3A0F">
            <w:pPr>
              <w:spacing w:after="0" w:line="240" w:lineRule="auto"/>
              <w:rPr>
                <w:rFonts w:ascii="Arial" w:hAnsi="Arial" w:cs="Arial"/>
                <w:b/>
                <w:color w:val="000000"/>
                <w:sz w:val="24"/>
                <w:szCs w:val="24"/>
                <w:highlight w:val="yellow"/>
              </w:rPr>
            </w:pPr>
            <w:r w:rsidRPr="00AC73FC">
              <w:rPr>
                <w:rFonts w:ascii="Arial" w:hAnsi="Arial" w:cs="Arial"/>
                <w:b/>
                <w:color w:val="000000"/>
                <w:sz w:val="24"/>
                <w:szCs w:val="24"/>
              </w:rPr>
              <w:t xml:space="preserve">VIII. EMERGENCY PREPAREDNESS </w:t>
            </w:r>
            <w:r>
              <w:rPr>
                <w:rFonts w:ascii="Arial" w:hAnsi="Arial" w:cs="Arial"/>
                <w:b/>
                <w:bCs/>
                <w:color w:val="000000"/>
                <w:sz w:val="24"/>
                <w:szCs w:val="24"/>
              </w:rPr>
              <w:t xml:space="preserve">(Page </w:t>
            </w:r>
            <w:r w:rsidR="0070288B">
              <w:rPr>
                <w:rFonts w:ascii="Arial" w:hAnsi="Arial" w:cs="Arial"/>
                <w:b/>
                <w:bCs/>
                <w:color w:val="000000"/>
                <w:sz w:val="24"/>
                <w:szCs w:val="24"/>
              </w:rPr>
              <w:t>49</w:t>
            </w:r>
            <w:r w:rsidRPr="009D4792">
              <w:rPr>
                <w:rFonts w:ascii="Arial" w:hAnsi="Arial" w:cs="Arial"/>
                <w:b/>
                <w:bCs/>
                <w:color w:val="000000"/>
                <w:sz w:val="24"/>
                <w:szCs w:val="24"/>
              </w:rPr>
              <w:t>)</w:t>
            </w:r>
          </w:p>
        </w:tc>
      </w:tr>
      <w:tr w:rsidR="003C3A0F" w:rsidRPr="00E02D05" w14:paraId="55EF1737" w14:textId="77777777" w:rsidTr="00EF0427">
        <w:trPr>
          <w:trHeight w:val="251"/>
        </w:trPr>
        <w:tc>
          <w:tcPr>
            <w:tcW w:w="3180" w:type="dxa"/>
            <w:tcBorders>
              <w:right w:val="double" w:sz="4" w:space="0" w:color="auto"/>
            </w:tcBorders>
            <w:shd w:val="clear" w:color="auto" w:fill="auto"/>
          </w:tcPr>
          <w:p w14:paraId="7F0C6B84" w14:textId="77777777" w:rsidR="003C3A0F" w:rsidRPr="00AC73FC" w:rsidRDefault="003C3A0F" w:rsidP="003C3A0F">
            <w:pPr>
              <w:spacing w:after="0" w:line="240" w:lineRule="auto"/>
              <w:rPr>
                <w:rFonts w:ascii="Arial" w:hAnsi="Arial" w:cs="Arial"/>
              </w:rPr>
            </w:pPr>
          </w:p>
        </w:tc>
        <w:tc>
          <w:tcPr>
            <w:tcW w:w="3180" w:type="dxa"/>
            <w:tcBorders>
              <w:top w:val="single" w:sz="4" w:space="0" w:color="auto"/>
              <w:left w:val="double" w:sz="4" w:space="0" w:color="auto"/>
              <w:bottom w:val="single" w:sz="4" w:space="0" w:color="auto"/>
              <w:right w:val="single" w:sz="4" w:space="0" w:color="auto"/>
            </w:tcBorders>
            <w:shd w:val="clear" w:color="auto" w:fill="auto"/>
          </w:tcPr>
          <w:p w14:paraId="1A85A9DB" w14:textId="77777777" w:rsidR="003C3A0F" w:rsidRPr="00AC73FC" w:rsidRDefault="003C3A0F" w:rsidP="003C3A0F">
            <w:pPr>
              <w:spacing w:after="0" w:line="240" w:lineRule="auto"/>
              <w:contextualSpacing/>
              <w:rPr>
                <w:rFonts w:ascii="Arial" w:hAnsi="Arial" w:cs="Arial"/>
              </w:rPr>
            </w:pPr>
          </w:p>
        </w:tc>
        <w:tc>
          <w:tcPr>
            <w:tcW w:w="3180" w:type="dxa"/>
            <w:tcBorders>
              <w:left w:val="single" w:sz="4" w:space="0" w:color="auto"/>
            </w:tcBorders>
            <w:shd w:val="clear" w:color="auto" w:fill="auto"/>
          </w:tcPr>
          <w:p w14:paraId="14D1F6A0" w14:textId="7D0E61FE" w:rsidR="003C3A0F" w:rsidRPr="00AC73FC" w:rsidRDefault="003C3A0F" w:rsidP="003C3A0F">
            <w:pPr>
              <w:spacing w:after="0" w:line="240" w:lineRule="auto"/>
              <w:rPr>
                <w:rFonts w:ascii="Arial" w:hAnsi="Arial" w:cs="Arial"/>
                <w:noProof/>
                <w:color w:val="000000"/>
              </w:rPr>
            </w:pPr>
            <w:r w:rsidRPr="00AC73FC">
              <w:rPr>
                <w:rFonts w:ascii="Arial" w:hAnsi="Arial" w:cs="Arial"/>
                <w:noProof/>
                <w:color w:val="000000"/>
              </w:rPr>
              <w:t>None</w:t>
            </w:r>
          </w:p>
        </w:tc>
      </w:tr>
      <w:tr w:rsidR="003C3A0F" w:rsidRPr="00B36DAF" w14:paraId="389D77D7" w14:textId="77777777" w:rsidTr="00514606">
        <w:trPr>
          <w:trHeight w:val="360"/>
        </w:trPr>
        <w:tc>
          <w:tcPr>
            <w:tcW w:w="9540" w:type="dxa"/>
            <w:gridSpan w:val="3"/>
            <w:shd w:val="clear" w:color="auto" w:fill="auto"/>
            <w:vAlign w:val="center"/>
          </w:tcPr>
          <w:p w14:paraId="505A7092" w14:textId="77777777" w:rsidR="003C3A0F" w:rsidRPr="00AC73FC" w:rsidRDefault="003C3A0F" w:rsidP="003C3A0F">
            <w:pPr>
              <w:spacing w:after="0" w:line="240" w:lineRule="auto"/>
              <w:rPr>
                <w:rFonts w:ascii="Arial" w:hAnsi="Arial" w:cs="Arial"/>
                <w:b/>
                <w:color w:val="000000"/>
                <w:sz w:val="24"/>
                <w:szCs w:val="24"/>
                <w:highlight w:val="yellow"/>
              </w:rPr>
            </w:pPr>
            <w:r w:rsidRPr="00AC73FC">
              <w:rPr>
                <w:rFonts w:ascii="Arial" w:hAnsi="Arial" w:cs="Arial"/>
                <w:b/>
                <w:color w:val="000000"/>
                <w:sz w:val="24"/>
                <w:szCs w:val="24"/>
              </w:rPr>
              <w:t xml:space="preserve">IX. MATERIALS MANAGEMENT </w:t>
            </w:r>
            <w:r>
              <w:rPr>
                <w:rFonts w:ascii="Arial" w:hAnsi="Arial" w:cs="Arial"/>
                <w:b/>
                <w:bCs/>
                <w:color w:val="000000"/>
                <w:sz w:val="24"/>
                <w:szCs w:val="24"/>
              </w:rPr>
              <w:t>(Page 5</w:t>
            </w:r>
            <w:r w:rsidR="0070288B">
              <w:rPr>
                <w:rFonts w:ascii="Arial" w:hAnsi="Arial" w:cs="Arial"/>
                <w:b/>
                <w:bCs/>
                <w:color w:val="000000"/>
                <w:sz w:val="24"/>
                <w:szCs w:val="24"/>
              </w:rPr>
              <w:t>2</w:t>
            </w:r>
            <w:r w:rsidRPr="009D4792">
              <w:rPr>
                <w:rFonts w:ascii="Arial" w:hAnsi="Arial" w:cs="Arial"/>
                <w:b/>
                <w:bCs/>
                <w:color w:val="000000"/>
                <w:sz w:val="24"/>
                <w:szCs w:val="24"/>
              </w:rPr>
              <w:t>)</w:t>
            </w:r>
          </w:p>
        </w:tc>
      </w:tr>
      <w:tr w:rsidR="003C3A0F" w:rsidRPr="001A36E1" w14:paraId="0E2AA23B" w14:textId="77777777" w:rsidTr="00AC73FC">
        <w:trPr>
          <w:trHeight w:val="144"/>
        </w:trPr>
        <w:tc>
          <w:tcPr>
            <w:tcW w:w="3180" w:type="dxa"/>
            <w:tcBorders>
              <w:right w:val="double" w:sz="4" w:space="0" w:color="auto"/>
            </w:tcBorders>
            <w:shd w:val="clear" w:color="auto" w:fill="auto"/>
          </w:tcPr>
          <w:p w14:paraId="0C0B550A" w14:textId="77777777" w:rsidR="003C3A0F" w:rsidRPr="00AC73FC" w:rsidRDefault="003C3A0F" w:rsidP="003C3A0F">
            <w:pPr>
              <w:spacing w:after="0" w:line="240" w:lineRule="auto"/>
              <w:rPr>
                <w:rFonts w:ascii="Arial" w:hAnsi="Arial" w:cs="Arial"/>
              </w:rPr>
            </w:pPr>
            <w:r w:rsidRPr="00AC73FC">
              <w:rPr>
                <w:rFonts w:ascii="Arial" w:hAnsi="Arial" w:cs="Arial"/>
              </w:rPr>
              <w:t>Establish annual inventory turnover goals to a minimum of 2.0 turns and strive to achieve improved inventory levels.</w:t>
            </w:r>
          </w:p>
        </w:tc>
        <w:tc>
          <w:tcPr>
            <w:tcW w:w="3180" w:type="dxa"/>
            <w:tcBorders>
              <w:top w:val="single" w:sz="4" w:space="0" w:color="auto"/>
              <w:left w:val="double" w:sz="4" w:space="0" w:color="auto"/>
              <w:bottom w:val="single" w:sz="4" w:space="0" w:color="auto"/>
              <w:right w:val="single" w:sz="4" w:space="0" w:color="auto"/>
            </w:tcBorders>
            <w:shd w:val="clear" w:color="auto" w:fill="auto"/>
          </w:tcPr>
          <w:p w14:paraId="29CA239F" w14:textId="77777777" w:rsidR="003C3A0F" w:rsidRPr="00AC73FC" w:rsidRDefault="003C3A0F" w:rsidP="003C3A0F">
            <w:pPr>
              <w:spacing w:after="0" w:line="240" w:lineRule="auto"/>
              <w:contextualSpacing/>
              <w:rPr>
                <w:rFonts w:ascii="Arial" w:hAnsi="Arial" w:cs="Arial"/>
              </w:rPr>
            </w:pPr>
            <w:r w:rsidRPr="00AC73FC">
              <w:rPr>
                <w:rFonts w:ascii="Arial" w:hAnsi="Arial" w:cs="Arial"/>
              </w:rPr>
              <w:t xml:space="preserve">IX-1 - Inventory turnover for the </w:t>
            </w:r>
            <w:r w:rsidR="00DC3D9B">
              <w:rPr>
                <w:rFonts w:ascii="Arial" w:hAnsi="Arial" w:cs="Arial"/>
              </w:rPr>
              <w:t>FE-PA companies</w:t>
            </w:r>
            <w:r w:rsidRPr="00AC73FC">
              <w:rPr>
                <w:rFonts w:ascii="Arial" w:hAnsi="Arial" w:cs="Arial"/>
              </w:rPr>
              <w:t xml:space="preserve"> has been</w:t>
            </w:r>
            <w:r w:rsidR="004C1777">
              <w:rPr>
                <w:rFonts w:ascii="Arial" w:hAnsi="Arial" w:cs="Arial"/>
              </w:rPr>
              <w:t xml:space="preserve"> </w:t>
            </w:r>
            <w:r w:rsidR="0080195E">
              <w:rPr>
                <w:rFonts w:ascii="Arial" w:hAnsi="Arial" w:cs="Arial"/>
              </w:rPr>
              <w:t>improving</w:t>
            </w:r>
            <w:r w:rsidRPr="00AC73FC">
              <w:rPr>
                <w:rFonts w:ascii="Arial" w:hAnsi="Arial" w:cs="Arial"/>
              </w:rPr>
              <w:t>, and FirstEnergy established turnover goals based on a survey of its peers.</w:t>
            </w:r>
          </w:p>
        </w:tc>
        <w:tc>
          <w:tcPr>
            <w:tcW w:w="3180" w:type="dxa"/>
            <w:tcBorders>
              <w:left w:val="single" w:sz="4" w:space="0" w:color="auto"/>
            </w:tcBorders>
            <w:shd w:val="clear" w:color="auto" w:fill="auto"/>
          </w:tcPr>
          <w:p w14:paraId="4AC54D13" w14:textId="77777777" w:rsidR="003C3A0F" w:rsidRPr="00AC73FC" w:rsidRDefault="003C3A0F" w:rsidP="003C3A0F">
            <w:pPr>
              <w:spacing w:after="0" w:line="240" w:lineRule="auto"/>
              <w:rPr>
                <w:rFonts w:ascii="Arial" w:hAnsi="Arial" w:cs="Arial"/>
                <w:noProof/>
                <w:color w:val="000000"/>
              </w:rPr>
            </w:pPr>
            <w:r w:rsidRPr="00AC73FC">
              <w:rPr>
                <w:rFonts w:ascii="Arial" w:hAnsi="Arial" w:cs="Arial"/>
                <w:noProof/>
                <w:color w:val="000000"/>
              </w:rPr>
              <w:t>Continue participation in utility benchmarking studies to ensure inventory goals and practices are aligned with top quartile performing utilities.</w:t>
            </w:r>
          </w:p>
        </w:tc>
      </w:tr>
    </w:tbl>
    <w:p w14:paraId="149E5A1F" w14:textId="77777777" w:rsidR="00D362A9" w:rsidRDefault="00D362A9" w:rsidP="00626805">
      <w:pPr>
        <w:spacing w:after="0" w:line="240" w:lineRule="auto"/>
        <w:jc w:val="center"/>
        <w:rPr>
          <w:rFonts w:ascii="Arial" w:hAnsi="Arial" w:cs="Arial"/>
          <w:b/>
          <w:bCs/>
          <w:color w:val="000000"/>
          <w:sz w:val="24"/>
          <w:szCs w:val="24"/>
        </w:rPr>
        <w:sectPr w:rsidR="00D362A9" w:rsidSect="00C12FF4">
          <w:headerReference w:type="even" r:id="rId28"/>
          <w:headerReference w:type="default" r:id="rId29"/>
          <w:footerReference w:type="default" r:id="rId30"/>
          <w:headerReference w:type="first" r:id="rId31"/>
          <w:pgSz w:w="12240" w:h="15840" w:code="1"/>
          <w:pgMar w:top="1440" w:right="1440" w:bottom="1008" w:left="1440" w:header="720" w:footer="720" w:gutter="0"/>
          <w:pgNumType w:fmt="numberInDash"/>
          <w:cols w:space="720"/>
          <w:docGrid w:linePitch="360"/>
        </w:sect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0"/>
        <w:gridCol w:w="3180"/>
        <w:gridCol w:w="3180"/>
      </w:tblGrid>
      <w:tr w:rsidR="00626805" w:rsidRPr="001A36E1" w14:paraId="5F654AC9" w14:textId="77777777" w:rsidTr="00AC73FC">
        <w:trPr>
          <w:trHeight w:val="432"/>
        </w:trPr>
        <w:tc>
          <w:tcPr>
            <w:tcW w:w="3180" w:type="dxa"/>
            <w:tcBorders>
              <w:right w:val="double" w:sz="4" w:space="0" w:color="auto"/>
            </w:tcBorders>
            <w:shd w:val="clear" w:color="auto" w:fill="auto"/>
            <w:vAlign w:val="bottom"/>
          </w:tcPr>
          <w:p w14:paraId="19F422F1" w14:textId="77777777" w:rsidR="00626805" w:rsidRPr="00626805" w:rsidRDefault="00626805" w:rsidP="00AC73FC">
            <w:pPr>
              <w:spacing w:after="0" w:line="240" w:lineRule="auto"/>
              <w:jc w:val="center"/>
              <w:rPr>
                <w:rFonts w:ascii="Arial" w:eastAsia="Times New Roman" w:hAnsi="Arial" w:cs="Times New Roman"/>
              </w:rPr>
            </w:pPr>
            <w:r w:rsidRPr="00A93F8C">
              <w:rPr>
                <w:rFonts w:ascii="Arial" w:hAnsi="Arial" w:cs="Arial"/>
                <w:b/>
                <w:bCs/>
                <w:color w:val="000000"/>
                <w:sz w:val="24"/>
                <w:szCs w:val="24"/>
              </w:rPr>
              <w:t>Prior MA</w:t>
            </w:r>
            <w:r w:rsidRPr="00A93F8C">
              <w:rPr>
                <w:rFonts w:ascii="Arial" w:hAnsi="Arial" w:cs="Arial"/>
                <w:b/>
                <w:bCs/>
                <w:color w:val="000000"/>
                <w:sz w:val="24"/>
                <w:szCs w:val="24"/>
                <w:u w:val="single"/>
              </w:rPr>
              <w:t xml:space="preserve"> </w:t>
            </w:r>
            <w:r w:rsidRPr="00A93F8C">
              <w:rPr>
                <w:rFonts w:ascii="Arial" w:hAnsi="Arial" w:cs="Arial"/>
                <w:b/>
                <w:bCs/>
                <w:color w:val="000000"/>
                <w:sz w:val="24"/>
                <w:szCs w:val="24"/>
              </w:rPr>
              <w:t>Recommendations</w:t>
            </w:r>
          </w:p>
        </w:tc>
        <w:tc>
          <w:tcPr>
            <w:tcW w:w="3180" w:type="dxa"/>
            <w:tcBorders>
              <w:top w:val="single" w:sz="4" w:space="0" w:color="auto"/>
              <w:left w:val="double" w:sz="4" w:space="0" w:color="auto"/>
              <w:bottom w:val="single" w:sz="4" w:space="0" w:color="auto"/>
              <w:right w:val="single" w:sz="4" w:space="0" w:color="auto"/>
            </w:tcBorders>
            <w:shd w:val="clear" w:color="auto" w:fill="auto"/>
            <w:vAlign w:val="bottom"/>
          </w:tcPr>
          <w:p w14:paraId="45ED3C8F" w14:textId="77777777" w:rsidR="00626805" w:rsidRPr="00626805" w:rsidRDefault="00626805" w:rsidP="00AC73FC">
            <w:pPr>
              <w:spacing w:after="0" w:line="240" w:lineRule="auto"/>
              <w:contextualSpacing/>
              <w:jc w:val="center"/>
              <w:rPr>
                <w:rFonts w:ascii="Arial" w:hAnsi="Arial" w:cs="Arial"/>
              </w:rPr>
            </w:pPr>
            <w:r w:rsidRPr="00A93F8C">
              <w:rPr>
                <w:rFonts w:ascii="Arial" w:hAnsi="Arial" w:cs="Arial"/>
                <w:b/>
                <w:bCs/>
                <w:color w:val="000000"/>
                <w:sz w:val="24"/>
                <w:szCs w:val="24"/>
              </w:rPr>
              <w:t>MEI Follow-up Findings and Conclusions</w:t>
            </w:r>
          </w:p>
        </w:tc>
        <w:tc>
          <w:tcPr>
            <w:tcW w:w="3180" w:type="dxa"/>
            <w:tcBorders>
              <w:left w:val="single" w:sz="4" w:space="0" w:color="auto"/>
            </w:tcBorders>
            <w:shd w:val="clear" w:color="auto" w:fill="auto"/>
            <w:vAlign w:val="bottom"/>
          </w:tcPr>
          <w:p w14:paraId="39391EF4" w14:textId="77777777" w:rsidR="00626805" w:rsidRPr="00626805" w:rsidRDefault="00626805" w:rsidP="00AC73FC">
            <w:pPr>
              <w:spacing w:after="0" w:line="240" w:lineRule="auto"/>
              <w:jc w:val="center"/>
              <w:rPr>
                <w:rFonts w:ascii="Arial" w:hAnsi="Arial" w:cs="Arial"/>
                <w:noProof/>
                <w:color w:val="000000"/>
              </w:rPr>
            </w:pPr>
            <w:r w:rsidRPr="00A93F8C">
              <w:rPr>
                <w:rFonts w:ascii="Arial" w:hAnsi="Arial" w:cs="Arial"/>
                <w:b/>
                <w:bCs/>
                <w:color w:val="000000"/>
                <w:sz w:val="24"/>
                <w:szCs w:val="24"/>
              </w:rPr>
              <w:t>MEI Follow-up</w:t>
            </w:r>
            <w:r w:rsidRPr="00A93F8C">
              <w:rPr>
                <w:rFonts w:ascii="Arial" w:hAnsi="Arial" w:cs="Arial"/>
                <w:b/>
                <w:bCs/>
                <w:color w:val="000000"/>
                <w:sz w:val="24"/>
                <w:szCs w:val="24"/>
                <w:u w:val="single"/>
              </w:rPr>
              <w:t xml:space="preserve"> </w:t>
            </w:r>
            <w:r w:rsidRPr="00A93F8C">
              <w:rPr>
                <w:rFonts w:ascii="Arial" w:hAnsi="Arial" w:cs="Arial"/>
                <w:b/>
                <w:bCs/>
                <w:color w:val="000000"/>
                <w:sz w:val="24"/>
                <w:szCs w:val="24"/>
              </w:rPr>
              <w:t>Recommendations</w:t>
            </w:r>
          </w:p>
        </w:tc>
      </w:tr>
      <w:tr w:rsidR="00D14C0B" w:rsidRPr="00B36DAF" w14:paraId="3EA91CC2" w14:textId="77777777" w:rsidTr="00514606">
        <w:trPr>
          <w:trHeight w:val="360"/>
        </w:trPr>
        <w:tc>
          <w:tcPr>
            <w:tcW w:w="9540" w:type="dxa"/>
            <w:gridSpan w:val="3"/>
            <w:shd w:val="clear" w:color="auto" w:fill="auto"/>
            <w:vAlign w:val="center"/>
          </w:tcPr>
          <w:p w14:paraId="4BF2DA2F" w14:textId="77777777" w:rsidR="00D14C0B" w:rsidRPr="00AC73FC" w:rsidRDefault="00D14C0B" w:rsidP="00514606">
            <w:pPr>
              <w:spacing w:after="0" w:line="240" w:lineRule="auto"/>
              <w:rPr>
                <w:rFonts w:ascii="Arial" w:hAnsi="Arial" w:cs="Arial"/>
                <w:b/>
                <w:color w:val="000000"/>
                <w:sz w:val="24"/>
                <w:szCs w:val="24"/>
                <w:highlight w:val="yellow"/>
              </w:rPr>
            </w:pPr>
            <w:r w:rsidRPr="00AC73FC">
              <w:rPr>
                <w:rFonts w:ascii="Arial" w:hAnsi="Arial" w:cs="Arial"/>
                <w:b/>
                <w:color w:val="000000"/>
                <w:sz w:val="24"/>
                <w:szCs w:val="24"/>
              </w:rPr>
              <w:t xml:space="preserve">X. CUSTOMER SERVICE </w:t>
            </w:r>
            <w:r w:rsidR="00DE1425">
              <w:rPr>
                <w:rFonts w:ascii="Arial" w:hAnsi="Arial" w:cs="Arial"/>
                <w:b/>
                <w:bCs/>
                <w:color w:val="000000"/>
                <w:sz w:val="24"/>
                <w:szCs w:val="24"/>
              </w:rPr>
              <w:t>(Page 5</w:t>
            </w:r>
            <w:r w:rsidR="0070288B">
              <w:rPr>
                <w:rFonts w:ascii="Arial" w:hAnsi="Arial" w:cs="Arial"/>
                <w:b/>
                <w:bCs/>
                <w:color w:val="000000"/>
                <w:sz w:val="24"/>
                <w:szCs w:val="24"/>
              </w:rPr>
              <w:t>6</w:t>
            </w:r>
            <w:r w:rsidR="009D4792" w:rsidRPr="009D4792">
              <w:rPr>
                <w:rFonts w:ascii="Arial" w:hAnsi="Arial" w:cs="Arial"/>
                <w:b/>
                <w:bCs/>
                <w:color w:val="000000"/>
                <w:sz w:val="24"/>
                <w:szCs w:val="24"/>
              </w:rPr>
              <w:t>)</w:t>
            </w:r>
          </w:p>
        </w:tc>
      </w:tr>
      <w:tr w:rsidR="003C3A0F" w:rsidRPr="001A36E1" w14:paraId="17DCA864" w14:textId="77777777" w:rsidTr="00382292">
        <w:trPr>
          <w:trHeight w:val="1520"/>
        </w:trPr>
        <w:tc>
          <w:tcPr>
            <w:tcW w:w="3180" w:type="dxa"/>
            <w:tcBorders>
              <w:right w:val="double" w:sz="4" w:space="0" w:color="auto"/>
            </w:tcBorders>
            <w:shd w:val="clear" w:color="auto" w:fill="auto"/>
          </w:tcPr>
          <w:p w14:paraId="78C11697" w14:textId="77777777" w:rsidR="003C3A0F" w:rsidRPr="00F34A8B" w:rsidRDefault="003C3A0F" w:rsidP="003C3A0F">
            <w:pPr>
              <w:spacing w:after="0" w:line="20" w:lineRule="atLeast"/>
              <w:contextualSpacing/>
              <w:rPr>
                <w:rFonts w:ascii="Arial" w:eastAsia="Times New Roman" w:hAnsi="Arial" w:cs="Times New Roman"/>
              </w:rPr>
            </w:pPr>
            <w:r w:rsidRPr="00AC73FC">
              <w:rPr>
                <w:rFonts w:ascii="Arial" w:hAnsi="Arial" w:cs="Arial"/>
                <w:bCs/>
              </w:rPr>
              <w:t>Improve meter reading performance levels through increased staffing and/or use of contractors while implementing smart meter technologies.</w:t>
            </w:r>
          </w:p>
        </w:tc>
        <w:tc>
          <w:tcPr>
            <w:tcW w:w="3180" w:type="dxa"/>
            <w:tcBorders>
              <w:top w:val="single" w:sz="4" w:space="0" w:color="auto"/>
              <w:left w:val="double" w:sz="4" w:space="0" w:color="auto"/>
              <w:bottom w:val="single" w:sz="4" w:space="0" w:color="auto"/>
              <w:right w:val="single" w:sz="4" w:space="0" w:color="auto"/>
            </w:tcBorders>
            <w:shd w:val="clear" w:color="auto" w:fill="auto"/>
          </w:tcPr>
          <w:p w14:paraId="228C9013" w14:textId="77777777" w:rsidR="003C3A0F" w:rsidRPr="00F34A8B" w:rsidRDefault="003C3A0F" w:rsidP="003C3A0F">
            <w:pPr>
              <w:spacing w:after="0" w:line="240" w:lineRule="auto"/>
              <w:contextualSpacing/>
              <w:rPr>
                <w:rFonts w:ascii="Arial" w:hAnsi="Arial" w:cs="Arial"/>
              </w:rPr>
            </w:pPr>
            <w:r w:rsidRPr="00AC73FC">
              <w:rPr>
                <w:rFonts w:ascii="Arial" w:hAnsi="Arial" w:cs="Arial"/>
              </w:rPr>
              <w:t>X-1 - Meter readi</w:t>
            </w:r>
            <w:r>
              <w:rPr>
                <w:rFonts w:ascii="Arial" w:hAnsi="Arial" w:cs="Arial"/>
              </w:rPr>
              <w:t xml:space="preserve">ng performance has improved </w:t>
            </w:r>
            <w:r w:rsidRPr="00AC73FC">
              <w:rPr>
                <w:rFonts w:ascii="Arial" w:hAnsi="Arial" w:cs="Arial"/>
              </w:rPr>
              <w:t>due to smart meter deployment.</w:t>
            </w:r>
          </w:p>
        </w:tc>
        <w:tc>
          <w:tcPr>
            <w:tcW w:w="3180" w:type="dxa"/>
            <w:tcBorders>
              <w:left w:val="single" w:sz="4" w:space="0" w:color="auto"/>
            </w:tcBorders>
            <w:shd w:val="clear" w:color="auto" w:fill="auto"/>
          </w:tcPr>
          <w:p w14:paraId="057FEE11" w14:textId="2BD2538C" w:rsidR="003C3A0F" w:rsidRDefault="003C3A0F" w:rsidP="003C3A0F">
            <w:pPr>
              <w:spacing w:after="0" w:line="240" w:lineRule="auto"/>
              <w:rPr>
                <w:rFonts w:ascii="Arial" w:hAnsi="Arial" w:cs="Arial"/>
                <w:noProof/>
                <w:color w:val="000000"/>
              </w:rPr>
            </w:pPr>
            <w:r w:rsidRPr="00AC73FC">
              <w:rPr>
                <w:rFonts w:ascii="Arial" w:hAnsi="Arial" w:cs="Arial"/>
                <w:noProof/>
                <w:color w:val="000000"/>
              </w:rPr>
              <w:t>None</w:t>
            </w:r>
          </w:p>
        </w:tc>
      </w:tr>
      <w:tr w:rsidR="003C3A0F" w:rsidRPr="001A36E1" w14:paraId="03C5E4BB" w14:textId="77777777" w:rsidTr="00AC73FC">
        <w:trPr>
          <w:trHeight w:val="1728"/>
        </w:trPr>
        <w:tc>
          <w:tcPr>
            <w:tcW w:w="3180" w:type="dxa"/>
            <w:tcBorders>
              <w:right w:val="double" w:sz="4" w:space="0" w:color="auto"/>
            </w:tcBorders>
            <w:shd w:val="clear" w:color="auto" w:fill="auto"/>
          </w:tcPr>
          <w:p w14:paraId="0734D03C" w14:textId="77777777" w:rsidR="003C3A0F" w:rsidRPr="00D362A9" w:rsidRDefault="003C3A0F" w:rsidP="003C3A0F">
            <w:pPr>
              <w:spacing w:after="0" w:line="20" w:lineRule="atLeast"/>
              <w:contextualSpacing/>
              <w:rPr>
                <w:rFonts w:ascii="Arial" w:eastAsia="Times New Roman" w:hAnsi="Arial" w:cs="Times New Roman"/>
              </w:rPr>
            </w:pPr>
            <w:r w:rsidRPr="00F34A8B">
              <w:rPr>
                <w:rFonts w:ascii="Arial" w:eastAsia="Times New Roman" w:hAnsi="Arial" w:cs="Times New Roman"/>
              </w:rPr>
              <w:t>Initiate measures to comply with PUC regulations by eliminating and/or substantially reducing the number of meters not read within six and twelve-month periods.</w:t>
            </w:r>
          </w:p>
        </w:tc>
        <w:tc>
          <w:tcPr>
            <w:tcW w:w="3180" w:type="dxa"/>
            <w:tcBorders>
              <w:top w:val="single" w:sz="4" w:space="0" w:color="auto"/>
              <w:left w:val="double" w:sz="4" w:space="0" w:color="auto"/>
              <w:bottom w:val="single" w:sz="4" w:space="0" w:color="auto"/>
              <w:right w:val="single" w:sz="4" w:space="0" w:color="auto"/>
            </w:tcBorders>
            <w:shd w:val="clear" w:color="auto" w:fill="auto"/>
          </w:tcPr>
          <w:p w14:paraId="1025415A" w14:textId="77777777" w:rsidR="003C3A0F" w:rsidRPr="00D362A9" w:rsidRDefault="003C3A0F" w:rsidP="003C3A0F">
            <w:pPr>
              <w:spacing w:after="0" w:line="240" w:lineRule="auto"/>
              <w:contextualSpacing/>
              <w:rPr>
                <w:rFonts w:ascii="Arial" w:hAnsi="Arial" w:cs="Arial"/>
              </w:rPr>
            </w:pPr>
            <w:r w:rsidRPr="00F34A8B">
              <w:rPr>
                <w:rFonts w:ascii="Arial" w:hAnsi="Arial" w:cs="Arial"/>
              </w:rPr>
              <w:t>X-</w:t>
            </w:r>
            <w:r>
              <w:rPr>
                <w:rFonts w:ascii="Arial" w:hAnsi="Arial" w:cs="Arial"/>
              </w:rPr>
              <w:t xml:space="preserve">2 - </w:t>
            </w:r>
            <w:r w:rsidR="00382292" w:rsidRPr="00382292">
              <w:rPr>
                <w:rFonts w:ascii="Arial" w:hAnsi="Arial" w:cs="Arial"/>
              </w:rPr>
              <w:t>The number of meters not read within six and twelve-month periods has been significantly reduced.</w:t>
            </w:r>
          </w:p>
        </w:tc>
        <w:tc>
          <w:tcPr>
            <w:tcW w:w="3180" w:type="dxa"/>
            <w:tcBorders>
              <w:left w:val="single" w:sz="4" w:space="0" w:color="auto"/>
            </w:tcBorders>
            <w:shd w:val="clear" w:color="auto" w:fill="auto"/>
          </w:tcPr>
          <w:p w14:paraId="0048CBFA" w14:textId="77777777" w:rsidR="003C3A0F" w:rsidRPr="00D362A9" w:rsidRDefault="003C3A0F" w:rsidP="003C3A0F">
            <w:pPr>
              <w:spacing w:after="0" w:line="240" w:lineRule="auto"/>
              <w:rPr>
                <w:rFonts w:ascii="Arial" w:hAnsi="Arial" w:cs="Arial"/>
                <w:noProof/>
                <w:color w:val="000000"/>
              </w:rPr>
            </w:pPr>
            <w:r>
              <w:rPr>
                <w:rFonts w:ascii="Arial" w:hAnsi="Arial" w:cs="Arial"/>
                <w:noProof/>
                <w:color w:val="000000"/>
              </w:rPr>
              <w:t xml:space="preserve">Continue to decrease the </w:t>
            </w:r>
            <w:r w:rsidRPr="00F34A8B">
              <w:rPr>
                <w:rFonts w:ascii="Arial" w:hAnsi="Arial" w:cs="Arial"/>
                <w:noProof/>
                <w:color w:val="000000"/>
              </w:rPr>
              <w:t>number of meters not read in six and twelve months to be in full compliance with § 56.12.</w:t>
            </w:r>
          </w:p>
        </w:tc>
      </w:tr>
      <w:tr w:rsidR="003C3A0F" w:rsidRPr="001A36E1" w14:paraId="51158155" w14:textId="77777777" w:rsidTr="00D14C0B">
        <w:trPr>
          <w:trHeight w:val="1898"/>
        </w:trPr>
        <w:tc>
          <w:tcPr>
            <w:tcW w:w="3180" w:type="dxa"/>
            <w:tcBorders>
              <w:right w:val="double" w:sz="4" w:space="0" w:color="auto"/>
            </w:tcBorders>
            <w:shd w:val="clear" w:color="auto" w:fill="auto"/>
          </w:tcPr>
          <w:p w14:paraId="59E4822C" w14:textId="77777777" w:rsidR="003C3A0F" w:rsidRPr="00AC73FC" w:rsidRDefault="003C3A0F" w:rsidP="003C3A0F">
            <w:pPr>
              <w:spacing w:after="0" w:line="20" w:lineRule="atLeast"/>
              <w:contextualSpacing/>
              <w:rPr>
                <w:rFonts w:ascii="Arial" w:eastAsia="Times New Roman" w:hAnsi="Arial" w:cs="Times New Roman"/>
                <w:bCs/>
              </w:rPr>
            </w:pPr>
            <w:r w:rsidRPr="00AC73FC">
              <w:rPr>
                <w:rFonts w:ascii="Arial" w:eastAsia="Times New Roman" w:hAnsi="Arial" w:cs="Times New Roman"/>
              </w:rPr>
              <w:t>Reduce billing reversals and meter estimates by implementing appropriate process and procedure improvements, and better determining the cause by beginning to classify miscellaneous billing reversals.</w:t>
            </w:r>
          </w:p>
        </w:tc>
        <w:tc>
          <w:tcPr>
            <w:tcW w:w="3180" w:type="dxa"/>
            <w:tcBorders>
              <w:top w:val="single" w:sz="4" w:space="0" w:color="auto"/>
              <w:left w:val="double" w:sz="4" w:space="0" w:color="auto"/>
              <w:bottom w:val="single" w:sz="4" w:space="0" w:color="auto"/>
              <w:right w:val="single" w:sz="4" w:space="0" w:color="auto"/>
            </w:tcBorders>
            <w:shd w:val="clear" w:color="auto" w:fill="auto"/>
          </w:tcPr>
          <w:p w14:paraId="2E62A897" w14:textId="77777777" w:rsidR="003C3A0F" w:rsidRPr="00AC73FC" w:rsidRDefault="003C3A0F" w:rsidP="003C3A0F">
            <w:pPr>
              <w:spacing w:after="0" w:line="240" w:lineRule="auto"/>
              <w:contextualSpacing/>
              <w:rPr>
                <w:rFonts w:ascii="Arial" w:hAnsi="Arial" w:cs="Arial"/>
              </w:rPr>
            </w:pPr>
            <w:r w:rsidRPr="00AC73FC">
              <w:rPr>
                <w:rFonts w:ascii="Arial" w:hAnsi="Arial" w:cs="Arial"/>
              </w:rPr>
              <w:t xml:space="preserve">X-3 - Billing reversals at the </w:t>
            </w:r>
            <w:r w:rsidR="00DC3D9B">
              <w:rPr>
                <w:rFonts w:ascii="Arial" w:hAnsi="Arial" w:cs="Arial"/>
              </w:rPr>
              <w:t>FE-PA companies</w:t>
            </w:r>
            <w:r w:rsidRPr="00AC73FC">
              <w:rPr>
                <w:rFonts w:ascii="Arial" w:hAnsi="Arial" w:cs="Arial"/>
              </w:rPr>
              <w:t xml:space="preserve"> are decreasing.</w:t>
            </w:r>
          </w:p>
        </w:tc>
        <w:tc>
          <w:tcPr>
            <w:tcW w:w="3180" w:type="dxa"/>
            <w:tcBorders>
              <w:left w:val="single" w:sz="4" w:space="0" w:color="auto"/>
            </w:tcBorders>
            <w:shd w:val="clear" w:color="auto" w:fill="auto"/>
          </w:tcPr>
          <w:p w14:paraId="19EA6AF2" w14:textId="3EDBE884" w:rsidR="003C3A0F" w:rsidRPr="00AC73FC" w:rsidRDefault="003C3A0F" w:rsidP="003C3A0F">
            <w:pPr>
              <w:spacing w:after="0" w:line="240" w:lineRule="auto"/>
              <w:rPr>
                <w:rFonts w:ascii="Arial" w:hAnsi="Arial" w:cs="Arial"/>
                <w:noProof/>
                <w:color w:val="000000"/>
              </w:rPr>
            </w:pPr>
            <w:r w:rsidRPr="00AC73FC">
              <w:rPr>
                <w:rFonts w:ascii="Arial" w:hAnsi="Arial" w:cs="Arial"/>
                <w:noProof/>
                <w:color w:val="000000"/>
              </w:rPr>
              <w:t>None</w:t>
            </w:r>
          </w:p>
        </w:tc>
      </w:tr>
      <w:tr w:rsidR="003C3A0F" w:rsidRPr="001A36E1" w14:paraId="73CCD273" w14:textId="77777777" w:rsidTr="00AC73FC">
        <w:trPr>
          <w:trHeight w:val="1584"/>
        </w:trPr>
        <w:tc>
          <w:tcPr>
            <w:tcW w:w="3180" w:type="dxa"/>
            <w:tcBorders>
              <w:right w:val="double" w:sz="4" w:space="0" w:color="auto"/>
            </w:tcBorders>
            <w:shd w:val="clear" w:color="auto" w:fill="auto"/>
          </w:tcPr>
          <w:p w14:paraId="410F754B" w14:textId="77777777" w:rsidR="003C3A0F" w:rsidRPr="00AC73FC" w:rsidRDefault="003C3A0F" w:rsidP="003C3A0F">
            <w:pPr>
              <w:spacing w:after="0" w:line="20" w:lineRule="atLeast"/>
              <w:contextualSpacing/>
              <w:rPr>
                <w:rFonts w:ascii="Arial" w:eastAsia="Times New Roman" w:hAnsi="Arial" w:cs="Times New Roman"/>
                <w:bCs/>
              </w:rPr>
            </w:pPr>
            <w:r w:rsidRPr="00AC73FC">
              <w:rPr>
                <w:rFonts w:ascii="Arial" w:eastAsia="Times New Roman" w:hAnsi="Arial" w:cs="Times New Roman"/>
              </w:rPr>
              <w:t>Implement measures to improve the Contact Center performance levels including efforts to reduce Customer Service Representative turnover levels.</w:t>
            </w:r>
          </w:p>
        </w:tc>
        <w:tc>
          <w:tcPr>
            <w:tcW w:w="3180" w:type="dxa"/>
            <w:tcBorders>
              <w:top w:val="single" w:sz="4" w:space="0" w:color="auto"/>
              <w:left w:val="double" w:sz="4" w:space="0" w:color="auto"/>
              <w:bottom w:val="single" w:sz="4" w:space="0" w:color="auto"/>
              <w:right w:val="single" w:sz="4" w:space="0" w:color="auto"/>
            </w:tcBorders>
            <w:shd w:val="clear" w:color="auto" w:fill="auto"/>
          </w:tcPr>
          <w:p w14:paraId="091388CE" w14:textId="77777777" w:rsidR="003C3A0F" w:rsidRPr="00AC73FC" w:rsidRDefault="003C3A0F" w:rsidP="003C3A0F">
            <w:pPr>
              <w:spacing w:after="0" w:line="240" w:lineRule="auto"/>
              <w:contextualSpacing/>
              <w:rPr>
                <w:rFonts w:ascii="Arial" w:hAnsi="Arial" w:cs="Arial"/>
              </w:rPr>
            </w:pPr>
            <w:r w:rsidRPr="00AC73FC">
              <w:rPr>
                <w:rFonts w:ascii="Arial" w:hAnsi="Arial" w:cs="Arial"/>
              </w:rPr>
              <w:t>X</w:t>
            </w:r>
            <w:r>
              <w:rPr>
                <w:rFonts w:ascii="Arial" w:hAnsi="Arial" w:cs="Arial"/>
              </w:rPr>
              <w:t xml:space="preserve">-4 - CSR turnover </w:t>
            </w:r>
            <w:r w:rsidRPr="00AC73FC">
              <w:rPr>
                <w:rFonts w:ascii="Arial" w:hAnsi="Arial" w:cs="Arial"/>
              </w:rPr>
              <w:t>and West Penn Power’s contact center performance has improved.</w:t>
            </w:r>
          </w:p>
        </w:tc>
        <w:tc>
          <w:tcPr>
            <w:tcW w:w="3180" w:type="dxa"/>
            <w:tcBorders>
              <w:left w:val="single" w:sz="4" w:space="0" w:color="auto"/>
            </w:tcBorders>
            <w:shd w:val="clear" w:color="auto" w:fill="auto"/>
          </w:tcPr>
          <w:p w14:paraId="4D73F00C" w14:textId="1573F4CF" w:rsidR="003C3A0F" w:rsidRPr="00AC73FC" w:rsidRDefault="003C3A0F" w:rsidP="003C3A0F">
            <w:pPr>
              <w:spacing w:after="0" w:line="240" w:lineRule="auto"/>
              <w:rPr>
                <w:rFonts w:ascii="Arial" w:hAnsi="Arial" w:cs="Arial"/>
                <w:noProof/>
                <w:color w:val="000000"/>
              </w:rPr>
            </w:pPr>
            <w:r w:rsidRPr="00AC73FC">
              <w:rPr>
                <w:rFonts w:ascii="Arial" w:hAnsi="Arial" w:cs="Arial"/>
                <w:noProof/>
                <w:color w:val="000000"/>
              </w:rPr>
              <w:t>None</w:t>
            </w:r>
          </w:p>
        </w:tc>
      </w:tr>
      <w:tr w:rsidR="003C3A0F" w:rsidRPr="001A36E1" w14:paraId="64FCA4F8" w14:textId="77777777" w:rsidTr="00AC73FC">
        <w:trPr>
          <w:trHeight w:val="864"/>
        </w:trPr>
        <w:tc>
          <w:tcPr>
            <w:tcW w:w="3180" w:type="dxa"/>
            <w:tcBorders>
              <w:right w:val="double" w:sz="4" w:space="0" w:color="auto"/>
            </w:tcBorders>
            <w:shd w:val="clear" w:color="auto" w:fill="auto"/>
          </w:tcPr>
          <w:p w14:paraId="13B27AAB" w14:textId="77777777" w:rsidR="003C3A0F" w:rsidRPr="00AC73FC" w:rsidRDefault="003C3A0F" w:rsidP="003C3A0F">
            <w:pPr>
              <w:spacing w:after="0" w:line="20" w:lineRule="atLeast"/>
              <w:contextualSpacing/>
              <w:rPr>
                <w:rFonts w:ascii="Arial" w:eastAsia="Times New Roman" w:hAnsi="Arial" w:cs="Times New Roman"/>
                <w:bCs/>
              </w:rPr>
            </w:pPr>
            <w:r w:rsidRPr="00AC73FC">
              <w:rPr>
                <w:rFonts w:ascii="Arial" w:eastAsia="Times New Roman" w:hAnsi="Arial" w:cs="Times New Roman"/>
                <w:bCs/>
              </w:rPr>
              <w:t>Initiate measures to eliminate or substantially reduce the frequency of residential disputes that are not responded to in 30 days as required by</w:t>
            </w:r>
          </w:p>
          <w:p w14:paraId="4118B362" w14:textId="77777777" w:rsidR="003C3A0F" w:rsidRPr="00AC73FC" w:rsidRDefault="003C3A0F" w:rsidP="003C3A0F">
            <w:pPr>
              <w:spacing w:after="0" w:line="20" w:lineRule="atLeast"/>
              <w:contextualSpacing/>
              <w:rPr>
                <w:rFonts w:ascii="Arial" w:hAnsi="Arial" w:cs="Arial"/>
              </w:rPr>
            </w:pPr>
            <w:r w:rsidRPr="00AC73FC">
              <w:rPr>
                <w:rFonts w:ascii="Arial" w:eastAsia="Times New Roman" w:hAnsi="Arial" w:cs="Times New Roman"/>
                <w:bCs/>
              </w:rPr>
              <w:t>PUC regulations.</w:t>
            </w:r>
          </w:p>
        </w:tc>
        <w:tc>
          <w:tcPr>
            <w:tcW w:w="3180" w:type="dxa"/>
            <w:tcBorders>
              <w:top w:val="single" w:sz="4" w:space="0" w:color="auto"/>
              <w:left w:val="double" w:sz="4" w:space="0" w:color="auto"/>
              <w:bottom w:val="single" w:sz="4" w:space="0" w:color="auto"/>
              <w:right w:val="single" w:sz="4" w:space="0" w:color="auto"/>
            </w:tcBorders>
            <w:shd w:val="clear" w:color="auto" w:fill="auto"/>
          </w:tcPr>
          <w:p w14:paraId="6BA69875" w14:textId="77777777" w:rsidR="003C3A0F" w:rsidRPr="00AC73FC" w:rsidRDefault="003C3A0F" w:rsidP="003C3A0F">
            <w:pPr>
              <w:spacing w:after="0" w:line="240" w:lineRule="auto"/>
              <w:contextualSpacing/>
              <w:rPr>
                <w:rFonts w:ascii="Arial" w:hAnsi="Arial" w:cs="Arial"/>
              </w:rPr>
            </w:pPr>
            <w:r w:rsidRPr="00AC73FC">
              <w:rPr>
                <w:rFonts w:ascii="Arial" w:hAnsi="Arial" w:cs="Arial"/>
              </w:rPr>
              <w:t xml:space="preserve">X-5 - Residential disputes with a response time greater than 30 days have been reduced to zero at all the </w:t>
            </w:r>
            <w:r w:rsidR="00DC3D9B">
              <w:rPr>
                <w:rFonts w:ascii="Arial" w:hAnsi="Arial" w:cs="Arial"/>
              </w:rPr>
              <w:t>FE-PA companies</w:t>
            </w:r>
            <w:r w:rsidRPr="00AC73FC">
              <w:rPr>
                <w:rFonts w:ascii="Arial" w:hAnsi="Arial" w:cs="Arial"/>
              </w:rPr>
              <w:t>.</w:t>
            </w:r>
          </w:p>
        </w:tc>
        <w:tc>
          <w:tcPr>
            <w:tcW w:w="3180" w:type="dxa"/>
            <w:tcBorders>
              <w:left w:val="single" w:sz="4" w:space="0" w:color="auto"/>
            </w:tcBorders>
            <w:shd w:val="clear" w:color="auto" w:fill="auto"/>
          </w:tcPr>
          <w:p w14:paraId="7133A2E2" w14:textId="1C836F69" w:rsidR="003C3A0F" w:rsidRPr="00AC73FC" w:rsidRDefault="003C3A0F" w:rsidP="003C3A0F">
            <w:pPr>
              <w:spacing w:after="0" w:line="240" w:lineRule="auto"/>
              <w:rPr>
                <w:rFonts w:ascii="Arial" w:hAnsi="Arial" w:cs="Arial"/>
                <w:noProof/>
                <w:color w:val="000000"/>
              </w:rPr>
            </w:pPr>
            <w:r w:rsidRPr="00AC73FC">
              <w:rPr>
                <w:rFonts w:ascii="Arial" w:hAnsi="Arial" w:cs="Arial"/>
                <w:noProof/>
                <w:color w:val="000000"/>
              </w:rPr>
              <w:t>None</w:t>
            </w:r>
          </w:p>
        </w:tc>
      </w:tr>
    </w:tbl>
    <w:p w14:paraId="4B51BB73" w14:textId="77777777" w:rsidR="004E2A0D" w:rsidRDefault="004E2A0D" w:rsidP="003C3A0F">
      <w:pPr>
        <w:spacing w:after="0" w:line="20" w:lineRule="atLeast"/>
        <w:contextualSpacing/>
        <w:rPr>
          <w:rFonts w:ascii="Arial" w:eastAsia="Times New Roman" w:hAnsi="Arial" w:cs="Times New Roman"/>
          <w:bCs/>
        </w:rPr>
        <w:sectPr w:rsidR="004E2A0D" w:rsidSect="00C12FF4">
          <w:headerReference w:type="even" r:id="rId32"/>
          <w:headerReference w:type="default" r:id="rId33"/>
          <w:footerReference w:type="default" r:id="rId34"/>
          <w:headerReference w:type="first" r:id="rId35"/>
          <w:pgSz w:w="12240" w:h="15840" w:code="1"/>
          <w:pgMar w:top="1440" w:right="1440" w:bottom="1008" w:left="1440" w:header="720" w:footer="720" w:gutter="0"/>
          <w:pgNumType w:fmt="numberInDash"/>
          <w:cols w:space="720"/>
          <w:docGrid w:linePitch="360"/>
        </w:sect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0"/>
        <w:gridCol w:w="3180"/>
        <w:gridCol w:w="3180"/>
      </w:tblGrid>
      <w:tr w:rsidR="00D362A9" w:rsidRPr="001A36E1" w14:paraId="154146BA" w14:textId="77777777" w:rsidTr="00AC73FC">
        <w:trPr>
          <w:trHeight w:val="576"/>
        </w:trPr>
        <w:tc>
          <w:tcPr>
            <w:tcW w:w="3180" w:type="dxa"/>
            <w:tcBorders>
              <w:right w:val="double" w:sz="4" w:space="0" w:color="auto"/>
            </w:tcBorders>
            <w:shd w:val="clear" w:color="auto" w:fill="auto"/>
            <w:vAlign w:val="bottom"/>
          </w:tcPr>
          <w:p w14:paraId="19910033" w14:textId="77777777" w:rsidR="00D362A9" w:rsidRPr="00D362A9" w:rsidRDefault="00D362A9" w:rsidP="00AC73FC">
            <w:pPr>
              <w:spacing w:after="0" w:line="20" w:lineRule="atLeast"/>
              <w:contextualSpacing/>
              <w:jc w:val="center"/>
              <w:rPr>
                <w:rFonts w:ascii="Arial" w:eastAsia="Times New Roman" w:hAnsi="Arial" w:cs="Times New Roman"/>
                <w:bCs/>
              </w:rPr>
            </w:pPr>
            <w:r w:rsidRPr="00A93F8C">
              <w:rPr>
                <w:rFonts w:ascii="Arial" w:hAnsi="Arial" w:cs="Arial"/>
                <w:b/>
                <w:bCs/>
                <w:color w:val="000000"/>
                <w:sz w:val="24"/>
                <w:szCs w:val="24"/>
              </w:rPr>
              <w:t>Prior MA</w:t>
            </w:r>
            <w:r w:rsidRPr="00A93F8C">
              <w:rPr>
                <w:rFonts w:ascii="Arial" w:hAnsi="Arial" w:cs="Arial"/>
                <w:b/>
                <w:bCs/>
                <w:color w:val="000000"/>
                <w:sz w:val="24"/>
                <w:szCs w:val="24"/>
                <w:u w:val="single"/>
              </w:rPr>
              <w:t xml:space="preserve"> </w:t>
            </w:r>
            <w:r w:rsidRPr="00A93F8C">
              <w:rPr>
                <w:rFonts w:ascii="Arial" w:hAnsi="Arial" w:cs="Arial"/>
                <w:b/>
                <w:bCs/>
                <w:color w:val="000000"/>
                <w:sz w:val="24"/>
                <w:szCs w:val="24"/>
              </w:rPr>
              <w:t>Recommendations</w:t>
            </w:r>
          </w:p>
        </w:tc>
        <w:tc>
          <w:tcPr>
            <w:tcW w:w="3180" w:type="dxa"/>
            <w:tcBorders>
              <w:top w:val="single" w:sz="4" w:space="0" w:color="auto"/>
              <w:left w:val="double" w:sz="4" w:space="0" w:color="auto"/>
              <w:bottom w:val="single" w:sz="4" w:space="0" w:color="auto"/>
              <w:right w:val="single" w:sz="4" w:space="0" w:color="auto"/>
            </w:tcBorders>
            <w:shd w:val="clear" w:color="auto" w:fill="auto"/>
            <w:vAlign w:val="bottom"/>
          </w:tcPr>
          <w:p w14:paraId="6AC15AB3" w14:textId="77777777" w:rsidR="00D362A9" w:rsidRPr="00D362A9" w:rsidRDefault="00D362A9" w:rsidP="00AC73FC">
            <w:pPr>
              <w:spacing w:after="0" w:line="240" w:lineRule="auto"/>
              <w:contextualSpacing/>
              <w:jc w:val="center"/>
              <w:rPr>
                <w:rFonts w:ascii="Arial" w:hAnsi="Arial" w:cs="Arial"/>
              </w:rPr>
            </w:pPr>
            <w:r w:rsidRPr="00A93F8C">
              <w:rPr>
                <w:rFonts w:ascii="Arial" w:hAnsi="Arial" w:cs="Arial"/>
                <w:b/>
                <w:bCs/>
                <w:color w:val="000000"/>
                <w:sz w:val="24"/>
                <w:szCs w:val="24"/>
              </w:rPr>
              <w:t>MEI Follow-up Findings and Conclusions</w:t>
            </w:r>
          </w:p>
        </w:tc>
        <w:tc>
          <w:tcPr>
            <w:tcW w:w="3180" w:type="dxa"/>
            <w:tcBorders>
              <w:left w:val="single" w:sz="4" w:space="0" w:color="auto"/>
            </w:tcBorders>
            <w:shd w:val="clear" w:color="auto" w:fill="auto"/>
            <w:vAlign w:val="bottom"/>
          </w:tcPr>
          <w:p w14:paraId="16C16B62" w14:textId="77777777" w:rsidR="00D362A9" w:rsidRPr="00D362A9" w:rsidRDefault="00D362A9" w:rsidP="00AC73FC">
            <w:pPr>
              <w:spacing w:after="0" w:line="240" w:lineRule="auto"/>
              <w:jc w:val="center"/>
              <w:rPr>
                <w:rFonts w:ascii="Arial" w:hAnsi="Arial" w:cs="Arial"/>
                <w:noProof/>
                <w:color w:val="000000"/>
              </w:rPr>
            </w:pPr>
            <w:r w:rsidRPr="00A93F8C">
              <w:rPr>
                <w:rFonts w:ascii="Arial" w:hAnsi="Arial" w:cs="Arial"/>
                <w:b/>
                <w:bCs/>
                <w:color w:val="000000"/>
                <w:sz w:val="24"/>
                <w:szCs w:val="24"/>
              </w:rPr>
              <w:t>MEI Follow-up</w:t>
            </w:r>
            <w:r w:rsidRPr="00A93F8C">
              <w:rPr>
                <w:rFonts w:ascii="Arial" w:hAnsi="Arial" w:cs="Arial"/>
                <w:b/>
                <w:bCs/>
                <w:color w:val="000000"/>
                <w:sz w:val="24"/>
                <w:szCs w:val="24"/>
                <w:u w:val="single"/>
              </w:rPr>
              <w:t xml:space="preserve"> </w:t>
            </w:r>
            <w:r w:rsidRPr="00A93F8C">
              <w:rPr>
                <w:rFonts w:ascii="Arial" w:hAnsi="Arial" w:cs="Arial"/>
                <w:b/>
                <w:bCs/>
                <w:color w:val="000000"/>
                <w:sz w:val="24"/>
                <w:szCs w:val="24"/>
              </w:rPr>
              <w:t>Recommendations</w:t>
            </w:r>
          </w:p>
        </w:tc>
      </w:tr>
      <w:tr w:rsidR="00D362A9" w:rsidRPr="001A36E1" w14:paraId="19D3D7CD" w14:textId="77777777" w:rsidTr="00AC73FC">
        <w:trPr>
          <w:trHeight w:val="20"/>
        </w:trPr>
        <w:tc>
          <w:tcPr>
            <w:tcW w:w="9540" w:type="dxa"/>
            <w:gridSpan w:val="3"/>
            <w:shd w:val="clear" w:color="auto" w:fill="auto"/>
            <w:vAlign w:val="center"/>
          </w:tcPr>
          <w:p w14:paraId="044302EC" w14:textId="77777777" w:rsidR="00D362A9" w:rsidRPr="00D362A9" w:rsidRDefault="00D362A9" w:rsidP="00D362A9">
            <w:pPr>
              <w:spacing w:after="0" w:line="240" w:lineRule="auto"/>
              <w:rPr>
                <w:rFonts w:ascii="Arial" w:hAnsi="Arial" w:cs="Arial"/>
                <w:noProof/>
                <w:color w:val="000000"/>
              </w:rPr>
            </w:pPr>
            <w:r w:rsidRPr="00F34A8B">
              <w:rPr>
                <w:rFonts w:ascii="Arial" w:hAnsi="Arial" w:cs="Arial"/>
                <w:b/>
                <w:color w:val="000000"/>
                <w:sz w:val="24"/>
                <w:szCs w:val="24"/>
              </w:rPr>
              <w:t>X. CUSTOMER SERVICE (C</w:t>
            </w:r>
            <w:r w:rsidR="00A5506C">
              <w:rPr>
                <w:rFonts w:ascii="Arial" w:hAnsi="Arial" w:cs="Arial"/>
                <w:b/>
                <w:color w:val="000000"/>
                <w:sz w:val="24"/>
                <w:szCs w:val="24"/>
              </w:rPr>
              <w:t>ontinued</w:t>
            </w:r>
            <w:r w:rsidRPr="00F34A8B">
              <w:rPr>
                <w:rFonts w:ascii="Arial" w:hAnsi="Arial" w:cs="Arial"/>
                <w:b/>
                <w:color w:val="000000"/>
                <w:sz w:val="24"/>
                <w:szCs w:val="24"/>
              </w:rPr>
              <w:t xml:space="preserve">) </w:t>
            </w:r>
            <w:r w:rsidR="00DE1425">
              <w:rPr>
                <w:rFonts w:ascii="Arial" w:hAnsi="Arial" w:cs="Arial"/>
                <w:b/>
                <w:bCs/>
                <w:color w:val="000000"/>
                <w:sz w:val="24"/>
                <w:szCs w:val="24"/>
              </w:rPr>
              <w:t>(Page 5</w:t>
            </w:r>
            <w:r w:rsidR="0070288B">
              <w:rPr>
                <w:rFonts w:ascii="Arial" w:hAnsi="Arial" w:cs="Arial"/>
                <w:b/>
                <w:bCs/>
                <w:color w:val="000000"/>
                <w:sz w:val="24"/>
                <w:szCs w:val="24"/>
              </w:rPr>
              <w:t>6</w:t>
            </w:r>
            <w:r w:rsidRPr="009D4792">
              <w:rPr>
                <w:rFonts w:ascii="Arial" w:hAnsi="Arial" w:cs="Arial"/>
                <w:b/>
                <w:bCs/>
                <w:color w:val="000000"/>
                <w:sz w:val="24"/>
                <w:szCs w:val="24"/>
              </w:rPr>
              <w:t>)</w:t>
            </w:r>
          </w:p>
        </w:tc>
      </w:tr>
      <w:tr w:rsidR="004E2A0D" w:rsidRPr="001A36E1" w14:paraId="585025A5" w14:textId="77777777" w:rsidTr="00AC73FC">
        <w:trPr>
          <w:trHeight w:val="1584"/>
        </w:trPr>
        <w:tc>
          <w:tcPr>
            <w:tcW w:w="3180" w:type="dxa"/>
            <w:tcBorders>
              <w:right w:val="double" w:sz="4" w:space="0" w:color="auto"/>
            </w:tcBorders>
            <w:shd w:val="clear" w:color="auto" w:fill="auto"/>
          </w:tcPr>
          <w:p w14:paraId="6F0A928F" w14:textId="77777777" w:rsidR="004E2A0D" w:rsidRPr="00AC73FC" w:rsidRDefault="000931F7" w:rsidP="00D362A9">
            <w:pPr>
              <w:spacing w:after="0" w:line="20" w:lineRule="atLeast"/>
              <w:contextualSpacing/>
              <w:rPr>
                <w:rFonts w:ascii="Arial" w:eastAsia="Times New Roman" w:hAnsi="Arial" w:cs="Times New Roman"/>
                <w:bCs/>
              </w:rPr>
            </w:pPr>
            <w:r w:rsidRPr="00AC73FC">
              <w:rPr>
                <w:rFonts w:ascii="Arial" w:eastAsia="Times New Roman" w:hAnsi="Arial" w:cs="Times New Roman"/>
                <w:bCs/>
              </w:rPr>
              <w:t>Expand efforts to reduce arrearages to levels comparable with a panel of PA EDC averages.</w:t>
            </w:r>
          </w:p>
        </w:tc>
        <w:tc>
          <w:tcPr>
            <w:tcW w:w="3180" w:type="dxa"/>
            <w:tcBorders>
              <w:top w:val="single" w:sz="4" w:space="0" w:color="auto"/>
              <w:left w:val="double" w:sz="4" w:space="0" w:color="auto"/>
              <w:bottom w:val="single" w:sz="4" w:space="0" w:color="auto"/>
              <w:right w:val="single" w:sz="4" w:space="0" w:color="auto"/>
            </w:tcBorders>
            <w:shd w:val="clear" w:color="auto" w:fill="auto"/>
          </w:tcPr>
          <w:p w14:paraId="03A575E8" w14:textId="77777777" w:rsidR="004E2A0D" w:rsidRDefault="000931F7" w:rsidP="00D362A9">
            <w:pPr>
              <w:spacing w:after="0" w:line="240" w:lineRule="auto"/>
              <w:contextualSpacing/>
              <w:rPr>
                <w:rFonts w:ascii="Arial" w:hAnsi="Arial" w:cs="Arial"/>
              </w:rPr>
            </w:pPr>
            <w:r w:rsidRPr="00AC73FC">
              <w:rPr>
                <w:rFonts w:ascii="Arial" w:hAnsi="Arial" w:cs="Arial"/>
              </w:rPr>
              <w:t>X-6 - Arrearages over 90 days have decreased; however, average arrearages were higher than a panel average of other Pennsylvania EDCs in 2016.</w:t>
            </w:r>
          </w:p>
        </w:tc>
        <w:tc>
          <w:tcPr>
            <w:tcW w:w="3180" w:type="dxa"/>
            <w:tcBorders>
              <w:left w:val="single" w:sz="4" w:space="0" w:color="auto"/>
            </w:tcBorders>
            <w:shd w:val="clear" w:color="auto" w:fill="auto"/>
          </w:tcPr>
          <w:p w14:paraId="7DA905CB" w14:textId="6D5F696C" w:rsidR="004E2A0D" w:rsidRPr="00AC73FC" w:rsidRDefault="000931F7" w:rsidP="00D362A9">
            <w:pPr>
              <w:spacing w:after="0" w:line="240" w:lineRule="auto"/>
              <w:rPr>
                <w:rFonts w:ascii="Arial" w:hAnsi="Arial" w:cs="Arial"/>
                <w:noProof/>
                <w:color w:val="000000"/>
              </w:rPr>
            </w:pPr>
            <w:r w:rsidRPr="00AC73FC">
              <w:rPr>
                <w:rFonts w:ascii="Arial" w:hAnsi="Arial" w:cs="Arial"/>
                <w:noProof/>
                <w:color w:val="000000"/>
              </w:rPr>
              <w:t xml:space="preserve">Establish </w:t>
            </w:r>
            <w:r w:rsidR="00B26F90" w:rsidRPr="00B26F90">
              <w:rPr>
                <w:rFonts w:ascii="Arial" w:eastAsia="Times New Roman" w:hAnsi="Arial" w:cs="Arial"/>
                <w:snapToGrid w:val="0"/>
                <w:sz w:val="24"/>
                <w:szCs w:val="20"/>
              </w:rPr>
              <w:t>stricter</w:t>
            </w:r>
            <w:r w:rsidR="00B26F90" w:rsidRPr="00B26F90">
              <w:rPr>
                <w:rFonts w:ascii="Arial" w:hAnsi="Arial" w:cs="Arial"/>
                <w:noProof/>
                <w:color w:val="000000"/>
              </w:rPr>
              <w:t xml:space="preserve"> </w:t>
            </w:r>
            <w:r w:rsidRPr="00AC73FC">
              <w:rPr>
                <w:rFonts w:ascii="Arial" w:hAnsi="Arial" w:cs="Arial"/>
                <w:noProof/>
                <w:color w:val="000000"/>
              </w:rPr>
              <w:t xml:space="preserve">goals for collection agencies to achieve net collection performance </w:t>
            </w:r>
            <w:r w:rsidR="00B26F90" w:rsidRPr="00B26F90">
              <w:rPr>
                <w:rFonts w:ascii="Arial" w:eastAsia="Times New Roman" w:hAnsi="Arial" w:cs="Arial"/>
                <w:snapToGrid w:val="0"/>
                <w:sz w:val="24"/>
                <w:szCs w:val="20"/>
              </w:rPr>
              <w:t>comparable to other utilities</w:t>
            </w:r>
            <w:r w:rsidRPr="00AC73FC">
              <w:rPr>
                <w:rFonts w:ascii="Arial" w:hAnsi="Arial" w:cs="Arial"/>
                <w:noProof/>
                <w:color w:val="000000"/>
              </w:rPr>
              <w:t>, monitor the performances of each collection agency, and replace any agency that does not achieve the goals.</w:t>
            </w:r>
          </w:p>
        </w:tc>
      </w:tr>
      <w:tr w:rsidR="00D362A9" w:rsidRPr="001A36E1" w14:paraId="54D63253" w14:textId="77777777" w:rsidTr="00AC73FC">
        <w:trPr>
          <w:trHeight w:val="1584"/>
        </w:trPr>
        <w:tc>
          <w:tcPr>
            <w:tcW w:w="3180" w:type="dxa"/>
            <w:tcBorders>
              <w:right w:val="double" w:sz="4" w:space="0" w:color="auto"/>
            </w:tcBorders>
            <w:shd w:val="clear" w:color="auto" w:fill="auto"/>
          </w:tcPr>
          <w:p w14:paraId="15C1102C" w14:textId="77777777" w:rsidR="00D362A9" w:rsidRPr="00AC73FC" w:rsidRDefault="00D362A9" w:rsidP="00D362A9">
            <w:pPr>
              <w:spacing w:after="0" w:line="20" w:lineRule="atLeast"/>
              <w:contextualSpacing/>
              <w:rPr>
                <w:rFonts w:ascii="Arial" w:eastAsia="Times New Roman" w:hAnsi="Arial" w:cs="Times New Roman"/>
                <w:bCs/>
              </w:rPr>
            </w:pPr>
            <w:r w:rsidRPr="00AC73FC">
              <w:rPr>
                <w:rFonts w:ascii="Arial" w:eastAsia="Times New Roman" w:hAnsi="Arial" w:cs="Times New Roman"/>
                <w:bCs/>
              </w:rPr>
              <w:t>Monitor all new service installation performance to ensure new service installations are being completed within the targeted deadlines.</w:t>
            </w:r>
          </w:p>
        </w:tc>
        <w:tc>
          <w:tcPr>
            <w:tcW w:w="3180" w:type="dxa"/>
            <w:tcBorders>
              <w:top w:val="single" w:sz="4" w:space="0" w:color="auto"/>
              <w:left w:val="double" w:sz="4" w:space="0" w:color="auto"/>
              <w:bottom w:val="single" w:sz="4" w:space="0" w:color="auto"/>
              <w:right w:val="single" w:sz="4" w:space="0" w:color="auto"/>
            </w:tcBorders>
            <w:shd w:val="clear" w:color="auto" w:fill="auto"/>
          </w:tcPr>
          <w:p w14:paraId="2A962AAC" w14:textId="77777777" w:rsidR="00D362A9" w:rsidRPr="00AC73FC" w:rsidRDefault="00C93C49" w:rsidP="00D362A9">
            <w:pPr>
              <w:spacing w:after="0" w:line="240" w:lineRule="auto"/>
              <w:contextualSpacing/>
              <w:rPr>
                <w:rFonts w:ascii="Arial" w:hAnsi="Arial" w:cs="Arial"/>
              </w:rPr>
            </w:pPr>
            <w:r>
              <w:rPr>
                <w:rFonts w:ascii="Arial" w:hAnsi="Arial" w:cs="Arial"/>
              </w:rPr>
              <w:t xml:space="preserve">X-7 - The </w:t>
            </w:r>
            <w:r w:rsidR="00DC3D9B">
              <w:rPr>
                <w:rFonts w:ascii="Arial" w:hAnsi="Arial" w:cs="Arial"/>
              </w:rPr>
              <w:t>FE-PA companies</w:t>
            </w:r>
            <w:r>
              <w:rPr>
                <w:rFonts w:ascii="Arial" w:hAnsi="Arial" w:cs="Arial"/>
              </w:rPr>
              <w:t xml:space="preserve"> </w:t>
            </w:r>
            <w:r w:rsidR="00D362A9" w:rsidRPr="00AC73FC">
              <w:rPr>
                <w:rFonts w:ascii="Arial" w:hAnsi="Arial" w:cs="Arial"/>
              </w:rPr>
              <w:t>monitor all new service installation</w:t>
            </w:r>
            <w:r>
              <w:rPr>
                <w:rFonts w:ascii="Arial" w:hAnsi="Arial" w:cs="Arial"/>
              </w:rPr>
              <w:t>s resulting in improved performance.</w:t>
            </w:r>
          </w:p>
        </w:tc>
        <w:tc>
          <w:tcPr>
            <w:tcW w:w="3180" w:type="dxa"/>
            <w:tcBorders>
              <w:left w:val="single" w:sz="4" w:space="0" w:color="auto"/>
            </w:tcBorders>
            <w:shd w:val="clear" w:color="auto" w:fill="auto"/>
          </w:tcPr>
          <w:p w14:paraId="5DEFD549" w14:textId="7955CA2F" w:rsidR="00D362A9" w:rsidRPr="00AC73FC" w:rsidRDefault="00D362A9" w:rsidP="00D362A9">
            <w:pPr>
              <w:spacing w:after="0" w:line="240" w:lineRule="auto"/>
              <w:rPr>
                <w:rFonts w:ascii="Arial" w:hAnsi="Arial" w:cs="Arial"/>
                <w:noProof/>
                <w:color w:val="000000"/>
              </w:rPr>
            </w:pPr>
            <w:r w:rsidRPr="00AC73FC">
              <w:rPr>
                <w:rFonts w:ascii="Arial" w:hAnsi="Arial" w:cs="Arial"/>
                <w:noProof/>
                <w:color w:val="000000"/>
              </w:rPr>
              <w:t>None</w:t>
            </w:r>
          </w:p>
        </w:tc>
      </w:tr>
      <w:tr w:rsidR="00D362A9" w:rsidRPr="001A36E1" w14:paraId="5127F77A" w14:textId="77777777" w:rsidTr="00AC73FC">
        <w:trPr>
          <w:trHeight w:val="2592"/>
        </w:trPr>
        <w:tc>
          <w:tcPr>
            <w:tcW w:w="3180" w:type="dxa"/>
            <w:tcBorders>
              <w:right w:val="double" w:sz="4" w:space="0" w:color="auto"/>
            </w:tcBorders>
            <w:shd w:val="clear" w:color="auto" w:fill="auto"/>
          </w:tcPr>
          <w:p w14:paraId="38558E11" w14:textId="77777777" w:rsidR="00D362A9" w:rsidRPr="00AC73FC" w:rsidRDefault="00D362A9" w:rsidP="00D362A9">
            <w:pPr>
              <w:spacing w:after="0" w:line="20" w:lineRule="atLeast"/>
              <w:contextualSpacing/>
              <w:rPr>
                <w:rFonts w:ascii="Arial" w:eastAsia="Times New Roman" w:hAnsi="Arial" w:cs="Times New Roman"/>
                <w:bCs/>
              </w:rPr>
            </w:pPr>
            <w:r w:rsidRPr="00AC73FC">
              <w:rPr>
                <w:rFonts w:ascii="Arial" w:eastAsia="Times New Roman" w:hAnsi="Arial" w:cs="Times New Roman"/>
                <w:bCs/>
              </w:rPr>
              <w:t>Develop and maintain a customer meter record database which provides accurate data for reporting purposes, and eliminates unknown meter</w:t>
            </w:r>
          </w:p>
          <w:p w14:paraId="4537FBF1" w14:textId="77777777" w:rsidR="00D362A9" w:rsidRPr="00AC73FC" w:rsidRDefault="00D362A9" w:rsidP="00D362A9">
            <w:pPr>
              <w:spacing w:after="0" w:line="20" w:lineRule="atLeast"/>
              <w:contextualSpacing/>
              <w:rPr>
                <w:rFonts w:ascii="Arial" w:eastAsia="Times New Roman" w:hAnsi="Arial" w:cs="Times New Roman"/>
                <w:bCs/>
              </w:rPr>
            </w:pPr>
            <w:r w:rsidRPr="00AC73FC">
              <w:rPr>
                <w:rFonts w:ascii="Arial" w:eastAsia="Times New Roman" w:hAnsi="Arial" w:cs="Times New Roman"/>
                <w:bCs/>
              </w:rPr>
              <w:t>location classifications as part of the Advanced Metering Infrastructure (AMI) implementation process.</w:t>
            </w:r>
          </w:p>
        </w:tc>
        <w:tc>
          <w:tcPr>
            <w:tcW w:w="3180" w:type="dxa"/>
            <w:tcBorders>
              <w:top w:val="single" w:sz="4" w:space="0" w:color="auto"/>
              <w:left w:val="double" w:sz="4" w:space="0" w:color="auto"/>
              <w:bottom w:val="single" w:sz="4" w:space="0" w:color="auto"/>
              <w:right w:val="single" w:sz="4" w:space="0" w:color="auto"/>
            </w:tcBorders>
            <w:shd w:val="clear" w:color="auto" w:fill="auto"/>
          </w:tcPr>
          <w:p w14:paraId="0FC91742" w14:textId="77777777" w:rsidR="00D362A9" w:rsidRPr="00AC73FC" w:rsidRDefault="00D362A9" w:rsidP="00D362A9">
            <w:pPr>
              <w:spacing w:after="0" w:line="240" w:lineRule="auto"/>
              <w:contextualSpacing/>
              <w:rPr>
                <w:rFonts w:ascii="Arial" w:hAnsi="Arial" w:cs="Arial"/>
              </w:rPr>
            </w:pPr>
            <w:r w:rsidRPr="00AC73FC">
              <w:rPr>
                <w:rFonts w:ascii="Arial" w:hAnsi="Arial" w:cs="Arial"/>
              </w:rPr>
              <w:t xml:space="preserve">X-8 - The </w:t>
            </w:r>
            <w:r w:rsidR="00DC3D9B">
              <w:rPr>
                <w:rFonts w:ascii="Arial" w:hAnsi="Arial" w:cs="Arial"/>
              </w:rPr>
              <w:t>FE-PA companies</w:t>
            </w:r>
            <w:r w:rsidRPr="00AC73FC">
              <w:rPr>
                <w:rFonts w:ascii="Arial" w:hAnsi="Arial" w:cs="Arial"/>
              </w:rPr>
              <w:t xml:space="preserve"> have significantly decreased the number of meters requiring location updates.</w:t>
            </w:r>
          </w:p>
        </w:tc>
        <w:tc>
          <w:tcPr>
            <w:tcW w:w="3180" w:type="dxa"/>
            <w:tcBorders>
              <w:left w:val="single" w:sz="4" w:space="0" w:color="auto"/>
            </w:tcBorders>
            <w:shd w:val="clear" w:color="auto" w:fill="auto"/>
          </w:tcPr>
          <w:p w14:paraId="308DF620" w14:textId="6B3A725F" w:rsidR="00D362A9" w:rsidRPr="00AC73FC" w:rsidRDefault="00C93C49" w:rsidP="00D362A9">
            <w:pPr>
              <w:spacing w:after="0" w:line="240" w:lineRule="auto"/>
              <w:rPr>
                <w:rFonts w:ascii="Arial" w:hAnsi="Arial" w:cs="Arial"/>
                <w:noProof/>
                <w:color w:val="000000"/>
              </w:rPr>
            </w:pPr>
            <w:r>
              <w:rPr>
                <w:rFonts w:ascii="Arial" w:hAnsi="Arial" w:cs="Arial"/>
                <w:noProof/>
                <w:color w:val="000000"/>
              </w:rPr>
              <w:t>None</w:t>
            </w:r>
          </w:p>
        </w:tc>
      </w:tr>
      <w:tr w:rsidR="00D362A9" w:rsidRPr="00B36DAF" w14:paraId="1594F1CE" w14:textId="77777777" w:rsidTr="00514606">
        <w:trPr>
          <w:trHeight w:val="360"/>
        </w:trPr>
        <w:tc>
          <w:tcPr>
            <w:tcW w:w="9540" w:type="dxa"/>
            <w:gridSpan w:val="3"/>
            <w:shd w:val="clear" w:color="auto" w:fill="auto"/>
            <w:vAlign w:val="center"/>
          </w:tcPr>
          <w:p w14:paraId="054DD299" w14:textId="77777777" w:rsidR="00D362A9" w:rsidRPr="00AC73FC" w:rsidRDefault="00D362A9" w:rsidP="00D362A9">
            <w:pPr>
              <w:spacing w:after="0" w:line="240" w:lineRule="auto"/>
              <w:rPr>
                <w:rFonts w:ascii="Arial" w:hAnsi="Arial" w:cs="Arial"/>
                <w:b/>
                <w:color w:val="000000"/>
                <w:sz w:val="24"/>
                <w:szCs w:val="24"/>
                <w:highlight w:val="yellow"/>
              </w:rPr>
            </w:pPr>
            <w:r w:rsidRPr="00AC73FC">
              <w:rPr>
                <w:rFonts w:ascii="Arial" w:hAnsi="Arial" w:cs="Arial"/>
                <w:b/>
                <w:color w:val="000000"/>
                <w:sz w:val="24"/>
                <w:szCs w:val="24"/>
              </w:rPr>
              <w:t>XI. HUMAN RESOURCES</w:t>
            </w:r>
            <w:r>
              <w:rPr>
                <w:rFonts w:ascii="Arial" w:hAnsi="Arial" w:cs="Arial"/>
                <w:b/>
                <w:color w:val="000000"/>
                <w:sz w:val="24"/>
                <w:szCs w:val="24"/>
              </w:rPr>
              <w:t xml:space="preserve"> </w:t>
            </w:r>
            <w:r w:rsidRPr="009D4792">
              <w:rPr>
                <w:rFonts w:ascii="Arial" w:hAnsi="Arial" w:cs="Arial"/>
                <w:b/>
                <w:bCs/>
                <w:color w:val="000000"/>
                <w:sz w:val="24"/>
                <w:szCs w:val="24"/>
              </w:rPr>
              <w:t>(Page</w:t>
            </w:r>
            <w:r w:rsidR="00DE1425">
              <w:rPr>
                <w:rFonts w:ascii="Arial" w:hAnsi="Arial" w:cs="Arial"/>
                <w:b/>
                <w:bCs/>
                <w:color w:val="000000"/>
                <w:sz w:val="24"/>
                <w:szCs w:val="24"/>
              </w:rPr>
              <w:t xml:space="preserve"> </w:t>
            </w:r>
            <w:r w:rsidR="0070288B">
              <w:rPr>
                <w:rFonts w:ascii="Arial" w:hAnsi="Arial" w:cs="Arial"/>
                <w:b/>
                <w:bCs/>
                <w:color w:val="000000"/>
                <w:sz w:val="24"/>
                <w:szCs w:val="24"/>
              </w:rPr>
              <w:t>88</w:t>
            </w:r>
            <w:r w:rsidRPr="009D4792">
              <w:rPr>
                <w:rFonts w:ascii="Arial" w:hAnsi="Arial" w:cs="Arial"/>
                <w:b/>
                <w:bCs/>
                <w:color w:val="000000"/>
                <w:sz w:val="24"/>
                <w:szCs w:val="24"/>
              </w:rPr>
              <w:t>)</w:t>
            </w:r>
          </w:p>
        </w:tc>
      </w:tr>
      <w:tr w:rsidR="005844A1" w14:paraId="4F66F627" w14:textId="77777777" w:rsidTr="00514606">
        <w:trPr>
          <w:trHeight w:val="1673"/>
        </w:trPr>
        <w:tc>
          <w:tcPr>
            <w:tcW w:w="3180" w:type="dxa"/>
            <w:tcBorders>
              <w:right w:val="double" w:sz="4" w:space="0" w:color="auto"/>
            </w:tcBorders>
            <w:shd w:val="clear" w:color="auto" w:fill="auto"/>
          </w:tcPr>
          <w:p w14:paraId="0E0D247C" w14:textId="77777777" w:rsidR="005844A1" w:rsidRPr="00AC73FC" w:rsidRDefault="005844A1" w:rsidP="00514606">
            <w:pPr>
              <w:spacing w:after="0" w:line="20" w:lineRule="atLeast"/>
              <w:contextualSpacing/>
              <w:rPr>
                <w:rFonts w:ascii="Arial" w:eastAsia="Times New Roman" w:hAnsi="Arial" w:cs="Times New Roman"/>
                <w:bCs/>
              </w:rPr>
            </w:pPr>
            <w:r w:rsidRPr="00AC73FC">
              <w:rPr>
                <w:rFonts w:ascii="Arial" w:eastAsia="Times New Roman" w:hAnsi="Arial" w:cs="Times New Roman"/>
                <w:bCs/>
              </w:rPr>
              <w:t xml:space="preserve">Conduct a safety culture survey in-order-to identify employee safety related concerns, perceptions, behaviors and implement training, methodologies, equipment, and ergonomic changes which address the primary causes of accidents at the </w:t>
            </w:r>
            <w:r w:rsidR="00DC3D9B">
              <w:rPr>
                <w:rFonts w:ascii="Arial" w:eastAsia="Times New Roman" w:hAnsi="Arial" w:cs="Times New Roman"/>
                <w:bCs/>
              </w:rPr>
              <w:t>FE-PA companies</w:t>
            </w:r>
            <w:r w:rsidRPr="00AC73FC">
              <w:rPr>
                <w:rFonts w:ascii="Arial" w:eastAsia="Times New Roman" w:hAnsi="Arial" w:cs="Times New Roman"/>
                <w:bCs/>
              </w:rPr>
              <w:t xml:space="preserve"> in-order-to improve actual performance and ensure safety goals are aligned with corporate objectives.</w:t>
            </w:r>
          </w:p>
        </w:tc>
        <w:tc>
          <w:tcPr>
            <w:tcW w:w="3180" w:type="dxa"/>
            <w:tcBorders>
              <w:top w:val="single" w:sz="4" w:space="0" w:color="auto"/>
              <w:left w:val="double" w:sz="4" w:space="0" w:color="auto"/>
              <w:bottom w:val="single" w:sz="4" w:space="0" w:color="auto"/>
              <w:right w:val="single" w:sz="4" w:space="0" w:color="auto"/>
            </w:tcBorders>
            <w:shd w:val="clear" w:color="auto" w:fill="auto"/>
          </w:tcPr>
          <w:p w14:paraId="293D68D0" w14:textId="77777777" w:rsidR="005844A1" w:rsidRPr="00AC73FC" w:rsidRDefault="005844A1" w:rsidP="00514606">
            <w:pPr>
              <w:spacing w:after="0" w:line="240" w:lineRule="auto"/>
              <w:contextualSpacing/>
              <w:rPr>
                <w:rFonts w:ascii="Arial" w:hAnsi="Arial" w:cs="Arial"/>
              </w:rPr>
            </w:pPr>
            <w:r w:rsidRPr="00AC73FC">
              <w:rPr>
                <w:rFonts w:ascii="Arial" w:hAnsi="Arial" w:cs="Arial"/>
              </w:rPr>
              <w:t xml:space="preserve">XI-1 - The </w:t>
            </w:r>
            <w:r w:rsidR="00DC3D9B">
              <w:rPr>
                <w:rFonts w:ascii="Arial" w:hAnsi="Arial" w:cs="Arial"/>
              </w:rPr>
              <w:t>FE-PA companies</w:t>
            </w:r>
            <w:r w:rsidRPr="00AC73FC">
              <w:rPr>
                <w:rFonts w:ascii="Arial" w:hAnsi="Arial" w:cs="Arial"/>
              </w:rPr>
              <w:t xml:space="preserve">’ performance regarding safety measures has </w:t>
            </w:r>
            <w:r w:rsidR="0080195E">
              <w:rPr>
                <w:rFonts w:ascii="Arial" w:hAnsi="Arial" w:cs="Arial"/>
              </w:rPr>
              <w:t xml:space="preserve">been a </w:t>
            </w:r>
            <w:r w:rsidRPr="00AC73FC">
              <w:rPr>
                <w:rFonts w:ascii="Arial" w:hAnsi="Arial" w:cs="Arial"/>
              </w:rPr>
              <w:t xml:space="preserve">mixed success, and the </w:t>
            </w:r>
            <w:r w:rsidR="00DC3D9B">
              <w:rPr>
                <w:rFonts w:ascii="Arial" w:hAnsi="Arial" w:cs="Arial"/>
              </w:rPr>
              <w:t>FE-PA companies</w:t>
            </w:r>
            <w:r w:rsidRPr="00AC73FC">
              <w:rPr>
                <w:rFonts w:ascii="Arial" w:hAnsi="Arial" w:cs="Arial"/>
              </w:rPr>
              <w:t xml:space="preserve"> continue to frequently </w:t>
            </w:r>
            <w:r w:rsidR="0080195E">
              <w:rPr>
                <w:rFonts w:ascii="Arial" w:hAnsi="Arial" w:cs="Arial"/>
              </w:rPr>
              <w:t xml:space="preserve">miss </w:t>
            </w:r>
            <w:r w:rsidRPr="00AC73FC">
              <w:rPr>
                <w:rFonts w:ascii="Arial" w:hAnsi="Arial" w:cs="Arial"/>
              </w:rPr>
              <w:t>target goals for safety.</w:t>
            </w:r>
          </w:p>
        </w:tc>
        <w:tc>
          <w:tcPr>
            <w:tcW w:w="3180" w:type="dxa"/>
            <w:tcBorders>
              <w:left w:val="single" w:sz="4" w:space="0" w:color="auto"/>
            </w:tcBorders>
            <w:shd w:val="clear" w:color="auto" w:fill="auto"/>
          </w:tcPr>
          <w:p w14:paraId="33EABD25" w14:textId="77777777" w:rsidR="005844A1" w:rsidRPr="00AC73FC" w:rsidRDefault="005844A1" w:rsidP="00514606">
            <w:pPr>
              <w:spacing w:after="0" w:line="240" w:lineRule="auto"/>
              <w:rPr>
                <w:rFonts w:ascii="Arial" w:hAnsi="Arial" w:cs="Arial"/>
                <w:noProof/>
                <w:color w:val="000000"/>
              </w:rPr>
            </w:pPr>
            <w:r w:rsidRPr="00AC73FC">
              <w:rPr>
                <w:rFonts w:ascii="Arial" w:hAnsi="Arial" w:cs="Arial"/>
                <w:noProof/>
                <w:color w:val="000000"/>
              </w:rPr>
              <w:t>Continue to periodically review and improve upon the existing safety program</w:t>
            </w:r>
            <w:r w:rsidR="00C93C49">
              <w:rPr>
                <w:rFonts w:ascii="Arial" w:hAnsi="Arial" w:cs="Arial"/>
                <w:noProof/>
                <w:color w:val="000000"/>
              </w:rPr>
              <w:t>s</w:t>
            </w:r>
            <w:r w:rsidRPr="00AC73FC">
              <w:rPr>
                <w:rFonts w:ascii="Arial" w:hAnsi="Arial" w:cs="Arial"/>
                <w:noProof/>
                <w:color w:val="000000"/>
              </w:rPr>
              <w:t xml:space="preserve"> </w:t>
            </w:r>
            <w:r w:rsidR="00C93C49">
              <w:rPr>
                <w:rFonts w:ascii="Arial" w:hAnsi="Arial" w:cs="Arial"/>
                <w:noProof/>
                <w:color w:val="000000"/>
              </w:rPr>
              <w:t>to attain performance consistent with established safety goals.</w:t>
            </w:r>
          </w:p>
        </w:tc>
      </w:tr>
    </w:tbl>
    <w:p w14:paraId="3BFE1B79" w14:textId="77777777" w:rsidR="000327E8" w:rsidRDefault="000327E8" w:rsidP="000327E8">
      <w:pPr>
        <w:spacing w:after="0" w:line="20" w:lineRule="atLeast"/>
        <w:contextualSpacing/>
        <w:jc w:val="center"/>
        <w:rPr>
          <w:rFonts w:ascii="Arial" w:hAnsi="Arial" w:cs="Arial"/>
          <w:b/>
          <w:bCs/>
          <w:color w:val="000000"/>
          <w:sz w:val="24"/>
          <w:szCs w:val="24"/>
        </w:rPr>
        <w:sectPr w:rsidR="000327E8" w:rsidSect="00C12FF4">
          <w:headerReference w:type="even" r:id="rId36"/>
          <w:headerReference w:type="default" r:id="rId37"/>
          <w:footerReference w:type="default" r:id="rId38"/>
          <w:headerReference w:type="first" r:id="rId39"/>
          <w:pgSz w:w="12240" w:h="15840" w:code="1"/>
          <w:pgMar w:top="1440" w:right="1440" w:bottom="1008" w:left="1440" w:header="720" w:footer="720" w:gutter="0"/>
          <w:pgNumType w:fmt="numberInDash"/>
          <w:cols w:space="720"/>
          <w:docGrid w:linePitch="360"/>
        </w:sect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0"/>
        <w:gridCol w:w="3180"/>
        <w:gridCol w:w="3180"/>
      </w:tblGrid>
      <w:tr w:rsidR="000327E8" w14:paraId="7A90E5C9" w14:textId="77777777" w:rsidTr="00AC73FC">
        <w:trPr>
          <w:trHeight w:val="576"/>
        </w:trPr>
        <w:tc>
          <w:tcPr>
            <w:tcW w:w="3180" w:type="dxa"/>
            <w:tcBorders>
              <w:right w:val="double" w:sz="4" w:space="0" w:color="auto"/>
            </w:tcBorders>
            <w:shd w:val="clear" w:color="auto" w:fill="auto"/>
            <w:vAlign w:val="bottom"/>
          </w:tcPr>
          <w:p w14:paraId="1E70BA9D" w14:textId="77777777" w:rsidR="000327E8" w:rsidRPr="000327E8" w:rsidRDefault="000327E8" w:rsidP="00AC73FC">
            <w:pPr>
              <w:spacing w:after="0" w:line="20" w:lineRule="atLeast"/>
              <w:contextualSpacing/>
              <w:jc w:val="center"/>
              <w:rPr>
                <w:rFonts w:ascii="Arial" w:eastAsia="Times New Roman" w:hAnsi="Arial" w:cs="Times New Roman"/>
                <w:bCs/>
              </w:rPr>
            </w:pPr>
            <w:r w:rsidRPr="00A93F8C">
              <w:rPr>
                <w:rFonts w:ascii="Arial" w:hAnsi="Arial" w:cs="Arial"/>
                <w:b/>
                <w:bCs/>
                <w:color w:val="000000"/>
                <w:sz w:val="24"/>
                <w:szCs w:val="24"/>
              </w:rPr>
              <w:t>Prior MA</w:t>
            </w:r>
            <w:r w:rsidRPr="00A93F8C">
              <w:rPr>
                <w:rFonts w:ascii="Arial" w:hAnsi="Arial" w:cs="Arial"/>
                <w:b/>
                <w:bCs/>
                <w:color w:val="000000"/>
                <w:sz w:val="24"/>
                <w:szCs w:val="24"/>
                <w:u w:val="single"/>
              </w:rPr>
              <w:t xml:space="preserve"> </w:t>
            </w:r>
            <w:r w:rsidRPr="00A93F8C">
              <w:rPr>
                <w:rFonts w:ascii="Arial" w:hAnsi="Arial" w:cs="Arial"/>
                <w:b/>
                <w:bCs/>
                <w:color w:val="000000"/>
                <w:sz w:val="24"/>
                <w:szCs w:val="24"/>
              </w:rPr>
              <w:t>Recommendations</w:t>
            </w:r>
          </w:p>
        </w:tc>
        <w:tc>
          <w:tcPr>
            <w:tcW w:w="3180" w:type="dxa"/>
            <w:tcBorders>
              <w:top w:val="single" w:sz="4" w:space="0" w:color="auto"/>
              <w:left w:val="double" w:sz="4" w:space="0" w:color="auto"/>
              <w:bottom w:val="single" w:sz="4" w:space="0" w:color="auto"/>
              <w:right w:val="single" w:sz="4" w:space="0" w:color="auto"/>
            </w:tcBorders>
            <w:shd w:val="clear" w:color="auto" w:fill="auto"/>
            <w:vAlign w:val="bottom"/>
          </w:tcPr>
          <w:p w14:paraId="65B3E1B7" w14:textId="77777777" w:rsidR="000327E8" w:rsidRPr="000327E8" w:rsidRDefault="000327E8" w:rsidP="00AC73FC">
            <w:pPr>
              <w:spacing w:after="0" w:line="240" w:lineRule="auto"/>
              <w:contextualSpacing/>
              <w:jc w:val="center"/>
              <w:rPr>
                <w:rFonts w:ascii="Arial" w:hAnsi="Arial" w:cs="Arial"/>
              </w:rPr>
            </w:pPr>
            <w:r w:rsidRPr="00A93F8C">
              <w:rPr>
                <w:rFonts w:ascii="Arial" w:hAnsi="Arial" w:cs="Arial"/>
                <w:b/>
                <w:bCs/>
                <w:color w:val="000000"/>
                <w:sz w:val="24"/>
                <w:szCs w:val="24"/>
              </w:rPr>
              <w:t>MEI Follow-up Findings and Conclusions</w:t>
            </w:r>
          </w:p>
        </w:tc>
        <w:tc>
          <w:tcPr>
            <w:tcW w:w="3180" w:type="dxa"/>
            <w:tcBorders>
              <w:left w:val="single" w:sz="4" w:space="0" w:color="auto"/>
            </w:tcBorders>
            <w:shd w:val="clear" w:color="auto" w:fill="auto"/>
            <w:vAlign w:val="bottom"/>
          </w:tcPr>
          <w:p w14:paraId="40E70AAA" w14:textId="77777777" w:rsidR="000327E8" w:rsidRPr="000327E8" w:rsidRDefault="000327E8" w:rsidP="00AC73FC">
            <w:pPr>
              <w:spacing w:after="0" w:line="240" w:lineRule="auto"/>
              <w:jc w:val="center"/>
              <w:rPr>
                <w:rFonts w:ascii="Arial" w:hAnsi="Arial" w:cs="Arial"/>
                <w:noProof/>
                <w:color w:val="000000"/>
              </w:rPr>
            </w:pPr>
            <w:r w:rsidRPr="00A93F8C">
              <w:rPr>
                <w:rFonts w:ascii="Arial" w:hAnsi="Arial" w:cs="Arial"/>
                <w:b/>
                <w:bCs/>
                <w:color w:val="000000"/>
                <w:sz w:val="24"/>
                <w:szCs w:val="24"/>
              </w:rPr>
              <w:t>MEI Follow-up</w:t>
            </w:r>
            <w:r w:rsidRPr="00A93F8C">
              <w:rPr>
                <w:rFonts w:ascii="Arial" w:hAnsi="Arial" w:cs="Arial"/>
                <w:b/>
                <w:bCs/>
                <w:color w:val="000000"/>
                <w:sz w:val="24"/>
                <w:szCs w:val="24"/>
                <w:u w:val="single"/>
              </w:rPr>
              <w:t xml:space="preserve"> </w:t>
            </w:r>
            <w:r w:rsidRPr="00A93F8C">
              <w:rPr>
                <w:rFonts w:ascii="Arial" w:hAnsi="Arial" w:cs="Arial"/>
                <w:b/>
                <w:bCs/>
                <w:color w:val="000000"/>
                <w:sz w:val="24"/>
                <w:szCs w:val="24"/>
              </w:rPr>
              <w:t>Recommendations</w:t>
            </w:r>
          </w:p>
        </w:tc>
      </w:tr>
      <w:tr w:rsidR="000931F7" w:rsidRPr="00B36DAF" w14:paraId="6D151025" w14:textId="77777777" w:rsidTr="00514606">
        <w:trPr>
          <w:trHeight w:val="360"/>
        </w:trPr>
        <w:tc>
          <w:tcPr>
            <w:tcW w:w="9540" w:type="dxa"/>
            <w:gridSpan w:val="3"/>
            <w:shd w:val="clear" w:color="auto" w:fill="auto"/>
            <w:vAlign w:val="center"/>
          </w:tcPr>
          <w:p w14:paraId="23CC3B8B" w14:textId="77777777" w:rsidR="000931F7" w:rsidRPr="00AC73FC" w:rsidRDefault="000931F7" w:rsidP="000931F7">
            <w:pPr>
              <w:spacing w:after="0" w:line="240" w:lineRule="auto"/>
              <w:rPr>
                <w:rFonts w:ascii="Arial" w:hAnsi="Arial" w:cs="Arial"/>
                <w:b/>
                <w:color w:val="000000"/>
                <w:sz w:val="24"/>
                <w:szCs w:val="24"/>
              </w:rPr>
            </w:pPr>
            <w:r w:rsidRPr="00AC73FC">
              <w:rPr>
                <w:rFonts w:ascii="Arial" w:hAnsi="Arial" w:cs="Arial"/>
                <w:b/>
                <w:color w:val="000000"/>
                <w:sz w:val="24"/>
                <w:szCs w:val="24"/>
              </w:rPr>
              <w:t>XI. HUMAN RESOURCES</w:t>
            </w:r>
            <w:r>
              <w:rPr>
                <w:rFonts w:ascii="Arial" w:hAnsi="Arial" w:cs="Arial"/>
                <w:b/>
                <w:color w:val="000000"/>
                <w:sz w:val="24"/>
                <w:szCs w:val="24"/>
              </w:rPr>
              <w:t xml:space="preserve"> (C</w:t>
            </w:r>
            <w:r w:rsidR="00A5506C">
              <w:rPr>
                <w:rFonts w:ascii="Arial" w:hAnsi="Arial" w:cs="Arial"/>
                <w:b/>
                <w:color w:val="000000"/>
                <w:sz w:val="24"/>
                <w:szCs w:val="24"/>
              </w:rPr>
              <w:t>ontinued</w:t>
            </w:r>
            <w:r>
              <w:rPr>
                <w:rFonts w:ascii="Arial" w:hAnsi="Arial" w:cs="Arial"/>
                <w:b/>
                <w:color w:val="000000"/>
                <w:sz w:val="24"/>
                <w:szCs w:val="24"/>
              </w:rPr>
              <w:t xml:space="preserve">) </w:t>
            </w:r>
            <w:r w:rsidRPr="009D4792">
              <w:rPr>
                <w:rFonts w:ascii="Arial" w:hAnsi="Arial" w:cs="Arial"/>
                <w:b/>
                <w:bCs/>
                <w:color w:val="000000"/>
                <w:sz w:val="24"/>
                <w:szCs w:val="24"/>
              </w:rPr>
              <w:t>(Page</w:t>
            </w:r>
            <w:r>
              <w:rPr>
                <w:rFonts w:ascii="Arial" w:hAnsi="Arial" w:cs="Arial"/>
                <w:b/>
                <w:bCs/>
                <w:color w:val="000000"/>
                <w:sz w:val="24"/>
                <w:szCs w:val="24"/>
              </w:rPr>
              <w:t xml:space="preserve"> </w:t>
            </w:r>
            <w:r w:rsidR="0070288B">
              <w:rPr>
                <w:rFonts w:ascii="Arial" w:hAnsi="Arial" w:cs="Arial"/>
                <w:b/>
                <w:bCs/>
                <w:color w:val="000000"/>
                <w:sz w:val="24"/>
                <w:szCs w:val="24"/>
              </w:rPr>
              <w:t>88</w:t>
            </w:r>
            <w:r w:rsidRPr="009D4792">
              <w:rPr>
                <w:rFonts w:ascii="Arial" w:hAnsi="Arial" w:cs="Arial"/>
                <w:b/>
                <w:bCs/>
                <w:color w:val="000000"/>
                <w:sz w:val="24"/>
                <w:szCs w:val="24"/>
              </w:rPr>
              <w:t>)</w:t>
            </w:r>
          </w:p>
        </w:tc>
      </w:tr>
      <w:tr w:rsidR="000931F7" w:rsidRPr="00B36DAF" w14:paraId="61179EBF" w14:textId="77777777" w:rsidTr="001162BF">
        <w:trPr>
          <w:trHeight w:val="360"/>
        </w:trPr>
        <w:tc>
          <w:tcPr>
            <w:tcW w:w="3180" w:type="dxa"/>
            <w:shd w:val="clear" w:color="auto" w:fill="auto"/>
          </w:tcPr>
          <w:p w14:paraId="5C1954AD" w14:textId="77777777" w:rsidR="000931F7" w:rsidRPr="00AC73FC" w:rsidRDefault="000931F7" w:rsidP="000931F7">
            <w:pPr>
              <w:spacing w:after="0" w:line="240" w:lineRule="auto"/>
              <w:rPr>
                <w:rFonts w:ascii="Arial" w:hAnsi="Arial" w:cs="Arial"/>
                <w:b/>
                <w:color w:val="000000"/>
                <w:sz w:val="24"/>
                <w:szCs w:val="24"/>
              </w:rPr>
            </w:pPr>
            <w:r w:rsidRPr="00AC73FC">
              <w:rPr>
                <w:rFonts w:ascii="Arial" w:eastAsia="Times New Roman" w:hAnsi="Arial" w:cs="Times New Roman"/>
                <w:bCs/>
              </w:rPr>
              <w:t>Reduce absenteeism through appropriate enforcement of union contract language regarding provisions for sick leave as well as encouraging employee attendance.</w:t>
            </w:r>
          </w:p>
        </w:tc>
        <w:tc>
          <w:tcPr>
            <w:tcW w:w="3180" w:type="dxa"/>
            <w:shd w:val="clear" w:color="auto" w:fill="auto"/>
          </w:tcPr>
          <w:p w14:paraId="52D246CA" w14:textId="77777777" w:rsidR="000931F7" w:rsidRPr="00AC73FC" w:rsidRDefault="000931F7" w:rsidP="000931F7">
            <w:pPr>
              <w:spacing w:after="0" w:line="240" w:lineRule="auto"/>
              <w:rPr>
                <w:rFonts w:ascii="Arial" w:hAnsi="Arial" w:cs="Arial"/>
                <w:b/>
                <w:color w:val="000000"/>
                <w:sz w:val="24"/>
                <w:szCs w:val="24"/>
              </w:rPr>
            </w:pPr>
            <w:r w:rsidRPr="00AC73FC">
              <w:rPr>
                <w:rFonts w:ascii="Arial" w:hAnsi="Arial" w:cs="Arial"/>
              </w:rPr>
              <w:t xml:space="preserve">XI-2 - The </w:t>
            </w:r>
            <w:r w:rsidR="00DC3D9B">
              <w:rPr>
                <w:rFonts w:ascii="Arial" w:hAnsi="Arial" w:cs="Arial"/>
              </w:rPr>
              <w:t>FE-PA companies</w:t>
            </w:r>
            <w:r w:rsidRPr="00AC73FC">
              <w:rPr>
                <w:rFonts w:ascii="Arial" w:hAnsi="Arial" w:cs="Arial"/>
              </w:rPr>
              <w:t xml:space="preserve"> </w:t>
            </w:r>
            <w:r w:rsidR="0080195E">
              <w:rPr>
                <w:rFonts w:ascii="Arial" w:hAnsi="Arial" w:cs="Arial"/>
              </w:rPr>
              <w:t>experienced</w:t>
            </w:r>
            <w:r w:rsidRPr="00AC73FC">
              <w:rPr>
                <w:rFonts w:ascii="Arial" w:hAnsi="Arial" w:cs="Arial"/>
              </w:rPr>
              <w:t xml:space="preserve"> mixed results from their attempts to reduce absenteeism and are still not consistently meeting absenteeism goals.</w:t>
            </w:r>
          </w:p>
        </w:tc>
        <w:tc>
          <w:tcPr>
            <w:tcW w:w="3180" w:type="dxa"/>
            <w:shd w:val="clear" w:color="auto" w:fill="auto"/>
          </w:tcPr>
          <w:p w14:paraId="67F29A55" w14:textId="77777777" w:rsidR="000931F7" w:rsidRPr="00AC73FC" w:rsidRDefault="000931F7" w:rsidP="000931F7">
            <w:pPr>
              <w:spacing w:after="0" w:line="240" w:lineRule="auto"/>
              <w:rPr>
                <w:rFonts w:ascii="Arial" w:hAnsi="Arial" w:cs="Arial"/>
                <w:b/>
                <w:color w:val="000000"/>
                <w:sz w:val="24"/>
                <w:szCs w:val="24"/>
              </w:rPr>
            </w:pPr>
            <w:r w:rsidRPr="00AC73FC">
              <w:rPr>
                <w:rFonts w:ascii="Arial" w:hAnsi="Arial" w:cs="Arial"/>
                <w:noProof/>
                <w:color w:val="000000"/>
              </w:rPr>
              <w:t xml:space="preserve">Continue </w:t>
            </w:r>
            <w:r>
              <w:rPr>
                <w:rFonts w:ascii="Arial" w:hAnsi="Arial" w:cs="Arial"/>
                <w:noProof/>
                <w:color w:val="000000"/>
              </w:rPr>
              <w:t xml:space="preserve">efforts to </w:t>
            </w:r>
            <w:r w:rsidRPr="00AC73FC">
              <w:rPr>
                <w:rFonts w:ascii="Arial" w:hAnsi="Arial" w:cs="Arial"/>
                <w:noProof/>
                <w:color w:val="000000"/>
              </w:rPr>
              <w:t>reduce absenteeism through improved sick leave monitoring, counseling, and sharing of best practices.</w:t>
            </w:r>
          </w:p>
        </w:tc>
      </w:tr>
      <w:tr w:rsidR="000931F7" w:rsidRPr="00B36DAF" w14:paraId="2F645933" w14:textId="77777777" w:rsidTr="00514606">
        <w:trPr>
          <w:trHeight w:val="360"/>
        </w:trPr>
        <w:tc>
          <w:tcPr>
            <w:tcW w:w="9540" w:type="dxa"/>
            <w:gridSpan w:val="3"/>
            <w:shd w:val="clear" w:color="auto" w:fill="auto"/>
            <w:vAlign w:val="center"/>
          </w:tcPr>
          <w:p w14:paraId="6231E67E" w14:textId="77777777" w:rsidR="000931F7" w:rsidRPr="00AC73FC" w:rsidRDefault="000931F7" w:rsidP="000931F7">
            <w:pPr>
              <w:spacing w:after="0" w:line="240" w:lineRule="auto"/>
              <w:rPr>
                <w:rFonts w:ascii="Arial" w:hAnsi="Arial" w:cs="Arial"/>
                <w:b/>
                <w:color w:val="000000"/>
                <w:sz w:val="24"/>
                <w:szCs w:val="24"/>
                <w:highlight w:val="yellow"/>
              </w:rPr>
            </w:pPr>
            <w:r w:rsidRPr="00AC73FC">
              <w:rPr>
                <w:rFonts w:ascii="Arial" w:hAnsi="Arial" w:cs="Arial"/>
                <w:b/>
                <w:color w:val="000000"/>
                <w:sz w:val="24"/>
                <w:szCs w:val="24"/>
              </w:rPr>
              <w:t>XII. FLEET MANAGEMENT</w:t>
            </w:r>
            <w:r>
              <w:rPr>
                <w:rFonts w:ascii="Arial" w:hAnsi="Arial" w:cs="Arial"/>
                <w:b/>
                <w:color w:val="000000"/>
                <w:sz w:val="24"/>
                <w:szCs w:val="24"/>
              </w:rPr>
              <w:t xml:space="preserve"> </w:t>
            </w:r>
            <w:r>
              <w:rPr>
                <w:rFonts w:ascii="Arial" w:hAnsi="Arial" w:cs="Arial"/>
                <w:b/>
                <w:bCs/>
                <w:color w:val="000000"/>
                <w:sz w:val="24"/>
                <w:szCs w:val="24"/>
              </w:rPr>
              <w:t xml:space="preserve">(Page </w:t>
            </w:r>
            <w:r w:rsidR="0070288B">
              <w:rPr>
                <w:rFonts w:ascii="Arial" w:hAnsi="Arial" w:cs="Arial"/>
                <w:b/>
                <w:bCs/>
                <w:color w:val="000000"/>
                <w:sz w:val="24"/>
                <w:szCs w:val="24"/>
              </w:rPr>
              <w:t>97</w:t>
            </w:r>
            <w:r w:rsidRPr="009D4792">
              <w:rPr>
                <w:rFonts w:ascii="Arial" w:hAnsi="Arial" w:cs="Arial"/>
                <w:b/>
                <w:bCs/>
                <w:color w:val="000000"/>
                <w:sz w:val="24"/>
                <w:szCs w:val="24"/>
              </w:rPr>
              <w:t>)</w:t>
            </w:r>
          </w:p>
        </w:tc>
      </w:tr>
      <w:tr w:rsidR="000931F7" w:rsidRPr="005844A1" w14:paraId="47A18FA0" w14:textId="77777777" w:rsidTr="00AC73FC">
        <w:trPr>
          <w:trHeight w:val="1008"/>
        </w:trPr>
        <w:tc>
          <w:tcPr>
            <w:tcW w:w="3180" w:type="dxa"/>
            <w:tcBorders>
              <w:right w:val="double" w:sz="4" w:space="0" w:color="auto"/>
            </w:tcBorders>
            <w:shd w:val="clear" w:color="auto" w:fill="auto"/>
          </w:tcPr>
          <w:p w14:paraId="37BEC2CF" w14:textId="77777777" w:rsidR="000931F7" w:rsidRPr="00AC73FC" w:rsidRDefault="000931F7" w:rsidP="000931F7">
            <w:pPr>
              <w:spacing w:after="0" w:line="20" w:lineRule="atLeast"/>
              <w:contextualSpacing/>
              <w:rPr>
                <w:rFonts w:ascii="Arial" w:eastAsia="Times New Roman" w:hAnsi="Arial" w:cs="Times New Roman"/>
                <w:bCs/>
              </w:rPr>
            </w:pPr>
            <w:r w:rsidRPr="00AC73FC">
              <w:rPr>
                <w:rFonts w:ascii="Arial" w:eastAsia="Times New Roman" w:hAnsi="Arial" w:cs="Times New Roman"/>
                <w:bCs/>
              </w:rPr>
              <w:t>Develop a written vehicle replacement policy.</w:t>
            </w:r>
          </w:p>
        </w:tc>
        <w:tc>
          <w:tcPr>
            <w:tcW w:w="3180" w:type="dxa"/>
            <w:tcBorders>
              <w:top w:val="single" w:sz="4" w:space="0" w:color="auto"/>
              <w:left w:val="double" w:sz="4" w:space="0" w:color="auto"/>
              <w:bottom w:val="single" w:sz="4" w:space="0" w:color="auto"/>
              <w:right w:val="single" w:sz="4" w:space="0" w:color="auto"/>
            </w:tcBorders>
            <w:shd w:val="clear" w:color="auto" w:fill="auto"/>
          </w:tcPr>
          <w:p w14:paraId="2C444B67" w14:textId="77777777" w:rsidR="000931F7" w:rsidRPr="00AC73FC" w:rsidRDefault="000931F7" w:rsidP="000931F7">
            <w:pPr>
              <w:spacing w:after="0" w:line="240" w:lineRule="auto"/>
              <w:contextualSpacing/>
              <w:rPr>
                <w:rFonts w:ascii="Arial" w:hAnsi="Arial" w:cs="Arial"/>
              </w:rPr>
            </w:pPr>
            <w:r w:rsidRPr="00AC73FC">
              <w:rPr>
                <w:rFonts w:ascii="Arial" w:hAnsi="Arial" w:cs="Arial"/>
              </w:rPr>
              <w:t>XII-1 - A written vehicle replacement policy was implemented in November 2014.</w:t>
            </w:r>
          </w:p>
        </w:tc>
        <w:tc>
          <w:tcPr>
            <w:tcW w:w="3180" w:type="dxa"/>
            <w:tcBorders>
              <w:left w:val="single" w:sz="4" w:space="0" w:color="auto"/>
            </w:tcBorders>
            <w:shd w:val="clear" w:color="auto" w:fill="auto"/>
          </w:tcPr>
          <w:p w14:paraId="530D7DD7" w14:textId="3C4285BF" w:rsidR="000931F7" w:rsidRPr="00AC73FC" w:rsidRDefault="000931F7" w:rsidP="000931F7">
            <w:pPr>
              <w:spacing w:after="0" w:line="240" w:lineRule="auto"/>
              <w:rPr>
                <w:rFonts w:ascii="Arial" w:hAnsi="Arial" w:cs="Arial"/>
                <w:noProof/>
                <w:color w:val="000000"/>
              </w:rPr>
            </w:pPr>
            <w:r w:rsidRPr="00AC73FC">
              <w:rPr>
                <w:rFonts w:ascii="Arial" w:hAnsi="Arial" w:cs="Arial"/>
                <w:noProof/>
                <w:color w:val="000000"/>
              </w:rPr>
              <w:t>None</w:t>
            </w:r>
          </w:p>
        </w:tc>
      </w:tr>
      <w:tr w:rsidR="000931F7" w:rsidRPr="005844A1" w14:paraId="40493E1C" w14:textId="77777777" w:rsidTr="00AC73FC">
        <w:trPr>
          <w:trHeight w:val="1440"/>
        </w:trPr>
        <w:tc>
          <w:tcPr>
            <w:tcW w:w="3180" w:type="dxa"/>
            <w:tcBorders>
              <w:right w:val="double" w:sz="4" w:space="0" w:color="auto"/>
            </w:tcBorders>
            <w:shd w:val="clear" w:color="auto" w:fill="auto"/>
          </w:tcPr>
          <w:p w14:paraId="1C0FC3E5" w14:textId="77777777" w:rsidR="000931F7" w:rsidRPr="00AC73FC" w:rsidRDefault="000931F7" w:rsidP="000931F7">
            <w:pPr>
              <w:spacing w:after="0" w:line="20" w:lineRule="atLeast"/>
              <w:contextualSpacing/>
              <w:rPr>
                <w:rFonts w:ascii="Arial" w:eastAsia="Times New Roman" w:hAnsi="Arial" w:cs="Times New Roman"/>
                <w:bCs/>
              </w:rPr>
            </w:pPr>
            <w:r w:rsidRPr="00AC73FC">
              <w:rPr>
                <w:rFonts w:ascii="Arial" w:eastAsia="Times New Roman" w:hAnsi="Arial" w:cs="Arial"/>
                <w:snapToGrid w:val="0"/>
              </w:rPr>
              <w:t>Install adequate mechanisms/controls at fueling stations to control fuel disbursements and track fuel usage by vehicle.</w:t>
            </w:r>
          </w:p>
        </w:tc>
        <w:tc>
          <w:tcPr>
            <w:tcW w:w="3180" w:type="dxa"/>
            <w:tcBorders>
              <w:top w:val="single" w:sz="4" w:space="0" w:color="auto"/>
              <w:left w:val="double" w:sz="4" w:space="0" w:color="auto"/>
              <w:bottom w:val="single" w:sz="4" w:space="0" w:color="auto"/>
              <w:right w:val="single" w:sz="4" w:space="0" w:color="auto"/>
            </w:tcBorders>
            <w:shd w:val="clear" w:color="auto" w:fill="auto"/>
          </w:tcPr>
          <w:p w14:paraId="23DAE8B5" w14:textId="77777777" w:rsidR="000931F7" w:rsidRPr="00AC73FC" w:rsidRDefault="000931F7" w:rsidP="000931F7">
            <w:pPr>
              <w:spacing w:after="0" w:line="240" w:lineRule="auto"/>
              <w:contextualSpacing/>
              <w:rPr>
                <w:rFonts w:ascii="Arial" w:hAnsi="Arial" w:cs="Arial"/>
              </w:rPr>
            </w:pPr>
            <w:r w:rsidRPr="00AC73FC">
              <w:rPr>
                <w:rFonts w:ascii="Arial" w:hAnsi="Arial" w:cs="Arial"/>
              </w:rPr>
              <w:t xml:space="preserve">XII-2 - The </w:t>
            </w:r>
            <w:r w:rsidR="00DC3D9B">
              <w:rPr>
                <w:rFonts w:ascii="Arial" w:hAnsi="Arial" w:cs="Arial"/>
              </w:rPr>
              <w:t>FE-PA companies</w:t>
            </w:r>
            <w:r w:rsidRPr="00AC73FC">
              <w:rPr>
                <w:rFonts w:ascii="Arial" w:hAnsi="Arial" w:cs="Arial"/>
              </w:rPr>
              <w:t xml:space="preserve"> were unable to </w:t>
            </w:r>
            <w:r>
              <w:rPr>
                <w:rFonts w:ascii="Arial" w:hAnsi="Arial" w:cs="Arial"/>
              </w:rPr>
              <w:t xml:space="preserve">substantiate their decision-making process to not implement fuel disbursement </w:t>
            </w:r>
            <w:r w:rsidRPr="00AC73FC">
              <w:rPr>
                <w:rFonts w:ascii="Arial" w:hAnsi="Arial" w:cs="Arial"/>
              </w:rPr>
              <w:t xml:space="preserve">mechanisms/controls at </w:t>
            </w:r>
            <w:r>
              <w:rPr>
                <w:rFonts w:ascii="Arial" w:hAnsi="Arial" w:cs="Arial"/>
              </w:rPr>
              <w:t xml:space="preserve">its on-site </w:t>
            </w:r>
            <w:r w:rsidRPr="00AC73FC">
              <w:rPr>
                <w:rFonts w:ascii="Arial" w:hAnsi="Arial" w:cs="Arial"/>
              </w:rPr>
              <w:t>fueling stations.</w:t>
            </w:r>
          </w:p>
        </w:tc>
        <w:tc>
          <w:tcPr>
            <w:tcW w:w="3180" w:type="dxa"/>
            <w:tcBorders>
              <w:left w:val="single" w:sz="4" w:space="0" w:color="auto"/>
            </w:tcBorders>
            <w:shd w:val="clear" w:color="auto" w:fill="auto"/>
          </w:tcPr>
          <w:p w14:paraId="201E2A4B" w14:textId="77777777" w:rsidR="000931F7" w:rsidRPr="00AC73FC" w:rsidRDefault="000931F7" w:rsidP="000931F7">
            <w:pPr>
              <w:spacing w:after="0" w:line="240" w:lineRule="auto"/>
              <w:rPr>
                <w:rFonts w:ascii="Arial" w:hAnsi="Arial" w:cs="Arial"/>
                <w:noProof/>
                <w:color w:val="000000"/>
              </w:rPr>
            </w:pPr>
            <w:r w:rsidRPr="00AC73FC">
              <w:rPr>
                <w:rFonts w:ascii="Arial" w:hAnsi="Arial" w:cs="Arial"/>
                <w:noProof/>
                <w:color w:val="000000"/>
              </w:rPr>
              <w:t>Perform</w:t>
            </w:r>
            <w:r>
              <w:rPr>
                <w:rFonts w:ascii="Arial" w:hAnsi="Arial" w:cs="Arial"/>
                <w:noProof/>
                <w:color w:val="000000"/>
              </w:rPr>
              <w:t>, document, and retain</w:t>
            </w:r>
            <w:r w:rsidRPr="00AC73FC">
              <w:rPr>
                <w:rFonts w:ascii="Arial" w:hAnsi="Arial" w:cs="Arial"/>
                <w:noProof/>
                <w:color w:val="000000"/>
              </w:rPr>
              <w:t xml:space="preserve"> a cost bene</w:t>
            </w:r>
            <w:r>
              <w:rPr>
                <w:rFonts w:ascii="Arial" w:hAnsi="Arial" w:cs="Arial"/>
                <w:noProof/>
                <w:color w:val="000000"/>
              </w:rPr>
              <w:t>fit analysis to substantiate its decision-making process with respect to implementing fuel disbursement</w:t>
            </w:r>
            <w:r w:rsidRPr="00AC73FC">
              <w:rPr>
                <w:rFonts w:ascii="Arial" w:hAnsi="Arial" w:cs="Arial"/>
                <w:noProof/>
                <w:color w:val="000000"/>
              </w:rPr>
              <w:t xml:space="preserve"> mechanisms/controls at</w:t>
            </w:r>
            <w:r>
              <w:rPr>
                <w:rFonts w:ascii="Arial" w:hAnsi="Arial" w:cs="Arial"/>
                <w:noProof/>
                <w:color w:val="000000"/>
              </w:rPr>
              <w:t xml:space="preserve"> its on-site</w:t>
            </w:r>
            <w:r w:rsidRPr="00AC73FC">
              <w:rPr>
                <w:rFonts w:ascii="Arial" w:hAnsi="Arial" w:cs="Arial"/>
                <w:noProof/>
                <w:color w:val="000000"/>
              </w:rPr>
              <w:t xml:space="preserve"> fueling stations.</w:t>
            </w:r>
          </w:p>
        </w:tc>
      </w:tr>
      <w:tr w:rsidR="000931F7" w:rsidRPr="005844A1" w14:paraId="0A9F06D3" w14:textId="77777777" w:rsidTr="00AC73FC">
        <w:trPr>
          <w:trHeight w:val="1296"/>
        </w:trPr>
        <w:tc>
          <w:tcPr>
            <w:tcW w:w="3180" w:type="dxa"/>
            <w:tcBorders>
              <w:right w:val="double" w:sz="4" w:space="0" w:color="auto"/>
            </w:tcBorders>
            <w:shd w:val="clear" w:color="auto" w:fill="auto"/>
          </w:tcPr>
          <w:p w14:paraId="54E0A138" w14:textId="77777777" w:rsidR="000931F7" w:rsidRPr="00AC73FC" w:rsidRDefault="000931F7" w:rsidP="000931F7">
            <w:pPr>
              <w:spacing w:after="0" w:line="20" w:lineRule="atLeast"/>
              <w:contextualSpacing/>
              <w:rPr>
                <w:rFonts w:ascii="Arial" w:eastAsia="Times New Roman" w:hAnsi="Arial" w:cs="Arial"/>
                <w:snapToGrid w:val="0"/>
              </w:rPr>
            </w:pPr>
            <w:r w:rsidRPr="00AC73FC">
              <w:rPr>
                <w:rFonts w:ascii="Arial" w:eastAsia="Times New Roman" w:hAnsi="Arial" w:cs="Arial"/>
                <w:snapToGrid w:val="0"/>
              </w:rPr>
              <w:t>Evaluate the need and/or usefulness of vehicles that report zero monthly usage and eliminate underutilized vehicles as appropriate.</w:t>
            </w:r>
          </w:p>
        </w:tc>
        <w:tc>
          <w:tcPr>
            <w:tcW w:w="3180" w:type="dxa"/>
            <w:tcBorders>
              <w:top w:val="single" w:sz="4" w:space="0" w:color="auto"/>
              <w:left w:val="double" w:sz="4" w:space="0" w:color="auto"/>
              <w:bottom w:val="single" w:sz="4" w:space="0" w:color="auto"/>
              <w:right w:val="single" w:sz="4" w:space="0" w:color="auto"/>
            </w:tcBorders>
            <w:shd w:val="clear" w:color="auto" w:fill="auto"/>
          </w:tcPr>
          <w:p w14:paraId="4895D482" w14:textId="77777777" w:rsidR="000931F7" w:rsidRPr="00AC73FC" w:rsidRDefault="000931F7" w:rsidP="000931F7">
            <w:pPr>
              <w:spacing w:after="0" w:line="240" w:lineRule="auto"/>
              <w:contextualSpacing/>
              <w:rPr>
                <w:rFonts w:ascii="Arial" w:hAnsi="Arial" w:cs="Arial"/>
              </w:rPr>
            </w:pPr>
            <w:r w:rsidRPr="00AC73FC">
              <w:rPr>
                <w:rFonts w:ascii="Arial" w:hAnsi="Arial" w:cs="Arial"/>
              </w:rPr>
              <w:t xml:space="preserve">XII-3 - A vehicle usage analysis was completed </w:t>
            </w:r>
            <w:r w:rsidR="0080195E">
              <w:rPr>
                <w:rFonts w:ascii="Arial" w:hAnsi="Arial" w:cs="Arial"/>
              </w:rPr>
              <w:t>resulting in</w:t>
            </w:r>
            <w:r w:rsidRPr="00AC73FC">
              <w:rPr>
                <w:rFonts w:ascii="Arial" w:hAnsi="Arial" w:cs="Arial"/>
              </w:rPr>
              <w:t xml:space="preserve"> the elimination of excess vehicles in the </w:t>
            </w:r>
            <w:r w:rsidR="00DC3D9B">
              <w:rPr>
                <w:rFonts w:ascii="Arial" w:hAnsi="Arial" w:cs="Arial"/>
              </w:rPr>
              <w:t>FE-PA companies</w:t>
            </w:r>
            <w:r w:rsidRPr="00AC73FC">
              <w:rPr>
                <w:rFonts w:ascii="Arial" w:hAnsi="Arial" w:cs="Arial"/>
              </w:rPr>
              <w:t>.</w:t>
            </w:r>
          </w:p>
        </w:tc>
        <w:tc>
          <w:tcPr>
            <w:tcW w:w="3180" w:type="dxa"/>
            <w:tcBorders>
              <w:left w:val="single" w:sz="4" w:space="0" w:color="auto"/>
            </w:tcBorders>
            <w:shd w:val="clear" w:color="auto" w:fill="auto"/>
          </w:tcPr>
          <w:p w14:paraId="37066009" w14:textId="5F11C521" w:rsidR="000931F7" w:rsidRPr="00AC73FC" w:rsidRDefault="000931F7" w:rsidP="000931F7">
            <w:pPr>
              <w:spacing w:after="0" w:line="240" w:lineRule="auto"/>
              <w:rPr>
                <w:rFonts w:ascii="Arial" w:hAnsi="Arial" w:cs="Arial"/>
                <w:noProof/>
                <w:color w:val="000000"/>
              </w:rPr>
            </w:pPr>
            <w:r w:rsidRPr="00AC73FC">
              <w:rPr>
                <w:rFonts w:ascii="Arial" w:hAnsi="Arial" w:cs="Arial"/>
                <w:noProof/>
                <w:color w:val="000000"/>
              </w:rPr>
              <w:t>None</w:t>
            </w:r>
          </w:p>
        </w:tc>
      </w:tr>
      <w:tr w:rsidR="000931F7" w:rsidRPr="005844A1" w14:paraId="1F59340B" w14:textId="77777777" w:rsidTr="00AC73FC">
        <w:trPr>
          <w:trHeight w:val="1008"/>
        </w:trPr>
        <w:tc>
          <w:tcPr>
            <w:tcW w:w="3180" w:type="dxa"/>
            <w:tcBorders>
              <w:right w:val="double" w:sz="4" w:space="0" w:color="auto"/>
            </w:tcBorders>
            <w:shd w:val="clear" w:color="auto" w:fill="auto"/>
          </w:tcPr>
          <w:p w14:paraId="11D5800E" w14:textId="77777777" w:rsidR="000931F7" w:rsidRPr="00AC73FC" w:rsidRDefault="000931F7" w:rsidP="000931F7">
            <w:pPr>
              <w:spacing w:after="0" w:line="20" w:lineRule="atLeast"/>
              <w:contextualSpacing/>
              <w:rPr>
                <w:rFonts w:ascii="Arial" w:eastAsia="Times New Roman" w:hAnsi="Arial" w:cs="Times New Roman"/>
                <w:bCs/>
              </w:rPr>
            </w:pPr>
            <w:r w:rsidRPr="00AC73FC">
              <w:rPr>
                <w:rFonts w:ascii="Arial" w:eastAsia="Times New Roman" w:hAnsi="Arial" w:cs="Arial"/>
                <w:snapToGrid w:val="0"/>
              </w:rPr>
              <w:t>Initiate efforts to eliminate or minimize the level of overdue preventive maintenance jobs.</w:t>
            </w:r>
          </w:p>
        </w:tc>
        <w:tc>
          <w:tcPr>
            <w:tcW w:w="3180" w:type="dxa"/>
            <w:tcBorders>
              <w:top w:val="single" w:sz="4" w:space="0" w:color="auto"/>
              <w:left w:val="double" w:sz="4" w:space="0" w:color="auto"/>
              <w:bottom w:val="single" w:sz="4" w:space="0" w:color="auto"/>
              <w:right w:val="single" w:sz="4" w:space="0" w:color="auto"/>
            </w:tcBorders>
            <w:shd w:val="clear" w:color="auto" w:fill="auto"/>
          </w:tcPr>
          <w:p w14:paraId="469E63CA" w14:textId="77777777" w:rsidR="000931F7" w:rsidRPr="00AC73FC" w:rsidRDefault="000931F7" w:rsidP="000931F7">
            <w:pPr>
              <w:spacing w:after="0" w:line="240" w:lineRule="auto"/>
              <w:contextualSpacing/>
              <w:rPr>
                <w:rFonts w:ascii="Arial" w:hAnsi="Arial" w:cs="Arial"/>
              </w:rPr>
            </w:pPr>
            <w:r w:rsidRPr="00AC73FC">
              <w:rPr>
                <w:rFonts w:ascii="Arial" w:hAnsi="Arial" w:cs="Arial"/>
              </w:rPr>
              <w:t xml:space="preserve">XII-4 - The </w:t>
            </w:r>
            <w:r w:rsidR="00DC3D9B">
              <w:rPr>
                <w:rFonts w:ascii="Arial" w:hAnsi="Arial" w:cs="Arial"/>
              </w:rPr>
              <w:t>FE-PA companies</w:t>
            </w:r>
            <w:r w:rsidRPr="00AC73FC">
              <w:rPr>
                <w:rFonts w:ascii="Arial" w:hAnsi="Arial" w:cs="Arial"/>
              </w:rPr>
              <w:t xml:space="preserve"> have significantly reduced the number of overdue critical PM jobs and overdue PM jobs.</w:t>
            </w:r>
          </w:p>
        </w:tc>
        <w:tc>
          <w:tcPr>
            <w:tcW w:w="3180" w:type="dxa"/>
            <w:tcBorders>
              <w:left w:val="single" w:sz="4" w:space="0" w:color="auto"/>
            </w:tcBorders>
            <w:shd w:val="clear" w:color="auto" w:fill="auto"/>
          </w:tcPr>
          <w:p w14:paraId="456719E5" w14:textId="47C46D89" w:rsidR="000931F7" w:rsidRPr="00AC73FC" w:rsidRDefault="000931F7" w:rsidP="000931F7">
            <w:pPr>
              <w:spacing w:after="0" w:line="240" w:lineRule="auto"/>
              <w:rPr>
                <w:rFonts w:ascii="Arial" w:hAnsi="Arial" w:cs="Arial"/>
                <w:noProof/>
                <w:color w:val="000000"/>
              </w:rPr>
            </w:pPr>
            <w:r w:rsidRPr="00AC73FC">
              <w:rPr>
                <w:rFonts w:ascii="Arial" w:hAnsi="Arial" w:cs="Arial"/>
                <w:noProof/>
                <w:color w:val="000000"/>
              </w:rPr>
              <w:t>None</w:t>
            </w:r>
          </w:p>
        </w:tc>
      </w:tr>
      <w:tr w:rsidR="000931F7" w:rsidRPr="00B36DAF" w14:paraId="59238CA6" w14:textId="77777777" w:rsidTr="00514606">
        <w:trPr>
          <w:trHeight w:val="360"/>
        </w:trPr>
        <w:tc>
          <w:tcPr>
            <w:tcW w:w="9540" w:type="dxa"/>
            <w:gridSpan w:val="3"/>
            <w:shd w:val="clear" w:color="auto" w:fill="auto"/>
            <w:vAlign w:val="center"/>
          </w:tcPr>
          <w:p w14:paraId="3C2E5945" w14:textId="77777777" w:rsidR="000931F7" w:rsidRPr="00AC73FC" w:rsidRDefault="000931F7" w:rsidP="000931F7">
            <w:pPr>
              <w:spacing w:after="0" w:line="240" w:lineRule="auto"/>
              <w:rPr>
                <w:rFonts w:ascii="Arial" w:hAnsi="Arial" w:cs="Arial"/>
                <w:b/>
                <w:color w:val="000000"/>
                <w:sz w:val="24"/>
                <w:szCs w:val="24"/>
                <w:highlight w:val="yellow"/>
              </w:rPr>
            </w:pPr>
            <w:r w:rsidRPr="00AC73FC">
              <w:rPr>
                <w:rFonts w:ascii="Arial" w:hAnsi="Arial" w:cs="Arial"/>
                <w:b/>
                <w:color w:val="000000"/>
                <w:sz w:val="24"/>
                <w:szCs w:val="24"/>
              </w:rPr>
              <w:t xml:space="preserve">XIII. FACILITIES MANAGEMENT </w:t>
            </w:r>
            <w:r>
              <w:rPr>
                <w:rFonts w:ascii="Arial" w:hAnsi="Arial" w:cs="Arial"/>
                <w:b/>
                <w:bCs/>
                <w:color w:val="000000"/>
                <w:sz w:val="24"/>
                <w:szCs w:val="24"/>
              </w:rPr>
              <w:t>(Page 1</w:t>
            </w:r>
            <w:r w:rsidR="0070288B">
              <w:rPr>
                <w:rFonts w:ascii="Arial" w:hAnsi="Arial" w:cs="Arial"/>
                <w:b/>
                <w:bCs/>
                <w:color w:val="000000"/>
                <w:sz w:val="24"/>
                <w:szCs w:val="24"/>
              </w:rPr>
              <w:t>0</w:t>
            </w:r>
            <w:r w:rsidR="002359AB">
              <w:rPr>
                <w:rFonts w:ascii="Arial" w:hAnsi="Arial" w:cs="Arial"/>
                <w:b/>
                <w:bCs/>
                <w:color w:val="000000"/>
                <w:sz w:val="24"/>
                <w:szCs w:val="24"/>
              </w:rPr>
              <w:t>7</w:t>
            </w:r>
            <w:r w:rsidRPr="009D4792">
              <w:rPr>
                <w:rFonts w:ascii="Arial" w:hAnsi="Arial" w:cs="Arial"/>
                <w:b/>
                <w:bCs/>
                <w:color w:val="000000"/>
                <w:sz w:val="24"/>
                <w:szCs w:val="24"/>
              </w:rPr>
              <w:t>)</w:t>
            </w:r>
          </w:p>
        </w:tc>
      </w:tr>
      <w:tr w:rsidR="000931F7" w:rsidRPr="005844A1" w14:paraId="76C0B050" w14:textId="77777777" w:rsidTr="00514606">
        <w:trPr>
          <w:trHeight w:val="1673"/>
        </w:trPr>
        <w:tc>
          <w:tcPr>
            <w:tcW w:w="3180" w:type="dxa"/>
            <w:tcBorders>
              <w:right w:val="double" w:sz="4" w:space="0" w:color="auto"/>
            </w:tcBorders>
            <w:shd w:val="clear" w:color="auto" w:fill="auto"/>
          </w:tcPr>
          <w:p w14:paraId="43D79B50" w14:textId="77777777" w:rsidR="000931F7" w:rsidRPr="00AC73FC" w:rsidRDefault="000931F7" w:rsidP="000931F7">
            <w:pPr>
              <w:spacing w:after="0" w:line="20" w:lineRule="atLeast"/>
              <w:contextualSpacing/>
              <w:rPr>
                <w:rFonts w:ascii="Arial" w:eastAsia="Times New Roman" w:hAnsi="Arial" w:cs="Times New Roman"/>
                <w:bCs/>
              </w:rPr>
            </w:pPr>
            <w:r w:rsidRPr="00AC73FC">
              <w:rPr>
                <w:rFonts w:ascii="Arial" w:eastAsia="Times New Roman" w:hAnsi="Arial" w:cs="Times New Roman"/>
                <w:bCs/>
              </w:rPr>
              <w:t>Develop written facilities management policies and procedures to assure business activities between corporate and regional facilities managers are consistent with FirstEnergy policies and procedures.</w:t>
            </w:r>
          </w:p>
        </w:tc>
        <w:tc>
          <w:tcPr>
            <w:tcW w:w="3180" w:type="dxa"/>
            <w:tcBorders>
              <w:top w:val="single" w:sz="4" w:space="0" w:color="auto"/>
              <w:left w:val="double" w:sz="4" w:space="0" w:color="auto"/>
              <w:bottom w:val="single" w:sz="4" w:space="0" w:color="auto"/>
              <w:right w:val="single" w:sz="4" w:space="0" w:color="auto"/>
            </w:tcBorders>
            <w:shd w:val="clear" w:color="auto" w:fill="auto"/>
          </w:tcPr>
          <w:p w14:paraId="416E3231" w14:textId="77777777" w:rsidR="000931F7" w:rsidRPr="00AC73FC" w:rsidRDefault="000931F7" w:rsidP="000931F7">
            <w:pPr>
              <w:spacing w:after="0" w:line="240" w:lineRule="auto"/>
              <w:contextualSpacing/>
              <w:rPr>
                <w:rFonts w:ascii="Arial" w:hAnsi="Arial" w:cs="Arial"/>
              </w:rPr>
            </w:pPr>
            <w:r w:rsidRPr="00AC73FC">
              <w:rPr>
                <w:rFonts w:ascii="Arial" w:hAnsi="Arial" w:cs="Arial"/>
              </w:rPr>
              <w:t>XIII-1 - Detailed policies and procedures have been developed for facility service operations.</w:t>
            </w:r>
          </w:p>
        </w:tc>
        <w:tc>
          <w:tcPr>
            <w:tcW w:w="3180" w:type="dxa"/>
            <w:tcBorders>
              <w:left w:val="single" w:sz="4" w:space="0" w:color="auto"/>
            </w:tcBorders>
            <w:shd w:val="clear" w:color="auto" w:fill="auto"/>
          </w:tcPr>
          <w:p w14:paraId="3B884B62" w14:textId="55AB05D9" w:rsidR="000931F7" w:rsidRPr="00AC73FC" w:rsidRDefault="000931F7" w:rsidP="000931F7">
            <w:pPr>
              <w:spacing w:after="0" w:line="240" w:lineRule="auto"/>
              <w:rPr>
                <w:rFonts w:ascii="Arial" w:hAnsi="Arial" w:cs="Arial"/>
                <w:noProof/>
                <w:color w:val="000000"/>
              </w:rPr>
            </w:pPr>
            <w:r w:rsidRPr="00AC73FC">
              <w:rPr>
                <w:rFonts w:ascii="Arial" w:hAnsi="Arial" w:cs="Arial"/>
                <w:noProof/>
                <w:color w:val="000000"/>
              </w:rPr>
              <w:t>None</w:t>
            </w:r>
          </w:p>
        </w:tc>
      </w:tr>
    </w:tbl>
    <w:p w14:paraId="5938D25D" w14:textId="77777777" w:rsidR="004A3A19" w:rsidRDefault="004A3A19" w:rsidP="00C64DC9">
      <w:pPr>
        <w:spacing w:after="0" w:line="240" w:lineRule="auto"/>
        <w:rPr>
          <w:rFonts w:ascii="Arial" w:hAnsi="Arial" w:cs="Arial"/>
          <w:b/>
          <w:sz w:val="26"/>
          <w:szCs w:val="26"/>
        </w:rPr>
        <w:sectPr w:rsidR="004A3A19" w:rsidSect="00C12FF4">
          <w:headerReference w:type="even" r:id="rId40"/>
          <w:headerReference w:type="default" r:id="rId41"/>
          <w:footerReference w:type="default" r:id="rId42"/>
          <w:headerReference w:type="first" r:id="rId43"/>
          <w:pgSz w:w="12240" w:h="15840" w:code="1"/>
          <w:pgMar w:top="1440" w:right="1440" w:bottom="1008" w:left="1440" w:header="720" w:footer="720" w:gutter="0"/>
          <w:pgNumType w:fmt="numberInDash"/>
          <w:cols w:space="720"/>
          <w:docGrid w:linePitch="360"/>
        </w:sectPr>
      </w:pPr>
    </w:p>
    <w:p w14:paraId="73EB29CD" w14:textId="77777777" w:rsidR="009211EA" w:rsidRDefault="009211EA">
      <w:pPr>
        <w:rPr>
          <w:rFonts w:ascii="Arial" w:eastAsia="Times New Roman" w:hAnsi="Arial" w:cs="Times New Roman"/>
          <w:b/>
          <w:sz w:val="26"/>
          <w:szCs w:val="26"/>
        </w:rPr>
      </w:pPr>
      <w:r>
        <w:rPr>
          <w:rFonts w:ascii="Arial" w:eastAsia="Times New Roman" w:hAnsi="Arial" w:cs="Times New Roman"/>
          <w:b/>
          <w:sz w:val="26"/>
          <w:szCs w:val="26"/>
        </w:rPr>
        <w:br w:type="page"/>
      </w:r>
    </w:p>
    <w:p w14:paraId="1FAF8C85" w14:textId="77777777" w:rsidR="00C52195" w:rsidRPr="003D39B7" w:rsidRDefault="00C52195" w:rsidP="00C52195">
      <w:pPr>
        <w:spacing w:after="0" w:line="20" w:lineRule="atLeast"/>
        <w:contextualSpacing/>
        <w:jc w:val="center"/>
        <w:rPr>
          <w:rFonts w:ascii="Arial" w:eastAsia="Times New Roman" w:hAnsi="Arial" w:cs="Times New Roman"/>
          <w:b/>
          <w:sz w:val="26"/>
          <w:szCs w:val="26"/>
        </w:rPr>
      </w:pPr>
      <w:r>
        <w:rPr>
          <w:rFonts w:ascii="Arial" w:eastAsia="Times New Roman" w:hAnsi="Arial" w:cs="Times New Roman"/>
          <w:b/>
          <w:sz w:val="26"/>
          <w:szCs w:val="26"/>
        </w:rPr>
        <w:t>III. EXECUTIVE MANAGEMENT AND ORGANIZATIONAL STRUCTURE</w:t>
      </w:r>
    </w:p>
    <w:p w14:paraId="2CAE8549" w14:textId="77777777" w:rsidR="00C52195" w:rsidRPr="003D39B7" w:rsidRDefault="00C52195" w:rsidP="00C52195">
      <w:pPr>
        <w:spacing w:after="0" w:line="20" w:lineRule="atLeast"/>
        <w:contextualSpacing/>
        <w:rPr>
          <w:rFonts w:ascii="Arial" w:eastAsia="Times New Roman" w:hAnsi="Arial" w:cs="Times New Roman"/>
          <w:sz w:val="24"/>
          <w:szCs w:val="20"/>
        </w:rPr>
      </w:pPr>
    </w:p>
    <w:p w14:paraId="3E3C197C" w14:textId="77777777" w:rsidR="00C52195" w:rsidRDefault="00C52195" w:rsidP="00C52195">
      <w:pPr>
        <w:spacing w:after="0" w:line="20" w:lineRule="atLeast"/>
        <w:contextualSpacing/>
        <w:rPr>
          <w:rFonts w:ascii="Arial" w:eastAsia="Times New Roman" w:hAnsi="Arial" w:cs="Times New Roman"/>
          <w:sz w:val="24"/>
          <w:szCs w:val="20"/>
        </w:rPr>
      </w:pPr>
    </w:p>
    <w:p w14:paraId="22AA8D54" w14:textId="77777777" w:rsidR="009755D7" w:rsidRDefault="00C52195" w:rsidP="00D85C90">
      <w:pPr>
        <w:autoSpaceDE w:val="0"/>
        <w:autoSpaceDN w:val="0"/>
        <w:adjustRightInd w:val="0"/>
        <w:spacing w:after="0" w:line="240" w:lineRule="auto"/>
        <w:rPr>
          <w:rFonts w:ascii="Arial" w:hAnsi="Arial" w:cs="Arial"/>
          <w:sz w:val="24"/>
          <w:szCs w:val="24"/>
        </w:rPr>
      </w:pPr>
      <w:r w:rsidRPr="00A67D31">
        <w:rPr>
          <w:rFonts w:ascii="Arial" w:eastAsia="Times New Roman" w:hAnsi="Arial" w:cs="Times New Roman"/>
          <w:b/>
          <w:sz w:val="24"/>
          <w:szCs w:val="24"/>
          <w:u w:val="single"/>
        </w:rPr>
        <w:t>Background</w:t>
      </w:r>
      <w:r w:rsidRPr="004D579B">
        <w:rPr>
          <w:rFonts w:ascii="Arial" w:eastAsia="Times New Roman" w:hAnsi="Arial" w:cs="Times New Roman"/>
          <w:sz w:val="24"/>
          <w:szCs w:val="24"/>
        </w:rPr>
        <w:t xml:space="preserve"> </w:t>
      </w:r>
      <w:r w:rsidRPr="00A67D31">
        <w:rPr>
          <w:rFonts w:ascii="Arial" w:eastAsia="Times New Roman" w:hAnsi="Arial" w:cs="Times New Roman"/>
          <w:sz w:val="24"/>
          <w:szCs w:val="24"/>
        </w:rPr>
        <w:t>–</w:t>
      </w:r>
      <w:r w:rsidR="000E1099">
        <w:rPr>
          <w:rFonts w:ascii="Arial" w:hAnsi="Arial" w:cs="Arial"/>
          <w:sz w:val="24"/>
          <w:szCs w:val="24"/>
        </w:rPr>
        <w:t xml:space="preserve"> </w:t>
      </w:r>
      <w:bookmarkStart w:id="3" w:name="_Hlk520438211"/>
      <w:r>
        <w:rPr>
          <w:rFonts w:ascii="Arial" w:eastAsia="Times New Roman" w:hAnsi="Arial" w:cs="Times New Roman"/>
          <w:sz w:val="24"/>
          <w:szCs w:val="24"/>
        </w:rPr>
        <w:t xml:space="preserve">The 2014 Management </w:t>
      </w:r>
      <w:r w:rsidRPr="007C465E">
        <w:rPr>
          <w:rFonts w:ascii="Arial" w:eastAsia="Times New Roman" w:hAnsi="Arial" w:cs="Times New Roman"/>
          <w:sz w:val="24"/>
          <w:szCs w:val="24"/>
        </w:rPr>
        <w:t xml:space="preserve">and Operations </w:t>
      </w:r>
      <w:r>
        <w:rPr>
          <w:rFonts w:ascii="Arial" w:eastAsia="Times New Roman" w:hAnsi="Arial" w:cs="Times New Roman"/>
          <w:sz w:val="24"/>
          <w:szCs w:val="24"/>
        </w:rPr>
        <w:t xml:space="preserve">Audit </w:t>
      </w:r>
      <w:r w:rsidRPr="007C465E">
        <w:rPr>
          <w:rFonts w:ascii="Arial" w:eastAsia="Times New Roman" w:hAnsi="Arial" w:cs="Times New Roman"/>
          <w:sz w:val="24"/>
          <w:szCs w:val="24"/>
        </w:rPr>
        <w:t xml:space="preserve">of </w:t>
      </w:r>
      <w:r>
        <w:rPr>
          <w:rFonts w:ascii="Arial" w:eastAsia="Times New Roman" w:hAnsi="Arial" w:cs="Times New Roman"/>
          <w:sz w:val="24"/>
          <w:szCs w:val="24"/>
        </w:rPr>
        <w:t xml:space="preserve">Metropolitan </w:t>
      </w:r>
      <w:r w:rsidRPr="00EF2E4A">
        <w:rPr>
          <w:rFonts w:ascii="Arial" w:hAnsi="Arial" w:cs="Arial"/>
          <w:sz w:val="24"/>
          <w:szCs w:val="24"/>
        </w:rPr>
        <w:t>Edison Company (Met</w:t>
      </w:r>
      <w:r>
        <w:rPr>
          <w:rFonts w:ascii="Arial" w:hAnsi="Arial" w:cs="Arial"/>
          <w:sz w:val="24"/>
          <w:szCs w:val="24"/>
        </w:rPr>
        <w:noBreakHyphen/>
      </w:r>
      <w:r w:rsidRPr="00EF2E4A">
        <w:rPr>
          <w:rFonts w:ascii="Arial" w:hAnsi="Arial" w:cs="Arial"/>
          <w:sz w:val="24"/>
          <w:szCs w:val="24"/>
        </w:rPr>
        <w:t>Ed), Pennsylvania Electric Company (Penelec), Pennsylvania Power Company (Penn Power), and West Penn Power Company (West Penn Power), collectively referred to as</w:t>
      </w:r>
      <w:r>
        <w:rPr>
          <w:rFonts w:ascii="Arial" w:eastAsia="Times New Roman" w:hAnsi="Arial" w:cs="Times New Roman"/>
          <w:sz w:val="24"/>
          <w:szCs w:val="24"/>
        </w:rPr>
        <w:t xml:space="preserve"> the FirstEnergy Pennsylvania Companies (FE</w:t>
      </w:r>
      <w:r>
        <w:rPr>
          <w:rFonts w:ascii="Arial" w:eastAsia="Times New Roman" w:hAnsi="Arial" w:cs="Times New Roman"/>
          <w:sz w:val="24"/>
          <w:szCs w:val="24"/>
        </w:rPr>
        <w:noBreakHyphen/>
        <w:t xml:space="preserve">PA </w:t>
      </w:r>
      <w:r w:rsidR="000124DF">
        <w:rPr>
          <w:rFonts w:ascii="Arial" w:eastAsia="Times New Roman" w:hAnsi="Arial" w:cs="Times New Roman"/>
          <w:sz w:val="24"/>
          <w:szCs w:val="24"/>
        </w:rPr>
        <w:t>c</w:t>
      </w:r>
      <w:r>
        <w:rPr>
          <w:rFonts w:ascii="Arial" w:eastAsia="Times New Roman" w:hAnsi="Arial" w:cs="Times New Roman"/>
          <w:sz w:val="24"/>
          <w:szCs w:val="24"/>
        </w:rPr>
        <w:t xml:space="preserve">ompanies) </w:t>
      </w:r>
      <w:r w:rsidR="00A775E2">
        <w:rPr>
          <w:rFonts w:ascii="Arial" w:eastAsia="Times New Roman" w:hAnsi="Arial" w:cs="Times New Roman"/>
          <w:sz w:val="24"/>
          <w:szCs w:val="24"/>
        </w:rPr>
        <w:t xml:space="preserve">examined the </w:t>
      </w:r>
      <w:r w:rsidR="00A775E2" w:rsidRPr="00C209CF">
        <w:rPr>
          <w:rFonts w:ascii="Arial" w:hAnsi="Arial" w:cs="Arial"/>
          <w:sz w:val="24"/>
          <w:szCs w:val="24"/>
        </w:rPr>
        <w:t>Executive Management function</w:t>
      </w:r>
      <w:r w:rsidR="000124DF">
        <w:rPr>
          <w:rFonts w:ascii="Arial" w:hAnsi="Arial" w:cs="Arial"/>
          <w:sz w:val="24"/>
          <w:szCs w:val="24"/>
        </w:rPr>
        <w:t xml:space="preserve">.  </w:t>
      </w:r>
      <w:bookmarkEnd w:id="3"/>
    </w:p>
    <w:p w14:paraId="03FC9CD8" w14:textId="77777777" w:rsidR="009755D7" w:rsidRDefault="009755D7" w:rsidP="00D85C90">
      <w:pPr>
        <w:autoSpaceDE w:val="0"/>
        <w:autoSpaceDN w:val="0"/>
        <w:adjustRightInd w:val="0"/>
        <w:spacing w:after="0" w:line="240" w:lineRule="auto"/>
        <w:rPr>
          <w:rFonts w:ascii="Arial" w:hAnsi="Arial" w:cs="Arial"/>
          <w:sz w:val="24"/>
          <w:szCs w:val="24"/>
        </w:rPr>
      </w:pPr>
    </w:p>
    <w:p w14:paraId="0D19CF55" w14:textId="77777777" w:rsidR="009755D7" w:rsidRDefault="00CF44FD" w:rsidP="00D85C9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roles and responsibilities of executive management are shared by several organizations.  </w:t>
      </w:r>
      <w:r w:rsidR="000E1099" w:rsidRPr="000E1099">
        <w:rPr>
          <w:rFonts w:ascii="Arial" w:hAnsi="Arial" w:cs="Arial"/>
          <w:sz w:val="24"/>
          <w:szCs w:val="24"/>
        </w:rPr>
        <w:t>FirstEnergy Corporation (FirstEnergy or FE) was incorporated in 1996 as a</w:t>
      </w:r>
      <w:r w:rsidR="000E1099">
        <w:rPr>
          <w:rFonts w:ascii="Arial" w:hAnsi="Arial" w:cs="Arial"/>
          <w:sz w:val="24"/>
          <w:szCs w:val="24"/>
        </w:rPr>
        <w:t xml:space="preserve"> </w:t>
      </w:r>
      <w:r w:rsidR="000E1099" w:rsidRPr="000E1099">
        <w:rPr>
          <w:rFonts w:ascii="Arial" w:hAnsi="Arial" w:cs="Arial"/>
          <w:sz w:val="24"/>
          <w:szCs w:val="24"/>
        </w:rPr>
        <w:t>diversified energy company organized under the laws of the state of Ohio.</w:t>
      </w:r>
      <w:r w:rsidR="000E1099">
        <w:rPr>
          <w:rFonts w:ascii="Arial" w:hAnsi="Arial" w:cs="Arial"/>
          <w:sz w:val="24"/>
          <w:szCs w:val="24"/>
        </w:rPr>
        <w:t xml:space="preserve">  </w:t>
      </w:r>
      <w:r w:rsidR="000E1099" w:rsidRPr="000E1099">
        <w:rPr>
          <w:rFonts w:ascii="Arial" w:hAnsi="Arial" w:cs="Arial"/>
          <w:sz w:val="24"/>
          <w:szCs w:val="24"/>
        </w:rPr>
        <w:t>FirstEnergy’s Regulated Distribution business</w:t>
      </w:r>
      <w:r w:rsidR="000E1099">
        <w:rPr>
          <w:rFonts w:ascii="Arial" w:hAnsi="Arial" w:cs="Arial"/>
          <w:sz w:val="24"/>
          <w:szCs w:val="24"/>
        </w:rPr>
        <w:t xml:space="preserve"> </w:t>
      </w:r>
      <w:r w:rsidR="000E1099" w:rsidRPr="000E1099">
        <w:rPr>
          <w:rFonts w:ascii="Arial" w:hAnsi="Arial" w:cs="Arial"/>
          <w:sz w:val="24"/>
          <w:szCs w:val="24"/>
        </w:rPr>
        <w:t>segment distributes electricity through FirstEnergy’s ten utility operating companies,</w:t>
      </w:r>
      <w:r w:rsidR="002B61AF">
        <w:rPr>
          <w:rFonts w:ascii="Arial" w:hAnsi="Arial" w:cs="Arial"/>
          <w:sz w:val="24"/>
          <w:szCs w:val="24"/>
        </w:rPr>
        <w:t xml:space="preserve"> </w:t>
      </w:r>
      <w:r w:rsidR="00194676">
        <w:rPr>
          <w:rFonts w:ascii="Arial" w:hAnsi="Arial" w:cs="Arial"/>
          <w:sz w:val="24"/>
          <w:szCs w:val="24"/>
        </w:rPr>
        <w:t xml:space="preserve">including the FE-PA companies, </w:t>
      </w:r>
      <w:r w:rsidR="000E1099" w:rsidRPr="000E1099">
        <w:rPr>
          <w:rFonts w:ascii="Arial" w:hAnsi="Arial" w:cs="Arial"/>
          <w:sz w:val="24"/>
          <w:szCs w:val="24"/>
        </w:rPr>
        <w:t>which is also referred to as FirstEnergy Utilities (FEU).</w:t>
      </w:r>
      <w:r w:rsidR="000E1099">
        <w:rPr>
          <w:rFonts w:ascii="Arial" w:hAnsi="Arial" w:cs="Arial"/>
          <w:sz w:val="24"/>
          <w:szCs w:val="24"/>
        </w:rPr>
        <w:t xml:space="preserve">  </w:t>
      </w:r>
      <w:r w:rsidR="00EC4CC9">
        <w:rPr>
          <w:rFonts w:ascii="Arial" w:hAnsi="Arial" w:cs="Arial"/>
          <w:sz w:val="24"/>
          <w:szCs w:val="24"/>
        </w:rPr>
        <w:t xml:space="preserve">In addition, </w:t>
      </w:r>
      <w:r w:rsidR="00314B89">
        <w:rPr>
          <w:rFonts w:ascii="Arial" w:hAnsi="Arial" w:cs="Arial"/>
          <w:sz w:val="24"/>
          <w:szCs w:val="24"/>
        </w:rPr>
        <w:t>several</w:t>
      </w:r>
      <w:r w:rsidR="00EC4CC9">
        <w:rPr>
          <w:rFonts w:ascii="Arial" w:hAnsi="Arial" w:cs="Arial"/>
          <w:sz w:val="24"/>
          <w:szCs w:val="24"/>
        </w:rPr>
        <w:t xml:space="preserve"> </w:t>
      </w:r>
      <w:r w:rsidR="00194676" w:rsidRPr="00EC4CC9">
        <w:rPr>
          <w:rFonts w:ascii="Arial" w:hAnsi="Arial" w:cs="Arial"/>
          <w:sz w:val="24"/>
          <w:szCs w:val="24"/>
        </w:rPr>
        <w:t>administrative, accounting, financial, engin</w:t>
      </w:r>
      <w:r w:rsidR="00194676">
        <w:rPr>
          <w:rFonts w:ascii="Arial" w:hAnsi="Arial" w:cs="Arial"/>
          <w:sz w:val="24"/>
          <w:szCs w:val="24"/>
        </w:rPr>
        <w:t>eering, and operational</w:t>
      </w:r>
      <w:r w:rsidR="00194676" w:rsidRPr="00EC4CC9">
        <w:rPr>
          <w:rFonts w:ascii="Arial" w:hAnsi="Arial" w:cs="Arial"/>
          <w:sz w:val="24"/>
          <w:szCs w:val="24"/>
        </w:rPr>
        <w:t xml:space="preserve"> </w:t>
      </w:r>
      <w:r w:rsidR="00EC4CC9" w:rsidRPr="00EC4CC9">
        <w:rPr>
          <w:rFonts w:ascii="Arial" w:hAnsi="Arial" w:cs="Arial"/>
          <w:sz w:val="24"/>
          <w:szCs w:val="24"/>
        </w:rPr>
        <w:t>services are centrally provided to</w:t>
      </w:r>
      <w:r w:rsidR="00EC4CC9">
        <w:rPr>
          <w:rFonts w:ascii="Arial" w:hAnsi="Arial" w:cs="Arial"/>
          <w:sz w:val="24"/>
          <w:szCs w:val="24"/>
        </w:rPr>
        <w:t xml:space="preserve"> </w:t>
      </w:r>
      <w:r w:rsidR="00194676" w:rsidRPr="00EC4CC9">
        <w:rPr>
          <w:rFonts w:ascii="Arial" w:hAnsi="Arial" w:cs="Arial"/>
          <w:sz w:val="24"/>
          <w:szCs w:val="24"/>
        </w:rPr>
        <w:t>FirstEnergy</w:t>
      </w:r>
      <w:r>
        <w:rPr>
          <w:rFonts w:ascii="Arial" w:hAnsi="Arial" w:cs="Arial"/>
          <w:sz w:val="24"/>
          <w:szCs w:val="24"/>
        </w:rPr>
        <w:t xml:space="preserve"> and </w:t>
      </w:r>
      <w:r w:rsidR="00EC4CC9">
        <w:rPr>
          <w:rFonts w:ascii="Arial" w:hAnsi="Arial" w:cs="Arial"/>
          <w:sz w:val="24"/>
          <w:szCs w:val="24"/>
        </w:rPr>
        <w:t>FEU</w:t>
      </w:r>
      <w:r w:rsidR="00EC4CC9" w:rsidRPr="00EC4CC9">
        <w:rPr>
          <w:rFonts w:ascii="Arial" w:hAnsi="Arial" w:cs="Arial"/>
          <w:sz w:val="24"/>
          <w:szCs w:val="24"/>
        </w:rPr>
        <w:t>, including the FE-PA</w:t>
      </w:r>
      <w:r w:rsidR="00EC4CC9">
        <w:rPr>
          <w:rFonts w:ascii="Arial" w:hAnsi="Arial" w:cs="Arial"/>
          <w:sz w:val="24"/>
          <w:szCs w:val="24"/>
        </w:rPr>
        <w:t xml:space="preserve"> c</w:t>
      </w:r>
      <w:r w:rsidR="00EC4CC9" w:rsidRPr="00EC4CC9">
        <w:rPr>
          <w:rFonts w:ascii="Arial" w:hAnsi="Arial" w:cs="Arial"/>
          <w:sz w:val="24"/>
          <w:szCs w:val="24"/>
        </w:rPr>
        <w:t>ompanies, by FirstEnergy Service</w:t>
      </w:r>
      <w:r w:rsidR="00EC4CC9">
        <w:rPr>
          <w:rFonts w:ascii="Arial" w:hAnsi="Arial" w:cs="Arial"/>
          <w:sz w:val="24"/>
          <w:szCs w:val="24"/>
        </w:rPr>
        <w:t xml:space="preserve"> </w:t>
      </w:r>
      <w:r w:rsidR="00EC4CC9" w:rsidRPr="00EC4CC9">
        <w:rPr>
          <w:rFonts w:ascii="Arial" w:hAnsi="Arial" w:cs="Arial"/>
          <w:sz w:val="24"/>
          <w:szCs w:val="24"/>
        </w:rPr>
        <w:t xml:space="preserve">Company (FESC). </w:t>
      </w:r>
      <w:r w:rsidR="00EC4CC9">
        <w:rPr>
          <w:rFonts w:ascii="Arial" w:hAnsi="Arial" w:cs="Arial"/>
          <w:sz w:val="24"/>
          <w:szCs w:val="24"/>
        </w:rPr>
        <w:t xml:space="preserve"> </w:t>
      </w:r>
    </w:p>
    <w:p w14:paraId="3233A095" w14:textId="77777777" w:rsidR="009755D7" w:rsidRDefault="009755D7" w:rsidP="00D85C90">
      <w:pPr>
        <w:autoSpaceDE w:val="0"/>
        <w:autoSpaceDN w:val="0"/>
        <w:adjustRightInd w:val="0"/>
        <w:spacing w:after="0" w:line="240" w:lineRule="auto"/>
        <w:rPr>
          <w:rFonts w:ascii="Arial" w:hAnsi="Arial" w:cs="Arial"/>
          <w:sz w:val="24"/>
          <w:szCs w:val="24"/>
        </w:rPr>
      </w:pPr>
    </w:p>
    <w:p w14:paraId="01A45085" w14:textId="77777777" w:rsidR="00C52195" w:rsidRPr="000E1099" w:rsidRDefault="000E1099" w:rsidP="00D85C90">
      <w:pPr>
        <w:autoSpaceDE w:val="0"/>
        <w:autoSpaceDN w:val="0"/>
        <w:adjustRightInd w:val="0"/>
        <w:spacing w:after="0" w:line="240" w:lineRule="auto"/>
        <w:rPr>
          <w:rFonts w:ascii="Arial" w:hAnsi="Arial" w:cs="Arial"/>
          <w:sz w:val="24"/>
          <w:szCs w:val="24"/>
        </w:rPr>
      </w:pPr>
      <w:r w:rsidRPr="000E1099">
        <w:rPr>
          <w:rFonts w:ascii="Arial" w:hAnsi="Arial" w:cs="Arial"/>
          <w:sz w:val="24"/>
          <w:szCs w:val="24"/>
        </w:rPr>
        <w:t>The 2014 Management and Operations Audit</w:t>
      </w:r>
      <w:r>
        <w:rPr>
          <w:rFonts w:ascii="Arial" w:hAnsi="Arial" w:cs="Arial"/>
          <w:sz w:val="24"/>
          <w:szCs w:val="24"/>
        </w:rPr>
        <w:t xml:space="preserve"> </w:t>
      </w:r>
      <w:r w:rsidR="00A775E2" w:rsidRPr="00C209CF">
        <w:rPr>
          <w:rFonts w:ascii="Arial" w:hAnsi="Arial" w:cs="Arial"/>
          <w:sz w:val="24"/>
          <w:szCs w:val="24"/>
        </w:rPr>
        <w:t xml:space="preserve">included a review of the </w:t>
      </w:r>
      <w:r w:rsidR="00CF44FD">
        <w:rPr>
          <w:rFonts w:ascii="Arial" w:hAnsi="Arial" w:cs="Arial"/>
          <w:sz w:val="24"/>
          <w:szCs w:val="24"/>
        </w:rPr>
        <w:t>corporate</w:t>
      </w:r>
      <w:r w:rsidR="00C806A5">
        <w:rPr>
          <w:rFonts w:ascii="Arial" w:hAnsi="Arial" w:cs="Arial"/>
          <w:sz w:val="24"/>
          <w:szCs w:val="24"/>
        </w:rPr>
        <w:t xml:space="preserve"> and individual </w:t>
      </w:r>
      <w:r w:rsidR="00A775E2" w:rsidRPr="00C209CF">
        <w:rPr>
          <w:rFonts w:ascii="Arial" w:hAnsi="Arial" w:cs="Arial"/>
          <w:sz w:val="24"/>
          <w:szCs w:val="24"/>
        </w:rPr>
        <w:t>organizational structure</w:t>
      </w:r>
      <w:r w:rsidR="00C806A5">
        <w:rPr>
          <w:rFonts w:ascii="Arial" w:hAnsi="Arial" w:cs="Arial"/>
          <w:sz w:val="24"/>
          <w:szCs w:val="24"/>
        </w:rPr>
        <w:t xml:space="preserve">s of each of the </w:t>
      </w:r>
      <w:r w:rsidR="00C806A5">
        <w:rPr>
          <w:rFonts w:ascii="Arial" w:eastAsia="Times New Roman" w:hAnsi="Arial" w:cs="Times New Roman"/>
          <w:sz w:val="24"/>
          <w:szCs w:val="24"/>
        </w:rPr>
        <w:t>FE</w:t>
      </w:r>
      <w:r w:rsidR="00C806A5">
        <w:rPr>
          <w:rFonts w:ascii="Arial" w:eastAsia="Times New Roman" w:hAnsi="Arial" w:cs="Times New Roman"/>
          <w:sz w:val="24"/>
          <w:szCs w:val="24"/>
        </w:rPr>
        <w:noBreakHyphen/>
        <w:t>PA companies</w:t>
      </w:r>
      <w:r w:rsidR="00A775E2">
        <w:rPr>
          <w:rFonts w:ascii="Arial" w:hAnsi="Arial" w:cs="Arial"/>
          <w:sz w:val="24"/>
          <w:szCs w:val="24"/>
        </w:rPr>
        <w:t>;</w:t>
      </w:r>
      <w:r w:rsidR="00A775E2" w:rsidRPr="00C209CF">
        <w:rPr>
          <w:rFonts w:ascii="Arial" w:hAnsi="Arial" w:cs="Arial"/>
          <w:sz w:val="24"/>
          <w:szCs w:val="24"/>
        </w:rPr>
        <w:t xml:space="preserve"> staffing levels and spans of control</w:t>
      </w:r>
      <w:r w:rsidR="00A775E2">
        <w:rPr>
          <w:rFonts w:ascii="Arial" w:hAnsi="Arial" w:cs="Arial"/>
          <w:sz w:val="24"/>
          <w:szCs w:val="24"/>
        </w:rPr>
        <w:t>; the roles and responsibilities of executive management;</w:t>
      </w:r>
      <w:r w:rsidR="00A775E2" w:rsidRPr="00C209CF">
        <w:rPr>
          <w:rFonts w:ascii="Arial" w:hAnsi="Arial" w:cs="Arial"/>
          <w:sz w:val="24"/>
          <w:szCs w:val="24"/>
        </w:rPr>
        <w:t xml:space="preserve"> strategic planning</w:t>
      </w:r>
      <w:r w:rsidR="00A775E2">
        <w:rPr>
          <w:rFonts w:ascii="Arial" w:hAnsi="Arial" w:cs="Arial"/>
          <w:sz w:val="24"/>
          <w:szCs w:val="24"/>
        </w:rPr>
        <w:t>;</w:t>
      </w:r>
      <w:r w:rsidR="00A775E2" w:rsidRPr="00C209CF">
        <w:rPr>
          <w:rFonts w:ascii="Arial" w:hAnsi="Arial" w:cs="Arial"/>
          <w:sz w:val="24"/>
          <w:szCs w:val="24"/>
        </w:rPr>
        <w:t xml:space="preserve"> and succession planning.  </w:t>
      </w:r>
      <w:r w:rsidR="00A775E2">
        <w:rPr>
          <w:rFonts w:ascii="Arial" w:eastAsia="Times New Roman" w:hAnsi="Arial" w:cs="Times New Roman"/>
          <w:sz w:val="24"/>
          <w:szCs w:val="24"/>
        </w:rPr>
        <w:t xml:space="preserve"> </w:t>
      </w:r>
      <w:r w:rsidR="00C52195" w:rsidRPr="007C465E">
        <w:rPr>
          <w:rFonts w:ascii="Arial" w:eastAsia="Times New Roman" w:hAnsi="Arial" w:cs="Times New Roman"/>
          <w:sz w:val="24"/>
          <w:szCs w:val="24"/>
        </w:rPr>
        <w:t>The</w:t>
      </w:r>
      <w:r w:rsidR="00C52195">
        <w:rPr>
          <w:rFonts w:ascii="Arial" w:eastAsia="Times New Roman" w:hAnsi="Arial" w:cs="Times New Roman"/>
          <w:sz w:val="24"/>
          <w:szCs w:val="24"/>
        </w:rPr>
        <w:t xml:space="preserve"> PUC</w:t>
      </w:r>
      <w:r w:rsidR="00C52195" w:rsidRPr="007C465E">
        <w:rPr>
          <w:rFonts w:ascii="Arial" w:eastAsia="Times New Roman" w:hAnsi="Arial" w:cs="Times New Roman"/>
          <w:sz w:val="24"/>
          <w:szCs w:val="24"/>
        </w:rPr>
        <w:t xml:space="preserve"> </w:t>
      </w:r>
      <w:r w:rsidR="00C52195">
        <w:rPr>
          <w:rFonts w:ascii="Arial" w:eastAsia="Times New Roman" w:hAnsi="Arial" w:cs="Times New Roman"/>
          <w:sz w:val="24"/>
          <w:szCs w:val="24"/>
        </w:rPr>
        <w:t>auditors</w:t>
      </w:r>
      <w:r w:rsidR="00C52195" w:rsidRPr="007C465E">
        <w:rPr>
          <w:rFonts w:ascii="Arial" w:eastAsia="Times New Roman" w:hAnsi="Arial" w:cs="Times New Roman"/>
          <w:sz w:val="24"/>
          <w:szCs w:val="24"/>
        </w:rPr>
        <w:t xml:space="preserve"> </w:t>
      </w:r>
      <w:r w:rsidR="00A775E2">
        <w:rPr>
          <w:rFonts w:ascii="Arial" w:eastAsia="Times New Roman" w:hAnsi="Arial" w:cs="Times New Roman"/>
          <w:sz w:val="24"/>
          <w:szCs w:val="24"/>
        </w:rPr>
        <w:t xml:space="preserve">issued one recommendation in the Executive Management chapter and </w:t>
      </w:r>
      <w:r w:rsidR="00C52195" w:rsidRPr="007C465E">
        <w:rPr>
          <w:rFonts w:ascii="Arial" w:eastAsia="Times New Roman" w:hAnsi="Arial" w:cs="Times New Roman"/>
          <w:sz w:val="24"/>
          <w:szCs w:val="24"/>
        </w:rPr>
        <w:t xml:space="preserve">rated </w:t>
      </w:r>
      <w:r w:rsidR="00C52195">
        <w:rPr>
          <w:rFonts w:ascii="Arial" w:eastAsia="Times New Roman" w:hAnsi="Arial" w:cs="Times New Roman"/>
          <w:sz w:val="24"/>
          <w:szCs w:val="24"/>
        </w:rPr>
        <w:t>this</w:t>
      </w:r>
      <w:r w:rsidR="00C52195" w:rsidRPr="007C465E">
        <w:rPr>
          <w:rFonts w:ascii="Arial" w:eastAsia="Times New Roman" w:hAnsi="Arial" w:cs="Times New Roman"/>
          <w:sz w:val="24"/>
          <w:szCs w:val="24"/>
        </w:rPr>
        <w:t xml:space="preserve"> functional area as needing </w:t>
      </w:r>
      <w:r w:rsidR="00C52195">
        <w:rPr>
          <w:rFonts w:ascii="Arial" w:eastAsia="Times New Roman" w:hAnsi="Arial" w:cs="Times New Roman"/>
          <w:sz w:val="24"/>
          <w:szCs w:val="24"/>
        </w:rPr>
        <w:t xml:space="preserve">moderate improvement.  In this chapter, the </w:t>
      </w:r>
      <w:r w:rsidR="00C52195" w:rsidRPr="007C465E">
        <w:rPr>
          <w:rFonts w:ascii="Arial" w:eastAsia="Times New Roman" w:hAnsi="Arial" w:cs="Times New Roman"/>
          <w:sz w:val="24"/>
          <w:szCs w:val="24"/>
        </w:rPr>
        <w:t>prior recommendation and prior situation</w:t>
      </w:r>
      <w:r w:rsidR="00C52195">
        <w:rPr>
          <w:rFonts w:ascii="Arial" w:eastAsia="Times New Roman" w:hAnsi="Arial" w:cs="Times New Roman"/>
          <w:sz w:val="24"/>
          <w:szCs w:val="24"/>
        </w:rPr>
        <w:t xml:space="preserve"> are</w:t>
      </w:r>
      <w:r w:rsidR="00C52195" w:rsidRPr="007C465E">
        <w:rPr>
          <w:rFonts w:ascii="Arial" w:eastAsia="Times New Roman" w:hAnsi="Arial" w:cs="Times New Roman"/>
          <w:sz w:val="24"/>
          <w:szCs w:val="24"/>
        </w:rPr>
        <w:t xml:space="preserve"> reviewed</w:t>
      </w:r>
      <w:r w:rsidR="00C52195">
        <w:rPr>
          <w:rFonts w:ascii="Arial" w:eastAsia="Times New Roman" w:hAnsi="Arial" w:cs="Times New Roman"/>
          <w:sz w:val="24"/>
          <w:szCs w:val="24"/>
        </w:rPr>
        <w:t>,</w:t>
      </w:r>
      <w:r w:rsidR="00C52195" w:rsidRPr="007C465E">
        <w:rPr>
          <w:rFonts w:ascii="Arial" w:eastAsia="Times New Roman" w:hAnsi="Arial" w:cs="Times New Roman"/>
          <w:sz w:val="24"/>
          <w:szCs w:val="24"/>
        </w:rPr>
        <w:t xml:space="preserve"> and </w:t>
      </w:r>
      <w:r w:rsidR="00C52195">
        <w:rPr>
          <w:rFonts w:ascii="Arial" w:eastAsia="Times New Roman" w:hAnsi="Arial" w:cs="Times New Roman"/>
          <w:sz w:val="24"/>
          <w:szCs w:val="24"/>
        </w:rPr>
        <w:t xml:space="preserve">one </w:t>
      </w:r>
      <w:r w:rsidR="00C52195" w:rsidRPr="007C465E">
        <w:rPr>
          <w:rFonts w:ascii="Arial" w:eastAsia="Times New Roman" w:hAnsi="Arial" w:cs="Times New Roman"/>
          <w:sz w:val="24"/>
          <w:szCs w:val="24"/>
        </w:rPr>
        <w:t>follow</w:t>
      </w:r>
      <w:r w:rsidR="00C52195" w:rsidRPr="007C465E">
        <w:rPr>
          <w:rFonts w:ascii="Arial" w:eastAsia="Times New Roman" w:hAnsi="Arial" w:cs="Times New Roman"/>
          <w:sz w:val="24"/>
          <w:szCs w:val="24"/>
        </w:rPr>
        <w:noBreakHyphen/>
        <w:t>up finding</w:t>
      </w:r>
      <w:r w:rsidR="00C52195">
        <w:rPr>
          <w:rFonts w:ascii="Arial" w:eastAsia="Times New Roman" w:hAnsi="Arial" w:cs="Times New Roman"/>
          <w:sz w:val="24"/>
          <w:szCs w:val="24"/>
        </w:rPr>
        <w:t xml:space="preserve"> is </w:t>
      </w:r>
      <w:r w:rsidR="00C52195" w:rsidRPr="007C465E">
        <w:rPr>
          <w:rFonts w:ascii="Arial" w:eastAsia="Times New Roman" w:hAnsi="Arial" w:cs="Times New Roman"/>
          <w:sz w:val="24"/>
          <w:szCs w:val="24"/>
        </w:rPr>
        <w:t>presented.</w:t>
      </w:r>
    </w:p>
    <w:p w14:paraId="17B1B05F" w14:textId="77777777" w:rsidR="00C52195" w:rsidRDefault="00C52195" w:rsidP="000746EF">
      <w:pPr>
        <w:spacing w:after="0" w:line="20" w:lineRule="atLeast"/>
        <w:contextualSpacing/>
        <w:rPr>
          <w:rFonts w:ascii="Arial" w:eastAsia="Times New Roman" w:hAnsi="Arial" w:cs="Times New Roman"/>
          <w:sz w:val="24"/>
          <w:szCs w:val="24"/>
        </w:rPr>
      </w:pPr>
    </w:p>
    <w:p w14:paraId="16C7ECE1" w14:textId="77777777" w:rsidR="00C52195" w:rsidRPr="000624FA" w:rsidRDefault="00C52195" w:rsidP="000746EF">
      <w:pPr>
        <w:spacing w:after="0" w:line="20" w:lineRule="atLeast"/>
        <w:contextualSpacing/>
        <w:jc w:val="center"/>
        <w:rPr>
          <w:rFonts w:ascii="Arial" w:eastAsia="Times New Roman" w:hAnsi="Arial" w:cs="Times New Roman"/>
          <w:b/>
          <w:sz w:val="24"/>
          <w:szCs w:val="24"/>
          <w:u w:val="single"/>
        </w:rPr>
      </w:pPr>
      <w:r w:rsidRPr="000624FA">
        <w:rPr>
          <w:rFonts w:ascii="Arial" w:eastAsia="Times New Roman" w:hAnsi="Arial" w:cs="Times New Roman"/>
          <w:b/>
          <w:sz w:val="24"/>
          <w:szCs w:val="24"/>
          <w:u w:val="single"/>
        </w:rPr>
        <w:t>Finding No. III-1</w:t>
      </w:r>
    </w:p>
    <w:p w14:paraId="0ED733D8" w14:textId="77777777" w:rsidR="00C52195" w:rsidRDefault="00C52195" w:rsidP="00A9636A">
      <w:pPr>
        <w:spacing w:after="0" w:line="20" w:lineRule="atLeast"/>
        <w:contextualSpacing/>
        <w:rPr>
          <w:rFonts w:ascii="Arial" w:eastAsia="Times New Roman" w:hAnsi="Arial" w:cs="Times New Roman"/>
          <w:sz w:val="24"/>
          <w:szCs w:val="24"/>
        </w:rPr>
      </w:pPr>
    </w:p>
    <w:p w14:paraId="70EC94DC" w14:textId="77777777" w:rsidR="00C52195" w:rsidRPr="004D579B" w:rsidRDefault="00C52195" w:rsidP="00A9636A">
      <w:pPr>
        <w:autoSpaceDE w:val="0"/>
        <w:autoSpaceDN w:val="0"/>
        <w:adjustRightInd w:val="0"/>
        <w:spacing w:after="0" w:line="20" w:lineRule="atLeast"/>
        <w:rPr>
          <w:rFonts w:ascii="Arial" w:eastAsia="Times New Roman" w:hAnsi="Arial" w:cs="Arial"/>
          <w:color w:val="000000"/>
          <w:sz w:val="24"/>
          <w:szCs w:val="24"/>
        </w:rPr>
      </w:pPr>
      <w:r w:rsidRPr="004D579B">
        <w:rPr>
          <w:rFonts w:ascii="Arial" w:hAnsi="Arial" w:cs="Arial"/>
          <w:b/>
          <w:sz w:val="24"/>
          <w:szCs w:val="24"/>
          <w:u w:val="single"/>
        </w:rPr>
        <w:t>Prior Situation</w:t>
      </w:r>
      <w:r w:rsidRPr="004D579B">
        <w:rPr>
          <w:rFonts w:ascii="Arial" w:hAnsi="Arial" w:cs="Arial"/>
          <w:b/>
          <w:sz w:val="24"/>
          <w:szCs w:val="24"/>
        </w:rPr>
        <w:t xml:space="preserve"> </w:t>
      </w:r>
      <w:r w:rsidRPr="00A67D31">
        <w:rPr>
          <w:rFonts w:ascii="Arial" w:eastAsia="Times New Roman" w:hAnsi="Arial" w:cs="Times New Roman"/>
          <w:sz w:val="24"/>
          <w:szCs w:val="24"/>
        </w:rPr>
        <w:t>–</w:t>
      </w:r>
      <w:r>
        <w:rPr>
          <w:rFonts w:ascii="Arial" w:eastAsia="Times New Roman" w:hAnsi="Arial" w:cs="Times New Roman"/>
          <w:sz w:val="24"/>
          <w:szCs w:val="24"/>
        </w:rPr>
        <w:t xml:space="preserve"> </w:t>
      </w:r>
      <w:r w:rsidR="00A3064F">
        <w:rPr>
          <w:rFonts w:ascii="Arial" w:eastAsia="Times New Roman" w:hAnsi="Arial" w:cs="Times New Roman"/>
          <w:sz w:val="24"/>
          <w:szCs w:val="24"/>
        </w:rPr>
        <w:t xml:space="preserve">As of the last audit, </w:t>
      </w:r>
      <w:r w:rsidR="00A3064F">
        <w:rPr>
          <w:rFonts w:ascii="Arial" w:eastAsia="Times New Roman" w:hAnsi="Arial" w:cs="Arial"/>
          <w:snapToGrid w:val="0"/>
          <w:sz w:val="24"/>
          <w:szCs w:val="20"/>
        </w:rPr>
        <w:t>t</w:t>
      </w:r>
      <w:r w:rsidR="00A3064F" w:rsidRPr="00017EF0">
        <w:rPr>
          <w:rFonts w:ascii="Arial" w:eastAsia="Times New Roman" w:hAnsi="Arial" w:cs="Arial"/>
          <w:snapToGrid w:val="0"/>
          <w:sz w:val="24"/>
          <w:szCs w:val="20"/>
        </w:rPr>
        <w:t>he</w:t>
      </w:r>
      <w:r w:rsidRPr="004D579B">
        <w:rPr>
          <w:rFonts w:ascii="Arial" w:eastAsia="Times New Roman" w:hAnsi="Arial" w:cs="Arial"/>
          <w:color w:val="000000"/>
          <w:sz w:val="24"/>
          <w:szCs w:val="24"/>
        </w:rPr>
        <w:t xml:space="preserve"> Executive Leadership Team (ELT) met monthly to discuss the performance of each of the </w:t>
      </w:r>
      <w:r>
        <w:rPr>
          <w:rFonts w:ascii="Arial" w:eastAsia="Times New Roman" w:hAnsi="Arial" w:cs="Arial"/>
          <w:color w:val="000000"/>
          <w:sz w:val="24"/>
          <w:szCs w:val="24"/>
        </w:rPr>
        <w:t>FEU</w:t>
      </w:r>
      <w:r w:rsidR="008C0F9D">
        <w:rPr>
          <w:rFonts w:ascii="Arial" w:eastAsia="Times New Roman" w:hAnsi="Arial" w:cs="Arial"/>
          <w:color w:val="000000"/>
          <w:sz w:val="24"/>
          <w:szCs w:val="24"/>
        </w:rPr>
        <w:t xml:space="preserve"> companies</w:t>
      </w:r>
      <w:r w:rsidRPr="004D579B">
        <w:rPr>
          <w:rFonts w:ascii="Arial" w:eastAsia="Times New Roman" w:hAnsi="Arial" w:cs="Arial"/>
          <w:color w:val="000000"/>
          <w:sz w:val="24"/>
          <w:szCs w:val="24"/>
        </w:rPr>
        <w:t xml:space="preserve">, including the FE-PA </w:t>
      </w:r>
      <w:r w:rsidR="000124DF">
        <w:rPr>
          <w:rFonts w:ascii="Arial" w:eastAsia="Times New Roman" w:hAnsi="Arial" w:cs="Arial"/>
          <w:color w:val="000000"/>
          <w:sz w:val="24"/>
          <w:szCs w:val="24"/>
        </w:rPr>
        <w:t>c</w:t>
      </w:r>
      <w:r w:rsidRPr="004D579B">
        <w:rPr>
          <w:rFonts w:ascii="Arial" w:eastAsia="Times New Roman" w:hAnsi="Arial" w:cs="Arial"/>
          <w:color w:val="000000"/>
          <w:sz w:val="24"/>
          <w:szCs w:val="24"/>
        </w:rPr>
        <w:t xml:space="preserve">ompanies, in relation to the following objectives: safety, reliability, financial performance, customer service, and work management.  Specific metrics were used to measure the performance of each of these objectives and included in a monthly ELT Report for each of the </w:t>
      </w:r>
      <w:r w:rsidR="00EC4CC9">
        <w:rPr>
          <w:rFonts w:ascii="Arial" w:eastAsia="Times New Roman" w:hAnsi="Arial" w:cs="Arial"/>
          <w:color w:val="000000"/>
          <w:sz w:val="24"/>
          <w:szCs w:val="24"/>
        </w:rPr>
        <w:t>FEU</w:t>
      </w:r>
      <w:r w:rsidRPr="004D579B">
        <w:rPr>
          <w:rFonts w:ascii="Arial" w:eastAsia="Times New Roman" w:hAnsi="Arial" w:cs="Arial"/>
          <w:color w:val="000000"/>
          <w:sz w:val="24"/>
          <w:szCs w:val="24"/>
        </w:rPr>
        <w:t>.  FEU established target goals for each metric used in the monthly ELT Reports.  In many instances the performance measures were also Key Performance Indicators (KPIs) that had threshold, target and stretch goals linked to employee incentive pay.  The target goals were established based upon best practices in the industry and/or regulatory requirements.  In some cases, the target goals could be different for each of the FirstEnergy Utilities based upon their historical performance and unique conditions or circumstances.</w:t>
      </w:r>
    </w:p>
    <w:p w14:paraId="3F17A4A2" w14:textId="77777777" w:rsidR="00C52195" w:rsidRPr="004D579B" w:rsidRDefault="00C52195" w:rsidP="009C200A">
      <w:pPr>
        <w:autoSpaceDE w:val="0"/>
        <w:autoSpaceDN w:val="0"/>
        <w:adjustRightInd w:val="0"/>
        <w:spacing w:after="0" w:line="20" w:lineRule="atLeast"/>
        <w:rPr>
          <w:rFonts w:ascii="Arial" w:eastAsia="Times New Roman" w:hAnsi="Arial" w:cs="Arial"/>
          <w:color w:val="000000"/>
          <w:sz w:val="24"/>
          <w:szCs w:val="24"/>
        </w:rPr>
      </w:pPr>
    </w:p>
    <w:p w14:paraId="0913C1E2" w14:textId="77777777" w:rsidR="00C52195" w:rsidRDefault="00C52195">
      <w:pPr>
        <w:autoSpaceDE w:val="0"/>
        <w:autoSpaceDN w:val="0"/>
        <w:adjustRightInd w:val="0"/>
        <w:spacing w:after="0" w:line="20" w:lineRule="atLeast"/>
        <w:ind w:firstLine="720"/>
        <w:rPr>
          <w:rFonts w:ascii="Arial" w:eastAsia="Times New Roman" w:hAnsi="Arial" w:cs="Arial"/>
          <w:color w:val="000000"/>
          <w:sz w:val="24"/>
          <w:szCs w:val="24"/>
        </w:rPr>
      </w:pPr>
      <w:r w:rsidRPr="004D579B">
        <w:rPr>
          <w:rFonts w:ascii="Arial" w:eastAsia="Times New Roman" w:hAnsi="Arial" w:cs="Arial"/>
          <w:color w:val="000000"/>
          <w:sz w:val="24"/>
          <w:szCs w:val="24"/>
        </w:rPr>
        <w:t xml:space="preserve">The </w:t>
      </w:r>
      <w:r>
        <w:rPr>
          <w:rFonts w:ascii="Arial" w:eastAsia="Times New Roman" w:hAnsi="Arial" w:cs="Arial"/>
          <w:color w:val="000000"/>
          <w:sz w:val="24"/>
          <w:szCs w:val="24"/>
        </w:rPr>
        <w:t>auditors</w:t>
      </w:r>
      <w:r w:rsidRPr="004D579B">
        <w:rPr>
          <w:rFonts w:ascii="Arial" w:eastAsia="Times New Roman" w:hAnsi="Arial" w:cs="Arial"/>
          <w:color w:val="000000"/>
          <w:sz w:val="24"/>
          <w:szCs w:val="24"/>
        </w:rPr>
        <w:t xml:space="preserve"> reviewed a sample of the monthly ELT Reports for each of the FE</w:t>
      </w:r>
      <w:r>
        <w:rPr>
          <w:rFonts w:ascii="Arial" w:eastAsia="Times New Roman" w:hAnsi="Arial" w:cs="Arial"/>
          <w:color w:val="000000"/>
          <w:sz w:val="24"/>
          <w:szCs w:val="24"/>
        </w:rPr>
        <w:noBreakHyphen/>
      </w:r>
      <w:r w:rsidRPr="004D579B">
        <w:rPr>
          <w:rFonts w:ascii="Arial" w:eastAsia="Times New Roman" w:hAnsi="Arial" w:cs="Arial"/>
          <w:color w:val="000000"/>
          <w:sz w:val="24"/>
          <w:szCs w:val="24"/>
        </w:rPr>
        <w:t xml:space="preserve">PA </w:t>
      </w:r>
      <w:r w:rsidR="00D65F7C">
        <w:rPr>
          <w:rFonts w:ascii="Arial" w:eastAsia="Times New Roman" w:hAnsi="Arial" w:cs="Arial"/>
          <w:color w:val="000000"/>
          <w:sz w:val="24"/>
          <w:szCs w:val="24"/>
        </w:rPr>
        <w:t>c</w:t>
      </w:r>
      <w:r w:rsidRPr="004D579B">
        <w:rPr>
          <w:rFonts w:ascii="Arial" w:eastAsia="Times New Roman" w:hAnsi="Arial" w:cs="Arial"/>
          <w:color w:val="000000"/>
          <w:sz w:val="24"/>
          <w:szCs w:val="24"/>
        </w:rPr>
        <w:t xml:space="preserve">ompanies for the period January 2012 to December 2013. </w:t>
      </w:r>
      <w:r w:rsidR="00A0166B">
        <w:rPr>
          <w:rFonts w:ascii="Arial" w:eastAsia="Times New Roman" w:hAnsi="Arial" w:cs="Arial"/>
          <w:color w:val="000000"/>
          <w:sz w:val="24"/>
          <w:szCs w:val="24"/>
        </w:rPr>
        <w:t xml:space="preserve"> </w:t>
      </w:r>
      <w:r w:rsidRPr="004D579B">
        <w:rPr>
          <w:rFonts w:ascii="Arial" w:eastAsia="Times New Roman" w:hAnsi="Arial" w:cs="Arial"/>
          <w:color w:val="000000"/>
          <w:sz w:val="24"/>
          <w:szCs w:val="24"/>
        </w:rPr>
        <w:t xml:space="preserve">The review of the monthly ELT Reports revealed that, in some cases, the target goals for certain metrics </w:t>
      </w:r>
      <w:r w:rsidR="000746EF">
        <w:rPr>
          <w:rFonts w:ascii="Arial" w:eastAsia="Times New Roman" w:hAnsi="Arial" w:cs="Arial"/>
          <w:color w:val="000000"/>
          <w:sz w:val="24"/>
          <w:szCs w:val="24"/>
        </w:rPr>
        <w:t>were set at inadequate levels</w:t>
      </w:r>
      <w:r w:rsidRPr="004D579B">
        <w:rPr>
          <w:rFonts w:ascii="Arial" w:eastAsia="Times New Roman" w:hAnsi="Arial" w:cs="Arial"/>
          <w:color w:val="000000"/>
          <w:sz w:val="24"/>
          <w:szCs w:val="24"/>
        </w:rPr>
        <w:t xml:space="preserve"> that did not permit the FE-PA </w:t>
      </w:r>
      <w:r w:rsidR="0093696B">
        <w:rPr>
          <w:rFonts w:ascii="Arial" w:eastAsia="Times New Roman" w:hAnsi="Arial" w:cs="Arial"/>
          <w:color w:val="000000"/>
          <w:sz w:val="24"/>
          <w:szCs w:val="24"/>
        </w:rPr>
        <w:t>c</w:t>
      </w:r>
      <w:r w:rsidRPr="004D579B">
        <w:rPr>
          <w:rFonts w:ascii="Arial" w:eastAsia="Times New Roman" w:hAnsi="Arial" w:cs="Arial"/>
          <w:color w:val="000000"/>
          <w:sz w:val="24"/>
          <w:szCs w:val="24"/>
        </w:rPr>
        <w:t xml:space="preserve">ompanies to achieve stated goals and comply with regulatory requirements.  </w:t>
      </w:r>
    </w:p>
    <w:p w14:paraId="5601A536" w14:textId="77777777" w:rsidR="005F44E4" w:rsidRPr="004D579B" w:rsidRDefault="005F44E4">
      <w:pPr>
        <w:autoSpaceDE w:val="0"/>
        <w:autoSpaceDN w:val="0"/>
        <w:adjustRightInd w:val="0"/>
        <w:spacing w:after="0" w:line="20" w:lineRule="atLeast"/>
        <w:ind w:firstLine="720"/>
        <w:rPr>
          <w:rFonts w:ascii="Arial" w:eastAsia="Times New Roman" w:hAnsi="Arial" w:cs="Arial"/>
          <w:color w:val="000000"/>
          <w:sz w:val="24"/>
          <w:szCs w:val="24"/>
        </w:rPr>
      </w:pPr>
    </w:p>
    <w:p w14:paraId="182BE59B" w14:textId="77777777" w:rsidR="00C52195" w:rsidRPr="004D579B" w:rsidRDefault="00C52195">
      <w:pPr>
        <w:autoSpaceDE w:val="0"/>
        <w:autoSpaceDN w:val="0"/>
        <w:adjustRightInd w:val="0"/>
        <w:spacing w:after="0" w:line="20" w:lineRule="atLeast"/>
        <w:ind w:firstLine="720"/>
        <w:rPr>
          <w:rFonts w:ascii="Arial" w:eastAsia="Times New Roman" w:hAnsi="Arial" w:cs="Arial"/>
          <w:color w:val="000000"/>
          <w:sz w:val="24"/>
          <w:szCs w:val="24"/>
        </w:rPr>
      </w:pPr>
      <w:r>
        <w:rPr>
          <w:rFonts w:ascii="Arial" w:eastAsia="Times New Roman" w:hAnsi="Arial" w:cs="Arial"/>
          <w:color w:val="000000"/>
          <w:sz w:val="24"/>
          <w:szCs w:val="24"/>
        </w:rPr>
        <w:t>For example, t</w:t>
      </w:r>
      <w:r w:rsidRPr="004D579B">
        <w:rPr>
          <w:rFonts w:ascii="Arial" w:eastAsia="Times New Roman" w:hAnsi="Arial" w:cs="Arial"/>
          <w:color w:val="000000"/>
          <w:sz w:val="24"/>
          <w:szCs w:val="24"/>
        </w:rPr>
        <w:t xml:space="preserve">he FE-PA </w:t>
      </w:r>
      <w:r w:rsidR="0093696B">
        <w:rPr>
          <w:rFonts w:ascii="Arial" w:eastAsia="Times New Roman" w:hAnsi="Arial" w:cs="Arial"/>
          <w:color w:val="000000"/>
          <w:sz w:val="24"/>
          <w:szCs w:val="24"/>
        </w:rPr>
        <w:t>c</w:t>
      </w:r>
      <w:r w:rsidRPr="004D579B">
        <w:rPr>
          <w:rFonts w:ascii="Arial" w:eastAsia="Times New Roman" w:hAnsi="Arial" w:cs="Arial"/>
          <w:color w:val="000000"/>
          <w:sz w:val="24"/>
          <w:szCs w:val="24"/>
        </w:rPr>
        <w:t>ompanies were focusing their efforts upon achieving the KPI target goals for safety metrics</w:t>
      </w:r>
      <w:r w:rsidR="009C200A">
        <w:rPr>
          <w:rFonts w:ascii="Arial" w:eastAsia="Times New Roman" w:hAnsi="Arial" w:cs="Arial"/>
          <w:color w:val="000000"/>
          <w:sz w:val="24"/>
          <w:szCs w:val="24"/>
        </w:rPr>
        <w:t xml:space="preserve"> but</w:t>
      </w:r>
      <w:r w:rsidRPr="004D579B">
        <w:rPr>
          <w:rFonts w:ascii="Arial" w:eastAsia="Times New Roman" w:hAnsi="Arial" w:cs="Arial"/>
          <w:color w:val="000000"/>
          <w:sz w:val="24"/>
          <w:szCs w:val="24"/>
        </w:rPr>
        <w:t xml:space="preserve"> </w:t>
      </w:r>
      <w:r w:rsidR="009C200A">
        <w:rPr>
          <w:rFonts w:ascii="Arial" w:eastAsia="Times New Roman" w:hAnsi="Arial" w:cs="Arial"/>
          <w:color w:val="000000"/>
          <w:sz w:val="24"/>
          <w:szCs w:val="24"/>
        </w:rPr>
        <w:t xml:space="preserve">were set at levels </w:t>
      </w:r>
      <w:r w:rsidRPr="004D579B">
        <w:rPr>
          <w:rFonts w:ascii="Arial" w:eastAsia="Times New Roman" w:hAnsi="Arial" w:cs="Arial"/>
          <w:color w:val="000000"/>
          <w:sz w:val="24"/>
          <w:szCs w:val="24"/>
        </w:rPr>
        <w:t>that would not achieve the FEU objective of attaining top decile safety performance.  In some instances, the target goals for safety were set at E</w:t>
      </w:r>
      <w:r>
        <w:rPr>
          <w:rFonts w:ascii="Arial" w:eastAsia="Times New Roman" w:hAnsi="Arial" w:cs="Arial"/>
          <w:color w:val="000000"/>
          <w:sz w:val="24"/>
          <w:szCs w:val="24"/>
        </w:rPr>
        <w:t xml:space="preserve">dison </w:t>
      </w:r>
      <w:r w:rsidRPr="004D579B">
        <w:rPr>
          <w:rFonts w:ascii="Arial" w:eastAsia="Times New Roman" w:hAnsi="Arial" w:cs="Arial"/>
          <w:color w:val="000000"/>
          <w:sz w:val="24"/>
          <w:szCs w:val="24"/>
        </w:rPr>
        <w:t>E</w:t>
      </w:r>
      <w:r>
        <w:rPr>
          <w:rFonts w:ascii="Arial" w:eastAsia="Times New Roman" w:hAnsi="Arial" w:cs="Arial"/>
          <w:color w:val="000000"/>
          <w:sz w:val="24"/>
          <w:szCs w:val="24"/>
        </w:rPr>
        <w:t xml:space="preserve">lectric </w:t>
      </w:r>
      <w:r w:rsidRPr="004D579B">
        <w:rPr>
          <w:rFonts w:ascii="Arial" w:eastAsia="Times New Roman" w:hAnsi="Arial" w:cs="Arial"/>
          <w:color w:val="000000"/>
          <w:sz w:val="24"/>
          <w:szCs w:val="24"/>
        </w:rPr>
        <w:t>I</w:t>
      </w:r>
      <w:r>
        <w:rPr>
          <w:rFonts w:ascii="Arial" w:eastAsia="Times New Roman" w:hAnsi="Arial" w:cs="Arial"/>
          <w:color w:val="000000"/>
          <w:sz w:val="24"/>
          <w:szCs w:val="24"/>
        </w:rPr>
        <w:t>nstitute (EEI)</w:t>
      </w:r>
      <w:r w:rsidRPr="004D579B">
        <w:rPr>
          <w:rFonts w:ascii="Arial" w:eastAsia="Times New Roman" w:hAnsi="Arial" w:cs="Arial"/>
          <w:color w:val="000000"/>
          <w:sz w:val="24"/>
          <w:szCs w:val="24"/>
        </w:rPr>
        <w:t xml:space="preserve"> top quartile performance levels until January 2013, when the targets were changed to levels slightly below top quartile performance.  </w:t>
      </w:r>
      <w:r w:rsidR="00EC4CC9">
        <w:rPr>
          <w:rFonts w:ascii="Arial" w:eastAsia="Times New Roman" w:hAnsi="Arial" w:cs="Arial"/>
          <w:color w:val="000000"/>
          <w:sz w:val="24"/>
          <w:szCs w:val="24"/>
        </w:rPr>
        <w:t>As a result</w:t>
      </w:r>
      <w:r w:rsidRPr="004D579B">
        <w:rPr>
          <w:rFonts w:ascii="Arial" w:eastAsia="Times New Roman" w:hAnsi="Arial" w:cs="Arial"/>
          <w:color w:val="000000"/>
          <w:sz w:val="24"/>
          <w:szCs w:val="24"/>
        </w:rPr>
        <w:t xml:space="preserve">, the established safety target goals had been amended to levels that moved further away from the stated safety objective and did not put the FE-PA </w:t>
      </w:r>
      <w:r w:rsidR="0093696B">
        <w:rPr>
          <w:rFonts w:ascii="Arial" w:eastAsia="Times New Roman" w:hAnsi="Arial" w:cs="Arial"/>
          <w:color w:val="000000"/>
          <w:sz w:val="24"/>
          <w:szCs w:val="24"/>
        </w:rPr>
        <w:t>c</w:t>
      </w:r>
      <w:r w:rsidRPr="004D579B">
        <w:rPr>
          <w:rFonts w:ascii="Arial" w:eastAsia="Times New Roman" w:hAnsi="Arial" w:cs="Arial"/>
          <w:color w:val="000000"/>
          <w:sz w:val="24"/>
          <w:szCs w:val="24"/>
        </w:rPr>
        <w:t xml:space="preserve">ompanies in the best position to have their safety performance achieve FEU’s safety objective.  In fact, the FE-PA </w:t>
      </w:r>
      <w:r w:rsidR="0093696B">
        <w:rPr>
          <w:rFonts w:ascii="Arial" w:eastAsia="Times New Roman" w:hAnsi="Arial" w:cs="Arial"/>
          <w:color w:val="000000"/>
          <w:sz w:val="24"/>
          <w:szCs w:val="24"/>
        </w:rPr>
        <w:t>c</w:t>
      </w:r>
      <w:r w:rsidRPr="004D579B">
        <w:rPr>
          <w:rFonts w:ascii="Arial" w:eastAsia="Times New Roman" w:hAnsi="Arial" w:cs="Arial"/>
          <w:color w:val="000000"/>
          <w:sz w:val="24"/>
          <w:szCs w:val="24"/>
        </w:rPr>
        <w:t xml:space="preserve">ompanies were </w:t>
      </w:r>
      <w:r w:rsidR="009C200A">
        <w:rPr>
          <w:rFonts w:ascii="Arial" w:eastAsia="Times New Roman" w:hAnsi="Arial" w:cs="Arial"/>
          <w:color w:val="000000"/>
          <w:sz w:val="24"/>
          <w:szCs w:val="24"/>
        </w:rPr>
        <w:t xml:space="preserve">missing </w:t>
      </w:r>
      <w:r w:rsidRPr="004D579B">
        <w:rPr>
          <w:rFonts w:ascii="Arial" w:eastAsia="Times New Roman" w:hAnsi="Arial" w:cs="Arial"/>
          <w:color w:val="000000"/>
          <w:sz w:val="24"/>
          <w:szCs w:val="24"/>
        </w:rPr>
        <w:t>targets established for the safety metrics during the period 2009-2013 (see Follow-up Finding and Conclusion No. 1 in the Human Resources and Safety chapter).</w:t>
      </w:r>
    </w:p>
    <w:p w14:paraId="67142EBE" w14:textId="77777777" w:rsidR="00C52195" w:rsidRPr="004D579B" w:rsidRDefault="00C52195">
      <w:pPr>
        <w:autoSpaceDE w:val="0"/>
        <w:autoSpaceDN w:val="0"/>
        <w:adjustRightInd w:val="0"/>
        <w:spacing w:after="0" w:line="20" w:lineRule="atLeast"/>
        <w:ind w:firstLine="720"/>
        <w:rPr>
          <w:rFonts w:ascii="Arial" w:eastAsia="Times New Roman" w:hAnsi="Arial" w:cs="Arial"/>
          <w:color w:val="000000"/>
          <w:sz w:val="24"/>
          <w:szCs w:val="24"/>
        </w:rPr>
      </w:pPr>
    </w:p>
    <w:p w14:paraId="0C521B26" w14:textId="77777777" w:rsidR="00EA6436" w:rsidRDefault="00C52195">
      <w:pPr>
        <w:autoSpaceDE w:val="0"/>
        <w:autoSpaceDN w:val="0"/>
        <w:adjustRightInd w:val="0"/>
        <w:spacing w:after="0" w:line="20" w:lineRule="atLeast"/>
        <w:ind w:firstLine="720"/>
        <w:rPr>
          <w:rFonts w:ascii="Arial" w:eastAsia="Times New Roman" w:hAnsi="Arial" w:cs="Arial"/>
          <w:color w:val="000000"/>
          <w:sz w:val="24"/>
          <w:szCs w:val="24"/>
        </w:rPr>
      </w:pPr>
      <w:r w:rsidRPr="004D579B">
        <w:rPr>
          <w:rFonts w:ascii="Arial" w:eastAsia="Times New Roman" w:hAnsi="Arial" w:cs="Arial"/>
          <w:color w:val="000000"/>
          <w:sz w:val="24"/>
          <w:szCs w:val="24"/>
        </w:rPr>
        <w:t xml:space="preserve">Similar to safety, FEU used several metrics to measure reliability objectives.  FEU’s objectives were to maintain its focus on reliability by achieving operating company KPIs for distribution and transmission reliability performance and meeting regulatory requirements.  </w:t>
      </w:r>
      <w:r w:rsidR="00F964AE" w:rsidRPr="004D579B">
        <w:rPr>
          <w:rFonts w:ascii="Arial" w:eastAsia="Times New Roman" w:hAnsi="Arial" w:cs="Arial"/>
          <w:color w:val="000000"/>
          <w:sz w:val="24"/>
          <w:szCs w:val="24"/>
        </w:rPr>
        <w:t>Some</w:t>
      </w:r>
      <w:r w:rsidRPr="004D579B">
        <w:rPr>
          <w:rFonts w:ascii="Arial" w:eastAsia="Times New Roman" w:hAnsi="Arial" w:cs="Arial"/>
          <w:color w:val="000000"/>
          <w:sz w:val="24"/>
          <w:szCs w:val="24"/>
        </w:rPr>
        <w:t xml:space="preserve"> of the </w:t>
      </w:r>
      <w:r w:rsidR="00EA6436">
        <w:rPr>
          <w:rFonts w:ascii="Arial" w:eastAsia="Times New Roman" w:hAnsi="Arial" w:cs="Arial"/>
          <w:color w:val="000000"/>
          <w:sz w:val="24"/>
          <w:szCs w:val="24"/>
        </w:rPr>
        <w:t xml:space="preserve">reliability performance </w:t>
      </w:r>
      <w:r w:rsidRPr="004D579B">
        <w:rPr>
          <w:rFonts w:ascii="Arial" w:eastAsia="Times New Roman" w:hAnsi="Arial" w:cs="Arial"/>
          <w:color w:val="000000"/>
          <w:sz w:val="24"/>
          <w:szCs w:val="24"/>
        </w:rPr>
        <w:t xml:space="preserve">metrics that appear in the ELT Reports were also used by the PUC to measure reliability performance.  </w:t>
      </w:r>
      <w:r>
        <w:rPr>
          <w:rFonts w:ascii="Arial" w:eastAsia="Times New Roman" w:hAnsi="Arial" w:cs="Arial"/>
          <w:color w:val="000000"/>
          <w:sz w:val="24"/>
          <w:szCs w:val="24"/>
        </w:rPr>
        <w:t>The auditors</w:t>
      </w:r>
      <w:r w:rsidRPr="004D579B">
        <w:rPr>
          <w:rFonts w:ascii="Arial" w:eastAsia="Times New Roman" w:hAnsi="Arial" w:cs="Arial"/>
          <w:color w:val="000000"/>
          <w:sz w:val="24"/>
          <w:szCs w:val="24"/>
        </w:rPr>
        <w:t xml:space="preserve"> compared the reliability target goals established for each of the FE-PA </w:t>
      </w:r>
      <w:r w:rsidR="00EA6436">
        <w:rPr>
          <w:rFonts w:ascii="Arial" w:eastAsia="Times New Roman" w:hAnsi="Arial" w:cs="Arial"/>
          <w:color w:val="000000"/>
          <w:sz w:val="24"/>
          <w:szCs w:val="24"/>
        </w:rPr>
        <w:t>c</w:t>
      </w:r>
      <w:r w:rsidRPr="004D579B">
        <w:rPr>
          <w:rFonts w:ascii="Arial" w:eastAsia="Times New Roman" w:hAnsi="Arial" w:cs="Arial"/>
          <w:color w:val="000000"/>
          <w:sz w:val="24"/>
          <w:szCs w:val="24"/>
        </w:rPr>
        <w:t xml:space="preserve">ompanies to the EEI survey data as well as the PUC benchmarks and standards.  </w:t>
      </w:r>
    </w:p>
    <w:p w14:paraId="44E83867" w14:textId="77777777" w:rsidR="00C52195" w:rsidRPr="004D579B" w:rsidRDefault="00C52195">
      <w:pPr>
        <w:autoSpaceDE w:val="0"/>
        <w:autoSpaceDN w:val="0"/>
        <w:adjustRightInd w:val="0"/>
        <w:spacing w:after="0" w:line="20" w:lineRule="atLeast"/>
        <w:rPr>
          <w:rFonts w:ascii="Arial" w:eastAsia="Times New Roman" w:hAnsi="Arial" w:cs="Arial"/>
          <w:color w:val="000000"/>
          <w:sz w:val="24"/>
          <w:szCs w:val="24"/>
        </w:rPr>
      </w:pPr>
      <w:r w:rsidRPr="00DA11CA">
        <w:rPr>
          <w:rFonts w:ascii="Arial" w:eastAsia="Times New Roman" w:hAnsi="Arial" w:cs="Arial"/>
          <w:color w:val="000000"/>
          <w:sz w:val="24"/>
          <w:szCs w:val="24"/>
        </w:rPr>
        <w:t xml:space="preserve">Although FEU utilized the EEI survey data for relative comparisons to industry performance, the auditors </w:t>
      </w:r>
      <w:r w:rsidRPr="00304297">
        <w:rPr>
          <w:rFonts w:ascii="Arial" w:eastAsia="Times New Roman" w:hAnsi="Arial" w:cs="Arial"/>
          <w:color w:val="000000"/>
          <w:sz w:val="24"/>
          <w:szCs w:val="24"/>
        </w:rPr>
        <w:t xml:space="preserve">focused primarily on the </w:t>
      </w:r>
      <w:r w:rsidR="00EA6436" w:rsidRPr="00304297">
        <w:rPr>
          <w:rFonts w:ascii="Arial" w:eastAsia="Times New Roman" w:hAnsi="Arial" w:cs="Arial"/>
          <w:color w:val="000000"/>
          <w:sz w:val="24"/>
          <w:szCs w:val="24"/>
        </w:rPr>
        <w:t xml:space="preserve">PUC </w:t>
      </w:r>
      <w:r w:rsidRPr="00304297">
        <w:rPr>
          <w:rFonts w:ascii="Arial" w:eastAsia="Times New Roman" w:hAnsi="Arial" w:cs="Arial"/>
          <w:color w:val="000000"/>
          <w:sz w:val="24"/>
          <w:szCs w:val="24"/>
        </w:rPr>
        <w:t>benchmarks</w:t>
      </w:r>
      <w:r w:rsidR="00EA6436" w:rsidRPr="00304297">
        <w:rPr>
          <w:rFonts w:ascii="Arial" w:eastAsia="Times New Roman" w:hAnsi="Arial" w:cs="Arial"/>
          <w:color w:val="000000"/>
          <w:sz w:val="24"/>
          <w:szCs w:val="24"/>
        </w:rPr>
        <w:t>.</w:t>
      </w:r>
      <w:r w:rsidRPr="00304297">
        <w:rPr>
          <w:rFonts w:ascii="Arial" w:eastAsia="Times New Roman" w:hAnsi="Arial" w:cs="Arial"/>
          <w:color w:val="000000"/>
          <w:sz w:val="24"/>
          <w:szCs w:val="24"/>
        </w:rPr>
        <w:t xml:space="preserve"> Benchmark performance represents the</w:t>
      </w:r>
      <w:r w:rsidRPr="004D579B">
        <w:rPr>
          <w:rFonts w:ascii="Arial" w:eastAsia="Times New Roman" w:hAnsi="Arial" w:cs="Arial"/>
          <w:color w:val="000000"/>
          <w:sz w:val="24"/>
          <w:szCs w:val="24"/>
        </w:rPr>
        <w:t xml:space="preserve"> average level of performance that existed prior to the restructuring of the electric utility industry and the PUC had a mandate to ensure the levels of reliability that were present prior to the restructuring of the electric utility industry would continue post restructuring</w:t>
      </w:r>
      <w:r w:rsidRPr="004D579B">
        <w:rPr>
          <w:rFonts w:ascii="Arial" w:eastAsia="Times New Roman" w:hAnsi="Arial" w:cs="Arial"/>
          <w:color w:val="000000"/>
          <w:sz w:val="16"/>
          <w:szCs w:val="16"/>
        </w:rPr>
        <w:t xml:space="preserve">.   </w:t>
      </w:r>
      <w:r w:rsidRPr="004D579B">
        <w:rPr>
          <w:rFonts w:ascii="Arial" w:eastAsia="Times New Roman" w:hAnsi="Arial" w:cs="Arial"/>
          <w:color w:val="000000"/>
          <w:sz w:val="24"/>
          <w:szCs w:val="24"/>
        </w:rPr>
        <w:t xml:space="preserve">Although the reliability target goals established for each of the FE-PA </w:t>
      </w:r>
      <w:r w:rsidR="00EA6436">
        <w:rPr>
          <w:rFonts w:ascii="Arial" w:eastAsia="Times New Roman" w:hAnsi="Arial" w:cs="Arial"/>
          <w:color w:val="000000"/>
          <w:sz w:val="24"/>
          <w:szCs w:val="24"/>
        </w:rPr>
        <w:t>c</w:t>
      </w:r>
      <w:r w:rsidRPr="004D579B">
        <w:rPr>
          <w:rFonts w:ascii="Arial" w:eastAsia="Times New Roman" w:hAnsi="Arial" w:cs="Arial"/>
          <w:color w:val="000000"/>
          <w:sz w:val="24"/>
          <w:szCs w:val="24"/>
        </w:rPr>
        <w:t>ompanies were within the range of the PUC benchmarks and minimum performance standards, the FE</w:t>
      </w:r>
      <w:r w:rsidRPr="004D579B">
        <w:rPr>
          <w:rFonts w:ascii="Arial" w:eastAsia="Times New Roman" w:hAnsi="Arial" w:cs="Arial"/>
          <w:color w:val="000000"/>
          <w:sz w:val="24"/>
          <w:szCs w:val="24"/>
        </w:rPr>
        <w:noBreakHyphen/>
        <w:t xml:space="preserve">PA </w:t>
      </w:r>
      <w:r w:rsidR="00EA6436">
        <w:rPr>
          <w:rFonts w:ascii="Arial" w:eastAsia="Times New Roman" w:hAnsi="Arial" w:cs="Arial"/>
          <w:color w:val="000000"/>
          <w:sz w:val="24"/>
          <w:szCs w:val="24"/>
        </w:rPr>
        <w:t>c</w:t>
      </w:r>
      <w:r w:rsidRPr="004D579B">
        <w:rPr>
          <w:rFonts w:ascii="Arial" w:eastAsia="Times New Roman" w:hAnsi="Arial" w:cs="Arial"/>
          <w:color w:val="000000"/>
          <w:sz w:val="24"/>
          <w:szCs w:val="24"/>
        </w:rPr>
        <w:t xml:space="preserve">ompanies should be striving toward benchmark performance, </w:t>
      </w:r>
      <w:r w:rsidR="00EA6436">
        <w:rPr>
          <w:rFonts w:ascii="Arial" w:eastAsia="Times New Roman" w:hAnsi="Arial" w:cs="Arial"/>
          <w:color w:val="000000"/>
          <w:sz w:val="24"/>
          <w:szCs w:val="24"/>
        </w:rPr>
        <w:t>because</w:t>
      </w:r>
      <w:r w:rsidR="00EA6436" w:rsidRPr="004D579B">
        <w:rPr>
          <w:rFonts w:ascii="Arial" w:eastAsia="Times New Roman" w:hAnsi="Arial" w:cs="Arial"/>
          <w:color w:val="000000"/>
          <w:sz w:val="24"/>
          <w:szCs w:val="24"/>
        </w:rPr>
        <w:t xml:space="preserve"> </w:t>
      </w:r>
      <w:r w:rsidRPr="004D579B">
        <w:rPr>
          <w:rFonts w:ascii="Arial" w:eastAsia="Times New Roman" w:hAnsi="Arial" w:cs="Arial"/>
          <w:color w:val="000000"/>
          <w:sz w:val="24"/>
          <w:szCs w:val="24"/>
        </w:rPr>
        <w:t xml:space="preserve">it represents the reliability performance that existed prior to restructuring.  In fact, some of the FE-PA </w:t>
      </w:r>
      <w:r w:rsidR="00C16747">
        <w:rPr>
          <w:rFonts w:ascii="Arial" w:eastAsia="Times New Roman" w:hAnsi="Arial" w:cs="Arial"/>
          <w:color w:val="000000"/>
          <w:sz w:val="24"/>
          <w:szCs w:val="24"/>
        </w:rPr>
        <w:t>c</w:t>
      </w:r>
      <w:r w:rsidRPr="004D579B">
        <w:rPr>
          <w:rFonts w:ascii="Arial" w:eastAsia="Times New Roman" w:hAnsi="Arial" w:cs="Arial"/>
          <w:color w:val="000000"/>
          <w:sz w:val="24"/>
          <w:szCs w:val="24"/>
        </w:rPr>
        <w:t>ompanies had not achieved one or more of their reliability target goals or the PUC’s minimum reliability standard for the period 2009-2013 (see Follow</w:t>
      </w:r>
      <w:r>
        <w:rPr>
          <w:rFonts w:ascii="Arial" w:eastAsia="Times New Roman" w:hAnsi="Arial" w:cs="Arial"/>
          <w:color w:val="000000"/>
          <w:sz w:val="24"/>
          <w:szCs w:val="24"/>
        </w:rPr>
        <w:noBreakHyphen/>
      </w:r>
      <w:r w:rsidRPr="004D579B">
        <w:rPr>
          <w:rFonts w:ascii="Arial" w:eastAsia="Times New Roman" w:hAnsi="Arial" w:cs="Arial"/>
          <w:color w:val="000000"/>
          <w:sz w:val="24"/>
          <w:szCs w:val="24"/>
        </w:rPr>
        <w:t>up Finding and Conclusion No. 1 in the Electric Operations chapter).</w:t>
      </w:r>
    </w:p>
    <w:p w14:paraId="1BC898B8" w14:textId="77777777" w:rsidR="00C52195" w:rsidRPr="004D579B" w:rsidRDefault="00C52195">
      <w:pPr>
        <w:autoSpaceDE w:val="0"/>
        <w:autoSpaceDN w:val="0"/>
        <w:adjustRightInd w:val="0"/>
        <w:spacing w:after="0" w:line="20" w:lineRule="atLeast"/>
        <w:ind w:firstLine="720"/>
        <w:rPr>
          <w:rFonts w:ascii="Arial" w:eastAsia="Times New Roman" w:hAnsi="Arial" w:cs="Arial"/>
          <w:color w:val="000000"/>
          <w:sz w:val="24"/>
          <w:szCs w:val="24"/>
        </w:rPr>
      </w:pPr>
    </w:p>
    <w:p w14:paraId="79978163" w14:textId="77777777" w:rsidR="00C52195" w:rsidRPr="004D579B" w:rsidRDefault="00C52195">
      <w:pPr>
        <w:autoSpaceDE w:val="0"/>
        <w:autoSpaceDN w:val="0"/>
        <w:adjustRightInd w:val="0"/>
        <w:spacing w:after="0" w:line="20" w:lineRule="atLeast"/>
        <w:ind w:firstLine="720"/>
        <w:rPr>
          <w:rFonts w:ascii="Arial" w:eastAsia="Times New Roman" w:hAnsi="Arial" w:cs="Arial"/>
          <w:color w:val="000000"/>
          <w:sz w:val="24"/>
          <w:szCs w:val="24"/>
        </w:rPr>
      </w:pPr>
      <w:r w:rsidRPr="004D579B">
        <w:rPr>
          <w:rFonts w:ascii="Arial" w:eastAsia="Times New Roman" w:hAnsi="Arial" w:cs="Arial"/>
          <w:color w:val="000000"/>
          <w:sz w:val="24"/>
          <w:szCs w:val="24"/>
        </w:rPr>
        <w:t xml:space="preserve">FEU </w:t>
      </w:r>
      <w:r w:rsidR="00134112">
        <w:rPr>
          <w:rFonts w:ascii="Arial" w:eastAsia="Times New Roman" w:hAnsi="Arial" w:cs="Arial"/>
          <w:color w:val="000000"/>
          <w:sz w:val="24"/>
          <w:szCs w:val="24"/>
        </w:rPr>
        <w:t xml:space="preserve">also </w:t>
      </w:r>
      <w:r w:rsidRPr="004D579B">
        <w:rPr>
          <w:rFonts w:ascii="Arial" w:eastAsia="Times New Roman" w:hAnsi="Arial" w:cs="Arial"/>
          <w:color w:val="000000"/>
          <w:sz w:val="24"/>
          <w:szCs w:val="24"/>
        </w:rPr>
        <w:t>measure</w:t>
      </w:r>
      <w:r w:rsidR="003D31A6">
        <w:rPr>
          <w:rFonts w:ascii="Arial" w:eastAsia="Times New Roman" w:hAnsi="Arial" w:cs="Arial"/>
          <w:color w:val="000000"/>
          <w:sz w:val="24"/>
          <w:szCs w:val="24"/>
        </w:rPr>
        <w:t>d</w:t>
      </w:r>
      <w:r w:rsidRPr="004D579B">
        <w:rPr>
          <w:rFonts w:ascii="Arial" w:eastAsia="Times New Roman" w:hAnsi="Arial" w:cs="Arial"/>
          <w:color w:val="000000"/>
          <w:sz w:val="24"/>
          <w:szCs w:val="24"/>
        </w:rPr>
        <w:t xml:space="preserve"> customer service objectives, and some of the metrics found in the ELT Reports to compare actual customer service performance to the stated target goals were also related to the PUC metrics for </w:t>
      </w:r>
      <w:r>
        <w:rPr>
          <w:rFonts w:ascii="Arial" w:eastAsia="Times New Roman" w:hAnsi="Arial" w:cs="Arial"/>
          <w:color w:val="000000"/>
          <w:sz w:val="24"/>
          <w:szCs w:val="24"/>
        </w:rPr>
        <w:t>m</w:t>
      </w:r>
      <w:r w:rsidRPr="004D579B">
        <w:rPr>
          <w:rFonts w:ascii="Arial" w:eastAsia="Times New Roman" w:hAnsi="Arial" w:cs="Arial"/>
          <w:color w:val="000000"/>
          <w:sz w:val="24"/>
          <w:szCs w:val="24"/>
        </w:rPr>
        <w:t xml:space="preserve">eters </w:t>
      </w:r>
      <w:r>
        <w:rPr>
          <w:rFonts w:ascii="Arial" w:eastAsia="Times New Roman" w:hAnsi="Arial" w:cs="Arial"/>
          <w:color w:val="000000"/>
          <w:sz w:val="24"/>
          <w:szCs w:val="24"/>
        </w:rPr>
        <w:t>n</w:t>
      </w:r>
      <w:r w:rsidRPr="004D579B">
        <w:rPr>
          <w:rFonts w:ascii="Arial" w:eastAsia="Times New Roman" w:hAnsi="Arial" w:cs="Arial"/>
          <w:color w:val="000000"/>
          <w:sz w:val="24"/>
          <w:szCs w:val="24"/>
        </w:rPr>
        <w:t xml:space="preserve">ot </w:t>
      </w:r>
      <w:r>
        <w:rPr>
          <w:rFonts w:ascii="Arial" w:eastAsia="Times New Roman" w:hAnsi="Arial" w:cs="Arial"/>
          <w:color w:val="000000"/>
          <w:sz w:val="24"/>
          <w:szCs w:val="24"/>
        </w:rPr>
        <w:t>r</w:t>
      </w:r>
      <w:r w:rsidRPr="004D579B">
        <w:rPr>
          <w:rFonts w:ascii="Arial" w:eastAsia="Times New Roman" w:hAnsi="Arial" w:cs="Arial"/>
          <w:color w:val="000000"/>
          <w:sz w:val="24"/>
          <w:szCs w:val="24"/>
        </w:rPr>
        <w:t xml:space="preserve">ead in </w:t>
      </w:r>
      <w:r>
        <w:rPr>
          <w:rFonts w:ascii="Arial" w:eastAsia="Times New Roman" w:hAnsi="Arial" w:cs="Arial"/>
          <w:color w:val="000000"/>
          <w:sz w:val="24"/>
          <w:szCs w:val="24"/>
        </w:rPr>
        <w:t>six</w:t>
      </w:r>
      <w:r w:rsidRPr="004D579B">
        <w:rPr>
          <w:rFonts w:ascii="Arial" w:eastAsia="Times New Roman" w:hAnsi="Arial" w:cs="Arial"/>
          <w:color w:val="000000"/>
          <w:sz w:val="24"/>
          <w:szCs w:val="24"/>
        </w:rPr>
        <w:t xml:space="preserve"> </w:t>
      </w:r>
      <w:r>
        <w:rPr>
          <w:rFonts w:ascii="Arial" w:eastAsia="Times New Roman" w:hAnsi="Arial" w:cs="Arial"/>
          <w:color w:val="000000"/>
          <w:sz w:val="24"/>
          <w:szCs w:val="24"/>
        </w:rPr>
        <w:t>m</w:t>
      </w:r>
      <w:r w:rsidRPr="004D579B">
        <w:rPr>
          <w:rFonts w:ascii="Arial" w:eastAsia="Times New Roman" w:hAnsi="Arial" w:cs="Arial"/>
          <w:color w:val="000000"/>
          <w:sz w:val="24"/>
          <w:szCs w:val="24"/>
        </w:rPr>
        <w:t xml:space="preserve">onths and </w:t>
      </w:r>
      <w:r>
        <w:rPr>
          <w:rFonts w:ascii="Arial" w:eastAsia="Times New Roman" w:hAnsi="Arial" w:cs="Arial"/>
          <w:color w:val="000000"/>
          <w:sz w:val="24"/>
          <w:szCs w:val="24"/>
        </w:rPr>
        <w:t>twelve</w:t>
      </w:r>
      <w:r w:rsidRPr="004D579B">
        <w:rPr>
          <w:rFonts w:ascii="Arial" w:eastAsia="Times New Roman" w:hAnsi="Arial" w:cs="Arial"/>
          <w:color w:val="000000"/>
          <w:sz w:val="24"/>
          <w:szCs w:val="24"/>
        </w:rPr>
        <w:t xml:space="preserve"> months.  Although the FE-PA </w:t>
      </w:r>
      <w:r w:rsidR="00C16747">
        <w:rPr>
          <w:rFonts w:ascii="Arial" w:eastAsia="Times New Roman" w:hAnsi="Arial" w:cs="Arial"/>
          <w:color w:val="000000"/>
          <w:sz w:val="24"/>
          <w:szCs w:val="24"/>
        </w:rPr>
        <w:t>c</w:t>
      </w:r>
      <w:r w:rsidRPr="004D579B">
        <w:rPr>
          <w:rFonts w:ascii="Arial" w:eastAsia="Times New Roman" w:hAnsi="Arial" w:cs="Arial"/>
          <w:color w:val="000000"/>
          <w:sz w:val="24"/>
          <w:szCs w:val="24"/>
        </w:rPr>
        <w:t xml:space="preserve">ompanies had been achieving the target goals for these two metrics (meter read rate and consecutive meter reading estimate rate), the FE-PA </w:t>
      </w:r>
      <w:r w:rsidR="00C16747">
        <w:rPr>
          <w:rFonts w:ascii="Arial" w:eastAsia="Times New Roman" w:hAnsi="Arial" w:cs="Arial"/>
          <w:color w:val="000000"/>
          <w:sz w:val="24"/>
          <w:szCs w:val="24"/>
        </w:rPr>
        <w:t>c</w:t>
      </w:r>
      <w:r w:rsidRPr="004D579B">
        <w:rPr>
          <w:rFonts w:ascii="Arial" w:eastAsia="Times New Roman" w:hAnsi="Arial" w:cs="Arial"/>
          <w:color w:val="000000"/>
          <w:sz w:val="24"/>
          <w:szCs w:val="24"/>
        </w:rPr>
        <w:t xml:space="preserve">ompanies did not have metrics associated with or monitor their regulatory compliance efforts with respect to PUC regulations for the number of meters not read in </w:t>
      </w:r>
      <w:r>
        <w:rPr>
          <w:rFonts w:ascii="Arial" w:eastAsia="Times New Roman" w:hAnsi="Arial" w:cs="Arial"/>
          <w:color w:val="000000"/>
          <w:sz w:val="24"/>
          <w:szCs w:val="24"/>
        </w:rPr>
        <w:t>six</w:t>
      </w:r>
      <w:r w:rsidRPr="004D579B">
        <w:rPr>
          <w:rFonts w:ascii="Arial" w:eastAsia="Times New Roman" w:hAnsi="Arial" w:cs="Arial"/>
          <w:color w:val="000000"/>
          <w:sz w:val="24"/>
          <w:szCs w:val="24"/>
        </w:rPr>
        <w:t xml:space="preserve"> month and </w:t>
      </w:r>
      <w:r w:rsidR="00F964AE">
        <w:rPr>
          <w:rFonts w:ascii="Arial" w:eastAsia="Times New Roman" w:hAnsi="Arial" w:cs="Arial"/>
          <w:color w:val="000000"/>
          <w:sz w:val="24"/>
          <w:szCs w:val="24"/>
        </w:rPr>
        <w:t>twelve</w:t>
      </w:r>
      <w:r w:rsidR="00F964AE" w:rsidRPr="004D579B">
        <w:rPr>
          <w:rFonts w:ascii="Arial" w:eastAsia="Times New Roman" w:hAnsi="Arial" w:cs="Arial"/>
          <w:color w:val="000000"/>
          <w:sz w:val="24"/>
          <w:szCs w:val="24"/>
        </w:rPr>
        <w:t>-month</w:t>
      </w:r>
      <w:r w:rsidRPr="004D579B">
        <w:rPr>
          <w:rFonts w:ascii="Arial" w:eastAsia="Times New Roman" w:hAnsi="Arial" w:cs="Arial"/>
          <w:color w:val="000000"/>
          <w:sz w:val="24"/>
          <w:szCs w:val="24"/>
        </w:rPr>
        <w:t xml:space="preserve"> intervals.  The FE-PA </w:t>
      </w:r>
      <w:r w:rsidR="00C16747">
        <w:rPr>
          <w:rFonts w:ascii="Arial" w:eastAsia="Times New Roman" w:hAnsi="Arial" w:cs="Arial"/>
          <w:color w:val="000000"/>
          <w:sz w:val="24"/>
          <w:szCs w:val="24"/>
        </w:rPr>
        <w:t>c</w:t>
      </w:r>
      <w:r w:rsidRPr="004D579B">
        <w:rPr>
          <w:rFonts w:ascii="Arial" w:eastAsia="Times New Roman" w:hAnsi="Arial" w:cs="Arial"/>
          <w:color w:val="000000"/>
          <w:sz w:val="24"/>
          <w:szCs w:val="24"/>
        </w:rPr>
        <w:t>ompanies (West Penn Power in particular) had not been meeting these requirements based on their reported performance to the PUC’s Bureau of Consumer Services (see Follow</w:t>
      </w:r>
      <w:r w:rsidRPr="004D579B">
        <w:rPr>
          <w:rFonts w:ascii="Arial" w:eastAsia="Times New Roman" w:hAnsi="Arial" w:cs="Arial"/>
          <w:color w:val="000000"/>
          <w:sz w:val="24"/>
          <w:szCs w:val="24"/>
        </w:rPr>
        <w:noBreakHyphen/>
        <w:t xml:space="preserve">up Finding and Conclusion No. 2 in the Customer Service chapter).  </w:t>
      </w:r>
    </w:p>
    <w:p w14:paraId="444BBC29" w14:textId="77777777" w:rsidR="00C52195" w:rsidRPr="004D579B" w:rsidRDefault="00C52195">
      <w:pPr>
        <w:autoSpaceDE w:val="0"/>
        <w:autoSpaceDN w:val="0"/>
        <w:adjustRightInd w:val="0"/>
        <w:spacing w:after="0" w:line="20" w:lineRule="atLeast"/>
        <w:ind w:firstLine="720"/>
        <w:rPr>
          <w:rFonts w:ascii="Arial" w:eastAsia="Times New Roman" w:hAnsi="Arial" w:cs="Arial"/>
          <w:color w:val="000000"/>
          <w:sz w:val="24"/>
          <w:szCs w:val="24"/>
        </w:rPr>
      </w:pPr>
    </w:p>
    <w:p w14:paraId="287E3ADA" w14:textId="77777777" w:rsidR="00C52195" w:rsidRDefault="00C52195">
      <w:pPr>
        <w:widowControl w:val="0"/>
        <w:spacing w:after="0" w:line="20" w:lineRule="atLeast"/>
        <w:ind w:firstLine="720"/>
        <w:contextualSpacing/>
        <w:rPr>
          <w:rFonts w:ascii="Arial" w:eastAsia="Times New Roman" w:hAnsi="Arial" w:cs="Arial"/>
          <w:snapToGrid w:val="0"/>
          <w:sz w:val="24"/>
          <w:szCs w:val="24"/>
        </w:rPr>
      </w:pPr>
      <w:r w:rsidRPr="004D579B">
        <w:rPr>
          <w:rFonts w:ascii="Arial" w:eastAsia="Times New Roman" w:hAnsi="Arial" w:cs="Arial"/>
          <w:snapToGrid w:val="0"/>
          <w:sz w:val="24"/>
          <w:szCs w:val="24"/>
        </w:rPr>
        <w:t xml:space="preserve">In each of these examples, the FE-PA </w:t>
      </w:r>
      <w:r w:rsidR="00C16747">
        <w:rPr>
          <w:rFonts w:ascii="Arial" w:eastAsia="Times New Roman" w:hAnsi="Arial" w:cs="Arial"/>
          <w:snapToGrid w:val="0"/>
          <w:sz w:val="24"/>
          <w:szCs w:val="24"/>
        </w:rPr>
        <w:t>c</w:t>
      </w:r>
      <w:r w:rsidRPr="004D579B">
        <w:rPr>
          <w:rFonts w:ascii="Arial" w:eastAsia="Times New Roman" w:hAnsi="Arial" w:cs="Arial"/>
          <w:snapToGrid w:val="0"/>
          <w:sz w:val="24"/>
          <w:szCs w:val="24"/>
        </w:rPr>
        <w:t xml:space="preserve">ompanies established target goals for various metrics </w:t>
      </w:r>
      <w:r w:rsidR="003D31A6">
        <w:rPr>
          <w:rFonts w:ascii="Arial" w:eastAsia="Times New Roman" w:hAnsi="Arial" w:cs="Arial"/>
          <w:snapToGrid w:val="0"/>
          <w:sz w:val="24"/>
          <w:szCs w:val="24"/>
        </w:rPr>
        <w:t>that fell short of</w:t>
      </w:r>
      <w:r w:rsidRPr="004D579B">
        <w:rPr>
          <w:rFonts w:ascii="Arial" w:eastAsia="Times New Roman" w:hAnsi="Arial" w:cs="Arial"/>
          <w:snapToGrid w:val="0"/>
          <w:sz w:val="24"/>
          <w:szCs w:val="24"/>
        </w:rPr>
        <w:t xml:space="preserve"> stated objectives and/or compli</w:t>
      </w:r>
      <w:r w:rsidR="003D31A6">
        <w:rPr>
          <w:rFonts w:ascii="Arial" w:eastAsia="Times New Roman" w:hAnsi="Arial" w:cs="Arial"/>
          <w:snapToGrid w:val="0"/>
          <w:sz w:val="24"/>
          <w:szCs w:val="24"/>
        </w:rPr>
        <w:t>ance</w:t>
      </w:r>
      <w:r w:rsidRPr="004D579B">
        <w:rPr>
          <w:rFonts w:ascii="Arial" w:eastAsia="Times New Roman" w:hAnsi="Arial" w:cs="Arial"/>
          <w:snapToGrid w:val="0"/>
          <w:sz w:val="24"/>
          <w:szCs w:val="24"/>
        </w:rPr>
        <w:t xml:space="preserve"> with regulatory requirements.  Furthermore, compensation incentives for individuals were associated with these target goals thus creating the appearance of a culture in which underperformance was pervasive, acceptable, and rewarded.</w:t>
      </w:r>
    </w:p>
    <w:p w14:paraId="0DA47B64" w14:textId="77777777" w:rsidR="00C52195" w:rsidRDefault="00C52195">
      <w:pPr>
        <w:spacing w:after="0" w:line="20" w:lineRule="atLeast"/>
        <w:rPr>
          <w:rFonts w:ascii="Arial" w:eastAsia="Times New Roman" w:hAnsi="Arial" w:cs="Arial"/>
          <w:b/>
          <w:snapToGrid w:val="0"/>
          <w:sz w:val="24"/>
          <w:szCs w:val="20"/>
          <w:u w:val="single"/>
        </w:rPr>
      </w:pPr>
    </w:p>
    <w:p w14:paraId="7A1E55A9" w14:textId="77777777" w:rsidR="002E4209" w:rsidRDefault="00C52195" w:rsidP="006D3B6C">
      <w:pPr>
        <w:spacing w:after="0" w:line="240" w:lineRule="auto"/>
        <w:rPr>
          <w:rFonts w:ascii="Arial" w:eastAsia="Times New Roman" w:hAnsi="Arial" w:cs="Times New Roman"/>
          <w:sz w:val="24"/>
          <w:szCs w:val="24"/>
        </w:rPr>
      </w:pPr>
      <w:r w:rsidRPr="004D579B">
        <w:rPr>
          <w:rFonts w:ascii="Arial" w:eastAsia="Times New Roman" w:hAnsi="Arial" w:cs="Arial"/>
          <w:b/>
          <w:snapToGrid w:val="0"/>
          <w:sz w:val="24"/>
          <w:szCs w:val="20"/>
          <w:u w:val="single"/>
        </w:rPr>
        <w:t>Prior Recommendation</w:t>
      </w:r>
      <w:r w:rsidRPr="004D579B">
        <w:rPr>
          <w:rFonts w:ascii="Arial" w:eastAsia="Times New Roman" w:hAnsi="Arial" w:cs="Arial"/>
          <w:snapToGrid w:val="0"/>
          <w:sz w:val="24"/>
          <w:szCs w:val="20"/>
        </w:rPr>
        <w:t xml:space="preserve"> </w:t>
      </w:r>
      <w:r w:rsidRPr="00A67D31">
        <w:rPr>
          <w:rFonts w:ascii="Arial" w:eastAsia="Times New Roman" w:hAnsi="Arial" w:cs="Times New Roman"/>
          <w:sz w:val="24"/>
          <w:szCs w:val="24"/>
        </w:rPr>
        <w:t>–</w:t>
      </w:r>
      <w:r>
        <w:rPr>
          <w:rFonts w:ascii="Arial" w:eastAsia="Times New Roman" w:hAnsi="Arial" w:cs="Times New Roman"/>
          <w:sz w:val="24"/>
          <w:szCs w:val="24"/>
        </w:rPr>
        <w:t xml:space="preserve"> </w:t>
      </w:r>
      <w:r w:rsidRPr="004D579B">
        <w:rPr>
          <w:rFonts w:ascii="Arial" w:eastAsia="Times New Roman" w:hAnsi="Arial" w:cs="Times New Roman"/>
          <w:sz w:val="24"/>
          <w:szCs w:val="24"/>
        </w:rPr>
        <w:t>Establish target goals for metrics used in the Executive Leadership Team Reports and/or Key Performance Indicators that are linked to the FE</w:t>
      </w:r>
      <w:r>
        <w:rPr>
          <w:rFonts w:ascii="Arial" w:eastAsia="Times New Roman" w:hAnsi="Arial" w:cs="Times New Roman"/>
          <w:sz w:val="24"/>
          <w:szCs w:val="24"/>
        </w:rPr>
        <w:noBreakHyphen/>
      </w:r>
      <w:r w:rsidRPr="004D579B">
        <w:rPr>
          <w:rFonts w:ascii="Arial" w:eastAsia="Times New Roman" w:hAnsi="Arial" w:cs="Times New Roman"/>
          <w:sz w:val="24"/>
          <w:szCs w:val="24"/>
        </w:rPr>
        <w:t xml:space="preserve">PA </w:t>
      </w:r>
      <w:r w:rsidR="003D31A6">
        <w:rPr>
          <w:rFonts w:ascii="Arial" w:eastAsia="Times New Roman" w:hAnsi="Arial" w:cs="Times New Roman"/>
          <w:sz w:val="24"/>
          <w:szCs w:val="24"/>
        </w:rPr>
        <w:t>c</w:t>
      </w:r>
      <w:r w:rsidRPr="004D579B">
        <w:rPr>
          <w:rFonts w:ascii="Arial" w:eastAsia="Times New Roman" w:hAnsi="Arial" w:cs="Times New Roman"/>
          <w:sz w:val="24"/>
          <w:szCs w:val="24"/>
        </w:rPr>
        <w:t>ompanies stated performance objectives and/or other regulatory requirements.</w:t>
      </w:r>
    </w:p>
    <w:p w14:paraId="78C92648" w14:textId="77777777" w:rsidR="000746EF" w:rsidRDefault="000746EF" w:rsidP="00116820">
      <w:pPr>
        <w:spacing w:after="0"/>
        <w:rPr>
          <w:rFonts w:ascii="Arial" w:eastAsia="Times New Roman" w:hAnsi="Arial" w:cs="Times New Roman"/>
          <w:sz w:val="24"/>
          <w:szCs w:val="24"/>
        </w:rPr>
      </w:pPr>
    </w:p>
    <w:p w14:paraId="57CE9BF4" w14:textId="77777777" w:rsidR="00C52195" w:rsidRPr="000624FA" w:rsidRDefault="00C52195" w:rsidP="006D3B6C">
      <w:pPr>
        <w:spacing w:after="0" w:line="240" w:lineRule="auto"/>
        <w:rPr>
          <w:rFonts w:ascii="Arial" w:eastAsia="Times New Roman" w:hAnsi="Arial" w:cs="Times New Roman"/>
          <w:b/>
          <w:sz w:val="24"/>
          <w:szCs w:val="24"/>
          <w:u w:val="single"/>
        </w:rPr>
      </w:pPr>
      <w:r w:rsidRPr="00B146D6">
        <w:rPr>
          <w:rFonts w:ascii="Arial" w:eastAsia="Times New Roman" w:hAnsi="Arial" w:cs="Times New Roman"/>
          <w:b/>
          <w:sz w:val="24"/>
          <w:szCs w:val="24"/>
          <w:u w:val="single"/>
        </w:rPr>
        <w:t>Follow-</w:t>
      </w:r>
      <w:r>
        <w:rPr>
          <w:rFonts w:ascii="Arial" w:eastAsia="Times New Roman" w:hAnsi="Arial" w:cs="Times New Roman"/>
          <w:b/>
          <w:sz w:val="24"/>
          <w:szCs w:val="24"/>
          <w:u w:val="single"/>
        </w:rPr>
        <w:t xml:space="preserve">up Finding and Conclusion No. </w:t>
      </w:r>
      <w:r w:rsidR="00A5506C">
        <w:rPr>
          <w:rFonts w:ascii="Arial" w:eastAsia="Times New Roman" w:hAnsi="Arial" w:cs="Times New Roman"/>
          <w:b/>
          <w:sz w:val="24"/>
          <w:szCs w:val="24"/>
          <w:u w:val="single"/>
        </w:rPr>
        <w:t>III</w:t>
      </w:r>
      <w:r w:rsidRPr="00B146D6">
        <w:rPr>
          <w:rFonts w:ascii="Arial" w:eastAsia="Times New Roman" w:hAnsi="Arial" w:cs="Times New Roman"/>
          <w:b/>
          <w:sz w:val="24"/>
          <w:szCs w:val="24"/>
          <w:u w:val="single"/>
        </w:rPr>
        <w:t>-</w:t>
      </w:r>
      <w:r w:rsidRPr="00A67D31">
        <w:rPr>
          <w:rFonts w:ascii="Arial" w:eastAsia="Times New Roman" w:hAnsi="Arial" w:cs="Times New Roman"/>
          <w:b/>
          <w:sz w:val="24"/>
          <w:szCs w:val="24"/>
          <w:u w:val="single"/>
        </w:rPr>
        <w:t>1</w:t>
      </w:r>
      <w:r w:rsidRPr="00A67D31">
        <w:rPr>
          <w:rFonts w:ascii="Arial" w:eastAsia="Times New Roman" w:hAnsi="Arial" w:cs="Times New Roman"/>
          <w:b/>
          <w:sz w:val="24"/>
          <w:szCs w:val="24"/>
        </w:rPr>
        <w:t xml:space="preserve"> – </w:t>
      </w:r>
      <w:r>
        <w:rPr>
          <w:rFonts w:ascii="Arial" w:eastAsia="Times New Roman" w:hAnsi="Arial" w:cs="Times New Roman"/>
          <w:b/>
          <w:sz w:val="24"/>
          <w:szCs w:val="24"/>
        </w:rPr>
        <w:t xml:space="preserve">FE-PA </w:t>
      </w:r>
      <w:r w:rsidR="003D31A6">
        <w:rPr>
          <w:rFonts w:ascii="Arial" w:eastAsia="Times New Roman" w:hAnsi="Arial" w:cs="Times New Roman"/>
          <w:b/>
          <w:sz w:val="24"/>
          <w:szCs w:val="24"/>
        </w:rPr>
        <w:t>c</w:t>
      </w:r>
      <w:r>
        <w:rPr>
          <w:rFonts w:ascii="Arial" w:eastAsia="Times New Roman" w:hAnsi="Arial" w:cs="Times New Roman"/>
          <w:b/>
          <w:sz w:val="24"/>
          <w:szCs w:val="24"/>
        </w:rPr>
        <w:t xml:space="preserve">ompanies have not met </w:t>
      </w:r>
      <w:r w:rsidR="003D31A6">
        <w:rPr>
          <w:rFonts w:ascii="Arial" w:eastAsia="Times New Roman" w:hAnsi="Arial" w:cs="Times New Roman"/>
          <w:b/>
          <w:sz w:val="24"/>
          <w:szCs w:val="24"/>
        </w:rPr>
        <w:t xml:space="preserve">all </w:t>
      </w:r>
      <w:r>
        <w:rPr>
          <w:rFonts w:ascii="Arial" w:eastAsia="Times New Roman" w:hAnsi="Arial" w:cs="Times New Roman"/>
          <w:b/>
          <w:sz w:val="24"/>
          <w:szCs w:val="24"/>
        </w:rPr>
        <w:t xml:space="preserve">established target goals nor have </w:t>
      </w:r>
      <w:r w:rsidRPr="008C2BF6">
        <w:rPr>
          <w:rFonts w:ascii="Arial" w:eastAsia="Times New Roman" w:hAnsi="Arial" w:cs="Arial"/>
          <w:b/>
          <w:snapToGrid w:val="0"/>
          <w:sz w:val="24"/>
          <w:szCs w:val="20"/>
        </w:rPr>
        <w:t xml:space="preserve">goals </w:t>
      </w:r>
      <w:r>
        <w:rPr>
          <w:rFonts w:ascii="Arial" w:eastAsia="Times New Roman" w:hAnsi="Arial" w:cs="Arial"/>
          <w:b/>
          <w:snapToGrid w:val="0"/>
          <w:sz w:val="24"/>
          <w:szCs w:val="20"/>
        </w:rPr>
        <w:t xml:space="preserve">been established </w:t>
      </w:r>
      <w:r w:rsidR="006E519A">
        <w:rPr>
          <w:rFonts w:ascii="Arial" w:eastAsia="Times New Roman" w:hAnsi="Arial" w:cs="Arial"/>
          <w:b/>
          <w:snapToGrid w:val="0"/>
          <w:sz w:val="24"/>
          <w:szCs w:val="20"/>
        </w:rPr>
        <w:t>to</w:t>
      </w:r>
      <w:r>
        <w:rPr>
          <w:rFonts w:ascii="Arial" w:eastAsia="Times New Roman" w:hAnsi="Arial" w:cs="Arial"/>
          <w:b/>
          <w:snapToGrid w:val="0"/>
          <w:sz w:val="24"/>
          <w:szCs w:val="20"/>
        </w:rPr>
        <w:t xml:space="preserve"> me</w:t>
      </w:r>
      <w:r w:rsidR="006E519A">
        <w:rPr>
          <w:rFonts w:ascii="Arial" w:eastAsia="Times New Roman" w:hAnsi="Arial" w:cs="Arial"/>
          <w:b/>
          <w:snapToGrid w:val="0"/>
          <w:sz w:val="24"/>
          <w:szCs w:val="20"/>
        </w:rPr>
        <w:t>e</w:t>
      </w:r>
      <w:r>
        <w:rPr>
          <w:rFonts w:ascii="Arial" w:eastAsia="Times New Roman" w:hAnsi="Arial" w:cs="Arial"/>
          <w:b/>
          <w:snapToGrid w:val="0"/>
          <w:sz w:val="24"/>
          <w:szCs w:val="20"/>
        </w:rPr>
        <w:t xml:space="preserve">t regulatory requirements </w:t>
      </w:r>
      <w:r w:rsidRPr="008C2BF6">
        <w:rPr>
          <w:rFonts w:ascii="Arial" w:eastAsia="Times New Roman" w:hAnsi="Arial" w:cs="Arial"/>
          <w:b/>
          <w:snapToGrid w:val="0"/>
          <w:sz w:val="24"/>
          <w:szCs w:val="20"/>
        </w:rPr>
        <w:t>for various metrics</w:t>
      </w:r>
      <w:r w:rsidRPr="004D579B">
        <w:rPr>
          <w:rFonts w:ascii="Arial" w:eastAsia="Times New Roman" w:hAnsi="Arial" w:cs="Arial"/>
          <w:b/>
          <w:snapToGrid w:val="0"/>
          <w:sz w:val="24"/>
          <w:szCs w:val="20"/>
        </w:rPr>
        <w:t>.</w:t>
      </w:r>
      <w:bookmarkStart w:id="4" w:name="_GoBack"/>
      <w:bookmarkEnd w:id="4"/>
    </w:p>
    <w:p w14:paraId="2C41CCF6" w14:textId="77777777" w:rsidR="00C52195" w:rsidRDefault="00C52195" w:rsidP="000746EF">
      <w:pPr>
        <w:widowControl w:val="0"/>
        <w:spacing w:after="0" w:line="240" w:lineRule="auto"/>
        <w:rPr>
          <w:rFonts w:ascii="Arial" w:eastAsia="Times New Roman" w:hAnsi="Arial" w:cs="Arial"/>
          <w:b/>
          <w:snapToGrid w:val="0"/>
          <w:sz w:val="24"/>
          <w:szCs w:val="20"/>
          <w:u w:val="single"/>
        </w:rPr>
      </w:pPr>
    </w:p>
    <w:p w14:paraId="7360D3BA" w14:textId="77777777" w:rsidR="00C52195" w:rsidRPr="004D579B" w:rsidRDefault="00C52195" w:rsidP="000746EF">
      <w:pPr>
        <w:widowControl w:val="0"/>
        <w:spacing w:after="0" w:line="240" w:lineRule="auto"/>
        <w:rPr>
          <w:rFonts w:ascii="Arial" w:eastAsia="Times New Roman" w:hAnsi="Arial" w:cs="Arial"/>
          <w:snapToGrid w:val="0"/>
          <w:sz w:val="24"/>
          <w:szCs w:val="20"/>
        </w:rPr>
      </w:pPr>
      <w:r w:rsidRPr="000624FA">
        <w:rPr>
          <w:rFonts w:ascii="Arial" w:eastAsia="Times New Roman" w:hAnsi="Arial" w:cs="Arial"/>
          <w:b/>
          <w:snapToGrid w:val="0"/>
          <w:sz w:val="24"/>
          <w:szCs w:val="20"/>
          <w:u w:val="single"/>
        </w:rPr>
        <w:t>Current Review</w:t>
      </w:r>
      <w:r>
        <w:rPr>
          <w:rFonts w:ascii="Arial" w:eastAsia="Times New Roman" w:hAnsi="Arial" w:cs="Arial"/>
          <w:b/>
          <w:snapToGrid w:val="0"/>
          <w:sz w:val="24"/>
          <w:szCs w:val="20"/>
        </w:rPr>
        <w:t xml:space="preserve"> </w:t>
      </w:r>
      <w:r w:rsidRPr="005C7246">
        <w:rPr>
          <w:rFonts w:ascii="Arial" w:eastAsia="Times New Roman" w:hAnsi="Arial" w:cs="Arial"/>
          <w:snapToGrid w:val="0"/>
          <w:sz w:val="24"/>
          <w:szCs w:val="20"/>
        </w:rPr>
        <w:t xml:space="preserve">– </w:t>
      </w:r>
      <w:r>
        <w:rPr>
          <w:rFonts w:ascii="Arial" w:eastAsia="Times New Roman" w:hAnsi="Arial" w:cs="Arial"/>
          <w:snapToGrid w:val="0"/>
          <w:sz w:val="24"/>
          <w:szCs w:val="20"/>
        </w:rPr>
        <w:t>In 2015, Pennsylvania Management Reports (PMR)</w:t>
      </w:r>
      <w:r w:rsidRPr="004D579B">
        <w:rPr>
          <w:rFonts w:ascii="Arial" w:eastAsia="Times New Roman" w:hAnsi="Arial" w:cs="Arial"/>
          <w:snapToGrid w:val="0"/>
          <w:sz w:val="24"/>
          <w:szCs w:val="20"/>
        </w:rPr>
        <w:t xml:space="preserve"> were established </w:t>
      </w:r>
      <w:r w:rsidR="000746EF">
        <w:rPr>
          <w:rFonts w:ascii="Arial" w:eastAsia="Times New Roman" w:hAnsi="Arial" w:cs="Arial"/>
          <w:snapToGrid w:val="0"/>
          <w:sz w:val="24"/>
          <w:szCs w:val="20"/>
        </w:rPr>
        <w:t xml:space="preserve">by the FE-PA companies </w:t>
      </w:r>
      <w:r w:rsidRPr="004D579B">
        <w:rPr>
          <w:rFonts w:ascii="Arial" w:eastAsia="Times New Roman" w:hAnsi="Arial" w:cs="Arial"/>
          <w:snapToGrid w:val="0"/>
          <w:sz w:val="24"/>
          <w:szCs w:val="20"/>
        </w:rPr>
        <w:t xml:space="preserve">to address specific performance objectives and other regulatory requirements to be reviewed in conjunction with the </w:t>
      </w:r>
      <w:r>
        <w:rPr>
          <w:rFonts w:ascii="Arial" w:eastAsia="Times New Roman" w:hAnsi="Arial" w:cs="Arial"/>
          <w:snapToGrid w:val="0"/>
          <w:sz w:val="24"/>
          <w:szCs w:val="20"/>
        </w:rPr>
        <w:t>ELT Reports</w:t>
      </w:r>
      <w:r w:rsidRPr="004D579B">
        <w:rPr>
          <w:rFonts w:ascii="Arial" w:eastAsia="Times New Roman" w:hAnsi="Arial" w:cs="Arial"/>
          <w:snapToGrid w:val="0"/>
          <w:sz w:val="24"/>
          <w:szCs w:val="20"/>
        </w:rPr>
        <w:t xml:space="preserve">.  Based on the various stages of development of the PMRs, the reports became available </w:t>
      </w:r>
      <w:r>
        <w:rPr>
          <w:rFonts w:ascii="Arial" w:eastAsia="Times New Roman" w:hAnsi="Arial" w:cs="Arial"/>
          <w:snapToGrid w:val="0"/>
          <w:sz w:val="24"/>
          <w:szCs w:val="20"/>
        </w:rPr>
        <w:t>in 2015, along with target</w:t>
      </w:r>
      <w:r w:rsidR="003E47F9">
        <w:rPr>
          <w:rFonts w:ascii="Arial" w:eastAsia="Times New Roman" w:hAnsi="Arial" w:cs="Arial"/>
          <w:snapToGrid w:val="0"/>
          <w:sz w:val="24"/>
          <w:szCs w:val="20"/>
        </w:rPr>
        <w:t xml:space="preserve"> goal</w:t>
      </w:r>
      <w:r>
        <w:rPr>
          <w:rFonts w:ascii="Arial" w:eastAsia="Times New Roman" w:hAnsi="Arial" w:cs="Arial"/>
          <w:snapToGrid w:val="0"/>
          <w:sz w:val="24"/>
          <w:szCs w:val="20"/>
        </w:rPr>
        <w:t>s and performance for each metric.</w:t>
      </w:r>
      <w:r w:rsidR="003E47F9">
        <w:rPr>
          <w:rFonts w:ascii="Arial" w:eastAsia="Times New Roman" w:hAnsi="Arial" w:cs="Arial"/>
          <w:snapToGrid w:val="0"/>
          <w:sz w:val="24"/>
          <w:szCs w:val="20"/>
        </w:rPr>
        <w:t xml:space="preserve">  Exhibit III-1 shows a list of the various performance objectives developed in the PMRs</w:t>
      </w:r>
      <w:r w:rsidR="00485BF7">
        <w:rPr>
          <w:rFonts w:ascii="Arial" w:eastAsia="Times New Roman" w:hAnsi="Arial" w:cs="Arial"/>
          <w:snapToGrid w:val="0"/>
          <w:sz w:val="24"/>
          <w:szCs w:val="20"/>
        </w:rPr>
        <w:t xml:space="preserve"> and ELT Reports</w:t>
      </w:r>
      <w:r w:rsidR="003E47F9">
        <w:rPr>
          <w:rFonts w:ascii="Arial" w:eastAsia="Times New Roman" w:hAnsi="Arial" w:cs="Arial"/>
          <w:snapToGrid w:val="0"/>
          <w:sz w:val="24"/>
          <w:szCs w:val="20"/>
        </w:rPr>
        <w:t xml:space="preserve"> from 2015 to 2017</w:t>
      </w:r>
      <w:r w:rsidR="00485BF7">
        <w:rPr>
          <w:rFonts w:ascii="Arial" w:eastAsia="Times New Roman" w:hAnsi="Arial" w:cs="Arial"/>
          <w:snapToGrid w:val="0"/>
          <w:sz w:val="24"/>
          <w:szCs w:val="20"/>
        </w:rPr>
        <w:t xml:space="preserve"> </w:t>
      </w:r>
      <w:r w:rsidR="003E47F9">
        <w:rPr>
          <w:rFonts w:ascii="Arial" w:eastAsia="Times New Roman" w:hAnsi="Arial" w:cs="Arial"/>
          <w:snapToGrid w:val="0"/>
          <w:sz w:val="24"/>
          <w:szCs w:val="20"/>
        </w:rPr>
        <w:t>along with the target goals established for 2017 and performance summaries.  Any target goal that does not meet the performance level of a</w:t>
      </w:r>
      <w:r w:rsidR="00E05417">
        <w:rPr>
          <w:rFonts w:ascii="Arial" w:eastAsia="Times New Roman" w:hAnsi="Arial" w:cs="Arial"/>
          <w:snapToGrid w:val="0"/>
          <w:sz w:val="24"/>
          <w:szCs w:val="20"/>
        </w:rPr>
        <w:t>ny applicable</w:t>
      </w:r>
      <w:r w:rsidR="003E47F9">
        <w:rPr>
          <w:rFonts w:ascii="Arial" w:eastAsia="Times New Roman" w:hAnsi="Arial" w:cs="Arial"/>
          <w:snapToGrid w:val="0"/>
          <w:sz w:val="24"/>
          <w:szCs w:val="20"/>
        </w:rPr>
        <w:t xml:space="preserve"> PUC requirement is shown in red.  Those that meet PUC requirements are shown in green.</w:t>
      </w:r>
      <w:r>
        <w:rPr>
          <w:rFonts w:ascii="Arial" w:eastAsia="Times New Roman" w:hAnsi="Arial" w:cs="Arial"/>
          <w:snapToGrid w:val="0"/>
          <w:sz w:val="24"/>
          <w:szCs w:val="20"/>
        </w:rPr>
        <w:t xml:space="preserve"> </w:t>
      </w:r>
    </w:p>
    <w:p w14:paraId="64A78905" w14:textId="77777777" w:rsidR="00F26C22" w:rsidRDefault="00F26C22" w:rsidP="00AE2EF4">
      <w:pPr>
        <w:widowControl w:val="0"/>
        <w:spacing w:after="0" w:line="240" w:lineRule="auto"/>
        <w:jc w:val="center"/>
        <w:rPr>
          <w:rFonts w:ascii="Arial" w:eastAsia="Times New Roman" w:hAnsi="Arial" w:cs="Arial"/>
          <w:snapToGrid w:val="0"/>
          <w:sz w:val="24"/>
          <w:szCs w:val="20"/>
        </w:rPr>
      </w:pPr>
    </w:p>
    <w:p w14:paraId="0A4067CD" w14:textId="77777777" w:rsidR="00C52195" w:rsidRPr="004D579B" w:rsidRDefault="00C52195" w:rsidP="000746EF">
      <w:pPr>
        <w:widowControl w:val="0"/>
        <w:spacing w:after="0" w:line="240" w:lineRule="auto"/>
        <w:ind w:firstLine="720"/>
        <w:rPr>
          <w:rFonts w:ascii="Arial" w:eastAsia="Times New Roman" w:hAnsi="Arial" w:cs="Arial"/>
          <w:snapToGrid w:val="0"/>
          <w:sz w:val="24"/>
          <w:szCs w:val="20"/>
        </w:rPr>
      </w:pPr>
      <w:r w:rsidRPr="004D579B">
        <w:rPr>
          <w:rFonts w:ascii="Arial" w:eastAsia="Times New Roman" w:hAnsi="Arial" w:cs="Arial"/>
          <w:snapToGrid w:val="0"/>
          <w:sz w:val="24"/>
          <w:szCs w:val="20"/>
        </w:rPr>
        <w:t xml:space="preserve">Each year, KPIs are developed in partnership with FirstEnergy’s Investor Relations and business unit management to measure how well FirstEnergy is achieving its corporate strategy. </w:t>
      </w:r>
      <w:r w:rsidR="00045A6D">
        <w:rPr>
          <w:rFonts w:ascii="Arial" w:eastAsia="Times New Roman" w:hAnsi="Arial" w:cs="Arial"/>
          <w:snapToGrid w:val="0"/>
          <w:sz w:val="24"/>
          <w:szCs w:val="20"/>
        </w:rPr>
        <w:t xml:space="preserve">As previously stated, the KPIs have </w:t>
      </w:r>
      <w:r w:rsidR="00045A6D" w:rsidRPr="004D579B">
        <w:rPr>
          <w:rFonts w:ascii="Arial" w:eastAsia="Times New Roman" w:hAnsi="Arial" w:cs="Arial"/>
          <w:color w:val="000000"/>
          <w:sz w:val="24"/>
          <w:szCs w:val="24"/>
        </w:rPr>
        <w:t xml:space="preserve">threshold, target and stretch goals linked to employee incentive pay.  </w:t>
      </w:r>
      <w:r w:rsidRPr="004D579B">
        <w:rPr>
          <w:rFonts w:ascii="Arial" w:eastAsia="Times New Roman" w:hAnsi="Arial" w:cs="Arial"/>
          <w:snapToGrid w:val="0"/>
          <w:sz w:val="24"/>
          <w:szCs w:val="20"/>
        </w:rPr>
        <w:t>The 2017 KPIs were benchmarked to utility industry data, when available, to develop goal levels which specifically compare FirstEnergy</w:t>
      </w:r>
      <w:r>
        <w:rPr>
          <w:rFonts w:ascii="Arial" w:eastAsia="Times New Roman" w:hAnsi="Arial" w:cs="Arial"/>
          <w:snapToGrid w:val="0"/>
          <w:sz w:val="24"/>
          <w:szCs w:val="20"/>
        </w:rPr>
        <w:t>’s</w:t>
      </w:r>
      <w:r w:rsidRPr="004D579B">
        <w:rPr>
          <w:rFonts w:ascii="Arial" w:eastAsia="Times New Roman" w:hAnsi="Arial" w:cs="Arial"/>
          <w:snapToGrid w:val="0"/>
          <w:sz w:val="24"/>
          <w:szCs w:val="20"/>
        </w:rPr>
        <w:t xml:space="preserve"> performance against industry standards.  Upon the completion of the development process, the KPIs are approved by the Compensation Committee of the Board of Directors.</w:t>
      </w:r>
    </w:p>
    <w:p w14:paraId="63DAD4EC" w14:textId="77777777" w:rsidR="00C52195" w:rsidRPr="004D579B" w:rsidRDefault="00C52195" w:rsidP="000746EF">
      <w:pPr>
        <w:widowControl w:val="0"/>
        <w:spacing w:after="0" w:line="240" w:lineRule="auto"/>
        <w:rPr>
          <w:rFonts w:ascii="Arial" w:eastAsia="Times New Roman" w:hAnsi="Arial" w:cs="Arial"/>
          <w:snapToGrid w:val="0"/>
          <w:sz w:val="24"/>
          <w:szCs w:val="20"/>
        </w:rPr>
      </w:pPr>
    </w:p>
    <w:p w14:paraId="5D275D71" w14:textId="77777777" w:rsidR="00C52195" w:rsidRPr="004D579B" w:rsidRDefault="00C52195" w:rsidP="000746EF">
      <w:pPr>
        <w:widowControl w:val="0"/>
        <w:spacing w:after="0" w:line="240" w:lineRule="auto"/>
        <w:ind w:firstLine="720"/>
        <w:rPr>
          <w:rFonts w:ascii="Arial" w:eastAsia="Times New Roman" w:hAnsi="Arial" w:cs="Arial"/>
          <w:snapToGrid w:val="0"/>
          <w:sz w:val="24"/>
          <w:szCs w:val="20"/>
        </w:rPr>
      </w:pPr>
      <w:r w:rsidRPr="004D579B">
        <w:rPr>
          <w:rFonts w:ascii="Arial" w:eastAsia="Times New Roman" w:hAnsi="Arial" w:cs="Arial"/>
          <w:snapToGrid w:val="0"/>
          <w:sz w:val="24"/>
          <w:szCs w:val="20"/>
        </w:rPr>
        <w:t xml:space="preserve">Additionally, Investor Relations and business unit management develop KPIs that are specific to each of the FE-PA </w:t>
      </w:r>
      <w:r w:rsidR="00DC1251">
        <w:rPr>
          <w:rFonts w:ascii="Arial" w:eastAsia="Times New Roman" w:hAnsi="Arial" w:cs="Arial"/>
          <w:snapToGrid w:val="0"/>
          <w:sz w:val="24"/>
          <w:szCs w:val="20"/>
        </w:rPr>
        <w:t>c</w:t>
      </w:r>
      <w:r w:rsidRPr="004D579B">
        <w:rPr>
          <w:rFonts w:ascii="Arial" w:eastAsia="Times New Roman" w:hAnsi="Arial" w:cs="Arial"/>
          <w:snapToGrid w:val="0"/>
          <w:sz w:val="24"/>
          <w:szCs w:val="20"/>
        </w:rPr>
        <w:t>ompanies’ operational performance.  These KPIs are OSHA</w:t>
      </w:r>
      <w:r w:rsidR="001778F4">
        <w:rPr>
          <w:rFonts w:ascii="Arial" w:eastAsia="Times New Roman" w:hAnsi="Arial" w:cs="Arial"/>
          <w:snapToGrid w:val="0"/>
          <w:sz w:val="24"/>
          <w:szCs w:val="20"/>
        </w:rPr>
        <w:t xml:space="preserve"> Safety Rate</w:t>
      </w:r>
      <w:r w:rsidRPr="004D579B">
        <w:rPr>
          <w:rFonts w:ascii="Arial" w:eastAsia="Times New Roman" w:hAnsi="Arial" w:cs="Arial"/>
          <w:snapToGrid w:val="0"/>
          <w:sz w:val="24"/>
          <w:szCs w:val="20"/>
        </w:rPr>
        <w:t xml:space="preserve">, </w:t>
      </w:r>
      <w:r w:rsidR="00452A7C">
        <w:rPr>
          <w:rFonts w:ascii="Arial" w:eastAsia="Times New Roman" w:hAnsi="Arial" w:cs="Arial"/>
          <w:snapToGrid w:val="0"/>
          <w:sz w:val="24"/>
          <w:szCs w:val="20"/>
        </w:rPr>
        <w:t>SAIDI</w:t>
      </w:r>
      <w:r w:rsidRPr="004D579B">
        <w:rPr>
          <w:rFonts w:ascii="Arial" w:eastAsia="Times New Roman" w:hAnsi="Arial" w:cs="Arial"/>
          <w:snapToGrid w:val="0"/>
          <w:sz w:val="24"/>
          <w:szCs w:val="20"/>
        </w:rPr>
        <w:t>, and CMVA.  Three levels of achievement are established for each goal</w:t>
      </w:r>
      <w:r w:rsidR="00407AF6">
        <w:rPr>
          <w:rFonts w:ascii="Arial" w:eastAsia="Times New Roman" w:hAnsi="Arial" w:cs="Arial"/>
          <w:snapToGrid w:val="0"/>
          <w:sz w:val="24"/>
          <w:szCs w:val="20"/>
        </w:rPr>
        <w:t xml:space="preserve"> (i.e., threshold, target, and stretch)</w:t>
      </w:r>
      <w:r w:rsidRPr="004D579B">
        <w:rPr>
          <w:rFonts w:ascii="Arial" w:eastAsia="Times New Roman" w:hAnsi="Arial" w:cs="Arial"/>
          <w:snapToGrid w:val="0"/>
          <w:sz w:val="24"/>
          <w:szCs w:val="20"/>
        </w:rPr>
        <w:t xml:space="preserve">, with each level requiring an increase in performance.  These KPIs are then reviewed and signed off by executive management at the beginning of the plan year.  </w:t>
      </w:r>
      <w:r w:rsidR="00045A6D">
        <w:rPr>
          <w:rFonts w:ascii="Arial" w:eastAsia="Times New Roman" w:hAnsi="Arial" w:cs="Arial"/>
          <w:snapToGrid w:val="0"/>
          <w:sz w:val="24"/>
          <w:szCs w:val="20"/>
        </w:rPr>
        <w:t xml:space="preserve">The 2017 </w:t>
      </w:r>
      <w:r w:rsidRPr="004D579B">
        <w:rPr>
          <w:rFonts w:ascii="Arial" w:eastAsia="Times New Roman" w:hAnsi="Arial" w:cs="Arial"/>
          <w:snapToGrid w:val="0"/>
          <w:sz w:val="24"/>
          <w:szCs w:val="20"/>
        </w:rPr>
        <w:t xml:space="preserve">KPIs for </w:t>
      </w:r>
      <w:r w:rsidR="00045A6D" w:rsidRPr="004D579B">
        <w:rPr>
          <w:rFonts w:ascii="Arial" w:eastAsia="Times New Roman" w:hAnsi="Arial" w:cs="Arial"/>
          <w:snapToGrid w:val="0"/>
          <w:sz w:val="24"/>
          <w:szCs w:val="20"/>
        </w:rPr>
        <w:t xml:space="preserve">OSHA </w:t>
      </w:r>
      <w:r w:rsidR="001778F4">
        <w:rPr>
          <w:rFonts w:ascii="Arial" w:eastAsia="Times New Roman" w:hAnsi="Arial" w:cs="Arial"/>
          <w:snapToGrid w:val="0"/>
          <w:sz w:val="24"/>
          <w:szCs w:val="20"/>
        </w:rPr>
        <w:t>Safety R</w:t>
      </w:r>
      <w:r w:rsidR="00045A6D" w:rsidRPr="004D579B">
        <w:rPr>
          <w:rFonts w:ascii="Arial" w:eastAsia="Times New Roman" w:hAnsi="Arial" w:cs="Arial"/>
          <w:snapToGrid w:val="0"/>
          <w:sz w:val="24"/>
          <w:szCs w:val="20"/>
        </w:rPr>
        <w:t xml:space="preserve">ate and CMVA </w:t>
      </w:r>
      <w:r w:rsidR="00045A6D">
        <w:rPr>
          <w:rFonts w:ascii="Arial" w:eastAsia="Times New Roman" w:hAnsi="Arial" w:cs="Arial"/>
          <w:snapToGrid w:val="0"/>
          <w:sz w:val="24"/>
          <w:szCs w:val="20"/>
        </w:rPr>
        <w:t>had their target goals</w:t>
      </w:r>
      <w:r w:rsidR="001778F4">
        <w:rPr>
          <w:rFonts w:ascii="Arial" w:eastAsia="Times New Roman" w:hAnsi="Arial" w:cs="Arial"/>
          <w:snapToGrid w:val="0"/>
          <w:sz w:val="24"/>
          <w:szCs w:val="20"/>
        </w:rPr>
        <w:t xml:space="preserve"> set at top quartile safety performance</w:t>
      </w:r>
      <w:r w:rsidRPr="004D579B">
        <w:rPr>
          <w:rFonts w:ascii="Arial" w:eastAsia="Times New Roman" w:hAnsi="Arial" w:cs="Arial"/>
          <w:snapToGrid w:val="0"/>
          <w:sz w:val="24"/>
          <w:szCs w:val="20"/>
        </w:rPr>
        <w:t xml:space="preserve">.  </w:t>
      </w:r>
      <w:r w:rsidR="001778F4">
        <w:rPr>
          <w:rFonts w:ascii="Arial" w:eastAsia="Times New Roman" w:hAnsi="Arial" w:cs="Arial"/>
          <w:snapToGrid w:val="0"/>
          <w:sz w:val="24"/>
          <w:szCs w:val="20"/>
        </w:rPr>
        <w:t xml:space="preserve">The 2017 </w:t>
      </w:r>
      <w:r w:rsidRPr="004D579B">
        <w:rPr>
          <w:rFonts w:ascii="Arial" w:eastAsia="Times New Roman" w:hAnsi="Arial" w:cs="Arial"/>
          <w:snapToGrid w:val="0"/>
          <w:sz w:val="24"/>
          <w:szCs w:val="20"/>
        </w:rPr>
        <w:t>KPIs</w:t>
      </w:r>
      <w:r w:rsidR="00A66B03">
        <w:rPr>
          <w:rFonts w:ascii="Arial" w:eastAsia="Times New Roman" w:hAnsi="Arial" w:cs="Arial"/>
          <w:snapToGrid w:val="0"/>
          <w:sz w:val="24"/>
          <w:szCs w:val="20"/>
        </w:rPr>
        <w:t xml:space="preserve"> for SAIDI</w:t>
      </w:r>
      <w:r w:rsidRPr="004D579B">
        <w:rPr>
          <w:rFonts w:ascii="Arial" w:eastAsia="Times New Roman" w:hAnsi="Arial" w:cs="Arial"/>
          <w:snapToGrid w:val="0"/>
          <w:sz w:val="24"/>
          <w:szCs w:val="20"/>
        </w:rPr>
        <w:t xml:space="preserve"> </w:t>
      </w:r>
      <w:r w:rsidR="002F71F7">
        <w:rPr>
          <w:rFonts w:ascii="Arial" w:eastAsia="Times New Roman" w:hAnsi="Arial" w:cs="Arial"/>
          <w:snapToGrid w:val="0"/>
          <w:sz w:val="24"/>
          <w:szCs w:val="20"/>
        </w:rPr>
        <w:t xml:space="preserve">had their </w:t>
      </w:r>
      <w:r w:rsidRPr="004D579B">
        <w:rPr>
          <w:rFonts w:ascii="Arial" w:eastAsia="Times New Roman" w:hAnsi="Arial" w:cs="Arial"/>
          <w:snapToGrid w:val="0"/>
          <w:sz w:val="24"/>
          <w:szCs w:val="20"/>
        </w:rPr>
        <w:t xml:space="preserve">target </w:t>
      </w:r>
      <w:r w:rsidR="002F71F7">
        <w:rPr>
          <w:rFonts w:ascii="Arial" w:eastAsia="Times New Roman" w:hAnsi="Arial" w:cs="Arial"/>
          <w:snapToGrid w:val="0"/>
          <w:sz w:val="24"/>
          <w:szCs w:val="20"/>
        </w:rPr>
        <w:t>goals</w:t>
      </w:r>
      <w:r w:rsidRPr="004D579B">
        <w:rPr>
          <w:rFonts w:ascii="Arial" w:eastAsia="Times New Roman" w:hAnsi="Arial" w:cs="Arial"/>
          <w:snapToGrid w:val="0"/>
          <w:sz w:val="24"/>
          <w:szCs w:val="20"/>
        </w:rPr>
        <w:t xml:space="preserve"> set at levels to achieve </w:t>
      </w:r>
      <w:r w:rsidR="00407AF6">
        <w:rPr>
          <w:rFonts w:ascii="Arial" w:eastAsia="Times New Roman" w:hAnsi="Arial" w:cs="Arial"/>
          <w:snapToGrid w:val="0"/>
          <w:sz w:val="24"/>
          <w:szCs w:val="20"/>
        </w:rPr>
        <w:t xml:space="preserve">PUC </w:t>
      </w:r>
      <w:r w:rsidRPr="004D579B">
        <w:rPr>
          <w:rFonts w:ascii="Arial" w:eastAsia="Times New Roman" w:hAnsi="Arial" w:cs="Arial"/>
          <w:snapToGrid w:val="0"/>
          <w:sz w:val="24"/>
          <w:szCs w:val="20"/>
        </w:rPr>
        <w:t xml:space="preserve">benchmark </w:t>
      </w:r>
      <w:r w:rsidR="002F40E5">
        <w:rPr>
          <w:rFonts w:ascii="Arial" w:eastAsia="Times New Roman" w:hAnsi="Arial" w:cs="Arial"/>
          <w:snapToGrid w:val="0"/>
          <w:sz w:val="24"/>
          <w:szCs w:val="20"/>
        </w:rPr>
        <w:t xml:space="preserve">reliability </w:t>
      </w:r>
      <w:r w:rsidR="00407AF6">
        <w:rPr>
          <w:rFonts w:ascii="Arial" w:eastAsia="Times New Roman" w:hAnsi="Arial" w:cs="Arial"/>
          <w:snapToGrid w:val="0"/>
          <w:sz w:val="24"/>
          <w:szCs w:val="20"/>
        </w:rPr>
        <w:t>performance</w:t>
      </w:r>
      <w:r w:rsidR="00A66B03">
        <w:rPr>
          <w:rFonts w:ascii="Arial" w:eastAsia="Times New Roman" w:hAnsi="Arial" w:cs="Arial"/>
          <w:snapToGrid w:val="0"/>
          <w:sz w:val="24"/>
          <w:szCs w:val="20"/>
        </w:rPr>
        <w:t>.</w:t>
      </w:r>
      <w:r w:rsidRPr="004D579B">
        <w:rPr>
          <w:rFonts w:ascii="Arial" w:eastAsia="Times New Roman" w:hAnsi="Arial" w:cs="Arial"/>
          <w:snapToGrid w:val="0"/>
          <w:sz w:val="24"/>
          <w:szCs w:val="20"/>
        </w:rPr>
        <w:t xml:space="preserve"> </w:t>
      </w:r>
    </w:p>
    <w:p w14:paraId="4A388D9E" w14:textId="77777777" w:rsidR="008B019B" w:rsidRDefault="008B019B">
      <w:pPr>
        <w:rPr>
          <w:rFonts w:ascii="Arial" w:eastAsia="Times New Roman" w:hAnsi="Arial" w:cs="Arial"/>
          <w:color w:val="000000"/>
          <w:sz w:val="24"/>
          <w:szCs w:val="24"/>
        </w:rPr>
      </w:pPr>
      <w:r>
        <w:rPr>
          <w:rFonts w:ascii="Arial" w:eastAsia="Times New Roman" w:hAnsi="Arial" w:cs="Arial"/>
          <w:color w:val="000000"/>
          <w:sz w:val="24"/>
          <w:szCs w:val="24"/>
        </w:rPr>
        <w:br w:type="page"/>
      </w:r>
    </w:p>
    <w:p w14:paraId="769DD0DE" w14:textId="77777777" w:rsidR="00977BE3" w:rsidRDefault="00977BE3" w:rsidP="00977BE3">
      <w:pPr>
        <w:widowControl w:val="0"/>
        <w:spacing w:after="0" w:line="20" w:lineRule="atLeast"/>
        <w:jc w:val="right"/>
        <w:rPr>
          <w:rFonts w:ascii="Arial" w:eastAsia="Times New Roman" w:hAnsi="Arial" w:cs="Arial"/>
          <w:b/>
          <w:snapToGrid w:val="0"/>
          <w:sz w:val="24"/>
          <w:szCs w:val="20"/>
        </w:rPr>
      </w:pPr>
      <w:r>
        <w:rPr>
          <w:rFonts w:ascii="Arial" w:eastAsia="Times New Roman" w:hAnsi="Arial" w:cs="Arial"/>
          <w:b/>
          <w:snapToGrid w:val="0"/>
          <w:sz w:val="24"/>
          <w:szCs w:val="20"/>
        </w:rPr>
        <w:t>Exhibit III – 1</w:t>
      </w:r>
    </w:p>
    <w:p w14:paraId="1F62D920" w14:textId="77777777" w:rsidR="00977BE3" w:rsidRDefault="00977BE3" w:rsidP="00977BE3">
      <w:pPr>
        <w:widowControl w:val="0"/>
        <w:spacing w:after="0" w:line="20" w:lineRule="atLeast"/>
        <w:jc w:val="right"/>
        <w:rPr>
          <w:rFonts w:ascii="Arial" w:eastAsia="Times New Roman" w:hAnsi="Arial" w:cs="Arial"/>
          <w:b/>
          <w:snapToGrid w:val="0"/>
          <w:sz w:val="24"/>
          <w:szCs w:val="20"/>
        </w:rPr>
      </w:pPr>
      <w:r>
        <w:rPr>
          <w:rFonts w:ascii="Arial" w:eastAsia="Times New Roman" w:hAnsi="Arial" w:cs="Arial"/>
          <w:b/>
          <w:snapToGrid w:val="0"/>
          <w:sz w:val="24"/>
          <w:szCs w:val="20"/>
        </w:rPr>
        <w:t>Page 1 of 2</w:t>
      </w:r>
    </w:p>
    <w:p w14:paraId="2E30597F" w14:textId="77777777" w:rsidR="00977BE3" w:rsidRDefault="00977BE3" w:rsidP="00977BE3">
      <w:pPr>
        <w:widowControl w:val="0"/>
        <w:spacing w:after="0" w:line="20" w:lineRule="atLeast"/>
        <w:jc w:val="center"/>
        <w:rPr>
          <w:rFonts w:ascii="Arial" w:eastAsia="Times New Roman" w:hAnsi="Arial" w:cs="Arial"/>
          <w:b/>
          <w:snapToGrid w:val="0"/>
          <w:sz w:val="24"/>
          <w:szCs w:val="20"/>
        </w:rPr>
      </w:pPr>
    </w:p>
    <w:p w14:paraId="0FE631CF" w14:textId="77777777" w:rsidR="00977BE3" w:rsidRPr="00017EF0" w:rsidRDefault="00977BE3" w:rsidP="00977BE3">
      <w:pPr>
        <w:widowControl w:val="0"/>
        <w:spacing w:after="0" w:line="20" w:lineRule="atLeast"/>
        <w:jc w:val="center"/>
        <w:rPr>
          <w:rFonts w:ascii="Arial" w:eastAsia="Times New Roman" w:hAnsi="Arial" w:cs="Arial"/>
          <w:b/>
          <w:snapToGrid w:val="0"/>
          <w:sz w:val="24"/>
          <w:szCs w:val="20"/>
        </w:rPr>
      </w:pPr>
      <w:r w:rsidRPr="00017EF0">
        <w:rPr>
          <w:rFonts w:ascii="Arial" w:eastAsia="Times New Roman" w:hAnsi="Arial" w:cs="Arial"/>
          <w:b/>
          <w:snapToGrid w:val="0"/>
          <w:sz w:val="24"/>
          <w:szCs w:val="20"/>
        </w:rPr>
        <w:t>F</w:t>
      </w:r>
      <w:r>
        <w:rPr>
          <w:rFonts w:ascii="Arial" w:eastAsia="Times New Roman" w:hAnsi="Arial" w:cs="Arial"/>
          <w:b/>
          <w:snapToGrid w:val="0"/>
          <w:sz w:val="24"/>
          <w:szCs w:val="20"/>
        </w:rPr>
        <w:t>irst</w:t>
      </w:r>
      <w:r w:rsidRPr="00017EF0">
        <w:rPr>
          <w:rFonts w:ascii="Arial" w:eastAsia="Times New Roman" w:hAnsi="Arial" w:cs="Arial"/>
          <w:b/>
          <w:snapToGrid w:val="0"/>
          <w:sz w:val="24"/>
          <w:szCs w:val="20"/>
        </w:rPr>
        <w:t>E</w:t>
      </w:r>
      <w:r>
        <w:rPr>
          <w:rFonts w:ascii="Arial" w:eastAsia="Times New Roman" w:hAnsi="Arial" w:cs="Arial"/>
          <w:b/>
          <w:snapToGrid w:val="0"/>
          <w:sz w:val="24"/>
          <w:szCs w:val="20"/>
        </w:rPr>
        <w:t>nergy Pennsylvania</w:t>
      </w:r>
      <w:r w:rsidRPr="00017EF0">
        <w:rPr>
          <w:rFonts w:ascii="Arial" w:eastAsia="Times New Roman" w:hAnsi="Arial" w:cs="Arial"/>
          <w:b/>
          <w:snapToGrid w:val="0"/>
          <w:sz w:val="24"/>
          <w:szCs w:val="20"/>
        </w:rPr>
        <w:t xml:space="preserve"> Companies</w:t>
      </w:r>
    </w:p>
    <w:p w14:paraId="0D118F6B" w14:textId="77777777" w:rsidR="00E746CB" w:rsidRDefault="00977BE3" w:rsidP="00977BE3">
      <w:pPr>
        <w:widowControl w:val="0"/>
        <w:spacing w:after="0" w:line="20" w:lineRule="atLeast"/>
        <w:jc w:val="center"/>
        <w:rPr>
          <w:rFonts w:ascii="Arial" w:eastAsia="Times New Roman" w:hAnsi="Arial" w:cs="Arial"/>
          <w:b/>
          <w:snapToGrid w:val="0"/>
          <w:sz w:val="24"/>
          <w:szCs w:val="20"/>
        </w:rPr>
      </w:pPr>
      <w:r>
        <w:rPr>
          <w:rFonts w:ascii="Arial" w:eastAsia="Times New Roman" w:hAnsi="Arial" w:cs="Arial"/>
          <w:b/>
          <w:snapToGrid w:val="0"/>
          <w:sz w:val="24"/>
          <w:szCs w:val="20"/>
        </w:rPr>
        <w:t>Performance Objectives in the Pennsylvania Management Reports</w:t>
      </w:r>
      <w:r w:rsidR="006135EF">
        <w:rPr>
          <w:rFonts w:ascii="Arial" w:eastAsia="Times New Roman" w:hAnsi="Arial" w:cs="Arial"/>
          <w:b/>
          <w:snapToGrid w:val="0"/>
          <w:sz w:val="24"/>
          <w:szCs w:val="20"/>
        </w:rPr>
        <w:t xml:space="preserve"> and </w:t>
      </w:r>
    </w:p>
    <w:p w14:paraId="75B7BEB4" w14:textId="77777777" w:rsidR="00977BE3" w:rsidRPr="00017EF0" w:rsidRDefault="006135EF" w:rsidP="00977BE3">
      <w:pPr>
        <w:widowControl w:val="0"/>
        <w:spacing w:after="0" w:line="20" w:lineRule="atLeast"/>
        <w:jc w:val="center"/>
        <w:rPr>
          <w:rFonts w:ascii="Arial" w:eastAsia="Times New Roman" w:hAnsi="Arial" w:cs="Arial"/>
          <w:b/>
          <w:snapToGrid w:val="0"/>
          <w:sz w:val="24"/>
          <w:szCs w:val="20"/>
        </w:rPr>
      </w:pPr>
      <w:r>
        <w:rPr>
          <w:rFonts w:ascii="Arial" w:eastAsia="Times New Roman" w:hAnsi="Arial" w:cs="Arial"/>
          <w:b/>
          <w:snapToGrid w:val="0"/>
          <w:sz w:val="24"/>
          <w:szCs w:val="20"/>
        </w:rPr>
        <w:t>Executive Leadership Team Reports</w:t>
      </w:r>
    </w:p>
    <w:p w14:paraId="251C007E" w14:textId="1AA97B23" w:rsidR="00977BE3" w:rsidRPr="00017EF0" w:rsidRDefault="00977BE3" w:rsidP="00977BE3">
      <w:pPr>
        <w:widowControl w:val="0"/>
        <w:spacing w:after="0" w:line="20" w:lineRule="atLeast"/>
        <w:jc w:val="center"/>
        <w:rPr>
          <w:rFonts w:ascii="Arial" w:eastAsia="Times New Roman" w:hAnsi="Arial" w:cs="Arial"/>
          <w:b/>
          <w:snapToGrid w:val="0"/>
          <w:sz w:val="24"/>
          <w:szCs w:val="20"/>
        </w:rPr>
      </w:pPr>
      <w:r w:rsidRPr="00017EF0">
        <w:rPr>
          <w:rFonts w:ascii="Arial" w:eastAsia="Times New Roman" w:hAnsi="Arial" w:cs="Arial"/>
          <w:b/>
          <w:snapToGrid w:val="0"/>
          <w:sz w:val="24"/>
          <w:szCs w:val="20"/>
        </w:rPr>
        <w:t>For the Years 20</w:t>
      </w:r>
      <w:r>
        <w:rPr>
          <w:rFonts w:ascii="Arial" w:eastAsia="Times New Roman" w:hAnsi="Arial" w:cs="Arial"/>
          <w:b/>
          <w:snapToGrid w:val="0"/>
          <w:sz w:val="24"/>
          <w:szCs w:val="20"/>
        </w:rPr>
        <w:t>15</w:t>
      </w:r>
      <w:r w:rsidRPr="00017EF0">
        <w:rPr>
          <w:rFonts w:ascii="Arial" w:eastAsia="Times New Roman" w:hAnsi="Arial" w:cs="Arial"/>
          <w:b/>
          <w:snapToGrid w:val="0"/>
          <w:sz w:val="24"/>
          <w:szCs w:val="20"/>
        </w:rPr>
        <w:t xml:space="preserve"> through 201</w:t>
      </w:r>
      <w:r>
        <w:rPr>
          <w:rFonts w:ascii="Arial" w:eastAsia="Times New Roman" w:hAnsi="Arial" w:cs="Arial"/>
          <w:b/>
          <w:snapToGrid w:val="0"/>
          <w:sz w:val="24"/>
          <w:szCs w:val="20"/>
        </w:rPr>
        <w:t>7</w:t>
      </w:r>
    </w:p>
    <w:p w14:paraId="3E4BBA6A" w14:textId="77777777" w:rsidR="00977BE3" w:rsidRDefault="00977BE3" w:rsidP="00977BE3">
      <w:pPr>
        <w:spacing w:after="0" w:line="240" w:lineRule="auto"/>
        <w:jc w:val="center"/>
      </w:pPr>
    </w:p>
    <w:tbl>
      <w:tblPr>
        <w:tblStyle w:val="TableGrid"/>
        <w:tblW w:w="0" w:type="auto"/>
        <w:jc w:val="center"/>
        <w:tblLook w:val="04A0" w:firstRow="1" w:lastRow="0" w:firstColumn="1" w:lastColumn="0" w:noHBand="0" w:noVBand="1"/>
      </w:tblPr>
      <w:tblGrid>
        <w:gridCol w:w="1712"/>
        <w:gridCol w:w="2423"/>
        <w:gridCol w:w="1882"/>
        <w:gridCol w:w="2016"/>
        <w:gridCol w:w="1317"/>
      </w:tblGrid>
      <w:tr w:rsidR="00F16118" w:rsidRPr="00B15BBE" w14:paraId="30394F4E" w14:textId="77777777" w:rsidTr="008B2B4C">
        <w:trPr>
          <w:trHeight w:val="510"/>
          <w:jc w:val="center"/>
        </w:trPr>
        <w:tc>
          <w:tcPr>
            <w:tcW w:w="1712" w:type="dxa"/>
            <w:vAlign w:val="bottom"/>
            <w:hideMark/>
          </w:tcPr>
          <w:p w14:paraId="7A3B49C6" w14:textId="77777777" w:rsidR="00F16118" w:rsidRPr="00B15BBE" w:rsidRDefault="00F16118" w:rsidP="00EC2F50">
            <w:pPr>
              <w:jc w:val="center"/>
              <w:rPr>
                <w:rFonts w:ascii="Arial" w:hAnsi="Arial" w:cs="Arial"/>
                <w:b/>
                <w:sz w:val="18"/>
                <w:szCs w:val="18"/>
              </w:rPr>
            </w:pPr>
            <w:r w:rsidRPr="00B15BBE">
              <w:rPr>
                <w:rFonts w:ascii="Arial" w:hAnsi="Arial" w:cs="Arial"/>
                <w:b/>
                <w:sz w:val="18"/>
                <w:szCs w:val="18"/>
              </w:rPr>
              <w:t>Corporate Objective</w:t>
            </w:r>
          </w:p>
        </w:tc>
        <w:tc>
          <w:tcPr>
            <w:tcW w:w="2423" w:type="dxa"/>
            <w:vAlign w:val="bottom"/>
            <w:hideMark/>
          </w:tcPr>
          <w:p w14:paraId="4F8A25E4" w14:textId="77777777" w:rsidR="00F16118" w:rsidRPr="00B15BBE" w:rsidRDefault="00F16118" w:rsidP="00EC2F50">
            <w:pPr>
              <w:jc w:val="center"/>
              <w:rPr>
                <w:rFonts w:ascii="Arial" w:hAnsi="Arial" w:cs="Arial"/>
                <w:b/>
                <w:sz w:val="18"/>
                <w:szCs w:val="18"/>
              </w:rPr>
            </w:pPr>
            <w:r w:rsidRPr="00B15BBE">
              <w:rPr>
                <w:rFonts w:ascii="Arial" w:hAnsi="Arial" w:cs="Arial"/>
                <w:b/>
                <w:sz w:val="18"/>
                <w:szCs w:val="18"/>
              </w:rPr>
              <w:t>2017 Goal</w:t>
            </w:r>
          </w:p>
        </w:tc>
        <w:tc>
          <w:tcPr>
            <w:tcW w:w="1882" w:type="dxa"/>
            <w:vAlign w:val="bottom"/>
            <w:hideMark/>
          </w:tcPr>
          <w:p w14:paraId="01DC8A80" w14:textId="77777777" w:rsidR="00F16118" w:rsidRPr="00B15BBE" w:rsidRDefault="00F16118" w:rsidP="00EC2F50">
            <w:pPr>
              <w:jc w:val="center"/>
              <w:rPr>
                <w:rFonts w:ascii="Arial" w:hAnsi="Arial" w:cs="Arial"/>
                <w:b/>
                <w:sz w:val="18"/>
                <w:szCs w:val="18"/>
              </w:rPr>
            </w:pPr>
            <w:r w:rsidRPr="00B15BBE">
              <w:rPr>
                <w:rFonts w:ascii="Arial" w:hAnsi="Arial" w:cs="Arial"/>
                <w:b/>
                <w:sz w:val="18"/>
                <w:szCs w:val="18"/>
              </w:rPr>
              <w:t>2017 Results</w:t>
            </w:r>
          </w:p>
        </w:tc>
        <w:tc>
          <w:tcPr>
            <w:tcW w:w="2016" w:type="dxa"/>
            <w:vAlign w:val="bottom"/>
            <w:hideMark/>
          </w:tcPr>
          <w:p w14:paraId="04BA0ED8" w14:textId="77777777" w:rsidR="00F16118" w:rsidRPr="00B15BBE" w:rsidRDefault="00F16118" w:rsidP="00EC2F50">
            <w:pPr>
              <w:jc w:val="center"/>
              <w:rPr>
                <w:rFonts w:ascii="Arial" w:hAnsi="Arial" w:cs="Arial"/>
                <w:b/>
                <w:sz w:val="18"/>
                <w:szCs w:val="18"/>
              </w:rPr>
            </w:pPr>
            <w:r w:rsidRPr="00B15BBE">
              <w:rPr>
                <w:rFonts w:ascii="Arial" w:hAnsi="Arial" w:cs="Arial"/>
                <w:b/>
                <w:sz w:val="18"/>
                <w:szCs w:val="18"/>
              </w:rPr>
              <w:t>2015 to 2017                      Performance vs. Goals</w:t>
            </w:r>
          </w:p>
        </w:tc>
        <w:tc>
          <w:tcPr>
            <w:tcW w:w="1317" w:type="dxa"/>
          </w:tcPr>
          <w:p w14:paraId="70D82CBD" w14:textId="77777777" w:rsidR="00F16118" w:rsidRPr="00B15BBE" w:rsidRDefault="00F16118" w:rsidP="00EC2F50">
            <w:pPr>
              <w:jc w:val="center"/>
              <w:rPr>
                <w:rFonts w:ascii="Arial" w:hAnsi="Arial" w:cs="Arial"/>
                <w:b/>
                <w:sz w:val="18"/>
                <w:szCs w:val="18"/>
              </w:rPr>
            </w:pPr>
            <w:r w:rsidRPr="00B15BBE">
              <w:rPr>
                <w:rFonts w:ascii="Arial" w:hAnsi="Arial" w:cs="Arial"/>
                <w:b/>
                <w:sz w:val="18"/>
                <w:szCs w:val="18"/>
              </w:rPr>
              <w:t>Goal Meets PUC Requirement</w:t>
            </w:r>
          </w:p>
        </w:tc>
      </w:tr>
      <w:tr w:rsidR="00F16118" w:rsidRPr="00B15BBE" w14:paraId="31CF1B6C" w14:textId="77777777" w:rsidTr="008B2B4C">
        <w:trPr>
          <w:trHeight w:val="225"/>
          <w:jc w:val="center"/>
        </w:trPr>
        <w:tc>
          <w:tcPr>
            <w:tcW w:w="9350" w:type="dxa"/>
            <w:gridSpan w:val="5"/>
            <w:shd w:val="clear" w:color="auto" w:fill="D9D9D9" w:themeFill="background1" w:themeFillShade="D9"/>
            <w:vAlign w:val="center"/>
          </w:tcPr>
          <w:p w14:paraId="21A4293F" w14:textId="77777777" w:rsidR="00F16118" w:rsidRPr="008B2B4C" w:rsidRDefault="00F16118" w:rsidP="008B2B4C">
            <w:pPr>
              <w:jc w:val="center"/>
              <w:rPr>
                <w:rFonts w:ascii="Arial" w:hAnsi="Arial" w:cs="Arial"/>
                <w:b/>
                <w:sz w:val="16"/>
                <w:szCs w:val="16"/>
              </w:rPr>
            </w:pPr>
            <w:r w:rsidRPr="008B2B4C">
              <w:rPr>
                <w:rFonts w:ascii="Arial" w:hAnsi="Arial" w:cs="Arial"/>
                <w:b/>
                <w:sz w:val="16"/>
                <w:szCs w:val="16"/>
              </w:rPr>
              <w:t>METER READING</w:t>
            </w:r>
          </w:p>
        </w:tc>
      </w:tr>
      <w:tr w:rsidR="00F16118" w:rsidRPr="00B15BBE" w14:paraId="1F1907F6" w14:textId="77777777" w:rsidTr="008B2B4C">
        <w:trPr>
          <w:trHeight w:val="225"/>
          <w:jc w:val="center"/>
        </w:trPr>
        <w:tc>
          <w:tcPr>
            <w:tcW w:w="1712" w:type="dxa"/>
            <w:vAlign w:val="center"/>
          </w:tcPr>
          <w:p w14:paraId="715BC749" w14:textId="77777777" w:rsidR="00F16118" w:rsidRPr="008B2B4C" w:rsidRDefault="00F16118" w:rsidP="008B2B4C">
            <w:pPr>
              <w:rPr>
                <w:rFonts w:ascii="Arial" w:hAnsi="Arial" w:cs="Arial"/>
                <w:sz w:val="16"/>
                <w:szCs w:val="16"/>
              </w:rPr>
            </w:pPr>
            <w:r w:rsidRPr="008B2B4C">
              <w:rPr>
                <w:rFonts w:ascii="Arial" w:hAnsi="Arial" w:cs="Arial"/>
                <w:sz w:val="16"/>
                <w:szCs w:val="16"/>
              </w:rPr>
              <w:t>Meter Read Rate</w:t>
            </w:r>
          </w:p>
        </w:tc>
        <w:tc>
          <w:tcPr>
            <w:tcW w:w="2423" w:type="dxa"/>
            <w:vAlign w:val="center"/>
          </w:tcPr>
          <w:p w14:paraId="68F93F8B" w14:textId="77777777" w:rsidR="00F16118" w:rsidRPr="008B2B4C" w:rsidRDefault="00F16118" w:rsidP="008B2B4C">
            <w:pPr>
              <w:rPr>
                <w:rFonts w:ascii="Arial" w:hAnsi="Arial" w:cs="Arial"/>
                <w:sz w:val="16"/>
                <w:szCs w:val="16"/>
              </w:rPr>
            </w:pPr>
            <w:r w:rsidRPr="008B2B4C">
              <w:rPr>
                <w:rFonts w:ascii="Arial" w:hAnsi="Arial" w:cs="Arial"/>
                <w:sz w:val="16"/>
                <w:szCs w:val="16"/>
              </w:rPr>
              <w:t>All EDC's: 94% monthly reads</w:t>
            </w:r>
          </w:p>
        </w:tc>
        <w:tc>
          <w:tcPr>
            <w:tcW w:w="1882" w:type="dxa"/>
            <w:vAlign w:val="center"/>
          </w:tcPr>
          <w:p w14:paraId="3D07936F" w14:textId="77777777" w:rsidR="00F16118" w:rsidRPr="008B2B4C" w:rsidRDefault="00F16118" w:rsidP="008B2B4C">
            <w:pPr>
              <w:rPr>
                <w:rFonts w:ascii="Arial" w:hAnsi="Arial" w:cs="Arial"/>
                <w:sz w:val="16"/>
                <w:szCs w:val="16"/>
              </w:rPr>
            </w:pPr>
            <w:r w:rsidRPr="008B2B4C">
              <w:rPr>
                <w:rFonts w:ascii="Arial" w:hAnsi="Arial" w:cs="Arial"/>
                <w:sz w:val="16"/>
                <w:szCs w:val="16"/>
              </w:rPr>
              <w:t>1 Month Not Met @ PP</w:t>
            </w:r>
          </w:p>
        </w:tc>
        <w:tc>
          <w:tcPr>
            <w:tcW w:w="2016" w:type="dxa"/>
            <w:vAlign w:val="center"/>
          </w:tcPr>
          <w:p w14:paraId="66AFDE4A" w14:textId="77777777" w:rsidR="00F16118" w:rsidRPr="008B2B4C" w:rsidRDefault="00F16118" w:rsidP="008B2B4C">
            <w:pPr>
              <w:rPr>
                <w:rFonts w:ascii="Arial" w:hAnsi="Arial" w:cs="Arial"/>
                <w:sz w:val="16"/>
                <w:szCs w:val="16"/>
              </w:rPr>
            </w:pPr>
            <w:r w:rsidRPr="008B2B4C">
              <w:rPr>
                <w:rFonts w:ascii="Arial" w:hAnsi="Arial" w:cs="Arial"/>
                <w:sz w:val="16"/>
                <w:szCs w:val="16"/>
              </w:rPr>
              <w:t>Goal Generally Met</w:t>
            </w:r>
          </w:p>
        </w:tc>
        <w:tc>
          <w:tcPr>
            <w:tcW w:w="1317" w:type="dxa"/>
            <w:vAlign w:val="center"/>
          </w:tcPr>
          <w:p w14:paraId="03EFBC57" w14:textId="77777777" w:rsidR="00F16118" w:rsidRPr="008B2B4C" w:rsidRDefault="00F16118" w:rsidP="008B2B4C">
            <w:pPr>
              <w:jc w:val="center"/>
              <w:rPr>
                <w:rFonts w:ascii="Arial" w:hAnsi="Arial" w:cs="Arial"/>
                <w:sz w:val="16"/>
                <w:szCs w:val="16"/>
              </w:rPr>
            </w:pPr>
            <w:r w:rsidRPr="008B2B4C">
              <w:rPr>
                <w:rFonts w:ascii="Arial" w:hAnsi="Arial" w:cs="Arial"/>
                <w:sz w:val="16"/>
                <w:szCs w:val="16"/>
              </w:rPr>
              <w:t>NA</w:t>
            </w:r>
          </w:p>
        </w:tc>
      </w:tr>
      <w:tr w:rsidR="00F16118" w:rsidRPr="00B15BBE" w14:paraId="389E22DF" w14:textId="77777777" w:rsidTr="008B2B4C">
        <w:trPr>
          <w:trHeight w:val="225"/>
          <w:jc w:val="center"/>
        </w:trPr>
        <w:tc>
          <w:tcPr>
            <w:tcW w:w="1712" w:type="dxa"/>
            <w:vMerge w:val="restart"/>
            <w:vAlign w:val="center"/>
            <w:hideMark/>
          </w:tcPr>
          <w:p w14:paraId="1E531E3E" w14:textId="77777777" w:rsidR="00F16118" w:rsidRPr="008B2B4C" w:rsidRDefault="00F16118" w:rsidP="008B2B4C">
            <w:pPr>
              <w:rPr>
                <w:rFonts w:ascii="Arial" w:hAnsi="Arial" w:cs="Arial"/>
                <w:color w:val="FF0000"/>
                <w:sz w:val="16"/>
                <w:szCs w:val="16"/>
              </w:rPr>
            </w:pPr>
            <w:r w:rsidRPr="008B2B4C">
              <w:rPr>
                <w:rFonts w:ascii="Arial" w:hAnsi="Arial" w:cs="Arial"/>
                <w:color w:val="FF0000"/>
                <w:sz w:val="16"/>
                <w:szCs w:val="16"/>
              </w:rPr>
              <w:t>Meter Not Read in Six Months</w:t>
            </w:r>
          </w:p>
        </w:tc>
        <w:tc>
          <w:tcPr>
            <w:tcW w:w="2423" w:type="dxa"/>
            <w:vAlign w:val="center"/>
            <w:hideMark/>
          </w:tcPr>
          <w:p w14:paraId="75BBFB00" w14:textId="77777777" w:rsidR="00F16118" w:rsidRPr="008B2B4C" w:rsidRDefault="00F16118" w:rsidP="008B2B4C">
            <w:pPr>
              <w:rPr>
                <w:rFonts w:ascii="Arial" w:hAnsi="Arial" w:cs="Arial"/>
                <w:sz w:val="16"/>
                <w:szCs w:val="16"/>
              </w:rPr>
            </w:pPr>
            <w:r w:rsidRPr="008B2B4C">
              <w:rPr>
                <w:rFonts w:ascii="Arial" w:hAnsi="Arial" w:cs="Arial"/>
                <w:color w:val="FF0000"/>
                <w:sz w:val="16"/>
                <w:szCs w:val="16"/>
              </w:rPr>
              <w:t>ME: 200 / month</w:t>
            </w:r>
          </w:p>
        </w:tc>
        <w:tc>
          <w:tcPr>
            <w:tcW w:w="1882" w:type="dxa"/>
            <w:vAlign w:val="center"/>
            <w:hideMark/>
          </w:tcPr>
          <w:p w14:paraId="47991DF8" w14:textId="77777777" w:rsidR="00F16118" w:rsidRPr="008B2B4C" w:rsidRDefault="00F16118" w:rsidP="008B2B4C">
            <w:pPr>
              <w:rPr>
                <w:rFonts w:ascii="Arial" w:hAnsi="Arial" w:cs="Arial"/>
                <w:sz w:val="16"/>
                <w:szCs w:val="16"/>
              </w:rPr>
            </w:pPr>
            <w:r w:rsidRPr="008B2B4C">
              <w:rPr>
                <w:rFonts w:ascii="Arial" w:hAnsi="Arial" w:cs="Arial"/>
                <w:sz w:val="16"/>
                <w:szCs w:val="16"/>
              </w:rPr>
              <w:t>Goals Met</w:t>
            </w:r>
          </w:p>
        </w:tc>
        <w:tc>
          <w:tcPr>
            <w:tcW w:w="2016" w:type="dxa"/>
            <w:vAlign w:val="center"/>
            <w:hideMark/>
          </w:tcPr>
          <w:p w14:paraId="581F8D62" w14:textId="77777777" w:rsidR="00F16118" w:rsidRPr="008B2B4C" w:rsidRDefault="00F16118" w:rsidP="008B2B4C">
            <w:pPr>
              <w:rPr>
                <w:rFonts w:ascii="Arial" w:hAnsi="Arial" w:cs="Arial"/>
                <w:sz w:val="16"/>
                <w:szCs w:val="16"/>
              </w:rPr>
            </w:pPr>
            <w:r w:rsidRPr="008B2B4C">
              <w:rPr>
                <w:rFonts w:ascii="Arial" w:hAnsi="Arial" w:cs="Arial"/>
                <w:sz w:val="16"/>
                <w:szCs w:val="16"/>
              </w:rPr>
              <w:t>Goals Always Met</w:t>
            </w:r>
          </w:p>
        </w:tc>
        <w:tc>
          <w:tcPr>
            <w:tcW w:w="1317" w:type="dxa"/>
            <w:vAlign w:val="center"/>
          </w:tcPr>
          <w:p w14:paraId="4D7FBDB8" w14:textId="77777777" w:rsidR="00F16118" w:rsidRPr="008B2B4C" w:rsidRDefault="00F16118" w:rsidP="008B2B4C">
            <w:pPr>
              <w:jc w:val="center"/>
              <w:rPr>
                <w:rFonts w:ascii="Arial" w:hAnsi="Arial" w:cs="Arial"/>
                <w:color w:val="FF0000"/>
                <w:sz w:val="16"/>
                <w:szCs w:val="16"/>
              </w:rPr>
            </w:pPr>
            <w:r w:rsidRPr="008B2B4C">
              <w:rPr>
                <w:rFonts w:ascii="Arial" w:hAnsi="Arial" w:cs="Arial"/>
                <w:color w:val="FF0000"/>
                <w:sz w:val="16"/>
                <w:szCs w:val="16"/>
              </w:rPr>
              <w:t>NO</w:t>
            </w:r>
          </w:p>
        </w:tc>
      </w:tr>
      <w:tr w:rsidR="00F16118" w:rsidRPr="00B15BBE" w14:paraId="7B1071AB" w14:textId="77777777" w:rsidTr="008B2B4C">
        <w:trPr>
          <w:trHeight w:val="225"/>
          <w:jc w:val="center"/>
        </w:trPr>
        <w:tc>
          <w:tcPr>
            <w:tcW w:w="1712" w:type="dxa"/>
            <w:vMerge/>
            <w:vAlign w:val="center"/>
            <w:hideMark/>
          </w:tcPr>
          <w:p w14:paraId="25AC957D" w14:textId="77777777" w:rsidR="00F16118" w:rsidRPr="008B2B4C" w:rsidRDefault="00F16118" w:rsidP="008B2B4C">
            <w:pPr>
              <w:rPr>
                <w:rFonts w:ascii="Arial" w:hAnsi="Arial" w:cs="Arial"/>
                <w:sz w:val="16"/>
                <w:szCs w:val="16"/>
              </w:rPr>
            </w:pPr>
          </w:p>
        </w:tc>
        <w:tc>
          <w:tcPr>
            <w:tcW w:w="2423" w:type="dxa"/>
            <w:vAlign w:val="center"/>
            <w:hideMark/>
          </w:tcPr>
          <w:p w14:paraId="68EF9308" w14:textId="77777777" w:rsidR="00F16118" w:rsidRPr="008B2B4C" w:rsidRDefault="00F16118" w:rsidP="008B2B4C">
            <w:pPr>
              <w:rPr>
                <w:rFonts w:ascii="Arial" w:hAnsi="Arial" w:cs="Arial"/>
                <w:sz w:val="16"/>
                <w:szCs w:val="16"/>
              </w:rPr>
            </w:pPr>
            <w:r w:rsidRPr="008B2B4C">
              <w:rPr>
                <w:rFonts w:ascii="Arial" w:hAnsi="Arial" w:cs="Arial"/>
                <w:color w:val="FF0000"/>
                <w:sz w:val="16"/>
                <w:szCs w:val="16"/>
              </w:rPr>
              <w:t>PN: 30 / month</w:t>
            </w:r>
          </w:p>
        </w:tc>
        <w:tc>
          <w:tcPr>
            <w:tcW w:w="1882" w:type="dxa"/>
            <w:vAlign w:val="center"/>
            <w:hideMark/>
          </w:tcPr>
          <w:p w14:paraId="49E883B4" w14:textId="77777777" w:rsidR="00F16118" w:rsidRPr="008B2B4C" w:rsidRDefault="00F16118" w:rsidP="008B2B4C">
            <w:pPr>
              <w:rPr>
                <w:rFonts w:ascii="Arial" w:hAnsi="Arial" w:cs="Arial"/>
                <w:sz w:val="16"/>
                <w:szCs w:val="16"/>
              </w:rPr>
            </w:pPr>
            <w:r w:rsidRPr="008B2B4C">
              <w:rPr>
                <w:rFonts w:ascii="Arial" w:hAnsi="Arial" w:cs="Arial"/>
                <w:sz w:val="16"/>
                <w:szCs w:val="16"/>
              </w:rPr>
              <w:t>Goals Met</w:t>
            </w:r>
          </w:p>
        </w:tc>
        <w:tc>
          <w:tcPr>
            <w:tcW w:w="2016" w:type="dxa"/>
            <w:vAlign w:val="center"/>
            <w:hideMark/>
          </w:tcPr>
          <w:p w14:paraId="78117C82" w14:textId="77777777" w:rsidR="00F16118" w:rsidRPr="008B2B4C" w:rsidRDefault="00F16118" w:rsidP="008B2B4C">
            <w:pPr>
              <w:rPr>
                <w:rFonts w:ascii="Arial" w:hAnsi="Arial" w:cs="Arial"/>
                <w:sz w:val="16"/>
                <w:szCs w:val="16"/>
              </w:rPr>
            </w:pPr>
            <w:r w:rsidRPr="008B2B4C">
              <w:rPr>
                <w:rFonts w:ascii="Arial" w:hAnsi="Arial" w:cs="Arial"/>
                <w:sz w:val="16"/>
                <w:szCs w:val="16"/>
              </w:rPr>
              <w:t>Goals Generally Met</w:t>
            </w:r>
          </w:p>
        </w:tc>
        <w:tc>
          <w:tcPr>
            <w:tcW w:w="1317" w:type="dxa"/>
            <w:vAlign w:val="center"/>
          </w:tcPr>
          <w:p w14:paraId="51E28B8D" w14:textId="77777777" w:rsidR="00F16118" w:rsidRPr="008B2B4C" w:rsidRDefault="00F16118" w:rsidP="008B2B4C">
            <w:pPr>
              <w:jc w:val="center"/>
              <w:rPr>
                <w:rFonts w:ascii="Arial" w:hAnsi="Arial" w:cs="Arial"/>
                <w:color w:val="FF0000"/>
                <w:sz w:val="16"/>
                <w:szCs w:val="16"/>
              </w:rPr>
            </w:pPr>
            <w:r w:rsidRPr="008B2B4C">
              <w:rPr>
                <w:rFonts w:ascii="Arial" w:hAnsi="Arial" w:cs="Arial"/>
                <w:color w:val="FF0000"/>
                <w:sz w:val="16"/>
                <w:szCs w:val="16"/>
              </w:rPr>
              <w:t>NO</w:t>
            </w:r>
          </w:p>
        </w:tc>
      </w:tr>
      <w:tr w:rsidR="00F16118" w:rsidRPr="00B15BBE" w14:paraId="7219913E" w14:textId="77777777" w:rsidTr="008B2B4C">
        <w:trPr>
          <w:trHeight w:val="225"/>
          <w:jc w:val="center"/>
        </w:trPr>
        <w:tc>
          <w:tcPr>
            <w:tcW w:w="1712" w:type="dxa"/>
            <w:vMerge/>
            <w:vAlign w:val="center"/>
            <w:hideMark/>
          </w:tcPr>
          <w:p w14:paraId="40E597F8" w14:textId="77777777" w:rsidR="00F16118" w:rsidRPr="008B2B4C" w:rsidRDefault="00F16118" w:rsidP="008B2B4C">
            <w:pPr>
              <w:rPr>
                <w:rFonts w:ascii="Arial" w:hAnsi="Arial" w:cs="Arial"/>
                <w:sz w:val="16"/>
                <w:szCs w:val="16"/>
              </w:rPr>
            </w:pPr>
          </w:p>
        </w:tc>
        <w:tc>
          <w:tcPr>
            <w:tcW w:w="2423" w:type="dxa"/>
            <w:vAlign w:val="center"/>
            <w:hideMark/>
          </w:tcPr>
          <w:p w14:paraId="4303DFD5" w14:textId="77777777" w:rsidR="00F16118" w:rsidRPr="008B2B4C" w:rsidRDefault="00F16118" w:rsidP="008B2B4C">
            <w:pPr>
              <w:rPr>
                <w:rFonts w:ascii="Arial" w:hAnsi="Arial" w:cs="Arial"/>
                <w:color w:val="00B050"/>
                <w:sz w:val="16"/>
                <w:szCs w:val="16"/>
              </w:rPr>
            </w:pPr>
            <w:r w:rsidRPr="008B2B4C">
              <w:rPr>
                <w:rFonts w:ascii="Arial" w:hAnsi="Arial" w:cs="Arial"/>
                <w:color w:val="00B050"/>
                <w:sz w:val="16"/>
                <w:szCs w:val="16"/>
              </w:rPr>
              <w:t>PP: 0 / month</w:t>
            </w:r>
          </w:p>
        </w:tc>
        <w:tc>
          <w:tcPr>
            <w:tcW w:w="1882" w:type="dxa"/>
            <w:vAlign w:val="center"/>
            <w:hideMark/>
          </w:tcPr>
          <w:p w14:paraId="06AEC6F3" w14:textId="77777777" w:rsidR="00F16118" w:rsidRPr="008B2B4C" w:rsidRDefault="00F16118" w:rsidP="008B2B4C">
            <w:pPr>
              <w:rPr>
                <w:rFonts w:ascii="Arial" w:hAnsi="Arial" w:cs="Arial"/>
                <w:sz w:val="16"/>
                <w:szCs w:val="16"/>
              </w:rPr>
            </w:pPr>
            <w:r w:rsidRPr="008B2B4C">
              <w:rPr>
                <w:rFonts w:ascii="Arial" w:hAnsi="Arial" w:cs="Arial"/>
                <w:sz w:val="16"/>
                <w:szCs w:val="16"/>
              </w:rPr>
              <w:t>2 Months Not Met</w:t>
            </w:r>
          </w:p>
        </w:tc>
        <w:tc>
          <w:tcPr>
            <w:tcW w:w="2016" w:type="dxa"/>
            <w:vAlign w:val="center"/>
            <w:hideMark/>
          </w:tcPr>
          <w:p w14:paraId="7A130036" w14:textId="77777777" w:rsidR="00F16118" w:rsidRPr="008B2B4C" w:rsidRDefault="00F16118" w:rsidP="008B2B4C">
            <w:pPr>
              <w:rPr>
                <w:rFonts w:ascii="Arial" w:hAnsi="Arial" w:cs="Arial"/>
                <w:sz w:val="16"/>
                <w:szCs w:val="16"/>
              </w:rPr>
            </w:pPr>
            <w:r w:rsidRPr="008B2B4C">
              <w:rPr>
                <w:rFonts w:ascii="Arial" w:hAnsi="Arial" w:cs="Arial"/>
                <w:sz w:val="16"/>
                <w:szCs w:val="16"/>
              </w:rPr>
              <w:t>Goals Generally Met</w:t>
            </w:r>
          </w:p>
        </w:tc>
        <w:tc>
          <w:tcPr>
            <w:tcW w:w="1317" w:type="dxa"/>
            <w:vAlign w:val="center"/>
          </w:tcPr>
          <w:p w14:paraId="45FC10B4" w14:textId="77777777" w:rsidR="00F16118" w:rsidRPr="008B2B4C" w:rsidRDefault="00F16118" w:rsidP="008B2B4C">
            <w:pPr>
              <w:jc w:val="center"/>
              <w:rPr>
                <w:rFonts w:ascii="Arial" w:hAnsi="Arial" w:cs="Arial"/>
                <w:sz w:val="16"/>
                <w:szCs w:val="16"/>
              </w:rPr>
            </w:pPr>
            <w:r w:rsidRPr="008B2B4C">
              <w:rPr>
                <w:rFonts w:ascii="Arial" w:hAnsi="Arial" w:cs="Arial"/>
                <w:color w:val="00B050"/>
                <w:sz w:val="16"/>
                <w:szCs w:val="16"/>
              </w:rPr>
              <w:t>YES</w:t>
            </w:r>
          </w:p>
        </w:tc>
      </w:tr>
      <w:tr w:rsidR="00F16118" w:rsidRPr="00B15BBE" w14:paraId="206872AE" w14:textId="77777777" w:rsidTr="008B2B4C">
        <w:trPr>
          <w:trHeight w:val="225"/>
          <w:jc w:val="center"/>
        </w:trPr>
        <w:tc>
          <w:tcPr>
            <w:tcW w:w="1712" w:type="dxa"/>
            <w:vMerge/>
            <w:vAlign w:val="center"/>
            <w:hideMark/>
          </w:tcPr>
          <w:p w14:paraId="59E5FF24" w14:textId="77777777" w:rsidR="00F16118" w:rsidRPr="008B2B4C" w:rsidRDefault="00F16118" w:rsidP="008B2B4C">
            <w:pPr>
              <w:rPr>
                <w:rFonts w:ascii="Arial" w:hAnsi="Arial" w:cs="Arial"/>
                <w:sz w:val="16"/>
                <w:szCs w:val="16"/>
              </w:rPr>
            </w:pPr>
          </w:p>
        </w:tc>
        <w:tc>
          <w:tcPr>
            <w:tcW w:w="2423" w:type="dxa"/>
            <w:vAlign w:val="center"/>
            <w:hideMark/>
          </w:tcPr>
          <w:p w14:paraId="6779FF96" w14:textId="77777777" w:rsidR="00F16118" w:rsidRPr="008B2B4C" w:rsidRDefault="00F16118" w:rsidP="008B2B4C">
            <w:pPr>
              <w:rPr>
                <w:rFonts w:ascii="Arial" w:hAnsi="Arial" w:cs="Arial"/>
                <w:sz w:val="16"/>
                <w:szCs w:val="16"/>
              </w:rPr>
            </w:pPr>
            <w:r w:rsidRPr="008B2B4C">
              <w:rPr>
                <w:rFonts w:ascii="Arial" w:hAnsi="Arial" w:cs="Arial"/>
                <w:color w:val="FF0000"/>
                <w:sz w:val="16"/>
                <w:szCs w:val="16"/>
              </w:rPr>
              <w:t>WP:50 / month</w:t>
            </w:r>
          </w:p>
        </w:tc>
        <w:tc>
          <w:tcPr>
            <w:tcW w:w="1882" w:type="dxa"/>
            <w:vAlign w:val="center"/>
            <w:hideMark/>
          </w:tcPr>
          <w:p w14:paraId="4E4F12D4" w14:textId="77777777" w:rsidR="00F16118" w:rsidRPr="008B2B4C" w:rsidRDefault="00F16118" w:rsidP="008B2B4C">
            <w:pPr>
              <w:rPr>
                <w:rFonts w:ascii="Arial" w:hAnsi="Arial" w:cs="Arial"/>
                <w:sz w:val="16"/>
                <w:szCs w:val="16"/>
              </w:rPr>
            </w:pPr>
            <w:r w:rsidRPr="008B2B4C">
              <w:rPr>
                <w:rFonts w:ascii="Arial" w:hAnsi="Arial" w:cs="Arial"/>
                <w:sz w:val="16"/>
                <w:szCs w:val="16"/>
              </w:rPr>
              <w:t>1 Month Not Met</w:t>
            </w:r>
          </w:p>
        </w:tc>
        <w:tc>
          <w:tcPr>
            <w:tcW w:w="2016" w:type="dxa"/>
            <w:vAlign w:val="center"/>
            <w:hideMark/>
          </w:tcPr>
          <w:p w14:paraId="4A923A16" w14:textId="77777777" w:rsidR="00F16118" w:rsidRPr="008B2B4C" w:rsidRDefault="00F16118" w:rsidP="008B2B4C">
            <w:pPr>
              <w:rPr>
                <w:rFonts w:ascii="Arial" w:hAnsi="Arial" w:cs="Arial"/>
                <w:sz w:val="16"/>
                <w:szCs w:val="16"/>
              </w:rPr>
            </w:pPr>
            <w:r w:rsidRPr="008B2B4C">
              <w:rPr>
                <w:rFonts w:ascii="Arial" w:hAnsi="Arial" w:cs="Arial"/>
                <w:sz w:val="16"/>
                <w:szCs w:val="16"/>
              </w:rPr>
              <w:t>Goals Generally Met</w:t>
            </w:r>
          </w:p>
        </w:tc>
        <w:tc>
          <w:tcPr>
            <w:tcW w:w="1317" w:type="dxa"/>
            <w:vAlign w:val="center"/>
          </w:tcPr>
          <w:p w14:paraId="66CB4D7C" w14:textId="77777777" w:rsidR="00F16118" w:rsidRPr="008B2B4C" w:rsidRDefault="00F16118" w:rsidP="008B2B4C">
            <w:pPr>
              <w:jc w:val="center"/>
              <w:rPr>
                <w:rFonts w:ascii="Arial" w:hAnsi="Arial" w:cs="Arial"/>
                <w:sz w:val="16"/>
                <w:szCs w:val="16"/>
              </w:rPr>
            </w:pPr>
            <w:r w:rsidRPr="008B2B4C">
              <w:rPr>
                <w:rFonts w:ascii="Arial" w:hAnsi="Arial" w:cs="Arial"/>
                <w:color w:val="FF0000"/>
                <w:sz w:val="16"/>
                <w:szCs w:val="16"/>
              </w:rPr>
              <w:t>NO</w:t>
            </w:r>
          </w:p>
        </w:tc>
      </w:tr>
      <w:tr w:rsidR="00F16118" w:rsidRPr="00B15BBE" w14:paraId="4308B3A8" w14:textId="77777777" w:rsidTr="008B2B4C">
        <w:trPr>
          <w:trHeight w:val="225"/>
          <w:jc w:val="center"/>
        </w:trPr>
        <w:tc>
          <w:tcPr>
            <w:tcW w:w="1712" w:type="dxa"/>
            <w:vMerge w:val="restart"/>
            <w:vAlign w:val="center"/>
          </w:tcPr>
          <w:p w14:paraId="62042E83" w14:textId="77777777" w:rsidR="00F16118" w:rsidRPr="008B2B4C" w:rsidRDefault="00F16118" w:rsidP="008B2B4C">
            <w:pPr>
              <w:rPr>
                <w:rFonts w:ascii="Arial" w:hAnsi="Arial" w:cs="Arial"/>
                <w:color w:val="00B050"/>
                <w:sz w:val="16"/>
                <w:szCs w:val="16"/>
              </w:rPr>
            </w:pPr>
            <w:r w:rsidRPr="008B2B4C">
              <w:rPr>
                <w:rFonts w:ascii="Arial" w:hAnsi="Arial" w:cs="Arial"/>
                <w:color w:val="00B050"/>
                <w:sz w:val="16"/>
                <w:szCs w:val="16"/>
              </w:rPr>
              <w:t>Meter Not Read in Twelve Months</w:t>
            </w:r>
          </w:p>
        </w:tc>
        <w:tc>
          <w:tcPr>
            <w:tcW w:w="2423" w:type="dxa"/>
            <w:vAlign w:val="center"/>
          </w:tcPr>
          <w:p w14:paraId="5579455C" w14:textId="77777777" w:rsidR="00F16118" w:rsidRPr="008B2B4C" w:rsidRDefault="00F16118" w:rsidP="008B2B4C">
            <w:pPr>
              <w:rPr>
                <w:rFonts w:ascii="Arial" w:hAnsi="Arial" w:cs="Arial"/>
                <w:color w:val="00B050"/>
                <w:sz w:val="16"/>
                <w:szCs w:val="16"/>
              </w:rPr>
            </w:pPr>
            <w:r w:rsidRPr="008B2B4C">
              <w:rPr>
                <w:rFonts w:ascii="Arial" w:hAnsi="Arial" w:cs="Arial"/>
                <w:color w:val="00B050"/>
                <w:sz w:val="16"/>
                <w:szCs w:val="16"/>
              </w:rPr>
              <w:t>ME: 0 / month</w:t>
            </w:r>
          </w:p>
        </w:tc>
        <w:tc>
          <w:tcPr>
            <w:tcW w:w="1882" w:type="dxa"/>
            <w:vAlign w:val="center"/>
          </w:tcPr>
          <w:p w14:paraId="2866B83C" w14:textId="77777777" w:rsidR="00F16118" w:rsidRPr="008B2B4C" w:rsidRDefault="00F16118" w:rsidP="008B2B4C">
            <w:pPr>
              <w:rPr>
                <w:rFonts w:ascii="Arial" w:hAnsi="Arial" w:cs="Arial"/>
                <w:sz w:val="16"/>
                <w:szCs w:val="16"/>
              </w:rPr>
            </w:pPr>
            <w:r w:rsidRPr="008B2B4C">
              <w:rPr>
                <w:rFonts w:ascii="Arial" w:hAnsi="Arial" w:cs="Arial"/>
                <w:sz w:val="16"/>
                <w:szCs w:val="16"/>
              </w:rPr>
              <w:t>1 Month Not Met</w:t>
            </w:r>
          </w:p>
        </w:tc>
        <w:tc>
          <w:tcPr>
            <w:tcW w:w="2016" w:type="dxa"/>
            <w:vAlign w:val="center"/>
          </w:tcPr>
          <w:p w14:paraId="07B69929" w14:textId="77777777" w:rsidR="00F16118" w:rsidRPr="008B2B4C" w:rsidRDefault="00F16118" w:rsidP="008B2B4C">
            <w:pPr>
              <w:rPr>
                <w:rFonts w:ascii="Arial" w:hAnsi="Arial" w:cs="Arial"/>
                <w:sz w:val="16"/>
                <w:szCs w:val="16"/>
              </w:rPr>
            </w:pPr>
            <w:r w:rsidRPr="008B2B4C">
              <w:rPr>
                <w:rFonts w:ascii="Arial" w:hAnsi="Arial" w:cs="Arial"/>
                <w:sz w:val="16"/>
                <w:szCs w:val="16"/>
              </w:rPr>
              <w:t>Goals Generally Met</w:t>
            </w:r>
          </w:p>
        </w:tc>
        <w:tc>
          <w:tcPr>
            <w:tcW w:w="1317" w:type="dxa"/>
            <w:vAlign w:val="center"/>
          </w:tcPr>
          <w:p w14:paraId="031E78B0" w14:textId="77777777" w:rsidR="00F16118" w:rsidRPr="008B2B4C" w:rsidRDefault="00F16118" w:rsidP="008B2B4C">
            <w:pPr>
              <w:jc w:val="center"/>
              <w:rPr>
                <w:rFonts w:ascii="Arial" w:hAnsi="Arial" w:cs="Arial"/>
                <w:sz w:val="16"/>
                <w:szCs w:val="16"/>
              </w:rPr>
            </w:pPr>
            <w:r w:rsidRPr="008B2B4C">
              <w:rPr>
                <w:rFonts w:ascii="Arial" w:hAnsi="Arial" w:cs="Arial"/>
                <w:color w:val="00B050"/>
                <w:sz w:val="16"/>
                <w:szCs w:val="16"/>
              </w:rPr>
              <w:t>YES</w:t>
            </w:r>
          </w:p>
        </w:tc>
      </w:tr>
      <w:tr w:rsidR="00F16118" w:rsidRPr="00B15BBE" w14:paraId="1ED0BCDF" w14:textId="77777777" w:rsidTr="008B2B4C">
        <w:trPr>
          <w:trHeight w:val="225"/>
          <w:jc w:val="center"/>
        </w:trPr>
        <w:tc>
          <w:tcPr>
            <w:tcW w:w="1712" w:type="dxa"/>
            <w:vMerge/>
            <w:vAlign w:val="center"/>
          </w:tcPr>
          <w:p w14:paraId="3FE104F5" w14:textId="77777777" w:rsidR="00F16118" w:rsidRPr="008B2B4C" w:rsidRDefault="00F16118" w:rsidP="008B2B4C">
            <w:pPr>
              <w:rPr>
                <w:rFonts w:ascii="Arial" w:hAnsi="Arial" w:cs="Arial"/>
                <w:sz w:val="16"/>
                <w:szCs w:val="16"/>
              </w:rPr>
            </w:pPr>
          </w:p>
        </w:tc>
        <w:tc>
          <w:tcPr>
            <w:tcW w:w="2423" w:type="dxa"/>
            <w:vAlign w:val="center"/>
          </w:tcPr>
          <w:p w14:paraId="3687FC14" w14:textId="77777777" w:rsidR="00F16118" w:rsidRPr="008B2B4C" w:rsidRDefault="00F16118" w:rsidP="008B2B4C">
            <w:pPr>
              <w:rPr>
                <w:rFonts w:ascii="Arial" w:hAnsi="Arial" w:cs="Arial"/>
                <w:color w:val="00B050"/>
                <w:sz w:val="16"/>
                <w:szCs w:val="16"/>
              </w:rPr>
            </w:pPr>
            <w:r w:rsidRPr="008B2B4C">
              <w:rPr>
                <w:rFonts w:ascii="Arial" w:hAnsi="Arial" w:cs="Arial"/>
                <w:color w:val="00B050"/>
                <w:sz w:val="16"/>
                <w:szCs w:val="16"/>
              </w:rPr>
              <w:t>PN: 0 / month</w:t>
            </w:r>
          </w:p>
        </w:tc>
        <w:tc>
          <w:tcPr>
            <w:tcW w:w="1882" w:type="dxa"/>
            <w:vAlign w:val="center"/>
          </w:tcPr>
          <w:p w14:paraId="19DE5346" w14:textId="77777777" w:rsidR="00F16118" w:rsidRPr="008B2B4C" w:rsidRDefault="00F16118" w:rsidP="008B2B4C">
            <w:pPr>
              <w:rPr>
                <w:rFonts w:ascii="Arial" w:hAnsi="Arial" w:cs="Arial"/>
                <w:sz w:val="16"/>
                <w:szCs w:val="16"/>
              </w:rPr>
            </w:pPr>
            <w:r w:rsidRPr="008B2B4C">
              <w:rPr>
                <w:rFonts w:ascii="Arial" w:hAnsi="Arial" w:cs="Arial"/>
                <w:sz w:val="16"/>
                <w:szCs w:val="16"/>
              </w:rPr>
              <w:t>Goals Met</w:t>
            </w:r>
          </w:p>
        </w:tc>
        <w:tc>
          <w:tcPr>
            <w:tcW w:w="2016" w:type="dxa"/>
            <w:vAlign w:val="center"/>
          </w:tcPr>
          <w:p w14:paraId="012D6D44" w14:textId="77777777" w:rsidR="00F16118" w:rsidRPr="008B2B4C" w:rsidRDefault="00F16118" w:rsidP="008B2B4C">
            <w:pPr>
              <w:rPr>
                <w:rFonts w:ascii="Arial" w:hAnsi="Arial" w:cs="Arial"/>
                <w:sz w:val="16"/>
                <w:szCs w:val="16"/>
              </w:rPr>
            </w:pPr>
            <w:r w:rsidRPr="008B2B4C">
              <w:rPr>
                <w:rFonts w:ascii="Arial" w:hAnsi="Arial" w:cs="Arial"/>
                <w:sz w:val="16"/>
                <w:szCs w:val="16"/>
              </w:rPr>
              <w:t>Goals Generally Met</w:t>
            </w:r>
          </w:p>
        </w:tc>
        <w:tc>
          <w:tcPr>
            <w:tcW w:w="1317" w:type="dxa"/>
            <w:vAlign w:val="center"/>
          </w:tcPr>
          <w:p w14:paraId="46C56C18" w14:textId="77777777" w:rsidR="00F16118" w:rsidRPr="008B2B4C" w:rsidRDefault="00F16118" w:rsidP="008B2B4C">
            <w:pPr>
              <w:jc w:val="center"/>
              <w:rPr>
                <w:rFonts w:ascii="Arial" w:hAnsi="Arial" w:cs="Arial"/>
                <w:sz w:val="16"/>
                <w:szCs w:val="16"/>
              </w:rPr>
            </w:pPr>
            <w:r w:rsidRPr="008B2B4C">
              <w:rPr>
                <w:rFonts w:ascii="Arial" w:hAnsi="Arial" w:cs="Arial"/>
                <w:color w:val="00B050"/>
                <w:sz w:val="16"/>
                <w:szCs w:val="16"/>
              </w:rPr>
              <w:t>YES</w:t>
            </w:r>
          </w:p>
        </w:tc>
      </w:tr>
      <w:tr w:rsidR="00F16118" w:rsidRPr="00B15BBE" w14:paraId="79EC9E65" w14:textId="77777777" w:rsidTr="008B2B4C">
        <w:trPr>
          <w:trHeight w:val="225"/>
          <w:jc w:val="center"/>
        </w:trPr>
        <w:tc>
          <w:tcPr>
            <w:tcW w:w="1712" w:type="dxa"/>
            <w:vMerge/>
            <w:vAlign w:val="center"/>
          </w:tcPr>
          <w:p w14:paraId="48EA8862" w14:textId="77777777" w:rsidR="00F16118" w:rsidRPr="008B2B4C" w:rsidRDefault="00F16118" w:rsidP="008B2B4C">
            <w:pPr>
              <w:rPr>
                <w:rFonts w:ascii="Arial" w:hAnsi="Arial" w:cs="Arial"/>
                <w:sz w:val="16"/>
                <w:szCs w:val="16"/>
              </w:rPr>
            </w:pPr>
          </w:p>
        </w:tc>
        <w:tc>
          <w:tcPr>
            <w:tcW w:w="2423" w:type="dxa"/>
            <w:vAlign w:val="center"/>
          </w:tcPr>
          <w:p w14:paraId="687EFB7B" w14:textId="77777777" w:rsidR="00F16118" w:rsidRPr="008B2B4C" w:rsidRDefault="00F16118" w:rsidP="008B2B4C">
            <w:pPr>
              <w:rPr>
                <w:rFonts w:ascii="Arial" w:hAnsi="Arial" w:cs="Arial"/>
                <w:color w:val="00B050"/>
                <w:sz w:val="16"/>
                <w:szCs w:val="16"/>
              </w:rPr>
            </w:pPr>
            <w:r w:rsidRPr="008B2B4C">
              <w:rPr>
                <w:rFonts w:ascii="Arial" w:hAnsi="Arial" w:cs="Arial"/>
                <w:color w:val="00B050"/>
                <w:sz w:val="16"/>
                <w:szCs w:val="16"/>
              </w:rPr>
              <w:t>PP: 0 / month</w:t>
            </w:r>
          </w:p>
        </w:tc>
        <w:tc>
          <w:tcPr>
            <w:tcW w:w="1882" w:type="dxa"/>
            <w:vAlign w:val="center"/>
          </w:tcPr>
          <w:p w14:paraId="6A827C64" w14:textId="77777777" w:rsidR="00F16118" w:rsidRPr="008B2B4C" w:rsidRDefault="00F16118" w:rsidP="008B2B4C">
            <w:pPr>
              <w:rPr>
                <w:rFonts w:ascii="Arial" w:hAnsi="Arial" w:cs="Arial"/>
                <w:sz w:val="16"/>
                <w:szCs w:val="16"/>
              </w:rPr>
            </w:pPr>
            <w:r w:rsidRPr="008B2B4C">
              <w:rPr>
                <w:rFonts w:ascii="Arial" w:hAnsi="Arial" w:cs="Arial"/>
                <w:sz w:val="16"/>
                <w:szCs w:val="16"/>
              </w:rPr>
              <w:t>Goals Met</w:t>
            </w:r>
          </w:p>
        </w:tc>
        <w:tc>
          <w:tcPr>
            <w:tcW w:w="2016" w:type="dxa"/>
            <w:vAlign w:val="center"/>
          </w:tcPr>
          <w:p w14:paraId="2AEAF8F2" w14:textId="77777777" w:rsidR="00F16118" w:rsidRPr="008B2B4C" w:rsidRDefault="00F16118" w:rsidP="008B2B4C">
            <w:pPr>
              <w:rPr>
                <w:rFonts w:ascii="Arial" w:hAnsi="Arial" w:cs="Arial"/>
                <w:sz w:val="16"/>
                <w:szCs w:val="16"/>
              </w:rPr>
            </w:pPr>
            <w:r w:rsidRPr="008B2B4C">
              <w:rPr>
                <w:rFonts w:ascii="Arial" w:hAnsi="Arial" w:cs="Arial"/>
                <w:sz w:val="16"/>
                <w:szCs w:val="16"/>
              </w:rPr>
              <w:t>Goals Generally Met</w:t>
            </w:r>
          </w:p>
        </w:tc>
        <w:tc>
          <w:tcPr>
            <w:tcW w:w="1317" w:type="dxa"/>
            <w:vAlign w:val="center"/>
          </w:tcPr>
          <w:p w14:paraId="135D35FB" w14:textId="77777777" w:rsidR="00F16118" w:rsidRPr="008B2B4C" w:rsidRDefault="00F16118" w:rsidP="008B2B4C">
            <w:pPr>
              <w:jc w:val="center"/>
              <w:rPr>
                <w:rFonts w:ascii="Arial" w:hAnsi="Arial" w:cs="Arial"/>
                <w:sz w:val="16"/>
                <w:szCs w:val="16"/>
              </w:rPr>
            </w:pPr>
            <w:r w:rsidRPr="008B2B4C">
              <w:rPr>
                <w:rFonts w:ascii="Arial" w:hAnsi="Arial" w:cs="Arial"/>
                <w:color w:val="00B050"/>
                <w:sz w:val="16"/>
                <w:szCs w:val="16"/>
              </w:rPr>
              <w:t>YES</w:t>
            </w:r>
          </w:p>
        </w:tc>
      </w:tr>
      <w:tr w:rsidR="00F16118" w:rsidRPr="00B15BBE" w14:paraId="3B67FFCA" w14:textId="77777777" w:rsidTr="008B2B4C">
        <w:trPr>
          <w:trHeight w:val="225"/>
          <w:jc w:val="center"/>
        </w:trPr>
        <w:tc>
          <w:tcPr>
            <w:tcW w:w="1712" w:type="dxa"/>
            <w:vMerge/>
            <w:vAlign w:val="center"/>
          </w:tcPr>
          <w:p w14:paraId="05857C16" w14:textId="77777777" w:rsidR="00F16118" w:rsidRPr="008B2B4C" w:rsidRDefault="00F16118" w:rsidP="008B2B4C">
            <w:pPr>
              <w:rPr>
                <w:rFonts w:ascii="Arial" w:hAnsi="Arial" w:cs="Arial"/>
                <w:sz w:val="16"/>
                <w:szCs w:val="16"/>
              </w:rPr>
            </w:pPr>
          </w:p>
        </w:tc>
        <w:tc>
          <w:tcPr>
            <w:tcW w:w="2423" w:type="dxa"/>
            <w:vAlign w:val="center"/>
          </w:tcPr>
          <w:p w14:paraId="6CF600FA" w14:textId="77777777" w:rsidR="00F16118" w:rsidRPr="008B2B4C" w:rsidRDefault="00F16118" w:rsidP="008B2B4C">
            <w:pPr>
              <w:rPr>
                <w:rFonts w:ascii="Arial" w:hAnsi="Arial" w:cs="Arial"/>
                <w:color w:val="00B050"/>
                <w:sz w:val="16"/>
                <w:szCs w:val="16"/>
              </w:rPr>
            </w:pPr>
            <w:r w:rsidRPr="008B2B4C">
              <w:rPr>
                <w:rFonts w:ascii="Arial" w:hAnsi="Arial" w:cs="Arial"/>
                <w:color w:val="00B050"/>
                <w:sz w:val="16"/>
                <w:szCs w:val="16"/>
              </w:rPr>
              <w:t>WP: 0 / month</w:t>
            </w:r>
          </w:p>
        </w:tc>
        <w:tc>
          <w:tcPr>
            <w:tcW w:w="1882" w:type="dxa"/>
            <w:vAlign w:val="center"/>
          </w:tcPr>
          <w:p w14:paraId="34905E5F" w14:textId="77777777" w:rsidR="00F16118" w:rsidRPr="008B2B4C" w:rsidRDefault="00F16118" w:rsidP="008B2B4C">
            <w:pPr>
              <w:rPr>
                <w:rFonts w:ascii="Arial" w:hAnsi="Arial" w:cs="Arial"/>
                <w:sz w:val="16"/>
                <w:szCs w:val="16"/>
              </w:rPr>
            </w:pPr>
            <w:r w:rsidRPr="008B2B4C">
              <w:rPr>
                <w:rFonts w:ascii="Arial" w:hAnsi="Arial" w:cs="Arial"/>
                <w:sz w:val="16"/>
                <w:szCs w:val="16"/>
              </w:rPr>
              <w:t>4 Months Not Met</w:t>
            </w:r>
          </w:p>
        </w:tc>
        <w:tc>
          <w:tcPr>
            <w:tcW w:w="2016" w:type="dxa"/>
            <w:vAlign w:val="center"/>
          </w:tcPr>
          <w:p w14:paraId="21813D8D" w14:textId="77777777" w:rsidR="00F16118" w:rsidRPr="008B2B4C" w:rsidRDefault="00F16118" w:rsidP="008B2B4C">
            <w:pPr>
              <w:rPr>
                <w:rFonts w:ascii="Arial" w:hAnsi="Arial" w:cs="Arial"/>
                <w:sz w:val="16"/>
                <w:szCs w:val="16"/>
              </w:rPr>
            </w:pPr>
            <w:r w:rsidRPr="008B2B4C">
              <w:rPr>
                <w:rFonts w:ascii="Arial" w:hAnsi="Arial" w:cs="Arial"/>
                <w:sz w:val="16"/>
                <w:szCs w:val="16"/>
              </w:rPr>
              <w:t>Goals Generally Met</w:t>
            </w:r>
          </w:p>
        </w:tc>
        <w:tc>
          <w:tcPr>
            <w:tcW w:w="1317" w:type="dxa"/>
            <w:vAlign w:val="center"/>
          </w:tcPr>
          <w:p w14:paraId="7623184C" w14:textId="77777777" w:rsidR="00F16118" w:rsidRPr="008B2B4C" w:rsidRDefault="00F16118" w:rsidP="008B2B4C">
            <w:pPr>
              <w:jc w:val="center"/>
              <w:rPr>
                <w:rFonts w:ascii="Arial" w:hAnsi="Arial" w:cs="Arial"/>
                <w:sz w:val="16"/>
                <w:szCs w:val="16"/>
              </w:rPr>
            </w:pPr>
            <w:r w:rsidRPr="008B2B4C">
              <w:rPr>
                <w:rFonts w:ascii="Arial" w:hAnsi="Arial" w:cs="Arial"/>
                <w:color w:val="00B050"/>
                <w:sz w:val="16"/>
                <w:szCs w:val="16"/>
              </w:rPr>
              <w:t>YES</w:t>
            </w:r>
          </w:p>
        </w:tc>
      </w:tr>
      <w:tr w:rsidR="00F16118" w:rsidRPr="00B15BBE" w14:paraId="3ABC48B3" w14:textId="77777777" w:rsidTr="008B2B4C">
        <w:trPr>
          <w:trHeight w:val="225"/>
          <w:jc w:val="center"/>
        </w:trPr>
        <w:tc>
          <w:tcPr>
            <w:tcW w:w="1712" w:type="dxa"/>
            <w:vMerge w:val="restart"/>
            <w:vAlign w:val="center"/>
          </w:tcPr>
          <w:p w14:paraId="1FCCBCAE" w14:textId="77777777" w:rsidR="00F16118" w:rsidRPr="008B2B4C" w:rsidRDefault="00F16118" w:rsidP="008B2B4C">
            <w:pPr>
              <w:rPr>
                <w:rFonts w:ascii="Arial" w:hAnsi="Arial" w:cs="Arial"/>
                <w:sz w:val="16"/>
                <w:szCs w:val="16"/>
              </w:rPr>
            </w:pPr>
            <w:r w:rsidRPr="008B2B4C">
              <w:rPr>
                <w:rFonts w:ascii="Arial" w:hAnsi="Arial" w:cs="Arial"/>
                <w:sz w:val="16"/>
                <w:szCs w:val="16"/>
              </w:rPr>
              <w:t>Meters Without a Location</w:t>
            </w:r>
          </w:p>
        </w:tc>
        <w:tc>
          <w:tcPr>
            <w:tcW w:w="2423" w:type="dxa"/>
            <w:vAlign w:val="center"/>
          </w:tcPr>
          <w:p w14:paraId="0C6F1FF4" w14:textId="77777777" w:rsidR="00F16118" w:rsidRPr="008B2B4C" w:rsidRDefault="00F16118" w:rsidP="008B2B4C">
            <w:pPr>
              <w:rPr>
                <w:rFonts w:ascii="Arial" w:hAnsi="Arial" w:cs="Arial"/>
                <w:sz w:val="16"/>
                <w:szCs w:val="16"/>
              </w:rPr>
            </w:pPr>
            <w:r w:rsidRPr="008B2B4C">
              <w:rPr>
                <w:rFonts w:ascii="Arial" w:hAnsi="Arial" w:cs="Arial"/>
                <w:sz w:val="16"/>
                <w:szCs w:val="16"/>
              </w:rPr>
              <w:t>ME: 0.03%</w:t>
            </w:r>
          </w:p>
        </w:tc>
        <w:tc>
          <w:tcPr>
            <w:tcW w:w="1882" w:type="dxa"/>
            <w:vAlign w:val="center"/>
          </w:tcPr>
          <w:p w14:paraId="1E2984B9" w14:textId="77777777" w:rsidR="00F16118" w:rsidRPr="008B2B4C" w:rsidRDefault="00F16118" w:rsidP="008B2B4C">
            <w:pPr>
              <w:rPr>
                <w:rFonts w:ascii="Arial" w:hAnsi="Arial" w:cs="Arial"/>
                <w:sz w:val="16"/>
                <w:szCs w:val="16"/>
              </w:rPr>
            </w:pPr>
            <w:r w:rsidRPr="008B2B4C">
              <w:rPr>
                <w:rFonts w:ascii="Arial" w:hAnsi="Arial" w:cs="Arial"/>
                <w:sz w:val="16"/>
                <w:szCs w:val="16"/>
              </w:rPr>
              <w:t>Goals Met</w:t>
            </w:r>
          </w:p>
        </w:tc>
        <w:tc>
          <w:tcPr>
            <w:tcW w:w="2016" w:type="dxa"/>
            <w:vAlign w:val="center"/>
          </w:tcPr>
          <w:p w14:paraId="39D55FB6" w14:textId="77777777" w:rsidR="00F16118" w:rsidRPr="008B2B4C" w:rsidRDefault="00F16118" w:rsidP="008B2B4C">
            <w:pPr>
              <w:rPr>
                <w:rFonts w:ascii="Arial" w:hAnsi="Arial" w:cs="Arial"/>
                <w:sz w:val="16"/>
                <w:szCs w:val="16"/>
              </w:rPr>
            </w:pPr>
            <w:r w:rsidRPr="008B2B4C">
              <w:rPr>
                <w:rFonts w:ascii="Arial" w:hAnsi="Arial" w:cs="Arial"/>
                <w:sz w:val="16"/>
                <w:szCs w:val="16"/>
              </w:rPr>
              <w:t>No goals before 2017</w:t>
            </w:r>
          </w:p>
        </w:tc>
        <w:tc>
          <w:tcPr>
            <w:tcW w:w="1317" w:type="dxa"/>
            <w:vAlign w:val="center"/>
          </w:tcPr>
          <w:p w14:paraId="49C58CED" w14:textId="77777777" w:rsidR="00F16118" w:rsidRPr="008B2B4C" w:rsidRDefault="00F16118" w:rsidP="008B2B4C">
            <w:pPr>
              <w:jc w:val="center"/>
              <w:rPr>
                <w:rFonts w:ascii="Arial" w:hAnsi="Arial" w:cs="Arial"/>
                <w:sz w:val="16"/>
                <w:szCs w:val="16"/>
              </w:rPr>
            </w:pPr>
            <w:r w:rsidRPr="008B2B4C">
              <w:rPr>
                <w:rFonts w:ascii="Arial" w:hAnsi="Arial" w:cs="Arial"/>
                <w:sz w:val="16"/>
                <w:szCs w:val="16"/>
              </w:rPr>
              <w:t>NA</w:t>
            </w:r>
          </w:p>
        </w:tc>
      </w:tr>
      <w:tr w:rsidR="00F16118" w:rsidRPr="00B15BBE" w14:paraId="67EF8F1C" w14:textId="77777777" w:rsidTr="008B2B4C">
        <w:trPr>
          <w:trHeight w:val="225"/>
          <w:jc w:val="center"/>
        </w:trPr>
        <w:tc>
          <w:tcPr>
            <w:tcW w:w="1712" w:type="dxa"/>
            <w:vMerge/>
            <w:vAlign w:val="center"/>
          </w:tcPr>
          <w:p w14:paraId="643DC461" w14:textId="77777777" w:rsidR="00F16118" w:rsidRPr="008B2B4C" w:rsidRDefault="00F16118" w:rsidP="008B2B4C">
            <w:pPr>
              <w:rPr>
                <w:rFonts w:ascii="Arial" w:hAnsi="Arial" w:cs="Arial"/>
                <w:sz w:val="16"/>
                <w:szCs w:val="16"/>
              </w:rPr>
            </w:pPr>
          </w:p>
        </w:tc>
        <w:tc>
          <w:tcPr>
            <w:tcW w:w="2423" w:type="dxa"/>
            <w:vAlign w:val="center"/>
          </w:tcPr>
          <w:p w14:paraId="30A3B6C6" w14:textId="77777777" w:rsidR="00F16118" w:rsidRPr="008B2B4C" w:rsidRDefault="00F16118" w:rsidP="008B2B4C">
            <w:pPr>
              <w:rPr>
                <w:rFonts w:ascii="Arial" w:hAnsi="Arial" w:cs="Arial"/>
                <w:sz w:val="16"/>
                <w:szCs w:val="16"/>
              </w:rPr>
            </w:pPr>
            <w:r w:rsidRPr="008B2B4C">
              <w:rPr>
                <w:rFonts w:ascii="Arial" w:hAnsi="Arial" w:cs="Arial"/>
                <w:sz w:val="16"/>
                <w:szCs w:val="16"/>
              </w:rPr>
              <w:t>PN: 0.03%</w:t>
            </w:r>
          </w:p>
        </w:tc>
        <w:tc>
          <w:tcPr>
            <w:tcW w:w="1882" w:type="dxa"/>
            <w:vAlign w:val="center"/>
          </w:tcPr>
          <w:p w14:paraId="13A7953C" w14:textId="77777777" w:rsidR="00F16118" w:rsidRPr="008B2B4C" w:rsidRDefault="00F16118" w:rsidP="008B2B4C">
            <w:pPr>
              <w:rPr>
                <w:rFonts w:ascii="Arial" w:hAnsi="Arial" w:cs="Arial"/>
                <w:sz w:val="16"/>
                <w:szCs w:val="16"/>
              </w:rPr>
            </w:pPr>
            <w:r w:rsidRPr="008B2B4C">
              <w:rPr>
                <w:rFonts w:ascii="Arial" w:hAnsi="Arial" w:cs="Arial"/>
                <w:sz w:val="16"/>
                <w:szCs w:val="16"/>
              </w:rPr>
              <w:t>Goals Met</w:t>
            </w:r>
          </w:p>
        </w:tc>
        <w:tc>
          <w:tcPr>
            <w:tcW w:w="2016" w:type="dxa"/>
            <w:vAlign w:val="center"/>
          </w:tcPr>
          <w:p w14:paraId="1F14E754" w14:textId="77777777" w:rsidR="00F16118" w:rsidRPr="008B2B4C" w:rsidRDefault="00F16118" w:rsidP="008B2B4C">
            <w:pPr>
              <w:rPr>
                <w:rFonts w:ascii="Arial" w:hAnsi="Arial" w:cs="Arial"/>
                <w:sz w:val="16"/>
                <w:szCs w:val="16"/>
              </w:rPr>
            </w:pPr>
            <w:r w:rsidRPr="008B2B4C">
              <w:rPr>
                <w:rFonts w:ascii="Arial" w:hAnsi="Arial" w:cs="Arial"/>
                <w:sz w:val="16"/>
                <w:szCs w:val="16"/>
              </w:rPr>
              <w:t>No goals before 2017</w:t>
            </w:r>
          </w:p>
        </w:tc>
        <w:tc>
          <w:tcPr>
            <w:tcW w:w="1317" w:type="dxa"/>
            <w:vAlign w:val="center"/>
          </w:tcPr>
          <w:p w14:paraId="7FFB54C2" w14:textId="77777777" w:rsidR="00F16118" w:rsidRPr="008B2B4C" w:rsidRDefault="00F16118" w:rsidP="008B2B4C">
            <w:pPr>
              <w:jc w:val="center"/>
              <w:rPr>
                <w:rFonts w:ascii="Arial" w:hAnsi="Arial" w:cs="Arial"/>
                <w:sz w:val="16"/>
                <w:szCs w:val="16"/>
              </w:rPr>
            </w:pPr>
            <w:r w:rsidRPr="008B2B4C">
              <w:rPr>
                <w:rFonts w:ascii="Arial" w:hAnsi="Arial" w:cs="Arial"/>
                <w:sz w:val="16"/>
                <w:szCs w:val="16"/>
              </w:rPr>
              <w:t>NA</w:t>
            </w:r>
          </w:p>
        </w:tc>
      </w:tr>
      <w:tr w:rsidR="00F16118" w:rsidRPr="00B15BBE" w14:paraId="75473598" w14:textId="77777777" w:rsidTr="008B2B4C">
        <w:trPr>
          <w:trHeight w:val="225"/>
          <w:jc w:val="center"/>
        </w:trPr>
        <w:tc>
          <w:tcPr>
            <w:tcW w:w="1712" w:type="dxa"/>
            <w:vMerge/>
            <w:vAlign w:val="center"/>
          </w:tcPr>
          <w:p w14:paraId="6C521018" w14:textId="77777777" w:rsidR="00F16118" w:rsidRPr="008B2B4C" w:rsidRDefault="00F16118" w:rsidP="008B2B4C">
            <w:pPr>
              <w:rPr>
                <w:rFonts w:ascii="Arial" w:hAnsi="Arial" w:cs="Arial"/>
                <w:sz w:val="16"/>
                <w:szCs w:val="16"/>
              </w:rPr>
            </w:pPr>
          </w:p>
        </w:tc>
        <w:tc>
          <w:tcPr>
            <w:tcW w:w="2423" w:type="dxa"/>
            <w:vAlign w:val="center"/>
          </w:tcPr>
          <w:p w14:paraId="23404A47" w14:textId="77777777" w:rsidR="00F16118" w:rsidRPr="008B2B4C" w:rsidRDefault="00F16118" w:rsidP="008B2B4C">
            <w:pPr>
              <w:rPr>
                <w:rFonts w:ascii="Arial" w:hAnsi="Arial" w:cs="Arial"/>
                <w:sz w:val="16"/>
                <w:szCs w:val="16"/>
              </w:rPr>
            </w:pPr>
            <w:r w:rsidRPr="008B2B4C">
              <w:rPr>
                <w:rFonts w:ascii="Arial" w:hAnsi="Arial" w:cs="Arial"/>
                <w:sz w:val="16"/>
                <w:szCs w:val="16"/>
              </w:rPr>
              <w:t>PP: 0.03%</w:t>
            </w:r>
          </w:p>
        </w:tc>
        <w:tc>
          <w:tcPr>
            <w:tcW w:w="1882" w:type="dxa"/>
            <w:vAlign w:val="center"/>
          </w:tcPr>
          <w:p w14:paraId="746E4C73" w14:textId="77777777" w:rsidR="00F16118" w:rsidRPr="008B2B4C" w:rsidRDefault="00F16118" w:rsidP="008B2B4C">
            <w:pPr>
              <w:rPr>
                <w:rFonts w:ascii="Arial" w:hAnsi="Arial" w:cs="Arial"/>
                <w:sz w:val="16"/>
                <w:szCs w:val="16"/>
              </w:rPr>
            </w:pPr>
            <w:r w:rsidRPr="008B2B4C">
              <w:rPr>
                <w:rFonts w:ascii="Arial" w:hAnsi="Arial" w:cs="Arial"/>
                <w:sz w:val="16"/>
                <w:szCs w:val="16"/>
              </w:rPr>
              <w:t>5 Months Not Met</w:t>
            </w:r>
          </w:p>
        </w:tc>
        <w:tc>
          <w:tcPr>
            <w:tcW w:w="2016" w:type="dxa"/>
            <w:vAlign w:val="center"/>
          </w:tcPr>
          <w:p w14:paraId="4677BCA1" w14:textId="77777777" w:rsidR="00F16118" w:rsidRPr="008B2B4C" w:rsidRDefault="00F16118" w:rsidP="008B2B4C">
            <w:pPr>
              <w:rPr>
                <w:rFonts w:ascii="Arial" w:hAnsi="Arial" w:cs="Arial"/>
                <w:sz w:val="16"/>
                <w:szCs w:val="16"/>
              </w:rPr>
            </w:pPr>
            <w:r w:rsidRPr="008B2B4C">
              <w:rPr>
                <w:rFonts w:ascii="Arial" w:hAnsi="Arial" w:cs="Arial"/>
                <w:sz w:val="16"/>
                <w:szCs w:val="16"/>
              </w:rPr>
              <w:t>No goals before 2017</w:t>
            </w:r>
          </w:p>
        </w:tc>
        <w:tc>
          <w:tcPr>
            <w:tcW w:w="1317" w:type="dxa"/>
            <w:vAlign w:val="center"/>
          </w:tcPr>
          <w:p w14:paraId="7A8C5935" w14:textId="77777777" w:rsidR="00F16118" w:rsidRPr="008B2B4C" w:rsidRDefault="00F16118" w:rsidP="008B2B4C">
            <w:pPr>
              <w:jc w:val="center"/>
              <w:rPr>
                <w:rFonts w:ascii="Arial" w:hAnsi="Arial" w:cs="Arial"/>
                <w:sz w:val="16"/>
                <w:szCs w:val="16"/>
              </w:rPr>
            </w:pPr>
            <w:r w:rsidRPr="008B2B4C">
              <w:rPr>
                <w:rFonts w:ascii="Arial" w:hAnsi="Arial" w:cs="Arial"/>
                <w:sz w:val="16"/>
                <w:szCs w:val="16"/>
              </w:rPr>
              <w:t>NA</w:t>
            </w:r>
          </w:p>
        </w:tc>
      </w:tr>
      <w:tr w:rsidR="00F16118" w:rsidRPr="00B15BBE" w14:paraId="268E47E2" w14:textId="77777777" w:rsidTr="008B2B4C">
        <w:trPr>
          <w:trHeight w:val="225"/>
          <w:jc w:val="center"/>
        </w:trPr>
        <w:tc>
          <w:tcPr>
            <w:tcW w:w="1712" w:type="dxa"/>
            <w:vMerge/>
            <w:vAlign w:val="center"/>
          </w:tcPr>
          <w:p w14:paraId="47E0056C" w14:textId="77777777" w:rsidR="00F16118" w:rsidRPr="008B2B4C" w:rsidRDefault="00F16118" w:rsidP="008B2B4C">
            <w:pPr>
              <w:rPr>
                <w:rFonts w:ascii="Arial" w:hAnsi="Arial" w:cs="Arial"/>
                <w:sz w:val="16"/>
                <w:szCs w:val="16"/>
              </w:rPr>
            </w:pPr>
          </w:p>
        </w:tc>
        <w:tc>
          <w:tcPr>
            <w:tcW w:w="2423" w:type="dxa"/>
            <w:vAlign w:val="center"/>
          </w:tcPr>
          <w:p w14:paraId="783CEE27" w14:textId="77777777" w:rsidR="00F16118" w:rsidRPr="008B2B4C" w:rsidRDefault="00F16118" w:rsidP="008B2B4C">
            <w:pPr>
              <w:rPr>
                <w:rFonts w:ascii="Arial" w:hAnsi="Arial" w:cs="Arial"/>
                <w:sz w:val="16"/>
                <w:szCs w:val="16"/>
              </w:rPr>
            </w:pPr>
            <w:r w:rsidRPr="008B2B4C">
              <w:rPr>
                <w:rFonts w:ascii="Arial" w:hAnsi="Arial" w:cs="Arial"/>
                <w:sz w:val="16"/>
                <w:szCs w:val="16"/>
              </w:rPr>
              <w:t>WP: 0.03%</w:t>
            </w:r>
          </w:p>
        </w:tc>
        <w:tc>
          <w:tcPr>
            <w:tcW w:w="1882" w:type="dxa"/>
            <w:vAlign w:val="center"/>
          </w:tcPr>
          <w:p w14:paraId="548939EA" w14:textId="77777777" w:rsidR="00F16118" w:rsidRPr="008B2B4C" w:rsidRDefault="00F16118" w:rsidP="008B2B4C">
            <w:pPr>
              <w:rPr>
                <w:rFonts w:ascii="Arial" w:hAnsi="Arial" w:cs="Arial"/>
                <w:sz w:val="16"/>
                <w:szCs w:val="16"/>
              </w:rPr>
            </w:pPr>
            <w:r w:rsidRPr="008B2B4C">
              <w:rPr>
                <w:rFonts w:ascii="Arial" w:hAnsi="Arial" w:cs="Arial"/>
                <w:sz w:val="16"/>
                <w:szCs w:val="16"/>
              </w:rPr>
              <w:t>1 Month Not Met</w:t>
            </w:r>
          </w:p>
        </w:tc>
        <w:tc>
          <w:tcPr>
            <w:tcW w:w="2016" w:type="dxa"/>
            <w:vAlign w:val="center"/>
          </w:tcPr>
          <w:p w14:paraId="2F7FA7A4" w14:textId="77777777" w:rsidR="00F16118" w:rsidRPr="008B2B4C" w:rsidRDefault="00F16118" w:rsidP="008B2B4C">
            <w:pPr>
              <w:rPr>
                <w:rFonts w:ascii="Arial" w:hAnsi="Arial" w:cs="Arial"/>
                <w:sz w:val="16"/>
                <w:szCs w:val="16"/>
              </w:rPr>
            </w:pPr>
            <w:r w:rsidRPr="008B2B4C">
              <w:rPr>
                <w:rFonts w:ascii="Arial" w:hAnsi="Arial" w:cs="Arial"/>
                <w:sz w:val="16"/>
                <w:szCs w:val="16"/>
              </w:rPr>
              <w:t>No goals before 2017</w:t>
            </w:r>
          </w:p>
        </w:tc>
        <w:tc>
          <w:tcPr>
            <w:tcW w:w="1317" w:type="dxa"/>
            <w:vAlign w:val="center"/>
          </w:tcPr>
          <w:p w14:paraId="4F4F0C0E" w14:textId="77777777" w:rsidR="00F16118" w:rsidRPr="008B2B4C" w:rsidRDefault="00F16118" w:rsidP="008B2B4C">
            <w:pPr>
              <w:jc w:val="center"/>
              <w:rPr>
                <w:rFonts w:ascii="Arial" w:hAnsi="Arial" w:cs="Arial"/>
                <w:sz w:val="16"/>
                <w:szCs w:val="16"/>
              </w:rPr>
            </w:pPr>
            <w:r w:rsidRPr="008B2B4C">
              <w:rPr>
                <w:rFonts w:ascii="Arial" w:hAnsi="Arial" w:cs="Arial"/>
                <w:sz w:val="16"/>
                <w:szCs w:val="16"/>
              </w:rPr>
              <w:t>NA</w:t>
            </w:r>
          </w:p>
        </w:tc>
      </w:tr>
      <w:tr w:rsidR="00F16118" w:rsidRPr="00B15BBE" w14:paraId="3B5BBEDF" w14:textId="77777777" w:rsidTr="008B2B4C">
        <w:trPr>
          <w:trHeight w:val="225"/>
          <w:jc w:val="center"/>
        </w:trPr>
        <w:tc>
          <w:tcPr>
            <w:tcW w:w="1712" w:type="dxa"/>
            <w:vMerge w:val="restart"/>
            <w:vAlign w:val="center"/>
          </w:tcPr>
          <w:p w14:paraId="3B6877ED" w14:textId="77777777" w:rsidR="00F16118" w:rsidRPr="008B2B4C" w:rsidRDefault="00F16118" w:rsidP="008B2B4C">
            <w:pPr>
              <w:rPr>
                <w:rFonts w:ascii="Arial" w:hAnsi="Arial" w:cs="Arial"/>
                <w:sz w:val="16"/>
                <w:szCs w:val="16"/>
              </w:rPr>
            </w:pPr>
            <w:r w:rsidRPr="008B2B4C">
              <w:rPr>
                <w:rFonts w:ascii="Arial" w:hAnsi="Arial" w:cs="Arial"/>
                <w:sz w:val="16"/>
                <w:szCs w:val="16"/>
              </w:rPr>
              <w:t>Meter Read Estimates</w:t>
            </w:r>
          </w:p>
        </w:tc>
        <w:tc>
          <w:tcPr>
            <w:tcW w:w="2423" w:type="dxa"/>
            <w:vAlign w:val="center"/>
          </w:tcPr>
          <w:p w14:paraId="31CD9C3C" w14:textId="77777777" w:rsidR="00F16118" w:rsidRPr="008B2B4C" w:rsidRDefault="00F16118" w:rsidP="008B2B4C">
            <w:pPr>
              <w:rPr>
                <w:rFonts w:ascii="Arial" w:hAnsi="Arial" w:cs="Arial"/>
                <w:sz w:val="16"/>
                <w:szCs w:val="16"/>
              </w:rPr>
            </w:pPr>
            <w:r w:rsidRPr="008B2B4C">
              <w:rPr>
                <w:rFonts w:ascii="Arial" w:hAnsi="Arial" w:cs="Arial"/>
                <w:sz w:val="16"/>
                <w:szCs w:val="16"/>
              </w:rPr>
              <w:t>ME: 0.5%</w:t>
            </w:r>
          </w:p>
        </w:tc>
        <w:tc>
          <w:tcPr>
            <w:tcW w:w="1882" w:type="dxa"/>
            <w:vAlign w:val="center"/>
          </w:tcPr>
          <w:p w14:paraId="37EF7B2B" w14:textId="77777777" w:rsidR="00F16118" w:rsidRPr="008B2B4C" w:rsidRDefault="00F16118" w:rsidP="008B2B4C">
            <w:pPr>
              <w:rPr>
                <w:rFonts w:ascii="Arial" w:hAnsi="Arial" w:cs="Arial"/>
                <w:sz w:val="16"/>
                <w:szCs w:val="16"/>
              </w:rPr>
            </w:pPr>
            <w:r w:rsidRPr="008B2B4C">
              <w:rPr>
                <w:rFonts w:ascii="Arial" w:hAnsi="Arial" w:cs="Arial"/>
                <w:sz w:val="16"/>
                <w:szCs w:val="16"/>
              </w:rPr>
              <w:t>Goals Met</w:t>
            </w:r>
          </w:p>
        </w:tc>
        <w:tc>
          <w:tcPr>
            <w:tcW w:w="2016" w:type="dxa"/>
            <w:vAlign w:val="center"/>
          </w:tcPr>
          <w:p w14:paraId="7955047F" w14:textId="77777777" w:rsidR="00F16118" w:rsidRPr="008B2B4C" w:rsidRDefault="00F16118" w:rsidP="008B2B4C">
            <w:pPr>
              <w:rPr>
                <w:rFonts w:ascii="Arial" w:hAnsi="Arial" w:cs="Arial"/>
                <w:sz w:val="16"/>
                <w:szCs w:val="16"/>
              </w:rPr>
            </w:pPr>
            <w:r w:rsidRPr="008B2B4C">
              <w:rPr>
                <w:rFonts w:ascii="Arial" w:hAnsi="Arial" w:cs="Arial"/>
                <w:sz w:val="16"/>
                <w:szCs w:val="16"/>
              </w:rPr>
              <w:t>Goals Always Met</w:t>
            </w:r>
          </w:p>
        </w:tc>
        <w:tc>
          <w:tcPr>
            <w:tcW w:w="1317" w:type="dxa"/>
            <w:vAlign w:val="center"/>
          </w:tcPr>
          <w:p w14:paraId="4D9A8135" w14:textId="77777777" w:rsidR="00F16118" w:rsidRPr="008B2B4C" w:rsidRDefault="00F16118" w:rsidP="008B2B4C">
            <w:pPr>
              <w:jc w:val="center"/>
              <w:rPr>
                <w:rFonts w:ascii="Arial" w:hAnsi="Arial" w:cs="Arial"/>
                <w:sz w:val="16"/>
                <w:szCs w:val="16"/>
              </w:rPr>
            </w:pPr>
            <w:r w:rsidRPr="008B2B4C">
              <w:rPr>
                <w:rFonts w:ascii="Arial" w:hAnsi="Arial" w:cs="Arial"/>
                <w:sz w:val="16"/>
                <w:szCs w:val="16"/>
              </w:rPr>
              <w:t>NA</w:t>
            </w:r>
          </w:p>
        </w:tc>
      </w:tr>
      <w:tr w:rsidR="00F16118" w:rsidRPr="00B15BBE" w14:paraId="0D76218C" w14:textId="77777777" w:rsidTr="008B2B4C">
        <w:trPr>
          <w:trHeight w:val="225"/>
          <w:jc w:val="center"/>
        </w:trPr>
        <w:tc>
          <w:tcPr>
            <w:tcW w:w="1712" w:type="dxa"/>
            <w:vMerge/>
            <w:vAlign w:val="center"/>
          </w:tcPr>
          <w:p w14:paraId="49B64B13" w14:textId="77777777" w:rsidR="00F16118" w:rsidRPr="008B2B4C" w:rsidRDefault="00F16118" w:rsidP="008B2B4C">
            <w:pPr>
              <w:rPr>
                <w:rFonts w:ascii="Arial" w:hAnsi="Arial" w:cs="Arial"/>
                <w:sz w:val="16"/>
                <w:szCs w:val="16"/>
              </w:rPr>
            </w:pPr>
          </w:p>
        </w:tc>
        <w:tc>
          <w:tcPr>
            <w:tcW w:w="2423" w:type="dxa"/>
            <w:vAlign w:val="center"/>
          </w:tcPr>
          <w:p w14:paraId="716AFE7A" w14:textId="77777777" w:rsidR="00F16118" w:rsidRPr="008B2B4C" w:rsidRDefault="00F16118" w:rsidP="008B2B4C">
            <w:pPr>
              <w:rPr>
                <w:rFonts w:ascii="Arial" w:hAnsi="Arial" w:cs="Arial"/>
                <w:sz w:val="16"/>
                <w:szCs w:val="16"/>
              </w:rPr>
            </w:pPr>
            <w:r w:rsidRPr="008B2B4C">
              <w:rPr>
                <w:rFonts w:ascii="Arial" w:hAnsi="Arial" w:cs="Arial"/>
                <w:sz w:val="16"/>
                <w:szCs w:val="16"/>
              </w:rPr>
              <w:t>PN: 0.5%</w:t>
            </w:r>
          </w:p>
        </w:tc>
        <w:tc>
          <w:tcPr>
            <w:tcW w:w="1882" w:type="dxa"/>
            <w:vAlign w:val="center"/>
          </w:tcPr>
          <w:p w14:paraId="30B181B6" w14:textId="77777777" w:rsidR="00F16118" w:rsidRPr="008B2B4C" w:rsidRDefault="00F16118" w:rsidP="008B2B4C">
            <w:pPr>
              <w:rPr>
                <w:rFonts w:ascii="Arial" w:hAnsi="Arial" w:cs="Arial"/>
                <w:sz w:val="16"/>
                <w:szCs w:val="16"/>
              </w:rPr>
            </w:pPr>
            <w:r w:rsidRPr="008B2B4C">
              <w:rPr>
                <w:rFonts w:ascii="Arial" w:hAnsi="Arial" w:cs="Arial"/>
                <w:sz w:val="16"/>
                <w:szCs w:val="16"/>
              </w:rPr>
              <w:t>Goals Met</w:t>
            </w:r>
          </w:p>
        </w:tc>
        <w:tc>
          <w:tcPr>
            <w:tcW w:w="2016" w:type="dxa"/>
            <w:vAlign w:val="center"/>
          </w:tcPr>
          <w:p w14:paraId="24C9F278" w14:textId="77777777" w:rsidR="00F16118" w:rsidRPr="008B2B4C" w:rsidRDefault="00F16118" w:rsidP="008B2B4C">
            <w:pPr>
              <w:rPr>
                <w:rFonts w:ascii="Arial" w:hAnsi="Arial" w:cs="Arial"/>
                <w:sz w:val="16"/>
                <w:szCs w:val="16"/>
              </w:rPr>
            </w:pPr>
            <w:r w:rsidRPr="008B2B4C">
              <w:rPr>
                <w:rFonts w:ascii="Arial" w:hAnsi="Arial" w:cs="Arial"/>
                <w:sz w:val="16"/>
                <w:szCs w:val="16"/>
              </w:rPr>
              <w:t>Goals Generally Met</w:t>
            </w:r>
          </w:p>
        </w:tc>
        <w:tc>
          <w:tcPr>
            <w:tcW w:w="1317" w:type="dxa"/>
            <w:vAlign w:val="center"/>
          </w:tcPr>
          <w:p w14:paraId="7267A6C7" w14:textId="77777777" w:rsidR="00F16118" w:rsidRPr="008B2B4C" w:rsidRDefault="00F16118" w:rsidP="008B2B4C">
            <w:pPr>
              <w:jc w:val="center"/>
              <w:rPr>
                <w:rFonts w:ascii="Arial" w:hAnsi="Arial" w:cs="Arial"/>
                <w:sz w:val="16"/>
                <w:szCs w:val="16"/>
              </w:rPr>
            </w:pPr>
            <w:r w:rsidRPr="008B2B4C">
              <w:rPr>
                <w:rFonts w:ascii="Arial" w:hAnsi="Arial" w:cs="Arial"/>
                <w:sz w:val="16"/>
                <w:szCs w:val="16"/>
              </w:rPr>
              <w:t>NA</w:t>
            </w:r>
          </w:p>
        </w:tc>
      </w:tr>
      <w:tr w:rsidR="00F16118" w:rsidRPr="00B15BBE" w14:paraId="104729B8" w14:textId="77777777" w:rsidTr="008B2B4C">
        <w:trPr>
          <w:trHeight w:val="225"/>
          <w:jc w:val="center"/>
        </w:trPr>
        <w:tc>
          <w:tcPr>
            <w:tcW w:w="1712" w:type="dxa"/>
            <w:vMerge/>
            <w:vAlign w:val="center"/>
          </w:tcPr>
          <w:p w14:paraId="07F1B814" w14:textId="77777777" w:rsidR="00F16118" w:rsidRPr="008B2B4C" w:rsidRDefault="00F16118" w:rsidP="008B2B4C">
            <w:pPr>
              <w:rPr>
                <w:rFonts w:ascii="Arial" w:hAnsi="Arial" w:cs="Arial"/>
                <w:sz w:val="16"/>
                <w:szCs w:val="16"/>
              </w:rPr>
            </w:pPr>
          </w:p>
        </w:tc>
        <w:tc>
          <w:tcPr>
            <w:tcW w:w="2423" w:type="dxa"/>
            <w:vAlign w:val="center"/>
          </w:tcPr>
          <w:p w14:paraId="5F2F7DED" w14:textId="77777777" w:rsidR="00F16118" w:rsidRPr="008B2B4C" w:rsidRDefault="00F16118" w:rsidP="008B2B4C">
            <w:pPr>
              <w:rPr>
                <w:rFonts w:ascii="Arial" w:hAnsi="Arial" w:cs="Arial"/>
                <w:sz w:val="16"/>
                <w:szCs w:val="16"/>
              </w:rPr>
            </w:pPr>
            <w:r w:rsidRPr="008B2B4C">
              <w:rPr>
                <w:rFonts w:ascii="Arial" w:hAnsi="Arial" w:cs="Arial"/>
                <w:sz w:val="16"/>
                <w:szCs w:val="16"/>
              </w:rPr>
              <w:t>PP: 1.0%</w:t>
            </w:r>
          </w:p>
        </w:tc>
        <w:tc>
          <w:tcPr>
            <w:tcW w:w="1882" w:type="dxa"/>
            <w:vAlign w:val="center"/>
          </w:tcPr>
          <w:p w14:paraId="3BFEE2D0" w14:textId="77777777" w:rsidR="00F16118" w:rsidRPr="008B2B4C" w:rsidRDefault="00F16118" w:rsidP="008B2B4C">
            <w:pPr>
              <w:rPr>
                <w:rFonts w:ascii="Arial" w:hAnsi="Arial" w:cs="Arial"/>
                <w:sz w:val="16"/>
                <w:szCs w:val="16"/>
              </w:rPr>
            </w:pPr>
            <w:r w:rsidRPr="008B2B4C">
              <w:rPr>
                <w:rFonts w:ascii="Arial" w:hAnsi="Arial" w:cs="Arial"/>
                <w:sz w:val="16"/>
                <w:szCs w:val="16"/>
              </w:rPr>
              <w:t>Goals Met</w:t>
            </w:r>
          </w:p>
        </w:tc>
        <w:tc>
          <w:tcPr>
            <w:tcW w:w="2016" w:type="dxa"/>
            <w:vAlign w:val="center"/>
          </w:tcPr>
          <w:p w14:paraId="3C5006C0" w14:textId="77777777" w:rsidR="00F16118" w:rsidRPr="008B2B4C" w:rsidRDefault="00F16118" w:rsidP="008B2B4C">
            <w:pPr>
              <w:rPr>
                <w:rFonts w:ascii="Arial" w:hAnsi="Arial" w:cs="Arial"/>
                <w:sz w:val="16"/>
                <w:szCs w:val="16"/>
              </w:rPr>
            </w:pPr>
            <w:r w:rsidRPr="008B2B4C">
              <w:rPr>
                <w:rFonts w:ascii="Arial" w:hAnsi="Arial" w:cs="Arial"/>
                <w:sz w:val="16"/>
                <w:szCs w:val="16"/>
              </w:rPr>
              <w:t>Goals Generally Met</w:t>
            </w:r>
          </w:p>
        </w:tc>
        <w:tc>
          <w:tcPr>
            <w:tcW w:w="1317" w:type="dxa"/>
            <w:vAlign w:val="center"/>
          </w:tcPr>
          <w:p w14:paraId="651FCEA3" w14:textId="77777777" w:rsidR="00F16118" w:rsidRPr="008B2B4C" w:rsidRDefault="00F16118" w:rsidP="008B2B4C">
            <w:pPr>
              <w:jc w:val="center"/>
              <w:rPr>
                <w:rFonts w:ascii="Arial" w:hAnsi="Arial" w:cs="Arial"/>
                <w:sz w:val="16"/>
                <w:szCs w:val="16"/>
              </w:rPr>
            </w:pPr>
            <w:r w:rsidRPr="008B2B4C">
              <w:rPr>
                <w:rFonts w:ascii="Arial" w:hAnsi="Arial" w:cs="Arial"/>
                <w:sz w:val="16"/>
                <w:szCs w:val="16"/>
              </w:rPr>
              <w:t>NA</w:t>
            </w:r>
          </w:p>
        </w:tc>
      </w:tr>
      <w:tr w:rsidR="00F16118" w:rsidRPr="00B15BBE" w14:paraId="0B5918B8" w14:textId="77777777" w:rsidTr="008B2B4C">
        <w:trPr>
          <w:trHeight w:val="225"/>
          <w:jc w:val="center"/>
        </w:trPr>
        <w:tc>
          <w:tcPr>
            <w:tcW w:w="1712" w:type="dxa"/>
            <w:vMerge/>
            <w:vAlign w:val="center"/>
          </w:tcPr>
          <w:p w14:paraId="15183DE8" w14:textId="77777777" w:rsidR="00F16118" w:rsidRPr="008B2B4C" w:rsidRDefault="00F16118" w:rsidP="008B2B4C">
            <w:pPr>
              <w:rPr>
                <w:rFonts w:ascii="Arial" w:hAnsi="Arial" w:cs="Arial"/>
                <w:sz w:val="16"/>
                <w:szCs w:val="16"/>
              </w:rPr>
            </w:pPr>
          </w:p>
        </w:tc>
        <w:tc>
          <w:tcPr>
            <w:tcW w:w="2423" w:type="dxa"/>
            <w:vAlign w:val="center"/>
          </w:tcPr>
          <w:p w14:paraId="5E0B9A63" w14:textId="77777777" w:rsidR="00F16118" w:rsidRPr="008B2B4C" w:rsidRDefault="00F16118" w:rsidP="008B2B4C">
            <w:pPr>
              <w:rPr>
                <w:rFonts w:ascii="Arial" w:hAnsi="Arial" w:cs="Arial"/>
                <w:sz w:val="16"/>
                <w:szCs w:val="16"/>
              </w:rPr>
            </w:pPr>
            <w:r w:rsidRPr="008B2B4C">
              <w:rPr>
                <w:rFonts w:ascii="Arial" w:hAnsi="Arial" w:cs="Arial"/>
                <w:sz w:val="16"/>
                <w:szCs w:val="16"/>
              </w:rPr>
              <w:t>WP: 0.5%</w:t>
            </w:r>
          </w:p>
        </w:tc>
        <w:tc>
          <w:tcPr>
            <w:tcW w:w="1882" w:type="dxa"/>
            <w:vAlign w:val="center"/>
          </w:tcPr>
          <w:p w14:paraId="7E2EAF23" w14:textId="77777777" w:rsidR="00F16118" w:rsidRPr="008B2B4C" w:rsidRDefault="00F16118" w:rsidP="008B2B4C">
            <w:pPr>
              <w:rPr>
                <w:rFonts w:ascii="Arial" w:hAnsi="Arial" w:cs="Arial"/>
                <w:sz w:val="16"/>
                <w:szCs w:val="16"/>
              </w:rPr>
            </w:pPr>
            <w:r w:rsidRPr="008B2B4C">
              <w:rPr>
                <w:rFonts w:ascii="Arial" w:hAnsi="Arial" w:cs="Arial"/>
                <w:sz w:val="16"/>
                <w:szCs w:val="16"/>
              </w:rPr>
              <w:t>2 Months Not Met</w:t>
            </w:r>
          </w:p>
        </w:tc>
        <w:tc>
          <w:tcPr>
            <w:tcW w:w="2016" w:type="dxa"/>
            <w:vAlign w:val="center"/>
          </w:tcPr>
          <w:p w14:paraId="6001D67C" w14:textId="77777777" w:rsidR="00F16118" w:rsidRPr="008B2B4C" w:rsidRDefault="00F16118" w:rsidP="008B2B4C">
            <w:pPr>
              <w:rPr>
                <w:rFonts w:ascii="Arial" w:hAnsi="Arial" w:cs="Arial"/>
                <w:sz w:val="16"/>
                <w:szCs w:val="16"/>
              </w:rPr>
            </w:pPr>
            <w:r w:rsidRPr="008B2B4C">
              <w:rPr>
                <w:rFonts w:ascii="Arial" w:hAnsi="Arial" w:cs="Arial"/>
                <w:sz w:val="16"/>
                <w:szCs w:val="16"/>
              </w:rPr>
              <w:t>Goals Sometimes Met</w:t>
            </w:r>
          </w:p>
        </w:tc>
        <w:tc>
          <w:tcPr>
            <w:tcW w:w="1317" w:type="dxa"/>
            <w:vAlign w:val="center"/>
          </w:tcPr>
          <w:p w14:paraId="418E4E27" w14:textId="77777777" w:rsidR="00F16118" w:rsidRPr="008B2B4C" w:rsidRDefault="00F16118" w:rsidP="008B2B4C">
            <w:pPr>
              <w:jc w:val="center"/>
              <w:rPr>
                <w:rFonts w:ascii="Arial" w:hAnsi="Arial" w:cs="Arial"/>
                <w:sz w:val="16"/>
                <w:szCs w:val="16"/>
              </w:rPr>
            </w:pPr>
            <w:r w:rsidRPr="008B2B4C">
              <w:rPr>
                <w:rFonts w:ascii="Arial" w:hAnsi="Arial" w:cs="Arial"/>
                <w:sz w:val="16"/>
                <w:szCs w:val="16"/>
              </w:rPr>
              <w:t>NA</w:t>
            </w:r>
          </w:p>
        </w:tc>
      </w:tr>
      <w:tr w:rsidR="00F16118" w:rsidRPr="00B15BBE" w14:paraId="1623D2E3" w14:textId="77777777" w:rsidTr="008B2B4C">
        <w:trPr>
          <w:trHeight w:val="225"/>
          <w:jc w:val="center"/>
        </w:trPr>
        <w:tc>
          <w:tcPr>
            <w:tcW w:w="1712" w:type="dxa"/>
            <w:vMerge w:val="restart"/>
            <w:vAlign w:val="center"/>
          </w:tcPr>
          <w:p w14:paraId="7416098E" w14:textId="77777777" w:rsidR="00F16118" w:rsidRPr="008B2B4C" w:rsidRDefault="00F16118" w:rsidP="008B2B4C">
            <w:pPr>
              <w:rPr>
                <w:rFonts w:ascii="Arial" w:hAnsi="Arial" w:cs="Arial"/>
                <w:sz w:val="16"/>
                <w:szCs w:val="16"/>
              </w:rPr>
            </w:pPr>
            <w:r w:rsidRPr="008B2B4C">
              <w:rPr>
                <w:rFonts w:ascii="Arial" w:hAnsi="Arial" w:cs="Arial"/>
                <w:sz w:val="16"/>
                <w:szCs w:val="16"/>
              </w:rPr>
              <w:t xml:space="preserve">Consecutive Meter Reading Estimate Rate </w:t>
            </w:r>
          </w:p>
        </w:tc>
        <w:tc>
          <w:tcPr>
            <w:tcW w:w="2423" w:type="dxa"/>
            <w:vAlign w:val="center"/>
          </w:tcPr>
          <w:p w14:paraId="0C798E11" w14:textId="77777777" w:rsidR="00F16118" w:rsidRPr="008B2B4C" w:rsidRDefault="00F16118" w:rsidP="008B2B4C">
            <w:pPr>
              <w:rPr>
                <w:rFonts w:ascii="Arial" w:hAnsi="Arial" w:cs="Arial"/>
                <w:sz w:val="16"/>
                <w:szCs w:val="16"/>
              </w:rPr>
            </w:pPr>
            <w:r w:rsidRPr="008B2B4C">
              <w:rPr>
                <w:rFonts w:ascii="Arial" w:hAnsi="Arial" w:cs="Arial"/>
                <w:sz w:val="16"/>
                <w:szCs w:val="16"/>
              </w:rPr>
              <w:t>ME: 300 as of December 2017</w:t>
            </w:r>
          </w:p>
        </w:tc>
        <w:tc>
          <w:tcPr>
            <w:tcW w:w="1882" w:type="dxa"/>
            <w:vAlign w:val="center"/>
          </w:tcPr>
          <w:p w14:paraId="2E4BD0DC" w14:textId="77777777" w:rsidR="00F16118" w:rsidRPr="008B2B4C" w:rsidRDefault="00F16118" w:rsidP="008B2B4C">
            <w:pPr>
              <w:rPr>
                <w:rFonts w:ascii="Arial" w:hAnsi="Arial" w:cs="Arial"/>
                <w:sz w:val="16"/>
                <w:szCs w:val="16"/>
              </w:rPr>
            </w:pPr>
            <w:r w:rsidRPr="008B2B4C">
              <w:rPr>
                <w:rFonts w:ascii="Arial" w:hAnsi="Arial" w:cs="Arial"/>
                <w:sz w:val="16"/>
                <w:szCs w:val="16"/>
              </w:rPr>
              <w:t>Goals Met</w:t>
            </w:r>
          </w:p>
        </w:tc>
        <w:tc>
          <w:tcPr>
            <w:tcW w:w="2016" w:type="dxa"/>
            <w:vAlign w:val="center"/>
          </w:tcPr>
          <w:p w14:paraId="2D98419E" w14:textId="77777777" w:rsidR="00F16118" w:rsidRPr="008B2B4C" w:rsidRDefault="00F16118" w:rsidP="008B2B4C">
            <w:pPr>
              <w:rPr>
                <w:rFonts w:ascii="Arial" w:hAnsi="Arial" w:cs="Arial"/>
                <w:sz w:val="16"/>
                <w:szCs w:val="16"/>
              </w:rPr>
            </w:pPr>
            <w:r w:rsidRPr="008B2B4C">
              <w:rPr>
                <w:rFonts w:ascii="Arial" w:hAnsi="Arial" w:cs="Arial"/>
                <w:sz w:val="16"/>
                <w:szCs w:val="16"/>
              </w:rPr>
              <w:t>Goals Always Met</w:t>
            </w:r>
          </w:p>
        </w:tc>
        <w:tc>
          <w:tcPr>
            <w:tcW w:w="1317" w:type="dxa"/>
            <w:vAlign w:val="center"/>
          </w:tcPr>
          <w:p w14:paraId="451A1EFE" w14:textId="77777777" w:rsidR="00F16118" w:rsidRPr="008B2B4C" w:rsidRDefault="00F16118" w:rsidP="008B2B4C">
            <w:pPr>
              <w:jc w:val="center"/>
              <w:rPr>
                <w:rFonts w:ascii="Arial" w:hAnsi="Arial" w:cs="Arial"/>
                <w:sz w:val="16"/>
                <w:szCs w:val="16"/>
              </w:rPr>
            </w:pPr>
            <w:r w:rsidRPr="008B2B4C">
              <w:rPr>
                <w:rFonts w:ascii="Arial" w:hAnsi="Arial" w:cs="Arial"/>
                <w:sz w:val="16"/>
                <w:szCs w:val="16"/>
              </w:rPr>
              <w:t>NA</w:t>
            </w:r>
          </w:p>
        </w:tc>
      </w:tr>
      <w:tr w:rsidR="00F16118" w:rsidRPr="00B15BBE" w14:paraId="6859BB16" w14:textId="77777777" w:rsidTr="008B2B4C">
        <w:trPr>
          <w:trHeight w:val="225"/>
          <w:jc w:val="center"/>
        </w:trPr>
        <w:tc>
          <w:tcPr>
            <w:tcW w:w="1712" w:type="dxa"/>
            <w:vMerge/>
            <w:vAlign w:val="center"/>
          </w:tcPr>
          <w:p w14:paraId="775E156B" w14:textId="77777777" w:rsidR="00F16118" w:rsidRPr="008B2B4C" w:rsidRDefault="00F16118" w:rsidP="008B2B4C">
            <w:pPr>
              <w:rPr>
                <w:rFonts w:ascii="Arial" w:hAnsi="Arial" w:cs="Arial"/>
                <w:sz w:val="16"/>
                <w:szCs w:val="16"/>
              </w:rPr>
            </w:pPr>
          </w:p>
        </w:tc>
        <w:tc>
          <w:tcPr>
            <w:tcW w:w="2423" w:type="dxa"/>
            <w:vAlign w:val="center"/>
          </w:tcPr>
          <w:p w14:paraId="6F68AA98" w14:textId="77777777" w:rsidR="00F16118" w:rsidRPr="008B2B4C" w:rsidRDefault="00F16118" w:rsidP="008B2B4C">
            <w:pPr>
              <w:rPr>
                <w:rFonts w:ascii="Arial" w:hAnsi="Arial" w:cs="Arial"/>
                <w:sz w:val="16"/>
                <w:szCs w:val="16"/>
              </w:rPr>
            </w:pPr>
            <w:r w:rsidRPr="008B2B4C">
              <w:rPr>
                <w:rFonts w:ascii="Arial" w:hAnsi="Arial" w:cs="Arial"/>
                <w:sz w:val="16"/>
                <w:szCs w:val="16"/>
              </w:rPr>
              <w:t>PN: 300 as of December 2017</w:t>
            </w:r>
          </w:p>
        </w:tc>
        <w:tc>
          <w:tcPr>
            <w:tcW w:w="1882" w:type="dxa"/>
            <w:vAlign w:val="center"/>
          </w:tcPr>
          <w:p w14:paraId="1D658BD2" w14:textId="77777777" w:rsidR="00F16118" w:rsidRPr="008B2B4C" w:rsidRDefault="00F16118" w:rsidP="008B2B4C">
            <w:pPr>
              <w:rPr>
                <w:rFonts w:ascii="Arial" w:hAnsi="Arial" w:cs="Arial"/>
                <w:sz w:val="16"/>
                <w:szCs w:val="16"/>
              </w:rPr>
            </w:pPr>
            <w:r w:rsidRPr="008B2B4C">
              <w:rPr>
                <w:rFonts w:ascii="Arial" w:hAnsi="Arial" w:cs="Arial"/>
                <w:sz w:val="16"/>
                <w:szCs w:val="16"/>
              </w:rPr>
              <w:t>Goals Met</w:t>
            </w:r>
          </w:p>
        </w:tc>
        <w:tc>
          <w:tcPr>
            <w:tcW w:w="2016" w:type="dxa"/>
            <w:vAlign w:val="center"/>
          </w:tcPr>
          <w:p w14:paraId="5BB1C1D7" w14:textId="77777777" w:rsidR="00F16118" w:rsidRPr="008B2B4C" w:rsidRDefault="00F16118" w:rsidP="008B2B4C">
            <w:pPr>
              <w:rPr>
                <w:rFonts w:ascii="Arial" w:hAnsi="Arial" w:cs="Arial"/>
                <w:sz w:val="16"/>
                <w:szCs w:val="16"/>
              </w:rPr>
            </w:pPr>
            <w:r w:rsidRPr="008B2B4C">
              <w:rPr>
                <w:rFonts w:ascii="Arial" w:hAnsi="Arial" w:cs="Arial"/>
                <w:sz w:val="16"/>
                <w:szCs w:val="16"/>
              </w:rPr>
              <w:t>Goals Always Met</w:t>
            </w:r>
          </w:p>
        </w:tc>
        <w:tc>
          <w:tcPr>
            <w:tcW w:w="1317" w:type="dxa"/>
            <w:vAlign w:val="center"/>
          </w:tcPr>
          <w:p w14:paraId="4D664B0B" w14:textId="77777777" w:rsidR="00F16118" w:rsidRPr="008B2B4C" w:rsidRDefault="00F16118" w:rsidP="008B2B4C">
            <w:pPr>
              <w:jc w:val="center"/>
              <w:rPr>
                <w:rFonts w:ascii="Arial" w:hAnsi="Arial" w:cs="Arial"/>
                <w:sz w:val="16"/>
                <w:szCs w:val="16"/>
              </w:rPr>
            </w:pPr>
            <w:r w:rsidRPr="008B2B4C">
              <w:rPr>
                <w:rFonts w:ascii="Arial" w:hAnsi="Arial" w:cs="Arial"/>
                <w:sz w:val="16"/>
                <w:szCs w:val="16"/>
              </w:rPr>
              <w:t>NA</w:t>
            </w:r>
          </w:p>
        </w:tc>
      </w:tr>
      <w:tr w:rsidR="00F16118" w:rsidRPr="00B15BBE" w14:paraId="6AC5036B" w14:textId="77777777" w:rsidTr="008B2B4C">
        <w:trPr>
          <w:trHeight w:val="225"/>
          <w:jc w:val="center"/>
        </w:trPr>
        <w:tc>
          <w:tcPr>
            <w:tcW w:w="1712" w:type="dxa"/>
            <w:vMerge/>
            <w:vAlign w:val="center"/>
          </w:tcPr>
          <w:p w14:paraId="556B2FE1" w14:textId="77777777" w:rsidR="00F16118" w:rsidRPr="008B2B4C" w:rsidRDefault="00F16118" w:rsidP="008B2B4C">
            <w:pPr>
              <w:rPr>
                <w:rFonts w:ascii="Arial" w:hAnsi="Arial" w:cs="Arial"/>
                <w:sz w:val="16"/>
                <w:szCs w:val="16"/>
              </w:rPr>
            </w:pPr>
          </w:p>
        </w:tc>
        <w:tc>
          <w:tcPr>
            <w:tcW w:w="2423" w:type="dxa"/>
            <w:vAlign w:val="center"/>
          </w:tcPr>
          <w:p w14:paraId="0C18B25E" w14:textId="77777777" w:rsidR="00F16118" w:rsidRPr="008B2B4C" w:rsidRDefault="00F16118" w:rsidP="008B2B4C">
            <w:pPr>
              <w:rPr>
                <w:rFonts w:ascii="Arial" w:hAnsi="Arial" w:cs="Arial"/>
                <w:sz w:val="16"/>
                <w:szCs w:val="16"/>
              </w:rPr>
            </w:pPr>
            <w:r w:rsidRPr="008B2B4C">
              <w:rPr>
                <w:rFonts w:ascii="Arial" w:hAnsi="Arial" w:cs="Arial"/>
                <w:sz w:val="16"/>
                <w:szCs w:val="16"/>
              </w:rPr>
              <w:t>PP: 500 as of December 2017</w:t>
            </w:r>
          </w:p>
        </w:tc>
        <w:tc>
          <w:tcPr>
            <w:tcW w:w="1882" w:type="dxa"/>
            <w:vAlign w:val="center"/>
          </w:tcPr>
          <w:p w14:paraId="2A7F7BA5" w14:textId="77777777" w:rsidR="00F16118" w:rsidRPr="008B2B4C" w:rsidRDefault="00F16118" w:rsidP="008B2B4C">
            <w:pPr>
              <w:rPr>
                <w:rFonts w:ascii="Arial" w:hAnsi="Arial" w:cs="Arial"/>
                <w:sz w:val="16"/>
                <w:szCs w:val="16"/>
              </w:rPr>
            </w:pPr>
            <w:r w:rsidRPr="008B2B4C">
              <w:rPr>
                <w:rFonts w:ascii="Arial" w:hAnsi="Arial" w:cs="Arial"/>
                <w:sz w:val="16"/>
                <w:szCs w:val="16"/>
              </w:rPr>
              <w:t>Goals Met</w:t>
            </w:r>
          </w:p>
        </w:tc>
        <w:tc>
          <w:tcPr>
            <w:tcW w:w="2016" w:type="dxa"/>
            <w:vAlign w:val="center"/>
          </w:tcPr>
          <w:p w14:paraId="77B724F5" w14:textId="77777777" w:rsidR="00F16118" w:rsidRPr="008B2B4C" w:rsidRDefault="00F16118" w:rsidP="008B2B4C">
            <w:pPr>
              <w:rPr>
                <w:rFonts w:ascii="Arial" w:hAnsi="Arial" w:cs="Arial"/>
                <w:sz w:val="16"/>
                <w:szCs w:val="16"/>
              </w:rPr>
            </w:pPr>
            <w:r w:rsidRPr="008B2B4C">
              <w:rPr>
                <w:rFonts w:ascii="Arial" w:hAnsi="Arial" w:cs="Arial"/>
                <w:sz w:val="16"/>
                <w:szCs w:val="16"/>
              </w:rPr>
              <w:t>Goals Sometimes Met</w:t>
            </w:r>
          </w:p>
        </w:tc>
        <w:tc>
          <w:tcPr>
            <w:tcW w:w="1317" w:type="dxa"/>
            <w:vAlign w:val="center"/>
          </w:tcPr>
          <w:p w14:paraId="4811B7CD" w14:textId="77777777" w:rsidR="00F16118" w:rsidRPr="008B2B4C" w:rsidRDefault="00F16118" w:rsidP="008B2B4C">
            <w:pPr>
              <w:jc w:val="center"/>
              <w:rPr>
                <w:rFonts w:ascii="Arial" w:hAnsi="Arial" w:cs="Arial"/>
                <w:sz w:val="16"/>
                <w:szCs w:val="16"/>
              </w:rPr>
            </w:pPr>
            <w:r w:rsidRPr="008B2B4C">
              <w:rPr>
                <w:rFonts w:ascii="Arial" w:hAnsi="Arial" w:cs="Arial"/>
                <w:sz w:val="16"/>
                <w:szCs w:val="16"/>
              </w:rPr>
              <w:t>NA</w:t>
            </w:r>
          </w:p>
        </w:tc>
      </w:tr>
      <w:tr w:rsidR="00F16118" w:rsidRPr="00B15BBE" w14:paraId="7500EF68" w14:textId="77777777" w:rsidTr="008B2B4C">
        <w:trPr>
          <w:trHeight w:val="225"/>
          <w:jc w:val="center"/>
        </w:trPr>
        <w:tc>
          <w:tcPr>
            <w:tcW w:w="1712" w:type="dxa"/>
            <w:vMerge/>
            <w:vAlign w:val="center"/>
          </w:tcPr>
          <w:p w14:paraId="232118CF" w14:textId="77777777" w:rsidR="00F16118" w:rsidRPr="008B2B4C" w:rsidRDefault="00F16118" w:rsidP="008B2B4C">
            <w:pPr>
              <w:rPr>
                <w:rFonts w:ascii="Arial" w:hAnsi="Arial" w:cs="Arial"/>
                <w:sz w:val="16"/>
                <w:szCs w:val="16"/>
              </w:rPr>
            </w:pPr>
          </w:p>
        </w:tc>
        <w:tc>
          <w:tcPr>
            <w:tcW w:w="2423" w:type="dxa"/>
            <w:vAlign w:val="center"/>
          </w:tcPr>
          <w:p w14:paraId="47C17745" w14:textId="77777777" w:rsidR="00F16118" w:rsidRPr="008B2B4C" w:rsidRDefault="00F16118" w:rsidP="008B2B4C">
            <w:pPr>
              <w:rPr>
                <w:rFonts w:ascii="Arial" w:hAnsi="Arial" w:cs="Arial"/>
                <w:sz w:val="16"/>
                <w:szCs w:val="16"/>
              </w:rPr>
            </w:pPr>
            <w:r w:rsidRPr="008B2B4C">
              <w:rPr>
                <w:rFonts w:ascii="Arial" w:hAnsi="Arial" w:cs="Arial"/>
                <w:sz w:val="16"/>
                <w:szCs w:val="16"/>
              </w:rPr>
              <w:t>WP: 300 as of December 2017</w:t>
            </w:r>
          </w:p>
        </w:tc>
        <w:tc>
          <w:tcPr>
            <w:tcW w:w="1882" w:type="dxa"/>
            <w:vAlign w:val="center"/>
          </w:tcPr>
          <w:p w14:paraId="64096323" w14:textId="77777777" w:rsidR="00F16118" w:rsidRPr="008B2B4C" w:rsidRDefault="00F16118" w:rsidP="008B2B4C">
            <w:pPr>
              <w:rPr>
                <w:rFonts w:ascii="Arial" w:hAnsi="Arial" w:cs="Arial"/>
                <w:sz w:val="16"/>
                <w:szCs w:val="16"/>
              </w:rPr>
            </w:pPr>
            <w:r w:rsidRPr="008B2B4C">
              <w:rPr>
                <w:rFonts w:ascii="Arial" w:hAnsi="Arial" w:cs="Arial"/>
                <w:sz w:val="16"/>
                <w:szCs w:val="16"/>
              </w:rPr>
              <w:t>Goals Met</w:t>
            </w:r>
          </w:p>
        </w:tc>
        <w:tc>
          <w:tcPr>
            <w:tcW w:w="2016" w:type="dxa"/>
            <w:vAlign w:val="center"/>
          </w:tcPr>
          <w:p w14:paraId="572D2415" w14:textId="77777777" w:rsidR="00F16118" w:rsidRPr="008B2B4C" w:rsidRDefault="00F16118" w:rsidP="008B2B4C">
            <w:pPr>
              <w:rPr>
                <w:rFonts w:ascii="Arial" w:hAnsi="Arial" w:cs="Arial"/>
                <w:sz w:val="16"/>
                <w:szCs w:val="16"/>
              </w:rPr>
            </w:pPr>
            <w:r w:rsidRPr="008B2B4C">
              <w:rPr>
                <w:rFonts w:ascii="Arial" w:hAnsi="Arial" w:cs="Arial"/>
                <w:sz w:val="16"/>
                <w:szCs w:val="16"/>
              </w:rPr>
              <w:t>Goals Always Met</w:t>
            </w:r>
          </w:p>
        </w:tc>
        <w:tc>
          <w:tcPr>
            <w:tcW w:w="1317" w:type="dxa"/>
            <w:vAlign w:val="center"/>
          </w:tcPr>
          <w:p w14:paraId="79CE28D2" w14:textId="77777777" w:rsidR="00F16118" w:rsidRPr="008B2B4C" w:rsidRDefault="00F16118" w:rsidP="008B2B4C">
            <w:pPr>
              <w:jc w:val="center"/>
              <w:rPr>
                <w:rFonts w:ascii="Arial" w:hAnsi="Arial" w:cs="Arial"/>
                <w:sz w:val="16"/>
                <w:szCs w:val="16"/>
              </w:rPr>
            </w:pPr>
            <w:r w:rsidRPr="008B2B4C">
              <w:rPr>
                <w:rFonts w:ascii="Arial" w:hAnsi="Arial" w:cs="Arial"/>
                <w:sz w:val="16"/>
                <w:szCs w:val="16"/>
              </w:rPr>
              <w:t>NA</w:t>
            </w:r>
          </w:p>
        </w:tc>
      </w:tr>
      <w:tr w:rsidR="00F16118" w:rsidRPr="00B15BBE" w14:paraId="0E4986AE" w14:textId="77777777" w:rsidTr="008B2B4C">
        <w:trPr>
          <w:trHeight w:val="225"/>
          <w:jc w:val="center"/>
        </w:trPr>
        <w:tc>
          <w:tcPr>
            <w:tcW w:w="9350" w:type="dxa"/>
            <w:gridSpan w:val="5"/>
            <w:shd w:val="clear" w:color="auto" w:fill="D9D9D9" w:themeFill="background1" w:themeFillShade="D9"/>
            <w:vAlign w:val="center"/>
          </w:tcPr>
          <w:p w14:paraId="3FED5102" w14:textId="77777777" w:rsidR="00F16118" w:rsidRPr="008B2B4C" w:rsidRDefault="00F16118" w:rsidP="008B2B4C">
            <w:pPr>
              <w:jc w:val="center"/>
              <w:rPr>
                <w:rFonts w:ascii="Arial" w:hAnsi="Arial" w:cs="Arial"/>
                <w:b/>
                <w:sz w:val="16"/>
                <w:szCs w:val="16"/>
              </w:rPr>
            </w:pPr>
            <w:r w:rsidRPr="008B2B4C">
              <w:rPr>
                <w:rFonts w:ascii="Arial" w:hAnsi="Arial" w:cs="Arial"/>
                <w:b/>
                <w:sz w:val="16"/>
                <w:szCs w:val="16"/>
              </w:rPr>
              <w:t>CUSTOMER SERVICE</w:t>
            </w:r>
          </w:p>
        </w:tc>
      </w:tr>
      <w:tr w:rsidR="00F16118" w:rsidRPr="00B15BBE" w14:paraId="5D4C26D6" w14:textId="77777777" w:rsidTr="008B2B4C">
        <w:trPr>
          <w:trHeight w:val="225"/>
          <w:jc w:val="center"/>
        </w:trPr>
        <w:tc>
          <w:tcPr>
            <w:tcW w:w="1712" w:type="dxa"/>
            <w:vAlign w:val="center"/>
            <w:hideMark/>
          </w:tcPr>
          <w:p w14:paraId="35C08998" w14:textId="77777777" w:rsidR="00F16118" w:rsidRPr="008B2B4C" w:rsidRDefault="00F16118" w:rsidP="008B2B4C">
            <w:pPr>
              <w:rPr>
                <w:rFonts w:ascii="Arial" w:hAnsi="Arial" w:cs="Arial"/>
                <w:sz w:val="16"/>
                <w:szCs w:val="16"/>
              </w:rPr>
            </w:pPr>
            <w:r w:rsidRPr="008B2B4C">
              <w:rPr>
                <w:rFonts w:ascii="Arial" w:hAnsi="Arial" w:cs="Arial"/>
                <w:sz w:val="16"/>
                <w:szCs w:val="16"/>
              </w:rPr>
              <w:t>% Calls Not Answered in 30 Seconds</w:t>
            </w:r>
          </w:p>
        </w:tc>
        <w:tc>
          <w:tcPr>
            <w:tcW w:w="2423" w:type="dxa"/>
            <w:vAlign w:val="center"/>
            <w:hideMark/>
          </w:tcPr>
          <w:p w14:paraId="366B5187" w14:textId="77777777" w:rsidR="00F16118" w:rsidRPr="008B2B4C" w:rsidRDefault="00F16118" w:rsidP="008B2B4C">
            <w:pPr>
              <w:rPr>
                <w:rFonts w:ascii="Arial" w:hAnsi="Arial" w:cs="Arial"/>
                <w:sz w:val="16"/>
                <w:szCs w:val="16"/>
              </w:rPr>
            </w:pPr>
            <w:r w:rsidRPr="008B2B4C">
              <w:rPr>
                <w:rFonts w:ascii="Arial" w:hAnsi="Arial" w:cs="Arial"/>
                <w:sz w:val="16"/>
                <w:szCs w:val="16"/>
              </w:rPr>
              <w:t>All EDC's: 80%</w:t>
            </w:r>
          </w:p>
        </w:tc>
        <w:tc>
          <w:tcPr>
            <w:tcW w:w="1882" w:type="dxa"/>
            <w:vAlign w:val="center"/>
            <w:hideMark/>
          </w:tcPr>
          <w:p w14:paraId="4E23828E" w14:textId="77777777" w:rsidR="00F16118" w:rsidRPr="008B2B4C" w:rsidRDefault="00F16118" w:rsidP="008B2B4C">
            <w:pPr>
              <w:rPr>
                <w:rFonts w:ascii="Arial" w:hAnsi="Arial" w:cs="Arial"/>
                <w:sz w:val="16"/>
                <w:szCs w:val="16"/>
              </w:rPr>
            </w:pPr>
            <w:r w:rsidRPr="008B2B4C">
              <w:rPr>
                <w:rFonts w:ascii="Arial" w:hAnsi="Arial" w:cs="Arial"/>
                <w:sz w:val="16"/>
                <w:szCs w:val="16"/>
              </w:rPr>
              <w:t>Goals Met</w:t>
            </w:r>
          </w:p>
        </w:tc>
        <w:tc>
          <w:tcPr>
            <w:tcW w:w="2016" w:type="dxa"/>
            <w:vAlign w:val="center"/>
            <w:hideMark/>
          </w:tcPr>
          <w:p w14:paraId="43546B9C" w14:textId="77777777" w:rsidR="00F16118" w:rsidRPr="008B2B4C" w:rsidRDefault="00F16118" w:rsidP="008B2B4C">
            <w:pPr>
              <w:rPr>
                <w:rFonts w:ascii="Arial" w:hAnsi="Arial" w:cs="Arial"/>
                <w:sz w:val="16"/>
                <w:szCs w:val="16"/>
              </w:rPr>
            </w:pPr>
            <w:r w:rsidRPr="008B2B4C">
              <w:rPr>
                <w:rFonts w:ascii="Arial" w:hAnsi="Arial" w:cs="Arial"/>
                <w:sz w:val="16"/>
                <w:szCs w:val="16"/>
              </w:rPr>
              <w:t>Goals Always Met</w:t>
            </w:r>
          </w:p>
        </w:tc>
        <w:tc>
          <w:tcPr>
            <w:tcW w:w="1317" w:type="dxa"/>
            <w:vAlign w:val="center"/>
          </w:tcPr>
          <w:p w14:paraId="18B11A56" w14:textId="77777777" w:rsidR="00F16118" w:rsidRPr="008B2B4C" w:rsidRDefault="00F16118" w:rsidP="008B2B4C">
            <w:pPr>
              <w:jc w:val="center"/>
              <w:rPr>
                <w:rFonts w:ascii="Arial" w:hAnsi="Arial" w:cs="Arial"/>
                <w:sz w:val="16"/>
                <w:szCs w:val="16"/>
              </w:rPr>
            </w:pPr>
            <w:r w:rsidRPr="008B2B4C">
              <w:rPr>
                <w:rFonts w:ascii="Arial" w:hAnsi="Arial" w:cs="Arial"/>
                <w:sz w:val="16"/>
                <w:szCs w:val="16"/>
              </w:rPr>
              <w:t>NA</w:t>
            </w:r>
          </w:p>
        </w:tc>
      </w:tr>
      <w:tr w:rsidR="00F16118" w:rsidRPr="00B15BBE" w14:paraId="5A0FF43C" w14:textId="77777777" w:rsidTr="008B2B4C">
        <w:trPr>
          <w:trHeight w:val="225"/>
          <w:jc w:val="center"/>
        </w:trPr>
        <w:tc>
          <w:tcPr>
            <w:tcW w:w="1712" w:type="dxa"/>
            <w:vMerge w:val="restart"/>
            <w:vAlign w:val="center"/>
            <w:hideMark/>
          </w:tcPr>
          <w:p w14:paraId="4D7AD887" w14:textId="77777777" w:rsidR="00F16118" w:rsidRPr="008B2B4C" w:rsidRDefault="00F16118" w:rsidP="008B2B4C">
            <w:pPr>
              <w:rPr>
                <w:rFonts w:ascii="Arial" w:hAnsi="Arial" w:cs="Arial"/>
                <w:color w:val="FF0000"/>
                <w:sz w:val="16"/>
                <w:szCs w:val="16"/>
              </w:rPr>
            </w:pPr>
            <w:r w:rsidRPr="008B2B4C">
              <w:rPr>
                <w:rFonts w:ascii="Arial" w:hAnsi="Arial" w:cs="Arial"/>
                <w:color w:val="FF0000"/>
                <w:sz w:val="16"/>
                <w:szCs w:val="16"/>
              </w:rPr>
              <w:t>Residential Disputes &gt; 30 Days</w:t>
            </w:r>
          </w:p>
        </w:tc>
        <w:tc>
          <w:tcPr>
            <w:tcW w:w="2423" w:type="dxa"/>
            <w:vAlign w:val="center"/>
            <w:hideMark/>
          </w:tcPr>
          <w:p w14:paraId="7CD18563" w14:textId="77777777" w:rsidR="00F16118" w:rsidRPr="008B2B4C" w:rsidRDefault="00F16118" w:rsidP="008B2B4C">
            <w:pPr>
              <w:rPr>
                <w:rFonts w:ascii="Arial" w:hAnsi="Arial" w:cs="Arial"/>
                <w:color w:val="FF0000"/>
                <w:sz w:val="16"/>
                <w:szCs w:val="16"/>
              </w:rPr>
            </w:pPr>
            <w:r w:rsidRPr="008B2B4C">
              <w:rPr>
                <w:rFonts w:ascii="Arial" w:hAnsi="Arial" w:cs="Arial"/>
                <w:color w:val="FF0000"/>
                <w:sz w:val="16"/>
                <w:szCs w:val="16"/>
              </w:rPr>
              <w:t>ME: 60 / month</w:t>
            </w:r>
          </w:p>
        </w:tc>
        <w:tc>
          <w:tcPr>
            <w:tcW w:w="1882" w:type="dxa"/>
            <w:vAlign w:val="center"/>
            <w:hideMark/>
          </w:tcPr>
          <w:p w14:paraId="0CF718B6" w14:textId="77777777" w:rsidR="00F16118" w:rsidRPr="008B2B4C" w:rsidRDefault="00F16118" w:rsidP="008B2B4C">
            <w:pPr>
              <w:rPr>
                <w:rFonts w:ascii="Arial" w:hAnsi="Arial" w:cs="Arial"/>
                <w:sz w:val="16"/>
                <w:szCs w:val="16"/>
              </w:rPr>
            </w:pPr>
            <w:r w:rsidRPr="008B2B4C">
              <w:rPr>
                <w:rFonts w:ascii="Arial" w:hAnsi="Arial" w:cs="Arial"/>
                <w:sz w:val="16"/>
                <w:szCs w:val="16"/>
              </w:rPr>
              <w:t>Goals Met</w:t>
            </w:r>
          </w:p>
        </w:tc>
        <w:tc>
          <w:tcPr>
            <w:tcW w:w="2016" w:type="dxa"/>
            <w:vAlign w:val="center"/>
            <w:hideMark/>
          </w:tcPr>
          <w:p w14:paraId="7E7BA766" w14:textId="77777777" w:rsidR="00F16118" w:rsidRPr="008B2B4C" w:rsidRDefault="00F16118" w:rsidP="008B2B4C">
            <w:pPr>
              <w:rPr>
                <w:rFonts w:ascii="Arial" w:hAnsi="Arial" w:cs="Arial"/>
                <w:sz w:val="16"/>
                <w:szCs w:val="16"/>
              </w:rPr>
            </w:pPr>
            <w:r w:rsidRPr="008B2B4C">
              <w:rPr>
                <w:rFonts w:ascii="Arial" w:hAnsi="Arial" w:cs="Arial"/>
                <w:sz w:val="16"/>
                <w:szCs w:val="16"/>
              </w:rPr>
              <w:t>Goals Generally Met</w:t>
            </w:r>
          </w:p>
        </w:tc>
        <w:tc>
          <w:tcPr>
            <w:tcW w:w="1317" w:type="dxa"/>
            <w:vAlign w:val="center"/>
          </w:tcPr>
          <w:p w14:paraId="68D1F77A" w14:textId="49CA5F7D" w:rsidR="00F16118" w:rsidRPr="008B2B4C" w:rsidRDefault="00F16118" w:rsidP="008B2B4C">
            <w:pPr>
              <w:jc w:val="center"/>
              <w:rPr>
                <w:rFonts w:ascii="Arial" w:hAnsi="Arial" w:cs="Arial"/>
                <w:color w:val="FF0000"/>
                <w:sz w:val="16"/>
                <w:szCs w:val="16"/>
              </w:rPr>
            </w:pPr>
            <w:r w:rsidRPr="008B2B4C">
              <w:rPr>
                <w:rFonts w:ascii="Arial" w:hAnsi="Arial" w:cs="Arial"/>
                <w:color w:val="FF0000"/>
                <w:sz w:val="16"/>
                <w:szCs w:val="16"/>
              </w:rPr>
              <w:t>NO</w:t>
            </w:r>
            <w:r w:rsidR="00912D4E">
              <w:rPr>
                <w:rFonts w:ascii="Arial" w:hAnsi="Arial" w:cs="Arial"/>
                <w:color w:val="FF0000"/>
                <w:sz w:val="16"/>
                <w:szCs w:val="16"/>
              </w:rPr>
              <w:t>*</w:t>
            </w:r>
          </w:p>
        </w:tc>
      </w:tr>
      <w:tr w:rsidR="00F16118" w:rsidRPr="00B15BBE" w14:paraId="025520D4" w14:textId="77777777" w:rsidTr="008B2B4C">
        <w:trPr>
          <w:trHeight w:val="225"/>
          <w:jc w:val="center"/>
        </w:trPr>
        <w:tc>
          <w:tcPr>
            <w:tcW w:w="1712" w:type="dxa"/>
            <w:vMerge/>
            <w:vAlign w:val="center"/>
            <w:hideMark/>
          </w:tcPr>
          <w:p w14:paraId="311997BC" w14:textId="77777777" w:rsidR="00F16118" w:rsidRPr="008B2B4C" w:rsidRDefault="00F16118" w:rsidP="008B2B4C">
            <w:pPr>
              <w:rPr>
                <w:rFonts w:ascii="Arial" w:hAnsi="Arial" w:cs="Arial"/>
                <w:color w:val="FF0000"/>
                <w:sz w:val="16"/>
                <w:szCs w:val="16"/>
              </w:rPr>
            </w:pPr>
          </w:p>
        </w:tc>
        <w:tc>
          <w:tcPr>
            <w:tcW w:w="2423" w:type="dxa"/>
            <w:vAlign w:val="center"/>
            <w:hideMark/>
          </w:tcPr>
          <w:p w14:paraId="3DDEDD64" w14:textId="77777777" w:rsidR="00F16118" w:rsidRPr="008B2B4C" w:rsidRDefault="00F16118" w:rsidP="008B2B4C">
            <w:pPr>
              <w:rPr>
                <w:rFonts w:ascii="Arial" w:hAnsi="Arial" w:cs="Arial"/>
                <w:color w:val="FF0000"/>
                <w:sz w:val="16"/>
                <w:szCs w:val="16"/>
              </w:rPr>
            </w:pPr>
            <w:r w:rsidRPr="008B2B4C">
              <w:rPr>
                <w:rFonts w:ascii="Arial" w:hAnsi="Arial" w:cs="Arial"/>
                <w:color w:val="FF0000"/>
                <w:sz w:val="16"/>
                <w:szCs w:val="16"/>
              </w:rPr>
              <w:t>PN: 60 / month</w:t>
            </w:r>
          </w:p>
        </w:tc>
        <w:tc>
          <w:tcPr>
            <w:tcW w:w="1882" w:type="dxa"/>
            <w:vAlign w:val="center"/>
            <w:hideMark/>
          </w:tcPr>
          <w:p w14:paraId="29E013DB" w14:textId="77777777" w:rsidR="00F16118" w:rsidRPr="008B2B4C" w:rsidRDefault="00F16118" w:rsidP="008B2B4C">
            <w:pPr>
              <w:rPr>
                <w:rFonts w:ascii="Arial" w:hAnsi="Arial" w:cs="Arial"/>
                <w:sz w:val="16"/>
                <w:szCs w:val="16"/>
              </w:rPr>
            </w:pPr>
            <w:r w:rsidRPr="008B2B4C">
              <w:rPr>
                <w:rFonts w:ascii="Arial" w:hAnsi="Arial" w:cs="Arial"/>
                <w:sz w:val="16"/>
                <w:szCs w:val="16"/>
              </w:rPr>
              <w:t>Goals Met</w:t>
            </w:r>
          </w:p>
        </w:tc>
        <w:tc>
          <w:tcPr>
            <w:tcW w:w="2016" w:type="dxa"/>
            <w:vAlign w:val="center"/>
            <w:hideMark/>
          </w:tcPr>
          <w:p w14:paraId="146679D3" w14:textId="77777777" w:rsidR="00F16118" w:rsidRPr="008B2B4C" w:rsidRDefault="00F16118" w:rsidP="008B2B4C">
            <w:pPr>
              <w:rPr>
                <w:rFonts w:ascii="Arial" w:hAnsi="Arial" w:cs="Arial"/>
                <w:sz w:val="16"/>
                <w:szCs w:val="16"/>
              </w:rPr>
            </w:pPr>
            <w:r w:rsidRPr="008B2B4C">
              <w:rPr>
                <w:rFonts w:ascii="Arial" w:hAnsi="Arial" w:cs="Arial"/>
                <w:sz w:val="16"/>
                <w:szCs w:val="16"/>
              </w:rPr>
              <w:t>Goals Generally Met</w:t>
            </w:r>
          </w:p>
        </w:tc>
        <w:tc>
          <w:tcPr>
            <w:tcW w:w="1317" w:type="dxa"/>
            <w:vAlign w:val="center"/>
          </w:tcPr>
          <w:p w14:paraId="3A5C4F25" w14:textId="73BE1061" w:rsidR="00F16118" w:rsidRPr="008B2B4C" w:rsidRDefault="00F16118" w:rsidP="008B2B4C">
            <w:pPr>
              <w:jc w:val="center"/>
              <w:rPr>
                <w:rFonts w:ascii="Arial" w:hAnsi="Arial" w:cs="Arial"/>
                <w:color w:val="FF0000"/>
                <w:sz w:val="16"/>
                <w:szCs w:val="16"/>
              </w:rPr>
            </w:pPr>
            <w:r w:rsidRPr="008B2B4C">
              <w:rPr>
                <w:rFonts w:ascii="Arial" w:hAnsi="Arial" w:cs="Arial"/>
                <w:color w:val="FF0000"/>
                <w:sz w:val="16"/>
                <w:szCs w:val="16"/>
              </w:rPr>
              <w:t>NO</w:t>
            </w:r>
            <w:r w:rsidR="00912D4E">
              <w:rPr>
                <w:rFonts w:ascii="Arial" w:hAnsi="Arial" w:cs="Arial"/>
                <w:color w:val="FF0000"/>
                <w:sz w:val="16"/>
                <w:szCs w:val="16"/>
              </w:rPr>
              <w:t>*</w:t>
            </w:r>
          </w:p>
        </w:tc>
      </w:tr>
      <w:tr w:rsidR="00F16118" w:rsidRPr="00B15BBE" w14:paraId="4B06A722" w14:textId="77777777" w:rsidTr="008B2B4C">
        <w:trPr>
          <w:trHeight w:val="225"/>
          <w:jc w:val="center"/>
        </w:trPr>
        <w:tc>
          <w:tcPr>
            <w:tcW w:w="1712" w:type="dxa"/>
            <w:vMerge/>
            <w:vAlign w:val="center"/>
            <w:hideMark/>
          </w:tcPr>
          <w:p w14:paraId="16D90516" w14:textId="77777777" w:rsidR="00F16118" w:rsidRPr="008B2B4C" w:rsidRDefault="00F16118" w:rsidP="008B2B4C">
            <w:pPr>
              <w:rPr>
                <w:rFonts w:ascii="Arial" w:hAnsi="Arial" w:cs="Arial"/>
                <w:color w:val="FF0000"/>
                <w:sz w:val="16"/>
                <w:szCs w:val="16"/>
              </w:rPr>
            </w:pPr>
          </w:p>
        </w:tc>
        <w:tc>
          <w:tcPr>
            <w:tcW w:w="2423" w:type="dxa"/>
            <w:vAlign w:val="center"/>
            <w:hideMark/>
          </w:tcPr>
          <w:p w14:paraId="1EA4ECF2" w14:textId="77777777" w:rsidR="00F16118" w:rsidRPr="008B2B4C" w:rsidRDefault="00F16118" w:rsidP="008B2B4C">
            <w:pPr>
              <w:rPr>
                <w:rFonts w:ascii="Arial" w:hAnsi="Arial" w:cs="Arial"/>
                <w:color w:val="FF0000"/>
                <w:sz w:val="16"/>
                <w:szCs w:val="16"/>
              </w:rPr>
            </w:pPr>
            <w:r w:rsidRPr="008B2B4C">
              <w:rPr>
                <w:rFonts w:ascii="Arial" w:hAnsi="Arial" w:cs="Arial"/>
                <w:color w:val="FF0000"/>
                <w:sz w:val="16"/>
                <w:szCs w:val="16"/>
              </w:rPr>
              <w:t>PP: 60 / month</w:t>
            </w:r>
          </w:p>
        </w:tc>
        <w:tc>
          <w:tcPr>
            <w:tcW w:w="1882" w:type="dxa"/>
            <w:vAlign w:val="center"/>
            <w:hideMark/>
          </w:tcPr>
          <w:p w14:paraId="3822C320" w14:textId="77777777" w:rsidR="00F16118" w:rsidRPr="008B2B4C" w:rsidRDefault="00F16118" w:rsidP="008B2B4C">
            <w:pPr>
              <w:rPr>
                <w:rFonts w:ascii="Arial" w:hAnsi="Arial" w:cs="Arial"/>
                <w:sz w:val="16"/>
                <w:szCs w:val="16"/>
              </w:rPr>
            </w:pPr>
            <w:r w:rsidRPr="008B2B4C">
              <w:rPr>
                <w:rFonts w:ascii="Arial" w:hAnsi="Arial" w:cs="Arial"/>
                <w:sz w:val="16"/>
                <w:szCs w:val="16"/>
              </w:rPr>
              <w:t>Goals Met</w:t>
            </w:r>
          </w:p>
        </w:tc>
        <w:tc>
          <w:tcPr>
            <w:tcW w:w="2016" w:type="dxa"/>
            <w:vAlign w:val="center"/>
            <w:hideMark/>
          </w:tcPr>
          <w:p w14:paraId="28A479D8" w14:textId="77777777" w:rsidR="00F16118" w:rsidRPr="008B2B4C" w:rsidRDefault="00F16118" w:rsidP="008B2B4C">
            <w:pPr>
              <w:rPr>
                <w:rFonts w:ascii="Arial" w:hAnsi="Arial" w:cs="Arial"/>
                <w:sz w:val="16"/>
                <w:szCs w:val="16"/>
              </w:rPr>
            </w:pPr>
            <w:r w:rsidRPr="008B2B4C">
              <w:rPr>
                <w:rFonts w:ascii="Arial" w:hAnsi="Arial" w:cs="Arial"/>
                <w:sz w:val="16"/>
                <w:szCs w:val="16"/>
              </w:rPr>
              <w:t>Goals Always Met</w:t>
            </w:r>
          </w:p>
        </w:tc>
        <w:tc>
          <w:tcPr>
            <w:tcW w:w="1317" w:type="dxa"/>
            <w:vAlign w:val="center"/>
          </w:tcPr>
          <w:p w14:paraId="48E3176E" w14:textId="5D874E80" w:rsidR="00F16118" w:rsidRPr="008B2B4C" w:rsidRDefault="00F16118" w:rsidP="008B2B4C">
            <w:pPr>
              <w:jc w:val="center"/>
              <w:rPr>
                <w:rFonts w:ascii="Arial" w:hAnsi="Arial" w:cs="Arial"/>
                <w:color w:val="FF0000"/>
                <w:sz w:val="16"/>
                <w:szCs w:val="16"/>
              </w:rPr>
            </w:pPr>
            <w:r w:rsidRPr="008B2B4C">
              <w:rPr>
                <w:rFonts w:ascii="Arial" w:hAnsi="Arial" w:cs="Arial"/>
                <w:color w:val="FF0000"/>
                <w:sz w:val="16"/>
                <w:szCs w:val="16"/>
              </w:rPr>
              <w:t>NO</w:t>
            </w:r>
            <w:r w:rsidR="00912D4E">
              <w:rPr>
                <w:rFonts w:ascii="Arial" w:hAnsi="Arial" w:cs="Arial"/>
                <w:color w:val="FF0000"/>
                <w:sz w:val="16"/>
                <w:szCs w:val="16"/>
              </w:rPr>
              <w:t>*</w:t>
            </w:r>
          </w:p>
        </w:tc>
      </w:tr>
      <w:tr w:rsidR="00F16118" w:rsidRPr="00B15BBE" w14:paraId="202D086B" w14:textId="77777777" w:rsidTr="008B2B4C">
        <w:trPr>
          <w:trHeight w:val="225"/>
          <w:jc w:val="center"/>
        </w:trPr>
        <w:tc>
          <w:tcPr>
            <w:tcW w:w="1712" w:type="dxa"/>
            <w:vMerge/>
            <w:vAlign w:val="center"/>
            <w:hideMark/>
          </w:tcPr>
          <w:p w14:paraId="5946AAD4" w14:textId="77777777" w:rsidR="00F16118" w:rsidRPr="008B2B4C" w:rsidRDefault="00F16118" w:rsidP="008B2B4C">
            <w:pPr>
              <w:rPr>
                <w:rFonts w:ascii="Arial" w:hAnsi="Arial" w:cs="Arial"/>
                <w:color w:val="FF0000"/>
                <w:sz w:val="16"/>
                <w:szCs w:val="16"/>
              </w:rPr>
            </w:pPr>
          </w:p>
        </w:tc>
        <w:tc>
          <w:tcPr>
            <w:tcW w:w="2423" w:type="dxa"/>
            <w:vAlign w:val="center"/>
            <w:hideMark/>
          </w:tcPr>
          <w:p w14:paraId="07145AF0" w14:textId="77777777" w:rsidR="00F16118" w:rsidRPr="008B2B4C" w:rsidRDefault="00F16118" w:rsidP="008B2B4C">
            <w:pPr>
              <w:rPr>
                <w:rFonts w:ascii="Arial" w:hAnsi="Arial" w:cs="Arial"/>
                <w:color w:val="FF0000"/>
                <w:sz w:val="16"/>
                <w:szCs w:val="16"/>
              </w:rPr>
            </w:pPr>
            <w:r w:rsidRPr="008B2B4C">
              <w:rPr>
                <w:rFonts w:ascii="Arial" w:hAnsi="Arial" w:cs="Arial"/>
                <w:color w:val="FF0000"/>
                <w:sz w:val="16"/>
                <w:szCs w:val="16"/>
              </w:rPr>
              <w:t>WP: 60 / month</w:t>
            </w:r>
          </w:p>
        </w:tc>
        <w:tc>
          <w:tcPr>
            <w:tcW w:w="1882" w:type="dxa"/>
            <w:vAlign w:val="center"/>
            <w:hideMark/>
          </w:tcPr>
          <w:p w14:paraId="32F16D73" w14:textId="77777777" w:rsidR="00F16118" w:rsidRPr="008B2B4C" w:rsidRDefault="00F16118" w:rsidP="008B2B4C">
            <w:pPr>
              <w:rPr>
                <w:rFonts w:ascii="Arial" w:hAnsi="Arial" w:cs="Arial"/>
                <w:sz w:val="16"/>
                <w:szCs w:val="16"/>
              </w:rPr>
            </w:pPr>
            <w:r w:rsidRPr="008B2B4C">
              <w:rPr>
                <w:rFonts w:ascii="Arial" w:hAnsi="Arial" w:cs="Arial"/>
                <w:sz w:val="16"/>
                <w:szCs w:val="16"/>
              </w:rPr>
              <w:t>Goals Met</w:t>
            </w:r>
          </w:p>
        </w:tc>
        <w:tc>
          <w:tcPr>
            <w:tcW w:w="2016" w:type="dxa"/>
            <w:vAlign w:val="center"/>
            <w:hideMark/>
          </w:tcPr>
          <w:p w14:paraId="73009A75" w14:textId="77777777" w:rsidR="00F16118" w:rsidRPr="008B2B4C" w:rsidRDefault="00F16118" w:rsidP="008B2B4C">
            <w:pPr>
              <w:rPr>
                <w:rFonts w:ascii="Arial" w:hAnsi="Arial" w:cs="Arial"/>
                <w:sz w:val="16"/>
                <w:szCs w:val="16"/>
              </w:rPr>
            </w:pPr>
            <w:r w:rsidRPr="008B2B4C">
              <w:rPr>
                <w:rFonts w:ascii="Arial" w:hAnsi="Arial" w:cs="Arial"/>
                <w:sz w:val="16"/>
                <w:szCs w:val="16"/>
              </w:rPr>
              <w:t>Goals Generally Met</w:t>
            </w:r>
          </w:p>
        </w:tc>
        <w:tc>
          <w:tcPr>
            <w:tcW w:w="1317" w:type="dxa"/>
            <w:vAlign w:val="center"/>
          </w:tcPr>
          <w:p w14:paraId="793277DB" w14:textId="2ADB68AE" w:rsidR="00F16118" w:rsidRPr="008B2B4C" w:rsidRDefault="00F16118" w:rsidP="008B2B4C">
            <w:pPr>
              <w:jc w:val="center"/>
              <w:rPr>
                <w:rFonts w:ascii="Arial" w:hAnsi="Arial" w:cs="Arial"/>
                <w:color w:val="FF0000"/>
                <w:sz w:val="16"/>
                <w:szCs w:val="16"/>
              </w:rPr>
            </w:pPr>
            <w:r w:rsidRPr="008B2B4C">
              <w:rPr>
                <w:rFonts w:ascii="Arial" w:hAnsi="Arial" w:cs="Arial"/>
                <w:color w:val="FF0000"/>
                <w:sz w:val="16"/>
                <w:szCs w:val="16"/>
              </w:rPr>
              <w:t>NO</w:t>
            </w:r>
            <w:r w:rsidR="00912D4E">
              <w:rPr>
                <w:rFonts w:ascii="Arial" w:hAnsi="Arial" w:cs="Arial"/>
                <w:color w:val="FF0000"/>
                <w:sz w:val="16"/>
                <w:szCs w:val="16"/>
              </w:rPr>
              <w:t>*</w:t>
            </w:r>
          </w:p>
        </w:tc>
      </w:tr>
      <w:tr w:rsidR="00F16118" w:rsidRPr="00B15BBE" w14:paraId="55997CB3" w14:textId="77777777" w:rsidTr="008B2B4C">
        <w:trPr>
          <w:trHeight w:val="215"/>
          <w:jc w:val="center"/>
        </w:trPr>
        <w:tc>
          <w:tcPr>
            <w:tcW w:w="1712" w:type="dxa"/>
            <w:vAlign w:val="center"/>
          </w:tcPr>
          <w:p w14:paraId="7AA8AE16" w14:textId="77777777" w:rsidR="00F16118" w:rsidRPr="008B2B4C" w:rsidRDefault="00F16118" w:rsidP="008B2B4C">
            <w:pPr>
              <w:rPr>
                <w:rFonts w:ascii="Arial" w:hAnsi="Arial" w:cs="Arial"/>
                <w:sz w:val="16"/>
                <w:szCs w:val="16"/>
              </w:rPr>
            </w:pPr>
            <w:r w:rsidRPr="008B2B4C">
              <w:rPr>
                <w:rFonts w:ascii="Arial" w:hAnsi="Arial" w:cs="Arial"/>
                <w:sz w:val="16"/>
                <w:szCs w:val="16"/>
              </w:rPr>
              <w:t>New Service Installation - Non-</w:t>
            </w:r>
            <w:r w:rsidR="000B4F33">
              <w:rPr>
                <w:rFonts w:ascii="Arial" w:hAnsi="Arial" w:cs="Arial"/>
                <w:sz w:val="16"/>
                <w:szCs w:val="16"/>
              </w:rPr>
              <w:noBreakHyphen/>
            </w:r>
            <w:r w:rsidRPr="008B2B4C">
              <w:rPr>
                <w:rFonts w:ascii="Arial" w:hAnsi="Arial" w:cs="Arial"/>
                <w:sz w:val="16"/>
                <w:szCs w:val="16"/>
              </w:rPr>
              <w:t>Construction</w:t>
            </w:r>
          </w:p>
        </w:tc>
        <w:tc>
          <w:tcPr>
            <w:tcW w:w="2423" w:type="dxa"/>
            <w:vAlign w:val="center"/>
          </w:tcPr>
          <w:p w14:paraId="342B6B31" w14:textId="77777777" w:rsidR="00F16118" w:rsidRPr="008B2B4C" w:rsidRDefault="00F16118" w:rsidP="008B2B4C">
            <w:pPr>
              <w:rPr>
                <w:rFonts w:ascii="Arial" w:hAnsi="Arial" w:cs="Arial"/>
                <w:sz w:val="16"/>
                <w:szCs w:val="16"/>
              </w:rPr>
            </w:pPr>
            <w:r w:rsidRPr="008B2B4C">
              <w:rPr>
                <w:rFonts w:ascii="Arial" w:hAnsi="Arial" w:cs="Arial"/>
                <w:sz w:val="16"/>
                <w:szCs w:val="16"/>
              </w:rPr>
              <w:t>All EDC's: 100% 3-day new service standard</w:t>
            </w:r>
          </w:p>
        </w:tc>
        <w:tc>
          <w:tcPr>
            <w:tcW w:w="1882" w:type="dxa"/>
            <w:vAlign w:val="center"/>
          </w:tcPr>
          <w:p w14:paraId="00BC118B" w14:textId="77777777" w:rsidR="00F16118" w:rsidRPr="008B2B4C" w:rsidRDefault="00F16118" w:rsidP="008B2B4C">
            <w:pPr>
              <w:rPr>
                <w:rFonts w:ascii="Arial" w:hAnsi="Arial" w:cs="Arial"/>
                <w:sz w:val="16"/>
                <w:szCs w:val="16"/>
              </w:rPr>
            </w:pPr>
            <w:r w:rsidRPr="008B2B4C">
              <w:rPr>
                <w:rFonts w:ascii="Arial" w:hAnsi="Arial" w:cs="Arial"/>
                <w:sz w:val="16"/>
                <w:szCs w:val="16"/>
              </w:rPr>
              <w:t>Goals Met</w:t>
            </w:r>
          </w:p>
        </w:tc>
        <w:tc>
          <w:tcPr>
            <w:tcW w:w="2016" w:type="dxa"/>
            <w:vAlign w:val="center"/>
          </w:tcPr>
          <w:p w14:paraId="49F9B3B3" w14:textId="77777777" w:rsidR="00F16118" w:rsidRPr="008B2B4C" w:rsidRDefault="00F16118" w:rsidP="008B2B4C">
            <w:pPr>
              <w:rPr>
                <w:rFonts w:ascii="Arial" w:hAnsi="Arial" w:cs="Arial"/>
                <w:sz w:val="16"/>
                <w:szCs w:val="16"/>
              </w:rPr>
            </w:pPr>
            <w:r w:rsidRPr="008B2B4C">
              <w:rPr>
                <w:rFonts w:ascii="Arial" w:hAnsi="Arial" w:cs="Arial"/>
                <w:sz w:val="16"/>
                <w:szCs w:val="16"/>
              </w:rPr>
              <w:t>Goals Always Met</w:t>
            </w:r>
          </w:p>
        </w:tc>
        <w:tc>
          <w:tcPr>
            <w:tcW w:w="1317" w:type="dxa"/>
            <w:vAlign w:val="center"/>
          </w:tcPr>
          <w:p w14:paraId="0B6FA855" w14:textId="77777777" w:rsidR="00F16118" w:rsidRPr="008B2B4C" w:rsidRDefault="00F16118" w:rsidP="008B2B4C">
            <w:pPr>
              <w:jc w:val="center"/>
              <w:rPr>
                <w:rFonts w:ascii="Arial" w:hAnsi="Arial" w:cs="Arial"/>
                <w:sz w:val="16"/>
                <w:szCs w:val="16"/>
              </w:rPr>
            </w:pPr>
            <w:r w:rsidRPr="008B2B4C">
              <w:rPr>
                <w:rFonts w:ascii="Arial" w:hAnsi="Arial" w:cs="Arial"/>
                <w:sz w:val="16"/>
                <w:szCs w:val="16"/>
              </w:rPr>
              <w:t>NA</w:t>
            </w:r>
          </w:p>
        </w:tc>
      </w:tr>
      <w:tr w:rsidR="00F16118" w:rsidRPr="00B15BBE" w14:paraId="2AE0924C" w14:textId="77777777" w:rsidTr="008B2B4C">
        <w:trPr>
          <w:trHeight w:val="215"/>
          <w:jc w:val="center"/>
        </w:trPr>
        <w:tc>
          <w:tcPr>
            <w:tcW w:w="1712" w:type="dxa"/>
            <w:vAlign w:val="center"/>
          </w:tcPr>
          <w:p w14:paraId="7C51C53A" w14:textId="77777777" w:rsidR="00F16118" w:rsidRPr="008B2B4C" w:rsidRDefault="00F16118" w:rsidP="008B2B4C">
            <w:pPr>
              <w:rPr>
                <w:rFonts w:ascii="Arial" w:hAnsi="Arial" w:cs="Arial"/>
                <w:sz w:val="16"/>
                <w:szCs w:val="16"/>
              </w:rPr>
            </w:pPr>
            <w:r w:rsidRPr="008B2B4C">
              <w:rPr>
                <w:rFonts w:ascii="Arial" w:hAnsi="Arial" w:cs="Arial"/>
                <w:sz w:val="16"/>
                <w:szCs w:val="16"/>
              </w:rPr>
              <w:t>New Service Installation - Construction</w:t>
            </w:r>
          </w:p>
        </w:tc>
        <w:tc>
          <w:tcPr>
            <w:tcW w:w="2423" w:type="dxa"/>
            <w:vAlign w:val="center"/>
          </w:tcPr>
          <w:p w14:paraId="680838FB" w14:textId="77777777" w:rsidR="00F16118" w:rsidRPr="008B2B4C" w:rsidRDefault="00F16118" w:rsidP="008B2B4C">
            <w:pPr>
              <w:rPr>
                <w:rFonts w:ascii="Arial" w:hAnsi="Arial" w:cs="Arial"/>
                <w:sz w:val="16"/>
                <w:szCs w:val="16"/>
              </w:rPr>
            </w:pPr>
            <w:r w:rsidRPr="008B2B4C">
              <w:rPr>
                <w:rFonts w:ascii="Arial" w:hAnsi="Arial" w:cs="Arial"/>
                <w:sz w:val="16"/>
                <w:szCs w:val="16"/>
              </w:rPr>
              <w:t>All EDC's: 90% 10-day new service standard</w:t>
            </w:r>
          </w:p>
        </w:tc>
        <w:tc>
          <w:tcPr>
            <w:tcW w:w="1882" w:type="dxa"/>
            <w:vAlign w:val="center"/>
          </w:tcPr>
          <w:p w14:paraId="1E7ED937" w14:textId="77777777" w:rsidR="00F16118" w:rsidRPr="008B2B4C" w:rsidRDefault="00F16118" w:rsidP="008B2B4C">
            <w:pPr>
              <w:rPr>
                <w:rFonts w:ascii="Arial" w:hAnsi="Arial" w:cs="Arial"/>
                <w:sz w:val="16"/>
                <w:szCs w:val="16"/>
              </w:rPr>
            </w:pPr>
            <w:r w:rsidRPr="008B2B4C">
              <w:rPr>
                <w:rFonts w:ascii="Arial" w:hAnsi="Arial" w:cs="Arial"/>
                <w:sz w:val="16"/>
                <w:szCs w:val="16"/>
              </w:rPr>
              <w:t>Goals Met</w:t>
            </w:r>
          </w:p>
        </w:tc>
        <w:tc>
          <w:tcPr>
            <w:tcW w:w="2016" w:type="dxa"/>
            <w:vAlign w:val="center"/>
          </w:tcPr>
          <w:p w14:paraId="035FD944" w14:textId="77777777" w:rsidR="00F16118" w:rsidRPr="008B2B4C" w:rsidRDefault="00F16118" w:rsidP="008B2B4C">
            <w:pPr>
              <w:rPr>
                <w:rFonts w:ascii="Arial" w:hAnsi="Arial" w:cs="Arial"/>
                <w:sz w:val="16"/>
                <w:szCs w:val="16"/>
              </w:rPr>
            </w:pPr>
            <w:r w:rsidRPr="008B2B4C">
              <w:rPr>
                <w:rFonts w:ascii="Arial" w:hAnsi="Arial" w:cs="Arial"/>
                <w:sz w:val="16"/>
                <w:szCs w:val="16"/>
              </w:rPr>
              <w:t>Goals Always Met</w:t>
            </w:r>
          </w:p>
        </w:tc>
        <w:tc>
          <w:tcPr>
            <w:tcW w:w="1317" w:type="dxa"/>
            <w:vAlign w:val="center"/>
          </w:tcPr>
          <w:p w14:paraId="0F1EC7B8" w14:textId="77777777" w:rsidR="00F16118" w:rsidRPr="008B2B4C" w:rsidRDefault="00F16118" w:rsidP="008B2B4C">
            <w:pPr>
              <w:jc w:val="center"/>
              <w:rPr>
                <w:rFonts w:ascii="Arial" w:hAnsi="Arial" w:cs="Arial"/>
                <w:sz w:val="16"/>
                <w:szCs w:val="16"/>
              </w:rPr>
            </w:pPr>
            <w:r w:rsidRPr="008B2B4C">
              <w:rPr>
                <w:rFonts w:ascii="Arial" w:hAnsi="Arial" w:cs="Arial"/>
                <w:sz w:val="16"/>
                <w:szCs w:val="16"/>
              </w:rPr>
              <w:t>NA</w:t>
            </w:r>
          </w:p>
        </w:tc>
      </w:tr>
    </w:tbl>
    <w:p w14:paraId="045926C9" w14:textId="77777777" w:rsidR="00F16118" w:rsidRPr="00B15BBE" w:rsidRDefault="00F16118" w:rsidP="008B019B">
      <w:pPr>
        <w:spacing w:after="0" w:line="240" w:lineRule="auto"/>
        <w:rPr>
          <w:rFonts w:ascii="Arial" w:hAnsi="Arial" w:cs="Arial"/>
          <w:i/>
          <w:sz w:val="16"/>
          <w:szCs w:val="16"/>
        </w:rPr>
      </w:pPr>
      <w:r w:rsidRPr="00B15BBE">
        <w:rPr>
          <w:rFonts w:ascii="Arial" w:hAnsi="Arial" w:cs="Arial"/>
          <w:i/>
          <w:sz w:val="16"/>
          <w:szCs w:val="16"/>
        </w:rPr>
        <w:t>ME= Met-Ed</w:t>
      </w:r>
    </w:p>
    <w:p w14:paraId="6B3190D5" w14:textId="77777777" w:rsidR="00F16118" w:rsidRPr="00B15BBE" w:rsidRDefault="00F16118" w:rsidP="008B019B">
      <w:pPr>
        <w:spacing w:after="0" w:line="240" w:lineRule="auto"/>
        <w:rPr>
          <w:rFonts w:ascii="Arial" w:hAnsi="Arial" w:cs="Arial"/>
          <w:i/>
          <w:sz w:val="16"/>
          <w:szCs w:val="16"/>
        </w:rPr>
      </w:pPr>
      <w:r w:rsidRPr="00B15BBE">
        <w:rPr>
          <w:rFonts w:ascii="Arial" w:hAnsi="Arial" w:cs="Arial"/>
          <w:i/>
          <w:sz w:val="16"/>
          <w:szCs w:val="16"/>
        </w:rPr>
        <w:t>PN = Penelec</w:t>
      </w:r>
    </w:p>
    <w:p w14:paraId="678E34D6" w14:textId="77777777" w:rsidR="00F16118" w:rsidRPr="00B15BBE" w:rsidRDefault="00F16118" w:rsidP="008B019B">
      <w:pPr>
        <w:spacing w:after="0" w:line="240" w:lineRule="auto"/>
        <w:rPr>
          <w:rFonts w:ascii="Arial" w:hAnsi="Arial" w:cs="Arial"/>
          <w:i/>
          <w:sz w:val="16"/>
          <w:szCs w:val="16"/>
        </w:rPr>
      </w:pPr>
      <w:r w:rsidRPr="00B15BBE">
        <w:rPr>
          <w:rFonts w:ascii="Arial" w:hAnsi="Arial" w:cs="Arial"/>
          <w:i/>
          <w:sz w:val="16"/>
          <w:szCs w:val="16"/>
        </w:rPr>
        <w:t>PP = Penn Power</w:t>
      </w:r>
    </w:p>
    <w:p w14:paraId="558DE084" w14:textId="77777777" w:rsidR="00F16118" w:rsidRPr="00B15BBE" w:rsidRDefault="00F16118" w:rsidP="008B019B">
      <w:pPr>
        <w:spacing w:after="0" w:line="240" w:lineRule="auto"/>
        <w:rPr>
          <w:rFonts w:ascii="Arial" w:hAnsi="Arial" w:cs="Arial"/>
          <w:i/>
          <w:sz w:val="16"/>
          <w:szCs w:val="16"/>
        </w:rPr>
      </w:pPr>
      <w:r w:rsidRPr="00B15BBE">
        <w:rPr>
          <w:rFonts w:ascii="Arial" w:hAnsi="Arial" w:cs="Arial"/>
          <w:i/>
          <w:sz w:val="16"/>
          <w:szCs w:val="16"/>
        </w:rPr>
        <w:t>WP = West Penn Power</w:t>
      </w:r>
    </w:p>
    <w:p w14:paraId="3EEAFB93" w14:textId="23E039C2" w:rsidR="00977BE3" w:rsidRDefault="00912D4E" w:rsidP="00926999">
      <w:pPr>
        <w:spacing w:after="0" w:line="240" w:lineRule="auto"/>
        <w:ind w:hanging="90"/>
        <w:rPr>
          <w:rFonts w:ascii="Arial" w:hAnsi="Arial" w:cs="Arial"/>
          <w:i/>
          <w:sz w:val="16"/>
          <w:szCs w:val="16"/>
        </w:rPr>
      </w:pPr>
      <w:r>
        <w:rPr>
          <w:rFonts w:ascii="Arial" w:hAnsi="Arial" w:cs="Arial"/>
          <w:i/>
          <w:sz w:val="16"/>
          <w:szCs w:val="16"/>
        </w:rPr>
        <w:t>* Actual performance in 2017 met the PUC requirement of 0 Disputes Greater Than 30 Days</w:t>
      </w:r>
      <w:r w:rsidR="00977BE3">
        <w:rPr>
          <w:rFonts w:ascii="Arial" w:hAnsi="Arial" w:cs="Arial"/>
          <w:i/>
          <w:sz w:val="16"/>
          <w:szCs w:val="16"/>
        </w:rPr>
        <w:br w:type="page"/>
      </w:r>
    </w:p>
    <w:p w14:paraId="57C20527" w14:textId="77777777" w:rsidR="00977BE3" w:rsidRDefault="00977BE3" w:rsidP="00977BE3">
      <w:pPr>
        <w:widowControl w:val="0"/>
        <w:spacing w:after="0" w:line="20" w:lineRule="atLeast"/>
        <w:jc w:val="right"/>
        <w:rPr>
          <w:rFonts w:ascii="Arial" w:eastAsia="Times New Roman" w:hAnsi="Arial" w:cs="Arial"/>
          <w:b/>
          <w:snapToGrid w:val="0"/>
          <w:sz w:val="24"/>
          <w:szCs w:val="20"/>
        </w:rPr>
      </w:pPr>
      <w:r>
        <w:rPr>
          <w:rFonts w:ascii="Arial" w:eastAsia="Times New Roman" w:hAnsi="Arial" w:cs="Arial"/>
          <w:b/>
          <w:snapToGrid w:val="0"/>
          <w:sz w:val="24"/>
          <w:szCs w:val="20"/>
        </w:rPr>
        <w:t>Exhibit III – 1</w:t>
      </w:r>
    </w:p>
    <w:p w14:paraId="494C7F56" w14:textId="54CCEEE8" w:rsidR="00977BE3" w:rsidRDefault="00977BE3" w:rsidP="00977BE3">
      <w:pPr>
        <w:widowControl w:val="0"/>
        <w:spacing w:after="0" w:line="20" w:lineRule="atLeast"/>
        <w:jc w:val="right"/>
        <w:rPr>
          <w:rFonts w:ascii="Arial" w:eastAsia="Times New Roman" w:hAnsi="Arial" w:cs="Arial"/>
          <w:b/>
          <w:snapToGrid w:val="0"/>
          <w:sz w:val="24"/>
          <w:szCs w:val="20"/>
        </w:rPr>
      </w:pPr>
      <w:r>
        <w:rPr>
          <w:rFonts w:ascii="Arial" w:eastAsia="Times New Roman" w:hAnsi="Arial" w:cs="Arial"/>
          <w:b/>
          <w:snapToGrid w:val="0"/>
          <w:sz w:val="24"/>
          <w:szCs w:val="20"/>
        </w:rPr>
        <w:t xml:space="preserve">Page </w:t>
      </w:r>
      <w:r w:rsidR="009C423B">
        <w:rPr>
          <w:rFonts w:ascii="Arial" w:eastAsia="Times New Roman" w:hAnsi="Arial" w:cs="Arial"/>
          <w:b/>
          <w:snapToGrid w:val="0"/>
          <w:sz w:val="24"/>
          <w:szCs w:val="20"/>
        </w:rPr>
        <w:t>2</w:t>
      </w:r>
      <w:r>
        <w:rPr>
          <w:rFonts w:ascii="Arial" w:eastAsia="Times New Roman" w:hAnsi="Arial" w:cs="Arial"/>
          <w:b/>
          <w:snapToGrid w:val="0"/>
          <w:sz w:val="24"/>
          <w:szCs w:val="20"/>
        </w:rPr>
        <w:t xml:space="preserve"> of 2</w:t>
      </w:r>
    </w:p>
    <w:p w14:paraId="16BDDBBD" w14:textId="77777777" w:rsidR="00977BE3" w:rsidRDefault="00977BE3" w:rsidP="00977BE3">
      <w:pPr>
        <w:widowControl w:val="0"/>
        <w:spacing w:after="0" w:line="20" w:lineRule="atLeast"/>
        <w:jc w:val="center"/>
        <w:rPr>
          <w:rFonts w:ascii="Arial" w:eastAsia="Times New Roman" w:hAnsi="Arial" w:cs="Arial"/>
          <w:b/>
          <w:snapToGrid w:val="0"/>
          <w:sz w:val="24"/>
          <w:szCs w:val="20"/>
        </w:rPr>
      </w:pPr>
    </w:p>
    <w:p w14:paraId="0CA39ECE" w14:textId="77777777" w:rsidR="00977BE3" w:rsidRPr="00017EF0" w:rsidRDefault="00977BE3" w:rsidP="00977BE3">
      <w:pPr>
        <w:widowControl w:val="0"/>
        <w:spacing w:after="0" w:line="20" w:lineRule="atLeast"/>
        <w:jc w:val="center"/>
        <w:rPr>
          <w:rFonts w:ascii="Arial" w:eastAsia="Times New Roman" w:hAnsi="Arial" w:cs="Arial"/>
          <w:b/>
          <w:snapToGrid w:val="0"/>
          <w:sz w:val="24"/>
          <w:szCs w:val="20"/>
        </w:rPr>
      </w:pPr>
      <w:r w:rsidRPr="00017EF0">
        <w:rPr>
          <w:rFonts w:ascii="Arial" w:eastAsia="Times New Roman" w:hAnsi="Arial" w:cs="Arial"/>
          <w:b/>
          <w:snapToGrid w:val="0"/>
          <w:sz w:val="24"/>
          <w:szCs w:val="20"/>
        </w:rPr>
        <w:t>F</w:t>
      </w:r>
      <w:r>
        <w:rPr>
          <w:rFonts w:ascii="Arial" w:eastAsia="Times New Roman" w:hAnsi="Arial" w:cs="Arial"/>
          <w:b/>
          <w:snapToGrid w:val="0"/>
          <w:sz w:val="24"/>
          <w:szCs w:val="20"/>
        </w:rPr>
        <w:t>irst</w:t>
      </w:r>
      <w:r w:rsidRPr="00017EF0">
        <w:rPr>
          <w:rFonts w:ascii="Arial" w:eastAsia="Times New Roman" w:hAnsi="Arial" w:cs="Arial"/>
          <w:b/>
          <w:snapToGrid w:val="0"/>
          <w:sz w:val="24"/>
          <w:szCs w:val="20"/>
        </w:rPr>
        <w:t>E</w:t>
      </w:r>
      <w:r>
        <w:rPr>
          <w:rFonts w:ascii="Arial" w:eastAsia="Times New Roman" w:hAnsi="Arial" w:cs="Arial"/>
          <w:b/>
          <w:snapToGrid w:val="0"/>
          <w:sz w:val="24"/>
          <w:szCs w:val="20"/>
        </w:rPr>
        <w:t>nergy Pennsylvania</w:t>
      </w:r>
      <w:r w:rsidRPr="00017EF0">
        <w:rPr>
          <w:rFonts w:ascii="Arial" w:eastAsia="Times New Roman" w:hAnsi="Arial" w:cs="Arial"/>
          <w:b/>
          <w:snapToGrid w:val="0"/>
          <w:sz w:val="24"/>
          <w:szCs w:val="20"/>
        </w:rPr>
        <w:t xml:space="preserve"> Companies</w:t>
      </w:r>
    </w:p>
    <w:p w14:paraId="7C1000B3" w14:textId="77777777" w:rsidR="00E746CB" w:rsidRDefault="00977BE3" w:rsidP="00E746CB">
      <w:pPr>
        <w:widowControl w:val="0"/>
        <w:spacing w:after="0" w:line="20" w:lineRule="atLeast"/>
        <w:jc w:val="center"/>
        <w:rPr>
          <w:rFonts w:ascii="Arial" w:eastAsia="Times New Roman" w:hAnsi="Arial" w:cs="Arial"/>
          <w:b/>
          <w:snapToGrid w:val="0"/>
          <w:sz w:val="24"/>
          <w:szCs w:val="20"/>
        </w:rPr>
      </w:pPr>
      <w:r>
        <w:rPr>
          <w:rFonts w:ascii="Arial" w:eastAsia="Times New Roman" w:hAnsi="Arial" w:cs="Arial"/>
          <w:b/>
          <w:snapToGrid w:val="0"/>
          <w:sz w:val="24"/>
          <w:szCs w:val="20"/>
        </w:rPr>
        <w:t>Performance Objectives in the Pennsylvania Management Reports</w:t>
      </w:r>
      <w:r w:rsidR="00E746CB" w:rsidRPr="00E746CB">
        <w:rPr>
          <w:rFonts w:ascii="Arial" w:eastAsia="Times New Roman" w:hAnsi="Arial" w:cs="Arial"/>
          <w:b/>
          <w:snapToGrid w:val="0"/>
          <w:sz w:val="24"/>
          <w:szCs w:val="20"/>
        </w:rPr>
        <w:t xml:space="preserve"> </w:t>
      </w:r>
      <w:r w:rsidR="00E746CB">
        <w:rPr>
          <w:rFonts w:ascii="Arial" w:eastAsia="Times New Roman" w:hAnsi="Arial" w:cs="Arial"/>
          <w:b/>
          <w:snapToGrid w:val="0"/>
          <w:sz w:val="24"/>
          <w:szCs w:val="20"/>
        </w:rPr>
        <w:t xml:space="preserve">and </w:t>
      </w:r>
    </w:p>
    <w:p w14:paraId="0CF7D841" w14:textId="77777777" w:rsidR="00E746CB" w:rsidRPr="00017EF0" w:rsidRDefault="00E746CB" w:rsidP="00E746CB">
      <w:pPr>
        <w:widowControl w:val="0"/>
        <w:spacing w:after="0" w:line="20" w:lineRule="atLeast"/>
        <w:jc w:val="center"/>
        <w:rPr>
          <w:rFonts w:ascii="Arial" w:eastAsia="Times New Roman" w:hAnsi="Arial" w:cs="Arial"/>
          <w:b/>
          <w:snapToGrid w:val="0"/>
          <w:sz w:val="24"/>
          <w:szCs w:val="20"/>
        </w:rPr>
      </w:pPr>
      <w:r>
        <w:rPr>
          <w:rFonts w:ascii="Arial" w:eastAsia="Times New Roman" w:hAnsi="Arial" w:cs="Arial"/>
          <w:b/>
          <w:snapToGrid w:val="0"/>
          <w:sz w:val="24"/>
          <w:szCs w:val="20"/>
        </w:rPr>
        <w:t>Executive Leadership Team Reports</w:t>
      </w:r>
    </w:p>
    <w:p w14:paraId="1B2FE798" w14:textId="72E5AC94" w:rsidR="00977BE3" w:rsidRPr="00017EF0" w:rsidRDefault="00977BE3" w:rsidP="00977BE3">
      <w:pPr>
        <w:widowControl w:val="0"/>
        <w:spacing w:after="0" w:line="20" w:lineRule="atLeast"/>
        <w:jc w:val="center"/>
        <w:rPr>
          <w:rFonts w:ascii="Arial" w:eastAsia="Times New Roman" w:hAnsi="Arial" w:cs="Arial"/>
          <w:b/>
          <w:snapToGrid w:val="0"/>
          <w:sz w:val="24"/>
          <w:szCs w:val="20"/>
        </w:rPr>
      </w:pPr>
      <w:r w:rsidRPr="00017EF0">
        <w:rPr>
          <w:rFonts w:ascii="Arial" w:eastAsia="Times New Roman" w:hAnsi="Arial" w:cs="Arial"/>
          <w:b/>
          <w:snapToGrid w:val="0"/>
          <w:sz w:val="24"/>
          <w:szCs w:val="20"/>
        </w:rPr>
        <w:t>For the Years 20</w:t>
      </w:r>
      <w:r>
        <w:rPr>
          <w:rFonts w:ascii="Arial" w:eastAsia="Times New Roman" w:hAnsi="Arial" w:cs="Arial"/>
          <w:b/>
          <w:snapToGrid w:val="0"/>
          <w:sz w:val="24"/>
          <w:szCs w:val="20"/>
        </w:rPr>
        <w:t>15</w:t>
      </w:r>
      <w:r w:rsidRPr="00017EF0">
        <w:rPr>
          <w:rFonts w:ascii="Arial" w:eastAsia="Times New Roman" w:hAnsi="Arial" w:cs="Arial"/>
          <w:b/>
          <w:snapToGrid w:val="0"/>
          <w:sz w:val="24"/>
          <w:szCs w:val="20"/>
        </w:rPr>
        <w:t xml:space="preserve"> through 201</w:t>
      </w:r>
      <w:r>
        <w:rPr>
          <w:rFonts w:ascii="Arial" w:eastAsia="Times New Roman" w:hAnsi="Arial" w:cs="Arial"/>
          <w:b/>
          <w:snapToGrid w:val="0"/>
          <w:sz w:val="24"/>
          <w:szCs w:val="20"/>
        </w:rPr>
        <w:t>7</w:t>
      </w:r>
    </w:p>
    <w:p w14:paraId="17D46B9E" w14:textId="77777777" w:rsidR="00977BE3" w:rsidRDefault="00977BE3" w:rsidP="00977BE3">
      <w:pPr>
        <w:spacing w:after="0" w:line="240" w:lineRule="auto"/>
        <w:jc w:val="center"/>
      </w:pPr>
    </w:p>
    <w:tbl>
      <w:tblPr>
        <w:tblStyle w:val="TableGrid"/>
        <w:tblW w:w="0" w:type="auto"/>
        <w:jc w:val="center"/>
        <w:tblLook w:val="04A0" w:firstRow="1" w:lastRow="0" w:firstColumn="1" w:lastColumn="0" w:noHBand="0" w:noVBand="1"/>
      </w:tblPr>
      <w:tblGrid>
        <w:gridCol w:w="1721"/>
        <w:gridCol w:w="2414"/>
        <w:gridCol w:w="1890"/>
        <w:gridCol w:w="1980"/>
        <w:gridCol w:w="1317"/>
      </w:tblGrid>
      <w:tr w:rsidR="00F16118" w:rsidRPr="00B15BBE" w14:paraId="3B18A293" w14:textId="77777777" w:rsidTr="008B2B4C">
        <w:trPr>
          <w:trHeight w:val="215"/>
          <w:jc w:val="center"/>
        </w:trPr>
        <w:tc>
          <w:tcPr>
            <w:tcW w:w="1721" w:type="dxa"/>
            <w:vAlign w:val="bottom"/>
          </w:tcPr>
          <w:p w14:paraId="4B31451E" w14:textId="77777777" w:rsidR="00F16118" w:rsidRPr="00B15BBE" w:rsidRDefault="00F16118" w:rsidP="00EC2F50">
            <w:pPr>
              <w:jc w:val="center"/>
              <w:rPr>
                <w:rFonts w:ascii="Arial" w:hAnsi="Arial" w:cs="Arial"/>
                <w:sz w:val="14"/>
                <w:szCs w:val="14"/>
              </w:rPr>
            </w:pPr>
            <w:r w:rsidRPr="00B15BBE">
              <w:rPr>
                <w:rFonts w:ascii="Arial" w:hAnsi="Arial" w:cs="Arial"/>
                <w:b/>
                <w:sz w:val="18"/>
                <w:szCs w:val="18"/>
              </w:rPr>
              <w:t>Corporate Objective</w:t>
            </w:r>
          </w:p>
        </w:tc>
        <w:tc>
          <w:tcPr>
            <w:tcW w:w="2414" w:type="dxa"/>
            <w:vAlign w:val="bottom"/>
          </w:tcPr>
          <w:p w14:paraId="3C357CFF" w14:textId="77777777" w:rsidR="00F16118" w:rsidRPr="00B15BBE" w:rsidRDefault="00F16118" w:rsidP="00EC2F50">
            <w:pPr>
              <w:jc w:val="center"/>
              <w:rPr>
                <w:rFonts w:ascii="Arial" w:hAnsi="Arial" w:cs="Arial"/>
                <w:sz w:val="14"/>
                <w:szCs w:val="14"/>
              </w:rPr>
            </w:pPr>
            <w:r w:rsidRPr="00B15BBE">
              <w:rPr>
                <w:rFonts w:ascii="Arial" w:hAnsi="Arial" w:cs="Arial"/>
                <w:b/>
                <w:sz w:val="18"/>
                <w:szCs w:val="18"/>
              </w:rPr>
              <w:t>2017 Goal</w:t>
            </w:r>
          </w:p>
        </w:tc>
        <w:tc>
          <w:tcPr>
            <w:tcW w:w="1890" w:type="dxa"/>
            <w:vAlign w:val="bottom"/>
          </w:tcPr>
          <w:p w14:paraId="6B090818" w14:textId="77777777" w:rsidR="00F16118" w:rsidRPr="00B15BBE" w:rsidRDefault="00F16118" w:rsidP="00EC2F50">
            <w:pPr>
              <w:jc w:val="center"/>
              <w:rPr>
                <w:rFonts w:ascii="Arial" w:hAnsi="Arial" w:cs="Arial"/>
                <w:sz w:val="14"/>
                <w:szCs w:val="14"/>
              </w:rPr>
            </w:pPr>
            <w:r w:rsidRPr="00B15BBE">
              <w:rPr>
                <w:rFonts w:ascii="Arial" w:hAnsi="Arial" w:cs="Arial"/>
                <w:b/>
                <w:sz w:val="18"/>
                <w:szCs w:val="18"/>
              </w:rPr>
              <w:t>2017 Results</w:t>
            </w:r>
          </w:p>
        </w:tc>
        <w:tc>
          <w:tcPr>
            <w:tcW w:w="1980" w:type="dxa"/>
            <w:vAlign w:val="bottom"/>
          </w:tcPr>
          <w:p w14:paraId="5488692B" w14:textId="77777777" w:rsidR="00F16118" w:rsidRPr="00B15BBE" w:rsidRDefault="00F16118" w:rsidP="00EC2F50">
            <w:pPr>
              <w:jc w:val="center"/>
              <w:rPr>
                <w:rFonts w:ascii="Arial" w:hAnsi="Arial" w:cs="Arial"/>
                <w:sz w:val="14"/>
                <w:szCs w:val="14"/>
              </w:rPr>
            </w:pPr>
            <w:r w:rsidRPr="00B15BBE">
              <w:rPr>
                <w:rFonts w:ascii="Arial" w:hAnsi="Arial" w:cs="Arial"/>
                <w:b/>
                <w:sz w:val="18"/>
                <w:szCs w:val="18"/>
              </w:rPr>
              <w:t>2015 to 2017                      Performance vs. Goals</w:t>
            </w:r>
          </w:p>
        </w:tc>
        <w:tc>
          <w:tcPr>
            <w:tcW w:w="1288" w:type="dxa"/>
          </w:tcPr>
          <w:p w14:paraId="1037788E" w14:textId="77777777" w:rsidR="00F16118" w:rsidRPr="00B15BBE" w:rsidRDefault="00F16118" w:rsidP="00EC2F50">
            <w:pPr>
              <w:jc w:val="center"/>
              <w:rPr>
                <w:rFonts w:ascii="Arial" w:hAnsi="Arial" w:cs="Arial"/>
                <w:sz w:val="14"/>
                <w:szCs w:val="14"/>
              </w:rPr>
            </w:pPr>
            <w:r w:rsidRPr="00B15BBE">
              <w:rPr>
                <w:rFonts w:ascii="Arial" w:hAnsi="Arial" w:cs="Arial"/>
                <w:b/>
                <w:sz w:val="18"/>
                <w:szCs w:val="18"/>
              </w:rPr>
              <w:t>Goal Meets PUC Requirement</w:t>
            </w:r>
          </w:p>
        </w:tc>
      </w:tr>
      <w:tr w:rsidR="000B4F33" w:rsidRPr="00B15BBE" w14:paraId="149273CE" w14:textId="77777777" w:rsidTr="008B2B4C">
        <w:trPr>
          <w:trHeight w:val="215"/>
          <w:jc w:val="center"/>
        </w:trPr>
        <w:tc>
          <w:tcPr>
            <w:tcW w:w="9293" w:type="dxa"/>
            <w:gridSpan w:val="5"/>
            <w:shd w:val="clear" w:color="auto" w:fill="D9D9D9" w:themeFill="background1" w:themeFillShade="D9"/>
            <w:vAlign w:val="center"/>
          </w:tcPr>
          <w:p w14:paraId="3B21A3B7" w14:textId="77777777" w:rsidR="000B4F33" w:rsidRPr="008B2B4C" w:rsidRDefault="000B4F33" w:rsidP="008B2B4C">
            <w:pPr>
              <w:jc w:val="center"/>
              <w:rPr>
                <w:rFonts w:ascii="Arial" w:hAnsi="Arial" w:cs="Arial"/>
                <w:b/>
                <w:sz w:val="16"/>
                <w:szCs w:val="16"/>
              </w:rPr>
            </w:pPr>
            <w:r w:rsidRPr="008B2B4C">
              <w:rPr>
                <w:rFonts w:ascii="Arial" w:hAnsi="Arial" w:cs="Arial"/>
                <w:b/>
                <w:sz w:val="16"/>
                <w:szCs w:val="16"/>
              </w:rPr>
              <w:t>SAFETY</w:t>
            </w:r>
          </w:p>
        </w:tc>
      </w:tr>
      <w:tr w:rsidR="000B4F33" w:rsidRPr="00B15BBE" w14:paraId="184291A4" w14:textId="77777777" w:rsidTr="008B2B4C">
        <w:trPr>
          <w:trHeight w:val="215"/>
          <w:jc w:val="center"/>
        </w:trPr>
        <w:tc>
          <w:tcPr>
            <w:tcW w:w="1721" w:type="dxa"/>
            <w:vAlign w:val="center"/>
          </w:tcPr>
          <w:p w14:paraId="517174E2" w14:textId="77777777" w:rsidR="000B4F33" w:rsidRPr="008B2B4C" w:rsidRDefault="000B4F33" w:rsidP="008B2B4C">
            <w:pPr>
              <w:rPr>
                <w:rFonts w:ascii="Arial" w:hAnsi="Arial" w:cs="Arial"/>
                <w:sz w:val="16"/>
                <w:szCs w:val="16"/>
              </w:rPr>
            </w:pPr>
            <w:r w:rsidRPr="008B2B4C">
              <w:rPr>
                <w:rFonts w:ascii="Arial" w:hAnsi="Arial" w:cs="Arial"/>
                <w:sz w:val="16"/>
                <w:szCs w:val="16"/>
              </w:rPr>
              <w:t>OSHA Safety Rate</w:t>
            </w:r>
          </w:p>
        </w:tc>
        <w:tc>
          <w:tcPr>
            <w:tcW w:w="2414" w:type="dxa"/>
            <w:vAlign w:val="center"/>
          </w:tcPr>
          <w:p w14:paraId="089DF425" w14:textId="77777777" w:rsidR="000B4F33" w:rsidRPr="008B2B4C" w:rsidRDefault="000B4F33" w:rsidP="008B2B4C">
            <w:pPr>
              <w:rPr>
                <w:rFonts w:ascii="Arial" w:hAnsi="Arial" w:cs="Arial"/>
                <w:sz w:val="16"/>
                <w:szCs w:val="16"/>
              </w:rPr>
            </w:pPr>
            <w:r w:rsidRPr="008B2B4C">
              <w:rPr>
                <w:rFonts w:ascii="Arial" w:hAnsi="Arial" w:cs="Arial"/>
                <w:sz w:val="16"/>
                <w:szCs w:val="16"/>
              </w:rPr>
              <w:t>Multi-layered goals based on EEI panel: Threshold is EEI industry avg., Target Goal is EEI top quartile, Stretch Goal is EEI top decile</w:t>
            </w:r>
          </w:p>
        </w:tc>
        <w:tc>
          <w:tcPr>
            <w:tcW w:w="1890" w:type="dxa"/>
            <w:vAlign w:val="center"/>
          </w:tcPr>
          <w:p w14:paraId="2EABF474" w14:textId="77777777" w:rsidR="000B4F33" w:rsidRPr="008B2B4C" w:rsidRDefault="000B4F33" w:rsidP="008B2B4C">
            <w:pPr>
              <w:rPr>
                <w:rFonts w:ascii="Arial" w:hAnsi="Arial" w:cs="Arial"/>
                <w:sz w:val="16"/>
                <w:szCs w:val="16"/>
              </w:rPr>
            </w:pPr>
            <w:r w:rsidRPr="008B2B4C">
              <w:rPr>
                <w:rFonts w:ascii="Arial" w:hAnsi="Arial" w:cs="Arial"/>
                <w:sz w:val="16"/>
                <w:szCs w:val="16"/>
              </w:rPr>
              <w:t>Goals Not Met</w:t>
            </w:r>
          </w:p>
        </w:tc>
        <w:tc>
          <w:tcPr>
            <w:tcW w:w="1980" w:type="dxa"/>
            <w:vAlign w:val="center"/>
          </w:tcPr>
          <w:p w14:paraId="15CDC4C9" w14:textId="77777777" w:rsidR="000B4F33" w:rsidRPr="008B2B4C" w:rsidRDefault="000B4F33" w:rsidP="008B2B4C">
            <w:pPr>
              <w:rPr>
                <w:rFonts w:ascii="Arial" w:hAnsi="Arial" w:cs="Arial"/>
                <w:sz w:val="16"/>
                <w:szCs w:val="16"/>
              </w:rPr>
            </w:pPr>
            <w:r w:rsidRPr="008B2B4C">
              <w:rPr>
                <w:rFonts w:ascii="Arial" w:hAnsi="Arial" w:cs="Arial"/>
                <w:sz w:val="16"/>
                <w:szCs w:val="16"/>
              </w:rPr>
              <w:t>Goals Generally Met</w:t>
            </w:r>
          </w:p>
        </w:tc>
        <w:tc>
          <w:tcPr>
            <w:tcW w:w="1288" w:type="dxa"/>
            <w:vAlign w:val="center"/>
          </w:tcPr>
          <w:p w14:paraId="120300CE" w14:textId="77777777" w:rsidR="000B4F33" w:rsidRPr="008B2B4C" w:rsidRDefault="000B4F33" w:rsidP="008B2B4C">
            <w:pPr>
              <w:jc w:val="center"/>
              <w:rPr>
                <w:rFonts w:ascii="Arial" w:hAnsi="Arial" w:cs="Arial"/>
                <w:sz w:val="16"/>
                <w:szCs w:val="16"/>
              </w:rPr>
            </w:pPr>
            <w:r w:rsidRPr="008B2B4C">
              <w:rPr>
                <w:rFonts w:ascii="Arial" w:hAnsi="Arial" w:cs="Arial"/>
                <w:sz w:val="16"/>
                <w:szCs w:val="16"/>
              </w:rPr>
              <w:t>NA</w:t>
            </w:r>
          </w:p>
        </w:tc>
      </w:tr>
      <w:tr w:rsidR="000B4F33" w:rsidRPr="00B15BBE" w14:paraId="110990BF" w14:textId="77777777" w:rsidTr="008B2B4C">
        <w:trPr>
          <w:trHeight w:val="215"/>
          <w:jc w:val="center"/>
        </w:trPr>
        <w:tc>
          <w:tcPr>
            <w:tcW w:w="1721" w:type="dxa"/>
            <w:vAlign w:val="center"/>
          </w:tcPr>
          <w:p w14:paraId="4CD9F9E6" w14:textId="77777777" w:rsidR="000B4F33" w:rsidRPr="008B2B4C" w:rsidRDefault="000B4F33" w:rsidP="008B2B4C">
            <w:pPr>
              <w:rPr>
                <w:rFonts w:ascii="Arial" w:hAnsi="Arial" w:cs="Arial"/>
                <w:sz w:val="16"/>
                <w:szCs w:val="16"/>
              </w:rPr>
            </w:pPr>
            <w:r w:rsidRPr="008B2B4C">
              <w:rPr>
                <w:rFonts w:ascii="Arial" w:hAnsi="Arial" w:cs="Arial"/>
                <w:sz w:val="16"/>
                <w:szCs w:val="16"/>
              </w:rPr>
              <w:t>Days Away, Restricted Work or Transferred Rate (DART)</w:t>
            </w:r>
          </w:p>
        </w:tc>
        <w:tc>
          <w:tcPr>
            <w:tcW w:w="2414" w:type="dxa"/>
            <w:vAlign w:val="center"/>
          </w:tcPr>
          <w:p w14:paraId="6154C4AB" w14:textId="77777777" w:rsidR="000B4F33" w:rsidRPr="008B2B4C" w:rsidRDefault="000B4F33" w:rsidP="008B2B4C">
            <w:pPr>
              <w:rPr>
                <w:rFonts w:ascii="Arial" w:hAnsi="Arial" w:cs="Arial"/>
                <w:sz w:val="16"/>
                <w:szCs w:val="16"/>
              </w:rPr>
            </w:pPr>
            <w:r w:rsidRPr="008B2B4C">
              <w:rPr>
                <w:rFonts w:ascii="Arial" w:hAnsi="Arial" w:cs="Arial"/>
                <w:sz w:val="16"/>
                <w:szCs w:val="16"/>
              </w:rPr>
              <w:t>Multi-layered goals based on EEI panel: Threshold is EEI industry avg., Target Goal is EEI top quartile, Stretch Goal is EEI top decile</w:t>
            </w:r>
          </w:p>
        </w:tc>
        <w:tc>
          <w:tcPr>
            <w:tcW w:w="1890" w:type="dxa"/>
            <w:vAlign w:val="center"/>
          </w:tcPr>
          <w:p w14:paraId="0C09C557" w14:textId="77777777" w:rsidR="000B4F33" w:rsidRPr="008B2B4C" w:rsidRDefault="000B4F33" w:rsidP="008B2B4C">
            <w:pPr>
              <w:rPr>
                <w:rFonts w:ascii="Arial" w:hAnsi="Arial" w:cs="Arial"/>
                <w:sz w:val="16"/>
                <w:szCs w:val="16"/>
              </w:rPr>
            </w:pPr>
            <w:r w:rsidRPr="008B2B4C">
              <w:rPr>
                <w:rFonts w:ascii="Arial" w:hAnsi="Arial" w:cs="Arial"/>
                <w:sz w:val="16"/>
                <w:szCs w:val="16"/>
              </w:rPr>
              <w:t>PN – Threshold Goals Met; ME, PP &amp; WP Goals Not Met</w:t>
            </w:r>
          </w:p>
        </w:tc>
        <w:tc>
          <w:tcPr>
            <w:tcW w:w="1980" w:type="dxa"/>
            <w:vAlign w:val="center"/>
          </w:tcPr>
          <w:p w14:paraId="6DE45FB0" w14:textId="77777777" w:rsidR="000B4F33" w:rsidRPr="008B2B4C" w:rsidRDefault="000B4F33" w:rsidP="008B2B4C">
            <w:pPr>
              <w:rPr>
                <w:rFonts w:ascii="Arial" w:hAnsi="Arial" w:cs="Arial"/>
                <w:sz w:val="16"/>
                <w:szCs w:val="16"/>
              </w:rPr>
            </w:pPr>
            <w:r w:rsidRPr="008B2B4C">
              <w:rPr>
                <w:rFonts w:ascii="Arial" w:hAnsi="Arial" w:cs="Arial"/>
                <w:sz w:val="16"/>
                <w:szCs w:val="16"/>
              </w:rPr>
              <w:t>Goals Generally Met</w:t>
            </w:r>
          </w:p>
        </w:tc>
        <w:tc>
          <w:tcPr>
            <w:tcW w:w="1288" w:type="dxa"/>
            <w:vAlign w:val="center"/>
          </w:tcPr>
          <w:p w14:paraId="6D37CEE8" w14:textId="77777777" w:rsidR="000B4F33" w:rsidRPr="008B2B4C" w:rsidRDefault="000B4F33" w:rsidP="008B2B4C">
            <w:pPr>
              <w:jc w:val="center"/>
              <w:rPr>
                <w:rFonts w:ascii="Arial" w:hAnsi="Arial" w:cs="Arial"/>
                <w:sz w:val="16"/>
                <w:szCs w:val="16"/>
              </w:rPr>
            </w:pPr>
            <w:r w:rsidRPr="008B2B4C">
              <w:rPr>
                <w:rFonts w:ascii="Arial" w:hAnsi="Arial" w:cs="Arial"/>
                <w:sz w:val="16"/>
                <w:szCs w:val="16"/>
              </w:rPr>
              <w:t>NA</w:t>
            </w:r>
          </w:p>
        </w:tc>
      </w:tr>
      <w:tr w:rsidR="000B4F33" w:rsidRPr="00B15BBE" w14:paraId="6BD6F712" w14:textId="77777777" w:rsidTr="008B2B4C">
        <w:trPr>
          <w:trHeight w:val="215"/>
          <w:jc w:val="center"/>
        </w:trPr>
        <w:tc>
          <w:tcPr>
            <w:tcW w:w="1721" w:type="dxa"/>
            <w:vAlign w:val="center"/>
          </w:tcPr>
          <w:p w14:paraId="3702A99B" w14:textId="77777777" w:rsidR="000B4F33" w:rsidRPr="008B2B4C" w:rsidRDefault="000B4F33" w:rsidP="008B2B4C">
            <w:pPr>
              <w:rPr>
                <w:rFonts w:ascii="Arial" w:hAnsi="Arial" w:cs="Arial"/>
                <w:sz w:val="16"/>
                <w:szCs w:val="16"/>
              </w:rPr>
            </w:pPr>
            <w:r w:rsidRPr="008B2B4C">
              <w:rPr>
                <w:rFonts w:ascii="Arial" w:hAnsi="Arial" w:cs="Arial"/>
                <w:sz w:val="16"/>
                <w:szCs w:val="16"/>
              </w:rPr>
              <w:t>Chargeable Motor Vehicle Accident (CMVA) Rate (accidents per 1,000,000 miles)</w:t>
            </w:r>
          </w:p>
        </w:tc>
        <w:tc>
          <w:tcPr>
            <w:tcW w:w="2414" w:type="dxa"/>
            <w:vAlign w:val="center"/>
          </w:tcPr>
          <w:p w14:paraId="7C317E50" w14:textId="77777777" w:rsidR="000B4F33" w:rsidRPr="008B2B4C" w:rsidRDefault="000B4F33" w:rsidP="008B2B4C">
            <w:pPr>
              <w:rPr>
                <w:rFonts w:ascii="Arial" w:hAnsi="Arial" w:cs="Arial"/>
                <w:sz w:val="16"/>
                <w:szCs w:val="16"/>
              </w:rPr>
            </w:pPr>
            <w:r w:rsidRPr="008B2B4C">
              <w:rPr>
                <w:rFonts w:ascii="Arial" w:hAnsi="Arial" w:cs="Arial"/>
                <w:sz w:val="16"/>
                <w:szCs w:val="16"/>
              </w:rPr>
              <w:t>Multi-layered goals: Threshold Goal is 2.25, Target Goal is 1.94, Stretch is 1.41</w:t>
            </w:r>
          </w:p>
        </w:tc>
        <w:tc>
          <w:tcPr>
            <w:tcW w:w="1890" w:type="dxa"/>
            <w:vAlign w:val="center"/>
          </w:tcPr>
          <w:p w14:paraId="11C7CF8E" w14:textId="77777777" w:rsidR="000B4F33" w:rsidRPr="008B2B4C" w:rsidRDefault="000B4F33" w:rsidP="008B2B4C">
            <w:pPr>
              <w:rPr>
                <w:rFonts w:ascii="Arial" w:hAnsi="Arial" w:cs="Arial"/>
                <w:sz w:val="16"/>
                <w:szCs w:val="16"/>
              </w:rPr>
            </w:pPr>
            <w:r w:rsidRPr="008B2B4C">
              <w:rPr>
                <w:rFonts w:ascii="Arial" w:hAnsi="Arial" w:cs="Arial"/>
                <w:sz w:val="16"/>
                <w:szCs w:val="16"/>
              </w:rPr>
              <w:t>ME &amp; PN Goals Not Met; PP Target Goals Met; WP Stretch Goals Met</w:t>
            </w:r>
          </w:p>
        </w:tc>
        <w:tc>
          <w:tcPr>
            <w:tcW w:w="1980" w:type="dxa"/>
            <w:vAlign w:val="center"/>
          </w:tcPr>
          <w:p w14:paraId="3972443E" w14:textId="77777777" w:rsidR="000B4F33" w:rsidRPr="008B2B4C" w:rsidRDefault="000B4F33" w:rsidP="008B2B4C">
            <w:pPr>
              <w:rPr>
                <w:rFonts w:ascii="Arial" w:hAnsi="Arial" w:cs="Arial"/>
                <w:sz w:val="16"/>
                <w:szCs w:val="16"/>
              </w:rPr>
            </w:pPr>
            <w:r w:rsidRPr="008B2B4C">
              <w:rPr>
                <w:rFonts w:ascii="Arial" w:hAnsi="Arial" w:cs="Arial"/>
                <w:sz w:val="16"/>
                <w:szCs w:val="16"/>
              </w:rPr>
              <w:t>Goals Generally Met</w:t>
            </w:r>
          </w:p>
        </w:tc>
        <w:tc>
          <w:tcPr>
            <w:tcW w:w="1288" w:type="dxa"/>
            <w:vAlign w:val="center"/>
          </w:tcPr>
          <w:p w14:paraId="6FB0C734" w14:textId="77777777" w:rsidR="000B4F33" w:rsidRPr="008B2B4C" w:rsidRDefault="000B4F33" w:rsidP="008B2B4C">
            <w:pPr>
              <w:jc w:val="center"/>
              <w:rPr>
                <w:rFonts w:ascii="Arial" w:hAnsi="Arial" w:cs="Arial"/>
                <w:sz w:val="16"/>
                <w:szCs w:val="16"/>
              </w:rPr>
            </w:pPr>
            <w:r w:rsidRPr="008B2B4C">
              <w:rPr>
                <w:rFonts w:ascii="Arial" w:hAnsi="Arial" w:cs="Arial"/>
                <w:sz w:val="16"/>
                <w:szCs w:val="16"/>
              </w:rPr>
              <w:t>NA</w:t>
            </w:r>
          </w:p>
        </w:tc>
      </w:tr>
      <w:tr w:rsidR="00F16118" w:rsidRPr="00B15BBE" w14:paraId="6B103EED" w14:textId="77777777" w:rsidTr="008B2B4C">
        <w:trPr>
          <w:trHeight w:val="215"/>
          <w:jc w:val="center"/>
        </w:trPr>
        <w:tc>
          <w:tcPr>
            <w:tcW w:w="9293" w:type="dxa"/>
            <w:gridSpan w:val="5"/>
            <w:shd w:val="clear" w:color="auto" w:fill="D9D9D9" w:themeFill="background1" w:themeFillShade="D9"/>
            <w:vAlign w:val="center"/>
          </w:tcPr>
          <w:p w14:paraId="30D15E02" w14:textId="77777777" w:rsidR="00F16118" w:rsidRPr="008B2B4C" w:rsidRDefault="00F16118" w:rsidP="008B2B4C">
            <w:pPr>
              <w:jc w:val="center"/>
              <w:rPr>
                <w:rFonts w:ascii="Arial" w:hAnsi="Arial" w:cs="Arial"/>
                <w:b/>
                <w:sz w:val="16"/>
                <w:szCs w:val="16"/>
              </w:rPr>
            </w:pPr>
            <w:r w:rsidRPr="008B2B4C">
              <w:rPr>
                <w:rFonts w:ascii="Arial" w:hAnsi="Arial" w:cs="Arial"/>
                <w:b/>
                <w:sz w:val="16"/>
                <w:szCs w:val="16"/>
              </w:rPr>
              <w:t>RELIABILITY</w:t>
            </w:r>
          </w:p>
        </w:tc>
      </w:tr>
      <w:tr w:rsidR="00F16118" w:rsidRPr="00B15BBE" w14:paraId="0DC18A14" w14:textId="77777777" w:rsidTr="008B2B4C">
        <w:trPr>
          <w:trHeight w:val="215"/>
          <w:jc w:val="center"/>
        </w:trPr>
        <w:tc>
          <w:tcPr>
            <w:tcW w:w="1721" w:type="dxa"/>
            <w:vAlign w:val="center"/>
          </w:tcPr>
          <w:p w14:paraId="694AFFE2" w14:textId="77777777" w:rsidR="00F16118" w:rsidRPr="008B2B4C" w:rsidRDefault="00F16118" w:rsidP="008B2B4C">
            <w:pPr>
              <w:rPr>
                <w:rFonts w:ascii="Arial" w:hAnsi="Arial" w:cs="Arial"/>
                <w:sz w:val="16"/>
                <w:szCs w:val="16"/>
              </w:rPr>
            </w:pPr>
            <w:r w:rsidRPr="008B2B4C">
              <w:rPr>
                <w:rFonts w:ascii="Arial" w:hAnsi="Arial" w:cs="Arial"/>
                <w:sz w:val="16"/>
                <w:szCs w:val="16"/>
              </w:rPr>
              <w:t>System Average Interruption Duration Index (SAIDI)</w:t>
            </w:r>
          </w:p>
        </w:tc>
        <w:tc>
          <w:tcPr>
            <w:tcW w:w="2414" w:type="dxa"/>
            <w:vAlign w:val="center"/>
          </w:tcPr>
          <w:p w14:paraId="7D476F9E" w14:textId="77777777" w:rsidR="00F16118" w:rsidRPr="008B2B4C" w:rsidRDefault="00F16118" w:rsidP="008B2B4C">
            <w:pPr>
              <w:rPr>
                <w:rFonts w:ascii="Arial" w:hAnsi="Arial" w:cs="Arial"/>
                <w:sz w:val="16"/>
                <w:szCs w:val="16"/>
              </w:rPr>
            </w:pPr>
            <w:r w:rsidRPr="008B2B4C">
              <w:rPr>
                <w:rFonts w:ascii="Arial" w:hAnsi="Arial" w:cs="Arial"/>
                <w:sz w:val="16"/>
                <w:szCs w:val="16"/>
              </w:rPr>
              <w:t>Multi-layered goals for each Co.  Threshold Goal is 3 yr. rolling standard, Target Goal changed each yr. - 2017 target was same as 2016 which was 25% diff between 2015 Target and Benchmark, Stretch Goal is Benchmark</w:t>
            </w:r>
          </w:p>
        </w:tc>
        <w:tc>
          <w:tcPr>
            <w:tcW w:w="1890" w:type="dxa"/>
            <w:vAlign w:val="center"/>
          </w:tcPr>
          <w:p w14:paraId="3891FD88" w14:textId="77777777" w:rsidR="00F16118" w:rsidRPr="008B2B4C" w:rsidRDefault="00F16118" w:rsidP="008B2B4C">
            <w:pPr>
              <w:rPr>
                <w:rFonts w:ascii="Arial" w:hAnsi="Arial" w:cs="Arial"/>
                <w:sz w:val="16"/>
                <w:szCs w:val="16"/>
              </w:rPr>
            </w:pPr>
            <w:r w:rsidRPr="008B2B4C">
              <w:rPr>
                <w:rFonts w:ascii="Arial" w:hAnsi="Arial" w:cs="Arial"/>
                <w:sz w:val="16"/>
                <w:szCs w:val="16"/>
              </w:rPr>
              <w:t>No Goals Met</w:t>
            </w:r>
          </w:p>
        </w:tc>
        <w:tc>
          <w:tcPr>
            <w:tcW w:w="1980" w:type="dxa"/>
            <w:vAlign w:val="center"/>
          </w:tcPr>
          <w:p w14:paraId="53B80B12" w14:textId="77777777" w:rsidR="00F16118" w:rsidRPr="008B2B4C" w:rsidRDefault="00F16118" w:rsidP="008B2B4C">
            <w:pPr>
              <w:rPr>
                <w:rFonts w:ascii="Arial" w:hAnsi="Arial" w:cs="Arial"/>
                <w:sz w:val="16"/>
                <w:szCs w:val="16"/>
              </w:rPr>
            </w:pPr>
            <w:r w:rsidRPr="008B2B4C">
              <w:rPr>
                <w:rFonts w:ascii="Arial" w:hAnsi="Arial" w:cs="Arial"/>
                <w:sz w:val="16"/>
                <w:szCs w:val="16"/>
              </w:rPr>
              <w:t>Goals Sometimes Met</w:t>
            </w:r>
          </w:p>
        </w:tc>
        <w:tc>
          <w:tcPr>
            <w:tcW w:w="1288" w:type="dxa"/>
            <w:vAlign w:val="center"/>
          </w:tcPr>
          <w:p w14:paraId="568D8203" w14:textId="77777777" w:rsidR="00F16118" w:rsidRPr="008B2B4C" w:rsidRDefault="00F16118" w:rsidP="008B2B4C">
            <w:pPr>
              <w:jc w:val="center"/>
              <w:rPr>
                <w:rFonts w:ascii="Arial" w:hAnsi="Arial" w:cs="Arial"/>
                <w:sz w:val="16"/>
                <w:szCs w:val="16"/>
              </w:rPr>
            </w:pPr>
            <w:r w:rsidRPr="008B2B4C">
              <w:rPr>
                <w:rFonts w:ascii="Arial" w:hAnsi="Arial" w:cs="Arial"/>
                <w:sz w:val="16"/>
                <w:szCs w:val="16"/>
              </w:rPr>
              <w:t>NA</w:t>
            </w:r>
          </w:p>
        </w:tc>
      </w:tr>
      <w:tr w:rsidR="00F16118" w:rsidRPr="00B15BBE" w14:paraId="10F4EFE9" w14:textId="77777777" w:rsidTr="008B2B4C">
        <w:trPr>
          <w:trHeight w:val="215"/>
          <w:jc w:val="center"/>
        </w:trPr>
        <w:tc>
          <w:tcPr>
            <w:tcW w:w="1721" w:type="dxa"/>
            <w:vMerge w:val="restart"/>
            <w:vAlign w:val="center"/>
          </w:tcPr>
          <w:p w14:paraId="54DAE4B3" w14:textId="77777777" w:rsidR="00F16118" w:rsidRPr="008B2B4C" w:rsidRDefault="00F16118" w:rsidP="008B2B4C">
            <w:pPr>
              <w:rPr>
                <w:rFonts w:ascii="Arial" w:hAnsi="Arial" w:cs="Arial"/>
                <w:sz w:val="16"/>
                <w:szCs w:val="16"/>
              </w:rPr>
            </w:pPr>
            <w:r w:rsidRPr="008B2B4C">
              <w:rPr>
                <w:rFonts w:ascii="Arial" w:hAnsi="Arial" w:cs="Arial"/>
                <w:sz w:val="16"/>
                <w:szCs w:val="16"/>
              </w:rPr>
              <w:t>Worst Performing Circuit Report</w:t>
            </w:r>
          </w:p>
        </w:tc>
        <w:tc>
          <w:tcPr>
            <w:tcW w:w="2414" w:type="dxa"/>
            <w:vAlign w:val="center"/>
          </w:tcPr>
          <w:p w14:paraId="6C849325" w14:textId="77777777" w:rsidR="00F16118" w:rsidRPr="008B2B4C" w:rsidRDefault="00F16118" w:rsidP="008B2B4C">
            <w:pPr>
              <w:rPr>
                <w:rFonts w:ascii="Arial" w:hAnsi="Arial" w:cs="Arial"/>
                <w:sz w:val="16"/>
                <w:szCs w:val="16"/>
              </w:rPr>
            </w:pPr>
            <w:r w:rsidRPr="008B2B4C">
              <w:rPr>
                <w:rFonts w:ascii="Arial" w:hAnsi="Arial" w:cs="Arial"/>
                <w:sz w:val="16"/>
                <w:szCs w:val="16"/>
              </w:rPr>
              <w:t>ME: 100% Monthly milestones</w:t>
            </w:r>
          </w:p>
        </w:tc>
        <w:tc>
          <w:tcPr>
            <w:tcW w:w="1890" w:type="dxa"/>
            <w:vAlign w:val="center"/>
          </w:tcPr>
          <w:p w14:paraId="350DF6C4" w14:textId="77777777" w:rsidR="00F16118" w:rsidRPr="008B2B4C" w:rsidRDefault="00F16118" w:rsidP="008B2B4C">
            <w:pPr>
              <w:rPr>
                <w:rFonts w:ascii="Arial" w:hAnsi="Arial" w:cs="Arial"/>
                <w:sz w:val="16"/>
                <w:szCs w:val="16"/>
              </w:rPr>
            </w:pPr>
            <w:r w:rsidRPr="008B2B4C">
              <w:rPr>
                <w:rFonts w:ascii="Arial" w:hAnsi="Arial" w:cs="Arial"/>
                <w:sz w:val="16"/>
                <w:szCs w:val="16"/>
              </w:rPr>
              <w:t>Goals Met</w:t>
            </w:r>
          </w:p>
        </w:tc>
        <w:tc>
          <w:tcPr>
            <w:tcW w:w="1980" w:type="dxa"/>
            <w:vAlign w:val="center"/>
          </w:tcPr>
          <w:p w14:paraId="73C08EA6" w14:textId="77777777" w:rsidR="00F16118" w:rsidRPr="008B2B4C" w:rsidRDefault="00F16118" w:rsidP="008B2B4C">
            <w:pPr>
              <w:rPr>
                <w:rFonts w:ascii="Arial" w:hAnsi="Arial" w:cs="Arial"/>
                <w:sz w:val="16"/>
                <w:szCs w:val="16"/>
              </w:rPr>
            </w:pPr>
            <w:r w:rsidRPr="008B2B4C">
              <w:rPr>
                <w:rFonts w:ascii="Arial" w:hAnsi="Arial" w:cs="Arial"/>
                <w:sz w:val="16"/>
                <w:szCs w:val="16"/>
              </w:rPr>
              <w:t>Goals Always Met</w:t>
            </w:r>
          </w:p>
        </w:tc>
        <w:tc>
          <w:tcPr>
            <w:tcW w:w="1288" w:type="dxa"/>
            <w:vAlign w:val="center"/>
          </w:tcPr>
          <w:p w14:paraId="3D2D6127" w14:textId="77777777" w:rsidR="00F16118" w:rsidRPr="008B2B4C" w:rsidRDefault="00F16118" w:rsidP="008B2B4C">
            <w:pPr>
              <w:jc w:val="center"/>
              <w:rPr>
                <w:rFonts w:ascii="Arial" w:hAnsi="Arial" w:cs="Arial"/>
                <w:sz w:val="16"/>
                <w:szCs w:val="16"/>
              </w:rPr>
            </w:pPr>
            <w:r w:rsidRPr="008B2B4C">
              <w:rPr>
                <w:rFonts w:ascii="Arial" w:hAnsi="Arial" w:cs="Arial"/>
                <w:sz w:val="16"/>
                <w:szCs w:val="16"/>
              </w:rPr>
              <w:t>NA</w:t>
            </w:r>
          </w:p>
        </w:tc>
      </w:tr>
      <w:tr w:rsidR="00F16118" w:rsidRPr="00B15BBE" w14:paraId="62657997" w14:textId="77777777" w:rsidTr="008B2B4C">
        <w:trPr>
          <w:trHeight w:val="215"/>
          <w:jc w:val="center"/>
        </w:trPr>
        <w:tc>
          <w:tcPr>
            <w:tcW w:w="1721" w:type="dxa"/>
            <w:vMerge/>
            <w:vAlign w:val="center"/>
          </w:tcPr>
          <w:p w14:paraId="1FA46FD9" w14:textId="77777777" w:rsidR="00F16118" w:rsidRPr="008B2B4C" w:rsidRDefault="00F16118" w:rsidP="008B2B4C">
            <w:pPr>
              <w:rPr>
                <w:rFonts w:ascii="Arial" w:hAnsi="Arial" w:cs="Arial"/>
                <w:sz w:val="16"/>
                <w:szCs w:val="16"/>
              </w:rPr>
            </w:pPr>
          </w:p>
        </w:tc>
        <w:tc>
          <w:tcPr>
            <w:tcW w:w="2414" w:type="dxa"/>
            <w:vAlign w:val="center"/>
          </w:tcPr>
          <w:p w14:paraId="0263A623" w14:textId="77777777" w:rsidR="00F16118" w:rsidRPr="008B2B4C" w:rsidRDefault="00F16118" w:rsidP="008B2B4C">
            <w:pPr>
              <w:rPr>
                <w:rFonts w:ascii="Arial" w:hAnsi="Arial" w:cs="Arial"/>
                <w:sz w:val="16"/>
                <w:szCs w:val="16"/>
              </w:rPr>
            </w:pPr>
            <w:r w:rsidRPr="008B2B4C">
              <w:rPr>
                <w:rFonts w:ascii="Arial" w:hAnsi="Arial" w:cs="Arial"/>
                <w:sz w:val="16"/>
                <w:szCs w:val="16"/>
              </w:rPr>
              <w:t>PN: 100% Monthly Milestones</w:t>
            </w:r>
          </w:p>
        </w:tc>
        <w:tc>
          <w:tcPr>
            <w:tcW w:w="1890" w:type="dxa"/>
            <w:vAlign w:val="center"/>
          </w:tcPr>
          <w:p w14:paraId="43E93913" w14:textId="77777777" w:rsidR="00F16118" w:rsidRPr="008B2B4C" w:rsidRDefault="00F16118" w:rsidP="008B2B4C">
            <w:pPr>
              <w:rPr>
                <w:rFonts w:ascii="Arial" w:hAnsi="Arial" w:cs="Arial"/>
                <w:sz w:val="16"/>
                <w:szCs w:val="16"/>
              </w:rPr>
            </w:pPr>
            <w:r w:rsidRPr="008B2B4C">
              <w:rPr>
                <w:rFonts w:ascii="Arial" w:hAnsi="Arial" w:cs="Arial"/>
                <w:sz w:val="16"/>
                <w:szCs w:val="16"/>
              </w:rPr>
              <w:t>Goals Met</w:t>
            </w:r>
          </w:p>
        </w:tc>
        <w:tc>
          <w:tcPr>
            <w:tcW w:w="1980" w:type="dxa"/>
            <w:vAlign w:val="center"/>
          </w:tcPr>
          <w:p w14:paraId="653F55C2" w14:textId="77777777" w:rsidR="00F16118" w:rsidRPr="008B2B4C" w:rsidRDefault="00F16118" w:rsidP="008B2B4C">
            <w:pPr>
              <w:rPr>
                <w:rFonts w:ascii="Arial" w:hAnsi="Arial" w:cs="Arial"/>
                <w:sz w:val="16"/>
                <w:szCs w:val="16"/>
              </w:rPr>
            </w:pPr>
            <w:r w:rsidRPr="008B2B4C">
              <w:rPr>
                <w:rFonts w:ascii="Arial" w:hAnsi="Arial" w:cs="Arial"/>
                <w:sz w:val="16"/>
                <w:szCs w:val="16"/>
              </w:rPr>
              <w:t>Performance and Goals Not Tracked in 2015; Goals Always Met in 2016</w:t>
            </w:r>
          </w:p>
        </w:tc>
        <w:tc>
          <w:tcPr>
            <w:tcW w:w="1288" w:type="dxa"/>
            <w:vAlign w:val="center"/>
          </w:tcPr>
          <w:p w14:paraId="49C9EBBC" w14:textId="77777777" w:rsidR="00F16118" w:rsidRPr="008B2B4C" w:rsidRDefault="00F16118" w:rsidP="008B2B4C">
            <w:pPr>
              <w:jc w:val="center"/>
              <w:rPr>
                <w:rFonts w:ascii="Arial" w:hAnsi="Arial" w:cs="Arial"/>
                <w:sz w:val="16"/>
                <w:szCs w:val="16"/>
              </w:rPr>
            </w:pPr>
            <w:r w:rsidRPr="008B2B4C">
              <w:rPr>
                <w:rFonts w:ascii="Arial" w:hAnsi="Arial" w:cs="Arial"/>
                <w:sz w:val="16"/>
                <w:szCs w:val="16"/>
              </w:rPr>
              <w:t>NA</w:t>
            </w:r>
          </w:p>
        </w:tc>
      </w:tr>
      <w:tr w:rsidR="00F16118" w:rsidRPr="00B15BBE" w14:paraId="5A3642D4" w14:textId="77777777" w:rsidTr="008B2B4C">
        <w:trPr>
          <w:trHeight w:val="215"/>
          <w:jc w:val="center"/>
        </w:trPr>
        <w:tc>
          <w:tcPr>
            <w:tcW w:w="1721" w:type="dxa"/>
            <w:vMerge/>
            <w:vAlign w:val="center"/>
          </w:tcPr>
          <w:p w14:paraId="69F67E14" w14:textId="77777777" w:rsidR="00F16118" w:rsidRPr="008B2B4C" w:rsidRDefault="00F16118" w:rsidP="008B2B4C">
            <w:pPr>
              <w:rPr>
                <w:rFonts w:ascii="Arial" w:hAnsi="Arial" w:cs="Arial"/>
                <w:sz w:val="16"/>
                <w:szCs w:val="16"/>
              </w:rPr>
            </w:pPr>
          </w:p>
        </w:tc>
        <w:tc>
          <w:tcPr>
            <w:tcW w:w="2414" w:type="dxa"/>
            <w:vAlign w:val="center"/>
          </w:tcPr>
          <w:p w14:paraId="304FB882" w14:textId="77777777" w:rsidR="00F16118" w:rsidRPr="008B2B4C" w:rsidRDefault="00F16118" w:rsidP="008B2B4C">
            <w:pPr>
              <w:rPr>
                <w:rFonts w:ascii="Arial" w:hAnsi="Arial" w:cs="Arial"/>
                <w:sz w:val="16"/>
                <w:szCs w:val="16"/>
              </w:rPr>
            </w:pPr>
            <w:r w:rsidRPr="008B2B4C">
              <w:rPr>
                <w:rFonts w:ascii="Arial" w:hAnsi="Arial" w:cs="Arial"/>
                <w:sz w:val="16"/>
                <w:szCs w:val="16"/>
              </w:rPr>
              <w:t>WP: 100% Monthly milestones</w:t>
            </w:r>
          </w:p>
        </w:tc>
        <w:tc>
          <w:tcPr>
            <w:tcW w:w="1890" w:type="dxa"/>
            <w:vAlign w:val="center"/>
          </w:tcPr>
          <w:p w14:paraId="7D6614A3" w14:textId="77777777" w:rsidR="00F16118" w:rsidRPr="008B2B4C" w:rsidRDefault="00F16118" w:rsidP="008B2B4C">
            <w:pPr>
              <w:rPr>
                <w:rFonts w:ascii="Arial" w:hAnsi="Arial" w:cs="Arial"/>
                <w:sz w:val="16"/>
                <w:szCs w:val="16"/>
              </w:rPr>
            </w:pPr>
            <w:r w:rsidRPr="008B2B4C">
              <w:rPr>
                <w:rFonts w:ascii="Arial" w:hAnsi="Arial" w:cs="Arial"/>
                <w:sz w:val="16"/>
                <w:szCs w:val="16"/>
              </w:rPr>
              <w:t>Goals Met</w:t>
            </w:r>
          </w:p>
        </w:tc>
        <w:tc>
          <w:tcPr>
            <w:tcW w:w="1980" w:type="dxa"/>
            <w:vAlign w:val="center"/>
          </w:tcPr>
          <w:p w14:paraId="5032A102" w14:textId="77777777" w:rsidR="00F16118" w:rsidRPr="008B2B4C" w:rsidRDefault="00F16118" w:rsidP="008B2B4C">
            <w:pPr>
              <w:rPr>
                <w:rFonts w:ascii="Arial" w:hAnsi="Arial" w:cs="Arial"/>
                <w:sz w:val="16"/>
                <w:szCs w:val="16"/>
              </w:rPr>
            </w:pPr>
            <w:r w:rsidRPr="008B2B4C">
              <w:rPr>
                <w:rFonts w:ascii="Arial" w:hAnsi="Arial" w:cs="Arial"/>
                <w:sz w:val="16"/>
                <w:szCs w:val="16"/>
              </w:rPr>
              <w:t>Goals Always Met</w:t>
            </w:r>
          </w:p>
        </w:tc>
        <w:tc>
          <w:tcPr>
            <w:tcW w:w="1288" w:type="dxa"/>
            <w:vAlign w:val="center"/>
          </w:tcPr>
          <w:p w14:paraId="4157A3DE" w14:textId="77777777" w:rsidR="00F16118" w:rsidRPr="008B2B4C" w:rsidRDefault="00F16118" w:rsidP="008B2B4C">
            <w:pPr>
              <w:jc w:val="center"/>
              <w:rPr>
                <w:rFonts w:ascii="Arial" w:hAnsi="Arial" w:cs="Arial"/>
                <w:sz w:val="16"/>
                <w:szCs w:val="16"/>
              </w:rPr>
            </w:pPr>
            <w:r w:rsidRPr="008B2B4C">
              <w:rPr>
                <w:rFonts w:ascii="Arial" w:hAnsi="Arial" w:cs="Arial"/>
                <w:sz w:val="16"/>
                <w:szCs w:val="16"/>
              </w:rPr>
              <w:t>NA</w:t>
            </w:r>
          </w:p>
        </w:tc>
      </w:tr>
      <w:tr w:rsidR="00F16118" w:rsidRPr="00B15BBE" w14:paraId="6F590AFD" w14:textId="77777777" w:rsidTr="008B2B4C">
        <w:trPr>
          <w:trHeight w:val="215"/>
          <w:jc w:val="center"/>
        </w:trPr>
        <w:tc>
          <w:tcPr>
            <w:tcW w:w="1721" w:type="dxa"/>
            <w:vAlign w:val="center"/>
            <w:hideMark/>
          </w:tcPr>
          <w:p w14:paraId="6EAEAE48" w14:textId="77777777" w:rsidR="00F16118" w:rsidRPr="008B2B4C" w:rsidRDefault="00F16118" w:rsidP="008B2B4C">
            <w:pPr>
              <w:rPr>
                <w:rFonts w:ascii="Arial" w:hAnsi="Arial" w:cs="Arial"/>
                <w:sz w:val="16"/>
                <w:szCs w:val="16"/>
              </w:rPr>
            </w:pPr>
            <w:r w:rsidRPr="008B2B4C">
              <w:rPr>
                <w:rFonts w:ascii="Arial" w:hAnsi="Arial" w:cs="Arial"/>
                <w:sz w:val="16"/>
                <w:szCs w:val="16"/>
              </w:rPr>
              <w:t>Callout Acceptance Report</w:t>
            </w:r>
          </w:p>
        </w:tc>
        <w:tc>
          <w:tcPr>
            <w:tcW w:w="2414" w:type="dxa"/>
            <w:vAlign w:val="center"/>
            <w:hideMark/>
          </w:tcPr>
          <w:p w14:paraId="3E60F63E" w14:textId="77777777" w:rsidR="00F16118" w:rsidRPr="008B2B4C" w:rsidRDefault="00F16118" w:rsidP="008B2B4C">
            <w:pPr>
              <w:rPr>
                <w:rFonts w:ascii="Arial" w:hAnsi="Arial" w:cs="Arial"/>
                <w:sz w:val="16"/>
                <w:szCs w:val="16"/>
              </w:rPr>
            </w:pPr>
            <w:r w:rsidRPr="008B2B4C">
              <w:rPr>
                <w:rFonts w:ascii="Arial" w:hAnsi="Arial" w:cs="Arial"/>
                <w:sz w:val="16"/>
                <w:szCs w:val="16"/>
              </w:rPr>
              <w:t>All EDC's: Monitored monthly</w:t>
            </w:r>
          </w:p>
        </w:tc>
        <w:tc>
          <w:tcPr>
            <w:tcW w:w="1890" w:type="dxa"/>
            <w:vAlign w:val="center"/>
            <w:hideMark/>
          </w:tcPr>
          <w:p w14:paraId="28D38C8E" w14:textId="77777777" w:rsidR="00F16118" w:rsidRPr="008B2B4C" w:rsidRDefault="00F16118" w:rsidP="008B2B4C">
            <w:pPr>
              <w:rPr>
                <w:rFonts w:ascii="Arial" w:hAnsi="Arial" w:cs="Arial"/>
                <w:sz w:val="16"/>
                <w:szCs w:val="16"/>
              </w:rPr>
            </w:pPr>
            <w:r w:rsidRPr="008B2B4C">
              <w:rPr>
                <w:rFonts w:ascii="Arial" w:hAnsi="Arial" w:cs="Arial"/>
                <w:sz w:val="16"/>
                <w:szCs w:val="16"/>
              </w:rPr>
              <w:t>No Formal Goals</w:t>
            </w:r>
          </w:p>
        </w:tc>
        <w:tc>
          <w:tcPr>
            <w:tcW w:w="1980" w:type="dxa"/>
            <w:vAlign w:val="center"/>
            <w:hideMark/>
          </w:tcPr>
          <w:p w14:paraId="56C3E9DE" w14:textId="77777777" w:rsidR="00F16118" w:rsidRPr="008B2B4C" w:rsidRDefault="00F16118" w:rsidP="008B2B4C">
            <w:pPr>
              <w:rPr>
                <w:rFonts w:ascii="Arial" w:hAnsi="Arial" w:cs="Arial"/>
                <w:sz w:val="16"/>
                <w:szCs w:val="16"/>
              </w:rPr>
            </w:pPr>
            <w:r w:rsidRPr="008B2B4C">
              <w:rPr>
                <w:rFonts w:ascii="Arial" w:hAnsi="Arial" w:cs="Arial"/>
                <w:sz w:val="16"/>
                <w:szCs w:val="16"/>
              </w:rPr>
              <w:t>Not Applicable</w:t>
            </w:r>
          </w:p>
        </w:tc>
        <w:tc>
          <w:tcPr>
            <w:tcW w:w="1288" w:type="dxa"/>
            <w:vAlign w:val="center"/>
          </w:tcPr>
          <w:p w14:paraId="34EFD206" w14:textId="77777777" w:rsidR="00F16118" w:rsidRPr="008B2B4C" w:rsidRDefault="00F16118" w:rsidP="008B2B4C">
            <w:pPr>
              <w:jc w:val="center"/>
              <w:rPr>
                <w:rFonts w:ascii="Arial" w:hAnsi="Arial" w:cs="Arial"/>
                <w:sz w:val="16"/>
                <w:szCs w:val="16"/>
              </w:rPr>
            </w:pPr>
            <w:r w:rsidRPr="008B2B4C">
              <w:rPr>
                <w:rFonts w:ascii="Arial" w:hAnsi="Arial" w:cs="Arial"/>
                <w:sz w:val="16"/>
                <w:szCs w:val="16"/>
              </w:rPr>
              <w:t>NA</w:t>
            </w:r>
          </w:p>
        </w:tc>
      </w:tr>
      <w:tr w:rsidR="00F16118" w:rsidRPr="00B15BBE" w14:paraId="5AF0AC1C" w14:textId="77777777" w:rsidTr="008B2B4C">
        <w:trPr>
          <w:trHeight w:val="170"/>
          <w:jc w:val="center"/>
        </w:trPr>
        <w:tc>
          <w:tcPr>
            <w:tcW w:w="1721" w:type="dxa"/>
            <w:vMerge w:val="restart"/>
            <w:vAlign w:val="center"/>
          </w:tcPr>
          <w:p w14:paraId="460791CF" w14:textId="77777777" w:rsidR="00F16118" w:rsidRPr="008B2B4C" w:rsidRDefault="00F16118" w:rsidP="008B2B4C">
            <w:pPr>
              <w:rPr>
                <w:rFonts w:ascii="Arial" w:hAnsi="Arial" w:cs="Arial"/>
                <w:sz w:val="16"/>
                <w:szCs w:val="16"/>
              </w:rPr>
            </w:pPr>
            <w:r w:rsidRPr="008B2B4C">
              <w:rPr>
                <w:rFonts w:ascii="Arial" w:hAnsi="Arial" w:cs="Arial"/>
                <w:sz w:val="16"/>
                <w:szCs w:val="16"/>
              </w:rPr>
              <w:t>Priority 3 Transmission Backlog Reduction</w:t>
            </w:r>
          </w:p>
        </w:tc>
        <w:tc>
          <w:tcPr>
            <w:tcW w:w="2414" w:type="dxa"/>
            <w:vAlign w:val="center"/>
          </w:tcPr>
          <w:p w14:paraId="2B717C74" w14:textId="77777777" w:rsidR="00F16118" w:rsidRPr="008B2B4C" w:rsidRDefault="00F16118" w:rsidP="008B2B4C">
            <w:pPr>
              <w:rPr>
                <w:rFonts w:ascii="Arial" w:hAnsi="Arial" w:cs="Arial"/>
                <w:sz w:val="16"/>
                <w:szCs w:val="16"/>
              </w:rPr>
            </w:pPr>
            <w:r w:rsidRPr="008B2B4C">
              <w:rPr>
                <w:rFonts w:ascii="Arial" w:hAnsi="Arial" w:cs="Arial"/>
                <w:sz w:val="16"/>
                <w:szCs w:val="16"/>
              </w:rPr>
              <w:t xml:space="preserve">ME: 769 repairs </w:t>
            </w:r>
          </w:p>
        </w:tc>
        <w:tc>
          <w:tcPr>
            <w:tcW w:w="1890" w:type="dxa"/>
            <w:vAlign w:val="center"/>
          </w:tcPr>
          <w:p w14:paraId="3BC04834" w14:textId="77777777" w:rsidR="00F16118" w:rsidRPr="008B2B4C" w:rsidRDefault="00F16118" w:rsidP="008B2B4C">
            <w:pPr>
              <w:rPr>
                <w:rFonts w:ascii="Arial" w:hAnsi="Arial" w:cs="Arial"/>
                <w:sz w:val="16"/>
                <w:szCs w:val="16"/>
              </w:rPr>
            </w:pPr>
            <w:r w:rsidRPr="008B2B4C">
              <w:rPr>
                <w:rFonts w:ascii="Arial" w:hAnsi="Arial" w:cs="Arial"/>
                <w:sz w:val="16"/>
                <w:szCs w:val="16"/>
              </w:rPr>
              <w:t>Goals Met</w:t>
            </w:r>
          </w:p>
        </w:tc>
        <w:tc>
          <w:tcPr>
            <w:tcW w:w="1980" w:type="dxa"/>
            <w:vAlign w:val="center"/>
          </w:tcPr>
          <w:p w14:paraId="5A9ED977" w14:textId="77777777" w:rsidR="00F16118" w:rsidRPr="008B2B4C" w:rsidRDefault="00F16118" w:rsidP="008B2B4C">
            <w:pPr>
              <w:rPr>
                <w:rFonts w:ascii="Arial" w:hAnsi="Arial" w:cs="Arial"/>
                <w:sz w:val="16"/>
                <w:szCs w:val="16"/>
              </w:rPr>
            </w:pPr>
            <w:r w:rsidRPr="008B2B4C">
              <w:rPr>
                <w:rFonts w:ascii="Arial" w:hAnsi="Arial" w:cs="Arial"/>
                <w:sz w:val="16"/>
                <w:szCs w:val="16"/>
              </w:rPr>
              <w:t>Goals Always Met</w:t>
            </w:r>
          </w:p>
        </w:tc>
        <w:tc>
          <w:tcPr>
            <w:tcW w:w="1288" w:type="dxa"/>
            <w:vAlign w:val="center"/>
          </w:tcPr>
          <w:p w14:paraId="1B099D9F" w14:textId="77777777" w:rsidR="00F16118" w:rsidRPr="008B2B4C" w:rsidRDefault="00F16118" w:rsidP="008B2B4C">
            <w:pPr>
              <w:jc w:val="center"/>
              <w:rPr>
                <w:rFonts w:ascii="Arial" w:hAnsi="Arial" w:cs="Arial"/>
                <w:sz w:val="16"/>
                <w:szCs w:val="16"/>
              </w:rPr>
            </w:pPr>
            <w:r w:rsidRPr="008B2B4C">
              <w:rPr>
                <w:rFonts w:ascii="Arial" w:hAnsi="Arial" w:cs="Arial"/>
                <w:sz w:val="16"/>
                <w:szCs w:val="16"/>
              </w:rPr>
              <w:t>NA</w:t>
            </w:r>
          </w:p>
        </w:tc>
      </w:tr>
      <w:tr w:rsidR="00F16118" w:rsidRPr="00B15BBE" w14:paraId="685AE7A9" w14:textId="77777777" w:rsidTr="008B2B4C">
        <w:trPr>
          <w:trHeight w:val="170"/>
          <w:jc w:val="center"/>
        </w:trPr>
        <w:tc>
          <w:tcPr>
            <w:tcW w:w="1721" w:type="dxa"/>
            <w:vMerge/>
            <w:vAlign w:val="center"/>
          </w:tcPr>
          <w:p w14:paraId="5E0795B9" w14:textId="77777777" w:rsidR="00F16118" w:rsidRPr="008B2B4C" w:rsidRDefault="00F16118" w:rsidP="008B2B4C">
            <w:pPr>
              <w:rPr>
                <w:rFonts w:ascii="Arial" w:hAnsi="Arial" w:cs="Arial"/>
                <w:sz w:val="16"/>
                <w:szCs w:val="16"/>
              </w:rPr>
            </w:pPr>
          </w:p>
        </w:tc>
        <w:tc>
          <w:tcPr>
            <w:tcW w:w="2414" w:type="dxa"/>
            <w:vAlign w:val="center"/>
          </w:tcPr>
          <w:p w14:paraId="6407B518" w14:textId="77777777" w:rsidR="00F16118" w:rsidRPr="008B2B4C" w:rsidRDefault="00F16118" w:rsidP="008B2B4C">
            <w:pPr>
              <w:rPr>
                <w:rFonts w:ascii="Arial" w:hAnsi="Arial" w:cs="Arial"/>
                <w:sz w:val="16"/>
                <w:szCs w:val="16"/>
              </w:rPr>
            </w:pPr>
            <w:r w:rsidRPr="008B2B4C">
              <w:rPr>
                <w:rFonts w:ascii="Arial" w:hAnsi="Arial" w:cs="Arial"/>
                <w:sz w:val="16"/>
                <w:szCs w:val="16"/>
              </w:rPr>
              <w:t xml:space="preserve">PN: 1,376 repairs </w:t>
            </w:r>
          </w:p>
        </w:tc>
        <w:tc>
          <w:tcPr>
            <w:tcW w:w="1890" w:type="dxa"/>
            <w:vAlign w:val="center"/>
          </w:tcPr>
          <w:p w14:paraId="16BB4039" w14:textId="77777777" w:rsidR="00F16118" w:rsidRPr="008B2B4C" w:rsidRDefault="00F16118" w:rsidP="008B2B4C">
            <w:pPr>
              <w:rPr>
                <w:rFonts w:ascii="Arial" w:hAnsi="Arial" w:cs="Arial"/>
                <w:sz w:val="16"/>
                <w:szCs w:val="16"/>
              </w:rPr>
            </w:pPr>
            <w:r w:rsidRPr="008B2B4C">
              <w:rPr>
                <w:rFonts w:ascii="Arial" w:hAnsi="Arial" w:cs="Arial"/>
                <w:sz w:val="16"/>
                <w:szCs w:val="16"/>
              </w:rPr>
              <w:t>Goals Met</w:t>
            </w:r>
          </w:p>
        </w:tc>
        <w:tc>
          <w:tcPr>
            <w:tcW w:w="1980" w:type="dxa"/>
            <w:vAlign w:val="center"/>
          </w:tcPr>
          <w:p w14:paraId="289B90C4" w14:textId="77777777" w:rsidR="00F16118" w:rsidRPr="008B2B4C" w:rsidRDefault="00F16118" w:rsidP="008B2B4C">
            <w:pPr>
              <w:rPr>
                <w:rFonts w:ascii="Arial" w:hAnsi="Arial" w:cs="Arial"/>
                <w:sz w:val="16"/>
                <w:szCs w:val="16"/>
              </w:rPr>
            </w:pPr>
            <w:r w:rsidRPr="008B2B4C">
              <w:rPr>
                <w:rFonts w:ascii="Arial" w:hAnsi="Arial" w:cs="Arial"/>
                <w:sz w:val="16"/>
                <w:szCs w:val="16"/>
              </w:rPr>
              <w:t>Goals Always Met</w:t>
            </w:r>
          </w:p>
        </w:tc>
        <w:tc>
          <w:tcPr>
            <w:tcW w:w="1288" w:type="dxa"/>
            <w:vAlign w:val="center"/>
          </w:tcPr>
          <w:p w14:paraId="730D82AC" w14:textId="77777777" w:rsidR="00F16118" w:rsidRPr="008B2B4C" w:rsidRDefault="00F16118" w:rsidP="008B2B4C">
            <w:pPr>
              <w:jc w:val="center"/>
              <w:rPr>
                <w:rFonts w:ascii="Arial" w:hAnsi="Arial" w:cs="Arial"/>
                <w:sz w:val="16"/>
                <w:szCs w:val="16"/>
              </w:rPr>
            </w:pPr>
            <w:r w:rsidRPr="008B2B4C">
              <w:rPr>
                <w:rFonts w:ascii="Arial" w:hAnsi="Arial" w:cs="Arial"/>
                <w:sz w:val="16"/>
                <w:szCs w:val="16"/>
              </w:rPr>
              <w:t>NA</w:t>
            </w:r>
          </w:p>
        </w:tc>
      </w:tr>
      <w:tr w:rsidR="00F16118" w:rsidRPr="00B15BBE" w14:paraId="083EBF74" w14:textId="77777777" w:rsidTr="008B2B4C">
        <w:trPr>
          <w:trHeight w:val="170"/>
          <w:jc w:val="center"/>
        </w:trPr>
        <w:tc>
          <w:tcPr>
            <w:tcW w:w="9293" w:type="dxa"/>
            <w:gridSpan w:val="5"/>
            <w:shd w:val="clear" w:color="auto" w:fill="D9D9D9" w:themeFill="background1" w:themeFillShade="D9"/>
            <w:vAlign w:val="center"/>
          </w:tcPr>
          <w:p w14:paraId="02761CE2" w14:textId="77777777" w:rsidR="00F16118" w:rsidRPr="008B2B4C" w:rsidRDefault="00F16118" w:rsidP="008B2B4C">
            <w:pPr>
              <w:jc w:val="center"/>
              <w:rPr>
                <w:rFonts w:ascii="Arial" w:hAnsi="Arial" w:cs="Arial"/>
                <w:b/>
                <w:sz w:val="16"/>
                <w:szCs w:val="16"/>
              </w:rPr>
            </w:pPr>
            <w:r w:rsidRPr="008B2B4C">
              <w:rPr>
                <w:rFonts w:ascii="Arial" w:hAnsi="Arial" w:cs="Arial"/>
                <w:b/>
                <w:sz w:val="16"/>
                <w:szCs w:val="16"/>
              </w:rPr>
              <w:t>DAMAGE PREVENTION</w:t>
            </w:r>
          </w:p>
        </w:tc>
      </w:tr>
      <w:tr w:rsidR="00F16118" w:rsidRPr="00B15BBE" w14:paraId="07B81CD9" w14:textId="77777777" w:rsidTr="008B2B4C">
        <w:trPr>
          <w:trHeight w:val="269"/>
          <w:jc w:val="center"/>
        </w:trPr>
        <w:tc>
          <w:tcPr>
            <w:tcW w:w="1721" w:type="dxa"/>
            <w:vMerge w:val="restart"/>
            <w:vAlign w:val="center"/>
            <w:hideMark/>
          </w:tcPr>
          <w:p w14:paraId="6A438534" w14:textId="77777777" w:rsidR="00F16118" w:rsidRPr="008B2B4C" w:rsidRDefault="00F16118" w:rsidP="008B2B4C">
            <w:pPr>
              <w:rPr>
                <w:rFonts w:ascii="Arial" w:hAnsi="Arial" w:cs="Arial"/>
                <w:sz w:val="16"/>
                <w:szCs w:val="16"/>
              </w:rPr>
            </w:pPr>
            <w:r w:rsidRPr="008B2B4C">
              <w:rPr>
                <w:rFonts w:ascii="Arial" w:hAnsi="Arial" w:cs="Arial"/>
                <w:sz w:val="16"/>
                <w:szCs w:val="16"/>
              </w:rPr>
              <w:t>Dig-Ins (Third Party Line Hits) – Incidents Handled</w:t>
            </w:r>
          </w:p>
        </w:tc>
        <w:tc>
          <w:tcPr>
            <w:tcW w:w="2414" w:type="dxa"/>
            <w:vAlign w:val="center"/>
            <w:hideMark/>
          </w:tcPr>
          <w:p w14:paraId="3B5A1856" w14:textId="77777777" w:rsidR="00F16118" w:rsidRPr="008B2B4C" w:rsidRDefault="00F16118" w:rsidP="008B2B4C">
            <w:pPr>
              <w:rPr>
                <w:rFonts w:ascii="Arial" w:hAnsi="Arial" w:cs="Arial"/>
                <w:sz w:val="16"/>
                <w:szCs w:val="16"/>
              </w:rPr>
            </w:pPr>
            <w:r w:rsidRPr="008B2B4C">
              <w:rPr>
                <w:rFonts w:ascii="Arial" w:hAnsi="Arial" w:cs="Arial"/>
                <w:sz w:val="16"/>
                <w:szCs w:val="16"/>
              </w:rPr>
              <w:t>ME: 0 Incidents not handled &lt; 90 days</w:t>
            </w:r>
          </w:p>
        </w:tc>
        <w:tc>
          <w:tcPr>
            <w:tcW w:w="1890" w:type="dxa"/>
            <w:vAlign w:val="center"/>
            <w:hideMark/>
          </w:tcPr>
          <w:p w14:paraId="0A6480D9" w14:textId="77777777" w:rsidR="00F16118" w:rsidRPr="008B2B4C" w:rsidRDefault="00F16118" w:rsidP="008B2B4C">
            <w:pPr>
              <w:rPr>
                <w:rFonts w:ascii="Arial" w:hAnsi="Arial" w:cs="Arial"/>
                <w:sz w:val="16"/>
                <w:szCs w:val="16"/>
              </w:rPr>
            </w:pPr>
            <w:r w:rsidRPr="008B2B4C">
              <w:rPr>
                <w:rFonts w:ascii="Arial" w:hAnsi="Arial" w:cs="Arial"/>
                <w:sz w:val="16"/>
                <w:szCs w:val="16"/>
              </w:rPr>
              <w:t>8 Months Not Met</w:t>
            </w:r>
          </w:p>
        </w:tc>
        <w:tc>
          <w:tcPr>
            <w:tcW w:w="1980" w:type="dxa"/>
            <w:vAlign w:val="center"/>
            <w:hideMark/>
          </w:tcPr>
          <w:p w14:paraId="4CAFC3FF" w14:textId="77777777" w:rsidR="00F16118" w:rsidRPr="008B2B4C" w:rsidRDefault="00F16118" w:rsidP="008B2B4C">
            <w:pPr>
              <w:rPr>
                <w:rFonts w:ascii="Arial" w:hAnsi="Arial" w:cs="Arial"/>
                <w:sz w:val="16"/>
                <w:szCs w:val="16"/>
              </w:rPr>
            </w:pPr>
            <w:r w:rsidRPr="008B2B4C">
              <w:rPr>
                <w:rFonts w:ascii="Arial" w:hAnsi="Arial" w:cs="Arial"/>
                <w:sz w:val="16"/>
                <w:szCs w:val="16"/>
              </w:rPr>
              <w:t>No goals before 2017</w:t>
            </w:r>
          </w:p>
        </w:tc>
        <w:tc>
          <w:tcPr>
            <w:tcW w:w="1288" w:type="dxa"/>
            <w:vAlign w:val="center"/>
          </w:tcPr>
          <w:p w14:paraId="0DFEEC33" w14:textId="77777777" w:rsidR="00F16118" w:rsidRPr="008B2B4C" w:rsidRDefault="00F16118" w:rsidP="008B2B4C">
            <w:pPr>
              <w:jc w:val="center"/>
              <w:rPr>
                <w:rFonts w:ascii="Arial" w:hAnsi="Arial" w:cs="Arial"/>
                <w:sz w:val="16"/>
                <w:szCs w:val="16"/>
              </w:rPr>
            </w:pPr>
            <w:r w:rsidRPr="008B2B4C">
              <w:rPr>
                <w:rFonts w:ascii="Arial" w:hAnsi="Arial" w:cs="Arial"/>
                <w:sz w:val="16"/>
                <w:szCs w:val="16"/>
              </w:rPr>
              <w:t>NA</w:t>
            </w:r>
          </w:p>
        </w:tc>
      </w:tr>
      <w:tr w:rsidR="00F16118" w:rsidRPr="00B15BBE" w14:paraId="69235E91" w14:textId="77777777" w:rsidTr="008B2B4C">
        <w:trPr>
          <w:trHeight w:val="242"/>
          <w:jc w:val="center"/>
        </w:trPr>
        <w:tc>
          <w:tcPr>
            <w:tcW w:w="1721" w:type="dxa"/>
            <w:vMerge/>
            <w:vAlign w:val="center"/>
            <w:hideMark/>
          </w:tcPr>
          <w:p w14:paraId="3D376CC6" w14:textId="77777777" w:rsidR="00F16118" w:rsidRPr="008B2B4C" w:rsidRDefault="00F16118" w:rsidP="008B2B4C">
            <w:pPr>
              <w:rPr>
                <w:rFonts w:ascii="Arial" w:hAnsi="Arial" w:cs="Arial"/>
                <w:sz w:val="16"/>
                <w:szCs w:val="16"/>
              </w:rPr>
            </w:pPr>
          </w:p>
        </w:tc>
        <w:tc>
          <w:tcPr>
            <w:tcW w:w="2414" w:type="dxa"/>
            <w:vAlign w:val="center"/>
            <w:hideMark/>
          </w:tcPr>
          <w:p w14:paraId="1254CDC3" w14:textId="77777777" w:rsidR="00F16118" w:rsidRPr="008B2B4C" w:rsidRDefault="00F16118" w:rsidP="008B2B4C">
            <w:pPr>
              <w:rPr>
                <w:rFonts w:ascii="Arial" w:hAnsi="Arial" w:cs="Arial"/>
                <w:sz w:val="16"/>
                <w:szCs w:val="16"/>
              </w:rPr>
            </w:pPr>
            <w:r w:rsidRPr="008B2B4C">
              <w:rPr>
                <w:rFonts w:ascii="Arial" w:hAnsi="Arial" w:cs="Arial"/>
                <w:sz w:val="16"/>
                <w:szCs w:val="16"/>
              </w:rPr>
              <w:t>PN: 0 Incidents not handled &lt; 90 days</w:t>
            </w:r>
          </w:p>
        </w:tc>
        <w:tc>
          <w:tcPr>
            <w:tcW w:w="1890" w:type="dxa"/>
            <w:vAlign w:val="center"/>
            <w:hideMark/>
          </w:tcPr>
          <w:p w14:paraId="5A665F8B" w14:textId="77777777" w:rsidR="00F16118" w:rsidRPr="008B2B4C" w:rsidRDefault="00F16118" w:rsidP="008B2B4C">
            <w:pPr>
              <w:rPr>
                <w:rFonts w:ascii="Arial" w:hAnsi="Arial" w:cs="Arial"/>
                <w:sz w:val="16"/>
                <w:szCs w:val="16"/>
              </w:rPr>
            </w:pPr>
            <w:r w:rsidRPr="008B2B4C">
              <w:rPr>
                <w:rFonts w:ascii="Arial" w:hAnsi="Arial" w:cs="Arial"/>
                <w:sz w:val="16"/>
                <w:szCs w:val="16"/>
              </w:rPr>
              <w:t>Goals Met</w:t>
            </w:r>
          </w:p>
        </w:tc>
        <w:tc>
          <w:tcPr>
            <w:tcW w:w="1980" w:type="dxa"/>
            <w:vAlign w:val="center"/>
            <w:hideMark/>
          </w:tcPr>
          <w:p w14:paraId="246C500F" w14:textId="77777777" w:rsidR="00F16118" w:rsidRPr="008B2B4C" w:rsidRDefault="00F16118" w:rsidP="008B2B4C">
            <w:pPr>
              <w:rPr>
                <w:rFonts w:ascii="Arial" w:hAnsi="Arial" w:cs="Arial"/>
                <w:sz w:val="16"/>
                <w:szCs w:val="16"/>
              </w:rPr>
            </w:pPr>
            <w:r w:rsidRPr="008B2B4C">
              <w:rPr>
                <w:rFonts w:ascii="Arial" w:hAnsi="Arial" w:cs="Arial"/>
                <w:sz w:val="16"/>
                <w:szCs w:val="16"/>
              </w:rPr>
              <w:t>No goals before 2017</w:t>
            </w:r>
          </w:p>
        </w:tc>
        <w:tc>
          <w:tcPr>
            <w:tcW w:w="1288" w:type="dxa"/>
            <w:vAlign w:val="center"/>
          </w:tcPr>
          <w:p w14:paraId="6A480CE3" w14:textId="77777777" w:rsidR="00F16118" w:rsidRPr="008B2B4C" w:rsidRDefault="00F16118" w:rsidP="008B2B4C">
            <w:pPr>
              <w:jc w:val="center"/>
              <w:rPr>
                <w:rFonts w:ascii="Arial" w:hAnsi="Arial" w:cs="Arial"/>
                <w:sz w:val="16"/>
                <w:szCs w:val="16"/>
              </w:rPr>
            </w:pPr>
            <w:r w:rsidRPr="008B2B4C">
              <w:rPr>
                <w:rFonts w:ascii="Arial" w:hAnsi="Arial" w:cs="Arial"/>
                <w:sz w:val="16"/>
                <w:szCs w:val="16"/>
              </w:rPr>
              <w:t>NA</w:t>
            </w:r>
          </w:p>
        </w:tc>
      </w:tr>
      <w:tr w:rsidR="00F16118" w:rsidRPr="00B15BBE" w14:paraId="356464C5" w14:textId="77777777" w:rsidTr="008B2B4C">
        <w:trPr>
          <w:trHeight w:val="260"/>
          <w:jc w:val="center"/>
        </w:trPr>
        <w:tc>
          <w:tcPr>
            <w:tcW w:w="1721" w:type="dxa"/>
            <w:vMerge/>
            <w:vAlign w:val="center"/>
            <w:hideMark/>
          </w:tcPr>
          <w:p w14:paraId="0CEFD56B" w14:textId="77777777" w:rsidR="00F16118" w:rsidRPr="008B2B4C" w:rsidRDefault="00F16118" w:rsidP="008B2B4C">
            <w:pPr>
              <w:rPr>
                <w:rFonts w:ascii="Arial" w:hAnsi="Arial" w:cs="Arial"/>
                <w:sz w:val="16"/>
                <w:szCs w:val="16"/>
              </w:rPr>
            </w:pPr>
          </w:p>
        </w:tc>
        <w:tc>
          <w:tcPr>
            <w:tcW w:w="2414" w:type="dxa"/>
            <w:vAlign w:val="center"/>
            <w:hideMark/>
          </w:tcPr>
          <w:p w14:paraId="67DB1D32" w14:textId="77777777" w:rsidR="00F16118" w:rsidRPr="008B2B4C" w:rsidRDefault="00F16118" w:rsidP="008B2B4C">
            <w:pPr>
              <w:rPr>
                <w:rFonts w:ascii="Arial" w:hAnsi="Arial" w:cs="Arial"/>
                <w:sz w:val="16"/>
                <w:szCs w:val="16"/>
              </w:rPr>
            </w:pPr>
            <w:r w:rsidRPr="008B2B4C">
              <w:rPr>
                <w:rFonts w:ascii="Arial" w:hAnsi="Arial" w:cs="Arial"/>
                <w:sz w:val="16"/>
                <w:szCs w:val="16"/>
              </w:rPr>
              <w:t>PP: 0 Incidents not handled &lt; 90 days</w:t>
            </w:r>
          </w:p>
        </w:tc>
        <w:tc>
          <w:tcPr>
            <w:tcW w:w="1890" w:type="dxa"/>
            <w:vAlign w:val="center"/>
            <w:hideMark/>
          </w:tcPr>
          <w:p w14:paraId="5BFBF143" w14:textId="77777777" w:rsidR="00F16118" w:rsidRPr="008B2B4C" w:rsidRDefault="00F16118" w:rsidP="008B2B4C">
            <w:pPr>
              <w:rPr>
                <w:rFonts w:ascii="Arial" w:hAnsi="Arial" w:cs="Arial"/>
                <w:sz w:val="16"/>
                <w:szCs w:val="16"/>
              </w:rPr>
            </w:pPr>
            <w:r w:rsidRPr="008B2B4C">
              <w:rPr>
                <w:rFonts w:ascii="Arial" w:hAnsi="Arial" w:cs="Arial"/>
                <w:sz w:val="16"/>
                <w:szCs w:val="16"/>
              </w:rPr>
              <w:t>1 Month Not Met</w:t>
            </w:r>
          </w:p>
        </w:tc>
        <w:tc>
          <w:tcPr>
            <w:tcW w:w="1980" w:type="dxa"/>
            <w:vAlign w:val="center"/>
            <w:hideMark/>
          </w:tcPr>
          <w:p w14:paraId="6B6378F8" w14:textId="77777777" w:rsidR="00F16118" w:rsidRPr="008B2B4C" w:rsidRDefault="00F16118" w:rsidP="008B2B4C">
            <w:pPr>
              <w:rPr>
                <w:rFonts w:ascii="Arial" w:hAnsi="Arial" w:cs="Arial"/>
                <w:sz w:val="16"/>
                <w:szCs w:val="16"/>
              </w:rPr>
            </w:pPr>
            <w:r w:rsidRPr="008B2B4C">
              <w:rPr>
                <w:rFonts w:ascii="Arial" w:hAnsi="Arial" w:cs="Arial"/>
                <w:sz w:val="16"/>
                <w:szCs w:val="16"/>
              </w:rPr>
              <w:t>No goals before 2017</w:t>
            </w:r>
          </w:p>
        </w:tc>
        <w:tc>
          <w:tcPr>
            <w:tcW w:w="1288" w:type="dxa"/>
            <w:vAlign w:val="center"/>
          </w:tcPr>
          <w:p w14:paraId="6224B5EE" w14:textId="77777777" w:rsidR="00F16118" w:rsidRPr="008B2B4C" w:rsidRDefault="00F16118" w:rsidP="008B2B4C">
            <w:pPr>
              <w:jc w:val="center"/>
              <w:rPr>
                <w:rFonts w:ascii="Arial" w:hAnsi="Arial" w:cs="Arial"/>
                <w:sz w:val="16"/>
                <w:szCs w:val="16"/>
              </w:rPr>
            </w:pPr>
            <w:r w:rsidRPr="008B2B4C">
              <w:rPr>
                <w:rFonts w:ascii="Arial" w:hAnsi="Arial" w:cs="Arial"/>
                <w:sz w:val="16"/>
                <w:szCs w:val="16"/>
              </w:rPr>
              <w:t>NA</w:t>
            </w:r>
          </w:p>
        </w:tc>
      </w:tr>
      <w:tr w:rsidR="00F16118" w:rsidRPr="00B15BBE" w14:paraId="25F89DCA" w14:textId="77777777" w:rsidTr="008B2B4C">
        <w:trPr>
          <w:trHeight w:val="170"/>
          <w:jc w:val="center"/>
        </w:trPr>
        <w:tc>
          <w:tcPr>
            <w:tcW w:w="1721" w:type="dxa"/>
            <w:vMerge/>
            <w:vAlign w:val="center"/>
            <w:hideMark/>
          </w:tcPr>
          <w:p w14:paraId="677AB653" w14:textId="77777777" w:rsidR="00F16118" w:rsidRPr="008B2B4C" w:rsidRDefault="00F16118" w:rsidP="008B2B4C">
            <w:pPr>
              <w:rPr>
                <w:rFonts w:ascii="Arial" w:hAnsi="Arial" w:cs="Arial"/>
                <w:sz w:val="16"/>
                <w:szCs w:val="16"/>
              </w:rPr>
            </w:pPr>
          </w:p>
        </w:tc>
        <w:tc>
          <w:tcPr>
            <w:tcW w:w="2414" w:type="dxa"/>
            <w:vAlign w:val="center"/>
            <w:hideMark/>
          </w:tcPr>
          <w:p w14:paraId="69B18968" w14:textId="77777777" w:rsidR="00F16118" w:rsidRPr="008B2B4C" w:rsidRDefault="00F16118" w:rsidP="008B2B4C">
            <w:pPr>
              <w:rPr>
                <w:rFonts w:ascii="Arial" w:hAnsi="Arial" w:cs="Arial"/>
                <w:sz w:val="16"/>
                <w:szCs w:val="16"/>
              </w:rPr>
            </w:pPr>
            <w:r w:rsidRPr="008B2B4C">
              <w:rPr>
                <w:rFonts w:ascii="Arial" w:hAnsi="Arial" w:cs="Arial"/>
                <w:sz w:val="16"/>
                <w:szCs w:val="16"/>
              </w:rPr>
              <w:t>WP: 0 Incidents not handled &lt; 90 days</w:t>
            </w:r>
          </w:p>
        </w:tc>
        <w:tc>
          <w:tcPr>
            <w:tcW w:w="1890" w:type="dxa"/>
            <w:vAlign w:val="center"/>
            <w:hideMark/>
          </w:tcPr>
          <w:p w14:paraId="5AF15344" w14:textId="77777777" w:rsidR="00F16118" w:rsidRPr="008B2B4C" w:rsidRDefault="00F16118" w:rsidP="008B2B4C">
            <w:pPr>
              <w:rPr>
                <w:rFonts w:ascii="Arial" w:hAnsi="Arial" w:cs="Arial"/>
                <w:sz w:val="16"/>
                <w:szCs w:val="16"/>
              </w:rPr>
            </w:pPr>
            <w:r w:rsidRPr="008B2B4C">
              <w:rPr>
                <w:rFonts w:ascii="Arial" w:hAnsi="Arial" w:cs="Arial"/>
                <w:sz w:val="16"/>
                <w:szCs w:val="16"/>
              </w:rPr>
              <w:t>1 Month Not Met</w:t>
            </w:r>
          </w:p>
        </w:tc>
        <w:tc>
          <w:tcPr>
            <w:tcW w:w="1980" w:type="dxa"/>
            <w:vAlign w:val="center"/>
            <w:hideMark/>
          </w:tcPr>
          <w:p w14:paraId="77143489" w14:textId="77777777" w:rsidR="00F16118" w:rsidRPr="008B2B4C" w:rsidRDefault="00F16118" w:rsidP="008B2B4C">
            <w:pPr>
              <w:rPr>
                <w:rFonts w:ascii="Arial" w:hAnsi="Arial" w:cs="Arial"/>
                <w:sz w:val="16"/>
                <w:szCs w:val="16"/>
              </w:rPr>
            </w:pPr>
            <w:r w:rsidRPr="008B2B4C">
              <w:rPr>
                <w:rFonts w:ascii="Arial" w:hAnsi="Arial" w:cs="Arial"/>
                <w:sz w:val="16"/>
                <w:szCs w:val="16"/>
              </w:rPr>
              <w:t>No goals before 2017</w:t>
            </w:r>
          </w:p>
        </w:tc>
        <w:tc>
          <w:tcPr>
            <w:tcW w:w="1288" w:type="dxa"/>
            <w:vAlign w:val="center"/>
          </w:tcPr>
          <w:p w14:paraId="5D306DFE" w14:textId="77777777" w:rsidR="00F16118" w:rsidRPr="008B2B4C" w:rsidRDefault="00F16118" w:rsidP="008B2B4C">
            <w:pPr>
              <w:jc w:val="center"/>
              <w:rPr>
                <w:rFonts w:ascii="Arial" w:hAnsi="Arial" w:cs="Arial"/>
                <w:sz w:val="16"/>
                <w:szCs w:val="16"/>
              </w:rPr>
            </w:pPr>
            <w:r w:rsidRPr="008B2B4C">
              <w:rPr>
                <w:rFonts w:ascii="Arial" w:hAnsi="Arial" w:cs="Arial"/>
                <w:sz w:val="16"/>
                <w:szCs w:val="16"/>
              </w:rPr>
              <w:t>NA</w:t>
            </w:r>
          </w:p>
        </w:tc>
      </w:tr>
      <w:tr w:rsidR="00F16118" w:rsidRPr="00B15BBE" w14:paraId="2E8B9D37" w14:textId="77777777" w:rsidTr="008B2B4C">
        <w:trPr>
          <w:trHeight w:val="143"/>
          <w:jc w:val="center"/>
        </w:trPr>
        <w:tc>
          <w:tcPr>
            <w:tcW w:w="1721" w:type="dxa"/>
            <w:vMerge w:val="restart"/>
            <w:vAlign w:val="center"/>
            <w:hideMark/>
          </w:tcPr>
          <w:p w14:paraId="4DCA132B" w14:textId="77777777" w:rsidR="00F16118" w:rsidRPr="008B2B4C" w:rsidRDefault="00F16118" w:rsidP="008B2B4C">
            <w:pPr>
              <w:rPr>
                <w:rFonts w:ascii="Arial" w:hAnsi="Arial" w:cs="Arial"/>
                <w:sz w:val="16"/>
                <w:szCs w:val="16"/>
              </w:rPr>
            </w:pPr>
            <w:r w:rsidRPr="008B2B4C">
              <w:rPr>
                <w:rFonts w:ascii="Arial" w:hAnsi="Arial" w:cs="Arial"/>
                <w:sz w:val="16"/>
                <w:szCs w:val="16"/>
              </w:rPr>
              <w:t>Damage Claim Reimbursement – Claims Recovered</w:t>
            </w:r>
          </w:p>
        </w:tc>
        <w:tc>
          <w:tcPr>
            <w:tcW w:w="2414" w:type="dxa"/>
            <w:vAlign w:val="center"/>
            <w:hideMark/>
          </w:tcPr>
          <w:p w14:paraId="5C4E28B8" w14:textId="77777777" w:rsidR="00F16118" w:rsidRPr="008B2B4C" w:rsidRDefault="00F16118" w:rsidP="008B2B4C">
            <w:pPr>
              <w:rPr>
                <w:rFonts w:ascii="Arial" w:hAnsi="Arial" w:cs="Arial"/>
                <w:sz w:val="16"/>
                <w:szCs w:val="16"/>
              </w:rPr>
            </w:pPr>
            <w:r w:rsidRPr="008B2B4C">
              <w:rPr>
                <w:rFonts w:ascii="Arial" w:hAnsi="Arial" w:cs="Arial"/>
                <w:sz w:val="16"/>
                <w:szCs w:val="16"/>
              </w:rPr>
              <w:t>ME: 60% Claims Recovered</w:t>
            </w:r>
          </w:p>
        </w:tc>
        <w:tc>
          <w:tcPr>
            <w:tcW w:w="1890" w:type="dxa"/>
            <w:vAlign w:val="center"/>
            <w:hideMark/>
          </w:tcPr>
          <w:p w14:paraId="3D7CFB5A" w14:textId="77777777" w:rsidR="00F16118" w:rsidRPr="008B2B4C" w:rsidRDefault="00F16118" w:rsidP="008B2B4C">
            <w:pPr>
              <w:rPr>
                <w:rFonts w:ascii="Arial" w:hAnsi="Arial" w:cs="Arial"/>
                <w:sz w:val="16"/>
                <w:szCs w:val="16"/>
              </w:rPr>
            </w:pPr>
            <w:r w:rsidRPr="008B2B4C">
              <w:rPr>
                <w:rFonts w:ascii="Arial" w:hAnsi="Arial" w:cs="Arial"/>
                <w:sz w:val="16"/>
                <w:szCs w:val="16"/>
              </w:rPr>
              <w:t>Not Met in All Months</w:t>
            </w:r>
          </w:p>
        </w:tc>
        <w:tc>
          <w:tcPr>
            <w:tcW w:w="1980" w:type="dxa"/>
            <w:vAlign w:val="center"/>
            <w:hideMark/>
          </w:tcPr>
          <w:p w14:paraId="7EC383BC" w14:textId="77777777" w:rsidR="00F16118" w:rsidRPr="008B2B4C" w:rsidRDefault="00F16118" w:rsidP="008B2B4C">
            <w:pPr>
              <w:rPr>
                <w:rFonts w:ascii="Arial" w:hAnsi="Arial" w:cs="Arial"/>
                <w:sz w:val="16"/>
                <w:szCs w:val="16"/>
              </w:rPr>
            </w:pPr>
            <w:r w:rsidRPr="008B2B4C">
              <w:rPr>
                <w:rFonts w:ascii="Arial" w:hAnsi="Arial" w:cs="Arial"/>
                <w:sz w:val="16"/>
                <w:szCs w:val="16"/>
              </w:rPr>
              <w:t>No goals before 2017</w:t>
            </w:r>
          </w:p>
        </w:tc>
        <w:tc>
          <w:tcPr>
            <w:tcW w:w="1288" w:type="dxa"/>
            <w:vAlign w:val="center"/>
          </w:tcPr>
          <w:p w14:paraId="2DA1AD8C" w14:textId="77777777" w:rsidR="00F16118" w:rsidRPr="008B2B4C" w:rsidRDefault="00F16118" w:rsidP="008B2B4C">
            <w:pPr>
              <w:jc w:val="center"/>
              <w:rPr>
                <w:rFonts w:ascii="Arial" w:hAnsi="Arial" w:cs="Arial"/>
                <w:sz w:val="16"/>
                <w:szCs w:val="16"/>
              </w:rPr>
            </w:pPr>
            <w:r w:rsidRPr="008B2B4C">
              <w:rPr>
                <w:rFonts w:ascii="Arial" w:hAnsi="Arial" w:cs="Arial"/>
                <w:sz w:val="16"/>
                <w:szCs w:val="16"/>
              </w:rPr>
              <w:t>NA</w:t>
            </w:r>
          </w:p>
        </w:tc>
      </w:tr>
      <w:tr w:rsidR="00F16118" w:rsidRPr="00B15BBE" w14:paraId="50C24CE5" w14:textId="77777777" w:rsidTr="008B2B4C">
        <w:trPr>
          <w:trHeight w:val="188"/>
          <w:jc w:val="center"/>
        </w:trPr>
        <w:tc>
          <w:tcPr>
            <w:tcW w:w="1721" w:type="dxa"/>
            <w:vMerge/>
            <w:vAlign w:val="center"/>
            <w:hideMark/>
          </w:tcPr>
          <w:p w14:paraId="3D1B1A27" w14:textId="77777777" w:rsidR="00F16118" w:rsidRPr="008B2B4C" w:rsidRDefault="00F16118" w:rsidP="008B2B4C">
            <w:pPr>
              <w:rPr>
                <w:rFonts w:ascii="Arial" w:hAnsi="Arial" w:cs="Arial"/>
                <w:sz w:val="16"/>
                <w:szCs w:val="16"/>
              </w:rPr>
            </w:pPr>
          </w:p>
        </w:tc>
        <w:tc>
          <w:tcPr>
            <w:tcW w:w="2414" w:type="dxa"/>
            <w:vAlign w:val="center"/>
            <w:hideMark/>
          </w:tcPr>
          <w:p w14:paraId="53C71578" w14:textId="77777777" w:rsidR="00F16118" w:rsidRPr="008B2B4C" w:rsidRDefault="00F16118" w:rsidP="008B2B4C">
            <w:pPr>
              <w:rPr>
                <w:rFonts w:ascii="Arial" w:hAnsi="Arial" w:cs="Arial"/>
                <w:sz w:val="16"/>
                <w:szCs w:val="16"/>
              </w:rPr>
            </w:pPr>
            <w:r w:rsidRPr="008B2B4C">
              <w:rPr>
                <w:rFonts w:ascii="Arial" w:hAnsi="Arial" w:cs="Arial"/>
                <w:sz w:val="16"/>
                <w:szCs w:val="16"/>
              </w:rPr>
              <w:t>PN: 60% Claims Recovered</w:t>
            </w:r>
          </w:p>
        </w:tc>
        <w:tc>
          <w:tcPr>
            <w:tcW w:w="1890" w:type="dxa"/>
            <w:vAlign w:val="center"/>
            <w:hideMark/>
          </w:tcPr>
          <w:p w14:paraId="178F8B7E" w14:textId="77777777" w:rsidR="00F16118" w:rsidRPr="008B2B4C" w:rsidRDefault="00F16118" w:rsidP="008B2B4C">
            <w:pPr>
              <w:rPr>
                <w:rFonts w:ascii="Arial" w:hAnsi="Arial" w:cs="Arial"/>
                <w:sz w:val="16"/>
                <w:szCs w:val="16"/>
              </w:rPr>
            </w:pPr>
            <w:r w:rsidRPr="008B2B4C">
              <w:rPr>
                <w:rFonts w:ascii="Arial" w:hAnsi="Arial" w:cs="Arial"/>
                <w:sz w:val="16"/>
                <w:szCs w:val="16"/>
              </w:rPr>
              <w:t>3 Months Not Met</w:t>
            </w:r>
          </w:p>
        </w:tc>
        <w:tc>
          <w:tcPr>
            <w:tcW w:w="1980" w:type="dxa"/>
            <w:vAlign w:val="center"/>
            <w:hideMark/>
          </w:tcPr>
          <w:p w14:paraId="78E70DA7" w14:textId="77777777" w:rsidR="00F16118" w:rsidRPr="008B2B4C" w:rsidRDefault="00F16118" w:rsidP="008B2B4C">
            <w:pPr>
              <w:rPr>
                <w:rFonts w:ascii="Arial" w:hAnsi="Arial" w:cs="Arial"/>
                <w:sz w:val="16"/>
                <w:szCs w:val="16"/>
              </w:rPr>
            </w:pPr>
            <w:r w:rsidRPr="008B2B4C">
              <w:rPr>
                <w:rFonts w:ascii="Arial" w:hAnsi="Arial" w:cs="Arial"/>
                <w:sz w:val="16"/>
                <w:szCs w:val="16"/>
              </w:rPr>
              <w:t>No goals before 2017</w:t>
            </w:r>
          </w:p>
        </w:tc>
        <w:tc>
          <w:tcPr>
            <w:tcW w:w="1288" w:type="dxa"/>
            <w:vAlign w:val="center"/>
          </w:tcPr>
          <w:p w14:paraId="5303B84D" w14:textId="77777777" w:rsidR="00F16118" w:rsidRPr="008B2B4C" w:rsidRDefault="00F16118" w:rsidP="008B2B4C">
            <w:pPr>
              <w:jc w:val="center"/>
              <w:rPr>
                <w:rFonts w:ascii="Arial" w:hAnsi="Arial" w:cs="Arial"/>
                <w:sz w:val="16"/>
                <w:szCs w:val="16"/>
              </w:rPr>
            </w:pPr>
            <w:r w:rsidRPr="008B2B4C">
              <w:rPr>
                <w:rFonts w:ascii="Arial" w:hAnsi="Arial" w:cs="Arial"/>
                <w:sz w:val="16"/>
                <w:szCs w:val="16"/>
              </w:rPr>
              <w:t>NA</w:t>
            </w:r>
          </w:p>
        </w:tc>
      </w:tr>
      <w:tr w:rsidR="00F16118" w:rsidRPr="00B15BBE" w14:paraId="50EF02EC" w14:textId="77777777" w:rsidTr="008B2B4C">
        <w:trPr>
          <w:trHeight w:val="98"/>
          <w:jc w:val="center"/>
        </w:trPr>
        <w:tc>
          <w:tcPr>
            <w:tcW w:w="1721" w:type="dxa"/>
            <w:vMerge/>
            <w:vAlign w:val="center"/>
            <w:hideMark/>
          </w:tcPr>
          <w:p w14:paraId="490CCEBF" w14:textId="77777777" w:rsidR="00F16118" w:rsidRPr="008B2B4C" w:rsidRDefault="00F16118" w:rsidP="008B2B4C">
            <w:pPr>
              <w:rPr>
                <w:rFonts w:ascii="Arial" w:hAnsi="Arial" w:cs="Arial"/>
                <w:sz w:val="16"/>
                <w:szCs w:val="16"/>
              </w:rPr>
            </w:pPr>
          </w:p>
        </w:tc>
        <w:tc>
          <w:tcPr>
            <w:tcW w:w="2414" w:type="dxa"/>
            <w:vAlign w:val="center"/>
            <w:hideMark/>
          </w:tcPr>
          <w:p w14:paraId="0B646243" w14:textId="77777777" w:rsidR="00F16118" w:rsidRPr="008B2B4C" w:rsidRDefault="00F16118" w:rsidP="008B2B4C">
            <w:pPr>
              <w:rPr>
                <w:rFonts w:ascii="Arial" w:hAnsi="Arial" w:cs="Arial"/>
                <w:sz w:val="16"/>
                <w:szCs w:val="16"/>
              </w:rPr>
            </w:pPr>
            <w:r w:rsidRPr="008B2B4C">
              <w:rPr>
                <w:rFonts w:ascii="Arial" w:hAnsi="Arial" w:cs="Arial"/>
                <w:sz w:val="16"/>
                <w:szCs w:val="16"/>
              </w:rPr>
              <w:t>PP: 60% Claims Recovered</w:t>
            </w:r>
          </w:p>
        </w:tc>
        <w:tc>
          <w:tcPr>
            <w:tcW w:w="1890" w:type="dxa"/>
            <w:vAlign w:val="center"/>
            <w:hideMark/>
          </w:tcPr>
          <w:p w14:paraId="251A54E5" w14:textId="77777777" w:rsidR="00F16118" w:rsidRPr="008B2B4C" w:rsidRDefault="00F16118" w:rsidP="008B2B4C">
            <w:pPr>
              <w:rPr>
                <w:rFonts w:ascii="Arial" w:hAnsi="Arial" w:cs="Arial"/>
                <w:sz w:val="16"/>
                <w:szCs w:val="16"/>
              </w:rPr>
            </w:pPr>
            <w:r w:rsidRPr="008B2B4C">
              <w:rPr>
                <w:rFonts w:ascii="Arial" w:hAnsi="Arial" w:cs="Arial"/>
                <w:sz w:val="16"/>
                <w:szCs w:val="16"/>
              </w:rPr>
              <w:t>2 Months Not Met</w:t>
            </w:r>
          </w:p>
        </w:tc>
        <w:tc>
          <w:tcPr>
            <w:tcW w:w="1980" w:type="dxa"/>
            <w:vAlign w:val="center"/>
            <w:hideMark/>
          </w:tcPr>
          <w:p w14:paraId="7E37A3A3" w14:textId="77777777" w:rsidR="00F16118" w:rsidRPr="008B2B4C" w:rsidRDefault="00F16118" w:rsidP="008B2B4C">
            <w:pPr>
              <w:rPr>
                <w:rFonts w:ascii="Arial" w:hAnsi="Arial" w:cs="Arial"/>
                <w:sz w:val="16"/>
                <w:szCs w:val="16"/>
              </w:rPr>
            </w:pPr>
            <w:r w:rsidRPr="008B2B4C">
              <w:rPr>
                <w:rFonts w:ascii="Arial" w:hAnsi="Arial" w:cs="Arial"/>
                <w:sz w:val="16"/>
                <w:szCs w:val="16"/>
              </w:rPr>
              <w:t>No goals before 2017</w:t>
            </w:r>
          </w:p>
        </w:tc>
        <w:tc>
          <w:tcPr>
            <w:tcW w:w="1288" w:type="dxa"/>
            <w:vAlign w:val="center"/>
          </w:tcPr>
          <w:p w14:paraId="378DAB3D" w14:textId="77777777" w:rsidR="00F16118" w:rsidRPr="008B2B4C" w:rsidRDefault="00F16118" w:rsidP="008B2B4C">
            <w:pPr>
              <w:jc w:val="center"/>
              <w:rPr>
                <w:rFonts w:ascii="Arial" w:hAnsi="Arial" w:cs="Arial"/>
                <w:sz w:val="16"/>
                <w:szCs w:val="16"/>
              </w:rPr>
            </w:pPr>
            <w:r w:rsidRPr="008B2B4C">
              <w:rPr>
                <w:rFonts w:ascii="Arial" w:hAnsi="Arial" w:cs="Arial"/>
                <w:sz w:val="16"/>
                <w:szCs w:val="16"/>
              </w:rPr>
              <w:t>NA</w:t>
            </w:r>
          </w:p>
        </w:tc>
      </w:tr>
      <w:tr w:rsidR="00F16118" w:rsidRPr="00AB54A3" w14:paraId="1ED3F7B3" w14:textId="77777777" w:rsidTr="008B2B4C">
        <w:trPr>
          <w:trHeight w:val="206"/>
          <w:jc w:val="center"/>
        </w:trPr>
        <w:tc>
          <w:tcPr>
            <w:tcW w:w="1721" w:type="dxa"/>
            <w:vMerge/>
            <w:vAlign w:val="center"/>
            <w:hideMark/>
          </w:tcPr>
          <w:p w14:paraId="7C5007AD" w14:textId="77777777" w:rsidR="00F16118" w:rsidRPr="008B2B4C" w:rsidRDefault="00F16118" w:rsidP="008B2B4C">
            <w:pPr>
              <w:rPr>
                <w:rFonts w:ascii="Arial" w:hAnsi="Arial" w:cs="Arial"/>
                <w:sz w:val="16"/>
                <w:szCs w:val="16"/>
              </w:rPr>
            </w:pPr>
          </w:p>
        </w:tc>
        <w:tc>
          <w:tcPr>
            <w:tcW w:w="2414" w:type="dxa"/>
            <w:vAlign w:val="center"/>
            <w:hideMark/>
          </w:tcPr>
          <w:p w14:paraId="25435FED" w14:textId="77777777" w:rsidR="00F16118" w:rsidRPr="008B2B4C" w:rsidRDefault="00F16118" w:rsidP="008B2B4C">
            <w:pPr>
              <w:rPr>
                <w:rFonts w:ascii="Arial" w:hAnsi="Arial" w:cs="Arial"/>
                <w:sz w:val="16"/>
                <w:szCs w:val="16"/>
              </w:rPr>
            </w:pPr>
            <w:r w:rsidRPr="008B2B4C">
              <w:rPr>
                <w:rFonts w:ascii="Arial" w:hAnsi="Arial" w:cs="Arial"/>
                <w:sz w:val="16"/>
                <w:szCs w:val="16"/>
              </w:rPr>
              <w:t>WP: 60% Claims Recovered</w:t>
            </w:r>
          </w:p>
        </w:tc>
        <w:tc>
          <w:tcPr>
            <w:tcW w:w="1890" w:type="dxa"/>
            <w:vAlign w:val="center"/>
            <w:hideMark/>
          </w:tcPr>
          <w:p w14:paraId="24C3C61D" w14:textId="77777777" w:rsidR="00F16118" w:rsidRPr="008B2B4C" w:rsidRDefault="00F16118" w:rsidP="008B2B4C">
            <w:pPr>
              <w:rPr>
                <w:rFonts w:ascii="Arial" w:hAnsi="Arial" w:cs="Arial"/>
                <w:sz w:val="16"/>
                <w:szCs w:val="16"/>
              </w:rPr>
            </w:pPr>
            <w:r w:rsidRPr="008B2B4C">
              <w:rPr>
                <w:rFonts w:ascii="Arial" w:hAnsi="Arial" w:cs="Arial"/>
                <w:sz w:val="16"/>
                <w:szCs w:val="16"/>
              </w:rPr>
              <w:t>10 Months Not Met</w:t>
            </w:r>
          </w:p>
        </w:tc>
        <w:tc>
          <w:tcPr>
            <w:tcW w:w="1980" w:type="dxa"/>
            <w:vAlign w:val="center"/>
            <w:hideMark/>
          </w:tcPr>
          <w:p w14:paraId="05941729" w14:textId="77777777" w:rsidR="00F16118" w:rsidRPr="008B2B4C" w:rsidRDefault="00F16118" w:rsidP="008B2B4C">
            <w:pPr>
              <w:rPr>
                <w:rFonts w:ascii="Arial" w:hAnsi="Arial" w:cs="Arial"/>
                <w:sz w:val="16"/>
                <w:szCs w:val="16"/>
              </w:rPr>
            </w:pPr>
            <w:r w:rsidRPr="008B2B4C">
              <w:rPr>
                <w:rFonts w:ascii="Arial" w:hAnsi="Arial" w:cs="Arial"/>
                <w:sz w:val="16"/>
                <w:szCs w:val="16"/>
              </w:rPr>
              <w:t>No goals before 2017</w:t>
            </w:r>
          </w:p>
        </w:tc>
        <w:tc>
          <w:tcPr>
            <w:tcW w:w="1288" w:type="dxa"/>
            <w:vAlign w:val="center"/>
          </w:tcPr>
          <w:p w14:paraId="1D494475" w14:textId="77777777" w:rsidR="00F16118" w:rsidRPr="008B2B4C" w:rsidRDefault="00F16118" w:rsidP="008B2B4C">
            <w:pPr>
              <w:jc w:val="center"/>
              <w:rPr>
                <w:rFonts w:ascii="Arial" w:hAnsi="Arial" w:cs="Arial"/>
                <w:sz w:val="16"/>
                <w:szCs w:val="16"/>
              </w:rPr>
            </w:pPr>
            <w:r w:rsidRPr="008B2B4C">
              <w:rPr>
                <w:rFonts w:ascii="Arial" w:hAnsi="Arial" w:cs="Arial"/>
                <w:sz w:val="16"/>
                <w:szCs w:val="16"/>
              </w:rPr>
              <w:t>NA</w:t>
            </w:r>
          </w:p>
        </w:tc>
      </w:tr>
    </w:tbl>
    <w:p w14:paraId="44D25489" w14:textId="77777777" w:rsidR="00F16118" w:rsidRPr="00585061" w:rsidRDefault="00F16118" w:rsidP="008B019B">
      <w:pPr>
        <w:spacing w:after="0" w:line="240" w:lineRule="auto"/>
        <w:rPr>
          <w:rFonts w:ascii="Arial" w:hAnsi="Arial" w:cs="Arial"/>
          <w:i/>
          <w:sz w:val="16"/>
          <w:szCs w:val="16"/>
        </w:rPr>
      </w:pPr>
      <w:r w:rsidRPr="00585061">
        <w:rPr>
          <w:rFonts w:ascii="Arial" w:hAnsi="Arial" w:cs="Arial"/>
          <w:i/>
          <w:sz w:val="16"/>
          <w:szCs w:val="16"/>
        </w:rPr>
        <w:t>ME= Met-Ed</w:t>
      </w:r>
    </w:p>
    <w:p w14:paraId="5401E2AF" w14:textId="77777777" w:rsidR="00F16118" w:rsidRPr="00585061" w:rsidRDefault="00F16118" w:rsidP="008B019B">
      <w:pPr>
        <w:spacing w:after="0" w:line="240" w:lineRule="auto"/>
        <w:rPr>
          <w:rFonts w:ascii="Arial" w:hAnsi="Arial" w:cs="Arial"/>
          <w:i/>
          <w:sz w:val="16"/>
          <w:szCs w:val="16"/>
        </w:rPr>
      </w:pPr>
      <w:r w:rsidRPr="00585061">
        <w:rPr>
          <w:rFonts w:ascii="Arial" w:hAnsi="Arial" w:cs="Arial"/>
          <w:i/>
          <w:sz w:val="16"/>
          <w:szCs w:val="16"/>
        </w:rPr>
        <w:t>PN = Penelec</w:t>
      </w:r>
    </w:p>
    <w:p w14:paraId="67624863" w14:textId="77777777" w:rsidR="00F16118" w:rsidRPr="00585061" w:rsidRDefault="00F16118" w:rsidP="008B019B">
      <w:pPr>
        <w:spacing w:after="0" w:line="240" w:lineRule="auto"/>
        <w:rPr>
          <w:rFonts w:ascii="Arial" w:hAnsi="Arial" w:cs="Arial"/>
          <w:i/>
          <w:sz w:val="16"/>
          <w:szCs w:val="16"/>
        </w:rPr>
      </w:pPr>
      <w:r w:rsidRPr="00585061">
        <w:rPr>
          <w:rFonts w:ascii="Arial" w:hAnsi="Arial" w:cs="Arial"/>
          <w:i/>
          <w:sz w:val="16"/>
          <w:szCs w:val="16"/>
        </w:rPr>
        <w:t>PP = Penn Power</w:t>
      </w:r>
    </w:p>
    <w:p w14:paraId="407FDE9F" w14:textId="77777777" w:rsidR="00F16118" w:rsidRDefault="00F16118" w:rsidP="008B019B">
      <w:pPr>
        <w:spacing w:after="0" w:line="240" w:lineRule="auto"/>
        <w:rPr>
          <w:rFonts w:ascii="Arial" w:hAnsi="Arial" w:cs="Arial"/>
          <w:i/>
          <w:sz w:val="16"/>
          <w:szCs w:val="16"/>
        </w:rPr>
      </w:pPr>
      <w:r w:rsidRPr="00585061">
        <w:rPr>
          <w:rFonts w:ascii="Arial" w:hAnsi="Arial" w:cs="Arial"/>
          <w:i/>
          <w:sz w:val="16"/>
          <w:szCs w:val="16"/>
        </w:rPr>
        <w:t>WP = West Penn Power</w:t>
      </w:r>
    </w:p>
    <w:p w14:paraId="048C5FBE" w14:textId="77777777" w:rsidR="003E47F9" w:rsidRDefault="003E47F9" w:rsidP="009755D7">
      <w:pPr>
        <w:autoSpaceDE w:val="0"/>
        <w:autoSpaceDN w:val="0"/>
        <w:adjustRightInd w:val="0"/>
        <w:spacing w:after="0" w:line="240" w:lineRule="auto"/>
        <w:rPr>
          <w:rFonts w:ascii="Arial" w:eastAsia="Times New Roman" w:hAnsi="Arial" w:cs="Arial"/>
          <w:snapToGrid w:val="0"/>
          <w:sz w:val="24"/>
          <w:szCs w:val="20"/>
        </w:rPr>
      </w:pPr>
      <w:r>
        <w:rPr>
          <w:rFonts w:ascii="Arial" w:eastAsia="Times New Roman" w:hAnsi="Arial" w:cs="Arial"/>
          <w:snapToGrid w:val="0"/>
          <w:sz w:val="24"/>
          <w:szCs w:val="20"/>
        </w:rPr>
        <w:br w:type="page"/>
      </w:r>
    </w:p>
    <w:p w14:paraId="1841B7AB" w14:textId="1041689F" w:rsidR="00D82839" w:rsidRPr="004D579B" w:rsidRDefault="00D82839" w:rsidP="00D82839">
      <w:pPr>
        <w:autoSpaceDE w:val="0"/>
        <w:autoSpaceDN w:val="0"/>
        <w:adjustRightInd w:val="0"/>
        <w:spacing w:after="0" w:line="240" w:lineRule="auto"/>
        <w:ind w:firstLine="720"/>
        <w:rPr>
          <w:rFonts w:ascii="Arial" w:eastAsia="Times New Roman" w:hAnsi="Arial" w:cs="Arial"/>
          <w:snapToGrid w:val="0"/>
          <w:sz w:val="24"/>
          <w:szCs w:val="20"/>
        </w:rPr>
      </w:pPr>
      <w:r>
        <w:rPr>
          <w:rFonts w:ascii="Arial" w:eastAsia="Times New Roman" w:hAnsi="Arial" w:cs="Arial"/>
          <w:color w:val="000000"/>
          <w:sz w:val="24"/>
          <w:szCs w:val="24"/>
        </w:rPr>
        <w:t>Finally, t</w:t>
      </w:r>
      <w:r w:rsidR="008B019B" w:rsidRPr="004D579B">
        <w:rPr>
          <w:rFonts w:ascii="Arial" w:eastAsia="Times New Roman" w:hAnsi="Arial" w:cs="Arial"/>
          <w:color w:val="000000"/>
          <w:sz w:val="24"/>
          <w:szCs w:val="24"/>
        </w:rPr>
        <w:t xml:space="preserve">arget goals for various metrics should be commensurate with stated objectives and comply with </w:t>
      </w:r>
      <w:r w:rsidR="008B019B">
        <w:rPr>
          <w:rFonts w:ascii="Arial" w:eastAsia="Times New Roman" w:hAnsi="Arial" w:cs="Arial"/>
          <w:color w:val="000000"/>
          <w:sz w:val="24"/>
          <w:szCs w:val="24"/>
        </w:rPr>
        <w:t>applicable</w:t>
      </w:r>
      <w:r w:rsidR="008B019B" w:rsidRPr="004D579B">
        <w:rPr>
          <w:rFonts w:ascii="Arial" w:eastAsia="Times New Roman" w:hAnsi="Arial" w:cs="Arial"/>
          <w:color w:val="000000"/>
          <w:sz w:val="24"/>
          <w:szCs w:val="24"/>
        </w:rPr>
        <w:t xml:space="preserve"> regulatory requirements</w:t>
      </w:r>
      <w:r w:rsidR="008B019B">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For example, </w:t>
      </w:r>
      <w:r w:rsidR="008B019B" w:rsidRPr="004D579B">
        <w:rPr>
          <w:rFonts w:ascii="Arial" w:eastAsia="Times New Roman" w:hAnsi="Arial" w:cs="Arial"/>
          <w:snapToGrid w:val="0"/>
          <w:color w:val="000000"/>
          <w:sz w:val="24"/>
          <w:szCs w:val="20"/>
        </w:rPr>
        <w:t xml:space="preserve">§ 56.12 (ii) </w:t>
      </w:r>
      <w:r w:rsidR="008B019B">
        <w:rPr>
          <w:rFonts w:ascii="Arial" w:eastAsia="Times New Roman" w:hAnsi="Arial" w:cs="Arial"/>
          <w:snapToGrid w:val="0"/>
          <w:color w:val="000000"/>
          <w:sz w:val="24"/>
          <w:szCs w:val="20"/>
        </w:rPr>
        <w:t>states that t</w:t>
      </w:r>
      <w:r w:rsidR="008B019B" w:rsidRPr="004D579B">
        <w:rPr>
          <w:rFonts w:ascii="Arial" w:eastAsia="Times New Roman" w:hAnsi="Arial" w:cs="Arial"/>
          <w:snapToGrid w:val="0"/>
          <w:color w:val="000000"/>
          <w:sz w:val="24"/>
          <w:szCs w:val="20"/>
        </w:rPr>
        <w:t xml:space="preserve">he public utility, at least every </w:t>
      </w:r>
      <w:r w:rsidR="008B019B">
        <w:rPr>
          <w:rFonts w:ascii="Arial" w:eastAsia="Times New Roman" w:hAnsi="Arial" w:cs="Arial"/>
          <w:snapToGrid w:val="0"/>
          <w:color w:val="000000"/>
          <w:sz w:val="24"/>
          <w:szCs w:val="20"/>
        </w:rPr>
        <w:t>six</w:t>
      </w:r>
      <w:r w:rsidR="008B019B" w:rsidRPr="004D579B">
        <w:rPr>
          <w:rFonts w:ascii="Arial" w:eastAsia="Times New Roman" w:hAnsi="Arial" w:cs="Arial"/>
          <w:snapToGrid w:val="0"/>
          <w:color w:val="000000"/>
          <w:sz w:val="24"/>
          <w:szCs w:val="20"/>
        </w:rPr>
        <w:t xml:space="preserve"> months, or every four billing periods for public utilities permitted to bill for periods in excess of </w:t>
      </w:r>
      <w:r w:rsidR="008B019B">
        <w:rPr>
          <w:rFonts w:ascii="Arial" w:eastAsia="Times New Roman" w:hAnsi="Arial" w:cs="Arial"/>
          <w:snapToGrid w:val="0"/>
          <w:color w:val="000000"/>
          <w:sz w:val="24"/>
          <w:szCs w:val="20"/>
        </w:rPr>
        <w:t>one</w:t>
      </w:r>
      <w:r w:rsidR="008B019B" w:rsidRPr="004D579B">
        <w:rPr>
          <w:rFonts w:ascii="Arial" w:eastAsia="Times New Roman" w:hAnsi="Arial" w:cs="Arial"/>
          <w:snapToGrid w:val="0"/>
          <w:color w:val="000000"/>
          <w:sz w:val="24"/>
          <w:szCs w:val="20"/>
        </w:rPr>
        <w:t xml:space="preserve"> month, obtains an actual meter reading or customer supplied reading to verify the accuracy of the estimated readings.</w:t>
      </w:r>
      <w:r w:rsidR="008B019B">
        <w:rPr>
          <w:rFonts w:ascii="Arial" w:eastAsia="Times New Roman" w:hAnsi="Arial" w:cs="Arial"/>
          <w:color w:val="000000"/>
          <w:sz w:val="24"/>
          <w:szCs w:val="24"/>
        </w:rPr>
        <w:t xml:space="preserve">  </w:t>
      </w:r>
      <w:r w:rsidR="008B019B" w:rsidRPr="004D579B">
        <w:rPr>
          <w:rFonts w:ascii="Arial" w:eastAsia="Times New Roman" w:hAnsi="Arial" w:cs="Arial"/>
          <w:snapToGrid w:val="0"/>
          <w:sz w:val="24"/>
          <w:szCs w:val="20"/>
        </w:rPr>
        <w:t>Met-Ed, Penelec, and West Penn</w:t>
      </w:r>
      <w:r w:rsidR="008B019B" w:rsidRPr="002F71F7">
        <w:rPr>
          <w:rFonts w:ascii="Arial" w:eastAsia="Times New Roman" w:hAnsi="Arial" w:cs="Arial"/>
          <w:snapToGrid w:val="0"/>
          <w:sz w:val="24"/>
          <w:szCs w:val="20"/>
        </w:rPr>
        <w:t xml:space="preserve"> </w:t>
      </w:r>
      <w:r w:rsidR="008B019B" w:rsidRPr="004D579B">
        <w:rPr>
          <w:rFonts w:ascii="Arial" w:eastAsia="Times New Roman" w:hAnsi="Arial" w:cs="Arial"/>
          <w:snapToGrid w:val="0"/>
          <w:sz w:val="24"/>
          <w:szCs w:val="20"/>
        </w:rPr>
        <w:t xml:space="preserve">Power’s </w:t>
      </w:r>
      <w:r w:rsidR="008B019B">
        <w:rPr>
          <w:rFonts w:ascii="Arial" w:eastAsia="Times New Roman" w:hAnsi="Arial" w:cs="Arial"/>
          <w:snapToGrid w:val="0"/>
          <w:sz w:val="24"/>
          <w:szCs w:val="20"/>
        </w:rPr>
        <w:t xml:space="preserve">metric in which </w:t>
      </w:r>
      <w:r w:rsidR="008B019B" w:rsidRPr="004D579B">
        <w:rPr>
          <w:rFonts w:ascii="Arial" w:eastAsia="Times New Roman" w:hAnsi="Arial" w:cs="Arial"/>
          <w:snapToGrid w:val="0"/>
          <w:sz w:val="24"/>
          <w:szCs w:val="20"/>
        </w:rPr>
        <w:t>meters not read in six plus months does not meet § 56.12.</w:t>
      </w:r>
      <w:r w:rsidR="008B019B">
        <w:rPr>
          <w:rFonts w:ascii="Arial" w:eastAsia="Times New Roman" w:hAnsi="Arial" w:cs="Arial"/>
          <w:snapToGrid w:val="0"/>
          <w:sz w:val="24"/>
          <w:szCs w:val="20"/>
        </w:rPr>
        <w:t xml:space="preserve">  In addition, some of the FE-PA companies are meeting their targets, while others are not.  Collaboration between the FE-PA companies regarding best practices should take place</w:t>
      </w:r>
      <w:r w:rsidR="008B019B" w:rsidRPr="00452A7C">
        <w:rPr>
          <w:rFonts w:ascii="Arial" w:eastAsia="Times New Roman" w:hAnsi="Arial" w:cs="Arial"/>
          <w:snapToGrid w:val="0"/>
          <w:sz w:val="24"/>
          <w:szCs w:val="20"/>
        </w:rPr>
        <w:t xml:space="preserve"> </w:t>
      </w:r>
      <w:r w:rsidR="008B019B">
        <w:rPr>
          <w:rFonts w:ascii="Arial" w:eastAsia="Times New Roman" w:hAnsi="Arial" w:cs="Arial"/>
          <w:snapToGrid w:val="0"/>
          <w:sz w:val="24"/>
          <w:szCs w:val="20"/>
        </w:rPr>
        <w:t>to bring all the FE-PA companies performance up to their targets.</w:t>
      </w:r>
      <w:r w:rsidR="008B019B" w:rsidRPr="002F71F7">
        <w:rPr>
          <w:rFonts w:ascii="Arial" w:hAnsi="Arial" w:cs="Arial"/>
          <w:sz w:val="24"/>
          <w:szCs w:val="24"/>
        </w:rPr>
        <w:t xml:space="preserve"> </w:t>
      </w:r>
      <w:r w:rsidR="008B019B" w:rsidRPr="008B019B">
        <w:rPr>
          <w:rFonts w:ascii="Arial" w:hAnsi="Arial" w:cs="Arial"/>
          <w:sz w:val="24"/>
          <w:szCs w:val="24"/>
        </w:rPr>
        <w:t xml:space="preserve">  </w:t>
      </w:r>
      <w:r>
        <w:rPr>
          <w:rFonts w:ascii="Arial" w:hAnsi="Arial" w:cs="Arial"/>
          <w:sz w:val="24"/>
          <w:szCs w:val="24"/>
        </w:rPr>
        <w:t>The audit staff has also recommended in Chapter VII - Operations that</w:t>
      </w:r>
      <w:r w:rsidRPr="00C4057E">
        <w:rPr>
          <w:rFonts w:ascii="Arial" w:hAnsi="Arial" w:cs="Arial"/>
          <w:sz w:val="24"/>
          <w:szCs w:val="24"/>
        </w:rPr>
        <w:t xml:space="preserve"> the</w:t>
      </w:r>
      <w:r>
        <w:rPr>
          <w:rFonts w:ascii="Arial" w:hAnsi="Arial" w:cs="Arial"/>
          <w:sz w:val="24"/>
          <w:szCs w:val="24"/>
        </w:rPr>
        <w:t xml:space="preserve"> FE</w:t>
      </w:r>
      <w:r>
        <w:rPr>
          <w:rFonts w:ascii="Arial" w:hAnsi="Arial" w:cs="Arial"/>
          <w:sz w:val="24"/>
          <w:szCs w:val="24"/>
        </w:rPr>
        <w:noBreakHyphen/>
        <w:t>PA companies conduct</w:t>
      </w:r>
      <w:r w:rsidRPr="00C4057E">
        <w:rPr>
          <w:rFonts w:ascii="Arial" w:hAnsi="Arial" w:cs="Arial"/>
          <w:sz w:val="24"/>
          <w:szCs w:val="24"/>
        </w:rPr>
        <w:t xml:space="preserve"> a cost/benefit analysis on additional shifts which should both reduce overtime and improve call-out response</w:t>
      </w:r>
      <w:r>
        <w:rPr>
          <w:rFonts w:ascii="Arial" w:hAnsi="Arial" w:cs="Arial"/>
          <w:sz w:val="24"/>
          <w:szCs w:val="24"/>
        </w:rPr>
        <w:t>.  New performance metrics and targets will need to be established and monitored by each of the FE-PA companies if shift work is implemented.</w:t>
      </w:r>
    </w:p>
    <w:p w14:paraId="2C2FE514" w14:textId="77777777" w:rsidR="008B019B" w:rsidRPr="004D579B" w:rsidRDefault="008B019B" w:rsidP="009755D7">
      <w:pPr>
        <w:autoSpaceDE w:val="0"/>
        <w:autoSpaceDN w:val="0"/>
        <w:adjustRightInd w:val="0"/>
        <w:spacing w:after="0" w:line="240" w:lineRule="auto"/>
        <w:rPr>
          <w:rFonts w:ascii="Arial" w:eastAsia="Times New Roman" w:hAnsi="Arial" w:cs="Arial"/>
          <w:snapToGrid w:val="0"/>
          <w:sz w:val="24"/>
          <w:szCs w:val="20"/>
        </w:rPr>
      </w:pPr>
    </w:p>
    <w:p w14:paraId="4473EE75" w14:textId="77777777" w:rsidR="008B019B" w:rsidRPr="004D579B" w:rsidRDefault="008B019B" w:rsidP="008B019B">
      <w:pPr>
        <w:widowControl w:val="0"/>
        <w:spacing w:after="0" w:line="240" w:lineRule="auto"/>
        <w:rPr>
          <w:rFonts w:ascii="Arial" w:eastAsia="Times New Roman" w:hAnsi="Arial" w:cs="Arial"/>
          <w:b/>
          <w:snapToGrid w:val="0"/>
          <w:sz w:val="24"/>
          <w:szCs w:val="20"/>
        </w:rPr>
      </w:pPr>
      <w:r w:rsidRPr="00C208C1">
        <w:rPr>
          <w:rFonts w:ascii="Arial" w:eastAsia="Times New Roman" w:hAnsi="Arial" w:cs="Arial"/>
          <w:b/>
          <w:snapToGrid w:val="0"/>
          <w:sz w:val="24"/>
          <w:szCs w:val="20"/>
          <w:u w:val="single"/>
        </w:rPr>
        <w:t>Follow-up Recommendation</w:t>
      </w:r>
      <w:r w:rsidRPr="00C208C1">
        <w:rPr>
          <w:rFonts w:ascii="Arial" w:eastAsia="Times New Roman" w:hAnsi="Arial" w:cs="Arial"/>
          <w:b/>
          <w:snapToGrid w:val="0"/>
          <w:sz w:val="24"/>
          <w:szCs w:val="20"/>
        </w:rPr>
        <w:t xml:space="preserve"> – </w:t>
      </w:r>
      <w:r w:rsidRPr="004D579B">
        <w:rPr>
          <w:rFonts w:ascii="Arial" w:eastAsia="Times New Roman" w:hAnsi="Arial" w:cs="Arial"/>
          <w:b/>
          <w:snapToGrid w:val="0"/>
          <w:sz w:val="24"/>
          <w:szCs w:val="20"/>
        </w:rPr>
        <w:t xml:space="preserve">Review best practices throughout the FE-PA </w:t>
      </w:r>
      <w:r>
        <w:rPr>
          <w:rFonts w:ascii="Arial" w:eastAsia="Times New Roman" w:hAnsi="Arial" w:cs="Arial"/>
          <w:b/>
          <w:snapToGrid w:val="0"/>
          <w:sz w:val="24"/>
          <w:szCs w:val="20"/>
        </w:rPr>
        <w:t>c</w:t>
      </w:r>
      <w:r w:rsidRPr="004D579B">
        <w:rPr>
          <w:rFonts w:ascii="Arial" w:eastAsia="Times New Roman" w:hAnsi="Arial" w:cs="Arial"/>
          <w:b/>
          <w:snapToGrid w:val="0"/>
          <w:sz w:val="24"/>
          <w:szCs w:val="20"/>
        </w:rPr>
        <w:t>ompanies to ensure that all targets are met, establish</w:t>
      </w:r>
      <w:r>
        <w:rPr>
          <w:rFonts w:ascii="Arial" w:eastAsia="Times New Roman" w:hAnsi="Arial" w:cs="Arial"/>
          <w:b/>
          <w:snapToGrid w:val="0"/>
          <w:sz w:val="24"/>
          <w:szCs w:val="20"/>
        </w:rPr>
        <w:t xml:space="preserve"> </w:t>
      </w:r>
      <w:r w:rsidR="00D82839">
        <w:rPr>
          <w:rFonts w:ascii="Arial" w:eastAsia="Times New Roman" w:hAnsi="Arial" w:cs="Arial"/>
          <w:b/>
          <w:snapToGrid w:val="0"/>
          <w:sz w:val="24"/>
          <w:szCs w:val="20"/>
        </w:rPr>
        <w:t>metrics and</w:t>
      </w:r>
      <w:r w:rsidR="00D82839" w:rsidRPr="004D579B">
        <w:rPr>
          <w:rFonts w:ascii="Arial" w:eastAsia="Times New Roman" w:hAnsi="Arial" w:cs="Arial"/>
          <w:b/>
          <w:snapToGrid w:val="0"/>
          <w:sz w:val="24"/>
          <w:szCs w:val="20"/>
        </w:rPr>
        <w:t xml:space="preserve"> </w:t>
      </w:r>
      <w:r w:rsidRPr="004D579B">
        <w:rPr>
          <w:rFonts w:ascii="Arial" w:eastAsia="Times New Roman" w:hAnsi="Arial" w:cs="Arial"/>
          <w:b/>
          <w:snapToGrid w:val="0"/>
          <w:sz w:val="24"/>
          <w:szCs w:val="20"/>
        </w:rPr>
        <w:t xml:space="preserve">targets and monitor performance related to shift work </w:t>
      </w:r>
      <w:r>
        <w:rPr>
          <w:rFonts w:ascii="Arial" w:eastAsia="Times New Roman" w:hAnsi="Arial" w:cs="Arial"/>
          <w:b/>
          <w:snapToGrid w:val="0"/>
          <w:sz w:val="24"/>
          <w:szCs w:val="20"/>
        </w:rPr>
        <w:t>(</w:t>
      </w:r>
      <w:r w:rsidRPr="004D579B">
        <w:rPr>
          <w:rFonts w:ascii="Arial" w:eastAsia="Times New Roman" w:hAnsi="Arial" w:cs="Arial"/>
          <w:b/>
          <w:snapToGrid w:val="0"/>
          <w:sz w:val="24"/>
          <w:szCs w:val="20"/>
        </w:rPr>
        <w:t>if implemented</w:t>
      </w:r>
      <w:r>
        <w:rPr>
          <w:rFonts w:ascii="Arial" w:eastAsia="Times New Roman" w:hAnsi="Arial" w:cs="Arial"/>
          <w:b/>
          <w:snapToGrid w:val="0"/>
          <w:sz w:val="24"/>
          <w:szCs w:val="20"/>
        </w:rPr>
        <w:t>)</w:t>
      </w:r>
      <w:r w:rsidRPr="004D579B">
        <w:rPr>
          <w:rFonts w:ascii="Arial" w:eastAsia="Times New Roman" w:hAnsi="Arial" w:cs="Arial"/>
          <w:b/>
          <w:snapToGrid w:val="0"/>
          <w:sz w:val="24"/>
          <w:szCs w:val="20"/>
        </w:rPr>
        <w:t>, and ensure, at a minimum, targets are at a level that meets regulatory requirements.</w:t>
      </w:r>
    </w:p>
    <w:p w14:paraId="2E8FCF34" w14:textId="77777777" w:rsidR="008B019B" w:rsidRDefault="008B019B" w:rsidP="008B019B">
      <w:pPr>
        <w:rPr>
          <w:rFonts w:ascii="Arial" w:hAnsi="Arial" w:cs="Arial"/>
          <w:b/>
          <w:sz w:val="24"/>
          <w:szCs w:val="24"/>
        </w:rPr>
      </w:pPr>
      <w:r>
        <w:rPr>
          <w:rFonts w:ascii="Arial" w:hAnsi="Arial" w:cs="Arial"/>
          <w:b/>
          <w:sz w:val="24"/>
          <w:szCs w:val="24"/>
        </w:rPr>
        <w:br w:type="page"/>
      </w:r>
    </w:p>
    <w:p w14:paraId="5E0CC96B" w14:textId="77777777" w:rsidR="00C52195" w:rsidRPr="003D39B7" w:rsidRDefault="00C52195" w:rsidP="00C52195">
      <w:pPr>
        <w:spacing w:after="0" w:line="20" w:lineRule="atLeast"/>
        <w:contextualSpacing/>
        <w:jc w:val="center"/>
        <w:rPr>
          <w:rFonts w:ascii="Arial" w:eastAsia="Times New Roman" w:hAnsi="Arial" w:cs="Times New Roman"/>
          <w:b/>
          <w:sz w:val="26"/>
          <w:szCs w:val="26"/>
        </w:rPr>
      </w:pPr>
      <w:r>
        <w:rPr>
          <w:rFonts w:ascii="Arial" w:eastAsia="Times New Roman" w:hAnsi="Arial" w:cs="Times New Roman"/>
          <w:b/>
          <w:sz w:val="26"/>
          <w:szCs w:val="26"/>
        </w:rPr>
        <w:t>IV. CORPORATE GOVERNANCE</w:t>
      </w:r>
    </w:p>
    <w:p w14:paraId="2B97EB4F" w14:textId="77777777" w:rsidR="00C52195" w:rsidRPr="003D39B7" w:rsidRDefault="00C52195" w:rsidP="00C52195">
      <w:pPr>
        <w:spacing w:after="0" w:line="20" w:lineRule="atLeast"/>
        <w:contextualSpacing/>
        <w:rPr>
          <w:rFonts w:ascii="Arial" w:eastAsia="Times New Roman" w:hAnsi="Arial" w:cs="Times New Roman"/>
          <w:sz w:val="24"/>
          <w:szCs w:val="20"/>
        </w:rPr>
      </w:pPr>
    </w:p>
    <w:p w14:paraId="7E2AFC94" w14:textId="77777777" w:rsidR="00C52195" w:rsidRDefault="00C52195" w:rsidP="00C52195">
      <w:pPr>
        <w:spacing w:after="0" w:line="20" w:lineRule="atLeast"/>
        <w:contextualSpacing/>
        <w:rPr>
          <w:rFonts w:ascii="Arial" w:eastAsia="Times New Roman" w:hAnsi="Arial" w:cs="Times New Roman"/>
          <w:sz w:val="24"/>
          <w:szCs w:val="20"/>
        </w:rPr>
      </w:pPr>
    </w:p>
    <w:p w14:paraId="5228B386" w14:textId="77777777" w:rsidR="00C52195" w:rsidRPr="007C465E" w:rsidRDefault="00C52195" w:rsidP="00C52195">
      <w:pPr>
        <w:spacing w:after="0" w:line="20" w:lineRule="atLeast"/>
        <w:contextualSpacing/>
        <w:rPr>
          <w:rFonts w:ascii="Arial" w:eastAsia="Times New Roman" w:hAnsi="Arial" w:cs="Times New Roman"/>
          <w:sz w:val="24"/>
          <w:szCs w:val="24"/>
        </w:rPr>
      </w:pPr>
      <w:r w:rsidRPr="00A67D31">
        <w:rPr>
          <w:rFonts w:ascii="Arial" w:eastAsia="Times New Roman" w:hAnsi="Arial" w:cs="Times New Roman"/>
          <w:b/>
          <w:sz w:val="24"/>
          <w:szCs w:val="24"/>
          <w:u w:val="single"/>
        </w:rPr>
        <w:t>Background</w:t>
      </w:r>
      <w:r w:rsidRPr="004D579B">
        <w:rPr>
          <w:rFonts w:ascii="Arial" w:eastAsia="Times New Roman" w:hAnsi="Arial" w:cs="Times New Roman"/>
          <w:sz w:val="24"/>
          <w:szCs w:val="24"/>
        </w:rPr>
        <w:t xml:space="preserve"> </w:t>
      </w:r>
      <w:r w:rsidRPr="00A67D31">
        <w:rPr>
          <w:rFonts w:ascii="Arial" w:eastAsia="Times New Roman" w:hAnsi="Arial" w:cs="Times New Roman"/>
          <w:sz w:val="24"/>
          <w:szCs w:val="24"/>
        </w:rPr>
        <w:t xml:space="preserve">– </w:t>
      </w:r>
      <w:r w:rsidR="0017247E">
        <w:rPr>
          <w:rFonts w:ascii="Arial" w:eastAsia="Times New Roman" w:hAnsi="Arial" w:cs="Times New Roman"/>
          <w:sz w:val="24"/>
          <w:szCs w:val="24"/>
        </w:rPr>
        <w:t xml:space="preserve">Corporate Governance is the system of rules, practices and processes by which a </w:t>
      </w:r>
      <w:r w:rsidR="008A1B51">
        <w:rPr>
          <w:rFonts w:ascii="Arial" w:eastAsia="Times New Roman" w:hAnsi="Arial" w:cs="Times New Roman"/>
          <w:sz w:val="24"/>
          <w:szCs w:val="24"/>
        </w:rPr>
        <w:t>board of directors ensures accountability, fairness, and transparency in a company’s relationship with all its stakeholders (i.e., financiers, customers, management, employees, government, and the community)</w:t>
      </w:r>
      <w:r w:rsidR="0017247E">
        <w:rPr>
          <w:rFonts w:ascii="Arial" w:eastAsia="Times New Roman" w:hAnsi="Arial" w:cs="Times New Roman"/>
          <w:sz w:val="24"/>
          <w:szCs w:val="24"/>
        </w:rPr>
        <w:t xml:space="preserve">.  </w:t>
      </w:r>
      <w:r w:rsidRPr="007C465E">
        <w:rPr>
          <w:rFonts w:ascii="Arial" w:eastAsia="Times New Roman" w:hAnsi="Arial" w:cs="Times New Roman"/>
          <w:sz w:val="24"/>
          <w:szCs w:val="24"/>
        </w:rPr>
        <w:t xml:space="preserve">The </w:t>
      </w:r>
      <w:r w:rsidR="00C07726">
        <w:rPr>
          <w:rFonts w:ascii="Arial" w:eastAsia="Times New Roman" w:hAnsi="Arial" w:cs="Times New Roman"/>
          <w:sz w:val="24"/>
          <w:szCs w:val="24"/>
        </w:rPr>
        <w:t xml:space="preserve">2014 </w:t>
      </w:r>
      <w:r w:rsidRPr="007C465E">
        <w:rPr>
          <w:rFonts w:ascii="Arial" w:eastAsia="Times New Roman" w:hAnsi="Arial" w:cs="Times New Roman"/>
          <w:sz w:val="24"/>
          <w:szCs w:val="24"/>
        </w:rPr>
        <w:t xml:space="preserve">Focused Management and Operations Audit of </w:t>
      </w:r>
      <w:r w:rsidR="00DC3BBC">
        <w:rPr>
          <w:rFonts w:ascii="Arial" w:eastAsia="Times New Roman" w:hAnsi="Arial" w:cs="Times New Roman"/>
          <w:sz w:val="24"/>
          <w:szCs w:val="24"/>
        </w:rPr>
        <w:t>the</w:t>
      </w:r>
      <w:r>
        <w:rPr>
          <w:rFonts w:ascii="Arial" w:eastAsia="Times New Roman" w:hAnsi="Arial" w:cs="Times New Roman"/>
          <w:sz w:val="24"/>
          <w:szCs w:val="24"/>
        </w:rPr>
        <w:t xml:space="preserve"> FE-PA </w:t>
      </w:r>
      <w:r w:rsidR="00DC3BBC">
        <w:rPr>
          <w:rFonts w:ascii="Arial" w:eastAsia="Times New Roman" w:hAnsi="Arial" w:cs="Times New Roman"/>
          <w:sz w:val="24"/>
          <w:szCs w:val="24"/>
        </w:rPr>
        <w:t>c</w:t>
      </w:r>
      <w:r>
        <w:rPr>
          <w:rFonts w:ascii="Arial" w:eastAsia="Times New Roman" w:hAnsi="Arial" w:cs="Times New Roman"/>
          <w:sz w:val="24"/>
          <w:szCs w:val="24"/>
        </w:rPr>
        <w:t xml:space="preserve">ompanies </w:t>
      </w:r>
      <w:r w:rsidR="00F0730A">
        <w:rPr>
          <w:rFonts w:ascii="Arial" w:eastAsia="Times New Roman" w:hAnsi="Arial" w:cs="Times New Roman"/>
          <w:sz w:val="24"/>
          <w:szCs w:val="24"/>
        </w:rPr>
        <w:t xml:space="preserve">examined the Corporate Governance </w:t>
      </w:r>
      <w:r w:rsidR="00F0730A" w:rsidRPr="00C209CF">
        <w:rPr>
          <w:rFonts w:ascii="Arial" w:hAnsi="Arial" w:cs="Arial"/>
          <w:sz w:val="24"/>
          <w:szCs w:val="24"/>
        </w:rPr>
        <w:t>function</w:t>
      </w:r>
      <w:r w:rsidR="00F0730A">
        <w:rPr>
          <w:rFonts w:ascii="Arial" w:hAnsi="Arial" w:cs="Arial"/>
          <w:sz w:val="24"/>
          <w:szCs w:val="24"/>
        </w:rPr>
        <w:t xml:space="preserve">, </w:t>
      </w:r>
      <w:r w:rsidR="00DC3BBC">
        <w:rPr>
          <w:rFonts w:ascii="Arial" w:hAnsi="Arial" w:cs="Arial"/>
          <w:sz w:val="24"/>
          <w:szCs w:val="24"/>
        </w:rPr>
        <w:t>including</w:t>
      </w:r>
      <w:r w:rsidR="00F0730A" w:rsidRPr="00C209CF">
        <w:rPr>
          <w:rFonts w:ascii="Arial" w:hAnsi="Arial" w:cs="Arial"/>
          <w:sz w:val="24"/>
          <w:szCs w:val="24"/>
        </w:rPr>
        <w:t xml:space="preserve"> a review of </w:t>
      </w:r>
      <w:r w:rsidR="00F0730A">
        <w:rPr>
          <w:rFonts w:ascii="Arial" w:hAnsi="Arial" w:cs="Arial"/>
          <w:sz w:val="24"/>
          <w:szCs w:val="24"/>
        </w:rPr>
        <w:t xml:space="preserve">FirstEnergy’s and the FE-PA </w:t>
      </w:r>
      <w:r w:rsidR="00DC3BBC">
        <w:rPr>
          <w:rFonts w:ascii="Arial" w:hAnsi="Arial" w:cs="Arial"/>
          <w:sz w:val="24"/>
          <w:szCs w:val="24"/>
        </w:rPr>
        <w:t>c</w:t>
      </w:r>
      <w:r w:rsidR="00F0730A">
        <w:rPr>
          <w:rFonts w:ascii="Arial" w:hAnsi="Arial" w:cs="Arial"/>
          <w:sz w:val="24"/>
          <w:szCs w:val="24"/>
        </w:rPr>
        <w:t xml:space="preserve">ompanies’ </w:t>
      </w:r>
      <w:r w:rsidR="00F0730A" w:rsidRPr="00FF0177">
        <w:rPr>
          <w:rFonts w:ascii="Arial" w:hAnsi="Arial" w:cs="Arial"/>
          <w:sz w:val="24"/>
          <w:szCs w:val="24"/>
        </w:rPr>
        <w:t>Boards of Directors</w:t>
      </w:r>
      <w:r w:rsidR="00DC3BBC">
        <w:rPr>
          <w:rFonts w:ascii="Arial" w:hAnsi="Arial" w:cs="Arial"/>
          <w:sz w:val="24"/>
          <w:szCs w:val="24"/>
        </w:rPr>
        <w:t>.</w:t>
      </w:r>
      <w:r w:rsidR="00F0730A" w:rsidRPr="00FF0177">
        <w:rPr>
          <w:rFonts w:ascii="Arial" w:hAnsi="Arial" w:cs="Arial"/>
          <w:sz w:val="24"/>
          <w:szCs w:val="24"/>
        </w:rPr>
        <w:t xml:space="preserve"> </w:t>
      </w:r>
      <w:r w:rsidR="008A1B51">
        <w:rPr>
          <w:rFonts w:ascii="Arial" w:hAnsi="Arial" w:cs="Arial"/>
          <w:sz w:val="24"/>
          <w:szCs w:val="24"/>
        </w:rPr>
        <w:t xml:space="preserve"> </w:t>
      </w:r>
      <w:r w:rsidR="00DC3BBC">
        <w:rPr>
          <w:rFonts w:ascii="Arial" w:hAnsi="Arial" w:cs="Arial"/>
          <w:sz w:val="24"/>
          <w:szCs w:val="24"/>
        </w:rPr>
        <w:t xml:space="preserve">The review encompassed Board </w:t>
      </w:r>
      <w:r w:rsidR="00F0730A">
        <w:rPr>
          <w:rFonts w:ascii="Arial" w:hAnsi="Arial" w:cs="Arial"/>
          <w:sz w:val="24"/>
          <w:szCs w:val="24"/>
        </w:rPr>
        <w:t>composition,</w:t>
      </w:r>
      <w:r w:rsidR="00F0730A" w:rsidRPr="00FF0177">
        <w:rPr>
          <w:rFonts w:ascii="Arial" w:hAnsi="Arial" w:cs="Arial"/>
          <w:sz w:val="24"/>
          <w:szCs w:val="24"/>
        </w:rPr>
        <w:t xml:space="preserve"> committee structure and charters; </w:t>
      </w:r>
      <w:r w:rsidR="00F0730A">
        <w:rPr>
          <w:rFonts w:ascii="Arial" w:hAnsi="Arial" w:cs="Arial"/>
          <w:sz w:val="24"/>
          <w:szCs w:val="24"/>
        </w:rPr>
        <w:t xml:space="preserve">Board fee structures; </w:t>
      </w:r>
      <w:r w:rsidR="00F0730A" w:rsidRPr="00FF0177">
        <w:rPr>
          <w:rFonts w:ascii="Arial" w:hAnsi="Arial" w:cs="Arial"/>
          <w:sz w:val="24"/>
          <w:szCs w:val="24"/>
        </w:rPr>
        <w:t>Director independence; business conduct and ethics; the independent auditor</w:t>
      </w:r>
      <w:r w:rsidR="00F0730A">
        <w:rPr>
          <w:rFonts w:ascii="Arial" w:hAnsi="Arial" w:cs="Arial"/>
          <w:sz w:val="24"/>
          <w:szCs w:val="24"/>
        </w:rPr>
        <w:t xml:space="preserve"> and rotation of audit firms</w:t>
      </w:r>
      <w:r w:rsidR="00F0730A" w:rsidRPr="00FF0177">
        <w:rPr>
          <w:rFonts w:ascii="Arial" w:hAnsi="Arial" w:cs="Arial"/>
          <w:sz w:val="24"/>
          <w:szCs w:val="24"/>
        </w:rPr>
        <w:t xml:space="preserve">; </w:t>
      </w:r>
      <w:r w:rsidR="00F0730A">
        <w:rPr>
          <w:rFonts w:ascii="Arial" w:hAnsi="Arial" w:cs="Arial"/>
          <w:sz w:val="24"/>
          <w:szCs w:val="24"/>
        </w:rPr>
        <w:t xml:space="preserve">the </w:t>
      </w:r>
      <w:r w:rsidR="00F0730A" w:rsidRPr="00FF0177">
        <w:rPr>
          <w:rFonts w:ascii="Arial" w:hAnsi="Arial" w:cs="Arial"/>
          <w:sz w:val="24"/>
          <w:szCs w:val="24"/>
        </w:rPr>
        <w:t>Internal Audit</w:t>
      </w:r>
      <w:r w:rsidR="00F0730A">
        <w:rPr>
          <w:rFonts w:ascii="Arial" w:hAnsi="Arial" w:cs="Arial"/>
          <w:sz w:val="24"/>
          <w:szCs w:val="24"/>
        </w:rPr>
        <w:t xml:space="preserve"> Department’s </w:t>
      </w:r>
      <w:r w:rsidR="00F0730A" w:rsidRPr="00C209CF">
        <w:rPr>
          <w:rFonts w:ascii="Arial" w:hAnsi="Arial" w:cs="Arial"/>
          <w:sz w:val="24"/>
          <w:szCs w:val="24"/>
        </w:rPr>
        <w:t>reporting relationships and recent reviews</w:t>
      </w:r>
      <w:r w:rsidR="00F0730A">
        <w:rPr>
          <w:rFonts w:ascii="Arial" w:hAnsi="Arial" w:cs="Arial"/>
          <w:sz w:val="24"/>
          <w:szCs w:val="24"/>
        </w:rPr>
        <w:t>; and</w:t>
      </w:r>
      <w:r w:rsidR="00F0730A" w:rsidRPr="00FF0177">
        <w:rPr>
          <w:rFonts w:ascii="Arial" w:hAnsi="Arial" w:cs="Arial"/>
          <w:sz w:val="24"/>
          <w:szCs w:val="24"/>
        </w:rPr>
        <w:t xml:space="preserve"> documents related to corporate governance</w:t>
      </w:r>
      <w:r w:rsidR="00F0730A">
        <w:rPr>
          <w:rFonts w:ascii="Arial" w:hAnsi="Arial" w:cs="Arial"/>
          <w:sz w:val="24"/>
          <w:szCs w:val="24"/>
        </w:rPr>
        <w:t>,</w:t>
      </w:r>
      <w:r w:rsidR="00F0730A" w:rsidRPr="00FF0177">
        <w:rPr>
          <w:rFonts w:ascii="Arial" w:hAnsi="Arial" w:cs="Arial"/>
          <w:sz w:val="24"/>
          <w:szCs w:val="24"/>
        </w:rPr>
        <w:t xml:space="preserve"> annual reports; etc.  </w:t>
      </w:r>
      <w:r w:rsidR="00F0730A" w:rsidRPr="007C465E">
        <w:rPr>
          <w:rFonts w:ascii="Arial" w:eastAsia="Times New Roman" w:hAnsi="Arial" w:cs="Times New Roman"/>
          <w:sz w:val="24"/>
          <w:szCs w:val="24"/>
        </w:rPr>
        <w:t>The</w:t>
      </w:r>
      <w:r w:rsidR="00F0730A">
        <w:rPr>
          <w:rFonts w:ascii="Arial" w:eastAsia="Times New Roman" w:hAnsi="Arial" w:cs="Times New Roman"/>
          <w:sz w:val="24"/>
          <w:szCs w:val="24"/>
        </w:rPr>
        <w:t xml:space="preserve"> PUC</w:t>
      </w:r>
      <w:r w:rsidR="00F0730A" w:rsidRPr="007C465E">
        <w:rPr>
          <w:rFonts w:ascii="Arial" w:eastAsia="Times New Roman" w:hAnsi="Arial" w:cs="Times New Roman"/>
          <w:sz w:val="24"/>
          <w:szCs w:val="24"/>
        </w:rPr>
        <w:t xml:space="preserve"> </w:t>
      </w:r>
      <w:r w:rsidR="00F0730A">
        <w:rPr>
          <w:rFonts w:ascii="Arial" w:eastAsia="Times New Roman" w:hAnsi="Arial" w:cs="Times New Roman"/>
          <w:sz w:val="24"/>
          <w:szCs w:val="24"/>
        </w:rPr>
        <w:t>auditors</w:t>
      </w:r>
      <w:r w:rsidR="00F0730A" w:rsidRPr="007C465E">
        <w:rPr>
          <w:rFonts w:ascii="Arial" w:eastAsia="Times New Roman" w:hAnsi="Arial" w:cs="Times New Roman"/>
          <w:sz w:val="24"/>
          <w:szCs w:val="24"/>
        </w:rPr>
        <w:t xml:space="preserve"> </w:t>
      </w:r>
      <w:r w:rsidR="00F0730A">
        <w:rPr>
          <w:rFonts w:ascii="Arial" w:eastAsia="Times New Roman" w:hAnsi="Arial" w:cs="Times New Roman"/>
          <w:sz w:val="24"/>
          <w:szCs w:val="24"/>
        </w:rPr>
        <w:t xml:space="preserve">issued </w:t>
      </w:r>
      <w:r>
        <w:rPr>
          <w:rFonts w:ascii="Arial" w:eastAsia="Times New Roman" w:hAnsi="Arial" w:cs="Times New Roman"/>
          <w:sz w:val="24"/>
          <w:szCs w:val="24"/>
        </w:rPr>
        <w:t>one recommendation</w:t>
      </w:r>
      <w:r w:rsidRPr="007C465E">
        <w:rPr>
          <w:rFonts w:ascii="Arial" w:eastAsia="Times New Roman" w:hAnsi="Arial" w:cs="Times New Roman"/>
          <w:sz w:val="24"/>
          <w:szCs w:val="24"/>
        </w:rPr>
        <w:t xml:space="preserve"> within the </w:t>
      </w:r>
      <w:r>
        <w:rPr>
          <w:rFonts w:ascii="Arial" w:eastAsia="Times New Roman" w:hAnsi="Arial" w:cs="Times New Roman"/>
          <w:sz w:val="24"/>
          <w:szCs w:val="24"/>
        </w:rPr>
        <w:t xml:space="preserve">Corporate Governance </w:t>
      </w:r>
      <w:r w:rsidRPr="007C465E">
        <w:rPr>
          <w:rFonts w:ascii="Arial" w:eastAsia="Times New Roman" w:hAnsi="Arial" w:cs="Times New Roman"/>
          <w:sz w:val="24"/>
          <w:szCs w:val="24"/>
        </w:rPr>
        <w:t>chapter</w:t>
      </w:r>
      <w:r w:rsidR="00F0730A">
        <w:rPr>
          <w:rFonts w:ascii="Arial" w:eastAsia="Times New Roman" w:hAnsi="Arial" w:cs="Times New Roman"/>
          <w:sz w:val="24"/>
          <w:szCs w:val="24"/>
        </w:rPr>
        <w:t xml:space="preserve"> and </w:t>
      </w:r>
      <w:r w:rsidRPr="007C465E">
        <w:rPr>
          <w:rFonts w:ascii="Arial" w:eastAsia="Times New Roman" w:hAnsi="Arial" w:cs="Times New Roman"/>
          <w:sz w:val="24"/>
          <w:szCs w:val="24"/>
        </w:rPr>
        <w:t xml:space="preserve">rated </w:t>
      </w:r>
      <w:r>
        <w:rPr>
          <w:rFonts w:ascii="Arial" w:eastAsia="Times New Roman" w:hAnsi="Arial" w:cs="Times New Roman"/>
          <w:sz w:val="24"/>
          <w:szCs w:val="24"/>
        </w:rPr>
        <w:t>the</w:t>
      </w:r>
      <w:r w:rsidRPr="007C465E">
        <w:rPr>
          <w:rFonts w:ascii="Arial" w:eastAsia="Times New Roman" w:hAnsi="Arial" w:cs="Times New Roman"/>
          <w:sz w:val="24"/>
          <w:szCs w:val="24"/>
        </w:rPr>
        <w:t xml:space="preserve"> functional area as needing </w:t>
      </w:r>
      <w:r>
        <w:rPr>
          <w:rFonts w:ascii="Arial" w:eastAsia="Times New Roman" w:hAnsi="Arial" w:cs="Times New Roman"/>
          <w:sz w:val="24"/>
          <w:szCs w:val="24"/>
        </w:rPr>
        <w:t xml:space="preserve">minor improvement.  In this chapter, one </w:t>
      </w:r>
      <w:r w:rsidRPr="007C465E">
        <w:rPr>
          <w:rFonts w:ascii="Arial" w:eastAsia="Times New Roman" w:hAnsi="Arial" w:cs="Times New Roman"/>
          <w:sz w:val="24"/>
          <w:szCs w:val="24"/>
        </w:rPr>
        <w:t xml:space="preserve">prior recommendation and </w:t>
      </w:r>
      <w:r>
        <w:rPr>
          <w:rFonts w:ascii="Arial" w:eastAsia="Times New Roman" w:hAnsi="Arial" w:cs="Times New Roman"/>
          <w:sz w:val="24"/>
          <w:szCs w:val="24"/>
        </w:rPr>
        <w:t xml:space="preserve">one </w:t>
      </w:r>
      <w:r w:rsidRPr="007C465E">
        <w:rPr>
          <w:rFonts w:ascii="Arial" w:eastAsia="Times New Roman" w:hAnsi="Arial" w:cs="Times New Roman"/>
          <w:sz w:val="24"/>
          <w:szCs w:val="24"/>
        </w:rPr>
        <w:t>prior situation</w:t>
      </w:r>
      <w:r>
        <w:rPr>
          <w:rFonts w:ascii="Arial" w:eastAsia="Times New Roman" w:hAnsi="Arial" w:cs="Times New Roman"/>
          <w:sz w:val="24"/>
          <w:szCs w:val="24"/>
        </w:rPr>
        <w:t xml:space="preserve"> is</w:t>
      </w:r>
      <w:r w:rsidRPr="007C465E">
        <w:rPr>
          <w:rFonts w:ascii="Arial" w:eastAsia="Times New Roman" w:hAnsi="Arial" w:cs="Times New Roman"/>
          <w:sz w:val="24"/>
          <w:szCs w:val="24"/>
        </w:rPr>
        <w:t xml:space="preserve"> reviewed and </w:t>
      </w:r>
      <w:r>
        <w:rPr>
          <w:rFonts w:ascii="Arial" w:eastAsia="Times New Roman" w:hAnsi="Arial" w:cs="Times New Roman"/>
          <w:sz w:val="24"/>
          <w:szCs w:val="24"/>
        </w:rPr>
        <w:t xml:space="preserve">one </w:t>
      </w:r>
      <w:r w:rsidRPr="007C465E">
        <w:rPr>
          <w:rFonts w:ascii="Arial" w:eastAsia="Times New Roman" w:hAnsi="Arial" w:cs="Times New Roman"/>
          <w:sz w:val="24"/>
          <w:szCs w:val="24"/>
        </w:rPr>
        <w:t>follow</w:t>
      </w:r>
      <w:r w:rsidRPr="007C465E">
        <w:rPr>
          <w:rFonts w:ascii="Arial" w:eastAsia="Times New Roman" w:hAnsi="Arial" w:cs="Times New Roman"/>
          <w:sz w:val="24"/>
          <w:szCs w:val="24"/>
        </w:rPr>
        <w:noBreakHyphen/>
        <w:t>up finding</w:t>
      </w:r>
      <w:r>
        <w:rPr>
          <w:rFonts w:ascii="Arial" w:eastAsia="Times New Roman" w:hAnsi="Arial" w:cs="Times New Roman"/>
          <w:sz w:val="24"/>
          <w:szCs w:val="24"/>
        </w:rPr>
        <w:t xml:space="preserve"> and no</w:t>
      </w:r>
      <w:r w:rsidRPr="00F47DF7">
        <w:rPr>
          <w:rFonts w:ascii="Arial" w:eastAsia="Times New Roman" w:hAnsi="Arial" w:cs="Times New Roman"/>
          <w:sz w:val="24"/>
          <w:szCs w:val="24"/>
        </w:rPr>
        <w:t xml:space="preserve"> follow-up recommendation</w:t>
      </w:r>
      <w:r>
        <w:rPr>
          <w:rFonts w:ascii="Arial" w:eastAsia="Times New Roman" w:hAnsi="Arial" w:cs="Times New Roman"/>
          <w:sz w:val="24"/>
          <w:szCs w:val="24"/>
        </w:rPr>
        <w:t xml:space="preserve"> is </w:t>
      </w:r>
      <w:r w:rsidRPr="007C465E">
        <w:rPr>
          <w:rFonts w:ascii="Arial" w:eastAsia="Times New Roman" w:hAnsi="Arial" w:cs="Times New Roman"/>
          <w:sz w:val="24"/>
          <w:szCs w:val="24"/>
        </w:rPr>
        <w:t>presented.</w:t>
      </w:r>
    </w:p>
    <w:p w14:paraId="7E7BFBF6" w14:textId="77777777" w:rsidR="00C52195" w:rsidRDefault="00C52195" w:rsidP="00C52195">
      <w:pPr>
        <w:spacing w:after="0" w:line="20" w:lineRule="atLeast"/>
        <w:contextualSpacing/>
        <w:rPr>
          <w:rFonts w:ascii="Arial" w:eastAsia="Times New Roman" w:hAnsi="Arial" w:cs="Times New Roman"/>
          <w:sz w:val="24"/>
          <w:szCs w:val="24"/>
          <w:highlight w:val="yellow"/>
        </w:rPr>
      </w:pPr>
    </w:p>
    <w:p w14:paraId="757DF5DD" w14:textId="77777777" w:rsidR="00C52195" w:rsidRPr="001D16E2" w:rsidRDefault="00C52195" w:rsidP="00C52195">
      <w:pPr>
        <w:spacing w:after="0" w:line="240" w:lineRule="auto"/>
        <w:jc w:val="center"/>
        <w:rPr>
          <w:rFonts w:ascii="Arial" w:hAnsi="Arial" w:cs="Arial"/>
          <w:b/>
          <w:sz w:val="24"/>
          <w:szCs w:val="24"/>
          <w:u w:val="single"/>
        </w:rPr>
      </w:pPr>
      <w:r>
        <w:rPr>
          <w:rFonts w:ascii="Arial" w:hAnsi="Arial" w:cs="Arial"/>
          <w:b/>
          <w:sz w:val="24"/>
          <w:szCs w:val="24"/>
          <w:u w:val="single"/>
        </w:rPr>
        <w:t xml:space="preserve">Finding No. </w:t>
      </w:r>
      <w:r w:rsidRPr="001D16E2">
        <w:rPr>
          <w:rFonts w:ascii="Arial" w:hAnsi="Arial" w:cs="Arial"/>
          <w:b/>
          <w:sz w:val="24"/>
          <w:szCs w:val="24"/>
          <w:u w:val="single"/>
        </w:rPr>
        <w:t>I</w:t>
      </w:r>
      <w:r>
        <w:rPr>
          <w:rFonts w:ascii="Arial" w:hAnsi="Arial" w:cs="Arial"/>
          <w:b/>
          <w:sz w:val="24"/>
          <w:szCs w:val="24"/>
          <w:u w:val="single"/>
        </w:rPr>
        <w:t>V</w:t>
      </w:r>
      <w:r w:rsidRPr="001D16E2">
        <w:rPr>
          <w:rFonts w:ascii="Arial" w:hAnsi="Arial" w:cs="Arial"/>
          <w:b/>
          <w:sz w:val="24"/>
          <w:szCs w:val="24"/>
          <w:u w:val="single"/>
        </w:rPr>
        <w:t>-1</w:t>
      </w:r>
    </w:p>
    <w:p w14:paraId="7C4E15E5" w14:textId="77777777" w:rsidR="00C52195" w:rsidRPr="00A67D31" w:rsidRDefault="00C52195" w:rsidP="00C52195">
      <w:pPr>
        <w:spacing w:after="0" w:line="20" w:lineRule="atLeast"/>
        <w:contextualSpacing/>
        <w:jc w:val="center"/>
        <w:rPr>
          <w:rFonts w:ascii="Arial" w:eastAsia="Times New Roman" w:hAnsi="Arial" w:cs="Times New Roman"/>
          <w:sz w:val="24"/>
          <w:szCs w:val="24"/>
          <w:highlight w:val="yellow"/>
        </w:rPr>
      </w:pPr>
    </w:p>
    <w:p w14:paraId="5AAAE0B6" w14:textId="77777777" w:rsidR="00C52195" w:rsidRPr="00B910D4" w:rsidRDefault="00C52195" w:rsidP="00C52195">
      <w:pPr>
        <w:spacing w:after="0" w:line="20" w:lineRule="atLeast"/>
        <w:contextualSpacing/>
        <w:rPr>
          <w:rFonts w:ascii="Arial" w:hAnsi="Arial" w:cs="Arial"/>
          <w:sz w:val="24"/>
          <w:szCs w:val="24"/>
        </w:rPr>
      </w:pPr>
      <w:r w:rsidRPr="004D579B">
        <w:rPr>
          <w:rFonts w:ascii="Arial" w:hAnsi="Arial" w:cs="Arial"/>
          <w:b/>
          <w:sz w:val="24"/>
          <w:szCs w:val="24"/>
          <w:u w:val="single"/>
        </w:rPr>
        <w:t>Prior Situation</w:t>
      </w:r>
      <w:r w:rsidRPr="004D579B">
        <w:rPr>
          <w:rFonts w:ascii="Arial" w:hAnsi="Arial" w:cs="Arial"/>
          <w:b/>
          <w:sz w:val="24"/>
          <w:szCs w:val="24"/>
        </w:rPr>
        <w:t xml:space="preserve"> </w:t>
      </w:r>
      <w:r w:rsidRPr="00A67D31">
        <w:rPr>
          <w:rFonts w:ascii="Arial" w:eastAsia="Times New Roman" w:hAnsi="Arial" w:cs="Times New Roman"/>
          <w:sz w:val="24"/>
          <w:szCs w:val="24"/>
        </w:rPr>
        <w:t>–</w:t>
      </w:r>
      <w:r>
        <w:rPr>
          <w:rFonts w:ascii="Arial" w:eastAsia="Times New Roman" w:hAnsi="Arial" w:cs="Times New Roman"/>
          <w:sz w:val="24"/>
          <w:szCs w:val="24"/>
        </w:rPr>
        <w:t xml:space="preserve"> </w:t>
      </w:r>
      <w:r w:rsidRPr="00B910D4">
        <w:rPr>
          <w:rFonts w:ascii="Arial" w:hAnsi="Arial" w:cs="Arial"/>
          <w:sz w:val="24"/>
          <w:szCs w:val="24"/>
        </w:rPr>
        <w:t>FirstEnergy Corporation (FirstEnergy) was solicited by other independent auditing firms with bids for their services after its merger with Allegheny Energy</w:t>
      </w:r>
      <w:r>
        <w:rPr>
          <w:rFonts w:ascii="Arial" w:hAnsi="Arial" w:cs="Arial"/>
          <w:sz w:val="24"/>
          <w:szCs w:val="24"/>
        </w:rPr>
        <w:t xml:space="preserve"> in 2011</w:t>
      </w:r>
      <w:r w:rsidRPr="00B910D4">
        <w:rPr>
          <w:rFonts w:ascii="Arial" w:hAnsi="Arial" w:cs="Arial"/>
          <w:sz w:val="24"/>
          <w:szCs w:val="24"/>
        </w:rPr>
        <w:t xml:space="preserve">.  </w:t>
      </w:r>
      <w:r>
        <w:rPr>
          <w:rFonts w:ascii="Arial" w:hAnsi="Arial" w:cs="Arial"/>
          <w:sz w:val="24"/>
          <w:szCs w:val="24"/>
        </w:rPr>
        <w:t>T</w:t>
      </w:r>
      <w:r w:rsidRPr="00B910D4">
        <w:rPr>
          <w:rFonts w:ascii="Arial" w:hAnsi="Arial" w:cs="Arial"/>
          <w:sz w:val="24"/>
          <w:szCs w:val="24"/>
        </w:rPr>
        <w:t>he existing independent auditor</w:t>
      </w:r>
      <w:r w:rsidR="002C64B4">
        <w:rPr>
          <w:rFonts w:ascii="Arial" w:hAnsi="Arial" w:cs="Arial"/>
          <w:sz w:val="24"/>
          <w:szCs w:val="24"/>
        </w:rPr>
        <w:t>, Pricewaterhouse Coopers, LLP,</w:t>
      </w:r>
      <w:r w:rsidRPr="00B910D4">
        <w:rPr>
          <w:rFonts w:ascii="Arial" w:hAnsi="Arial" w:cs="Arial"/>
          <w:sz w:val="24"/>
          <w:szCs w:val="24"/>
        </w:rPr>
        <w:t xml:space="preserve"> agreed to match the competitors’ prices and was retained by FirstEnergy.  FirstEnergy had not periodically rebid its external audit services after 2011.  The </w:t>
      </w:r>
      <w:r>
        <w:rPr>
          <w:rFonts w:ascii="Arial" w:hAnsi="Arial" w:cs="Arial"/>
          <w:sz w:val="24"/>
          <w:szCs w:val="24"/>
        </w:rPr>
        <w:t>auditors</w:t>
      </w:r>
      <w:r w:rsidRPr="00B910D4">
        <w:rPr>
          <w:rFonts w:ascii="Arial" w:hAnsi="Arial" w:cs="Arial"/>
          <w:sz w:val="24"/>
          <w:szCs w:val="24"/>
        </w:rPr>
        <w:t xml:space="preserve"> felt that FirstEnergy should formally rebid or perform a cost comparison of external audit services every three to five years.  Competitive bidding </w:t>
      </w:r>
      <w:r w:rsidR="00DC3BBC">
        <w:rPr>
          <w:rFonts w:ascii="Arial" w:hAnsi="Arial" w:cs="Arial"/>
          <w:sz w:val="24"/>
          <w:szCs w:val="24"/>
        </w:rPr>
        <w:t>helps</w:t>
      </w:r>
      <w:r w:rsidRPr="00B910D4">
        <w:rPr>
          <w:rFonts w:ascii="Arial" w:hAnsi="Arial" w:cs="Arial"/>
          <w:sz w:val="24"/>
          <w:szCs w:val="24"/>
        </w:rPr>
        <w:t xml:space="preserve"> ensure high quality services at the best overall value.  In addition, it is a way to encourage fresh and more independent perspectives.</w:t>
      </w:r>
    </w:p>
    <w:p w14:paraId="687B7CF5" w14:textId="77777777" w:rsidR="00C52195" w:rsidRDefault="00C52195" w:rsidP="00C52195">
      <w:pPr>
        <w:widowControl w:val="0"/>
        <w:spacing w:after="0" w:line="20" w:lineRule="atLeast"/>
        <w:contextualSpacing/>
        <w:rPr>
          <w:rFonts w:ascii="Arial" w:eastAsia="Times New Roman" w:hAnsi="Arial" w:cs="Arial"/>
          <w:snapToGrid w:val="0"/>
          <w:sz w:val="24"/>
          <w:szCs w:val="24"/>
        </w:rPr>
      </w:pPr>
    </w:p>
    <w:p w14:paraId="6475B0D9" w14:textId="77777777" w:rsidR="00C52195" w:rsidRPr="001E51B5" w:rsidRDefault="00C52195" w:rsidP="00C52195">
      <w:pPr>
        <w:spacing w:after="0" w:line="20" w:lineRule="atLeast"/>
        <w:rPr>
          <w:rFonts w:ascii="Arial" w:hAnsi="Arial" w:cs="Arial"/>
          <w:sz w:val="24"/>
          <w:szCs w:val="24"/>
        </w:rPr>
      </w:pPr>
      <w:r w:rsidRPr="004D579B">
        <w:rPr>
          <w:rFonts w:ascii="Arial" w:eastAsia="Times New Roman" w:hAnsi="Arial" w:cs="Arial"/>
          <w:b/>
          <w:snapToGrid w:val="0"/>
          <w:sz w:val="24"/>
          <w:szCs w:val="20"/>
          <w:u w:val="single"/>
        </w:rPr>
        <w:t>Prior Recommendation</w:t>
      </w:r>
      <w:r w:rsidRPr="004D579B">
        <w:rPr>
          <w:rFonts w:ascii="Arial" w:eastAsia="Times New Roman" w:hAnsi="Arial" w:cs="Arial"/>
          <w:snapToGrid w:val="0"/>
          <w:sz w:val="24"/>
          <w:szCs w:val="20"/>
        </w:rPr>
        <w:t xml:space="preserve"> </w:t>
      </w:r>
      <w:r w:rsidRPr="00A67D31">
        <w:rPr>
          <w:rFonts w:ascii="Arial" w:eastAsia="Times New Roman" w:hAnsi="Arial" w:cs="Times New Roman"/>
          <w:sz w:val="24"/>
          <w:szCs w:val="24"/>
        </w:rPr>
        <w:t>–</w:t>
      </w:r>
      <w:r>
        <w:rPr>
          <w:rFonts w:ascii="Arial" w:eastAsia="Times New Roman" w:hAnsi="Arial" w:cs="Times New Roman"/>
          <w:sz w:val="24"/>
          <w:szCs w:val="24"/>
        </w:rPr>
        <w:t xml:space="preserve"> </w:t>
      </w:r>
      <w:r w:rsidRPr="001E51B5">
        <w:rPr>
          <w:rFonts w:ascii="Arial" w:hAnsi="Arial" w:cs="Arial"/>
          <w:sz w:val="24"/>
          <w:szCs w:val="24"/>
        </w:rPr>
        <w:t>Periodically rebid and/or conduct cost comparisons for external audit services.</w:t>
      </w:r>
    </w:p>
    <w:p w14:paraId="120E599D" w14:textId="77777777" w:rsidR="00C52195" w:rsidRDefault="00C52195" w:rsidP="00C52195">
      <w:pPr>
        <w:widowControl w:val="0"/>
        <w:spacing w:after="0" w:line="20" w:lineRule="atLeast"/>
        <w:contextualSpacing/>
        <w:rPr>
          <w:rFonts w:ascii="Arial" w:eastAsia="Times New Roman" w:hAnsi="Arial" w:cs="Arial"/>
          <w:snapToGrid w:val="0"/>
          <w:sz w:val="24"/>
          <w:szCs w:val="24"/>
        </w:rPr>
      </w:pPr>
    </w:p>
    <w:p w14:paraId="4B909B46" w14:textId="77777777" w:rsidR="00C52195" w:rsidRDefault="00C52195" w:rsidP="00C52195">
      <w:pPr>
        <w:spacing w:after="0" w:line="20" w:lineRule="atLeast"/>
        <w:rPr>
          <w:rFonts w:ascii="Arial" w:hAnsi="Arial" w:cs="Arial"/>
          <w:b/>
          <w:sz w:val="24"/>
          <w:szCs w:val="24"/>
        </w:rPr>
      </w:pPr>
      <w:r w:rsidRPr="00B146D6">
        <w:rPr>
          <w:rFonts w:ascii="Arial" w:eastAsia="Times New Roman" w:hAnsi="Arial" w:cs="Times New Roman"/>
          <w:b/>
          <w:sz w:val="24"/>
          <w:szCs w:val="24"/>
          <w:u w:val="single"/>
        </w:rPr>
        <w:t>Follow-</w:t>
      </w:r>
      <w:r>
        <w:rPr>
          <w:rFonts w:ascii="Arial" w:eastAsia="Times New Roman" w:hAnsi="Arial" w:cs="Times New Roman"/>
          <w:b/>
          <w:sz w:val="24"/>
          <w:szCs w:val="24"/>
          <w:u w:val="single"/>
        </w:rPr>
        <w:t>up Finding and Conclusion</w:t>
      </w:r>
      <w:r w:rsidR="00F65A25" w:rsidRPr="00F65A25">
        <w:rPr>
          <w:rFonts w:ascii="Arial" w:eastAsia="Times New Roman" w:hAnsi="Arial" w:cs="Times New Roman"/>
          <w:b/>
          <w:sz w:val="24"/>
          <w:szCs w:val="24"/>
          <w:u w:val="single"/>
        </w:rPr>
        <w:t xml:space="preserve"> </w:t>
      </w:r>
      <w:r w:rsidR="00F65A25">
        <w:rPr>
          <w:rFonts w:ascii="Arial" w:eastAsia="Times New Roman" w:hAnsi="Arial" w:cs="Times New Roman"/>
          <w:b/>
          <w:sz w:val="24"/>
          <w:szCs w:val="24"/>
          <w:u w:val="single"/>
        </w:rPr>
        <w:t>No. IV</w:t>
      </w:r>
      <w:r w:rsidR="00F65A25" w:rsidRPr="00B146D6">
        <w:rPr>
          <w:rFonts w:ascii="Arial" w:eastAsia="Times New Roman" w:hAnsi="Arial" w:cs="Times New Roman"/>
          <w:b/>
          <w:sz w:val="24"/>
          <w:szCs w:val="24"/>
          <w:u w:val="single"/>
        </w:rPr>
        <w:t>-</w:t>
      </w:r>
      <w:r w:rsidR="00F65A25" w:rsidRPr="00A67D31">
        <w:rPr>
          <w:rFonts w:ascii="Arial" w:eastAsia="Times New Roman" w:hAnsi="Arial" w:cs="Times New Roman"/>
          <w:b/>
          <w:sz w:val="24"/>
          <w:szCs w:val="24"/>
          <w:u w:val="single"/>
        </w:rPr>
        <w:t>1</w:t>
      </w:r>
      <w:r w:rsidRPr="00A67D31">
        <w:rPr>
          <w:rFonts w:ascii="Arial" w:eastAsia="Times New Roman" w:hAnsi="Arial" w:cs="Times New Roman"/>
          <w:b/>
          <w:sz w:val="24"/>
          <w:szCs w:val="24"/>
        </w:rPr>
        <w:t xml:space="preserve"> – </w:t>
      </w:r>
      <w:r w:rsidRPr="00B910D4">
        <w:rPr>
          <w:rFonts w:ascii="Arial" w:hAnsi="Arial" w:cs="Arial"/>
          <w:b/>
          <w:sz w:val="24"/>
          <w:szCs w:val="24"/>
        </w:rPr>
        <w:t>The proposed external audit fees for 2016 were benchmarked against sixteen peer companies and reviewed by management and the Audit Committee when approving the independent auditor.</w:t>
      </w:r>
    </w:p>
    <w:p w14:paraId="05A1B1F6" w14:textId="77777777" w:rsidR="00C52195" w:rsidRPr="00B910D4" w:rsidRDefault="00C52195" w:rsidP="00C52195">
      <w:pPr>
        <w:spacing w:after="0" w:line="20" w:lineRule="atLeast"/>
        <w:jc w:val="both"/>
        <w:rPr>
          <w:rFonts w:ascii="Arial" w:hAnsi="Arial" w:cs="Arial"/>
          <w:sz w:val="24"/>
          <w:szCs w:val="24"/>
        </w:rPr>
      </w:pPr>
    </w:p>
    <w:p w14:paraId="2734E291" w14:textId="77777777" w:rsidR="00C52195" w:rsidRPr="00B910D4" w:rsidRDefault="00C52195" w:rsidP="00C52195">
      <w:pPr>
        <w:spacing w:after="0" w:line="20" w:lineRule="atLeast"/>
        <w:contextualSpacing/>
        <w:rPr>
          <w:rFonts w:ascii="Arial" w:hAnsi="Arial" w:cs="Arial"/>
          <w:sz w:val="24"/>
          <w:szCs w:val="24"/>
        </w:rPr>
      </w:pPr>
      <w:r w:rsidRPr="001D16E2">
        <w:rPr>
          <w:rFonts w:ascii="Arial" w:hAnsi="Arial" w:cs="Arial"/>
          <w:b/>
          <w:sz w:val="24"/>
          <w:szCs w:val="24"/>
          <w:u w:val="single"/>
        </w:rPr>
        <w:t>Current Review</w:t>
      </w:r>
      <w:r w:rsidRPr="001D16E2">
        <w:rPr>
          <w:rFonts w:ascii="Arial" w:hAnsi="Arial" w:cs="Arial"/>
          <w:sz w:val="24"/>
          <w:szCs w:val="24"/>
        </w:rPr>
        <w:t xml:space="preserve"> –</w:t>
      </w:r>
      <w:r w:rsidRPr="000644B8">
        <w:rPr>
          <w:rFonts w:ascii="Arial" w:hAnsi="Arial" w:cs="Arial"/>
          <w:szCs w:val="24"/>
        </w:rPr>
        <w:t xml:space="preserve"> </w:t>
      </w:r>
      <w:r w:rsidRPr="00B910D4">
        <w:rPr>
          <w:rFonts w:ascii="Arial" w:hAnsi="Arial" w:cs="Arial"/>
          <w:sz w:val="24"/>
          <w:szCs w:val="24"/>
        </w:rPr>
        <w:t xml:space="preserve">The Audit Committee is directly responsible for the appointment, compensation and retention of the independent auditor and evaluates the independent auditor’s qualifications, terms of engagement, compensation, performance, and independence.  </w:t>
      </w:r>
      <w:r w:rsidR="00DC3BBC">
        <w:rPr>
          <w:rFonts w:ascii="Arial" w:hAnsi="Arial" w:cs="Arial"/>
          <w:sz w:val="24"/>
          <w:szCs w:val="24"/>
        </w:rPr>
        <w:t>A</w:t>
      </w:r>
      <w:r w:rsidR="00DC3BBC" w:rsidRPr="00B910D4">
        <w:rPr>
          <w:rFonts w:ascii="Arial" w:hAnsi="Arial" w:cs="Arial"/>
          <w:sz w:val="24"/>
          <w:szCs w:val="24"/>
        </w:rPr>
        <w:t>t the May 2016 Audit Committee meeting</w:t>
      </w:r>
      <w:r w:rsidR="00DC3BBC">
        <w:rPr>
          <w:rFonts w:ascii="Arial" w:hAnsi="Arial" w:cs="Arial"/>
          <w:sz w:val="24"/>
          <w:szCs w:val="24"/>
        </w:rPr>
        <w:t>,</w:t>
      </w:r>
      <w:r w:rsidR="00DC3BBC" w:rsidRPr="00B910D4">
        <w:rPr>
          <w:rFonts w:ascii="Arial" w:hAnsi="Arial" w:cs="Arial"/>
          <w:sz w:val="24"/>
          <w:szCs w:val="24"/>
        </w:rPr>
        <w:t xml:space="preserve"> </w:t>
      </w:r>
      <w:r w:rsidRPr="00B910D4">
        <w:rPr>
          <w:rFonts w:ascii="Arial" w:hAnsi="Arial" w:cs="Arial"/>
          <w:sz w:val="24"/>
          <w:szCs w:val="24"/>
        </w:rPr>
        <w:t xml:space="preserve">FirstEnergy’s management team and the Audit Committee reviewed the existing independent auditor’s fee proposal for the 2016 external audit, including cost comparisons with peer companies.  The proposed audit fees were benchmarked against 16 peer companies as shown in </w:t>
      </w:r>
      <w:r>
        <w:rPr>
          <w:rFonts w:ascii="Arial" w:hAnsi="Arial" w:cs="Arial"/>
          <w:sz w:val="24"/>
          <w:szCs w:val="24"/>
        </w:rPr>
        <w:t>E</w:t>
      </w:r>
      <w:r w:rsidRPr="00B910D4">
        <w:rPr>
          <w:rFonts w:ascii="Arial" w:hAnsi="Arial" w:cs="Arial"/>
          <w:sz w:val="24"/>
          <w:szCs w:val="24"/>
        </w:rPr>
        <w:t xml:space="preserve">xhibit </w:t>
      </w:r>
      <w:r>
        <w:rPr>
          <w:rFonts w:ascii="Arial" w:hAnsi="Arial" w:cs="Arial"/>
          <w:sz w:val="24"/>
          <w:szCs w:val="24"/>
        </w:rPr>
        <w:t>IV-1</w:t>
      </w:r>
      <w:r w:rsidRPr="00B910D4">
        <w:rPr>
          <w:rFonts w:ascii="Arial" w:hAnsi="Arial" w:cs="Arial"/>
          <w:sz w:val="24"/>
          <w:szCs w:val="24"/>
        </w:rPr>
        <w:t xml:space="preserve">.  FirstEnergy’s audit fees as a percentage of revenue were </w:t>
      </w:r>
      <w:r w:rsidR="00463301">
        <w:rPr>
          <w:rFonts w:ascii="Arial" w:hAnsi="Arial" w:cs="Arial"/>
          <w:sz w:val="24"/>
          <w:szCs w:val="24"/>
        </w:rPr>
        <w:t xml:space="preserve">lower </w:t>
      </w:r>
      <w:r w:rsidRPr="00B910D4">
        <w:rPr>
          <w:rFonts w:ascii="Arial" w:hAnsi="Arial" w:cs="Arial"/>
          <w:sz w:val="24"/>
          <w:szCs w:val="24"/>
        </w:rPr>
        <w:t xml:space="preserve">for </w:t>
      </w:r>
      <w:r>
        <w:rPr>
          <w:rFonts w:ascii="Arial" w:hAnsi="Arial" w:cs="Arial"/>
          <w:sz w:val="24"/>
          <w:szCs w:val="24"/>
        </w:rPr>
        <w:t xml:space="preserve">2015 </w:t>
      </w:r>
      <w:r w:rsidR="00463301">
        <w:rPr>
          <w:rFonts w:ascii="Arial" w:hAnsi="Arial" w:cs="Arial"/>
          <w:sz w:val="24"/>
          <w:szCs w:val="24"/>
        </w:rPr>
        <w:t xml:space="preserve">and 2014 </w:t>
      </w:r>
      <w:r w:rsidRPr="00B910D4">
        <w:rPr>
          <w:rFonts w:ascii="Arial" w:hAnsi="Arial" w:cs="Arial"/>
          <w:sz w:val="24"/>
          <w:szCs w:val="24"/>
        </w:rPr>
        <w:t xml:space="preserve">compared </w:t>
      </w:r>
      <w:r w:rsidR="00463301">
        <w:rPr>
          <w:rFonts w:ascii="Arial" w:hAnsi="Arial" w:cs="Arial"/>
          <w:sz w:val="24"/>
          <w:szCs w:val="24"/>
        </w:rPr>
        <w:t xml:space="preserve">to the panel average.  </w:t>
      </w:r>
      <w:r w:rsidRPr="00B910D4">
        <w:rPr>
          <w:rFonts w:ascii="Arial" w:hAnsi="Arial" w:cs="Arial"/>
          <w:sz w:val="24"/>
          <w:szCs w:val="24"/>
        </w:rPr>
        <w:t xml:space="preserve">FirstEnergy’s audit fees as a percentage of assets were </w:t>
      </w:r>
      <w:r w:rsidR="00463301">
        <w:rPr>
          <w:rFonts w:ascii="Arial" w:hAnsi="Arial" w:cs="Arial"/>
          <w:sz w:val="24"/>
          <w:szCs w:val="24"/>
        </w:rPr>
        <w:t xml:space="preserve">also lower </w:t>
      </w:r>
      <w:r w:rsidR="00463301" w:rsidRPr="00B910D4">
        <w:rPr>
          <w:rFonts w:ascii="Arial" w:hAnsi="Arial" w:cs="Arial"/>
          <w:sz w:val="24"/>
          <w:szCs w:val="24"/>
        </w:rPr>
        <w:t xml:space="preserve">for </w:t>
      </w:r>
      <w:r w:rsidR="00463301">
        <w:rPr>
          <w:rFonts w:ascii="Arial" w:hAnsi="Arial" w:cs="Arial"/>
          <w:sz w:val="24"/>
          <w:szCs w:val="24"/>
        </w:rPr>
        <w:t xml:space="preserve">2015 and 2014 </w:t>
      </w:r>
      <w:r w:rsidR="00463301" w:rsidRPr="00B910D4">
        <w:rPr>
          <w:rFonts w:ascii="Arial" w:hAnsi="Arial" w:cs="Arial"/>
          <w:sz w:val="24"/>
          <w:szCs w:val="24"/>
        </w:rPr>
        <w:t xml:space="preserve">compared </w:t>
      </w:r>
      <w:r w:rsidR="00463301">
        <w:rPr>
          <w:rFonts w:ascii="Arial" w:hAnsi="Arial" w:cs="Arial"/>
          <w:sz w:val="24"/>
          <w:szCs w:val="24"/>
        </w:rPr>
        <w:t xml:space="preserve">to the panel average. </w:t>
      </w:r>
      <w:r w:rsidRPr="00B910D4">
        <w:rPr>
          <w:rFonts w:ascii="Arial" w:hAnsi="Arial" w:cs="Arial"/>
          <w:sz w:val="24"/>
          <w:szCs w:val="24"/>
        </w:rPr>
        <w:t xml:space="preserve">Consideration was also given to other significant factors such as the level of service and industry expertise.  </w:t>
      </w:r>
      <w:r w:rsidR="00463301">
        <w:rPr>
          <w:rFonts w:ascii="Arial" w:hAnsi="Arial" w:cs="Arial"/>
          <w:sz w:val="24"/>
          <w:szCs w:val="24"/>
        </w:rPr>
        <w:t>The</w:t>
      </w:r>
      <w:r w:rsidRPr="00B910D4">
        <w:rPr>
          <w:rFonts w:ascii="Arial" w:hAnsi="Arial" w:cs="Arial"/>
          <w:sz w:val="24"/>
          <w:szCs w:val="24"/>
        </w:rPr>
        <w:t xml:space="preserve"> discussion included the independent auditor’s personnel, the relationship between management and the independent auditor, and </w:t>
      </w:r>
      <w:r w:rsidR="00420616">
        <w:rPr>
          <w:rFonts w:ascii="Arial" w:hAnsi="Arial" w:cs="Arial"/>
          <w:sz w:val="24"/>
          <w:szCs w:val="24"/>
        </w:rPr>
        <w:t>service</w:t>
      </w:r>
      <w:r w:rsidRPr="00B910D4">
        <w:rPr>
          <w:rFonts w:ascii="Arial" w:hAnsi="Arial" w:cs="Arial"/>
          <w:sz w:val="24"/>
          <w:szCs w:val="24"/>
        </w:rPr>
        <w:t xml:space="preserve"> level</w:t>
      </w:r>
      <w:r w:rsidR="00420616">
        <w:rPr>
          <w:rFonts w:ascii="Arial" w:hAnsi="Arial" w:cs="Arial"/>
          <w:sz w:val="24"/>
          <w:szCs w:val="24"/>
        </w:rPr>
        <w:t>s</w:t>
      </w:r>
      <w:r w:rsidR="00CB384E">
        <w:rPr>
          <w:rFonts w:ascii="Arial" w:hAnsi="Arial" w:cs="Arial"/>
          <w:sz w:val="24"/>
          <w:szCs w:val="24"/>
        </w:rPr>
        <w:t>, including audit scope</w:t>
      </w:r>
      <w:r w:rsidR="00420616">
        <w:rPr>
          <w:rFonts w:ascii="Arial" w:hAnsi="Arial" w:cs="Arial"/>
          <w:sz w:val="24"/>
          <w:szCs w:val="24"/>
        </w:rPr>
        <w:t xml:space="preserve">.  </w:t>
      </w:r>
      <w:r w:rsidRPr="00B910D4">
        <w:rPr>
          <w:rFonts w:ascii="Arial" w:hAnsi="Arial" w:cs="Arial"/>
          <w:sz w:val="24"/>
          <w:szCs w:val="24"/>
        </w:rPr>
        <w:t xml:space="preserve">Based on the review, the Audit Committee </w:t>
      </w:r>
      <w:r w:rsidR="00463301">
        <w:rPr>
          <w:rFonts w:ascii="Arial" w:hAnsi="Arial" w:cs="Arial"/>
          <w:sz w:val="24"/>
          <w:szCs w:val="24"/>
        </w:rPr>
        <w:t>adopted</w:t>
      </w:r>
      <w:r w:rsidR="00463301" w:rsidRPr="00B910D4">
        <w:rPr>
          <w:rFonts w:ascii="Arial" w:hAnsi="Arial" w:cs="Arial"/>
          <w:sz w:val="24"/>
          <w:szCs w:val="24"/>
        </w:rPr>
        <w:t xml:space="preserve"> </w:t>
      </w:r>
      <w:r w:rsidRPr="00B910D4">
        <w:rPr>
          <w:rFonts w:ascii="Arial" w:hAnsi="Arial" w:cs="Arial"/>
          <w:sz w:val="24"/>
          <w:szCs w:val="24"/>
        </w:rPr>
        <w:t xml:space="preserve">management’s recommendation and approved the 2016 audit fees proposed by FirstEnergy’s </w:t>
      </w:r>
      <w:r>
        <w:rPr>
          <w:rFonts w:ascii="Arial" w:hAnsi="Arial" w:cs="Arial"/>
          <w:sz w:val="24"/>
          <w:szCs w:val="24"/>
        </w:rPr>
        <w:t xml:space="preserve">incumbent </w:t>
      </w:r>
      <w:r w:rsidRPr="00B910D4">
        <w:rPr>
          <w:rFonts w:ascii="Arial" w:hAnsi="Arial" w:cs="Arial"/>
          <w:sz w:val="24"/>
          <w:szCs w:val="24"/>
        </w:rPr>
        <w:t xml:space="preserve">independent auditor.  Management indicated it will continue to evaluate the proposed external audit fee each year relative to FirstEnergy’s peer companies and level of service.  </w:t>
      </w:r>
    </w:p>
    <w:p w14:paraId="32E490FF" w14:textId="77777777" w:rsidR="00C52195" w:rsidRDefault="00C52195" w:rsidP="00C52195">
      <w:pPr>
        <w:spacing w:after="0" w:line="20" w:lineRule="atLeast"/>
        <w:jc w:val="both"/>
        <w:rPr>
          <w:rFonts w:ascii="Arial" w:hAnsi="Arial" w:cs="Arial"/>
        </w:rPr>
      </w:pPr>
    </w:p>
    <w:p w14:paraId="059B4295" w14:textId="77777777" w:rsidR="00C52195" w:rsidRDefault="00C52195" w:rsidP="00C52195">
      <w:pPr>
        <w:spacing w:after="0" w:line="20" w:lineRule="atLeast"/>
        <w:jc w:val="center"/>
        <w:rPr>
          <w:rFonts w:ascii="Arial" w:hAnsi="Arial" w:cs="Arial"/>
          <w:b/>
          <w:sz w:val="24"/>
          <w:szCs w:val="24"/>
        </w:rPr>
      </w:pPr>
    </w:p>
    <w:p w14:paraId="30560D98" w14:textId="77777777" w:rsidR="00C52195" w:rsidRDefault="00C52195" w:rsidP="00C52195">
      <w:pPr>
        <w:spacing w:after="0" w:line="20" w:lineRule="atLeast"/>
        <w:jc w:val="center"/>
        <w:rPr>
          <w:rFonts w:ascii="Arial" w:hAnsi="Arial" w:cs="Arial"/>
          <w:b/>
          <w:sz w:val="24"/>
          <w:szCs w:val="24"/>
        </w:rPr>
      </w:pPr>
      <w:r>
        <w:rPr>
          <w:rFonts w:ascii="Arial" w:hAnsi="Arial" w:cs="Arial"/>
          <w:b/>
          <w:sz w:val="24"/>
          <w:szCs w:val="24"/>
        </w:rPr>
        <w:t xml:space="preserve">Exhibit IV – 1 </w:t>
      </w:r>
    </w:p>
    <w:p w14:paraId="70545449" w14:textId="77777777" w:rsidR="00C52195" w:rsidRPr="00B910D4" w:rsidRDefault="00C52195" w:rsidP="00C52195">
      <w:pPr>
        <w:spacing w:after="0" w:line="20" w:lineRule="atLeast"/>
        <w:jc w:val="center"/>
        <w:rPr>
          <w:rFonts w:ascii="Arial" w:hAnsi="Arial" w:cs="Arial"/>
          <w:b/>
          <w:sz w:val="24"/>
          <w:szCs w:val="24"/>
        </w:rPr>
      </w:pPr>
      <w:r w:rsidRPr="00B910D4">
        <w:rPr>
          <w:rFonts w:ascii="Arial" w:hAnsi="Arial" w:cs="Arial"/>
          <w:b/>
          <w:sz w:val="24"/>
          <w:szCs w:val="24"/>
        </w:rPr>
        <w:t>FirstEnergy Corporation</w:t>
      </w:r>
    </w:p>
    <w:p w14:paraId="6E326D14" w14:textId="77777777" w:rsidR="00C52195" w:rsidRPr="00B910D4" w:rsidRDefault="00C52195" w:rsidP="00C52195">
      <w:pPr>
        <w:spacing w:after="0" w:line="20" w:lineRule="atLeast"/>
        <w:jc w:val="center"/>
        <w:rPr>
          <w:rFonts w:ascii="Arial" w:hAnsi="Arial" w:cs="Arial"/>
          <w:b/>
          <w:sz w:val="24"/>
          <w:szCs w:val="24"/>
        </w:rPr>
      </w:pPr>
      <w:r w:rsidRPr="00B910D4">
        <w:rPr>
          <w:rFonts w:ascii="Arial" w:hAnsi="Arial" w:cs="Arial"/>
          <w:b/>
          <w:sz w:val="24"/>
          <w:szCs w:val="24"/>
        </w:rPr>
        <w:t>Audit Fees as a Percent of Revenue, and as a Percent of Assets</w:t>
      </w:r>
    </w:p>
    <w:p w14:paraId="1F8F7C26" w14:textId="77777777" w:rsidR="00C52195" w:rsidRPr="00B910D4" w:rsidRDefault="00C52195" w:rsidP="00C52195">
      <w:pPr>
        <w:spacing w:after="0" w:line="20" w:lineRule="atLeast"/>
        <w:jc w:val="center"/>
        <w:rPr>
          <w:rFonts w:ascii="Arial" w:hAnsi="Arial" w:cs="Arial"/>
          <w:b/>
          <w:sz w:val="24"/>
          <w:szCs w:val="24"/>
        </w:rPr>
      </w:pPr>
      <w:r w:rsidRPr="00B910D4">
        <w:rPr>
          <w:rFonts w:ascii="Arial" w:hAnsi="Arial" w:cs="Arial"/>
          <w:b/>
          <w:sz w:val="24"/>
          <w:szCs w:val="24"/>
        </w:rPr>
        <w:t>For the Years 2014 and 2015</w:t>
      </w:r>
    </w:p>
    <w:p w14:paraId="5E9A7639" w14:textId="77777777" w:rsidR="00C52195" w:rsidRDefault="00C52195" w:rsidP="00C52195">
      <w:pPr>
        <w:spacing w:after="0" w:line="20" w:lineRule="atLeast"/>
        <w:rPr>
          <w:rFonts w:ascii="Arial" w:hAnsi="Arial" w:cs="Arial"/>
        </w:rPr>
      </w:pPr>
    </w:p>
    <w:tbl>
      <w:tblPr>
        <w:tblStyle w:val="TableGrid"/>
        <w:tblW w:w="9640" w:type="dxa"/>
        <w:tblLook w:val="04A0" w:firstRow="1" w:lastRow="0" w:firstColumn="1" w:lastColumn="0" w:noHBand="0" w:noVBand="1"/>
      </w:tblPr>
      <w:tblGrid>
        <w:gridCol w:w="3055"/>
        <w:gridCol w:w="1646"/>
        <w:gridCol w:w="1646"/>
        <w:gridCol w:w="1646"/>
        <w:gridCol w:w="1647"/>
      </w:tblGrid>
      <w:tr w:rsidR="00C52195" w14:paraId="3743D620" w14:textId="77777777" w:rsidTr="00347614">
        <w:tc>
          <w:tcPr>
            <w:tcW w:w="3055" w:type="dxa"/>
            <w:vAlign w:val="bottom"/>
          </w:tcPr>
          <w:p w14:paraId="66B6604A" w14:textId="77777777" w:rsidR="00C52195" w:rsidRPr="00AB74CF" w:rsidRDefault="00C52195" w:rsidP="00347614">
            <w:pPr>
              <w:spacing w:line="20" w:lineRule="atLeast"/>
              <w:jc w:val="center"/>
              <w:rPr>
                <w:b/>
              </w:rPr>
            </w:pPr>
            <w:r w:rsidRPr="00AB74CF">
              <w:rPr>
                <w:b/>
              </w:rPr>
              <w:t>Company</w:t>
            </w:r>
          </w:p>
        </w:tc>
        <w:tc>
          <w:tcPr>
            <w:tcW w:w="3292" w:type="dxa"/>
            <w:gridSpan w:val="2"/>
          </w:tcPr>
          <w:p w14:paraId="7D98F32F" w14:textId="77777777" w:rsidR="00C52195" w:rsidRDefault="00C52195" w:rsidP="00347614">
            <w:pPr>
              <w:spacing w:line="20" w:lineRule="atLeast"/>
              <w:jc w:val="center"/>
              <w:rPr>
                <w:b/>
              </w:rPr>
            </w:pPr>
            <w:r w:rsidRPr="00AB74CF">
              <w:rPr>
                <w:b/>
              </w:rPr>
              <w:t xml:space="preserve">Audit Fees as a </w:t>
            </w:r>
          </w:p>
          <w:p w14:paraId="6FB65F63" w14:textId="77777777" w:rsidR="00C52195" w:rsidRPr="00AB74CF" w:rsidRDefault="00C52195" w:rsidP="00347614">
            <w:pPr>
              <w:spacing w:line="20" w:lineRule="atLeast"/>
              <w:jc w:val="center"/>
              <w:rPr>
                <w:b/>
              </w:rPr>
            </w:pPr>
            <w:r>
              <w:rPr>
                <w:b/>
              </w:rPr>
              <w:t>Percentage</w:t>
            </w:r>
            <w:r w:rsidRPr="00AB74CF">
              <w:rPr>
                <w:b/>
              </w:rPr>
              <w:t xml:space="preserve"> of Revenue</w:t>
            </w:r>
          </w:p>
        </w:tc>
        <w:tc>
          <w:tcPr>
            <w:tcW w:w="3293" w:type="dxa"/>
            <w:gridSpan w:val="2"/>
          </w:tcPr>
          <w:p w14:paraId="427648FC" w14:textId="77777777" w:rsidR="00C52195" w:rsidRDefault="00C52195" w:rsidP="00347614">
            <w:pPr>
              <w:spacing w:line="20" w:lineRule="atLeast"/>
              <w:jc w:val="center"/>
              <w:rPr>
                <w:b/>
              </w:rPr>
            </w:pPr>
            <w:r w:rsidRPr="00AB74CF">
              <w:rPr>
                <w:b/>
              </w:rPr>
              <w:t>Audit Fees as a</w:t>
            </w:r>
            <w:r>
              <w:rPr>
                <w:b/>
              </w:rPr>
              <w:t xml:space="preserve"> </w:t>
            </w:r>
          </w:p>
          <w:p w14:paraId="4EDAB44D" w14:textId="77777777" w:rsidR="00C52195" w:rsidRPr="00AB74CF" w:rsidRDefault="00C52195" w:rsidP="00347614">
            <w:pPr>
              <w:spacing w:line="20" w:lineRule="atLeast"/>
              <w:jc w:val="center"/>
              <w:rPr>
                <w:b/>
              </w:rPr>
            </w:pPr>
            <w:r>
              <w:rPr>
                <w:b/>
              </w:rPr>
              <w:t>Percentage</w:t>
            </w:r>
            <w:r w:rsidRPr="00AB74CF">
              <w:rPr>
                <w:b/>
              </w:rPr>
              <w:t xml:space="preserve"> of Assets</w:t>
            </w:r>
          </w:p>
        </w:tc>
      </w:tr>
      <w:tr w:rsidR="00C52195" w14:paraId="0755E910" w14:textId="77777777" w:rsidTr="00347614">
        <w:tc>
          <w:tcPr>
            <w:tcW w:w="3055" w:type="dxa"/>
          </w:tcPr>
          <w:p w14:paraId="407A4F89" w14:textId="77777777" w:rsidR="00C52195" w:rsidRPr="00AB74CF" w:rsidRDefault="00C52195" w:rsidP="00347614">
            <w:pPr>
              <w:spacing w:line="20" w:lineRule="atLeast"/>
              <w:rPr>
                <w:b/>
              </w:rPr>
            </w:pPr>
          </w:p>
        </w:tc>
        <w:tc>
          <w:tcPr>
            <w:tcW w:w="1646" w:type="dxa"/>
          </w:tcPr>
          <w:p w14:paraId="2F4A004E" w14:textId="77777777" w:rsidR="00C52195" w:rsidRPr="00AB74CF" w:rsidRDefault="00C52195" w:rsidP="00347614">
            <w:pPr>
              <w:spacing w:line="20" w:lineRule="atLeast"/>
              <w:jc w:val="center"/>
              <w:rPr>
                <w:b/>
              </w:rPr>
            </w:pPr>
            <w:r>
              <w:rPr>
                <w:b/>
              </w:rPr>
              <w:t>2014</w:t>
            </w:r>
          </w:p>
        </w:tc>
        <w:tc>
          <w:tcPr>
            <w:tcW w:w="1646" w:type="dxa"/>
          </w:tcPr>
          <w:p w14:paraId="44FA7964" w14:textId="77777777" w:rsidR="00C52195" w:rsidRPr="00AB74CF" w:rsidRDefault="00C52195" w:rsidP="00347614">
            <w:pPr>
              <w:spacing w:line="20" w:lineRule="atLeast"/>
              <w:jc w:val="center"/>
              <w:rPr>
                <w:b/>
              </w:rPr>
            </w:pPr>
            <w:r>
              <w:rPr>
                <w:b/>
              </w:rPr>
              <w:t>2015</w:t>
            </w:r>
          </w:p>
        </w:tc>
        <w:tc>
          <w:tcPr>
            <w:tcW w:w="1646" w:type="dxa"/>
          </w:tcPr>
          <w:p w14:paraId="580FCEFD" w14:textId="77777777" w:rsidR="00C52195" w:rsidRPr="00AB74CF" w:rsidRDefault="00C52195" w:rsidP="00347614">
            <w:pPr>
              <w:spacing w:line="20" w:lineRule="atLeast"/>
              <w:jc w:val="center"/>
              <w:rPr>
                <w:b/>
              </w:rPr>
            </w:pPr>
            <w:r>
              <w:rPr>
                <w:b/>
              </w:rPr>
              <w:t>2014</w:t>
            </w:r>
          </w:p>
        </w:tc>
        <w:tc>
          <w:tcPr>
            <w:tcW w:w="1647" w:type="dxa"/>
          </w:tcPr>
          <w:p w14:paraId="71849BB2" w14:textId="77777777" w:rsidR="00C52195" w:rsidRPr="00AB74CF" w:rsidRDefault="00C52195" w:rsidP="00347614">
            <w:pPr>
              <w:spacing w:line="20" w:lineRule="atLeast"/>
              <w:jc w:val="center"/>
              <w:rPr>
                <w:b/>
              </w:rPr>
            </w:pPr>
            <w:r>
              <w:rPr>
                <w:b/>
              </w:rPr>
              <w:t>2015</w:t>
            </w:r>
          </w:p>
        </w:tc>
      </w:tr>
      <w:tr w:rsidR="00C52195" w14:paraId="54DA9A3B" w14:textId="77777777" w:rsidTr="00347614">
        <w:tc>
          <w:tcPr>
            <w:tcW w:w="3055" w:type="dxa"/>
          </w:tcPr>
          <w:p w14:paraId="05DAC5C9" w14:textId="77777777" w:rsidR="00C52195" w:rsidRPr="002E00AC" w:rsidRDefault="00C52195" w:rsidP="00347614">
            <w:pPr>
              <w:spacing w:line="20" w:lineRule="atLeast"/>
              <w:rPr>
                <w:b/>
              </w:rPr>
            </w:pPr>
            <w:r w:rsidRPr="002E00AC">
              <w:rPr>
                <w:b/>
              </w:rPr>
              <w:t>FirstEnergy</w:t>
            </w:r>
          </w:p>
        </w:tc>
        <w:tc>
          <w:tcPr>
            <w:tcW w:w="1646" w:type="dxa"/>
          </w:tcPr>
          <w:p w14:paraId="34E261A0" w14:textId="77777777" w:rsidR="00C52195" w:rsidRPr="002E00AC" w:rsidRDefault="00C52195" w:rsidP="00347614">
            <w:pPr>
              <w:spacing w:line="20" w:lineRule="atLeast"/>
              <w:jc w:val="center"/>
              <w:rPr>
                <w:b/>
              </w:rPr>
            </w:pPr>
            <w:r w:rsidRPr="002E00AC">
              <w:rPr>
                <w:b/>
              </w:rPr>
              <w:t>0.051%</w:t>
            </w:r>
          </w:p>
        </w:tc>
        <w:tc>
          <w:tcPr>
            <w:tcW w:w="1646" w:type="dxa"/>
          </w:tcPr>
          <w:p w14:paraId="6BC7F40A" w14:textId="77777777" w:rsidR="00C52195" w:rsidRPr="002E00AC" w:rsidRDefault="00C52195" w:rsidP="00347614">
            <w:pPr>
              <w:spacing w:line="20" w:lineRule="atLeast"/>
              <w:jc w:val="center"/>
              <w:rPr>
                <w:b/>
              </w:rPr>
            </w:pPr>
            <w:r>
              <w:rPr>
                <w:b/>
              </w:rPr>
              <w:t>0.051%</w:t>
            </w:r>
          </w:p>
        </w:tc>
        <w:tc>
          <w:tcPr>
            <w:tcW w:w="1646" w:type="dxa"/>
          </w:tcPr>
          <w:p w14:paraId="70EA1752" w14:textId="77777777" w:rsidR="00C52195" w:rsidRPr="002E00AC" w:rsidRDefault="00C52195" w:rsidP="00347614">
            <w:pPr>
              <w:spacing w:line="20" w:lineRule="atLeast"/>
              <w:jc w:val="center"/>
              <w:rPr>
                <w:b/>
              </w:rPr>
            </w:pPr>
            <w:r>
              <w:rPr>
                <w:b/>
              </w:rPr>
              <w:t>0.015%</w:t>
            </w:r>
          </w:p>
        </w:tc>
        <w:tc>
          <w:tcPr>
            <w:tcW w:w="1647" w:type="dxa"/>
          </w:tcPr>
          <w:p w14:paraId="5F8D9003" w14:textId="77777777" w:rsidR="00C52195" w:rsidRPr="002E00AC" w:rsidRDefault="00C52195" w:rsidP="00347614">
            <w:pPr>
              <w:spacing w:line="20" w:lineRule="atLeast"/>
              <w:jc w:val="center"/>
              <w:rPr>
                <w:b/>
              </w:rPr>
            </w:pPr>
            <w:r>
              <w:rPr>
                <w:b/>
              </w:rPr>
              <w:t>0.015%</w:t>
            </w:r>
          </w:p>
        </w:tc>
      </w:tr>
      <w:tr w:rsidR="00C52195" w14:paraId="7568B5ED" w14:textId="77777777" w:rsidTr="00347614">
        <w:trPr>
          <w:trHeight w:val="20"/>
        </w:trPr>
        <w:tc>
          <w:tcPr>
            <w:tcW w:w="3055" w:type="dxa"/>
          </w:tcPr>
          <w:p w14:paraId="615BACC9" w14:textId="77777777" w:rsidR="00C52195" w:rsidRPr="002E00AC" w:rsidRDefault="00C52195" w:rsidP="00347614">
            <w:pPr>
              <w:spacing w:line="20" w:lineRule="atLeast"/>
              <w:rPr>
                <w:b/>
              </w:rPr>
            </w:pPr>
            <w:r>
              <w:rPr>
                <w:b/>
              </w:rPr>
              <w:t xml:space="preserve">Panel </w:t>
            </w:r>
            <w:r w:rsidRPr="002E00AC">
              <w:rPr>
                <w:b/>
              </w:rPr>
              <w:t>Average</w:t>
            </w:r>
          </w:p>
        </w:tc>
        <w:tc>
          <w:tcPr>
            <w:tcW w:w="1646" w:type="dxa"/>
          </w:tcPr>
          <w:p w14:paraId="150095AE" w14:textId="77777777" w:rsidR="00C52195" w:rsidRPr="002E00AC" w:rsidRDefault="00C52195" w:rsidP="00347614">
            <w:pPr>
              <w:spacing w:line="20" w:lineRule="atLeast"/>
              <w:jc w:val="center"/>
              <w:rPr>
                <w:b/>
              </w:rPr>
            </w:pPr>
            <w:r w:rsidRPr="002E00AC">
              <w:rPr>
                <w:b/>
              </w:rPr>
              <w:t>0.06</w:t>
            </w:r>
            <w:r>
              <w:rPr>
                <w:b/>
              </w:rPr>
              <w:t>1</w:t>
            </w:r>
            <w:r w:rsidRPr="002E00AC">
              <w:rPr>
                <w:b/>
              </w:rPr>
              <w:t>%</w:t>
            </w:r>
          </w:p>
        </w:tc>
        <w:tc>
          <w:tcPr>
            <w:tcW w:w="1646" w:type="dxa"/>
          </w:tcPr>
          <w:p w14:paraId="527AF4F3" w14:textId="77777777" w:rsidR="00C52195" w:rsidRPr="002E00AC" w:rsidRDefault="00C52195" w:rsidP="00347614">
            <w:pPr>
              <w:spacing w:line="20" w:lineRule="atLeast"/>
              <w:jc w:val="center"/>
              <w:rPr>
                <w:b/>
              </w:rPr>
            </w:pPr>
            <w:r w:rsidRPr="002E00AC">
              <w:rPr>
                <w:b/>
              </w:rPr>
              <w:t>0.06</w:t>
            </w:r>
            <w:r>
              <w:rPr>
                <w:b/>
              </w:rPr>
              <w:t>7</w:t>
            </w:r>
            <w:r w:rsidRPr="002E00AC">
              <w:rPr>
                <w:b/>
              </w:rPr>
              <w:t>%</w:t>
            </w:r>
          </w:p>
        </w:tc>
        <w:tc>
          <w:tcPr>
            <w:tcW w:w="1646" w:type="dxa"/>
          </w:tcPr>
          <w:p w14:paraId="5213E5B8" w14:textId="77777777" w:rsidR="00C52195" w:rsidRPr="002E00AC" w:rsidRDefault="00C52195" w:rsidP="00347614">
            <w:pPr>
              <w:spacing w:line="20" w:lineRule="atLeast"/>
              <w:jc w:val="center"/>
              <w:rPr>
                <w:b/>
              </w:rPr>
            </w:pPr>
            <w:r w:rsidRPr="002E00AC">
              <w:rPr>
                <w:b/>
              </w:rPr>
              <w:t>0.01</w:t>
            </w:r>
            <w:r>
              <w:rPr>
                <w:b/>
              </w:rPr>
              <w:t>8</w:t>
            </w:r>
            <w:r w:rsidRPr="002E00AC">
              <w:rPr>
                <w:b/>
              </w:rPr>
              <w:t>%</w:t>
            </w:r>
          </w:p>
        </w:tc>
        <w:tc>
          <w:tcPr>
            <w:tcW w:w="1647" w:type="dxa"/>
          </w:tcPr>
          <w:p w14:paraId="60609CB5" w14:textId="77777777" w:rsidR="00C52195" w:rsidRPr="002E00AC" w:rsidRDefault="00C52195" w:rsidP="00347614">
            <w:pPr>
              <w:spacing w:line="20" w:lineRule="atLeast"/>
              <w:jc w:val="center"/>
              <w:rPr>
                <w:b/>
              </w:rPr>
            </w:pPr>
            <w:r w:rsidRPr="002E00AC">
              <w:rPr>
                <w:b/>
              </w:rPr>
              <w:t>0.01</w:t>
            </w:r>
            <w:r>
              <w:rPr>
                <w:b/>
              </w:rPr>
              <w:t>7</w:t>
            </w:r>
            <w:r w:rsidRPr="002E00AC">
              <w:rPr>
                <w:b/>
              </w:rPr>
              <w:t>%</w:t>
            </w:r>
          </w:p>
        </w:tc>
      </w:tr>
    </w:tbl>
    <w:p w14:paraId="4D182DB2" w14:textId="77777777" w:rsidR="00C52195" w:rsidRPr="00162307" w:rsidRDefault="00C52195" w:rsidP="00C52195">
      <w:pPr>
        <w:spacing w:after="0" w:line="20" w:lineRule="atLeast"/>
        <w:jc w:val="both"/>
        <w:rPr>
          <w:rFonts w:ascii="Arial" w:hAnsi="Arial" w:cs="Arial"/>
          <w:sz w:val="18"/>
          <w:szCs w:val="18"/>
        </w:rPr>
      </w:pPr>
      <w:r w:rsidRPr="00DC7C44">
        <w:rPr>
          <w:rFonts w:ascii="Arial" w:hAnsi="Arial" w:cs="Arial"/>
          <w:sz w:val="18"/>
          <w:szCs w:val="18"/>
        </w:rPr>
        <w:t xml:space="preserve">Source: Data Request </w:t>
      </w:r>
      <w:r>
        <w:rPr>
          <w:rFonts w:ascii="Arial" w:hAnsi="Arial" w:cs="Arial"/>
          <w:sz w:val="18"/>
          <w:szCs w:val="18"/>
        </w:rPr>
        <w:t>CG-2</w:t>
      </w:r>
    </w:p>
    <w:p w14:paraId="339DF562" w14:textId="77777777" w:rsidR="00C52195" w:rsidRDefault="00C52195" w:rsidP="00C52195">
      <w:pPr>
        <w:spacing w:after="0" w:line="20" w:lineRule="atLeast"/>
        <w:jc w:val="both"/>
        <w:rPr>
          <w:rFonts w:ascii="Arial" w:hAnsi="Arial" w:cs="Arial"/>
        </w:rPr>
      </w:pPr>
    </w:p>
    <w:p w14:paraId="4DDB83C5" w14:textId="77777777" w:rsidR="00C52195" w:rsidRPr="00B910D4" w:rsidRDefault="00C52195" w:rsidP="00C52195">
      <w:pPr>
        <w:spacing w:after="0" w:line="20" w:lineRule="atLeast"/>
        <w:ind w:firstLine="720"/>
        <w:contextualSpacing/>
        <w:rPr>
          <w:rFonts w:ascii="Arial" w:hAnsi="Arial" w:cs="Arial"/>
          <w:sz w:val="24"/>
          <w:szCs w:val="24"/>
        </w:rPr>
      </w:pPr>
      <w:r w:rsidRPr="00B910D4">
        <w:rPr>
          <w:rFonts w:ascii="Arial" w:hAnsi="Arial" w:cs="Arial"/>
          <w:sz w:val="24"/>
          <w:szCs w:val="24"/>
        </w:rPr>
        <w:t xml:space="preserve">The </w:t>
      </w:r>
      <w:r>
        <w:rPr>
          <w:rFonts w:ascii="Arial" w:hAnsi="Arial" w:cs="Arial"/>
          <w:sz w:val="24"/>
          <w:szCs w:val="24"/>
        </w:rPr>
        <w:t>auditors</w:t>
      </w:r>
      <w:r w:rsidRPr="00B910D4">
        <w:rPr>
          <w:rFonts w:ascii="Arial" w:hAnsi="Arial" w:cs="Arial"/>
          <w:sz w:val="24"/>
          <w:szCs w:val="24"/>
        </w:rPr>
        <w:t xml:space="preserve"> found the proposed 2016 external audit fees to be reasonable based on the comparison against the sixteen peer companies.</w:t>
      </w:r>
      <w:r>
        <w:rPr>
          <w:rFonts w:ascii="Arial" w:hAnsi="Arial" w:cs="Arial"/>
          <w:sz w:val="24"/>
          <w:szCs w:val="24"/>
        </w:rPr>
        <w:t xml:space="preserve">  </w:t>
      </w:r>
      <w:r w:rsidR="001B5159">
        <w:rPr>
          <w:rFonts w:ascii="Arial" w:hAnsi="Arial" w:cs="Arial"/>
          <w:sz w:val="24"/>
          <w:szCs w:val="24"/>
        </w:rPr>
        <w:t>A</w:t>
      </w:r>
      <w:r w:rsidRPr="00B910D4">
        <w:rPr>
          <w:rFonts w:ascii="Arial" w:hAnsi="Arial" w:cs="Arial"/>
          <w:sz w:val="24"/>
          <w:szCs w:val="24"/>
        </w:rPr>
        <w:t xml:space="preserve">udit fees decreased by </w:t>
      </w:r>
      <w:r>
        <w:rPr>
          <w:rFonts w:ascii="Arial" w:hAnsi="Arial" w:cs="Arial"/>
          <w:sz w:val="24"/>
          <w:szCs w:val="24"/>
        </w:rPr>
        <w:t xml:space="preserve">approximately </w:t>
      </w:r>
      <w:r w:rsidRPr="00B910D4">
        <w:rPr>
          <w:rFonts w:ascii="Arial" w:hAnsi="Arial" w:cs="Arial"/>
          <w:sz w:val="24"/>
          <w:szCs w:val="24"/>
        </w:rPr>
        <w:t>$331,000 (4.3%) over the period 2014 through 2016.</w:t>
      </w:r>
    </w:p>
    <w:p w14:paraId="795B0E3B" w14:textId="77777777" w:rsidR="00C52195" w:rsidRDefault="00C52195" w:rsidP="00C52195">
      <w:pPr>
        <w:spacing w:after="0" w:line="20" w:lineRule="atLeast"/>
        <w:jc w:val="both"/>
        <w:rPr>
          <w:rFonts w:ascii="Arial" w:hAnsi="Arial" w:cs="Arial"/>
        </w:rPr>
      </w:pPr>
    </w:p>
    <w:p w14:paraId="353DDC54" w14:textId="77777777" w:rsidR="00C52195" w:rsidRPr="005E02B0" w:rsidRDefault="00C52195" w:rsidP="00C52195">
      <w:pPr>
        <w:spacing w:after="0" w:line="20" w:lineRule="atLeast"/>
        <w:jc w:val="both"/>
        <w:rPr>
          <w:rFonts w:ascii="Arial" w:hAnsi="Arial" w:cs="Arial"/>
          <w:b/>
          <w:sz w:val="24"/>
          <w:szCs w:val="24"/>
        </w:rPr>
      </w:pPr>
      <w:r w:rsidRPr="00C208C1">
        <w:rPr>
          <w:rFonts w:ascii="Arial" w:eastAsia="Times New Roman" w:hAnsi="Arial" w:cs="Arial"/>
          <w:b/>
          <w:snapToGrid w:val="0"/>
          <w:sz w:val="24"/>
          <w:szCs w:val="20"/>
          <w:u w:val="single"/>
        </w:rPr>
        <w:t>Follow-up Recommendation</w:t>
      </w:r>
      <w:r w:rsidRPr="00C208C1">
        <w:rPr>
          <w:rFonts w:ascii="Arial" w:eastAsia="Times New Roman" w:hAnsi="Arial" w:cs="Arial"/>
          <w:b/>
          <w:snapToGrid w:val="0"/>
          <w:sz w:val="24"/>
          <w:szCs w:val="20"/>
        </w:rPr>
        <w:t xml:space="preserve"> – </w:t>
      </w:r>
      <w:r w:rsidRPr="00B910D4">
        <w:rPr>
          <w:rFonts w:ascii="Arial" w:hAnsi="Arial" w:cs="Arial"/>
          <w:b/>
          <w:sz w:val="24"/>
          <w:szCs w:val="24"/>
        </w:rPr>
        <w:t>None</w:t>
      </w:r>
    </w:p>
    <w:p w14:paraId="213A55C3" w14:textId="77777777" w:rsidR="00DF6F28" w:rsidRDefault="00DF6F28">
      <w:pPr>
        <w:rPr>
          <w:rFonts w:ascii="Arial" w:hAnsi="Arial" w:cs="Arial"/>
          <w:b/>
          <w:sz w:val="24"/>
          <w:szCs w:val="24"/>
        </w:rPr>
      </w:pPr>
      <w:r>
        <w:rPr>
          <w:rFonts w:ascii="Arial" w:hAnsi="Arial" w:cs="Arial"/>
          <w:b/>
          <w:sz w:val="24"/>
          <w:szCs w:val="24"/>
        </w:rPr>
        <w:br w:type="page"/>
      </w:r>
    </w:p>
    <w:p w14:paraId="55F8EC1C" w14:textId="77777777" w:rsidR="00DF6F28" w:rsidRPr="003D39B7" w:rsidRDefault="00DF6F28" w:rsidP="00DF6F28">
      <w:pPr>
        <w:spacing w:after="0" w:line="20" w:lineRule="atLeast"/>
        <w:contextualSpacing/>
        <w:jc w:val="center"/>
        <w:rPr>
          <w:rFonts w:ascii="Arial" w:eastAsia="Times New Roman" w:hAnsi="Arial" w:cs="Times New Roman"/>
          <w:b/>
          <w:sz w:val="26"/>
          <w:szCs w:val="26"/>
        </w:rPr>
      </w:pPr>
      <w:r>
        <w:rPr>
          <w:rFonts w:ascii="Arial" w:eastAsia="Times New Roman" w:hAnsi="Arial" w:cs="Times New Roman"/>
          <w:b/>
          <w:sz w:val="26"/>
          <w:szCs w:val="26"/>
        </w:rPr>
        <w:t>V. AFFILIATED RELATIONSHIPS AND COST ALLOCATIONS</w:t>
      </w:r>
    </w:p>
    <w:p w14:paraId="4986D8F2" w14:textId="77777777" w:rsidR="00DF6F28" w:rsidRPr="003D39B7" w:rsidRDefault="00DF6F28" w:rsidP="00DF6F28">
      <w:pPr>
        <w:spacing w:after="0" w:line="20" w:lineRule="atLeast"/>
        <w:contextualSpacing/>
        <w:rPr>
          <w:rFonts w:ascii="Arial" w:eastAsia="Times New Roman" w:hAnsi="Arial" w:cs="Times New Roman"/>
          <w:sz w:val="24"/>
          <w:szCs w:val="20"/>
        </w:rPr>
      </w:pPr>
    </w:p>
    <w:p w14:paraId="553D8F88" w14:textId="77777777" w:rsidR="00DF6F28" w:rsidRDefault="00DF6F28" w:rsidP="00DF6F28">
      <w:pPr>
        <w:spacing w:after="0" w:line="20" w:lineRule="atLeast"/>
        <w:contextualSpacing/>
        <w:rPr>
          <w:rFonts w:ascii="Arial" w:eastAsia="Times New Roman" w:hAnsi="Arial" w:cs="Times New Roman"/>
          <w:sz w:val="24"/>
          <w:szCs w:val="20"/>
        </w:rPr>
      </w:pPr>
    </w:p>
    <w:p w14:paraId="35B84985" w14:textId="77777777" w:rsidR="00DF6F28" w:rsidRDefault="00DF6F28" w:rsidP="00DF6F28">
      <w:pPr>
        <w:spacing w:after="0" w:line="20" w:lineRule="atLeast"/>
        <w:contextualSpacing/>
        <w:rPr>
          <w:rFonts w:ascii="Arial" w:eastAsia="Times New Roman" w:hAnsi="Arial" w:cs="Times New Roman"/>
          <w:sz w:val="24"/>
          <w:szCs w:val="24"/>
        </w:rPr>
      </w:pPr>
      <w:r w:rsidRPr="00A67D31">
        <w:rPr>
          <w:rFonts w:ascii="Arial" w:eastAsia="Times New Roman" w:hAnsi="Arial" w:cs="Times New Roman"/>
          <w:b/>
          <w:sz w:val="24"/>
          <w:szCs w:val="24"/>
          <w:u w:val="single"/>
        </w:rPr>
        <w:t>Background</w:t>
      </w:r>
      <w:r w:rsidRPr="004D579B">
        <w:rPr>
          <w:rFonts w:ascii="Arial" w:eastAsia="Times New Roman" w:hAnsi="Arial" w:cs="Times New Roman"/>
          <w:sz w:val="24"/>
          <w:szCs w:val="24"/>
        </w:rPr>
        <w:t xml:space="preserve"> </w:t>
      </w:r>
      <w:r w:rsidRPr="00A67D31">
        <w:rPr>
          <w:rFonts w:ascii="Arial" w:eastAsia="Times New Roman" w:hAnsi="Arial" w:cs="Times New Roman"/>
          <w:sz w:val="24"/>
          <w:szCs w:val="24"/>
        </w:rPr>
        <w:t xml:space="preserve">– </w:t>
      </w:r>
      <w:r w:rsidR="004B142C">
        <w:rPr>
          <w:rFonts w:ascii="Arial" w:eastAsia="Times New Roman" w:hAnsi="Arial" w:cs="Times New Roman"/>
          <w:sz w:val="24"/>
          <w:szCs w:val="24"/>
        </w:rPr>
        <w:t xml:space="preserve">As part of normal business activities, the FE-PA companies conduct business with FirstEnergy and its subsidiaries, including FirstEnergy Service Company (FESC), which provides various administrative and general services for the FE-PA companies and other affiliated companies.  </w:t>
      </w:r>
      <w:r w:rsidR="004D2824" w:rsidRPr="007C465E">
        <w:rPr>
          <w:rFonts w:ascii="Arial" w:eastAsia="Times New Roman" w:hAnsi="Arial" w:cs="Times New Roman"/>
          <w:sz w:val="24"/>
          <w:szCs w:val="24"/>
        </w:rPr>
        <w:t xml:space="preserve">The </w:t>
      </w:r>
      <w:r w:rsidR="004D2824">
        <w:rPr>
          <w:rFonts w:ascii="Arial" w:eastAsia="Times New Roman" w:hAnsi="Arial" w:cs="Times New Roman"/>
          <w:sz w:val="24"/>
          <w:szCs w:val="24"/>
        </w:rPr>
        <w:t xml:space="preserve">2014 </w:t>
      </w:r>
      <w:r w:rsidR="004D2824" w:rsidRPr="007C465E">
        <w:rPr>
          <w:rFonts w:ascii="Arial" w:eastAsia="Times New Roman" w:hAnsi="Arial" w:cs="Times New Roman"/>
          <w:sz w:val="24"/>
          <w:szCs w:val="24"/>
        </w:rPr>
        <w:t xml:space="preserve">Focused Management and Operations Audit of </w:t>
      </w:r>
      <w:r w:rsidR="004D2824">
        <w:rPr>
          <w:rFonts w:ascii="Arial" w:eastAsia="Times New Roman" w:hAnsi="Arial" w:cs="Times New Roman"/>
          <w:sz w:val="24"/>
          <w:szCs w:val="24"/>
        </w:rPr>
        <w:t xml:space="preserve">the </w:t>
      </w:r>
      <w:r w:rsidR="00DC3D9B">
        <w:rPr>
          <w:rFonts w:ascii="Arial" w:eastAsia="Times New Roman" w:hAnsi="Arial" w:cs="Times New Roman"/>
          <w:sz w:val="24"/>
          <w:szCs w:val="24"/>
        </w:rPr>
        <w:t>FE-PA companies</w:t>
      </w:r>
      <w:r w:rsidR="004D2824">
        <w:rPr>
          <w:rFonts w:ascii="Arial" w:eastAsia="Times New Roman" w:hAnsi="Arial" w:cs="Times New Roman"/>
          <w:sz w:val="24"/>
          <w:szCs w:val="24"/>
        </w:rPr>
        <w:t xml:space="preserve"> </w:t>
      </w:r>
      <w:r w:rsidR="00F0730A">
        <w:rPr>
          <w:rFonts w:ascii="Arial" w:eastAsia="Times New Roman" w:hAnsi="Arial" w:cs="Times New Roman"/>
          <w:sz w:val="24"/>
          <w:szCs w:val="24"/>
        </w:rPr>
        <w:t xml:space="preserve">examined the Affiliated Relationships and Cost Allocations of the FE-PA </w:t>
      </w:r>
      <w:r w:rsidR="004D2824">
        <w:rPr>
          <w:rFonts w:ascii="Arial" w:eastAsia="Times New Roman" w:hAnsi="Arial" w:cs="Times New Roman"/>
          <w:sz w:val="24"/>
          <w:szCs w:val="24"/>
        </w:rPr>
        <w:t>c</w:t>
      </w:r>
      <w:r w:rsidR="00F0730A">
        <w:rPr>
          <w:rFonts w:ascii="Arial" w:eastAsia="Times New Roman" w:hAnsi="Arial" w:cs="Times New Roman"/>
          <w:sz w:val="24"/>
          <w:szCs w:val="24"/>
        </w:rPr>
        <w:t>ompanies</w:t>
      </w:r>
      <w:r w:rsidR="00F0730A">
        <w:rPr>
          <w:rFonts w:ascii="Arial" w:hAnsi="Arial" w:cs="Arial"/>
          <w:sz w:val="24"/>
          <w:szCs w:val="24"/>
        </w:rPr>
        <w:t xml:space="preserve">, </w:t>
      </w:r>
      <w:r w:rsidR="004D2824">
        <w:rPr>
          <w:rFonts w:ascii="Arial" w:hAnsi="Arial" w:cs="Arial"/>
          <w:sz w:val="24"/>
          <w:szCs w:val="24"/>
        </w:rPr>
        <w:t>including</w:t>
      </w:r>
      <w:r w:rsidR="00F0730A" w:rsidRPr="00C209CF">
        <w:rPr>
          <w:rFonts w:ascii="Arial" w:hAnsi="Arial" w:cs="Arial"/>
          <w:sz w:val="24"/>
          <w:szCs w:val="24"/>
        </w:rPr>
        <w:t xml:space="preserve"> a review of </w:t>
      </w:r>
      <w:r w:rsidR="00F0730A" w:rsidRPr="005A0196">
        <w:rPr>
          <w:rFonts w:ascii="Arial" w:eastAsiaTheme="minorEastAsia" w:hAnsi="Arial" w:cs="Arial"/>
          <w:color w:val="000000"/>
          <w:sz w:val="24"/>
          <w:szCs w:val="24"/>
        </w:rPr>
        <w:t>the cost allocation methodologies; affiliated interest agreements and inter-company transactions;</w:t>
      </w:r>
      <w:r w:rsidR="00F0730A">
        <w:rPr>
          <w:rFonts w:ascii="Arial" w:eastAsiaTheme="minorEastAsia" w:hAnsi="Arial" w:cs="Arial"/>
          <w:color w:val="000000"/>
          <w:sz w:val="24"/>
          <w:szCs w:val="24"/>
        </w:rPr>
        <w:t xml:space="preserve"> </w:t>
      </w:r>
      <w:r w:rsidR="00F0730A" w:rsidRPr="005A0196">
        <w:rPr>
          <w:rFonts w:ascii="Arial" w:eastAsiaTheme="minorEastAsia" w:hAnsi="Arial" w:cs="Arial"/>
          <w:color w:val="000000"/>
          <w:sz w:val="24"/>
          <w:szCs w:val="24"/>
        </w:rPr>
        <w:t xml:space="preserve">compliance with existing cost allocation policies, practices, and procedures; </w:t>
      </w:r>
      <w:r w:rsidR="00F0730A" w:rsidRPr="00B171ED">
        <w:rPr>
          <w:rFonts w:ascii="Arial" w:eastAsiaTheme="minorEastAsia" w:hAnsi="Arial" w:cs="Arial"/>
          <w:color w:val="000000"/>
          <w:sz w:val="24"/>
          <w:szCs w:val="24"/>
        </w:rPr>
        <w:t>ring</w:t>
      </w:r>
      <w:r w:rsidR="00F0730A">
        <w:rPr>
          <w:rFonts w:ascii="Arial" w:eastAsiaTheme="minorEastAsia" w:hAnsi="Arial" w:cs="Arial"/>
          <w:color w:val="000000"/>
          <w:sz w:val="24"/>
          <w:szCs w:val="24"/>
        </w:rPr>
        <w:t>-</w:t>
      </w:r>
      <w:r w:rsidR="00F0730A" w:rsidRPr="00B171ED">
        <w:rPr>
          <w:rFonts w:ascii="Arial" w:eastAsiaTheme="minorEastAsia" w:hAnsi="Arial" w:cs="Arial"/>
          <w:color w:val="000000"/>
          <w:sz w:val="24"/>
          <w:szCs w:val="24"/>
        </w:rPr>
        <w:t>fencing efforts</w:t>
      </w:r>
      <w:r w:rsidR="00F0730A" w:rsidRPr="005A0196">
        <w:rPr>
          <w:rFonts w:ascii="Arial" w:eastAsiaTheme="minorEastAsia" w:hAnsi="Arial" w:cs="Arial"/>
          <w:color w:val="000000"/>
          <w:sz w:val="24"/>
          <w:szCs w:val="24"/>
        </w:rPr>
        <w:t xml:space="preserve">; and a review of competitive safeguards.  </w:t>
      </w:r>
      <w:r w:rsidR="00F0730A" w:rsidRPr="007C465E">
        <w:rPr>
          <w:rFonts w:ascii="Arial" w:eastAsia="Times New Roman" w:hAnsi="Arial" w:cs="Times New Roman"/>
          <w:sz w:val="24"/>
          <w:szCs w:val="24"/>
        </w:rPr>
        <w:t>The</w:t>
      </w:r>
      <w:r w:rsidR="00F0730A">
        <w:rPr>
          <w:rFonts w:ascii="Arial" w:eastAsia="Times New Roman" w:hAnsi="Arial" w:cs="Times New Roman"/>
          <w:sz w:val="24"/>
          <w:szCs w:val="24"/>
        </w:rPr>
        <w:t xml:space="preserve"> PUC</w:t>
      </w:r>
      <w:r w:rsidR="00F0730A" w:rsidRPr="007C465E">
        <w:rPr>
          <w:rFonts w:ascii="Arial" w:eastAsia="Times New Roman" w:hAnsi="Arial" w:cs="Times New Roman"/>
          <w:sz w:val="24"/>
          <w:szCs w:val="24"/>
        </w:rPr>
        <w:t xml:space="preserve"> </w:t>
      </w:r>
      <w:r w:rsidR="00F0730A">
        <w:rPr>
          <w:rFonts w:ascii="Arial" w:eastAsia="Times New Roman" w:hAnsi="Arial" w:cs="Times New Roman"/>
          <w:sz w:val="24"/>
          <w:szCs w:val="24"/>
        </w:rPr>
        <w:t>auditors</w:t>
      </w:r>
      <w:r w:rsidR="00F0730A" w:rsidRPr="007C465E">
        <w:rPr>
          <w:rFonts w:ascii="Arial" w:eastAsia="Times New Roman" w:hAnsi="Arial" w:cs="Times New Roman"/>
          <w:sz w:val="24"/>
          <w:szCs w:val="24"/>
        </w:rPr>
        <w:t xml:space="preserve"> </w:t>
      </w:r>
      <w:r w:rsidR="00F0730A">
        <w:rPr>
          <w:rFonts w:ascii="Arial" w:eastAsia="Times New Roman" w:hAnsi="Arial" w:cs="Times New Roman"/>
          <w:sz w:val="24"/>
          <w:szCs w:val="24"/>
        </w:rPr>
        <w:t xml:space="preserve">issued </w:t>
      </w:r>
      <w:r>
        <w:rPr>
          <w:rFonts w:ascii="Arial" w:eastAsia="Times New Roman" w:hAnsi="Arial" w:cs="Times New Roman"/>
          <w:sz w:val="24"/>
          <w:szCs w:val="24"/>
        </w:rPr>
        <w:t>two recommendations</w:t>
      </w:r>
      <w:r w:rsidRPr="007C465E">
        <w:rPr>
          <w:rFonts w:ascii="Arial" w:eastAsia="Times New Roman" w:hAnsi="Arial" w:cs="Times New Roman"/>
          <w:sz w:val="24"/>
          <w:szCs w:val="24"/>
        </w:rPr>
        <w:t xml:space="preserve"> </w:t>
      </w:r>
      <w:r w:rsidR="00F0730A">
        <w:rPr>
          <w:rFonts w:ascii="Arial" w:eastAsia="Times New Roman" w:hAnsi="Arial" w:cs="Times New Roman"/>
          <w:sz w:val="24"/>
          <w:szCs w:val="24"/>
        </w:rPr>
        <w:t xml:space="preserve">in </w:t>
      </w:r>
      <w:r w:rsidRPr="007C465E">
        <w:rPr>
          <w:rFonts w:ascii="Arial" w:eastAsia="Times New Roman" w:hAnsi="Arial" w:cs="Times New Roman"/>
          <w:sz w:val="24"/>
          <w:szCs w:val="24"/>
        </w:rPr>
        <w:t xml:space="preserve">the </w:t>
      </w:r>
      <w:r>
        <w:rPr>
          <w:rFonts w:ascii="Arial" w:eastAsia="Times New Roman" w:hAnsi="Arial" w:cs="Times New Roman"/>
          <w:sz w:val="24"/>
          <w:szCs w:val="24"/>
        </w:rPr>
        <w:t xml:space="preserve">Affiliated Relationships and Cost Allocations </w:t>
      </w:r>
      <w:r w:rsidRPr="007C465E">
        <w:rPr>
          <w:rFonts w:ascii="Arial" w:eastAsia="Times New Roman" w:hAnsi="Arial" w:cs="Times New Roman"/>
          <w:sz w:val="24"/>
          <w:szCs w:val="24"/>
        </w:rPr>
        <w:t>chapter</w:t>
      </w:r>
      <w:r w:rsidR="00F0730A">
        <w:rPr>
          <w:rFonts w:ascii="Arial" w:eastAsia="Times New Roman" w:hAnsi="Arial" w:cs="Times New Roman"/>
          <w:sz w:val="24"/>
          <w:szCs w:val="24"/>
        </w:rPr>
        <w:t xml:space="preserve"> and</w:t>
      </w:r>
      <w:r w:rsidRPr="007C465E">
        <w:rPr>
          <w:rFonts w:ascii="Arial" w:eastAsia="Times New Roman" w:hAnsi="Arial" w:cs="Times New Roman"/>
          <w:sz w:val="24"/>
          <w:szCs w:val="24"/>
        </w:rPr>
        <w:t xml:space="preserve"> rated </w:t>
      </w:r>
      <w:r>
        <w:rPr>
          <w:rFonts w:ascii="Arial" w:eastAsia="Times New Roman" w:hAnsi="Arial" w:cs="Times New Roman"/>
          <w:sz w:val="24"/>
          <w:szCs w:val="24"/>
        </w:rPr>
        <w:t>the</w:t>
      </w:r>
      <w:r w:rsidRPr="007C465E">
        <w:rPr>
          <w:rFonts w:ascii="Arial" w:eastAsia="Times New Roman" w:hAnsi="Arial" w:cs="Times New Roman"/>
          <w:sz w:val="24"/>
          <w:szCs w:val="24"/>
        </w:rPr>
        <w:t xml:space="preserve"> functional area as needing </w:t>
      </w:r>
      <w:r>
        <w:rPr>
          <w:rFonts w:ascii="Arial" w:eastAsia="Times New Roman" w:hAnsi="Arial" w:cs="Times New Roman"/>
          <w:sz w:val="24"/>
          <w:szCs w:val="24"/>
        </w:rPr>
        <w:t xml:space="preserve">moderate improvement.  In this chapter, two </w:t>
      </w:r>
      <w:r w:rsidRPr="007C465E">
        <w:rPr>
          <w:rFonts w:ascii="Arial" w:eastAsia="Times New Roman" w:hAnsi="Arial" w:cs="Times New Roman"/>
          <w:sz w:val="24"/>
          <w:szCs w:val="24"/>
        </w:rPr>
        <w:t>prior recommendation</w:t>
      </w:r>
      <w:r>
        <w:rPr>
          <w:rFonts w:ascii="Arial" w:eastAsia="Times New Roman" w:hAnsi="Arial" w:cs="Times New Roman"/>
          <w:sz w:val="24"/>
          <w:szCs w:val="24"/>
        </w:rPr>
        <w:t>s</w:t>
      </w:r>
      <w:r w:rsidRPr="007C465E">
        <w:rPr>
          <w:rFonts w:ascii="Arial" w:eastAsia="Times New Roman" w:hAnsi="Arial" w:cs="Times New Roman"/>
          <w:sz w:val="24"/>
          <w:szCs w:val="24"/>
        </w:rPr>
        <w:t xml:space="preserve"> and </w:t>
      </w:r>
      <w:r>
        <w:rPr>
          <w:rFonts w:ascii="Arial" w:eastAsia="Times New Roman" w:hAnsi="Arial" w:cs="Times New Roman"/>
          <w:sz w:val="24"/>
          <w:szCs w:val="24"/>
        </w:rPr>
        <w:t xml:space="preserve">two </w:t>
      </w:r>
      <w:r w:rsidRPr="007C465E">
        <w:rPr>
          <w:rFonts w:ascii="Arial" w:eastAsia="Times New Roman" w:hAnsi="Arial" w:cs="Times New Roman"/>
          <w:sz w:val="24"/>
          <w:szCs w:val="24"/>
        </w:rPr>
        <w:t>prior situation</w:t>
      </w:r>
      <w:r>
        <w:rPr>
          <w:rFonts w:ascii="Arial" w:eastAsia="Times New Roman" w:hAnsi="Arial" w:cs="Times New Roman"/>
          <w:sz w:val="24"/>
          <w:szCs w:val="24"/>
        </w:rPr>
        <w:t>s are</w:t>
      </w:r>
      <w:r w:rsidRPr="007C465E">
        <w:rPr>
          <w:rFonts w:ascii="Arial" w:eastAsia="Times New Roman" w:hAnsi="Arial" w:cs="Times New Roman"/>
          <w:sz w:val="24"/>
          <w:szCs w:val="24"/>
        </w:rPr>
        <w:t xml:space="preserve"> reviewed and </w:t>
      </w:r>
      <w:r>
        <w:rPr>
          <w:rFonts w:ascii="Arial" w:eastAsia="Times New Roman" w:hAnsi="Arial" w:cs="Times New Roman"/>
          <w:sz w:val="24"/>
          <w:szCs w:val="24"/>
        </w:rPr>
        <w:t xml:space="preserve">two </w:t>
      </w:r>
      <w:r w:rsidRPr="007C465E">
        <w:rPr>
          <w:rFonts w:ascii="Arial" w:eastAsia="Times New Roman" w:hAnsi="Arial" w:cs="Times New Roman"/>
          <w:sz w:val="24"/>
          <w:szCs w:val="24"/>
        </w:rPr>
        <w:t>follow</w:t>
      </w:r>
      <w:r w:rsidRPr="007C465E">
        <w:rPr>
          <w:rFonts w:ascii="Arial" w:eastAsia="Times New Roman" w:hAnsi="Arial" w:cs="Times New Roman"/>
          <w:sz w:val="24"/>
          <w:szCs w:val="24"/>
        </w:rPr>
        <w:noBreakHyphen/>
        <w:t>up finding</w:t>
      </w:r>
      <w:r>
        <w:rPr>
          <w:rFonts w:ascii="Arial" w:eastAsia="Times New Roman" w:hAnsi="Arial" w:cs="Times New Roman"/>
          <w:sz w:val="24"/>
          <w:szCs w:val="24"/>
        </w:rPr>
        <w:t xml:space="preserve">s and one </w:t>
      </w:r>
      <w:r w:rsidRPr="00F47DF7">
        <w:rPr>
          <w:rFonts w:ascii="Arial" w:eastAsia="Times New Roman" w:hAnsi="Arial" w:cs="Times New Roman"/>
          <w:sz w:val="24"/>
          <w:szCs w:val="24"/>
        </w:rPr>
        <w:t>follow-up recommendation</w:t>
      </w:r>
      <w:r>
        <w:rPr>
          <w:rFonts w:ascii="Arial" w:eastAsia="Times New Roman" w:hAnsi="Arial" w:cs="Times New Roman"/>
          <w:sz w:val="24"/>
          <w:szCs w:val="24"/>
        </w:rPr>
        <w:t xml:space="preserve"> are </w:t>
      </w:r>
      <w:r w:rsidRPr="007C465E">
        <w:rPr>
          <w:rFonts w:ascii="Arial" w:eastAsia="Times New Roman" w:hAnsi="Arial" w:cs="Times New Roman"/>
          <w:sz w:val="24"/>
          <w:szCs w:val="24"/>
        </w:rPr>
        <w:t>presented.</w:t>
      </w:r>
    </w:p>
    <w:p w14:paraId="79E9497B" w14:textId="77777777" w:rsidR="00DF6F28" w:rsidRDefault="00DF6F28" w:rsidP="00DF6F28">
      <w:pPr>
        <w:spacing w:after="0" w:line="20" w:lineRule="atLeast"/>
        <w:contextualSpacing/>
        <w:rPr>
          <w:rFonts w:ascii="Arial" w:eastAsia="Times New Roman" w:hAnsi="Arial" w:cs="Times New Roman"/>
          <w:sz w:val="24"/>
          <w:szCs w:val="24"/>
        </w:rPr>
      </w:pPr>
    </w:p>
    <w:p w14:paraId="05B4EF8B" w14:textId="77777777" w:rsidR="00DF6F28" w:rsidRPr="00D87ED0" w:rsidRDefault="00DF6F28" w:rsidP="00DF6F28">
      <w:pPr>
        <w:spacing w:after="0" w:line="20" w:lineRule="atLeast"/>
        <w:contextualSpacing/>
        <w:jc w:val="center"/>
        <w:rPr>
          <w:rFonts w:ascii="Arial" w:eastAsia="Times New Roman" w:hAnsi="Arial" w:cs="Times New Roman"/>
          <w:b/>
          <w:sz w:val="24"/>
          <w:szCs w:val="24"/>
          <w:u w:val="single"/>
        </w:rPr>
      </w:pPr>
      <w:r>
        <w:rPr>
          <w:rFonts w:ascii="Arial" w:eastAsia="Times New Roman" w:hAnsi="Arial" w:cs="Times New Roman"/>
          <w:b/>
          <w:sz w:val="24"/>
          <w:szCs w:val="24"/>
          <w:u w:val="single"/>
        </w:rPr>
        <w:t>Finding No. V-1</w:t>
      </w:r>
    </w:p>
    <w:p w14:paraId="095664B7" w14:textId="77777777" w:rsidR="00DF6F28" w:rsidRPr="00A67D31" w:rsidRDefault="00DF6F28" w:rsidP="00DF6F28">
      <w:pPr>
        <w:spacing w:after="0" w:line="20" w:lineRule="atLeast"/>
        <w:contextualSpacing/>
        <w:rPr>
          <w:rFonts w:ascii="Arial" w:eastAsia="Times New Roman" w:hAnsi="Arial" w:cs="Times New Roman"/>
          <w:sz w:val="24"/>
          <w:szCs w:val="24"/>
          <w:highlight w:val="yellow"/>
        </w:rPr>
      </w:pPr>
    </w:p>
    <w:p w14:paraId="52628351" w14:textId="77777777" w:rsidR="00DF6F28" w:rsidRPr="005B09DE" w:rsidRDefault="00DF6F28" w:rsidP="00DF6F28">
      <w:pPr>
        <w:spacing w:after="0" w:line="20" w:lineRule="atLeast"/>
        <w:contextualSpacing/>
        <w:rPr>
          <w:rFonts w:ascii="Arial" w:eastAsia="Times New Roman" w:hAnsi="Arial" w:cs="Arial"/>
          <w:snapToGrid w:val="0"/>
          <w:sz w:val="24"/>
          <w:szCs w:val="20"/>
        </w:rPr>
      </w:pPr>
      <w:r w:rsidRPr="004D579B">
        <w:rPr>
          <w:rFonts w:ascii="Arial" w:hAnsi="Arial" w:cs="Arial"/>
          <w:b/>
          <w:sz w:val="24"/>
          <w:szCs w:val="24"/>
          <w:u w:val="single"/>
        </w:rPr>
        <w:t>Prior Situation</w:t>
      </w:r>
      <w:r w:rsidRPr="004D579B">
        <w:rPr>
          <w:rFonts w:ascii="Arial" w:hAnsi="Arial" w:cs="Arial"/>
          <w:b/>
          <w:sz w:val="24"/>
          <w:szCs w:val="24"/>
        </w:rPr>
        <w:t xml:space="preserve"> </w:t>
      </w:r>
      <w:r w:rsidRPr="00A67D31">
        <w:rPr>
          <w:rFonts w:ascii="Arial" w:eastAsia="Times New Roman" w:hAnsi="Arial" w:cs="Times New Roman"/>
          <w:sz w:val="24"/>
          <w:szCs w:val="24"/>
        </w:rPr>
        <w:t>–</w:t>
      </w:r>
      <w:r>
        <w:rPr>
          <w:rFonts w:ascii="Arial" w:eastAsia="Times New Roman" w:hAnsi="Arial" w:cs="Times New Roman"/>
          <w:sz w:val="24"/>
          <w:szCs w:val="24"/>
        </w:rPr>
        <w:t xml:space="preserve"> </w:t>
      </w:r>
      <w:r w:rsidR="0081335C">
        <w:rPr>
          <w:rFonts w:ascii="Arial" w:eastAsia="Times New Roman" w:hAnsi="Arial" w:cs="Times New Roman"/>
          <w:sz w:val="24"/>
          <w:szCs w:val="24"/>
        </w:rPr>
        <w:t xml:space="preserve">As of the last audit, </w:t>
      </w:r>
      <w:r w:rsidRPr="005B09DE">
        <w:rPr>
          <w:rFonts w:ascii="Arial" w:eastAsia="Times New Roman" w:hAnsi="Arial" w:cs="Arial"/>
          <w:snapToGrid w:val="0"/>
          <w:sz w:val="24"/>
          <w:szCs w:val="20"/>
        </w:rPr>
        <w:t xml:space="preserve">Internal audits of affiliate transactions and the cost allocation process were not regularly performed.  The </w:t>
      </w:r>
      <w:r>
        <w:rPr>
          <w:rFonts w:ascii="Arial" w:eastAsia="Times New Roman" w:hAnsi="Arial" w:cs="Arial"/>
          <w:snapToGrid w:val="0"/>
          <w:sz w:val="24"/>
          <w:szCs w:val="20"/>
        </w:rPr>
        <w:t xml:space="preserve">auditors </w:t>
      </w:r>
      <w:r w:rsidRPr="005B09DE">
        <w:rPr>
          <w:rFonts w:ascii="Arial" w:eastAsia="Times New Roman" w:hAnsi="Arial" w:cs="Arial"/>
          <w:snapToGrid w:val="0"/>
          <w:sz w:val="24"/>
          <w:szCs w:val="20"/>
        </w:rPr>
        <w:t xml:space="preserve">reviewed internal audit reports issued January 1, 2008 through April 25, 2013 by both Allegheny Energy Service Corporation and FirstEnergy Service Company (FESC).  Prior to a merger between FirstEnergy and Allegheny Energy, internal audits at West Penn Power were performed by Allegheny Energy Service Corporation.  Just one internal audit of affiliate transactions and the cost allocation process affecting the </w:t>
      </w:r>
      <w:r w:rsidR="00DC3D9B">
        <w:rPr>
          <w:rFonts w:ascii="Arial" w:eastAsia="Times New Roman" w:hAnsi="Arial" w:cs="Arial"/>
          <w:snapToGrid w:val="0"/>
          <w:sz w:val="24"/>
          <w:szCs w:val="20"/>
        </w:rPr>
        <w:t>FE-PA companies</w:t>
      </w:r>
      <w:r w:rsidRPr="005B09DE">
        <w:rPr>
          <w:rFonts w:ascii="Arial" w:eastAsia="Times New Roman" w:hAnsi="Arial" w:cs="Arial"/>
          <w:snapToGrid w:val="0"/>
          <w:sz w:val="24"/>
          <w:szCs w:val="20"/>
        </w:rPr>
        <w:t xml:space="preserve"> was performed during this time.  More specifically, the one internal audit performed, titled Corporate Allocations Engagement, was completed in May 2009 by Allegheny Energy and would have </w:t>
      </w:r>
      <w:r w:rsidR="00875D30">
        <w:rPr>
          <w:rFonts w:ascii="Arial" w:eastAsia="Times New Roman" w:hAnsi="Arial" w:cs="Arial"/>
          <w:snapToGrid w:val="0"/>
          <w:sz w:val="24"/>
          <w:szCs w:val="20"/>
        </w:rPr>
        <w:t>affect</w:t>
      </w:r>
      <w:r w:rsidR="00875D30" w:rsidRPr="005B09DE">
        <w:rPr>
          <w:rFonts w:ascii="Arial" w:eastAsia="Times New Roman" w:hAnsi="Arial" w:cs="Arial"/>
          <w:snapToGrid w:val="0"/>
          <w:sz w:val="24"/>
          <w:szCs w:val="20"/>
        </w:rPr>
        <w:t xml:space="preserve">ed </w:t>
      </w:r>
      <w:r w:rsidRPr="005B09DE">
        <w:rPr>
          <w:rFonts w:ascii="Arial" w:eastAsia="Times New Roman" w:hAnsi="Arial" w:cs="Arial"/>
          <w:snapToGrid w:val="0"/>
          <w:sz w:val="24"/>
          <w:szCs w:val="20"/>
        </w:rPr>
        <w:t xml:space="preserve">West Penn Power as a subsidiary of Allegheny Energy at the time.  </w:t>
      </w:r>
      <w:r w:rsidRPr="005B09DE">
        <w:rPr>
          <w:rFonts w:ascii="Arial" w:eastAsia="Times New Roman" w:hAnsi="Arial" w:cs="Arial"/>
          <w:snapToGrid w:val="0"/>
          <w:sz w:val="24"/>
          <w:szCs w:val="24"/>
        </w:rPr>
        <w:t xml:space="preserve">The audit noted a minor control weakness related to SAP, the accounting system used by Allegheny Energy.  </w:t>
      </w:r>
      <w:r w:rsidRPr="005B09DE">
        <w:rPr>
          <w:rFonts w:ascii="Arial" w:eastAsia="Times New Roman" w:hAnsi="Arial" w:cs="Arial"/>
          <w:snapToGrid w:val="0"/>
          <w:sz w:val="24"/>
          <w:szCs w:val="20"/>
        </w:rPr>
        <w:t xml:space="preserve">No other internal audits were performed at the FE-PA </w:t>
      </w:r>
      <w:r w:rsidR="000F5A0A">
        <w:rPr>
          <w:rFonts w:ascii="Arial" w:eastAsia="Times New Roman" w:hAnsi="Arial" w:cs="Arial"/>
          <w:snapToGrid w:val="0"/>
          <w:sz w:val="24"/>
          <w:szCs w:val="20"/>
        </w:rPr>
        <w:t>c</w:t>
      </w:r>
      <w:r w:rsidRPr="005B09DE">
        <w:rPr>
          <w:rFonts w:ascii="Arial" w:eastAsia="Times New Roman" w:hAnsi="Arial" w:cs="Arial"/>
          <w:snapToGrid w:val="0"/>
          <w:sz w:val="24"/>
          <w:szCs w:val="20"/>
        </w:rPr>
        <w:t xml:space="preserve">ompanies during this period by either Allegheny Energy or FirstEnergy.  </w:t>
      </w:r>
    </w:p>
    <w:p w14:paraId="2854952A" w14:textId="77777777" w:rsidR="00DF6F28" w:rsidRPr="005B09DE" w:rsidRDefault="00DF6F28" w:rsidP="00DF6F28">
      <w:pPr>
        <w:widowControl w:val="0"/>
        <w:spacing w:after="0" w:line="20" w:lineRule="atLeast"/>
        <w:contextualSpacing/>
        <w:rPr>
          <w:rFonts w:ascii="Arial" w:eastAsia="Times New Roman" w:hAnsi="Arial" w:cs="Arial"/>
          <w:snapToGrid w:val="0"/>
          <w:sz w:val="24"/>
          <w:szCs w:val="20"/>
        </w:rPr>
      </w:pPr>
    </w:p>
    <w:p w14:paraId="4FEB44D3" w14:textId="77777777" w:rsidR="00DF6F28" w:rsidRDefault="00DF6F28" w:rsidP="00DF6F28">
      <w:pPr>
        <w:widowControl w:val="0"/>
        <w:spacing w:after="0" w:line="20" w:lineRule="atLeast"/>
        <w:contextualSpacing/>
        <w:rPr>
          <w:rFonts w:ascii="Arial" w:eastAsia="Times New Roman" w:hAnsi="Arial" w:cs="Arial"/>
          <w:snapToGrid w:val="0"/>
          <w:sz w:val="24"/>
          <w:szCs w:val="24"/>
        </w:rPr>
      </w:pPr>
      <w:r w:rsidRPr="005B09DE">
        <w:rPr>
          <w:rFonts w:ascii="Arial" w:eastAsia="Times New Roman" w:hAnsi="Arial" w:cs="Arial"/>
          <w:snapToGrid w:val="0"/>
          <w:sz w:val="24"/>
          <w:szCs w:val="20"/>
        </w:rPr>
        <w:tab/>
        <w:t xml:space="preserve">Although FESC’s Internal Audit Department </w:t>
      </w:r>
      <w:r>
        <w:rPr>
          <w:rFonts w:ascii="Arial" w:eastAsia="Times New Roman" w:hAnsi="Arial" w:cs="Arial"/>
          <w:snapToGrid w:val="0"/>
          <w:sz w:val="24"/>
          <w:szCs w:val="20"/>
        </w:rPr>
        <w:t xml:space="preserve">(IA) </w:t>
      </w:r>
      <w:r w:rsidRPr="005B09DE">
        <w:rPr>
          <w:rFonts w:ascii="Arial" w:eastAsia="Times New Roman" w:hAnsi="Arial" w:cs="Arial"/>
          <w:snapToGrid w:val="0"/>
          <w:sz w:val="24"/>
          <w:szCs w:val="20"/>
        </w:rPr>
        <w:t xml:space="preserve">used a risk-based approach to develop its annual internal audit program, affiliate transactions and cost allocations issues were never ranked high enough of a concern to be selected as part of any audit program for the FE-PA </w:t>
      </w:r>
      <w:r w:rsidR="000F5A0A">
        <w:rPr>
          <w:rFonts w:ascii="Arial" w:eastAsia="Times New Roman" w:hAnsi="Arial" w:cs="Arial"/>
          <w:snapToGrid w:val="0"/>
          <w:sz w:val="24"/>
          <w:szCs w:val="20"/>
        </w:rPr>
        <w:t>c</w:t>
      </w:r>
      <w:r w:rsidRPr="005B09DE">
        <w:rPr>
          <w:rFonts w:ascii="Arial" w:eastAsia="Times New Roman" w:hAnsi="Arial" w:cs="Arial"/>
          <w:snapToGrid w:val="0"/>
          <w:sz w:val="24"/>
          <w:szCs w:val="20"/>
        </w:rPr>
        <w:t xml:space="preserve">ompanies during the period reviewed.  An internal audit of Jersey Central Power &amp; Light Company (JCP&amp;L), an affiliate of the </w:t>
      </w:r>
      <w:r w:rsidR="00DC3D9B">
        <w:rPr>
          <w:rFonts w:ascii="Arial" w:eastAsia="Times New Roman" w:hAnsi="Arial" w:cs="Arial"/>
          <w:snapToGrid w:val="0"/>
          <w:sz w:val="24"/>
          <w:szCs w:val="20"/>
        </w:rPr>
        <w:t>FE-PA companies</w:t>
      </w:r>
      <w:r w:rsidRPr="005B09DE">
        <w:rPr>
          <w:rFonts w:ascii="Arial" w:eastAsia="Times New Roman" w:hAnsi="Arial" w:cs="Arial"/>
          <w:snapToGrid w:val="0"/>
          <w:sz w:val="24"/>
          <w:szCs w:val="20"/>
        </w:rPr>
        <w:t xml:space="preserve">, titled </w:t>
      </w:r>
      <w:r w:rsidRPr="005B09DE">
        <w:rPr>
          <w:rFonts w:ascii="Arial" w:eastAsia="Times New Roman" w:hAnsi="Arial" w:cs="Arial"/>
          <w:i/>
          <w:snapToGrid w:val="0"/>
          <w:sz w:val="24"/>
          <w:szCs w:val="24"/>
        </w:rPr>
        <w:t>Audit of the JCP&amp;L Affiliate Relations Standards and Associated Transactions</w:t>
      </w:r>
      <w:r w:rsidRPr="005B09DE">
        <w:rPr>
          <w:rFonts w:ascii="Arial" w:eastAsia="Times New Roman" w:hAnsi="Arial" w:cs="Arial"/>
          <w:snapToGrid w:val="0"/>
          <w:sz w:val="24"/>
          <w:szCs w:val="20"/>
        </w:rPr>
        <w:t xml:space="preserve"> was released in January 2014.  This audit </w:t>
      </w:r>
      <w:r w:rsidRPr="005B09DE">
        <w:rPr>
          <w:rFonts w:ascii="Arial" w:eastAsia="Times New Roman" w:hAnsi="Arial" w:cs="Arial"/>
          <w:snapToGrid w:val="0"/>
          <w:sz w:val="24"/>
          <w:szCs w:val="24"/>
        </w:rPr>
        <w:t xml:space="preserve">resulted in four recommendations designed to strengthen the internal control environment to comply with </w:t>
      </w:r>
      <w:r w:rsidR="004673C9">
        <w:rPr>
          <w:rFonts w:ascii="Arial" w:eastAsia="Times New Roman" w:hAnsi="Arial" w:cs="Arial"/>
          <w:snapToGrid w:val="0"/>
          <w:sz w:val="24"/>
          <w:szCs w:val="24"/>
        </w:rPr>
        <w:t>New Jersey</w:t>
      </w:r>
      <w:r w:rsidRPr="005B09DE">
        <w:rPr>
          <w:rFonts w:ascii="Arial" w:eastAsia="Times New Roman" w:hAnsi="Arial" w:cs="Arial"/>
          <w:snapToGrid w:val="0"/>
          <w:sz w:val="24"/>
          <w:szCs w:val="24"/>
        </w:rPr>
        <w:t xml:space="preserve"> code of conduct regulatory requirements and promote accurate and more transparent FESC charges billed to JCP&amp;L and other FirstEnergy affiliate companies.  The audit was conducted in response to an outside consultant’s recommendation that periodic internal audits be conducted of FirstEnergy’s affiliate transactions and the associated direct billing/indirect cost allocations.  </w:t>
      </w:r>
    </w:p>
    <w:p w14:paraId="0FBC20F5" w14:textId="77777777" w:rsidR="00DF6F28" w:rsidRDefault="00DF6F28" w:rsidP="00DF6F28">
      <w:pPr>
        <w:widowControl w:val="0"/>
        <w:spacing w:after="0" w:line="20" w:lineRule="atLeast"/>
        <w:contextualSpacing/>
        <w:rPr>
          <w:rFonts w:ascii="Arial" w:eastAsia="Times New Roman" w:hAnsi="Arial" w:cs="Arial"/>
          <w:snapToGrid w:val="0"/>
          <w:sz w:val="24"/>
          <w:szCs w:val="24"/>
        </w:rPr>
      </w:pPr>
    </w:p>
    <w:p w14:paraId="3F49035D" w14:textId="77777777" w:rsidR="00DF6F28" w:rsidRPr="00D87ED0" w:rsidRDefault="00DF6F28" w:rsidP="00DF6F28">
      <w:pPr>
        <w:spacing w:after="0" w:line="20" w:lineRule="atLeast"/>
        <w:jc w:val="both"/>
        <w:rPr>
          <w:rFonts w:ascii="Arial" w:eastAsia="Times New Roman" w:hAnsi="Arial" w:cs="Arial"/>
          <w:snapToGrid w:val="0"/>
          <w:sz w:val="24"/>
          <w:szCs w:val="20"/>
        </w:rPr>
      </w:pPr>
      <w:r w:rsidRPr="004D579B">
        <w:rPr>
          <w:rFonts w:ascii="Arial" w:eastAsia="Times New Roman" w:hAnsi="Arial" w:cs="Arial"/>
          <w:b/>
          <w:snapToGrid w:val="0"/>
          <w:sz w:val="24"/>
          <w:szCs w:val="20"/>
          <w:u w:val="single"/>
        </w:rPr>
        <w:t>Prior Recommendation</w:t>
      </w:r>
      <w:r w:rsidRPr="004D579B">
        <w:rPr>
          <w:rFonts w:ascii="Arial" w:eastAsia="Times New Roman" w:hAnsi="Arial" w:cs="Arial"/>
          <w:snapToGrid w:val="0"/>
          <w:sz w:val="24"/>
          <w:szCs w:val="20"/>
        </w:rPr>
        <w:t xml:space="preserve"> </w:t>
      </w:r>
      <w:r w:rsidRPr="00A67D31">
        <w:rPr>
          <w:rFonts w:ascii="Arial" w:eastAsia="Times New Roman" w:hAnsi="Arial" w:cs="Times New Roman"/>
          <w:sz w:val="24"/>
          <w:szCs w:val="24"/>
        </w:rPr>
        <w:t>–</w:t>
      </w:r>
      <w:r>
        <w:rPr>
          <w:rFonts w:ascii="Arial" w:eastAsia="Times New Roman" w:hAnsi="Arial" w:cs="Times New Roman"/>
          <w:sz w:val="24"/>
          <w:szCs w:val="24"/>
        </w:rPr>
        <w:t xml:space="preserve"> </w:t>
      </w:r>
      <w:r w:rsidRPr="00D87ED0">
        <w:rPr>
          <w:rFonts w:ascii="Arial" w:eastAsia="Times New Roman" w:hAnsi="Arial" w:cs="Arial"/>
          <w:snapToGrid w:val="0"/>
          <w:sz w:val="24"/>
          <w:szCs w:val="20"/>
        </w:rPr>
        <w:t>Conduct periodic internal audits of affiliate transactions and the cost allocation process.</w:t>
      </w:r>
    </w:p>
    <w:p w14:paraId="6F12CEA4" w14:textId="77777777" w:rsidR="00DF6F28" w:rsidRDefault="00DF6F28" w:rsidP="00DF6F28">
      <w:pPr>
        <w:spacing w:after="0" w:line="20" w:lineRule="atLeast"/>
        <w:jc w:val="both"/>
        <w:rPr>
          <w:rFonts w:ascii="Arial" w:eastAsia="Times New Roman" w:hAnsi="Arial" w:cs="Arial"/>
          <w:b/>
          <w:snapToGrid w:val="0"/>
          <w:sz w:val="24"/>
          <w:szCs w:val="20"/>
        </w:rPr>
      </w:pPr>
    </w:p>
    <w:p w14:paraId="3F8E4AD6" w14:textId="77777777" w:rsidR="00DF6F28" w:rsidRDefault="00DF6F28" w:rsidP="00DF6F28">
      <w:pPr>
        <w:spacing w:after="0" w:line="20" w:lineRule="atLeast"/>
        <w:jc w:val="both"/>
        <w:rPr>
          <w:rFonts w:ascii="Arial" w:eastAsia="Times New Roman" w:hAnsi="Arial" w:cs="Arial"/>
          <w:b/>
          <w:snapToGrid w:val="0"/>
          <w:sz w:val="24"/>
          <w:szCs w:val="20"/>
        </w:rPr>
      </w:pPr>
      <w:r w:rsidRPr="00B146D6">
        <w:rPr>
          <w:rFonts w:ascii="Arial" w:eastAsia="Times New Roman" w:hAnsi="Arial" w:cs="Times New Roman"/>
          <w:b/>
          <w:sz w:val="24"/>
          <w:szCs w:val="24"/>
          <w:u w:val="single"/>
        </w:rPr>
        <w:t>Follow-</w:t>
      </w:r>
      <w:r>
        <w:rPr>
          <w:rFonts w:ascii="Arial" w:eastAsia="Times New Roman" w:hAnsi="Arial" w:cs="Times New Roman"/>
          <w:b/>
          <w:sz w:val="24"/>
          <w:szCs w:val="24"/>
          <w:u w:val="single"/>
        </w:rPr>
        <w:t>up Finding and Conclusion</w:t>
      </w:r>
      <w:r w:rsidR="00F65A25" w:rsidRPr="00F65A25">
        <w:rPr>
          <w:rFonts w:ascii="Arial" w:eastAsia="Times New Roman" w:hAnsi="Arial" w:cs="Times New Roman"/>
          <w:b/>
          <w:sz w:val="24"/>
          <w:szCs w:val="24"/>
          <w:u w:val="single"/>
        </w:rPr>
        <w:t xml:space="preserve"> </w:t>
      </w:r>
      <w:r w:rsidR="00F65A25">
        <w:rPr>
          <w:rFonts w:ascii="Arial" w:eastAsia="Times New Roman" w:hAnsi="Arial" w:cs="Times New Roman"/>
          <w:b/>
          <w:sz w:val="24"/>
          <w:szCs w:val="24"/>
          <w:u w:val="single"/>
        </w:rPr>
        <w:t>No. V</w:t>
      </w:r>
      <w:r w:rsidR="00F65A25" w:rsidRPr="00B146D6">
        <w:rPr>
          <w:rFonts w:ascii="Arial" w:eastAsia="Times New Roman" w:hAnsi="Arial" w:cs="Times New Roman"/>
          <w:b/>
          <w:sz w:val="24"/>
          <w:szCs w:val="24"/>
          <w:u w:val="single"/>
        </w:rPr>
        <w:t>-</w:t>
      </w:r>
      <w:r w:rsidR="00F65A25" w:rsidRPr="00A67D31">
        <w:rPr>
          <w:rFonts w:ascii="Arial" w:eastAsia="Times New Roman" w:hAnsi="Arial" w:cs="Times New Roman"/>
          <w:b/>
          <w:sz w:val="24"/>
          <w:szCs w:val="24"/>
          <w:u w:val="single"/>
        </w:rPr>
        <w:t>1</w:t>
      </w:r>
      <w:r w:rsidRPr="00A67D31">
        <w:rPr>
          <w:rFonts w:ascii="Arial" w:eastAsia="Times New Roman" w:hAnsi="Arial" w:cs="Times New Roman"/>
          <w:b/>
          <w:sz w:val="24"/>
          <w:szCs w:val="24"/>
        </w:rPr>
        <w:t xml:space="preserve"> – </w:t>
      </w:r>
      <w:r w:rsidRPr="005B09DE">
        <w:rPr>
          <w:rFonts w:ascii="Arial" w:eastAsia="Times New Roman" w:hAnsi="Arial" w:cs="Arial"/>
          <w:b/>
          <w:snapToGrid w:val="0"/>
          <w:sz w:val="24"/>
          <w:szCs w:val="20"/>
        </w:rPr>
        <w:t>An Internal Audit of Pennsylvania cost allocations was released on November 16, 2017, with additional audits of affiliate transactions and cost allocations to be performed at least every three years.</w:t>
      </w:r>
    </w:p>
    <w:p w14:paraId="50D9C4E4" w14:textId="77777777" w:rsidR="00DF6F28" w:rsidRDefault="00DF6F28" w:rsidP="00DF6F28">
      <w:pPr>
        <w:spacing w:after="0" w:line="20" w:lineRule="atLeast"/>
        <w:jc w:val="both"/>
        <w:rPr>
          <w:rFonts w:ascii="Arial" w:eastAsia="Times New Roman" w:hAnsi="Arial" w:cs="Arial"/>
          <w:b/>
          <w:snapToGrid w:val="0"/>
          <w:sz w:val="24"/>
          <w:szCs w:val="20"/>
        </w:rPr>
      </w:pPr>
    </w:p>
    <w:p w14:paraId="4D632DCD" w14:textId="77777777" w:rsidR="00DF6F28" w:rsidRPr="004859FA" w:rsidRDefault="00DF6F28" w:rsidP="00094C0E">
      <w:pPr>
        <w:widowControl w:val="0"/>
        <w:spacing w:after="0" w:line="20" w:lineRule="atLeast"/>
        <w:rPr>
          <w:rFonts w:ascii="Arial" w:eastAsia="Times New Roman" w:hAnsi="Arial" w:cs="Arial"/>
          <w:snapToGrid w:val="0"/>
          <w:sz w:val="24"/>
          <w:szCs w:val="20"/>
        </w:rPr>
      </w:pPr>
      <w:r>
        <w:rPr>
          <w:rFonts w:ascii="Arial" w:eastAsia="Times New Roman" w:hAnsi="Arial" w:cs="Arial"/>
          <w:b/>
          <w:snapToGrid w:val="0"/>
          <w:sz w:val="24"/>
          <w:szCs w:val="20"/>
          <w:u w:val="single"/>
        </w:rPr>
        <w:t>Current Review</w:t>
      </w:r>
      <w:r w:rsidRPr="00D87ED0">
        <w:rPr>
          <w:rFonts w:ascii="Arial" w:eastAsia="Times New Roman" w:hAnsi="Arial" w:cs="Arial"/>
          <w:b/>
          <w:snapToGrid w:val="0"/>
          <w:sz w:val="24"/>
          <w:szCs w:val="20"/>
        </w:rPr>
        <w:t xml:space="preserve"> </w:t>
      </w:r>
      <w:r w:rsidR="005C6A76">
        <w:rPr>
          <w:rFonts w:ascii="Arial" w:eastAsia="Times New Roman" w:hAnsi="Arial" w:cs="Arial"/>
          <w:snapToGrid w:val="0"/>
          <w:sz w:val="24"/>
          <w:szCs w:val="20"/>
        </w:rPr>
        <w:t>–</w:t>
      </w:r>
      <w:r>
        <w:rPr>
          <w:rFonts w:ascii="Arial" w:eastAsia="Times New Roman" w:hAnsi="Arial" w:cs="Arial"/>
          <w:snapToGrid w:val="0"/>
          <w:sz w:val="24"/>
          <w:szCs w:val="20"/>
        </w:rPr>
        <w:t xml:space="preserve"> </w:t>
      </w:r>
      <w:r w:rsidRPr="004859FA">
        <w:rPr>
          <w:rFonts w:ascii="Arial" w:eastAsia="Times New Roman" w:hAnsi="Arial" w:cs="Arial"/>
          <w:snapToGrid w:val="0"/>
          <w:sz w:val="24"/>
          <w:szCs w:val="20"/>
        </w:rPr>
        <w:t xml:space="preserve">The objective of the </w:t>
      </w:r>
      <w:r w:rsidRPr="004859FA">
        <w:rPr>
          <w:rFonts w:ascii="Arial" w:eastAsia="Times New Roman" w:hAnsi="Arial" w:cs="Arial"/>
          <w:i/>
          <w:snapToGrid w:val="0"/>
          <w:sz w:val="24"/>
          <w:szCs w:val="20"/>
        </w:rPr>
        <w:t>Audit of the Pennsylvania Cost Allocations as of October 20, 2017</w:t>
      </w:r>
      <w:r w:rsidRPr="004859FA">
        <w:rPr>
          <w:rFonts w:ascii="Arial" w:eastAsia="Times New Roman" w:hAnsi="Arial" w:cs="Arial"/>
          <w:snapToGrid w:val="0"/>
          <w:sz w:val="24"/>
          <w:szCs w:val="20"/>
        </w:rPr>
        <w:t xml:space="preserve"> was to assess the overall control environm</w:t>
      </w:r>
      <w:r>
        <w:rPr>
          <w:rFonts w:ascii="Arial" w:eastAsia="Times New Roman" w:hAnsi="Arial" w:cs="Arial"/>
          <w:snapToGrid w:val="0"/>
          <w:sz w:val="24"/>
          <w:szCs w:val="20"/>
        </w:rPr>
        <w:t xml:space="preserve">ent of the FirstEnergy </w:t>
      </w:r>
      <w:r w:rsidRPr="004859FA">
        <w:rPr>
          <w:rFonts w:ascii="Arial" w:eastAsia="Times New Roman" w:hAnsi="Arial" w:cs="Arial"/>
          <w:snapToGrid w:val="0"/>
          <w:sz w:val="24"/>
          <w:szCs w:val="20"/>
        </w:rPr>
        <w:t xml:space="preserve">Cost Allocation Manual (CAM) and </w:t>
      </w:r>
      <w:r w:rsidR="000F5A0A">
        <w:rPr>
          <w:rFonts w:ascii="Arial" w:eastAsia="Times New Roman" w:hAnsi="Arial" w:cs="Arial"/>
          <w:snapToGrid w:val="0"/>
          <w:sz w:val="24"/>
          <w:szCs w:val="20"/>
        </w:rPr>
        <w:t xml:space="preserve">determine </w:t>
      </w:r>
      <w:r>
        <w:rPr>
          <w:rFonts w:ascii="Arial" w:eastAsia="Times New Roman" w:hAnsi="Arial" w:cs="Arial"/>
          <w:snapToGrid w:val="0"/>
          <w:sz w:val="24"/>
          <w:szCs w:val="20"/>
        </w:rPr>
        <w:t>if the</w:t>
      </w:r>
      <w:r w:rsidRPr="004859FA">
        <w:rPr>
          <w:rFonts w:ascii="Arial" w:eastAsia="Times New Roman" w:hAnsi="Arial" w:cs="Arial"/>
          <w:snapToGrid w:val="0"/>
          <w:sz w:val="24"/>
          <w:szCs w:val="20"/>
        </w:rPr>
        <w:t xml:space="preserve"> cost allocation methodologies were adequately designed and operating effectively.  The audit found that internal controls, which govern and support the cost allocation process, were adequately designed and operating effectively to provide a reasonable level of assurance regarding the reliability and integrity of the allocation of the charges billed to FE-PA </w:t>
      </w:r>
      <w:r w:rsidR="000F5A0A">
        <w:rPr>
          <w:rFonts w:ascii="Arial" w:eastAsia="Times New Roman" w:hAnsi="Arial" w:cs="Arial"/>
          <w:snapToGrid w:val="0"/>
          <w:sz w:val="24"/>
          <w:szCs w:val="20"/>
        </w:rPr>
        <w:t>c</w:t>
      </w:r>
      <w:r w:rsidRPr="004859FA">
        <w:rPr>
          <w:rFonts w:ascii="Arial" w:eastAsia="Times New Roman" w:hAnsi="Arial" w:cs="Arial"/>
          <w:snapToGrid w:val="0"/>
          <w:sz w:val="24"/>
          <w:szCs w:val="20"/>
        </w:rPr>
        <w:t xml:space="preserve">ompanies, in accordance with the service agreement and CAM requirements.  </w:t>
      </w:r>
    </w:p>
    <w:p w14:paraId="70E0FC8B" w14:textId="77777777" w:rsidR="00DF6F28" w:rsidRPr="004859FA" w:rsidRDefault="00DF6F28" w:rsidP="00DF6F28">
      <w:pPr>
        <w:widowControl w:val="0"/>
        <w:spacing w:after="0" w:line="20" w:lineRule="atLeast"/>
        <w:ind w:right="720"/>
        <w:rPr>
          <w:rFonts w:ascii="Arial" w:eastAsia="Times New Roman" w:hAnsi="Arial" w:cs="Arial"/>
          <w:snapToGrid w:val="0"/>
          <w:sz w:val="24"/>
          <w:szCs w:val="20"/>
        </w:rPr>
      </w:pPr>
    </w:p>
    <w:p w14:paraId="02454FFE" w14:textId="77777777" w:rsidR="00DF6F28" w:rsidRPr="004859FA" w:rsidRDefault="00DF6F28" w:rsidP="00DF6F28">
      <w:pPr>
        <w:widowControl w:val="0"/>
        <w:spacing w:after="0" w:line="20" w:lineRule="atLeast"/>
        <w:ind w:firstLine="720"/>
        <w:rPr>
          <w:rFonts w:ascii="Arial" w:eastAsia="Times New Roman" w:hAnsi="Arial" w:cs="Arial"/>
          <w:snapToGrid w:val="0"/>
          <w:sz w:val="24"/>
          <w:szCs w:val="20"/>
        </w:rPr>
      </w:pPr>
      <w:r w:rsidRPr="004859FA">
        <w:rPr>
          <w:rFonts w:ascii="Arial" w:eastAsia="Times New Roman" w:hAnsi="Arial" w:cs="Arial"/>
          <w:snapToGrid w:val="0"/>
          <w:sz w:val="24"/>
          <w:szCs w:val="20"/>
        </w:rPr>
        <w:t xml:space="preserve">IA </w:t>
      </w:r>
      <w:r w:rsidR="000F5A0A">
        <w:rPr>
          <w:rFonts w:ascii="Arial" w:eastAsia="Times New Roman" w:hAnsi="Arial" w:cs="Arial"/>
          <w:snapToGrid w:val="0"/>
          <w:sz w:val="24"/>
          <w:szCs w:val="20"/>
        </w:rPr>
        <w:t>develops</w:t>
      </w:r>
      <w:r w:rsidR="000F5A0A" w:rsidRPr="004859FA">
        <w:rPr>
          <w:rFonts w:ascii="Arial" w:eastAsia="Times New Roman" w:hAnsi="Arial" w:cs="Arial"/>
          <w:snapToGrid w:val="0"/>
          <w:sz w:val="24"/>
          <w:szCs w:val="20"/>
        </w:rPr>
        <w:t xml:space="preserve"> </w:t>
      </w:r>
      <w:r w:rsidRPr="004859FA">
        <w:rPr>
          <w:rFonts w:ascii="Arial" w:eastAsia="Times New Roman" w:hAnsi="Arial" w:cs="Arial"/>
          <w:snapToGrid w:val="0"/>
          <w:sz w:val="24"/>
          <w:szCs w:val="20"/>
        </w:rPr>
        <w:t>its audit plan using a periodic risk-based audit selection process.  Audits in areas such as affiliate transactions and the cost allocation process are periodically placed on the annual audit plan based on the results of the risk assessment.  In addition to the risk-based audit planning, there are several key Sarbanes-Oxley controls over financial planning related to cost allocations.  These controls are periodically monitored by the business unit and formally reviewed annually by IA.  IA plans to ensure that, as part of its audit selection and planning process, periodic internal audits are performed for affiliate transactions and cost allocations at least every three years.</w:t>
      </w:r>
    </w:p>
    <w:p w14:paraId="381A818A" w14:textId="77777777" w:rsidR="00DF6F28" w:rsidRPr="004859FA" w:rsidRDefault="00DF6F28" w:rsidP="00DF6F28">
      <w:pPr>
        <w:widowControl w:val="0"/>
        <w:spacing w:after="0" w:line="20" w:lineRule="atLeast"/>
        <w:ind w:right="720"/>
        <w:rPr>
          <w:rFonts w:ascii="Arial" w:eastAsia="Times New Roman" w:hAnsi="Arial" w:cs="Arial"/>
          <w:snapToGrid w:val="0"/>
          <w:sz w:val="24"/>
          <w:szCs w:val="20"/>
        </w:rPr>
      </w:pPr>
    </w:p>
    <w:p w14:paraId="6BE862CD" w14:textId="5856C55A" w:rsidR="00DF6F28" w:rsidRPr="004859FA" w:rsidRDefault="00DF6F28" w:rsidP="00DF6F28">
      <w:pPr>
        <w:widowControl w:val="0"/>
        <w:spacing w:after="0" w:line="20" w:lineRule="atLeast"/>
        <w:ind w:firstLine="720"/>
        <w:rPr>
          <w:rFonts w:ascii="Arial" w:eastAsia="Times New Roman" w:hAnsi="Arial" w:cs="Arial"/>
          <w:snapToGrid w:val="0"/>
          <w:sz w:val="24"/>
          <w:szCs w:val="20"/>
        </w:rPr>
      </w:pPr>
      <w:r w:rsidRPr="004859FA">
        <w:rPr>
          <w:rFonts w:ascii="Arial" w:eastAsia="Times New Roman" w:hAnsi="Arial" w:cs="Arial"/>
          <w:snapToGrid w:val="0"/>
          <w:sz w:val="24"/>
          <w:szCs w:val="20"/>
        </w:rPr>
        <w:t>On an annual basis, G</w:t>
      </w:r>
      <w:r w:rsidR="003B2497">
        <w:rPr>
          <w:rFonts w:ascii="Arial" w:eastAsia="Times New Roman" w:hAnsi="Arial" w:cs="Arial"/>
          <w:snapToGrid w:val="0"/>
          <w:sz w:val="24"/>
          <w:szCs w:val="20"/>
        </w:rPr>
        <w:t xml:space="preserve">eneral </w:t>
      </w:r>
      <w:r w:rsidRPr="004859FA">
        <w:rPr>
          <w:rFonts w:ascii="Arial" w:eastAsia="Times New Roman" w:hAnsi="Arial" w:cs="Arial"/>
          <w:snapToGrid w:val="0"/>
          <w:sz w:val="24"/>
          <w:szCs w:val="20"/>
        </w:rPr>
        <w:t>A</w:t>
      </w:r>
      <w:r w:rsidR="003B2497">
        <w:rPr>
          <w:rFonts w:ascii="Arial" w:eastAsia="Times New Roman" w:hAnsi="Arial" w:cs="Arial"/>
          <w:snapToGrid w:val="0"/>
          <w:sz w:val="24"/>
          <w:szCs w:val="20"/>
        </w:rPr>
        <w:t>ccounting (GA)</w:t>
      </w:r>
      <w:r w:rsidRPr="004859FA">
        <w:rPr>
          <w:rFonts w:ascii="Arial" w:eastAsia="Times New Roman" w:hAnsi="Arial" w:cs="Arial"/>
          <w:snapToGrid w:val="0"/>
          <w:sz w:val="24"/>
          <w:szCs w:val="20"/>
        </w:rPr>
        <w:t xml:space="preserve"> works with the business units to review the Allocation Methodologies to determine whether 1) billing allocators are still valid</w:t>
      </w:r>
      <w:r w:rsidR="005C6A76">
        <w:rPr>
          <w:rFonts w:ascii="Arial" w:eastAsia="Times New Roman" w:hAnsi="Arial" w:cs="Arial"/>
          <w:snapToGrid w:val="0"/>
          <w:sz w:val="24"/>
          <w:szCs w:val="20"/>
        </w:rPr>
        <w:t>;</w:t>
      </w:r>
      <w:r w:rsidRPr="004859FA">
        <w:rPr>
          <w:rFonts w:ascii="Arial" w:eastAsia="Times New Roman" w:hAnsi="Arial" w:cs="Arial"/>
          <w:snapToGrid w:val="0"/>
          <w:sz w:val="24"/>
          <w:szCs w:val="20"/>
        </w:rPr>
        <w:t xml:space="preserve"> 2) new allocators are needed</w:t>
      </w:r>
      <w:r w:rsidR="005C6A76">
        <w:rPr>
          <w:rFonts w:ascii="Arial" w:eastAsia="Times New Roman" w:hAnsi="Arial" w:cs="Arial"/>
          <w:snapToGrid w:val="0"/>
          <w:sz w:val="24"/>
          <w:szCs w:val="20"/>
        </w:rPr>
        <w:t>;</w:t>
      </w:r>
      <w:r w:rsidRPr="004859FA">
        <w:rPr>
          <w:rFonts w:ascii="Arial" w:eastAsia="Times New Roman" w:hAnsi="Arial" w:cs="Arial"/>
          <w:snapToGrid w:val="0"/>
          <w:sz w:val="24"/>
          <w:szCs w:val="20"/>
        </w:rPr>
        <w:t xml:space="preserve"> and 3) cost centers are using the correct billing factors.  Reviews of cost centers are performed by business units (F</w:t>
      </w:r>
      <w:r>
        <w:rPr>
          <w:rFonts w:ascii="Arial" w:eastAsia="Times New Roman" w:hAnsi="Arial" w:cs="Arial"/>
          <w:snapToGrid w:val="0"/>
          <w:sz w:val="24"/>
          <w:szCs w:val="20"/>
        </w:rPr>
        <w:t>irst</w:t>
      </w:r>
      <w:r w:rsidRPr="004859FA">
        <w:rPr>
          <w:rFonts w:ascii="Arial" w:eastAsia="Times New Roman" w:hAnsi="Arial" w:cs="Arial"/>
          <w:snapToGrid w:val="0"/>
          <w:sz w:val="24"/>
          <w:szCs w:val="20"/>
        </w:rPr>
        <w:t>E</w:t>
      </w:r>
      <w:r>
        <w:rPr>
          <w:rFonts w:ascii="Arial" w:eastAsia="Times New Roman" w:hAnsi="Arial" w:cs="Arial"/>
          <w:snapToGrid w:val="0"/>
          <w:sz w:val="24"/>
          <w:szCs w:val="20"/>
        </w:rPr>
        <w:t>nergy</w:t>
      </w:r>
      <w:r w:rsidRPr="004859FA">
        <w:rPr>
          <w:rFonts w:ascii="Arial" w:eastAsia="Times New Roman" w:hAnsi="Arial" w:cs="Arial"/>
          <w:snapToGrid w:val="0"/>
          <w:sz w:val="24"/>
          <w:szCs w:val="20"/>
        </w:rPr>
        <w:t>, F</w:t>
      </w:r>
      <w:r>
        <w:rPr>
          <w:rFonts w:ascii="Arial" w:eastAsia="Times New Roman" w:hAnsi="Arial" w:cs="Arial"/>
          <w:snapToGrid w:val="0"/>
          <w:sz w:val="24"/>
          <w:szCs w:val="20"/>
        </w:rPr>
        <w:t>irst</w:t>
      </w:r>
      <w:r w:rsidRPr="004859FA">
        <w:rPr>
          <w:rFonts w:ascii="Arial" w:eastAsia="Times New Roman" w:hAnsi="Arial" w:cs="Arial"/>
          <w:snapToGrid w:val="0"/>
          <w:sz w:val="24"/>
          <w:szCs w:val="20"/>
        </w:rPr>
        <w:t>E</w:t>
      </w:r>
      <w:r>
        <w:rPr>
          <w:rFonts w:ascii="Arial" w:eastAsia="Times New Roman" w:hAnsi="Arial" w:cs="Arial"/>
          <w:snapToGrid w:val="0"/>
          <w:sz w:val="24"/>
          <w:szCs w:val="20"/>
        </w:rPr>
        <w:t>nergy</w:t>
      </w:r>
      <w:r w:rsidRPr="004859FA">
        <w:rPr>
          <w:rFonts w:ascii="Arial" w:eastAsia="Times New Roman" w:hAnsi="Arial" w:cs="Arial"/>
          <w:snapToGrid w:val="0"/>
          <w:sz w:val="24"/>
          <w:szCs w:val="20"/>
        </w:rPr>
        <w:t xml:space="preserve"> Utilities, and F</w:t>
      </w:r>
      <w:r>
        <w:rPr>
          <w:rFonts w:ascii="Arial" w:eastAsia="Times New Roman" w:hAnsi="Arial" w:cs="Arial"/>
          <w:snapToGrid w:val="0"/>
          <w:sz w:val="24"/>
          <w:szCs w:val="20"/>
        </w:rPr>
        <w:t>irst</w:t>
      </w:r>
      <w:r w:rsidRPr="004859FA">
        <w:rPr>
          <w:rFonts w:ascii="Arial" w:eastAsia="Times New Roman" w:hAnsi="Arial" w:cs="Arial"/>
          <w:snapToGrid w:val="0"/>
          <w:sz w:val="24"/>
          <w:szCs w:val="20"/>
        </w:rPr>
        <w:t>E</w:t>
      </w:r>
      <w:r>
        <w:rPr>
          <w:rFonts w:ascii="Arial" w:eastAsia="Times New Roman" w:hAnsi="Arial" w:cs="Arial"/>
          <w:snapToGrid w:val="0"/>
          <w:sz w:val="24"/>
          <w:szCs w:val="20"/>
        </w:rPr>
        <w:t>nergy</w:t>
      </w:r>
      <w:r w:rsidRPr="004859FA">
        <w:rPr>
          <w:rFonts w:ascii="Arial" w:eastAsia="Times New Roman" w:hAnsi="Arial" w:cs="Arial"/>
          <w:snapToGrid w:val="0"/>
          <w:sz w:val="24"/>
          <w:szCs w:val="20"/>
        </w:rPr>
        <w:t xml:space="preserve"> Solutions/F</w:t>
      </w:r>
      <w:r>
        <w:rPr>
          <w:rFonts w:ascii="Arial" w:eastAsia="Times New Roman" w:hAnsi="Arial" w:cs="Arial"/>
          <w:snapToGrid w:val="0"/>
          <w:sz w:val="24"/>
          <w:szCs w:val="20"/>
        </w:rPr>
        <w:t>irst</w:t>
      </w:r>
      <w:r w:rsidRPr="004859FA">
        <w:rPr>
          <w:rFonts w:ascii="Arial" w:eastAsia="Times New Roman" w:hAnsi="Arial" w:cs="Arial"/>
          <w:snapToGrid w:val="0"/>
          <w:sz w:val="24"/>
          <w:szCs w:val="20"/>
        </w:rPr>
        <w:t>E</w:t>
      </w:r>
      <w:r>
        <w:rPr>
          <w:rFonts w:ascii="Arial" w:eastAsia="Times New Roman" w:hAnsi="Arial" w:cs="Arial"/>
          <w:snapToGrid w:val="0"/>
          <w:sz w:val="24"/>
          <w:szCs w:val="20"/>
        </w:rPr>
        <w:t>nergy</w:t>
      </w:r>
      <w:r w:rsidRPr="004859FA">
        <w:rPr>
          <w:rFonts w:ascii="Arial" w:eastAsia="Times New Roman" w:hAnsi="Arial" w:cs="Arial"/>
          <w:snapToGrid w:val="0"/>
          <w:sz w:val="24"/>
          <w:szCs w:val="20"/>
        </w:rPr>
        <w:t xml:space="preserve"> Generation) and final approvals are provided by the Assistant Controllers of the appropriate F</w:t>
      </w:r>
      <w:r>
        <w:rPr>
          <w:rFonts w:ascii="Arial" w:eastAsia="Times New Roman" w:hAnsi="Arial" w:cs="Arial"/>
          <w:snapToGrid w:val="0"/>
          <w:sz w:val="24"/>
          <w:szCs w:val="20"/>
        </w:rPr>
        <w:t>irst</w:t>
      </w:r>
      <w:r w:rsidRPr="004859FA">
        <w:rPr>
          <w:rFonts w:ascii="Arial" w:eastAsia="Times New Roman" w:hAnsi="Arial" w:cs="Arial"/>
          <w:snapToGrid w:val="0"/>
          <w:sz w:val="24"/>
          <w:szCs w:val="20"/>
        </w:rPr>
        <w:t>E</w:t>
      </w:r>
      <w:r>
        <w:rPr>
          <w:rFonts w:ascii="Arial" w:eastAsia="Times New Roman" w:hAnsi="Arial" w:cs="Arial"/>
          <w:snapToGrid w:val="0"/>
          <w:sz w:val="24"/>
          <w:szCs w:val="20"/>
        </w:rPr>
        <w:t>nergy</w:t>
      </w:r>
      <w:r w:rsidRPr="004859FA">
        <w:rPr>
          <w:rFonts w:ascii="Arial" w:eastAsia="Times New Roman" w:hAnsi="Arial" w:cs="Arial"/>
          <w:snapToGrid w:val="0"/>
          <w:sz w:val="24"/>
          <w:szCs w:val="20"/>
        </w:rPr>
        <w:t xml:space="preserve"> business unit.  The I</w:t>
      </w:r>
      <w:r>
        <w:rPr>
          <w:rFonts w:ascii="Arial" w:eastAsia="Times New Roman" w:hAnsi="Arial" w:cs="Arial"/>
          <w:snapToGrid w:val="0"/>
          <w:sz w:val="24"/>
          <w:szCs w:val="20"/>
        </w:rPr>
        <w:t xml:space="preserve">nformation </w:t>
      </w:r>
      <w:r w:rsidRPr="004859FA">
        <w:rPr>
          <w:rFonts w:ascii="Arial" w:eastAsia="Times New Roman" w:hAnsi="Arial" w:cs="Arial"/>
          <w:snapToGrid w:val="0"/>
          <w:sz w:val="24"/>
          <w:szCs w:val="20"/>
        </w:rPr>
        <w:t>T</w:t>
      </w:r>
      <w:r>
        <w:rPr>
          <w:rFonts w:ascii="Arial" w:eastAsia="Times New Roman" w:hAnsi="Arial" w:cs="Arial"/>
          <w:snapToGrid w:val="0"/>
          <w:sz w:val="24"/>
          <w:szCs w:val="20"/>
        </w:rPr>
        <w:t>echnology</w:t>
      </w:r>
      <w:r w:rsidRPr="004859FA">
        <w:rPr>
          <w:rFonts w:ascii="Arial" w:eastAsia="Times New Roman" w:hAnsi="Arial" w:cs="Arial"/>
          <w:snapToGrid w:val="0"/>
          <w:sz w:val="24"/>
          <w:szCs w:val="20"/>
        </w:rPr>
        <w:t xml:space="preserve"> </w:t>
      </w:r>
      <w:r>
        <w:rPr>
          <w:rFonts w:ascii="Arial" w:eastAsia="Times New Roman" w:hAnsi="Arial" w:cs="Arial"/>
          <w:snapToGrid w:val="0"/>
          <w:sz w:val="24"/>
          <w:szCs w:val="20"/>
        </w:rPr>
        <w:t xml:space="preserve">(IT) </w:t>
      </w:r>
      <w:r w:rsidRPr="004859FA">
        <w:rPr>
          <w:rFonts w:ascii="Arial" w:eastAsia="Times New Roman" w:hAnsi="Arial" w:cs="Arial"/>
          <w:snapToGrid w:val="0"/>
          <w:sz w:val="24"/>
          <w:szCs w:val="20"/>
        </w:rPr>
        <w:t>Allocation Factors are reviewed and approved by the Manager of IT Services.  Once all approvals have been obtained, the assessment cycles containing the appropriate cost centers are updated.  After cycles are run for the first time for the calendar year, GA selects a 10% sample of the cost centers and reviews the assessments to validate that allocations factors have been applied to the cost centers appropriately in SAP.</w:t>
      </w:r>
    </w:p>
    <w:p w14:paraId="4D2330E2" w14:textId="77777777" w:rsidR="00DF6F28" w:rsidRDefault="00DF6F28" w:rsidP="00DF6F28">
      <w:pPr>
        <w:spacing w:after="0" w:line="20" w:lineRule="atLeast"/>
        <w:jc w:val="both"/>
        <w:rPr>
          <w:rFonts w:ascii="Arial" w:eastAsia="Times New Roman" w:hAnsi="Arial" w:cs="Arial"/>
          <w:snapToGrid w:val="0"/>
          <w:sz w:val="24"/>
          <w:szCs w:val="20"/>
        </w:rPr>
      </w:pPr>
    </w:p>
    <w:p w14:paraId="5A1722D8" w14:textId="77777777" w:rsidR="00DF6F28" w:rsidRDefault="00DF6F28" w:rsidP="00DF6F28">
      <w:pPr>
        <w:spacing w:after="0" w:line="20" w:lineRule="atLeast"/>
        <w:jc w:val="both"/>
        <w:rPr>
          <w:rFonts w:ascii="Arial" w:eastAsia="Times New Roman" w:hAnsi="Arial" w:cs="Arial"/>
          <w:b/>
          <w:snapToGrid w:val="0"/>
          <w:sz w:val="24"/>
          <w:szCs w:val="20"/>
        </w:rPr>
      </w:pPr>
      <w:r w:rsidRPr="00C208C1">
        <w:rPr>
          <w:rFonts w:ascii="Arial" w:eastAsia="Times New Roman" w:hAnsi="Arial" w:cs="Arial"/>
          <w:b/>
          <w:snapToGrid w:val="0"/>
          <w:sz w:val="24"/>
          <w:szCs w:val="20"/>
          <w:u w:val="single"/>
        </w:rPr>
        <w:t>Follow-up Recommendation</w:t>
      </w:r>
      <w:r w:rsidRPr="00C208C1">
        <w:rPr>
          <w:rFonts w:ascii="Arial" w:eastAsia="Times New Roman" w:hAnsi="Arial" w:cs="Arial"/>
          <w:b/>
          <w:snapToGrid w:val="0"/>
          <w:sz w:val="24"/>
          <w:szCs w:val="20"/>
        </w:rPr>
        <w:t xml:space="preserve"> – </w:t>
      </w:r>
      <w:r>
        <w:rPr>
          <w:rFonts w:ascii="Arial" w:eastAsia="Times New Roman" w:hAnsi="Arial" w:cs="Arial"/>
          <w:b/>
          <w:snapToGrid w:val="0"/>
          <w:sz w:val="24"/>
          <w:szCs w:val="20"/>
        </w:rPr>
        <w:t>None</w:t>
      </w:r>
    </w:p>
    <w:p w14:paraId="44A0A304" w14:textId="77777777" w:rsidR="00DF6F28" w:rsidRDefault="00DF6F28" w:rsidP="00DF6F28">
      <w:pPr>
        <w:spacing w:after="0" w:line="20" w:lineRule="atLeast"/>
        <w:jc w:val="both"/>
        <w:rPr>
          <w:rFonts w:ascii="Arial" w:eastAsia="Times New Roman" w:hAnsi="Arial" w:cs="Arial"/>
          <w:b/>
          <w:snapToGrid w:val="0"/>
          <w:sz w:val="24"/>
          <w:szCs w:val="20"/>
        </w:rPr>
      </w:pPr>
    </w:p>
    <w:p w14:paraId="619AB588" w14:textId="77777777" w:rsidR="00DF6F28" w:rsidRDefault="00DF6F28" w:rsidP="00DF6F28">
      <w:pPr>
        <w:spacing w:after="0" w:line="20" w:lineRule="atLeast"/>
        <w:jc w:val="both"/>
        <w:rPr>
          <w:rFonts w:ascii="Arial" w:eastAsia="Times New Roman" w:hAnsi="Arial" w:cs="Arial"/>
          <w:b/>
          <w:snapToGrid w:val="0"/>
          <w:sz w:val="24"/>
          <w:szCs w:val="20"/>
          <w:u w:val="single"/>
        </w:rPr>
      </w:pPr>
    </w:p>
    <w:p w14:paraId="0732FD86" w14:textId="77777777" w:rsidR="00DF6F28" w:rsidRDefault="00DF6F28" w:rsidP="00DF6F28">
      <w:pPr>
        <w:rPr>
          <w:rFonts w:ascii="Arial" w:eastAsia="Times New Roman" w:hAnsi="Arial" w:cs="Arial"/>
          <w:b/>
          <w:snapToGrid w:val="0"/>
          <w:sz w:val="24"/>
          <w:szCs w:val="20"/>
          <w:u w:val="single"/>
        </w:rPr>
      </w:pPr>
      <w:r>
        <w:rPr>
          <w:rFonts w:ascii="Arial" w:eastAsia="Times New Roman" w:hAnsi="Arial" w:cs="Arial"/>
          <w:b/>
          <w:snapToGrid w:val="0"/>
          <w:sz w:val="24"/>
          <w:szCs w:val="20"/>
          <w:u w:val="single"/>
        </w:rPr>
        <w:br w:type="page"/>
      </w:r>
    </w:p>
    <w:p w14:paraId="4A34AC5C" w14:textId="77777777" w:rsidR="00DF6F28" w:rsidRDefault="00DF6F28" w:rsidP="00DF6F28">
      <w:pPr>
        <w:spacing w:after="0" w:line="20" w:lineRule="atLeast"/>
        <w:jc w:val="center"/>
        <w:rPr>
          <w:rFonts w:ascii="Arial" w:eastAsia="Times New Roman" w:hAnsi="Arial" w:cs="Arial"/>
          <w:b/>
          <w:snapToGrid w:val="0"/>
          <w:sz w:val="24"/>
          <w:szCs w:val="20"/>
          <w:u w:val="single"/>
        </w:rPr>
      </w:pPr>
      <w:r>
        <w:rPr>
          <w:rFonts w:ascii="Arial" w:eastAsia="Times New Roman" w:hAnsi="Arial" w:cs="Arial"/>
          <w:b/>
          <w:snapToGrid w:val="0"/>
          <w:sz w:val="24"/>
          <w:szCs w:val="20"/>
          <w:u w:val="single"/>
        </w:rPr>
        <w:t>Finding No. V-2</w:t>
      </w:r>
    </w:p>
    <w:p w14:paraId="61C5257A" w14:textId="77777777" w:rsidR="00DF6F28" w:rsidRDefault="00DF6F28" w:rsidP="00DF6F28">
      <w:pPr>
        <w:spacing w:after="0" w:line="20" w:lineRule="atLeast"/>
        <w:rPr>
          <w:rFonts w:ascii="Arial" w:eastAsia="Times New Roman" w:hAnsi="Arial" w:cs="Arial"/>
          <w:b/>
          <w:snapToGrid w:val="0"/>
          <w:sz w:val="24"/>
          <w:szCs w:val="20"/>
          <w:u w:val="single"/>
        </w:rPr>
      </w:pPr>
    </w:p>
    <w:p w14:paraId="633BB447" w14:textId="77777777" w:rsidR="00DF6F28" w:rsidRPr="00326F1F" w:rsidRDefault="00DF6F28" w:rsidP="00DF6F28">
      <w:pPr>
        <w:spacing w:after="0" w:line="20" w:lineRule="atLeast"/>
        <w:contextualSpacing/>
        <w:rPr>
          <w:rFonts w:ascii="Arial" w:eastAsia="Times New Roman" w:hAnsi="Arial" w:cs="Arial"/>
          <w:snapToGrid w:val="0"/>
          <w:sz w:val="24"/>
          <w:szCs w:val="20"/>
        </w:rPr>
      </w:pPr>
      <w:r w:rsidRPr="004D579B">
        <w:rPr>
          <w:rFonts w:ascii="Arial" w:hAnsi="Arial" w:cs="Arial"/>
          <w:b/>
          <w:sz w:val="24"/>
          <w:szCs w:val="24"/>
          <w:u w:val="single"/>
        </w:rPr>
        <w:t>Prior Situation</w:t>
      </w:r>
      <w:r w:rsidRPr="004D579B">
        <w:rPr>
          <w:rFonts w:ascii="Arial" w:hAnsi="Arial" w:cs="Arial"/>
          <w:b/>
          <w:sz w:val="24"/>
          <w:szCs w:val="24"/>
        </w:rPr>
        <w:t xml:space="preserve"> </w:t>
      </w:r>
      <w:r w:rsidRPr="00A67D31">
        <w:rPr>
          <w:rFonts w:ascii="Arial" w:eastAsia="Times New Roman" w:hAnsi="Arial" w:cs="Times New Roman"/>
          <w:sz w:val="24"/>
          <w:szCs w:val="24"/>
        </w:rPr>
        <w:t>–</w:t>
      </w:r>
      <w:r>
        <w:rPr>
          <w:rFonts w:ascii="Arial" w:eastAsia="Times New Roman" w:hAnsi="Arial" w:cs="Times New Roman"/>
          <w:sz w:val="24"/>
          <w:szCs w:val="24"/>
        </w:rPr>
        <w:t xml:space="preserve"> </w:t>
      </w:r>
      <w:r w:rsidR="0081335C">
        <w:rPr>
          <w:rFonts w:ascii="Arial" w:eastAsia="Times New Roman" w:hAnsi="Arial" w:cs="Times New Roman"/>
          <w:sz w:val="24"/>
          <w:szCs w:val="24"/>
        </w:rPr>
        <w:t xml:space="preserve">As of the last audit, </w:t>
      </w:r>
      <w:r>
        <w:rPr>
          <w:rFonts w:ascii="Arial" w:eastAsia="Times New Roman" w:hAnsi="Arial" w:cs="Arial"/>
          <w:snapToGrid w:val="0"/>
          <w:sz w:val="24"/>
          <w:szCs w:val="20"/>
        </w:rPr>
        <w:t>FirstEnergy</w:t>
      </w:r>
      <w:r w:rsidRPr="00326F1F">
        <w:rPr>
          <w:rFonts w:ascii="Arial" w:eastAsia="Times New Roman" w:hAnsi="Arial" w:cs="Arial"/>
          <w:snapToGrid w:val="0"/>
          <w:sz w:val="24"/>
          <w:szCs w:val="20"/>
        </w:rPr>
        <w:t xml:space="preserve"> </w:t>
      </w:r>
      <w:r w:rsidR="004673C9">
        <w:rPr>
          <w:rFonts w:ascii="Arial" w:eastAsia="Times New Roman" w:hAnsi="Arial" w:cs="Arial"/>
          <w:snapToGrid w:val="0"/>
          <w:sz w:val="24"/>
          <w:szCs w:val="20"/>
        </w:rPr>
        <w:t>did</w:t>
      </w:r>
      <w:r w:rsidRPr="00326F1F">
        <w:rPr>
          <w:rFonts w:ascii="Arial" w:eastAsia="Times New Roman" w:hAnsi="Arial" w:cs="Arial"/>
          <w:snapToGrid w:val="0"/>
          <w:sz w:val="24"/>
          <w:szCs w:val="20"/>
        </w:rPr>
        <w:t xml:space="preserve"> not perform cost/benefit analyses to assess the provision of services by each of the </w:t>
      </w:r>
      <w:r w:rsidR="00DC3D9B">
        <w:rPr>
          <w:rFonts w:ascii="Arial" w:eastAsia="Times New Roman" w:hAnsi="Arial" w:cs="Arial"/>
          <w:snapToGrid w:val="0"/>
          <w:sz w:val="24"/>
          <w:szCs w:val="20"/>
        </w:rPr>
        <w:t>FE-PA companies</w:t>
      </w:r>
      <w:r w:rsidRPr="00326F1F">
        <w:rPr>
          <w:rFonts w:ascii="Arial" w:eastAsia="Times New Roman" w:hAnsi="Arial" w:cs="Arial"/>
          <w:snapToGrid w:val="0"/>
          <w:sz w:val="24"/>
          <w:szCs w:val="20"/>
        </w:rPr>
        <w:t xml:space="preserve"> or their affiliates.  Cost/benefit analyses related to the provision of services were not performed during the 2010 through mid-2013 timeframe.  F</w:t>
      </w:r>
      <w:r>
        <w:rPr>
          <w:rFonts w:ascii="Arial" w:eastAsia="Times New Roman" w:hAnsi="Arial" w:cs="Arial"/>
          <w:snapToGrid w:val="0"/>
          <w:sz w:val="24"/>
          <w:szCs w:val="20"/>
        </w:rPr>
        <w:t>irst</w:t>
      </w:r>
      <w:r w:rsidRPr="00326F1F">
        <w:rPr>
          <w:rFonts w:ascii="Arial" w:eastAsia="Times New Roman" w:hAnsi="Arial" w:cs="Arial"/>
          <w:snapToGrid w:val="0"/>
          <w:sz w:val="24"/>
          <w:szCs w:val="20"/>
        </w:rPr>
        <w:t>E</w:t>
      </w:r>
      <w:r>
        <w:rPr>
          <w:rFonts w:ascii="Arial" w:eastAsia="Times New Roman" w:hAnsi="Arial" w:cs="Arial"/>
          <w:snapToGrid w:val="0"/>
          <w:sz w:val="24"/>
          <w:szCs w:val="20"/>
        </w:rPr>
        <w:t>nergy</w:t>
      </w:r>
      <w:r w:rsidRPr="00326F1F">
        <w:rPr>
          <w:rFonts w:ascii="Arial" w:eastAsia="Times New Roman" w:hAnsi="Arial" w:cs="Arial"/>
          <w:snapToGrid w:val="0"/>
          <w:sz w:val="24"/>
          <w:szCs w:val="20"/>
        </w:rPr>
        <w:t xml:space="preserve"> believed that FESC functions were more efficient and effective on a centralized basis.  </w:t>
      </w:r>
      <w:r w:rsidRPr="00326F1F">
        <w:rPr>
          <w:rFonts w:ascii="Arial" w:eastAsia="Times New Roman" w:hAnsi="Arial" w:cs="Arial"/>
          <w:snapToGrid w:val="0"/>
          <w:sz w:val="24"/>
          <w:szCs w:val="24"/>
        </w:rPr>
        <w:t xml:space="preserve">However, without conducting periodic cost/benefit reviews, FirstEnergy was unable to demonstrate that the centralized services received from affiliates were of sufficient quality and cost-competitive with outsourcing options.  </w:t>
      </w:r>
    </w:p>
    <w:p w14:paraId="047FE469" w14:textId="77777777" w:rsidR="00DF6F28" w:rsidRDefault="00DF6F28" w:rsidP="00DF6F28">
      <w:pPr>
        <w:spacing w:after="0" w:line="20" w:lineRule="atLeast"/>
        <w:contextualSpacing/>
        <w:rPr>
          <w:rFonts w:ascii="Arial" w:hAnsi="Arial" w:cs="Arial"/>
          <w:sz w:val="24"/>
          <w:szCs w:val="24"/>
        </w:rPr>
      </w:pPr>
    </w:p>
    <w:p w14:paraId="396A30BD" w14:textId="77777777" w:rsidR="00DF6F28" w:rsidRPr="00490B92" w:rsidRDefault="00DF6F28" w:rsidP="00DF6F28">
      <w:pPr>
        <w:spacing w:after="0" w:line="20" w:lineRule="atLeast"/>
        <w:rPr>
          <w:rFonts w:ascii="Arial" w:eastAsia="Times New Roman" w:hAnsi="Arial" w:cs="Arial"/>
          <w:snapToGrid w:val="0"/>
          <w:sz w:val="24"/>
          <w:szCs w:val="20"/>
        </w:rPr>
      </w:pPr>
      <w:r w:rsidRPr="004D579B">
        <w:rPr>
          <w:rFonts w:ascii="Arial" w:eastAsia="Times New Roman" w:hAnsi="Arial" w:cs="Arial"/>
          <w:b/>
          <w:snapToGrid w:val="0"/>
          <w:sz w:val="24"/>
          <w:szCs w:val="20"/>
          <w:u w:val="single"/>
        </w:rPr>
        <w:t>Prior Recommendation</w:t>
      </w:r>
      <w:r w:rsidRPr="004D579B">
        <w:rPr>
          <w:rFonts w:ascii="Arial" w:eastAsia="Times New Roman" w:hAnsi="Arial" w:cs="Arial"/>
          <w:snapToGrid w:val="0"/>
          <w:sz w:val="24"/>
          <w:szCs w:val="20"/>
        </w:rPr>
        <w:t xml:space="preserve"> </w:t>
      </w:r>
      <w:r w:rsidRPr="00A67D31">
        <w:rPr>
          <w:rFonts w:ascii="Arial" w:eastAsia="Times New Roman" w:hAnsi="Arial" w:cs="Times New Roman"/>
          <w:sz w:val="24"/>
          <w:szCs w:val="24"/>
        </w:rPr>
        <w:t>–</w:t>
      </w:r>
      <w:r>
        <w:rPr>
          <w:rFonts w:ascii="Arial" w:eastAsia="Times New Roman" w:hAnsi="Arial" w:cs="Times New Roman"/>
          <w:sz w:val="24"/>
          <w:szCs w:val="24"/>
        </w:rPr>
        <w:t xml:space="preserve"> </w:t>
      </w:r>
      <w:r w:rsidRPr="00490B92">
        <w:rPr>
          <w:rFonts w:ascii="Arial" w:eastAsia="Times New Roman" w:hAnsi="Arial" w:cs="Arial"/>
          <w:snapToGrid w:val="0"/>
          <w:sz w:val="24"/>
          <w:szCs w:val="20"/>
        </w:rPr>
        <w:t>Perform periodic studies to determine the cost</w:t>
      </w:r>
      <w:r w:rsidRPr="00490B92">
        <w:rPr>
          <w:rFonts w:ascii="Arial" w:eastAsia="Times New Roman" w:hAnsi="Arial" w:cs="Arial"/>
          <w:snapToGrid w:val="0"/>
          <w:sz w:val="24"/>
          <w:szCs w:val="20"/>
        </w:rPr>
        <w:noBreakHyphen/>
        <w:t>competitiveness of affiliate services and solicit bids from other providers when costs appear to be high.</w:t>
      </w:r>
    </w:p>
    <w:p w14:paraId="39DC9D06" w14:textId="77777777" w:rsidR="00DF6F28" w:rsidRPr="00B910D4" w:rsidRDefault="00DF6F28" w:rsidP="00DF6F28">
      <w:pPr>
        <w:spacing w:after="0" w:line="20" w:lineRule="atLeast"/>
        <w:contextualSpacing/>
        <w:rPr>
          <w:rFonts w:ascii="Arial" w:hAnsi="Arial" w:cs="Arial"/>
          <w:sz w:val="24"/>
          <w:szCs w:val="24"/>
        </w:rPr>
      </w:pPr>
    </w:p>
    <w:p w14:paraId="5F80CB44" w14:textId="77777777" w:rsidR="00DF6F28" w:rsidRPr="00326F1F" w:rsidRDefault="00DF6F28" w:rsidP="00DF6F28">
      <w:pPr>
        <w:spacing w:after="0" w:line="20" w:lineRule="atLeast"/>
        <w:contextualSpacing/>
        <w:rPr>
          <w:rFonts w:ascii="Arial" w:eastAsia="Times New Roman" w:hAnsi="Arial" w:cs="Arial"/>
          <w:snapToGrid w:val="0"/>
          <w:sz w:val="24"/>
          <w:szCs w:val="20"/>
        </w:rPr>
      </w:pPr>
      <w:r w:rsidRPr="00B146D6">
        <w:rPr>
          <w:rFonts w:ascii="Arial" w:eastAsia="Times New Roman" w:hAnsi="Arial" w:cs="Times New Roman"/>
          <w:b/>
          <w:sz w:val="24"/>
          <w:szCs w:val="24"/>
          <w:u w:val="single"/>
        </w:rPr>
        <w:t>Follow-</w:t>
      </w:r>
      <w:r>
        <w:rPr>
          <w:rFonts w:ascii="Arial" w:eastAsia="Times New Roman" w:hAnsi="Arial" w:cs="Times New Roman"/>
          <w:b/>
          <w:sz w:val="24"/>
          <w:szCs w:val="24"/>
          <w:u w:val="single"/>
        </w:rPr>
        <w:t>up Finding and Conclusion</w:t>
      </w:r>
      <w:r w:rsidR="00F65A25" w:rsidRPr="00F65A25">
        <w:rPr>
          <w:rFonts w:ascii="Arial" w:eastAsia="Times New Roman" w:hAnsi="Arial" w:cs="Times New Roman"/>
          <w:b/>
          <w:sz w:val="24"/>
          <w:szCs w:val="24"/>
          <w:u w:val="single"/>
        </w:rPr>
        <w:t xml:space="preserve"> </w:t>
      </w:r>
      <w:r w:rsidR="00F65A25">
        <w:rPr>
          <w:rFonts w:ascii="Arial" w:eastAsia="Times New Roman" w:hAnsi="Arial" w:cs="Times New Roman"/>
          <w:b/>
          <w:sz w:val="24"/>
          <w:szCs w:val="24"/>
          <w:u w:val="single"/>
        </w:rPr>
        <w:t>No. V</w:t>
      </w:r>
      <w:r w:rsidR="00F65A25" w:rsidRPr="00B146D6">
        <w:rPr>
          <w:rFonts w:ascii="Arial" w:eastAsia="Times New Roman" w:hAnsi="Arial" w:cs="Times New Roman"/>
          <w:b/>
          <w:sz w:val="24"/>
          <w:szCs w:val="24"/>
          <w:u w:val="single"/>
        </w:rPr>
        <w:t>-</w:t>
      </w:r>
      <w:r w:rsidR="00F65A25">
        <w:rPr>
          <w:rFonts w:ascii="Arial" w:eastAsia="Times New Roman" w:hAnsi="Arial" w:cs="Times New Roman"/>
          <w:b/>
          <w:sz w:val="24"/>
          <w:szCs w:val="24"/>
          <w:u w:val="single"/>
        </w:rPr>
        <w:t>2</w:t>
      </w:r>
      <w:r w:rsidRPr="00A67D31">
        <w:rPr>
          <w:rFonts w:ascii="Arial" w:eastAsia="Times New Roman" w:hAnsi="Arial" w:cs="Times New Roman"/>
          <w:b/>
          <w:sz w:val="24"/>
          <w:szCs w:val="24"/>
        </w:rPr>
        <w:t xml:space="preserve"> – </w:t>
      </w:r>
      <w:r w:rsidRPr="00326F1F">
        <w:rPr>
          <w:rFonts w:ascii="Arial" w:eastAsia="Times New Roman" w:hAnsi="Arial" w:cs="Arial"/>
          <w:b/>
          <w:snapToGrid w:val="0"/>
          <w:sz w:val="24"/>
          <w:szCs w:val="20"/>
        </w:rPr>
        <w:t xml:space="preserve">The FE-PA </w:t>
      </w:r>
      <w:r w:rsidR="00070388">
        <w:rPr>
          <w:rFonts w:ascii="Arial" w:eastAsia="Times New Roman" w:hAnsi="Arial" w:cs="Arial"/>
          <w:b/>
          <w:snapToGrid w:val="0"/>
          <w:sz w:val="24"/>
          <w:szCs w:val="20"/>
        </w:rPr>
        <w:t>c</w:t>
      </w:r>
      <w:r w:rsidRPr="00326F1F">
        <w:rPr>
          <w:rFonts w:ascii="Arial" w:eastAsia="Times New Roman" w:hAnsi="Arial" w:cs="Arial"/>
          <w:b/>
          <w:snapToGrid w:val="0"/>
          <w:sz w:val="24"/>
          <w:szCs w:val="20"/>
        </w:rPr>
        <w:t>ompanies do not perform studies which compare the costs for affiliate services with the costs that would be incurred if such services were outsourced.</w:t>
      </w:r>
    </w:p>
    <w:p w14:paraId="6B02D29B" w14:textId="77777777" w:rsidR="00DF6F28" w:rsidRDefault="00DF6F28" w:rsidP="00DF6F28">
      <w:pPr>
        <w:spacing w:after="0" w:line="20" w:lineRule="atLeast"/>
        <w:jc w:val="both"/>
        <w:rPr>
          <w:rFonts w:ascii="Arial" w:eastAsia="Times New Roman" w:hAnsi="Arial" w:cs="Arial"/>
          <w:snapToGrid w:val="0"/>
          <w:sz w:val="24"/>
          <w:szCs w:val="20"/>
        </w:rPr>
      </w:pPr>
    </w:p>
    <w:p w14:paraId="66567B84" w14:textId="77777777" w:rsidR="00B77D24" w:rsidRDefault="00DF6F28" w:rsidP="00DF6F28">
      <w:pPr>
        <w:widowControl w:val="0"/>
        <w:spacing w:after="0" w:line="20" w:lineRule="atLeast"/>
        <w:rPr>
          <w:rFonts w:ascii="Arial" w:eastAsia="Times New Roman" w:hAnsi="Arial" w:cs="Arial"/>
          <w:snapToGrid w:val="0"/>
          <w:sz w:val="24"/>
          <w:szCs w:val="20"/>
        </w:rPr>
      </w:pPr>
      <w:r>
        <w:rPr>
          <w:rFonts w:ascii="Arial" w:eastAsia="Times New Roman" w:hAnsi="Arial" w:cs="Arial"/>
          <w:b/>
          <w:snapToGrid w:val="0"/>
          <w:sz w:val="24"/>
          <w:szCs w:val="20"/>
          <w:u w:val="single"/>
        </w:rPr>
        <w:t>Current Review</w:t>
      </w:r>
      <w:r w:rsidRPr="00700C15">
        <w:rPr>
          <w:rFonts w:ascii="Arial" w:eastAsia="Times New Roman" w:hAnsi="Arial" w:cs="Arial"/>
          <w:snapToGrid w:val="0"/>
          <w:sz w:val="24"/>
          <w:szCs w:val="20"/>
        </w:rPr>
        <w:t xml:space="preserve"> </w:t>
      </w:r>
      <w:r>
        <w:rPr>
          <w:rFonts w:ascii="Arial" w:eastAsia="Times New Roman" w:hAnsi="Arial" w:cs="Arial"/>
          <w:snapToGrid w:val="0"/>
          <w:sz w:val="24"/>
          <w:szCs w:val="20"/>
        </w:rPr>
        <w:t xml:space="preserve">- </w:t>
      </w:r>
      <w:r w:rsidRPr="00326F1F">
        <w:rPr>
          <w:rFonts w:ascii="Arial" w:eastAsia="Times New Roman" w:hAnsi="Arial" w:cs="Arial"/>
          <w:snapToGrid w:val="0"/>
          <w:sz w:val="24"/>
          <w:szCs w:val="20"/>
        </w:rPr>
        <w:t>F</w:t>
      </w:r>
      <w:r>
        <w:rPr>
          <w:rFonts w:ascii="Arial" w:eastAsia="Times New Roman" w:hAnsi="Arial" w:cs="Arial"/>
          <w:snapToGrid w:val="0"/>
          <w:sz w:val="24"/>
          <w:szCs w:val="20"/>
        </w:rPr>
        <w:t>irst</w:t>
      </w:r>
      <w:r w:rsidRPr="00326F1F">
        <w:rPr>
          <w:rFonts w:ascii="Arial" w:eastAsia="Times New Roman" w:hAnsi="Arial" w:cs="Arial"/>
          <w:snapToGrid w:val="0"/>
          <w:sz w:val="24"/>
          <w:szCs w:val="20"/>
        </w:rPr>
        <w:t>E</w:t>
      </w:r>
      <w:r>
        <w:rPr>
          <w:rFonts w:ascii="Arial" w:eastAsia="Times New Roman" w:hAnsi="Arial" w:cs="Arial"/>
          <w:snapToGrid w:val="0"/>
          <w:sz w:val="24"/>
          <w:szCs w:val="20"/>
        </w:rPr>
        <w:t>nergy</w:t>
      </w:r>
      <w:r w:rsidRPr="00326F1F">
        <w:rPr>
          <w:rFonts w:ascii="Arial" w:eastAsia="Times New Roman" w:hAnsi="Arial" w:cs="Arial"/>
          <w:snapToGrid w:val="0"/>
          <w:sz w:val="24"/>
          <w:szCs w:val="20"/>
        </w:rPr>
        <w:t xml:space="preserve"> </w:t>
      </w:r>
      <w:r>
        <w:rPr>
          <w:rFonts w:ascii="Arial" w:eastAsia="Times New Roman" w:hAnsi="Arial" w:cs="Arial"/>
          <w:snapToGrid w:val="0"/>
          <w:sz w:val="24"/>
          <w:szCs w:val="20"/>
        </w:rPr>
        <w:t>stated</w:t>
      </w:r>
      <w:r w:rsidRPr="00326F1F">
        <w:rPr>
          <w:rFonts w:ascii="Arial" w:eastAsia="Times New Roman" w:hAnsi="Arial" w:cs="Arial"/>
          <w:snapToGrid w:val="0"/>
          <w:sz w:val="24"/>
          <w:szCs w:val="20"/>
        </w:rPr>
        <w:t xml:space="preserve"> that while cost owners may not directly compare their costs to that of using outside vendors, they have processes in place to ensure services provided are of high quality and competitively priced.  F</w:t>
      </w:r>
      <w:r>
        <w:rPr>
          <w:rFonts w:ascii="Arial" w:eastAsia="Times New Roman" w:hAnsi="Arial" w:cs="Arial"/>
          <w:snapToGrid w:val="0"/>
          <w:sz w:val="24"/>
          <w:szCs w:val="20"/>
        </w:rPr>
        <w:t>irst</w:t>
      </w:r>
      <w:r w:rsidRPr="00326F1F">
        <w:rPr>
          <w:rFonts w:ascii="Arial" w:eastAsia="Times New Roman" w:hAnsi="Arial" w:cs="Arial"/>
          <w:snapToGrid w:val="0"/>
          <w:sz w:val="24"/>
          <w:szCs w:val="20"/>
        </w:rPr>
        <w:t>E</w:t>
      </w:r>
      <w:r>
        <w:rPr>
          <w:rFonts w:ascii="Arial" w:eastAsia="Times New Roman" w:hAnsi="Arial" w:cs="Arial"/>
          <w:snapToGrid w:val="0"/>
          <w:sz w:val="24"/>
          <w:szCs w:val="20"/>
        </w:rPr>
        <w:t>nergy</w:t>
      </w:r>
      <w:r w:rsidRPr="00326F1F">
        <w:rPr>
          <w:rFonts w:ascii="Arial" w:eastAsia="Times New Roman" w:hAnsi="Arial" w:cs="Arial"/>
          <w:snapToGrid w:val="0"/>
          <w:sz w:val="24"/>
          <w:szCs w:val="20"/>
        </w:rPr>
        <w:t xml:space="preserve"> </w:t>
      </w:r>
      <w:r>
        <w:rPr>
          <w:rFonts w:ascii="Arial" w:eastAsia="Times New Roman" w:hAnsi="Arial" w:cs="Arial"/>
          <w:snapToGrid w:val="0"/>
          <w:sz w:val="24"/>
          <w:szCs w:val="20"/>
        </w:rPr>
        <w:t xml:space="preserve">continued by stating that it </w:t>
      </w:r>
      <w:r w:rsidRPr="00326F1F">
        <w:rPr>
          <w:rFonts w:ascii="Arial" w:eastAsia="Times New Roman" w:hAnsi="Arial" w:cs="Arial"/>
          <w:snapToGrid w:val="0"/>
          <w:sz w:val="24"/>
          <w:szCs w:val="20"/>
        </w:rPr>
        <w:t>uses its annual budgeting process to ensure that the services provided to its affiliates are cost competitive</w:t>
      </w:r>
      <w:r>
        <w:rPr>
          <w:rFonts w:ascii="Arial" w:eastAsia="Times New Roman" w:hAnsi="Arial" w:cs="Arial"/>
          <w:snapToGrid w:val="0"/>
          <w:sz w:val="24"/>
          <w:szCs w:val="20"/>
        </w:rPr>
        <w:t xml:space="preserve">, and that </w:t>
      </w:r>
      <w:r w:rsidRPr="00326F1F">
        <w:rPr>
          <w:rFonts w:ascii="Arial" w:eastAsia="Times New Roman" w:hAnsi="Arial" w:cs="Arial"/>
          <w:snapToGrid w:val="0"/>
          <w:sz w:val="24"/>
          <w:szCs w:val="20"/>
        </w:rPr>
        <w:t>F</w:t>
      </w:r>
      <w:r>
        <w:rPr>
          <w:rFonts w:ascii="Arial" w:eastAsia="Times New Roman" w:hAnsi="Arial" w:cs="Arial"/>
          <w:snapToGrid w:val="0"/>
          <w:sz w:val="24"/>
          <w:szCs w:val="20"/>
        </w:rPr>
        <w:t>irst</w:t>
      </w:r>
      <w:r w:rsidRPr="00326F1F">
        <w:rPr>
          <w:rFonts w:ascii="Arial" w:eastAsia="Times New Roman" w:hAnsi="Arial" w:cs="Arial"/>
          <w:snapToGrid w:val="0"/>
          <w:sz w:val="24"/>
          <w:szCs w:val="20"/>
        </w:rPr>
        <w:t>E</w:t>
      </w:r>
      <w:r>
        <w:rPr>
          <w:rFonts w:ascii="Arial" w:eastAsia="Times New Roman" w:hAnsi="Arial" w:cs="Arial"/>
          <w:snapToGrid w:val="0"/>
          <w:sz w:val="24"/>
          <w:szCs w:val="20"/>
        </w:rPr>
        <w:t>nergy</w:t>
      </w:r>
      <w:r w:rsidRPr="00326F1F">
        <w:rPr>
          <w:rFonts w:ascii="Arial" w:eastAsia="Times New Roman" w:hAnsi="Arial" w:cs="Arial"/>
          <w:snapToGrid w:val="0"/>
          <w:sz w:val="24"/>
          <w:szCs w:val="20"/>
        </w:rPr>
        <w:t xml:space="preserve">’s cost structure is continually reviewed by executive management, requiring cost owners to justify that the level of services is high quality and the associated costs are competitive.  This review requires cost center owners to review all services and costs, with a focus on ensuring that the costs of affiliate services, including labor costs, such as wages and benefits, and costs other than labor, such as contractor costs, are competitive.  </w:t>
      </w:r>
    </w:p>
    <w:p w14:paraId="1ECD76DC" w14:textId="77777777" w:rsidR="00B77D24" w:rsidRDefault="00B77D24" w:rsidP="00DF6F28">
      <w:pPr>
        <w:widowControl w:val="0"/>
        <w:spacing w:after="0" w:line="20" w:lineRule="atLeast"/>
        <w:rPr>
          <w:rFonts w:ascii="Arial" w:eastAsia="Times New Roman" w:hAnsi="Arial" w:cs="Arial"/>
          <w:snapToGrid w:val="0"/>
          <w:sz w:val="24"/>
          <w:szCs w:val="20"/>
        </w:rPr>
      </w:pPr>
    </w:p>
    <w:p w14:paraId="4B558BB8" w14:textId="77777777" w:rsidR="00B77D24" w:rsidRDefault="00DF6F28" w:rsidP="00B77D24">
      <w:pPr>
        <w:widowControl w:val="0"/>
        <w:spacing w:after="0" w:line="20" w:lineRule="atLeast"/>
        <w:ind w:firstLine="720"/>
        <w:rPr>
          <w:rFonts w:ascii="Arial" w:eastAsia="Times New Roman" w:hAnsi="Arial" w:cs="Arial"/>
          <w:snapToGrid w:val="0"/>
          <w:sz w:val="24"/>
          <w:szCs w:val="20"/>
        </w:rPr>
      </w:pPr>
      <w:r w:rsidRPr="00326F1F">
        <w:rPr>
          <w:rFonts w:ascii="Arial" w:eastAsia="Times New Roman" w:hAnsi="Arial" w:cs="Arial"/>
          <w:snapToGrid w:val="0"/>
          <w:sz w:val="24"/>
          <w:szCs w:val="20"/>
        </w:rPr>
        <w:t xml:space="preserve">Cost center owners review their headcount and labor costs by working with </w:t>
      </w:r>
      <w:r>
        <w:rPr>
          <w:rFonts w:ascii="Arial" w:eastAsia="Times New Roman" w:hAnsi="Arial" w:cs="Arial"/>
          <w:snapToGrid w:val="0"/>
          <w:sz w:val="24"/>
          <w:szCs w:val="20"/>
        </w:rPr>
        <w:t xml:space="preserve">FirstEnergy’s </w:t>
      </w:r>
      <w:r w:rsidRPr="00326F1F">
        <w:rPr>
          <w:rFonts w:ascii="Arial" w:eastAsia="Times New Roman" w:hAnsi="Arial" w:cs="Arial"/>
          <w:snapToGrid w:val="0"/>
          <w:sz w:val="24"/>
          <w:szCs w:val="20"/>
        </w:rPr>
        <w:t>Human Resources on the competitiveness of employe</w:t>
      </w:r>
      <w:r>
        <w:rPr>
          <w:rFonts w:ascii="Arial" w:eastAsia="Times New Roman" w:hAnsi="Arial" w:cs="Arial"/>
          <w:snapToGrid w:val="0"/>
          <w:sz w:val="24"/>
          <w:szCs w:val="20"/>
        </w:rPr>
        <w:t xml:space="preserve">e wages and benefits.  </w:t>
      </w:r>
      <w:r w:rsidRPr="00326F1F">
        <w:rPr>
          <w:rFonts w:ascii="Arial" w:eastAsia="Times New Roman" w:hAnsi="Arial" w:cs="Arial"/>
          <w:snapToGrid w:val="0"/>
          <w:sz w:val="24"/>
          <w:szCs w:val="20"/>
        </w:rPr>
        <w:t>For the labor component of costs (i.e., wages and benefits), Human Resources is responsible for ensuring that the wages and benefits provided to employees are competitive and in accordance with the compensation policy as set forth by F</w:t>
      </w:r>
      <w:r>
        <w:rPr>
          <w:rFonts w:ascii="Arial" w:eastAsia="Times New Roman" w:hAnsi="Arial" w:cs="Arial"/>
          <w:snapToGrid w:val="0"/>
          <w:sz w:val="24"/>
          <w:szCs w:val="20"/>
        </w:rPr>
        <w:t>irst</w:t>
      </w:r>
      <w:r w:rsidRPr="00326F1F">
        <w:rPr>
          <w:rFonts w:ascii="Arial" w:eastAsia="Times New Roman" w:hAnsi="Arial" w:cs="Arial"/>
          <w:snapToGrid w:val="0"/>
          <w:sz w:val="24"/>
          <w:szCs w:val="20"/>
        </w:rPr>
        <w:t>E</w:t>
      </w:r>
      <w:r>
        <w:rPr>
          <w:rFonts w:ascii="Arial" w:eastAsia="Times New Roman" w:hAnsi="Arial" w:cs="Arial"/>
          <w:snapToGrid w:val="0"/>
          <w:sz w:val="24"/>
          <w:szCs w:val="20"/>
        </w:rPr>
        <w:t>nergy</w:t>
      </w:r>
      <w:r w:rsidRPr="00326F1F">
        <w:rPr>
          <w:rFonts w:ascii="Arial" w:eastAsia="Times New Roman" w:hAnsi="Arial" w:cs="Arial"/>
          <w:snapToGrid w:val="0"/>
          <w:sz w:val="24"/>
          <w:szCs w:val="20"/>
        </w:rPr>
        <w:t>’s Board of Directors.  This requires benchmarking studies and comparisons of wages and benefits across the utility industry</w:t>
      </w:r>
      <w:r>
        <w:rPr>
          <w:rFonts w:ascii="Arial" w:eastAsia="Times New Roman" w:hAnsi="Arial" w:cs="Arial"/>
          <w:snapToGrid w:val="0"/>
          <w:sz w:val="24"/>
          <w:szCs w:val="20"/>
        </w:rPr>
        <w:t>,</w:t>
      </w:r>
      <w:r w:rsidRPr="00326F1F">
        <w:rPr>
          <w:rFonts w:ascii="Arial" w:eastAsia="Times New Roman" w:hAnsi="Arial" w:cs="Arial"/>
          <w:snapToGrid w:val="0"/>
          <w:sz w:val="24"/>
          <w:szCs w:val="20"/>
        </w:rPr>
        <w:t xml:space="preserve"> as well as other industries.  For other than labor </w:t>
      </w:r>
      <w:r>
        <w:rPr>
          <w:rFonts w:ascii="Arial" w:eastAsia="Times New Roman" w:hAnsi="Arial" w:cs="Arial"/>
          <w:snapToGrid w:val="0"/>
          <w:sz w:val="24"/>
          <w:szCs w:val="20"/>
        </w:rPr>
        <w:t xml:space="preserve">costs (i.e., contractor costs), </w:t>
      </w:r>
      <w:r w:rsidR="00BE0AF7">
        <w:rPr>
          <w:rFonts w:ascii="Arial" w:eastAsia="Times New Roman" w:hAnsi="Arial" w:cs="Arial"/>
          <w:snapToGrid w:val="0"/>
          <w:sz w:val="24"/>
          <w:szCs w:val="20"/>
        </w:rPr>
        <w:t xml:space="preserve">FirstEnergy’s </w:t>
      </w:r>
      <w:r w:rsidRPr="00326F1F">
        <w:rPr>
          <w:rFonts w:ascii="Arial" w:eastAsia="Times New Roman" w:hAnsi="Arial" w:cs="Arial"/>
          <w:snapToGrid w:val="0"/>
          <w:sz w:val="24"/>
          <w:szCs w:val="20"/>
        </w:rPr>
        <w:t xml:space="preserve">Supply Chain </w:t>
      </w:r>
      <w:r w:rsidR="00B77D24" w:rsidRPr="00326F1F">
        <w:rPr>
          <w:rFonts w:ascii="Arial" w:eastAsia="Times New Roman" w:hAnsi="Arial" w:cs="Arial"/>
          <w:snapToGrid w:val="0"/>
          <w:sz w:val="24"/>
          <w:szCs w:val="20"/>
        </w:rPr>
        <w:t>uses</w:t>
      </w:r>
      <w:r w:rsidRPr="00326F1F">
        <w:rPr>
          <w:rFonts w:ascii="Arial" w:eastAsia="Times New Roman" w:hAnsi="Arial" w:cs="Arial"/>
          <w:snapToGrid w:val="0"/>
          <w:sz w:val="24"/>
          <w:szCs w:val="20"/>
        </w:rPr>
        <w:t xml:space="preserve"> a competitive bidding process as its preferred method of sourcing materials, equipment, and services.  The process of soliciting bids ensures that F</w:t>
      </w:r>
      <w:r>
        <w:rPr>
          <w:rFonts w:ascii="Arial" w:eastAsia="Times New Roman" w:hAnsi="Arial" w:cs="Arial"/>
          <w:snapToGrid w:val="0"/>
          <w:sz w:val="24"/>
          <w:szCs w:val="20"/>
        </w:rPr>
        <w:t>irst</w:t>
      </w:r>
      <w:r w:rsidRPr="00326F1F">
        <w:rPr>
          <w:rFonts w:ascii="Arial" w:eastAsia="Times New Roman" w:hAnsi="Arial" w:cs="Arial"/>
          <w:snapToGrid w:val="0"/>
          <w:sz w:val="24"/>
          <w:szCs w:val="20"/>
        </w:rPr>
        <w:t>E</w:t>
      </w:r>
      <w:r>
        <w:rPr>
          <w:rFonts w:ascii="Arial" w:eastAsia="Times New Roman" w:hAnsi="Arial" w:cs="Arial"/>
          <w:snapToGrid w:val="0"/>
          <w:sz w:val="24"/>
          <w:szCs w:val="20"/>
        </w:rPr>
        <w:t>nergy</w:t>
      </w:r>
      <w:r w:rsidRPr="00326F1F">
        <w:rPr>
          <w:rFonts w:ascii="Arial" w:eastAsia="Times New Roman" w:hAnsi="Arial" w:cs="Arial"/>
          <w:snapToGrid w:val="0"/>
          <w:sz w:val="24"/>
          <w:szCs w:val="20"/>
        </w:rPr>
        <w:t xml:space="preserve"> executive management can assess current market costs and the level and quality of services to be provided as part of its routine vendor selection process.  </w:t>
      </w:r>
    </w:p>
    <w:p w14:paraId="2BDDFBB8" w14:textId="77777777" w:rsidR="00B77D24" w:rsidRDefault="00B77D24" w:rsidP="00B77D24">
      <w:pPr>
        <w:widowControl w:val="0"/>
        <w:spacing w:after="0" w:line="20" w:lineRule="atLeast"/>
        <w:ind w:firstLine="720"/>
        <w:rPr>
          <w:rFonts w:ascii="Arial" w:eastAsia="Times New Roman" w:hAnsi="Arial" w:cs="Arial"/>
          <w:snapToGrid w:val="0"/>
          <w:sz w:val="24"/>
          <w:szCs w:val="24"/>
        </w:rPr>
      </w:pPr>
    </w:p>
    <w:p w14:paraId="7E0E8E91" w14:textId="77777777" w:rsidR="00DF6F28" w:rsidRPr="00B77D24" w:rsidRDefault="00DF6F28" w:rsidP="00CB26C5">
      <w:pPr>
        <w:widowControl w:val="0"/>
        <w:spacing w:after="0" w:line="20" w:lineRule="atLeast"/>
        <w:ind w:firstLine="720"/>
        <w:rPr>
          <w:rFonts w:ascii="Arial" w:eastAsia="Times New Roman" w:hAnsi="Arial" w:cs="Arial"/>
          <w:snapToGrid w:val="0"/>
          <w:sz w:val="24"/>
          <w:szCs w:val="20"/>
        </w:rPr>
      </w:pPr>
      <w:r w:rsidRPr="00326F1F">
        <w:rPr>
          <w:rFonts w:ascii="Arial" w:eastAsia="Times New Roman" w:hAnsi="Arial" w:cs="Arial"/>
          <w:snapToGrid w:val="0"/>
          <w:sz w:val="24"/>
          <w:szCs w:val="24"/>
        </w:rPr>
        <w:t>In addition to</w:t>
      </w:r>
      <w:r w:rsidR="00BE0AF7">
        <w:rPr>
          <w:rFonts w:ascii="Arial" w:eastAsia="Times New Roman" w:hAnsi="Arial" w:cs="Arial"/>
          <w:snapToGrid w:val="0"/>
          <w:sz w:val="24"/>
          <w:szCs w:val="24"/>
        </w:rPr>
        <w:t xml:space="preserve"> these processes and</w:t>
      </w:r>
      <w:r w:rsidRPr="00326F1F">
        <w:rPr>
          <w:rFonts w:ascii="Arial" w:eastAsia="Times New Roman" w:hAnsi="Arial" w:cs="Arial"/>
          <w:snapToGrid w:val="0"/>
          <w:sz w:val="24"/>
          <w:szCs w:val="24"/>
        </w:rPr>
        <w:t xml:space="preserve"> the annual budget review, actual costs are reviewed monthly as compared to the budget and the most recent forecast.  F</w:t>
      </w:r>
      <w:r>
        <w:rPr>
          <w:rFonts w:ascii="Arial" w:eastAsia="Times New Roman" w:hAnsi="Arial" w:cs="Arial"/>
          <w:snapToGrid w:val="0"/>
          <w:sz w:val="24"/>
          <w:szCs w:val="24"/>
        </w:rPr>
        <w:t>irst</w:t>
      </w:r>
      <w:r w:rsidRPr="00326F1F">
        <w:rPr>
          <w:rFonts w:ascii="Arial" w:eastAsia="Times New Roman" w:hAnsi="Arial" w:cs="Arial"/>
          <w:snapToGrid w:val="0"/>
          <w:sz w:val="24"/>
          <w:szCs w:val="24"/>
        </w:rPr>
        <w:t>E</w:t>
      </w:r>
      <w:r>
        <w:rPr>
          <w:rFonts w:ascii="Arial" w:eastAsia="Times New Roman" w:hAnsi="Arial" w:cs="Arial"/>
          <w:snapToGrid w:val="0"/>
          <w:sz w:val="24"/>
          <w:szCs w:val="24"/>
        </w:rPr>
        <w:t>nergy</w:t>
      </w:r>
      <w:r w:rsidRPr="00326F1F">
        <w:rPr>
          <w:rFonts w:ascii="Arial" w:eastAsia="Times New Roman" w:hAnsi="Arial" w:cs="Arial"/>
          <w:snapToGrid w:val="0"/>
          <w:sz w:val="24"/>
          <w:szCs w:val="24"/>
        </w:rPr>
        <w:t xml:space="preserve"> management reviews results, including the budgeting and forecasting process, through a cloud-based reporting solution.  It is a common database with predefined/standard reports developed to analyze detailed actual, budgeting and forecasting information and ensures each employee with approved access views the same information.  These cloud-based reports include, but are not limited to, Balance Sheets, Income Statements, Cash Flow Statements, Labor, Headcount, Cost Owner, etc.</w:t>
      </w:r>
    </w:p>
    <w:p w14:paraId="0F8050E2" w14:textId="77777777" w:rsidR="00DF6F28" w:rsidRDefault="00DF6F28" w:rsidP="00DF6F28">
      <w:pPr>
        <w:spacing w:after="0" w:line="20" w:lineRule="atLeast"/>
        <w:jc w:val="both"/>
        <w:rPr>
          <w:rFonts w:ascii="Arial" w:eastAsia="Times New Roman" w:hAnsi="Arial" w:cs="Arial"/>
          <w:snapToGrid w:val="0"/>
          <w:sz w:val="24"/>
          <w:szCs w:val="20"/>
        </w:rPr>
      </w:pPr>
    </w:p>
    <w:p w14:paraId="48AB997C" w14:textId="77777777" w:rsidR="00DF6F28" w:rsidRPr="003B1437" w:rsidRDefault="00DF6F28" w:rsidP="00DF6F28">
      <w:pPr>
        <w:widowControl w:val="0"/>
        <w:spacing w:after="0" w:line="20" w:lineRule="atLeast"/>
        <w:ind w:firstLine="720"/>
        <w:contextualSpacing/>
        <w:rPr>
          <w:rFonts w:ascii="Arial" w:eastAsia="Times New Roman" w:hAnsi="Arial" w:cs="Arial"/>
          <w:snapToGrid w:val="0"/>
          <w:sz w:val="24"/>
          <w:szCs w:val="24"/>
        </w:rPr>
      </w:pPr>
      <w:r w:rsidRPr="00326F1F">
        <w:rPr>
          <w:rFonts w:ascii="Arial" w:eastAsia="Times New Roman" w:hAnsi="Arial" w:cs="Arial"/>
          <w:snapToGrid w:val="0"/>
          <w:sz w:val="24"/>
          <w:szCs w:val="24"/>
        </w:rPr>
        <w:t xml:space="preserve">The cost of services provided to each of the FE-PA </w:t>
      </w:r>
      <w:r w:rsidR="00070388">
        <w:rPr>
          <w:rFonts w:ascii="Arial" w:eastAsia="Times New Roman" w:hAnsi="Arial" w:cs="Arial"/>
          <w:snapToGrid w:val="0"/>
          <w:sz w:val="24"/>
          <w:szCs w:val="24"/>
        </w:rPr>
        <w:t>c</w:t>
      </w:r>
      <w:r w:rsidRPr="00326F1F">
        <w:rPr>
          <w:rFonts w:ascii="Arial" w:eastAsia="Times New Roman" w:hAnsi="Arial" w:cs="Arial"/>
          <w:snapToGrid w:val="0"/>
          <w:sz w:val="24"/>
          <w:szCs w:val="24"/>
        </w:rPr>
        <w:t xml:space="preserve">ompanies by its affiliates should be periodically evaluated (e.g., every three years) to assure that such services are high quality, cost-competitive services.  </w:t>
      </w:r>
      <w:r w:rsidR="00222B96">
        <w:rPr>
          <w:rFonts w:ascii="Arial" w:eastAsia="Times New Roman" w:hAnsi="Arial" w:cs="Arial"/>
          <w:snapToGrid w:val="0"/>
          <w:sz w:val="24"/>
          <w:szCs w:val="24"/>
        </w:rPr>
        <w:t>These</w:t>
      </w:r>
      <w:r w:rsidR="00222B96" w:rsidRPr="00326F1F">
        <w:rPr>
          <w:rFonts w:ascii="Arial" w:eastAsia="Times New Roman" w:hAnsi="Arial" w:cs="Arial"/>
          <w:snapToGrid w:val="0"/>
          <w:sz w:val="24"/>
          <w:szCs w:val="24"/>
        </w:rPr>
        <w:t xml:space="preserve"> </w:t>
      </w:r>
      <w:r w:rsidRPr="00326F1F">
        <w:rPr>
          <w:rFonts w:ascii="Arial" w:eastAsia="Times New Roman" w:hAnsi="Arial" w:cs="Arial"/>
          <w:snapToGrid w:val="0"/>
          <w:sz w:val="24"/>
          <w:szCs w:val="24"/>
        </w:rPr>
        <w:t>studies would confirm the cost</w:t>
      </w:r>
      <w:r>
        <w:rPr>
          <w:rFonts w:ascii="Arial" w:eastAsia="Times New Roman" w:hAnsi="Arial" w:cs="Arial"/>
          <w:snapToGrid w:val="0"/>
          <w:sz w:val="24"/>
          <w:szCs w:val="24"/>
        </w:rPr>
        <w:noBreakHyphen/>
      </w:r>
      <w:r w:rsidRPr="00326F1F">
        <w:rPr>
          <w:rFonts w:ascii="Arial" w:eastAsia="Times New Roman" w:hAnsi="Arial" w:cs="Arial"/>
          <w:snapToGrid w:val="0"/>
          <w:sz w:val="24"/>
          <w:szCs w:val="24"/>
        </w:rPr>
        <w:t xml:space="preserve">competitiveness of centralized corporate functions as compared to outsourcing these functions.  Without conducting periodic cost/benefit reviews, </w:t>
      </w:r>
      <w:r>
        <w:rPr>
          <w:rFonts w:ascii="Arial" w:eastAsia="Times New Roman" w:hAnsi="Arial" w:cs="Arial"/>
          <w:snapToGrid w:val="0"/>
          <w:sz w:val="24"/>
          <w:szCs w:val="24"/>
        </w:rPr>
        <w:t>FirstEnergy</w:t>
      </w:r>
      <w:r w:rsidRPr="00326F1F">
        <w:rPr>
          <w:rFonts w:ascii="Arial" w:eastAsia="Times New Roman" w:hAnsi="Arial" w:cs="Arial"/>
          <w:snapToGrid w:val="0"/>
          <w:sz w:val="24"/>
          <w:szCs w:val="24"/>
        </w:rPr>
        <w:t xml:space="preserve"> </w:t>
      </w:r>
      <w:r>
        <w:rPr>
          <w:rFonts w:ascii="Arial" w:eastAsia="Times New Roman" w:hAnsi="Arial" w:cs="Arial"/>
          <w:snapToGrid w:val="0"/>
          <w:sz w:val="24"/>
          <w:szCs w:val="24"/>
        </w:rPr>
        <w:t>cannot sufficiently</w:t>
      </w:r>
      <w:r w:rsidRPr="00326F1F">
        <w:rPr>
          <w:rFonts w:ascii="Arial" w:eastAsia="Times New Roman" w:hAnsi="Arial" w:cs="Arial"/>
          <w:snapToGrid w:val="0"/>
          <w:sz w:val="24"/>
          <w:szCs w:val="24"/>
        </w:rPr>
        <w:t xml:space="preserve"> demonstrate that the centralized services received from affiliates were of sufficient quality and cost-competitive with outsourcing options.</w:t>
      </w:r>
      <w:r>
        <w:rPr>
          <w:rFonts w:ascii="Arial" w:eastAsia="Times New Roman" w:hAnsi="Arial" w:cs="Arial"/>
          <w:snapToGrid w:val="0"/>
          <w:sz w:val="24"/>
          <w:szCs w:val="24"/>
        </w:rPr>
        <w:t xml:space="preserve">  </w:t>
      </w:r>
      <w:r w:rsidRPr="00326F1F">
        <w:rPr>
          <w:rFonts w:ascii="Arial" w:eastAsia="Times New Roman" w:hAnsi="Arial" w:cs="Arial"/>
          <w:snapToGrid w:val="0"/>
          <w:sz w:val="24"/>
          <w:szCs w:val="24"/>
        </w:rPr>
        <w:t xml:space="preserve">FirstEnergy relies on the processes described above </w:t>
      </w:r>
      <w:r w:rsidR="00F964AE" w:rsidRPr="00326F1F">
        <w:rPr>
          <w:rFonts w:ascii="Arial" w:eastAsia="Times New Roman" w:hAnsi="Arial" w:cs="Arial"/>
          <w:snapToGrid w:val="0"/>
          <w:sz w:val="24"/>
          <w:szCs w:val="24"/>
        </w:rPr>
        <w:t>to</w:t>
      </w:r>
      <w:r w:rsidRPr="00326F1F">
        <w:rPr>
          <w:rFonts w:ascii="Arial" w:eastAsia="Times New Roman" w:hAnsi="Arial" w:cs="Arial"/>
          <w:snapToGrid w:val="0"/>
          <w:sz w:val="24"/>
          <w:szCs w:val="24"/>
        </w:rPr>
        <w:t xml:space="preserve"> determine the cost-competitiveness of affiliate services; however, the reliance on Human Resources to ensure wages and benefits provided to employees are competitive is not the same as determining that the costs of providing specific services internally are competitive compared to </w:t>
      </w:r>
      <w:r>
        <w:rPr>
          <w:rFonts w:ascii="Arial" w:eastAsia="Times New Roman" w:hAnsi="Arial" w:cs="Arial"/>
          <w:snapToGrid w:val="0"/>
          <w:sz w:val="24"/>
          <w:szCs w:val="24"/>
        </w:rPr>
        <w:t xml:space="preserve">market </w:t>
      </w:r>
      <w:r w:rsidRPr="00326F1F">
        <w:rPr>
          <w:rFonts w:ascii="Arial" w:eastAsia="Times New Roman" w:hAnsi="Arial" w:cs="Arial"/>
          <w:snapToGrid w:val="0"/>
          <w:sz w:val="24"/>
          <w:szCs w:val="24"/>
        </w:rPr>
        <w:t>for the same service.</w:t>
      </w:r>
    </w:p>
    <w:p w14:paraId="7A2C0A67" w14:textId="77777777" w:rsidR="00DF6F28" w:rsidRDefault="00DF6F28" w:rsidP="00DF6F28">
      <w:pPr>
        <w:spacing w:after="0" w:line="20" w:lineRule="atLeast"/>
        <w:jc w:val="both"/>
        <w:rPr>
          <w:rFonts w:ascii="Arial" w:eastAsia="Times New Roman" w:hAnsi="Arial" w:cs="Arial"/>
          <w:b/>
          <w:snapToGrid w:val="0"/>
          <w:sz w:val="24"/>
          <w:szCs w:val="20"/>
          <w:u w:val="single"/>
        </w:rPr>
      </w:pPr>
    </w:p>
    <w:p w14:paraId="069801E4" w14:textId="77777777" w:rsidR="00DF6F28" w:rsidRPr="00897591" w:rsidRDefault="00DF6F28" w:rsidP="00DF6F28">
      <w:pPr>
        <w:tabs>
          <w:tab w:val="left" w:pos="810"/>
        </w:tabs>
        <w:spacing w:after="0" w:line="20" w:lineRule="atLeast"/>
        <w:jc w:val="both"/>
        <w:rPr>
          <w:rFonts w:ascii="Arial" w:eastAsia="Times New Roman" w:hAnsi="Arial" w:cs="Arial"/>
          <w:b/>
          <w:snapToGrid w:val="0"/>
          <w:sz w:val="24"/>
          <w:szCs w:val="20"/>
        </w:rPr>
      </w:pPr>
      <w:r w:rsidRPr="00C208C1">
        <w:rPr>
          <w:rFonts w:ascii="Arial" w:eastAsia="Times New Roman" w:hAnsi="Arial" w:cs="Arial"/>
          <w:b/>
          <w:snapToGrid w:val="0"/>
          <w:sz w:val="24"/>
          <w:szCs w:val="20"/>
          <w:u w:val="single"/>
        </w:rPr>
        <w:t>Follow-up Recommendation</w:t>
      </w:r>
      <w:r w:rsidRPr="00C208C1">
        <w:rPr>
          <w:rFonts w:ascii="Arial" w:eastAsia="Times New Roman" w:hAnsi="Arial" w:cs="Arial"/>
          <w:b/>
          <w:snapToGrid w:val="0"/>
          <w:sz w:val="24"/>
          <w:szCs w:val="20"/>
        </w:rPr>
        <w:t xml:space="preserve"> – </w:t>
      </w:r>
      <w:r w:rsidRPr="00897591">
        <w:rPr>
          <w:rFonts w:ascii="Arial" w:eastAsia="Times New Roman" w:hAnsi="Arial" w:cs="Arial"/>
          <w:b/>
          <w:snapToGrid w:val="0"/>
          <w:sz w:val="24"/>
          <w:szCs w:val="20"/>
        </w:rPr>
        <w:t xml:space="preserve">Conduct periodic studies to determine if </w:t>
      </w:r>
      <w:r>
        <w:rPr>
          <w:rFonts w:ascii="Arial" w:eastAsia="Times New Roman" w:hAnsi="Arial" w:cs="Arial"/>
          <w:b/>
          <w:snapToGrid w:val="0"/>
          <w:sz w:val="24"/>
          <w:szCs w:val="20"/>
        </w:rPr>
        <w:t xml:space="preserve">and to </w:t>
      </w:r>
      <w:r w:rsidR="00314B89">
        <w:rPr>
          <w:rFonts w:ascii="Arial" w:eastAsia="Times New Roman" w:hAnsi="Arial" w:cs="Arial"/>
          <w:b/>
          <w:snapToGrid w:val="0"/>
          <w:sz w:val="24"/>
          <w:szCs w:val="20"/>
        </w:rPr>
        <w:t>what extent</w:t>
      </w:r>
      <w:r>
        <w:rPr>
          <w:rFonts w:ascii="Arial" w:eastAsia="Times New Roman" w:hAnsi="Arial" w:cs="Arial"/>
          <w:b/>
          <w:snapToGrid w:val="0"/>
          <w:sz w:val="24"/>
          <w:szCs w:val="20"/>
        </w:rPr>
        <w:t xml:space="preserve"> </w:t>
      </w:r>
      <w:r w:rsidRPr="00897591">
        <w:rPr>
          <w:rFonts w:ascii="Arial" w:eastAsia="Times New Roman" w:hAnsi="Arial" w:cs="Arial"/>
          <w:b/>
          <w:snapToGrid w:val="0"/>
          <w:sz w:val="24"/>
          <w:szCs w:val="20"/>
        </w:rPr>
        <w:t>the use of outside vendors for affiliate services is cost-justified.</w:t>
      </w:r>
    </w:p>
    <w:p w14:paraId="108D2DAC" w14:textId="77777777" w:rsidR="00DF6F28" w:rsidRDefault="00DF6F28">
      <w:pPr>
        <w:rPr>
          <w:rFonts w:ascii="Arial" w:eastAsia="Times New Roman" w:hAnsi="Arial" w:cs="Arial"/>
          <w:b/>
          <w:snapToGrid w:val="0"/>
          <w:sz w:val="24"/>
          <w:szCs w:val="20"/>
        </w:rPr>
      </w:pPr>
      <w:r>
        <w:rPr>
          <w:rFonts w:ascii="Arial" w:eastAsia="Times New Roman" w:hAnsi="Arial" w:cs="Arial"/>
          <w:b/>
          <w:snapToGrid w:val="0"/>
          <w:sz w:val="24"/>
          <w:szCs w:val="20"/>
        </w:rPr>
        <w:br w:type="page"/>
      </w:r>
    </w:p>
    <w:p w14:paraId="131DC88C" w14:textId="77777777" w:rsidR="00992B93" w:rsidRPr="003D39B7" w:rsidRDefault="00992B93" w:rsidP="00992B93">
      <w:pPr>
        <w:spacing w:after="0" w:line="20" w:lineRule="atLeast"/>
        <w:contextualSpacing/>
        <w:jc w:val="center"/>
        <w:rPr>
          <w:rFonts w:ascii="Arial" w:eastAsia="Times New Roman" w:hAnsi="Arial" w:cs="Times New Roman"/>
          <w:b/>
          <w:sz w:val="26"/>
          <w:szCs w:val="26"/>
        </w:rPr>
      </w:pPr>
      <w:r>
        <w:rPr>
          <w:rFonts w:ascii="Arial" w:eastAsia="Times New Roman" w:hAnsi="Arial" w:cs="Times New Roman"/>
          <w:b/>
          <w:sz w:val="26"/>
          <w:szCs w:val="26"/>
        </w:rPr>
        <w:t>VI. FINANCIAL MANAGEMENT</w:t>
      </w:r>
    </w:p>
    <w:p w14:paraId="78A36B03" w14:textId="77777777" w:rsidR="00992B93" w:rsidRPr="003D39B7" w:rsidRDefault="00992B93" w:rsidP="00992B93">
      <w:pPr>
        <w:spacing w:after="0" w:line="20" w:lineRule="atLeast"/>
        <w:contextualSpacing/>
        <w:rPr>
          <w:rFonts w:ascii="Arial" w:eastAsia="Times New Roman" w:hAnsi="Arial" w:cs="Times New Roman"/>
          <w:sz w:val="24"/>
          <w:szCs w:val="20"/>
        </w:rPr>
      </w:pPr>
    </w:p>
    <w:p w14:paraId="304D4F39" w14:textId="77777777" w:rsidR="00992B93" w:rsidRDefault="00992B93" w:rsidP="00992B93">
      <w:pPr>
        <w:spacing w:after="0" w:line="20" w:lineRule="atLeast"/>
        <w:contextualSpacing/>
        <w:rPr>
          <w:rFonts w:ascii="Arial" w:eastAsia="Times New Roman" w:hAnsi="Arial" w:cs="Times New Roman"/>
          <w:sz w:val="24"/>
          <w:szCs w:val="20"/>
        </w:rPr>
      </w:pPr>
    </w:p>
    <w:p w14:paraId="20E4FE5F" w14:textId="77777777" w:rsidR="00992B93" w:rsidRDefault="00992B93" w:rsidP="00992B93">
      <w:pPr>
        <w:spacing w:after="0" w:line="240" w:lineRule="auto"/>
        <w:contextualSpacing/>
        <w:rPr>
          <w:rFonts w:ascii="Arial" w:eastAsia="Times New Roman" w:hAnsi="Arial" w:cs="Times New Roman"/>
          <w:sz w:val="24"/>
          <w:szCs w:val="24"/>
        </w:rPr>
      </w:pPr>
      <w:r w:rsidRPr="00A67D31">
        <w:rPr>
          <w:rFonts w:ascii="Arial" w:eastAsia="Times New Roman" w:hAnsi="Arial" w:cs="Times New Roman"/>
          <w:b/>
          <w:sz w:val="24"/>
          <w:szCs w:val="24"/>
          <w:u w:val="single"/>
        </w:rPr>
        <w:t>Background</w:t>
      </w:r>
      <w:r w:rsidRPr="004D579B">
        <w:rPr>
          <w:rFonts w:ascii="Arial" w:eastAsia="Times New Roman" w:hAnsi="Arial" w:cs="Times New Roman"/>
          <w:sz w:val="24"/>
          <w:szCs w:val="24"/>
        </w:rPr>
        <w:t xml:space="preserve"> </w:t>
      </w:r>
      <w:r w:rsidRPr="00A67D31">
        <w:rPr>
          <w:rFonts w:ascii="Arial" w:eastAsia="Times New Roman" w:hAnsi="Arial" w:cs="Times New Roman"/>
          <w:sz w:val="24"/>
          <w:szCs w:val="24"/>
        </w:rPr>
        <w:t xml:space="preserve">– </w:t>
      </w:r>
      <w:r w:rsidR="0065773A">
        <w:rPr>
          <w:rFonts w:ascii="Arial" w:eastAsia="Times New Roman" w:hAnsi="Arial" w:cs="Times New Roman"/>
          <w:sz w:val="24"/>
          <w:szCs w:val="24"/>
        </w:rPr>
        <w:t xml:space="preserve">As part of normal business activities, the FE-PA companies conduct business with FirstEnergy and its subsidiaries, including FirstEnergy Service Company (FESC), which provides various administrative and general services for the FE-PA companies and other affiliated companies.  </w:t>
      </w:r>
      <w:r w:rsidR="00E87E71">
        <w:rPr>
          <w:rFonts w:ascii="Arial" w:eastAsia="Times New Roman" w:hAnsi="Arial" w:cs="Times New Roman"/>
          <w:sz w:val="24"/>
          <w:szCs w:val="24"/>
        </w:rPr>
        <w:t xml:space="preserve">The Finance organization is part of FESC.  </w:t>
      </w:r>
      <w:r w:rsidR="00A3064F" w:rsidRPr="007C465E">
        <w:rPr>
          <w:rFonts w:ascii="Arial" w:eastAsia="Times New Roman" w:hAnsi="Arial" w:cs="Times New Roman"/>
          <w:sz w:val="24"/>
          <w:szCs w:val="24"/>
        </w:rPr>
        <w:t xml:space="preserve">The </w:t>
      </w:r>
      <w:r w:rsidR="00A3064F">
        <w:rPr>
          <w:rFonts w:ascii="Arial" w:eastAsia="Times New Roman" w:hAnsi="Arial" w:cs="Times New Roman"/>
          <w:sz w:val="24"/>
          <w:szCs w:val="24"/>
        </w:rPr>
        <w:t xml:space="preserve">2014 </w:t>
      </w:r>
      <w:r w:rsidR="00A3064F" w:rsidRPr="007C465E">
        <w:rPr>
          <w:rFonts w:ascii="Arial" w:eastAsia="Times New Roman" w:hAnsi="Arial" w:cs="Times New Roman"/>
          <w:sz w:val="24"/>
          <w:szCs w:val="24"/>
        </w:rPr>
        <w:t xml:space="preserve">Focused Management and Operations Audit of </w:t>
      </w:r>
      <w:r w:rsidR="00A3064F">
        <w:rPr>
          <w:rFonts w:ascii="Arial" w:eastAsia="Times New Roman" w:hAnsi="Arial" w:cs="Times New Roman"/>
          <w:sz w:val="24"/>
          <w:szCs w:val="24"/>
        </w:rPr>
        <w:t xml:space="preserve">the </w:t>
      </w:r>
      <w:r w:rsidR="00DC3D9B">
        <w:rPr>
          <w:rFonts w:ascii="Arial" w:eastAsia="Times New Roman" w:hAnsi="Arial" w:cs="Times New Roman"/>
          <w:sz w:val="24"/>
          <w:szCs w:val="24"/>
        </w:rPr>
        <w:t>FE-PA companies</w:t>
      </w:r>
      <w:r w:rsidR="00A3064F">
        <w:rPr>
          <w:rFonts w:ascii="Arial" w:eastAsia="Times New Roman" w:hAnsi="Arial" w:cs="Times New Roman"/>
          <w:sz w:val="24"/>
          <w:szCs w:val="24"/>
        </w:rPr>
        <w:t xml:space="preserve"> </w:t>
      </w:r>
      <w:r w:rsidR="003039B2">
        <w:rPr>
          <w:rFonts w:ascii="Arial" w:eastAsia="Times New Roman" w:hAnsi="Arial" w:cs="Times New Roman"/>
          <w:sz w:val="24"/>
          <w:szCs w:val="24"/>
        </w:rPr>
        <w:t>examined the Financial Management function</w:t>
      </w:r>
      <w:r w:rsidR="003039B2">
        <w:rPr>
          <w:rFonts w:ascii="Arial" w:hAnsi="Arial" w:cs="Arial"/>
          <w:sz w:val="24"/>
          <w:szCs w:val="24"/>
        </w:rPr>
        <w:t>, which</w:t>
      </w:r>
      <w:r w:rsidR="003039B2" w:rsidRPr="00C209CF">
        <w:rPr>
          <w:rFonts w:ascii="Arial" w:hAnsi="Arial" w:cs="Arial"/>
          <w:sz w:val="24"/>
          <w:szCs w:val="24"/>
        </w:rPr>
        <w:t xml:space="preserve"> included a review of </w:t>
      </w:r>
      <w:r w:rsidR="003039B2" w:rsidRPr="00011C07">
        <w:rPr>
          <w:rFonts w:ascii="Arial" w:eastAsiaTheme="minorEastAsia" w:hAnsi="Arial" w:cs="Arial"/>
          <w:color w:val="000000"/>
          <w:sz w:val="24"/>
          <w:szCs w:val="24"/>
        </w:rPr>
        <w:t>short-term and long-term financing, the accounting organization and the extent of automation used in the accounting system, the internal audi</w:t>
      </w:r>
      <w:r w:rsidR="003039B2">
        <w:rPr>
          <w:rFonts w:ascii="Arial" w:eastAsiaTheme="minorEastAsia" w:hAnsi="Arial" w:cs="Arial"/>
          <w:color w:val="000000"/>
          <w:sz w:val="24"/>
          <w:szCs w:val="24"/>
        </w:rPr>
        <w:t xml:space="preserve">t process, cash management, </w:t>
      </w:r>
      <w:r w:rsidR="003039B2" w:rsidRPr="00011C07">
        <w:rPr>
          <w:rFonts w:ascii="Arial" w:eastAsiaTheme="minorEastAsia" w:hAnsi="Arial" w:cs="Arial"/>
          <w:color w:val="000000"/>
          <w:sz w:val="24"/>
          <w:szCs w:val="24"/>
        </w:rPr>
        <w:t>the capital and O&amp;M budgeting process</w:t>
      </w:r>
      <w:r w:rsidR="003039B2">
        <w:rPr>
          <w:rFonts w:ascii="Arial" w:eastAsiaTheme="minorEastAsia" w:hAnsi="Arial" w:cs="Arial"/>
          <w:color w:val="000000"/>
          <w:sz w:val="24"/>
          <w:szCs w:val="24"/>
        </w:rPr>
        <w:t xml:space="preserve">, dividend policies, and the funding status of the pension plan.  </w:t>
      </w:r>
      <w:r w:rsidR="003039B2" w:rsidRPr="007C465E">
        <w:rPr>
          <w:rFonts w:ascii="Arial" w:eastAsia="Times New Roman" w:hAnsi="Arial" w:cs="Times New Roman"/>
          <w:sz w:val="24"/>
          <w:szCs w:val="24"/>
        </w:rPr>
        <w:t>The</w:t>
      </w:r>
      <w:r w:rsidR="003039B2">
        <w:rPr>
          <w:rFonts w:ascii="Arial" w:eastAsia="Times New Roman" w:hAnsi="Arial" w:cs="Times New Roman"/>
          <w:sz w:val="24"/>
          <w:szCs w:val="24"/>
        </w:rPr>
        <w:t xml:space="preserve"> PUC</w:t>
      </w:r>
      <w:r w:rsidR="003039B2" w:rsidRPr="007C465E">
        <w:rPr>
          <w:rFonts w:ascii="Arial" w:eastAsia="Times New Roman" w:hAnsi="Arial" w:cs="Times New Roman"/>
          <w:sz w:val="24"/>
          <w:szCs w:val="24"/>
        </w:rPr>
        <w:t xml:space="preserve"> </w:t>
      </w:r>
      <w:r w:rsidR="003039B2">
        <w:rPr>
          <w:rFonts w:ascii="Arial" w:eastAsia="Times New Roman" w:hAnsi="Arial" w:cs="Times New Roman"/>
          <w:sz w:val="24"/>
          <w:szCs w:val="24"/>
        </w:rPr>
        <w:t>auditors</w:t>
      </w:r>
      <w:r w:rsidR="003039B2" w:rsidRPr="007C465E">
        <w:rPr>
          <w:rFonts w:ascii="Arial" w:eastAsia="Times New Roman" w:hAnsi="Arial" w:cs="Times New Roman"/>
          <w:sz w:val="24"/>
          <w:szCs w:val="24"/>
        </w:rPr>
        <w:t xml:space="preserve"> </w:t>
      </w:r>
      <w:r w:rsidR="003039B2">
        <w:rPr>
          <w:rFonts w:ascii="Arial" w:eastAsia="Times New Roman" w:hAnsi="Arial" w:cs="Times New Roman"/>
          <w:sz w:val="24"/>
          <w:szCs w:val="24"/>
        </w:rPr>
        <w:t xml:space="preserve">issued </w:t>
      </w:r>
      <w:r>
        <w:rPr>
          <w:rFonts w:ascii="Arial" w:eastAsia="Times New Roman" w:hAnsi="Arial" w:cs="Times New Roman"/>
          <w:sz w:val="24"/>
          <w:szCs w:val="24"/>
        </w:rPr>
        <w:t>one recommendation</w:t>
      </w:r>
      <w:r w:rsidRPr="007C465E">
        <w:rPr>
          <w:rFonts w:ascii="Arial" w:eastAsia="Times New Roman" w:hAnsi="Arial" w:cs="Times New Roman"/>
          <w:sz w:val="24"/>
          <w:szCs w:val="24"/>
        </w:rPr>
        <w:t xml:space="preserve"> </w:t>
      </w:r>
      <w:r w:rsidR="008C6E36">
        <w:rPr>
          <w:rFonts w:ascii="Arial" w:eastAsia="Times New Roman" w:hAnsi="Arial" w:cs="Times New Roman"/>
          <w:sz w:val="24"/>
          <w:szCs w:val="24"/>
        </w:rPr>
        <w:t>in</w:t>
      </w:r>
      <w:r w:rsidRPr="007C465E">
        <w:rPr>
          <w:rFonts w:ascii="Arial" w:eastAsia="Times New Roman" w:hAnsi="Arial" w:cs="Times New Roman"/>
          <w:sz w:val="24"/>
          <w:szCs w:val="24"/>
        </w:rPr>
        <w:t xml:space="preserve"> the </w:t>
      </w:r>
      <w:r>
        <w:rPr>
          <w:rFonts w:ascii="Arial" w:eastAsia="Times New Roman" w:hAnsi="Arial" w:cs="Times New Roman"/>
          <w:sz w:val="24"/>
          <w:szCs w:val="24"/>
        </w:rPr>
        <w:t xml:space="preserve">Financial Management </w:t>
      </w:r>
      <w:r w:rsidRPr="007C465E">
        <w:rPr>
          <w:rFonts w:ascii="Arial" w:eastAsia="Times New Roman" w:hAnsi="Arial" w:cs="Times New Roman"/>
          <w:sz w:val="24"/>
          <w:szCs w:val="24"/>
        </w:rPr>
        <w:t>chapter</w:t>
      </w:r>
      <w:r w:rsidR="003039B2">
        <w:rPr>
          <w:rFonts w:ascii="Arial" w:eastAsia="Times New Roman" w:hAnsi="Arial" w:cs="Times New Roman"/>
          <w:sz w:val="24"/>
          <w:szCs w:val="24"/>
        </w:rPr>
        <w:t xml:space="preserve"> and </w:t>
      </w:r>
      <w:r w:rsidRPr="007C465E">
        <w:rPr>
          <w:rFonts w:ascii="Arial" w:eastAsia="Times New Roman" w:hAnsi="Arial" w:cs="Times New Roman"/>
          <w:sz w:val="24"/>
          <w:szCs w:val="24"/>
        </w:rPr>
        <w:t xml:space="preserve">rated </w:t>
      </w:r>
      <w:r>
        <w:rPr>
          <w:rFonts w:ascii="Arial" w:eastAsia="Times New Roman" w:hAnsi="Arial" w:cs="Times New Roman"/>
          <w:sz w:val="24"/>
          <w:szCs w:val="24"/>
        </w:rPr>
        <w:t>the</w:t>
      </w:r>
      <w:r w:rsidRPr="007C465E">
        <w:rPr>
          <w:rFonts w:ascii="Arial" w:eastAsia="Times New Roman" w:hAnsi="Arial" w:cs="Times New Roman"/>
          <w:sz w:val="24"/>
          <w:szCs w:val="24"/>
        </w:rPr>
        <w:t xml:space="preserve"> functional area as needing </w:t>
      </w:r>
      <w:r>
        <w:rPr>
          <w:rFonts w:ascii="Arial" w:eastAsia="Times New Roman" w:hAnsi="Arial" w:cs="Times New Roman"/>
          <w:sz w:val="24"/>
          <w:szCs w:val="24"/>
        </w:rPr>
        <w:t xml:space="preserve">minor improvement.  In this chapter, one </w:t>
      </w:r>
      <w:r w:rsidRPr="007C465E">
        <w:rPr>
          <w:rFonts w:ascii="Arial" w:eastAsia="Times New Roman" w:hAnsi="Arial" w:cs="Times New Roman"/>
          <w:sz w:val="24"/>
          <w:szCs w:val="24"/>
        </w:rPr>
        <w:t xml:space="preserve">prior recommendation and </w:t>
      </w:r>
      <w:r>
        <w:rPr>
          <w:rFonts w:ascii="Arial" w:eastAsia="Times New Roman" w:hAnsi="Arial" w:cs="Times New Roman"/>
          <w:sz w:val="24"/>
          <w:szCs w:val="24"/>
        </w:rPr>
        <w:t xml:space="preserve">one </w:t>
      </w:r>
      <w:r w:rsidRPr="007C465E">
        <w:rPr>
          <w:rFonts w:ascii="Arial" w:eastAsia="Times New Roman" w:hAnsi="Arial" w:cs="Times New Roman"/>
          <w:sz w:val="24"/>
          <w:szCs w:val="24"/>
        </w:rPr>
        <w:t>prior situation</w:t>
      </w:r>
      <w:r>
        <w:rPr>
          <w:rFonts w:ascii="Arial" w:eastAsia="Times New Roman" w:hAnsi="Arial" w:cs="Times New Roman"/>
          <w:sz w:val="24"/>
          <w:szCs w:val="24"/>
        </w:rPr>
        <w:t xml:space="preserve"> is</w:t>
      </w:r>
      <w:r w:rsidRPr="007C465E">
        <w:rPr>
          <w:rFonts w:ascii="Arial" w:eastAsia="Times New Roman" w:hAnsi="Arial" w:cs="Times New Roman"/>
          <w:sz w:val="24"/>
          <w:szCs w:val="24"/>
        </w:rPr>
        <w:t xml:space="preserve"> reviewed and </w:t>
      </w:r>
      <w:r>
        <w:rPr>
          <w:rFonts w:ascii="Arial" w:eastAsia="Times New Roman" w:hAnsi="Arial" w:cs="Times New Roman"/>
          <w:sz w:val="24"/>
          <w:szCs w:val="24"/>
        </w:rPr>
        <w:t xml:space="preserve">one </w:t>
      </w:r>
      <w:r w:rsidRPr="007C465E">
        <w:rPr>
          <w:rFonts w:ascii="Arial" w:eastAsia="Times New Roman" w:hAnsi="Arial" w:cs="Times New Roman"/>
          <w:sz w:val="24"/>
          <w:szCs w:val="24"/>
        </w:rPr>
        <w:t>follow</w:t>
      </w:r>
      <w:r w:rsidRPr="007C465E">
        <w:rPr>
          <w:rFonts w:ascii="Arial" w:eastAsia="Times New Roman" w:hAnsi="Arial" w:cs="Times New Roman"/>
          <w:sz w:val="24"/>
          <w:szCs w:val="24"/>
        </w:rPr>
        <w:noBreakHyphen/>
        <w:t>up finding</w:t>
      </w:r>
      <w:r>
        <w:rPr>
          <w:rFonts w:ascii="Arial" w:eastAsia="Times New Roman" w:hAnsi="Arial" w:cs="Times New Roman"/>
          <w:sz w:val="24"/>
          <w:szCs w:val="24"/>
        </w:rPr>
        <w:t xml:space="preserve"> and no</w:t>
      </w:r>
      <w:r w:rsidRPr="00F47DF7">
        <w:rPr>
          <w:rFonts w:ascii="Arial" w:eastAsia="Times New Roman" w:hAnsi="Arial" w:cs="Times New Roman"/>
          <w:sz w:val="24"/>
          <w:szCs w:val="24"/>
        </w:rPr>
        <w:t xml:space="preserve"> follow-up recommendation</w:t>
      </w:r>
      <w:r>
        <w:rPr>
          <w:rFonts w:ascii="Arial" w:eastAsia="Times New Roman" w:hAnsi="Arial" w:cs="Times New Roman"/>
          <w:sz w:val="24"/>
          <w:szCs w:val="24"/>
        </w:rPr>
        <w:t xml:space="preserve"> is </w:t>
      </w:r>
      <w:r w:rsidRPr="007C465E">
        <w:rPr>
          <w:rFonts w:ascii="Arial" w:eastAsia="Times New Roman" w:hAnsi="Arial" w:cs="Times New Roman"/>
          <w:sz w:val="24"/>
          <w:szCs w:val="24"/>
        </w:rPr>
        <w:t>presented.</w:t>
      </w:r>
    </w:p>
    <w:p w14:paraId="0BFF52FD" w14:textId="77777777" w:rsidR="00992B93" w:rsidRDefault="00992B93" w:rsidP="00992B93">
      <w:pPr>
        <w:spacing w:after="0" w:line="240" w:lineRule="auto"/>
        <w:contextualSpacing/>
        <w:rPr>
          <w:rFonts w:ascii="Arial" w:eastAsia="Times New Roman" w:hAnsi="Arial" w:cs="Times New Roman"/>
          <w:sz w:val="24"/>
          <w:szCs w:val="24"/>
        </w:rPr>
      </w:pPr>
    </w:p>
    <w:p w14:paraId="5D1F6A88" w14:textId="77777777" w:rsidR="00992B93" w:rsidRPr="00DE3B16" w:rsidRDefault="00992B93" w:rsidP="00992B93">
      <w:pPr>
        <w:spacing w:after="0" w:line="240" w:lineRule="auto"/>
        <w:contextualSpacing/>
        <w:jc w:val="center"/>
        <w:rPr>
          <w:rFonts w:ascii="Arial" w:eastAsia="Times New Roman" w:hAnsi="Arial" w:cs="Times New Roman"/>
          <w:b/>
          <w:sz w:val="24"/>
          <w:szCs w:val="24"/>
          <w:u w:val="single"/>
        </w:rPr>
      </w:pPr>
      <w:r>
        <w:rPr>
          <w:rFonts w:ascii="Arial" w:eastAsia="Times New Roman" w:hAnsi="Arial" w:cs="Times New Roman"/>
          <w:b/>
          <w:sz w:val="24"/>
          <w:szCs w:val="24"/>
          <w:u w:val="single"/>
        </w:rPr>
        <w:t>Finding No. VI-1</w:t>
      </w:r>
    </w:p>
    <w:p w14:paraId="1946CD35" w14:textId="77777777" w:rsidR="00992B93" w:rsidRPr="00A67D31" w:rsidRDefault="00992B93" w:rsidP="00992B93">
      <w:pPr>
        <w:spacing w:after="0" w:line="240" w:lineRule="auto"/>
        <w:contextualSpacing/>
        <w:rPr>
          <w:rFonts w:ascii="Arial" w:eastAsia="Times New Roman" w:hAnsi="Arial" w:cs="Times New Roman"/>
          <w:sz w:val="24"/>
          <w:szCs w:val="24"/>
          <w:highlight w:val="yellow"/>
        </w:rPr>
      </w:pPr>
    </w:p>
    <w:p w14:paraId="4C3B3003" w14:textId="77777777" w:rsidR="00515573" w:rsidRDefault="00992B93" w:rsidP="00992B93">
      <w:pPr>
        <w:spacing w:line="240" w:lineRule="auto"/>
        <w:ind w:firstLine="720"/>
        <w:rPr>
          <w:rFonts w:ascii="Arial" w:eastAsia="Times New Roman" w:hAnsi="Arial" w:cs="Arial"/>
          <w:snapToGrid w:val="0"/>
          <w:sz w:val="24"/>
          <w:szCs w:val="20"/>
        </w:rPr>
      </w:pPr>
      <w:r w:rsidRPr="004D579B">
        <w:rPr>
          <w:rFonts w:ascii="Arial" w:hAnsi="Arial" w:cs="Arial"/>
          <w:b/>
          <w:sz w:val="24"/>
          <w:szCs w:val="24"/>
          <w:u w:val="single"/>
        </w:rPr>
        <w:t>Prior Situation</w:t>
      </w:r>
      <w:r w:rsidRPr="004D579B">
        <w:rPr>
          <w:rFonts w:ascii="Arial" w:hAnsi="Arial" w:cs="Arial"/>
          <w:b/>
          <w:sz w:val="24"/>
          <w:szCs w:val="24"/>
        </w:rPr>
        <w:t xml:space="preserve"> </w:t>
      </w:r>
      <w:r w:rsidRPr="00A67D31">
        <w:rPr>
          <w:rFonts w:ascii="Arial" w:eastAsia="Times New Roman" w:hAnsi="Arial" w:cs="Times New Roman"/>
          <w:sz w:val="24"/>
          <w:szCs w:val="24"/>
        </w:rPr>
        <w:t>–</w:t>
      </w:r>
      <w:r>
        <w:rPr>
          <w:rFonts w:ascii="Arial" w:eastAsia="Times New Roman" w:hAnsi="Arial" w:cs="Times New Roman"/>
          <w:sz w:val="24"/>
          <w:szCs w:val="24"/>
        </w:rPr>
        <w:t xml:space="preserve"> </w:t>
      </w:r>
      <w:r w:rsidR="00A3064F">
        <w:rPr>
          <w:rFonts w:ascii="Arial" w:eastAsia="Times New Roman" w:hAnsi="Arial" w:cs="Times New Roman"/>
          <w:sz w:val="24"/>
          <w:szCs w:val="24"/>
        </w:rPr>
        <w:t xml:space="preserve">As of the last audit, </w:t>
      </w:r>
      <w:r w:rsidR="00A3064F">
        <w:rPr>
          <w:rFonts w:ascii="Arial" w:eastAsia="Times New Roman" w:hAnsi="Arial" w:cs="Arial"/>
          <w:snapToGrid w:val="0"/>
          <w:sz w:val="24"/>
          <w:szCs w:val="20"/>
        </w:rPr>
        <w:t>t</w:t>
      </w:r>
      <w:r w:rsidRPr="00017EF0">
        <w:rPr>
          <w:rFonts w:ascii="Arial" w:eastAsia="Times New Roman" w:hAnsi="Arial" w:cs="Arial"/>
          <w:snapToGrid w:val="0"/>
          <w:sz w:val="24"/>
          <w:szCs w:val="20"/>
        </w:rPr>
        <w:t xml:space="preserve">he FE-PA </w:t>
      </w:r>
      <w:r w:rsidR="00A3064F">
        <w:rPr>
          <w:rFonts w:ascii="Arial" w:eastAsia="Times New Roman" w:hAnsi="Arial" w:cs="Arial"/>
          <w:snapToGrid w:val="0"/>
          <w:sz w:val="24"/>
          <w:szCs w:val="20"/>
        </w:rPr>
        <w:t>c</w:t>
      </w:r>
      <w:r w:rsidRPr="00017EF0">
        <w:rPr>
          <w:rFonts w:ascii="Arial" w:eastAsia="Times New Roman" w:hAnsi="Arial" w:cs="Arial"/>
          <w:snapToGrid w:val="0"/>
          <w:sz w:val="24"/>
          <w:szCs w:val="20"/>
        </w:rPr>
        <w:t xml:space="preserve">ompanies did not have documented internal dividend policies.  Although relevant factors </w:t>
      </w:r>
      <w:r w:rsidR="00ED5717">
        <w:rPr>
          <w:rFonts w:ascii="Arial" w:eastAsia="Times New Roman" w:hAnsi="Arial" w:cs="Arial"/>
          <w:snapToGrid w:val="0"/>
          <w:sz w:val="24"/>
          <w:szCs w:val="20"/>
        </w:rPr>
        <w:t xml:space="preserve">were </w:t>
      </w:r>
      <w:r w:rsidRPr="00017EF0">
        <w:rPr>
          <w:rFonts w:ascii="Arial" w:eastAsia="Times New Roman" w:hAnsi="Arial" w:cs="Arial"/>
          <w:snapToGrid w:val="0"/>
          <w:sz w:val="24"/>
          <w:szCs w:val="20"/>
        </w:rPr>
        <w:t xml:space="preserve">considered in determining dividend payments to the parent, there was no written documentation related to dividend policies for the FE-PA </w:t>
      </w:r>
      <w:r w:rsidR="00ED5717">
        <w:rPr>
          <w:rFonts w:ascii="Arial" w:eastAsia="Times New Roman" w:hAnsi="Arial" w:cs="Arial"/>
          <w:snapToGrid w:val="0"/>
          <w:sz w:val="24"/>
          <w:szCs w:val="20"/>
        </w:rPr>
        <w:t>c</w:t>
      </w:r>
      <w:r w:rsidRPr="00017EF0">
        <w:rPr>
          <w:rFonts w:ascii="Arial" w:eastAsia="Times New Roman" w:hAnsi="Arial" w:cs="Arial"/>
          <w:snapToGrid w:val="0"/>
          <w:sz w:val="24"/>
          <w:szCs w:val="20"/>
        </w:rPr>
        <w:t>ompanies and its parent, FirstEnergy, or for any of FirstEnergy’s other subsidiaries.  Therefore, no expressed representation existed as to what to expect about the use of funds for future dividend payments</w:t>
      </w:r>
      <w:r>
        <w:rPr>
          <w:rFonts w:ascii="Arial" w:eastAsia="Times New Roman" w:hAnsi="Arial" w:cs="Arial"/>
          <w:snapToGrid w:val="0"/>
          <w:sz w:val="24"/>
          <w:szCs w:val="20"/>
        </w:rPr>
        <w:t>.</w:t>
      </w:r>
      <w:r w:rsidR="00617F1E">
        <w:rPr>
          <w:rFonts w:ascii="Arial" w:eastAsia="Times New Roman" w:hAnsi="Arial" w:cs="Arial"/>
          <w:snapToGrid w:val="0"/>
          <w:sz w:val="24"/>
          <w:szCs w:val="20"/>
        </w:rPr>
        <w:t xml:space="preserve">  </w:t>
      </w:r>
      <w:r w:rsidR="00515573">
        <w:rPr>
          <w:rFonts w:ascii="Arial" w:eastAsia="Times New Roman" w:hAnsi="Arial" w:cs="Arial"/>
          <w:snapToGrid w:val="0"/>
          <w:sz w:val="24"/>
          <w:szCs w:val="20"/>
        </w:rPr>
        <w:t>D</w:t>
      </w:r>
      <w:r w:rsidR="009C2C54">
        <w:rPr>
          <w:rFonts w:ascii="Arial" w:eastAsia="Times New Roman" w:hAnsi="Arial" w:cs="Arial"/>
          <w:snapToGrid w:val="0"/>
          <w:sz w:val="24"/>
          <w:szCs w:val="20"/>
        </w:rPr>
        <w:t xml:space="preserve">ividends paid, net income and the dividend payout ratio for the FE-PA companies </w:t>
      </w:r>
      <w:r w:rsidR="00515573">
        <w:rPr>
          <w:rFonts w:ascii="Arial" w:eastAsia="Times New Roman" w:hAnsi="Arial" w:cs="Arial"/>
          <w:snapToGrid w:val="0"/>
          <w:sz w:val="24"/>
          <w:szCs w:val="20"/>
        </w:rPr>
        <w:t xml:space="preserve">for the years 2008 through 2013 are shown in Exhibit VI-1.  </w:t>
      </w:r>
    </w:p>
    <w:p w14:paraId="15ADC10E" w14:textId="77777777" w:rsidR="000A5C17" w:rsidRDefault="0054316F" w:rsidP="0054316F">
      <w:pPr>
        <w:spacing w:after="0" w:line="240" w:lineRule="auto"/>
        <w:ind w:firstLine="720"/>
        <w:rPr>
          <w:rFonts w:ascii="Arial" w:hAnsi="Arial" w:cs="Arial"/>
          <w:sz w:val="24"/>
          <w:szCs w:val="24"/>
        </w:rPr>
      </w:pPr>
      <w:r w:rsidRPr="00017EF0">
        <w:rPr>
          <w:rFonts w:ascii="Arial" w:eastAsia="Times New Roman" w:hAnsi="Arial" w:cs="Arial"/>
          <w:snapToGrid w:val="0"/>
          <w:sz w:val="24"/>
          <w:szCs w:val="20"/>
        </w:rPr>
        <w:t>Both the 2007 Management Audit and 2011 Management Efficiency Investigation (MEI)</w:t>
      </w:r>
      <w:r>
        <w:rPr>
          <w:rFonts w:ascii="Arial" w:hAnsi="Arial" w:cs="Arial"/>
          <w:sz w:val="24"/>
          <w:szCs w:val="24"/>
        </w:rPr>
        <w:t xml:space="preserve"> identified some of these high dividend payments and</w:t>
      </w:r>
      <w:r w:rsidRPr="00017EF0">
        <w:rPr>
          <w:rFonts w:ascii="Arial" w:eastAsia="Times New Roman" w:hAnsi="Arial" w:cs="Arial"/>
          <w:snapToGrid w:val="0"/>
          <w:sz w:val="24"/>
          <w:szCs w:val="20"/>
        </w:rPr>
        <w:t xml:space="preserve"> recommended that the FE</w:t>
      </w:r>
      <w:r w:rsidR="00C77E7D">
        <w:rPr>
          <w:rFonts w:ascii="Arial" w:eastAsia="Times New Roman" w:hAnsi="Arial" w:cs="Arial"/>
          <w:snapToGrid w:val="0"/>
          <w:sz w:val="24"/>
          <w:szCs w:val="20"/>
        </w:rPr>
        <w:noBreakHyphen/>
      </w:r>
      <w:r w:rsidRPr="00017EF0">
        <w:rPr>
          <w:rFonts w:ascii="Arial" w:eastAsia="Times New Roman" w:hAnsi="Arial" w:cs="Arial"/>
          <w:snapToGrid w:val="0"/>
          <w:sz w:val="24"/>
          <w:szCs w:val="20"/>
        </w:rPr>
        <w:t xml:space="preserve">PA </w:t>
      </w:r>
      <w:r>
        <w:rPr>
          <w:rFonts w:ascii="Arial" w:eastAsia="Times New Roman" w:hAnsi="Arial" w:cs="Arial"/>
          <w:snapToGrid w:val="0"/>
          <w:sz w:val="24"/>
          <w:szCs w:val="20"/>
        </w:rPr>
        <w:t>c</w:t>
      </w:r>
      <w:r w:rsidRPr="00017EF0">
        <w:rPr>
          <w:rFonts w:ascii="Arial" w:eastAsia="Times New Roman" w:hAnsi="Arial" w:cs="Arial"/>
          <w:snapToGrid w:val="0"/>
          <w:sz w:val="24"/>
          <w:szCs w:val="20"/>
        </w:rPr>
        <w:t>ompanies provide the Pennsylvania Public Utility Commission (PUC or Commission) with advanced notice and explanation of the circumstances warranting an annual dividend payment exceeding 85</w:t>
      </w:r>
      <w:r>
        <w:rPr>
          <w:rFonts w:ascii="Arial" w:eastAsia="Times New Roman" w:hAnsi="Arial" w:cs="Arial"/>
          <w:snapToGrid w:val="0"/>
          <w:sz w:val="24"/>
          <w:szCs w:val="20"/>
        </w:rPr>
        <w:t>%</w:t>
      </w:r>
      <w:r w:rsidRPr="00017EF0">
        <w:rPr>
          <w:rFonts w:ascii="Arial" w:eastAsia="Times New Roman" w:hAnsi="Arial" w:cs="Arial"/>
          <w:snapToGrid w:val="0"/>
          <w:sz w:val="24"/>
          <w:szCs w:val="20"/>
        </w:rPr>
        <w:t xml:space="preserve"> of net income</w:t>
      </w:r>
      <w:r>
        <w:rPr>
          <w:rFonts w:ascii="Arial" w:eastAsia="Times New Roman" w:hAnsi="Arial" w:cs="Arial"/>
          <w:snapToGrid w:val="0"/>
          <w:sz w:val="24"/>
          <w:szCs w:val="20"/>
        </w:rPr>
        <w:t>.  T</w:t>
      </w:r>
      <w:r w:rsidRPr="00017EF0">
        <w:rPr>
          <w:rFonts w:ascii="Arial" w:eastAsia="Times New Roman" w:hAnsi="Arial" w:cs="Arial"/>
          <w:snapToGrid w:val="0"/>
          <w:sz w:val="24"/>
          <w:szCs w:val="20"/>
        </w:rPr>
        <w:t xml:space="preserve">he FE-PA </w:t>
      </w:r>
      <w:r>
        <w:rPr>
          <w:rFonts w:ascii="Arial" w:eastAsia="Times New Roman" w:hAnsi="Arial" w:cs="Arial"/>
          <w:snapToGrid w:val="0"/>
          <w:sz w:val="24"/>
          <w:szCs w:val="20"/>
        </w:rPr>
        <w:t>c</w:t>
      </w:r>
      <w:r w:rsidRPr="00017EF0">
        <w:rPr>
          <w:rFonts w:ascii="Arial" w:eastAsia="Times New Roman" w:hAnsi="Arial" w:cs="Arial"/>
          <w:snapToGrid w:val="0"/>
          <w:sz w:val="24"/>
          <w:szCs w:val="20"/>
        </w:rPr>
        <w:t>ompanies rejected these recommendations</w:t>
      </w:r>
      <w:r w:rsidRPr="00875FAF">
        <w:rPr>
          <w:rFonts w:ascii="Arial" w:hAnsi="Arial" w:cs="Arial"/>
          <w:sz w:val="24"/>
          <w:szCs w:val="24"/>
        </w:rPr>
        <w:t xml:space="preserve"> </w:t>
      </w:r>
      <w:r>
        <w:rPr>
          <w:rFonts w:ascii="Arial" w:hAnsi="Arial" w:cs="Arial"/>
          <w:sz w:val="24"/>
          <w:szCs w:val="24"/>
        </w:rPr>
        <w:t xml:space="preserve">in both the 2007 Management Audit and 2011 MEI as part of their Implementation Plan submissions.  </w:t>
      </w:r>
    </w:p>
    <w:p w14:paraId="45D3E105" w14:textId="77777777" w:rsidR="000A5C17" w:rsidRDefault="000A5C17" w:rsidP="0054316F">
      <w:pPr>
        <w:spacing w:after="0" w:line="240" w:lineRule="auto"/>
        <w:ind w:firstLine="720"/>
        <w:rPr>
          <w:rFonts w:ascii="Arial" w:hAnsi="Arial" w:cs="Arial"/>
          <w:sz w:val="24"/>
          <w:szCs w:val="24"/>
        </w:rPr>
      </w:pPr>
    </w:p>
    <w:p w14:paraId="6C6C59BA" w14:textId="77777777" w:rsidR="0054316F" w:rsidRDefault="0054316F" w:rsidP="0054316F">
      <w:pPr>
        <w:spacing w:after="0" w:line="240" w:lineRule="auto"/>
        <w:ind w:firstLine="720"/>
        <w:rPr>
          <w:rFonts w:ascii="Arial" w:eastAsia="Times New Roman" w:hAnsi="Arial" w:cs="Arial"/>
          <w:snapToGrid w:val="0"/>
          <w:sz w:val="24"/>
          <w:szCs w:val="20"/>
        </w:rPr>
      </w:pPr>
      <w:r>
        <w:rPr>
          <w:rFonts w:ascii="Arial" w:hAnsi="Arial" w:cs="Arial"/>
          <w:sz w:val="24"/>
          <w:szCs w:val="24"/>
        </w:rPr>
        <w:t>After the release of the 2011 MEI report and associated FE-PA companies Implementation Plan, the Commission issued</w:t>
      </w:r>
      <w:r w:rsidRPr="00017EF0">
        <w:rPr>
          <w:rFonts w:ascii="Arial" w:eastAsia="Times New Roman" w:hAnsi="Arial" w:cs="Arial"/>
          <w:snapToGrid w:val="0"/>
          <w:sz w:val="24"/>
          <w:szCs w:val="20"/>
        </w:rPr>
        <w:t xml:space="preserve"> a Final Order </w:t>
      </w:r>
      <w:r>
        <w:rPr>
          <w:rFonts w:ascii="Arial" w:eastAsia="Times New Roman" w:hAnsi="Arial" w:cs="Arial"/>
          <w:snapToGrid w:val="0"/>
          <w:sz w:val="24"/>
          <w:szCs w:val="20"/>
        </w:rPr>
        <w:t>(</w:t>
      </w:r>
      <w:r w:rsidRPr="00017EF0">
        <w:rPr>
          <w:rFonts w:ascii="Arial" w:eastAsia="Times New Roman" w:hAnsi="Arial" w:cs="Arial"/>
          <w:snapToGrid w:val="0"/>
          <w:sz w:val="24"/>
          <w:szCs w:val="20"/>
        </w:rPr>
        <w:t>entered February 16, 2012 at Docket Nos. D-2009-2143263, D-2009-2143264, and D</w:t>
      </w:r>
      <w:r>
        <w:rPr>
          <w:rFonts w:ascii="Arial" w:eastAsia="Times New Roman" w:hAnsi="Arial" w:cs="Arial"/>
          <w:snapToGrid w:val="0"/>
          <w:sz w:val="24"/>
          <w:szCs w:val="20"/>
        </w:rPr>
        <w:noBreakHyphen/>
      </w:r>
      <w:r w:rsidRPr="00017EF0">
        <w:rPr>
          <w:rFonts w:ascii="Arial" w:eastAsia="Times New Roman" w:hAnsi="Arial" w:cs="Arial"/>
          <w:snapToGrid w:val="0"/>
          <w:sz w:val="24"/>
          <w:szCs w:val="20"/>
        </w:rPr>
        <w:t>2009-2143265</w:t>
      </w:r>
      <w:r>
        <w:rPr>
          <w:rFonts w:ascii="Arial" w:eastAsia="Times New Roman" w:hAnsi="Arial" w:cs="Arial"/>
          <w:snapToGrid w:val="0"/>
          <w:sz w:val="24"/>
          <w:szCs w:val="20"/>
        </w:rPr>
        <w:t>)</w:t>
      </w:r>
      <w:r w:rsidRPr="00875FAF">
        <w:rPr>
          <w:rFonts w:ascii="Arial" w:hAnsi="Arial" w:cs="Arial"/>
          <w:sz w:val="24"/>
          <w:szCs w:val="24"/>
        </w:rPr>
        <w:t xml:space="preserve"> </w:t>
      </w:r>
      <w:r>
        <w:rPr>
          <w:rFonts w:ascii="Arial" w:hAnsi="Arial" w:cs="Arial"/>
          <w:sz w:val="24"/>
          <w:szCs w:val="24"/>
        </w:rPr>
        <w:t xml:space="preserve">that indicated the PUC </w:t>
      </w:r>
      <w:r w:rsidRPr="00727832">
        <w:rPr>
          <w:rFonts w:ascii="Arial" w:hAnsi="Arial" w:cs="Arial"/>
          <w:sz w:val="24"/>
          <w:szCs w:val="24"/>
        </w:rPr>
        <w:t>has an obligation to ensure that a public utility’s dividend practices do not harm service or re</w:t>
      </w:r>
      <w:r>
        <w:rPr>
          <w:rFonts w:ascii="Arial" w:hAnsi="Arial" w:cs="Arial"/>
          <w:sz w:val="24"/>
          <w:szCs w:val="24"/>
        </w:rPr>
        <w:t>liability.  Therefore</w:t>
      </w:r>
      <w:r w:rsidRPr="00017EF0">
        <w:rPr>
          <w:rFonts w:ascii="Arial" w:eastAsia="Times New Roman" w:hAnsi="Arial" w:cs="Arial"/>
          <w:snapToGrid w:val="0"/>
          <w:sz w:val="24"/>
          <w:szCs w:val="20"/>
        </w:rPr>
        <w:t xml:space="preserve">, the Commission directed the FE-PA </w:t>
      </w:r>
      <w:r>
        <w:rPr>
          <w:rFonts w:ascii="Arial" w:eastAsia="Times New Roman" w:hAnsi="Arial" w:cs="Arial"/>
          <w:snapToGrid w:val="0"/>
          <w:sz w:val="24"/>
          <w:szCs w:val="20"/>
        </w:rPr>
        <w:t>c</w:t>
      </w:r>
      <w:r w:rsidRPr="00017EF0">
        <w:rPr>
          <w:rFonts w:ascii="Arial" w:eastAsia="Times New Roman" w:hAnsi="Arial" w:cs="Arial"/>
          <w:snapToGrid w:val="0"/>
          <w:sz w:val="24"/>
          <w:szCs w:val="20"/>
        </w:rPr>
        <w:t>ompanies to provide the PUC with at least 30 days advanced notice and explanation of the circumstances that warranted annual dividend payments exceeding 85</w:t>
      </w:r>
      <w:r>
        <w:rPr>
          <w:rFonts w:ascii="Arial" w:eastAsia="Times New Roman" w:hAnsi="Arial" w:cs="Arial"/>
          <w:snapToGrid w:val="0"/>
          <w:sz w:val="24"/>
          <w:szCs w:val="20"/>
        </w:rPr>
        <w:t>%</w:t>
      </w:r>
      <w:r w:rsidRPr="00017EF0">
        <w:rPr>
          <w:rFonts w:ascii="Arial" w:eastAsia="Times New Roman" w:hAnsi="Arial" w:cs="Arial"/>
          <w:snapToGrid w:val="0"/>
          <w:sz w:val="24"/>
          <w:szCs w:val="20"/>
        </w:rPr>
        <w:t xml:space="preserve"> of net income.  The Commission Order also required the FE</w:t>
      </w:r>
      <w:r w:rsidRPr="00017EF0">
        <w:rPr>
          <w:rFonts w:ascii="Arial" w:eastAsia="Times New Roman" w:hAnsi="Arial" w:cs="Arial"/>
          <w:snapToGrid w:val="0"/>
          <w:sz w:val="24"/>
          <w:szCs w:val="20"/>
        </w:rPr>
        <w:noBreakHyphen/>
        <w:t xml:space="preserve">PA </w:t>
      </w:r>
      <w:r>
        <w:rPr>
          <w:rFonts w:ascii="Arial" w:eastAsia="Times New Roman" w:hAnsi="Arial" w:cs="Arial"/>
          <w:snapToGrid w:val="0"/>
          <w:sz w:val="24"/>
          <w:szCs w:val="20"/>
        </w:rPr>
        <w:t>c</w:t>
      </w:r>
      <w:r w:rsidRPr="00017EF0">
        <w:rPr>
          <w:rFonts w:ascii="Arial" w:eastAsia="Times New Roman" w:hAnsi="Arial" w:cs="Arial"/>
          <w:snapToGrid w:val="0"/>
          <w:sz w:val="24"/>
          <w:szCs w:val="20"/>
        </w:rPr>
        <w:t>ompanies to submit annual Progress Reports on their implementation efforts until the commencement of the next Focused Management and Operations Audit.</w:t>
      </w:r>
      <w:r>
        <w:rPr>
          <w:rFonts w:ascii="Arial" w:eastAsia="Times New Roman" w:hAnsi="Arial" w:cs="Arial"/>
          <w:snapToGrid w:val="0"/>
          <w:sz w:val="24"/>
          <w:szCs w:val="20"/>
        </w:rPr>
        <w:t xml:space="preserve">  </w:t>
      </w:r>
    </w:p>
    <w:p w14:paraId="13BB1767" w14:textId="77777777" w:rsidR="000D0CE2" w:rsidRDefault="000D0CE2">
      <w:pPr>
        <w:rPr>
          <w:rFonts w:ascii="Arial" w:eastAsia="Times New Roman" w:hAnsi="Arial" w:cs="Arial"/>
          <w:b/>
          <w:snapToGrid w:val="0"/>
          <w:sz w:val="24"/>
          <w:szCs w:val="20"/>
        </w:rPr>
      </w:pPr>
      <w:r>
        <w:rPr>
          <w:rFonts w:ascii="Arial" w:eastAsia="Times New Roman" w:hAnsi="Arial" w:cs="Arial"/>
          <w:b/>
          <w:snapToGrid w:val="0"/>
          <w:sz w:val="24"/>
          <w:szCs w:val="20"/>
        </w:rPr>
        <w:br w:type="page"/>
      </w:r>
    </w:p>
    <w:p w14:paraId="0B7D9460" w14:textId="77777777" w:rsidR="00515573" w:rsidRPr="00017EF0" w:rsidRDefault="00515573" w:rsidP="00515573">
      <w:pPr>
        <w:widowControl w:val="0"/>
        <w:spacing w:after="0" w:line="20" w:lineRule="atLeast"/>
        <w:jc w:val="center"/>
        <w:rPr>
          <w:rFonts w:ascii="Arial" w:eastAsia="Times New Roman" w:hAnsi="Arial" w:cs="Arial"/>
          <w:b/>
          <w:snapToGrid w:val="0"/>
          <w:sz w:val="24"/>
          <w:szCs w:val="20"/>
        </w:rPr>
      </w:pPr>
      <w:r w:rsidRPr="00017EF0">
        <w:rPr>
          <w:rFonts w:ascii="Arial" w:eastAsia="Times New Roman" w:hAnsi="Arial" w:cs="Arial"/>
          <w:b/>
          <w:snapToGrid w:val="0"/>
          <w:sz w:val="24"/>
          <w:szCs w:val="20"/>
        </w:rPr>
        <w:t xml:space="preserve">Exhibit </w:t>
      </w:r>
      <w:r>
        <w:rPr>
          <w:rFonts w:ascii="Arial" w:eastAsia="Times New Roman" w:hAnsi="Arial" w:cs="Arial"/>
          <w:b/>
          <w:snapToGrid w:val="0"/>
          <w:sz w:val="24"/>
          <w:szCs w:val="20"/>
        </w:rPr>
        <w:t xml:space="preserve">VI – 1 </w:t>
      </w:r>
    </w:p>
    <w:p w14:paraId="6BB1E510" w14:textId="77777777" w:rsidR="00515573" w:rsidRPr="00017EF0" w:rsidRDefault="00515573" w:rsidP="00515573">
      <w:pPr>
        <w:widowControl w:val="0"/>
        <w:spacing w:after="0" w:line="20" w:lineRule="atLeast"/>
        <w:jc w:val="center"/>
        <w:rPr>
          <w:rFonts w:ascii="Arial" w:eastAsia="Times New Roman" w:hAnsi="Arial" w:cs="Arial"/>
          <w:b/>
          <w:snapToGrid w:val="0"/>
          <w:sz w:val="24"/>
          <w:szCs w:val="20"/>
        </w:rPr>
      </w:pPr>
      <w:r w:rsidRPr="00017EF0">
        <w:rPr>
          <w:rFonts w:ascii="Arial" w:eastAsia="Times New Roman" w:hAnsi="Arial" w:cs="Arial"/>
          <w:b/>
          <w:snapToGrid w:val="0"/>
          <w:sz w:val="24"/>
          <w:szCs w:val="20"/>
        </w:rPr>
        <w:t>F</w:t>
      </w:r>
      <w:r>
        <w:rPr>
          <w:rFonts w:ascii="Arial" w:eastAsia="Times New Roman" w:hAnsi="Arial" w:cs="Arial"/>
          <w:b/>
          <w:snapToGrid w:val="0"/>
          <w:sz w:val="24"/>
          <w:szCs w:val="20"/>
        </w:rPr>
        <w:t>irst</w:t>
      </w:r>
      <w:r w:rsidRPr="00017EF0">
        <w:rPr>
          <w:rFonts w:ascii="Arial" w:eastAsia="Times New Roman" w:hAnsi="Arial" w:cs="Arial"/>
          <w:b/>
          <w:snapToGrid w:val="0"/>
          <w:sz w:val="24"/>
          <w:szCs w:val="20"/>
        </w:rPr>
        <w:t>E</w:t>
      </w:r>
      <w:r>
        <w:rPr>
          <w:rFonts w:ascii="Arial" w:eastAsia="Times New Roman" w:hAnsi="Arial" w:cs="Arial"/>
          <w:b/>
          <w:snapToGrid w:val="0"/>
          <w:sz w:val="24"/>
          <w:szCs w:val="20"/>
        </w:rPr>
        <w:t>nergy Pennsylvania</w:t>
      </w:r>
      <w:r w:rsidRPr="00017EF0">
        <w:rPr>
          <w:rFonts w:ascii="Arial" w:eastAsia="Times New Roman" w:hAnsi="Arial" w:cs="Arial"/>
          <w:b/>
          <w:snapToGrid w:val="0"/>
          <w:sz w:val="24"/>
          <w:szCs w:val="20"/>
        </w:rPr>
        <w:t xml:space="preserve"> Companies</w:t>
      </w:r>
    </w:p>
    <w:p w14:paraId="22AD8DE0" w14:textId="77777777" w:rsidR="00515573" w:rsidRPr="00017EF0" w:rsidRDefault="00515573" w:rsidP="00515573">
      <w:pPr>
        <w:widowControl w:val="0"/>
        <w:spacing w:after="0" w:line="20" w:lineRule="atLeast"/>
        <w:jc w:val="center"/>
        <w:rPr>
          <w:rFonts w:ascii="Arial" w:eastAsia="Times New Roman" w:hAnsi="Arial" w:cs="Arial"/>
          <w:b/>
          <w:snapToGrid w:val="0"/>
          <w:sz w:val="24"/>
          <w:szCs w:val="20"/>
        </w:rPr>
      </w:pPr>
      <w:r>
        <w:rPr>
          <w:rFonts w:ascii="Arial" w:eastAsia="Times New Roman" w:hAnsi="Arial" w:cs="Arial"/>
          <w:b/>
          <w:snapToGrid w:val="0"/>
          <w:sz w:val="24"/>
          <w:szCs w:val="20"/>
        </w:rPr>
        <w:t xml:space="preserve">Dividends Paid, Net Income, and </w:t>
      </w:r>
      <w:r w:rsidRPr="00017EF0">
        <w:rPr>
          <w:rFonts w:ascii="Arial" w:eastAsia="Times New Roman" w:hAnsi="Arial" w:cs="Arial"/>
          <w:b/>
          <w:snapToGrid w:val="0"/>
          <w:sz w:val="24"/>
          <w:szCs w:val="20"/>
        </w:rPr>
        <w:t xml:space="preserve">Dividend Payout Ratio </w:t>
      </w:r>
    </w:p>
    <w:p w14:paraId="772895F9" w14:textId="77777777" w:rsidR="00515573" w:rsidRPr="00017EF0" w:rsidRDefault="00515573" w:rsidP="00515573">
      <w:pPr>
        <w:widowControl w:val="0"/>
        <w:spacing w:after="0" w:line="20" w:lineRule="atLeast"/>
        <w:jc w:val="center"/>
        <w:rPr>
          <w:rFonts w:ascii="Arial" w:eastAsia="Times New Roman" w:hAnsi="Arial" w:cs="Arial"/>
          <w:b/>
          <w:snapToGrid w:val="0"/>
          <w:sz w:val="24"/>
          <w:szCs w:val="20"/>
        </w:rPr>
      </w:pPr>
      <w:r w:rsidRPr="00017EF0">
        <w:rPr>
          <w:rFonts w:ascii="Arial" w:eastAsia="Times New Roman" w:hAnsi="Arial" w:cs="Arial"/>
          <w:b/>
          <w:snapToGrid w:val="0"/>
          <w:sz w:val="24"/>
          <w:szCs w:val="20"/>
        </w:rPr>
        <w:t>For the Years 20</w:t>
      </w:r>
      <w:r w:rsidR="009B3E96">
        <w:rPr>
          <w:rFonts w:ascii="Arial" w:eastAsia="Times New Roman" w:hAnsi="Arial" w:cs="Arial"/>
          <w:b/>
          <w:snapToGrid w:val="0"/>
          <w:sz w:val="24"/>
          <w:szCs w:val="20"/>
        </w:rPr>
        <w:t>08</w:t>
      </w:r>
      <w:r w:rsidRPr="00017EF0">
        <w:rPr>
          <w:rFonts w:ascii="Arial" w:eastAsia="Times New Roman" w:hAnsi="Arial" w:cs="Arial"/>
          <w:b/>
          <w:snapToGrid w:val="0"/>
          <w:sz w:val="24"/>
          <w:szCs w:val="20"/>
        </w:rPr>
        <w:t xml:space="preserve"> through 201</w:t>
      </w:r>
      <w:r w:rsidR="009B3E96">
        <w:rPr>
          <w:rFonts w:ascii="Arial" w:eastAsia="Times New Roman" w:hAnsi="Arial" w:cs="Arial"/>
          <w:b/>
          <w:snapToGrid w:val="0"/>
          <w:sz w:val="24"/>
          <w:szCs w:val="20"/>
        </w:rPr>
        <w:t>3</w:t>
      </w:r>
    </w:p>
    <w:p w14:paraId="6B0E7C39" w14:textId="77777777" w:rsidR="009B3E96" w:rsidRPr="00614005" w:rsidRDefault="009B3E96" w:rsidP="00614005">
      <w:pPr>
        <w:autoSpaceDE w:val="0"/>
        <w:autoSpaceDN w:val="0"/>
        <w:adjustRightInd w:val="0"/>
        <w:spacing w:after="0" w:line="240" w:lineRule="auto"/>
        <w:rPr>
          <w:rFonts w:ascii="Arial" w:hAnsi="Arial" w:cs="Arial"/>
          <w:sz w:val="24"/>
          <w:szCs w:val="24"/>
        </w:rPr>
      </w:pPr>
    </w:p>
    <w:tbl>
      <w:tblPr>
        <w:tblStyle w:val="TableGrid"/>
        <w:tblW w:w="9367" w:type="dxa"/>
        <w:jc w:val="center"/>
        <w:tblLook w:val="04A0" w:firstRow="1" w:lastRow="0" w:firstColumn="1" w:lastColumn="0" w:noHBand="0" w:noVBand="1"/>
      </w:tblPr>
      <w:tblGrid>
        <w:gridCol w:w="2140"/>
        <w:gridCol w:w="1036"/>
        <w:gridCol w:w="1037"/>
        <w:gridCol w:w="1037"/>
        <w:gridCol w:w="1036"/>
        <w:gridCol w:w="1037"/>
        <w:gridCol w:w="1037"/>
        <w:gridCol w:w="1007"/>
      </w:tblGrid>
      <w:tr w:rsidR="009B3E96" w:rsidRPr="00732F81" w14:paraId="54CA7826" w14:textId="77777777" w:rsidTr="00733683">
        <w:trPr>
          <w:trHeight w:val="243"/>
          <w:jc w:val="center"/>
        </w:trPr>
        <w:tc>
          <w:tcPr>
            <w:tcW w:w="2140" w:type="dxa"/>
            <w:vAlign w:val="center"/>
          </w:tcPr>
          <w:p w14:paraId="25C07FD5" w14:textId="77777777" w:rsidR="009B3E96" w:rsidRPr="00A10F46" w:rsidRDefault="009B3E96" w:rsidP="00733683">
            <w:pPr>
              <w:autoSpaceDE w:val="0"/>
              <w:autoSpaceDN w:val="0"/>
              <w:adjustRightInd w:val="0"/>
              <w:rPr>
                <w:rFonts w:ascii="Arial" w:hAnsi="Arial" w:cs="Arial"/>
                <w:b/>
                <w:sz w:val="18"/>
                <w:szCs w:val="18"/>
              </w:rPr>
            </w:pPr>
            <w:r w:rsidRPr="00A10F46">
              <w:rPr>
                <w:rFonts w:ascii="Arial" w:hAnsi="Arial" w:cs="Arial"/>
                <w:b/>
                <w:sz w:val="18"/>
                <w:szCs w:val="18"/>
              </w:rPr>
              <w:t>Met-Ed</w:t>
            </w:r>
          </w:p>
        </w:tc>
        <w:tc>
          <w:tcPr>
            <w:tcW w:w="1036" w:type="dxa"/>
            <w:vAlign w:val="center"/>
          </w:tcPr>
          <w:p w14:paraId="64F4E239" w14:textId="77777777" w:rsidR="009B3E96" w:rsidRPr="00A10F46" w:rsidRDefault="009B3E96" w:rsidP="00733683">
            <w:pPr>
              <w:autoSpaceDE w:val="0"/>
              <w:autoSpaceDN w:val="0"/>
              <w:adjustRightInd w:val="0"/>
              <w:jc w:val="center"/>
              <w:rPr>
                <w:rFonts w:ascii="Arial" w:hAnsi="Arial" w:cs="Arial"/>
                <w:b/>
                <w:sz w:val="18"/>
                <w:szCs w:val="18"/>
              </w:rPr>
            </w:pPr>
            <w:r w:rsidRPr="00A10F46">
              <w:rPr>
                <w:rFonts w:ascii="Arial" w:hAnsi="Arial" w:cs="Arial"/>
                <w:b/>
                <w:sz w:val="18"/>
                <w:szCs w:val="18"/>
              </w:rPr>
              <w:t>2008</w:t>
            </w:r>
          </w:p>
        </w:tc>
        <w:tc>
          <w:tcPr>
            <w:tcW w:w="1037" w:type="dxa"/>
            <w:vAlign w:val="center"/>
          </w:tcPr>
          <w:p w14:paraId="2197885D" w14:textId="77777777" w:rsidR="009B3E96" w:rsidRPr="00A10F46" w:rsidRDefault="009B3E96" w:rsidP="00733683">
            <w:pPr>
              <w:autoSpaceDE w:val="0"/>
              <w:autoSpaceDN w:val="0"/>
              <w:adjustRightInd w:val="0"/>
              <w:jc w:val="center"/>
              <w:rPr>
                <w:rFonts w:ascii="Arial" w:hAnsi="Arial" w:cs="Arial"/>
                <w:b/>
                <w:sz w:val="18"/>
                <w:szCs w:val="18"/>
              </w:rPr>
            </w:pPr>
            <w:r w:rsidRPr="00A10F46">
              <w:rPr>
                <w:rFonts w:ascii="Arial" w:hAnsi="Arial" w:cs="Arial"/>
                <w:b/>
                <w:sz w:val="18"/>
                <w:szCs w:val="18"/>
              </w:rPr>
              <w:t>2009</w:t>
            </w:r>
          </w:p>
        </w:tc>
        <w:tc>
          <w:tcPr>
            <w:tcW w:w="1037" w:type="dxa"/>
            <w:vAlign w:val="center"/>
          </w:tcPr>
          <w:p w14:paraId="4D572197" w14:textId="77777777" w:rsidR="009B3E96" w:rsidRPr="00A10F46" w:rsidRDefault="009B3E96" w:rsidP="00733683">
            <w:pPr>
              <w:autoSpaceDE w:val="0"/>
              <w:autoSpaceDN w:val="0"/>
              <w:adjustRightInd w:val="0"/>
              <w:jc w:val="center"/>
              <w:rPr>
                <w:rFonts w:ascii="Arial" w:hAnsi="Arial" w:cs="Arial"/>
                <w:b/>
                <w:sz w:val="18"/>
                <w:szCs w:val="18"/>
              </w:rPr>
            </w:pPr>
            <w:r w:rsidRPr="00A10F46">
              <w:rPr>
                <w:rFonts w:ascii="Arial" w:hAnsi="Arial" w:cs="Arial"/>
                <w:b/>
                <w:sz w:val="18"/>
                <w:szCs w:val="18"/>
              </w:rPr>
              <w:t>2010</w:t>
            </w:r>
          </w:p>
        </w:tc>
        <w:tc>
          <w:tcPr>
            <w:tcW w:w="1036" w:type="dxa"/>
            <w:vAlign w:val="center"/>
          </w:tcPr>
          <w:p w14:paraId="22B0747A" w14:textId="77777777" w:rsidR="009B3E96" w:rsidRPr="00A10F46" w:rsidRDefault="009B3E96" w:rsidP="00733683">
            <w:pPr>
              <w:autoSpaceDE w:val="0"/>
              <w:autoSpaceDN w:val="0"/>
              <w:adjustRightInd w:val="0"/>
              <w:jc w:val="center"/>
              <w:rPr>
                <w:rFonts w:ascii="Arial" w:hAnsi="Arial" w:cs="Arial"/>
                <w:b/>
                <w:sz w:val="18"/>
                <w:szCs w:val="18"/>
              </w:rPr>
            </w:pPr>
            <w:r w:rsidRPr="00A10F46">
              <w:rPr>
                <w:rFonts w:ascii="Arial" w:hAnsi="Arial" w:cs="Arial"/>
                <w:b/>
                <w:sz w:val="18"/>
                <w:szCs w:val="18"/>
              </w:rPr>
              <w:t>2011</w:t>
            </w:r>
          </w:p>
        </w:tc>
        <w:tc>
          <w:tcPr>
            <w:tcW w:w="1037" w:type="dxa"/>
            <w:vAlign w:val="center"/>
          </w:tcPr>
          <w:p w14:paraId="66711EE5" w14:textId="77777777" w:rsidR="009B3E96" w:rsidRPr="00A10F46" w:rsidRDefault="009B3E96" w:rsidP="00733683">
            <w:pPr>
              <w:autoSpaceDE w:val="0"/>
              <w:autoSpaceDN w:val="0"/>
              <w:adjustRightInd w:val="0"/>
              <w:jc w:val="center"/>
              <w:rPr>
                <w:rFonts w:ascii="Arial" w:hAnsi="Arial" w:cs="Arial"/>
                <w:b/>
                <w:sz w:val="18"/>
                <w:szCs w:val="18"/>
              </w:rPr>
            </w:pPr>
            <w:r w:rsidRPr="00A10F46">
              <w:rPr>
                <w:rFonts w:ascii="Arial" w:hAnsi="Arial" w:cs="Arial"/>
                <w:b/>
                <w:sz w:val="18"/>
                <w:szCs w:val="18"/>
              </w:rPr>
              <w:t>2012</w:t>
            </w:r>
            <w:r>
              <w:rPr>
                <w:rFonts w:ascii="Arial" w:hAnsi="Arial" w:cs="Arial"/>
                <w:b/>
                <w:sz w:val="18"/>
                <w:szCs w:val="18"/>
              </w:rPr>
              <w:t>*</w:t>
            </w:r>
          </w:p>
        </w:tc>
        <w:tc>
          <w:tcPr>
            <w:tcW w:w="1037" w:type="dxa"/>
            <w:vAlign w:val="center"/>
          </w:tcPr>
          <w:p w14:paraId="1CBB2856" w14:textId="77777777" w:rsidR="009B3E96" w:rsidRPr="00A10F46" w:rsidRDefault="009B3E96" w:rsidP="00733683">
            <w:pPr>
              <w:autoSpaceDE w:val="0"/>
              <w:autoSpaceDN w:val="0"/>
              <w:adjustRightInd w:val="0"/>
              <w:jc w:val="center"/>
              <w:rPr>
                <w:rFonts w:ascii="Arial" w:hAnsi="Arial" w:cs="Arial"/>
                <w:b/>
                <w:sz w:val="18"/>
                <w:szCs w:val="18"/>
              </w:rPr>
            </w:pPr>
            <w:r w:rsidRPr="00A10F46">
              <w:rPr>
                <w:rFonts w:ascii="Arial" w:hAnsi="Arial" w:cs="Arial"/>
                <w:b/>
                <w:sz w:val="18"/>
                <w:szCs w:val="18"/>
              </w:rPr>
              <w:t>2013</w:t>
            </w:r>
          </w:p>
        </w:tc>
        <w:tc>
          <w:tcPr>
            <w:tcW w:w="1007" w:type="dxa"/>
            <w:vAlign w:val="center"/>
          </w:tcPr>
          <w:p w14:paraId="5307295B" w14:textId="77777777" w:rsidR="009B3E96" w:rsidRPr="00A10F46" w:rsidRDefault="009B3E96" w:rsidP="00733683">
            <w:pPr>
              <w:autoSpaceDE w:val="0"/>
              <w:autoSpaceDN w:val="0"/>
              <w:adjustRightInd w:val="0"/>
              <w:jc w:val="center"/>
              <w:rPr>
                <w:rFonts w:ascii="Arial" w:hAnsi="Arial" w:cs="Arial"/>
                <w:b/>
                <w:sz w:val="18"/>
                <w:szCs w:val="18"/>
              </w:rPr>
            </w:pPr>
            <w:r w:rsidRPr="00A10F46">
              <w:rPr>
                <w:rFonts w:ascii="Arial" w:hAnsi="Arial" w:cs="Arial"/>
                <w:b/>
                <w:sz w:val="18"/>
                <w:szCs w:val="18"/>
              </w:rPr>
              <w:t>Total</w:t>
            </w:r>
          </w:p>
        </w:tc>
      </w:tr>
      <w:tr w:rsidR="009B3E96" w:rsidRPr="00732F81" w14:paraId="269C6B7D" w14:textId="77777777" w:rsidTr="00733683">
        <w:trPr>
          <w:trHeight w:val="243"/>
          <w:jc w:val="center"/>
        </w:trPr>
        <w:tc>
          <w:tcPr>
            <w:tcW w:w="2140" w:type="dxa"/>
            <w:vAlign w:val="center"/>
          </w:tcPr>
          <w:p w14:paraId="76703FD0" w14:textId="77777777" w:rsidR="009B3E96" w:rsidRPr="00A10F46" w:rsidRDefault="009B3E96" w:rsidP="00733683">
            <w:pPr>
              <w:autoSpaceDE w:val="0"/>
              <w:autoSpaceDN w:val="0"/>
              <w:adjustRightInd w:val="0"/>
              <w:rPr>
                <w:rFonts w:ascii="Arial" w:hAnsi="Arial" w:cs="Arial"/>
                <w:sz w:val="18"/>
                <w:szCs w:val="18"/>
              </w:rPr>
            </w:pPr>
            <w:r w:rsidRPr="00A10F46">
              <w:rPr>
                <w:rFonts w:ascii="Arial" w:hAnsi="Arial" w:cs="Arial"/>
                <w:sz w:val="18"/>
                <w:szCs w:val="18"/>
              </w:rPr>
              <w:t>Dividends Paid ($ 000)</w:t>
            </w:r>
          </w:p>
        </w:tc>
        <w:tc>
          <w:tcPr>
            <w:tcW w:w="1036" w:type="dxa"/>
            <w:vAlign w:val="center"/>
          </w:tcPr>
          <w:p w14:paraId="4B4D11FD"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$0</w:t>
            </w:r>
          </w:p>
        </w:tc>
        <w:tc>
          <w:tcPr>
            <w:tcW w:w="1037" w:type="dxa"/>
            <w:vAlign w:val="center"/>
          </w:tcPr>
          <w:p w14:paraId="66B7E176"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$0</w:t>
            </w:r>
          </w:p>
        </w:tc>
        <w:tc>
          <w:tcPr>
            <w:tcW w:w="1037" w:type="dxa"/>
            <w:vAlign w:val="center"/>
          </w:tcPr>
          <w:p w14:paraId="375161CE"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$30,000</w:t>
            </w:r>
          </w:p>
        </w:tc>
        <w:tc>
          <w:tcPr>
            <w:tcW w:w="1036" w:type="dxa"/>
            <w:vAlign w:val="center"/>
          </w:tcPr>
          <w:p w14:paraId="4821F1EE"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$25,000</w:t>
            </w:r>
          </w:p>
        </w:tc>
        <w:tc>
          <w:tcPr>
            <w:tcW w:w="1037" w:type="dxa"/>
            <w:vAlign w:val="center"/>
          </w:tcPr>
          <w:p w14:paraId="594B05FC" w14:textId="77777777" w:rsidR="009B3E96" w:rsidRPr="00A10F46" w:rsidRDefault="009B3E96" w:rsidP="00733683">
            <w:pPr>
              <w:autoSpaceDE w:val="0"/>
              <w:autoSpaceDN w:val="0"/>
              <w:adjustRightInd w:val="0"/>
              <w:jc w:val="center"/>
              <w:rPr>
                <w:rFonts w:ascii="Arial" w:hAnsi="Arial" w:cs="Arial"/>
                <w:sz w:val="18"/>
                <w:szCs w:val="18"/>
              </w:rPr>
            </w:pPr>
            <w:r>
              <w:rPr>
                <w:rFonts w:ascii="Arial" w:hAnsi="Arial" w:cs="Arial"/>
                <w:sz w:val="18"/>
                <w:szCs w:val="18"/>
              </w:rPr>
              <w:t>$45,000</w:t>
            </w:r>
          </w:p>
        </w:tc>
        <w:tc>
          <w:tcPr>
            <w:tcW w:w="1037" w:type="dxa"/>
            <w:vAlign w:val="center"/>
          </w:tcPr>
          <w:p w14:paraId="2E317C2D"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$0</w:t>
            </w:r>
          </w:p>
        </w:tc>
        <w:tc>
          <w:tcPr>
            <w:tcW w:w="1007" w:type="dxa"/>
            <w:vAlign w:val="center"/>
          </w:tcPr>
          <w:p w14:paraId="3B7585D7"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w:t>
            </w:r>
            <w:r>
              <w:rPr>
                <w:rFonts w:ascii="Arial" w:hAnsi="Arial" w:cs="Arial"/>
                <w:sz w:val="18"/>
                <w:szCs w:val="18"/>
              </w:rPr>
              <w:t>100</w:t>
            </w:r>
            <w:r w:rsidRPr="00A10F46">
              <w:rPr>
                <w:rFonts w:ascii="Arial" w:hAnsi="Arial" w:cs="Arial"/>
                <w:sz w:val="18"/>
                <w:szCs w:val="18"/>
              </w:rPr>
              <w:t>,000</w:t>
            </w:r>
          </w:p>
        </w:tc>
      </w:tr>
      <w:tr w:rsidR="009B3E96" w:rsidRPr="00732F81" w14:paraId="3301631D" w14:textId="77777777" w:rsidTr="00733683">
        <w:trPr>
          <w:trHeight w:val="243"/>
          <w:jc w:val="center"/>
        </w:trPr>
        <w:tc>
          <w:tcPr>
            <w:tcW w:w="2140" w:type="dxa"/>
            <w:vAlign w:val="center"/>
          </w:tcPr>
          <w:p w14:paraId="59D460D7" w14:textId="77777777" w:rsidR="009B3E96" w:rsidRPr="00A10F46" w:rsidRDefault="009B3E96" w:rsidP="00733683">
            <w:pPr>
              <w:autoSpaceDE w:val="0"/>
              <w:autoSpaceDN w:val="0"/>
              <w:adjustRightInd w:val="0"/>
              <w:rPr>
                <w:rFonts w:ascii="Arial" w:hAnsi="Arial" w:cs="Arial"/>
                <w:sz w:val="18"/>
                <w:szCs w:val="18"/>
              </w:rPr>
            </w:pPr>
            <w:r w:rsidRPr="00A10F46">
              <w:rPr>
                <w:rFonts w:ascii="Arial" w:hAnsi="Arial" w:cs="Arial"/>
                <w:sz w:val="18"/>
                <w:szCs w:val="18"/>
              </w:rPr>
              <w:t>Net Income ($ 000)</w:t>
            </w:r>
          </w:p>
        </w:tc>
        <w:tc>
          <w:tcPr>
            <w:tcW w:w="1036" w:type="dxa"/>
            <w:vAlign w:val="center"/>
          </w:tcPr>
          <w:p w14:paraId="43940E6B"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$88,033</w:t>
            </w:r>
          </w:p>
        </w:tc>
        <w:tc>
          <w:tcPr>
            <w:tcW w:w="1037" w:type="dxa"/>
            <w:vAlign w:val="center"/>
          </w:tcPr>
          <w:p w14:paraId="21F9F172"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$65,738</w:t>
            </w:r>
          </w:p>
        </w:tc>
        <w:tc>
          <w:tcPr>
            <w:tcW w:w="1037" w:type="dxa"/>
            <w:vAlign w:val="center"/>
          </w:tcPr>
          <w:p w14:paraId="0CB05C56"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$69,613</w:t>
            </w:r>
          </w:p>
        </w:tc>
        <w:tc>
          <w:tcPr>
            <w:tcW w:w="1036" w:type="dxa"/>
            <w:vAlign w:val="center"/>
          </w:tcPr>
          <w:p w14:paraId="64D31260"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$94,993</w:t>
            </w:r>
          </w:p>
        </w:tc>
        <w:tc>
          <w:tcPr>
            <w:tcW w:w="1037" w:type="dxa"/>
            <w:vAlign w:val="center"/>
          </w:tcPr>
          <w:p w14:paraId="1074E37D"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$73,848</w:t>
            </w:r>
          </w:p>
        </w:tc>
        <w:tc>
          <w:tcPr>
            <w:tcW w:w="1037" w:type="dxa"/>
            <w:vAlign w:val="center"/>
          </w:tcPr>
          <w:p w14:paraId="6F47FA7D"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$84,571</w:t>
            </w:r>
          </w:p>
        </w:tc>
        <w:tc>
          <w:tcPr>
            <w:tcW w:w="1007" w:type="dxa"/>
            <w:vAlign w:val="center"/>
          </w:tcPr>
          <w:p w14:paraId="37618393"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$476,796</w:t>
            </w:r>
          </w:p>
        </w:tc>
      </w:tr>
      <w:tr w:rsidR="009B3E96" w:rsidRPr="00732F81" w14:paraId="1C459CE3" w14:textId="77777777" w:rsidTr="00733683">
        <w:trPr>
          <w:trHeight w:val="256"/>
          <w:jc w:val="center"/>
        </w:trPr>
        <w:tc>
          <w:tcPr>
            <w:tcW w:w="2140" w:type="dxa"/>
            <w:vAlign w:val="center"/>
          </w:tcPr>
          <w:p w14:paraId="574418AA" w14:textId="77777777" w:rsidR="009B3E96" w:rsidRPr="00A10F46" w:rsidRDefault="009B3E96" w:rsidP="00733683">
            <w:pPr>
              <w:autoSpaceDE w:val="0"/>
              <w:autoSpaceDN w:val="0"/>
              <w:adjustRightInd w:val="0"/>
              <w:rPr>
                <w:rFonts w:ascii="Arial" w:hAnsi="Arial" w:cs="Arial"/>
                <w:sz w:val="18"/>
                <w:szCs w:val="18"/>
              </w:rPr>
            </w:pPr>
            <w:r w:rsidRPr="00A10F46">
              <w:rPr>
                <w:rFonts w:ascii="Arial" w:hAnsi="Arial" w:cs="Arial"/>
                <w:sz w:val="18"/>
                <w:szCs w:val="18"/>
              </w:rPr>
              <w:t>Dividend Payout Ratio</w:t>
            </w:r>
          </w:p>
        </w:tc>
        <w:tc>
          <w:tcPr>
            <w:tcW w:w="1036" w:type="dxa"/>
            <w:vAlign w:val="center"/>
          </w:tcPr>
          <w:p w14:paraId="6A731662"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0%</w:t>
            </w:r>
          </w:p>
        </w:tc>
        <w:tc>
          <w:tcPr>
            <w:tcW w:w="1037" w:type="dxa"/>
            <w:vAlign w:val="center"/>
          </w:tcPr>
          <w:p w14:paraId="5C2EABA1"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0%</w:t>
            </w:r>
          </w:p>
        </w:tc>
        <w:tc>
          <w:tcPr>
            <w:tcW w:w="1037" w:type="dxa"/>
            <w:vAlign w:val="center"/>
          </w:tcPr>
          <w:p w14:paraId="057B2D43"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43%</w:t>
            </w:r>
          </w:p>
        </w:tc>
        <w:tc>
          <w:tcPr>
            <w:tcW w:w="1036" w:type="dxa"/>
            <w:vAlign w:val="center"/>
          </w:tcPr>
          <w:p w14:paraId="61841AC9"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26%</w:t>
            </w:r>
          </w:p>
        </w:tc>
        <w:tc>
          <w:tcPr>
            <w:tcW w:w="1037" w:type="dxa"/>
            <w:vAlign w:val="center"/>
          </w:tcPr>
          <w:p w14:paraId="24047ABF" w14:textId="77777777" w:rsidR="009B3E96" w:rsidRPr="00A10F46" w:rsidRDefault="009B3E96" w:rsidP="00733683">
            <w:pPr>
              <w:autoSpaceDE w:val="0"/>
              <w:autoSpaceDN w:val="0"/>
              <w:adjustRightInd w:val="0"/>
              <w:jc w:val="center"/>
              <w:rPr>
                <w:rFonts w:ascii="Arial" w:hAnsi="Arial" w:cs="Arial"/>
                <w:sz w:val="18"/>
                <w:szCs w:val="18"/>
              </w:rPr>
            </w:pPr>
            <w:r>
              <w:rPr>
                <w:rFonts w:ascii="Arial" w:hAnsi="Arial" w:cs="Arial"/>
                <w:sz w:val="18"/>
                <w:szCs w:val="18"/>
              </w:rPr>
              <w:t>61%</w:t>
            </w:r>
          </w:p>
        </w:tc>
        <w:tc>
          <w:tcPr>
            <w:tcW w:w="1037" w:type="dxa"/>
            <w:vAlign w:val="center"/>
          </w:tcPr>
          <w:p w14:paraId="5AE5B02D"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0%</w:t>
            </w:r>
          </w:p>
        </w:tc>
        <w:tc>
          <w:tcPr>
            <w:tcW w:w="1007" w:type="dxa"/>
            <w:vAlign w:val="center"/>
          </w:tcPr>
          <w:p w14:paraId="38A4906E" w14:textId="77777777" w:rsidR="009B3E96" w:rsidRPr="00A10F46" w:rsidRDefault="009B3E96" w:rsidP="00733683">
            <w:pPr>
              <w:autoSpaceDE w:val="0"/>
              <w:autoSpaceDN w:val="0"/>
              <w:adjustRightInd w:val="0"/>
              <w:jc w:val="center"/>
              <w:rPr>
                <w:rFonts w:ascii="Arial" w:hAnsi="Arial" w:cs="Arial"/>
                <w:sz w:val="18"/>
                <w:szCs w:val="18"/>
              </w:rPr>
            </w:pPr>
            <w:r>
              <w:rPr>
                <w:rFonts w:ascii="Arial" w:hAnsi="Arial" w:cs="Arial"/>
                <w:sz w:val="18"/>
                <w:szCs w:val="18"/>
              </w:rPr>
              <w:t>21</w:t>
            </w:r>
            <w:r w:rsidRPr="00A10F46">
              <w:rPr>
                <w:rFonts w:ascii="Arial" w:hAnsi="Arial" w:cs="Arial"/>
                <w:sz w:val="18"/>
                <w:szCs w:val="18"/>
              </w:rPr>
              <w:t>%</w:t>
            </w:r>
          </w:p>
        </w:tc>
      </w:tr>
      <w:tr w:rsidR="009B3E96" w:rsidRPr="00732F81" w14:paraId="4D414567" w14:textId="77777777" w:rsidTr="00733683">
        <w:trPr>
          <w:trHeight w:val="144"/>
          <w:jc w:val="center"/>
        </w:trPr>
        <w:tc>
          <w:tcPr>
            <w:tcW w:w="2140" w:type="dxa"/>
            <w:vAlign w:val="center"/>
          </w:tcPr>
          <w:p w14:paraId="35A06A89" w14:textId="77777777" w:rsidR="009B3E96" w:rsidRPr="00A10F46" w:rsidRDefault="009B3E96" w:rsidP="00733683">
            <w:pPr>
              <w:autoSpaceDE w:val="0"/>
              <w:autoSpaceDN w:val="0"/>
              <w:adjustRightInd w:val="0"/>
              <w:rPr>
                <w:rFonts w:ascii="Arial" w:hAnsi="Arial" w:cs="Arial"/>
                <w:sz w:val="18"/>
                <w:szCs w:val="18"/>
              </w:rPr>
            </w:pPr>
          </w:p>
        </w:tc>
        <w:tc>
          <w:tcPr>
            <w:tcW w:w="1036" w:type="dxa"/>
            <w:vAlign w:val="center"/>
          </w:tcPr>
          <w:p w14:paraId="6623DAD7" w14:textId="77777777" w:rsidR="009B3E96" w:rsidRPr="00A10F46" w:rsidRDefault="009B3E96" w:rsidP="00733683">
            <w:pPr>
              <w:autoSpaceDE w:val="0"/>
              <w:autoSpaceDN w:val="0"/>
              <w:adjustRightInd w:val="0"/>
              <w:jc w:val="center"/>
              <w:rPr>
                <w:rFonts w:ascii="Arial" w:hAnsi="Arial" w:cs="Arial"/>
                <w:sz w:val="18"/>
                <w:szCs w:val="18"/>
              </w:rPr>
            </w:pPr>
          </w:p>
        </w:tc>
        <w:tc>
          <w:tcPr>
            <w:tcW w:w="1037" w:type="dxa"/>
            <w:vAlign w:val="center"/>
          </w:tcPr>
          <w:p w14:paraId="088F587B" w14:textId="77777777" w:rsidR="009B3E96" w:rsidRPr="00A10F46" w:rsidRDefault="009B3E96" w:rsidP="00733683">
            <w:pPr>
              <w:autoSpaceDE w:val="0"/>
              <w:autoSpaceDN w:val="0"/>
              <w:adjustRightInd w:val="0"/>
              <w:jc w:val="center"/>
              <w:rPr>
                <w:rFonts w:ascii="Arial" w:hAnsi="Arial" w:cs="Arial"/>
                <w:sz w:val="18"/>
                <w:szCs w:val="18"/>
              </w:rPr>
            </w:pPr>
          </w:p>
        </w:tc>
        <w:tc>
          <w:tcPr>
            <w:tcW w:w="1037" w:type="dxa"/>
            <w:vAlign w:val="center"/>
          </w:tcPr>
          <w:p w14:paraId="7E420926" w14:textId="77777777" w:rsidR="009B3E96" w:rsidRPr="00A10F46" w:rsidRDefault="009B3E96" w:rsidP="00733683">
            <w:pPr>
              <w:autoSpaceDE w:val="0"/>
              <w:autoSpaceDN w:val="0"/>
              <w:adjustRightInd w:val="0"/>
              <w:jc w:val="center"/>
              <w:rPr>
                <w:rFonts w:ascii="Arial" w:hAnsi="Arial" w:cs="Arial"/>
                <w:sz w:val="18"/>
                <w:szCs w:val="18"/>
              </w:rPr>
            </w:pPr>
          </w:p>
        </w:tc>
        <w:tc>
          <w:tcPr>
            <w:tcW w:w="1036" w:type="dxa"/>
            <w:vAlign w:val="center"/>
          </w:tcPr>
          <w:p w14:paraId="4665E5EC" w14:textId="77777777" w:rsidR="009B3E96" w:rsidRPr="00A10F46" w:rsidRDefault="009B3E96" w:rsidP="00733683">
            <w:pPr>
              <w:autoSpaceDE w:val="0"/>
              <w:autoSpaceDN w:val="0"/>
              <w:adjustRightInd w:val="0"/>
              <w:jc w:val="center"/>
              <w:rPr>
                <w:rFonts w:ascii="Arial" w:hAnsi="Arial" w:cs="Arial"/>
                <w:sz w:val="18"/>
                <w:szCs w:val="18"/>
              </w:rPr>
            </w:pPr>
          </w:p>
        </w:tc>
        <w:tc>
          <w:tcPr>
            <w:tcW w:w="1037" w:type="dxa"/>
            <w:vAlign w:val="center"/>
          </w:tcPr>
          <w:p w14:paraId="4E3276F6" w14:textId="77777777" w:rsidR="009B3E96" w:rsidRPr="00A10F46" w:rsidRDefault="009B3E96" w:rsidP="00733683">
            <w:pPr>
              <w:autoSpaceDE w:val="0"/>
              <w:autoSpaceDN w:val="0"/>
              <w:adjustRightInd w:val="0"/>
              <w:jc w:val="center"/>
              <w:rPr>
                <w:rFonts w:ascii="Arial" w:hAnsi="Arial" w:cs="Arial"/>
                <w:sz w:val="18"/>
                <w:szCs w:val="18"/>
              </w:rPr>
            </w:pPr>
          </w:p>
        </w:tc>
        <w:tc>
          <w:tcPr>
            <w:tcW w:w="1037" w:type="dxa"/>
            <w:vAlign w:val="center"/>
          </w:tcPr>
          <w:p w14:paraId="010A883F" w14:textId="77777777" w:rsidR="009B3E96" w:rsidRPr="00A10F46" w:rsidRDefault="009B3E96" w:rsidP="00733683">
            <w:pPr>
              <w:autoSpaceDE w:val="0"/>
              <w:autoSpaceDN w:val="0"/>
              <w:adjustRightInd w:val="0"/>
              <w:jc w:val="center"/>
              <w:rPr>
                <w:rFonts w:ascii="Arial" w:hAnsi="Arial" w:cs="Arial"/>
                <w:sz w:val="18"/>
                <w:szCs w:val="18"/>
              </w:rPr>
            </w:pPr>
          </w:p>
        </w:tc>
        <w:tc>
          <w:tcPr>
            <w:tcW w:w="1007" w:type="dxa"/>
            <w:vAlign w:val="center"/>
          </w:tcPr>
          <w:p w14:paraId="0C199A4D" w14:textId="77777777" w:rsidR="009B3E96" w:rsidRPr="00A10F46" w:rsidRDefault="009B3E96" w:rsidP="00733683">
            <w:pPr>
              <w:autoSpaceDE w:val="0"/>
              <w:autoSpaceDN w:val="0"/>
              <w:adjustRightInd w:val="0"/>
              <w:jc w:val="center"/>
              <w:rPr>
                <w:rFonts w:ascii="Arial" w:hAnsi="Arial" w:cs="Arial"/>
                <w:sz w:val="18"/>
                <w:szCs w:val="18"/>
              </w:rPr>
            </w:pPr>
          </w:p>
        </w:tc>
      </w:tr>
      <w:tr w:rsidR="009B3E96" w:rsidRPr="00732F81" w14:paraId="2A82B276" w14:textId="77777777" w:rsidTr="00733683">
        <w:trPr>
          <w:trHeight w:val="243"/>
          <w:jc w:val="center"/>
        </w:trPr>
        <w:tc>
          <w:tcPr>
            <w:tcW w:w="2140" w:type="dxa"/>
            <w:vAlign w:val="center"/>
          </w:tcPr>
          <w:p w14:paraId="5C10660F" w14:textId="77777777" w:rsidR="009B3E96" w:rsidRPr="00A10F46" w:rsidRDefault="009B3E96" w:rsidP="00733683">
            <w:pPr>
              <w:autoSpaceDE w:val="0"/>
              <w:autoSpaceDN w:val="0"/>
              <w:adjustRightInd w:val="0"/>
              <w:rPr>
                <w:rFonts w:ascii="Arial" w:hAnsi="Arial" w:cs="Arial"/>
                <w:b/>
                <w:sz w:val="18"/>
                <w:szCs w:val="18"/>
              </w:rPr>
            </w:pPr>
            <w:r w:rsidRPr="00A10F46">
              <w:rPr>
                <w:rFonts w:ascii="Arial" w:hAnsi="Arial" w:cs="Arial"/>
                <w:b/>
                <w:sz w:val="18"/>
                <w:szCs w:val="18"/>
              </w:rPr>
              <w:t>Penelec</w:t>
            </w:r>
          </w:p>
        </w:tc>
        <w:tc>
          <w:tcPr>
            <w:tcW w:w="1036" w:type="dxa"/>
            <w:vAlign w:val="center"/>
          </w:tcPr>
          <w:p w14:paraId="7C282350" w14:textId="77777777" w:rsidR="009B3E96" w:rsidRPr="00A10F46" w:rsidRDefault="009B3E96" w:rsidP="00733683">
            <w:pPr>
              <w:autoSpaceDE w:val="0"/>
              <w:autoSpaceDN w:val="0"/>
              <w:adjustRightInd w:val="0"/>
              <w:jc w:val="center"/>
              <w:rPr>
                <w:rFonts w:ascii="Arial" w:hAnsi="Arial" w:cs="Arial"/>
                <w:b/>
                <w:sz w:val="18"/>
                <w:szCs w:val="18"/>
              </w:rPr>
            </w:pPr>
            <w:r w:rsidRPr="00A10F46">
              <w:rPr>
                <w:rFonts w:ascii="Arial" w:hAnsi="Arial" w:cs="Arial"/>
                <w:b/>
                <w:sz w:val="18"/>
                <w:szCs w:val="18"/>
              </w:rPr>
              <w:t>2008</w:t>
            </w:r>
          </w:p>
        </w:tc>
        <w:tc>
          <w:tcPr>
            <w:tcW w:w="1037" w:type="dxa"/>
            <w:vAlign w:val="center"/>
          </w:tcPr>
          <w:p w14:paraId="2ADFBA69" w14:textId="77777777" w:rsidR="009B3E96" w:rsidRPr="00A10F46" w:rsidRDefault="009B3E96" w:rsidP="00733683">
            <w:pPr>
              <w:autoSpaceDE w:val="0"/>
              <w:autoSpaceDN w:val="0"/>
              <w:adjustRightInd w:val="0"/>
              <w:jc w:val="center"/>
              <w:rPr>
                <w:rFonts w:ascii="Arial" w:hAnsi="Arial" w:cs="Arial"/>
                <w:b/>
                <w:sz w:val="18"/>
                <w:szCs w:val="18"/>
              </w:rPr>
            </w:pPr>
            <w:r w:rsidRPr="00A10F46">
              <w:rPr>
                <w:rFonts w:ascii="Arial" w:hAnsi="Arial" w:cs="Arial"/>
                <w:b/>
                <w:sz w:val="18"/>
                <w:szCs w:val="18"/>
              </w:rPr>
              <w:t>2009</w:t>
            </w:r>
          </w:p>
        </w:tc>
        <w:tc>
          <w:tcPr>
            <w:tcW w:w="1037" w:type="dxa"/>
            <w:vAlign w:val="center"/>
          </w:tcPr>
          <w:p w14:paraId="63FF1BD8" w14:textId="77777777" w:rsidR="009B3E96" w:rsidRPr="00A10F46" w:rsidRDefault="009B3E96" w:rsidP="00733683">
            <w:pPr>
              <w:autoSpaceDE w:val="0"/>
              <w:autoSpaceDN w:val="0"/>
              <w:adjustRightInd w:val="0"/>
              <w:jc w:val="center"/>
              <w:rPr>
                <w:rFonts w:ascii="Arial" w:hAnsi="Arial" w:cs="Arial"/>
                <w:b/>
                <w:sz w:val="18"/>
                <w:szCs w:val="18"/>
              </w:rPr>
            </w:pPr>
            <w:r w:rsidRPr="00A10F46">
              <w:rPr>
                <w:rFonts w:ascii="Arial" w:hAnsi="Arial" w:cs="Arial"/>
                <w:b/>
                <w:sz w:val="18"/>
                <w:szCs w:val="18"/>
              </w:rPr>
              <w:t>2010</w:t>
            </w:r>
          </w:p>
        </w:tc>
        <w:tc>
          <w:tcPr>
            <w:tcW w:w="1036" w:type="dxa"/>
            <w:vAlign w:val="center"/>
          </w:tcPr>
          <w:p w14:paraId="4CDC152B" w14:textId="77777777" w:rsidR="009B3E96" w:rsidRPr="00A10F46" w:rsidRDefault="009B3E96" w:rsidP="00733683">
            <w:pPr>
              <w:autoSpaceDE w:val="0"/>
              <w:autoSpaceDN w:val="0"/>
              <w:adjustRightInd w:val="0"/>
              <w:jc w:val="center"/>
              <w:rPr>
                <w:rFonts w:ascii="Arial" w:hAnsi="Arial" w:cs="Arial"/>
                <w:b/>
                <w:sz w:val="18"/>
                <w:szCs w:val="18"/>
              </w:rPr>
            </w:pPr>
            <w:r w:rsidRPr="00A10F46">
              <w:rPr>
                <w:rFonts w:ascii="Arial" w:hAnsi="Arial" w:cs="Arial"/>
                <w:b/>
                <w:sz w:val="18"/>
                <w:szCs w:val="18"/>
              </w:rPr>
              <w:t>2011</w:t>
            </w:r>
          </w:p>
        </w:tc>
        <w:tc>
          <w:tcPr>
            <w:tcW w:w="1037" w:type="dxa"/>
            <w:vAlign w:val="center"/>
          </w:tcPr>
          <w:p w14:paraId="3224FB72" w14:textId="77777777" w:rsidR="009B3E96" w:rsidRPr="00A10F46" w:rsidRDefault="009B3E96" w:rsidP="00733683">
            <w:pPr>
              <w:autoSpaceDE w:val="0"/>
              <w:autoSpaceDN w:val="0"/>
              <w:adjustRightInd w:val="0"/>
              <w:jc w:val="center"/>
              <w:rPr>
                <w:rFonts w:ascii="Arial" w:hAnsi="Arial" w:cs="Arial"/>
                <w:b/>
                <w:sz w:val="18"/>
                <w:szCs w:val="18"/>
              </w:rPr>
            </w:pPr>
            <w:r w:rsidRPr="00A10F46">
              <w:rPr>
                <w:rFonts w:ascii="Arial" w:hAnsi="Arial" w:cs="Arial"/>
                <w:b/>
                <w:sz w:val="18"/>
                <w:szCs w:val="18"/>
              </w:rPr>
              <w:t>2012</w:t>
            </w:r>
          </w:p>
        </w:tc>
        <w:tc>
          <w:tcPr>
            <w:tcW w:w="1037" w:type="dxa"/>
            <w:vAlign w:val="center"/>
          </w:tcPr>
          <w:p w14:paraId="4FCF22AC" w14:textId="77777777" w:rsidR="009B3E96" w:rsidRPr="00A10F46" w:rsidRDefault="009B3E96" w:rsidP="00733683">
            <w:pPr>
              <w:autoSpaceDE w:val="0"/>
              <w:autoSpaceDN w:val="0"/>
              <w:adjustRightInd w:val="0"/>
              <w:jc w:val="center"/>
              <w:rPr>
                <w:rFonts w:ascii="Arial" w:hAnsi="Arial" w:cs="Arial"/>
                <w:b/>
                <w:sz w:val="18"/>
                <w:szCs w:val="18"/>
              </w:rPr>
            </w:pPr>
            <w:r w:rsidRPr="00A10F46">
              <w:rPr>
                <w:rFonts w:ascii="Arial" w:hAnsi="Arial" w:cs="Arial"/>
                <w:b/>
                <w:sz w:val="18"/>
                <w:szCs w:val="18"/>
              </w:rPr>
              <w:t>2013</w:t>
            </w:r>
          </w:p>
        </w:tc>
        <w:tc>
          <w:tcPr>
            <w:tcW w:w="1007" w:type="dxa"/>
            <w:vAlign w:val="center"/>
          </w:tcPr>
          <w:p w14:paraId="58720DA7" w14:textId="77777777" w:rsidR="009B3E96" w:rsidRPr="00A10F46" w:rsidRDefault="009B3E96" w:rsidP="00733683">
            <w:pPr>
              <w:autoSpaceDE w:val="0"/>
              <w:autoSpaceDN w:val="0"/>
              <w:adjustRightInd w:val="0"/>
              <w:jc w:val="center"/>
              <w:rPr>
                <w:rFonts w:ascii="Arial" w:hAnsi="Arial" w:cs="Arial"/>
                <w:b/>
                <w:sz w:val="18"/>
                <w:szCs w:val="18"/>
              </w:rPr>
            </w:pPr>
            <w:r w:rsidRPr="00A10F46">
              <w:rPr>
                <w:rFonts w:ascii="Arial" w:hAnsi="Arial" w:cs="Arial"/>
                <w:b/>
                <w:sz w:val="18"/>
                <w:szCs w:val="18"/>
              </w:rPr>
              <w:t>Total</w:t>
            </w:r>
          </w:p>
        </w:tc>
      </w:tr>
      <w:tr w:rsidR="009B3E96" w:rsidRPr="00732F81" w14:paraId="45A36C12" w14:textId="77777777" w:rsidTr="00733683">
        <w:trPr>
          <w:trHeight w:val="243"/>
          <w:jc w:val="center"/>
        </w:trPr>
        <w:tc>
          <w:tcPr>
            <w:tcW w:w="2140" w:type="dxa"/>
            <w:vAlign w:val="center"/>
          </w:tcPr>
          <w:p w14:paraId="730516D5" w14:textId="77777777" w:rsidR="009B3E96" w:rsidRPr="00A10F46" w:rsidRDefault="009B3E96" w:rsidP="00733683">
            <w:pPr>
              <w:autoSpaceDE w:val="0"/>
              <w:autoSpaceDN w:val="0"/>
              <w:adjustRightInd w:val="0"/>
              <w:rPr>
                <w:rFonts w:ascii="Arial" w:hAnsi="Arial" w:cs="Arial"/>
                <w:sz w:val="18"/>
                <w:szCs w:val="18"/>
              </w:rPr>
            </w:pPr>
            <w:r w:rsidRPr="00A10F46">
              <w:rPr>
                <w:rFonts w:ascii="Arial" w:hAnsi="Arial" w:cs="Arial"/>
                <w:sz w:val="18"/>
                <w:szCs w:val="18"/>
              </w:rPr>
              <w:t>Dividends Paid ($ 000)</w:t>
            </w:r>
          </w:p>
        </w:tc>
        <w:tc>
          <w:tcPr>
            <w:tcW w:w="1036" w:type="dxa"/>
            <w:vAlign w:val="center"/>
          </w:tcPr>
          <w:p w14:paraId="2549CB89"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$70,000</w:t>
            </w:r>
          </w:p>
        </w:tc>
        <w:tc>
          <w:tcPr>
            <w:tcW w:w="1037" w:type="dxa"/>
            <w:vAlign w:val="center"/>
          </w:tcPr>
          <w:p w14:paraId="1B121ED0"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$50,000</w:t>
            </w:r>
          </w:p>
        </w:tc>
        <w:tc>
          <w:tcPr>
            <w:tcW w:w="1037" w:type="dxa"/>
            <w:vAlign w:val="center"/>
          </w:tcPr>
          <w:p w14:paraId="2134D573"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$90,000</w:t>
            </w:r>
          </w:p>
        </w:tc>
        <w:tc>
          <w:tcPr>
            <w:tcW w:w="1036" w:type="dxa"/>
            <w:vAlign w:val="center"/>
          </w:tcPr>
          <w:p w14:paraId="02ED65FD"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$70,000</w:t>
            </w:r>
          </w:p>
        </w:tc>
        <w:tc>
          <w:tcPr>
            <w:tcW w:w="1037" w:type="dxa"/>
            <w:vAlign w:val="center"/>
          </w:tcPr>
          <w:p w14:paraId="686E39C7"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w:t>
            </w:r>
            <w:r>
              <w:rPr>
                <w:rFonts w:ascii="Arial" w:hAnsi="Arial" w:cs="Arial"/>
                <w:sz w:val="18"/>
                <w:szCs w:val="18"/>
              </w:rPr>
              <w:t>75,000</w:t>
            </w:r>
          </w:p>
        </w:tc>
        <w:tc>
          <w:tcPr>
            <w:tcW w:w="1037" w:type="dxa"/>
            <w:vAlign w:val="center"/>
          </w:tcPr>
          <w:p w14:paraId="67AB8134"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$0</w:t>
            </w:r>
          </w:p>
        </w:tc>
        <w:tc>
          <w:tcPr>
            <w:tcW w:w="1007" w:type="dxa"/>
            <w:vAlign w:val="center"/>
          </w:tcPr>
          <w:p w14:paraId="398886AD"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w:t>
            </w:r>
            <w:r>
              <w:rPr>
                <w:rFonts w:ascii="Arial" w:hAnsi="Arial" w:cs="Arial"/>
                <w:sz w:val="18"/>
                <w:szCs w:val="18"/>
              </w:rPr>
              <w:t>355</w:t>
            </w:r>
            <w:r w:rsidRPr="00A10F46">
              <w:rPr>
                <w:rFonts w:ascii="Arial" w:hAnsi="Arial" w:cs="Arial"/>
                <w:sz w:val="18"/>
                <w:szCs w:val="18"/>
              </w:rPr>
              <w:t>,000</w:t>
            </w:r>
          </w:p>
        </w:tc>
      </w:tr>
      <w:tr w:rsidR="009B3E96" w:rsidRPr="00732F81" w14:paraId="5809F3F1" w14:textId="77777777" w:rsidTr="00733683">
        <w:trPr>
          <w:trHeight w:val="243"/>
          <w:jc w:val="center"/>
        </w:trPr>
        <w:tc>
          <w:tcPr>
            <w:tcW w:w="2140" w:type="dxa"/>
            <w:vAlign w:val="center"/>
          </w:tcPr>
          <w:p w14:paraId="2975C47C" w14:textId="77777777" w:rsidR="009B3E96" w:rsidRPr="00A10F46" w:rsidRDefault="009B3E96" w:rsidP="00733683">
            <w:pPr>
              <w:autoSpaceDE w:val="0"/>
              <w:autoSpaceDN w:val="0"/>
              <w:adjustRightInd w:val="0"/>
              <w:rPr>
                <w:rFonts w:ascii="Arial" w:hAnsi="Arial" w:cs="Arial"/>
                <w:sz w:val="18"/>
                <w:szCs w:val="18"/>
              </w:rPr>
            </w:pPr>
            <w:r w:rsidRPr="00A10F46">
              <w:rPr>
                <w:rFonts w:ascii="Arial" w:hAnsi="Arial" w:cs="Arial"/>
                <w:sz w:val="18"/>
                <w:szCs w:val="18"/>
              </w:rPr>
              <w:t>Net Income ($ 000)</w:t>
            </w:r>
          </w:p>
        </w:tc>
        <w:tc>
          <w:tcPr>
            <w:tcW w:w="1036" w:type="dxa"/>
            <w:vAlign w:val="center"/>
          </w:tcPr>
          <w:p w14:paraId="25FF89A3"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$88,170</w:t>
            </w:r>
          </w:p>
        </w:tc>
        <w:tc>
          <w:tcPr>
            <w:tcW w:w="1037" w:type="dxa"/>
            <w:vAlign w:val="center"/>
          </w:tcPr>
          <w:p w14:paraId="574FFBB8"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$74,995</w:t>
            </w:r>
          </w:p>
        </w:tc>
        <w:tc>
          <w:tcPr>
            <w:tcW w:w="1037" w:type="dxa"/>
            <w:vAlign w:val="center"/>
          </w:tcPr>
          <w:p w14:paraId="3278A2F4"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$73,593</w:t>
            </w:r>
          </w:p>
        </w:tc>
        <w:tc>
          <w:tcPr>
            <w:tcW w:w="1036" w:type="dxa"/>
            <w:vAlign w:val="center"/>
          </w:tcPr>
          <w:p w14:paraId="59102DB3"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$96,331</w:t>
            </w:r>
          </w:p>
        </w:tc>
        <w:tc>
          <w:tcPr>
            <w:tcW w:w="1037" w:type="dxa"/>
            <w:vAlign w:val="center"/>
          </w:tcPr>
          <w:p w14:paraId="5CB61BAB"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$79,464</w:t>
            </w:r>
          </w:p>
        </w:tc>
        <w:tc>
          <w:tcPr>
            <w:tcW w:w="1037" w:type="dxa"/>
            <w:vAlign w:val="center"/>
          </w:tcPr>
          <w:p w14:paraId="515061B0"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$90,476</w:t>
            </w:r>
          </w:p>
        </w:tc>
        <w:tc>
          <w:tcPr>
            <w:tcW w:w="1007" w:type="dxa"/>
            <w:vAlign w:val="center"/>
          </w:tcPr>
          <w:p w14:paraId="13C06C5D"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$503,029</w:t>
            </w:r>
          </w:p>
        </w:tc>
      </w:tr>
      <w:tr w:rsidR="009B3E96" w:rsidRPr="00732F81" w14:paraId="1DCD2512" w14:textId="77777777" w:rsidTr="00733683">
        <w:trPr>
          <w:trHeight w:val="243"/>
          <w:jc w:val="center"/>
        </w:trPr>
        <w:tc>
          <w:tcPr>
            <w:tcW w:w="2140" w:type="dxa"/>
            <w:vAlign w:val="center"/>
          </w:tcPr>
          <w:p w14:paraId="10E03B52" w14:textId="77777777" w:rsidR="009B3E96" w:rsidRPr="00A10F46" w:rsidRDefault="009B3E96" w:rsidP="00733683">
            <w:pPr>
              <w:autoSpaceDE w:val="0"/>
              <w:autoSpaceDN w:val="0"/>
              <w:adjustRightInd w:val="0"/>
              <w:rPr>
                <w:rFonts w:ascii="Arial" w:hAnsi="Arial" w:cs="Arial"/>
                <w:sz w:val="18"/>
                <w:szCs w:val="18"/>
              </w:rPr>
            </w:pPr>
            <w:r w:rsidRPr="00A10F46">
              <w:rPr>
                <w:rFonts w:ascii="Arial" w:hAnsi="Arial" w:cs="Arial"/>
                <w:sz w:val="18"/>
                <w:szCs w:val="18"/>
              </w:rPr>
              <w:t>Dividend Payout Ratio</w:t>
            </w:r>
          </w:p>
        </w:tc>
        <w:tc>
          <w:tcPr>
            <w:tcW w:w="1036" w:type="dxa"/>
            <w:vAlign w:val="center"/>
          </w:tcPr>
          <w:p w14:paraId="0550794E"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79%</w:t>
            </w:r>
          </w:p>
        </w:tc>
        <w:tc>
          <w:tcPr>
            <w:tcW w:w="1037" w:type="dxa"/>
            <w:vAlign w:val="center"/>
          </w:tcPr>
          <w:p w14:paraId="7B4A67DE"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67%</w:t>
            </w:r>
          </w:p>
        </w:tc>
        <w:tc>
          <w:tcPr>
            <w:tcW w:w="1037" w:type="dxa"/>
            <w:vAlign w:val="center"/>
          </w:tcPr>
          <w:p w14:paraId="707FBB3D"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122%</w:t>
            </w:r>
          </w:p>
        </w:tc>
        <w:tc>
          <w:tcPr>
            <w:tcW w:w="1036" w:type="dxa"/>
            <w:vAlign w:val="center"/>
          </w:tcPr>
          <w:p w14:paraId="6F3EFC48"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73%</w:t>
            </w:r>
          </w:p>
        </w:tc>
        <w:tc>
          <w:tcPr>
            <w:tcW w:w="1037" w:type="dxa"/>
            <w:vAlign w:val="center"/>
          </w:tcPr>
          <w:p w14:paraId="5E61505D" w14:textId="77777777" w:rsidR="009B3E96" w:rsidRPr="00A10F46" w:rsidRDefault="009B3E96" w:rsidP="00733683">
            <w:pPr>
              <w:autoSpaceDE w:val="0"/>
              <w:autoSpaceDN w:val="0"/>
              <w:adjustRightInd w:val="0"/>
              <w:jc w:val="center"/>
              <w:rPr>
                <w:rFonts w:ascii="Arial" w:hAnsi="Arial" w:cs="Arial"/>
                <w:sz w:val="18"/>
                <w:szCs w:val="18"/>
              </w:rPr>
            </w:pPr>
            <w:r>
              <w:rPr>
                <w:rFonts w:ascii="Arial" w:hAnsi="Arial" w:cs="Arial"/>
                <w:sz w:val="18"/>
                <w:szCs w:val="18"/>
              </w:rPr>
              <w:t>94%</w:t>
            </w:r>
          </w:p>
        </w:tc>
        <w:tc>
          <w:tcPr>
            <w:tcW w:w="1037" w:type="dxa"/>
            <w:vAlign w:val="center"/>
          </w:tcPr>
          <w:p w14:paraId="5654E384" w14:textId="77777777" w:rsidR="009B3E96" w:rsidRPr="00A10F46"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0%</w:t>
            </w:r>
          </w:p>
        </w:tc>
        <w:tc>
          <w:tcPr>
            <w:tcW w:w="1007" w:type="dxa"/>
            <w:vAlign w:val="center"/>
          </w:tcPr>
          <w:p w14:paraId="11A90FBB" w14:textId="77777777" w:rsidR="009B3E96" w:rsidRPr="00A10F46" w:rsidRDefault="009B3E96" w:rsidP="00733683">
            <w:pPr>
              <w:autoSpaceDE w:val="0"/>
              <w:autoSpaceDN w:val="0"/>
              <w:adjustRightInd w:val="0"/>
              <w:jc w:val="center"/>
              <w:rPr>
                <w:rFonts w:ascii="Arial" w:hAnsi="Arial" w:cs="Arial"/>
                <w:sz w:val="18"/>
                <w:szCs w:val="18"/>
              </w:rPr>
            </w:pPr>
            <w:r>
              <w:rPr>
                <w:rFonts w:ascii="Arial" w:hAnsi="Arial" w:cs="Arial"/>
                <w:sz w:val="18"/>
                <w:szCs w:val="18"/>
              </w:rPr>
              <w:t>71</w:t>
            </w:r>
            <w:r w:rsidRPr="00A10F46">
              <w:rPr>
                <w:rFonts w:ascii="Arial" w:hAnsi="Arial" w:cs="Arial"/>
                <w:sz w:val="18"/>
                <w:szCs w:val="18"/>
              </w:rPr>
              <w:t>%</w:t>
            </w:r>
          </w:p>
        </w:tc>
      </w:tr>
      <w:tr w:rsidR="009B3E96" w:rsidRPr="00732F81" w14:paraId="726AECB9" w14:textId="77777777" w:rsidTr="00733683">
        <w:trPr>
          <w:trHeight w:val="144"/>
          <w:jc w:val="center"/>
        </w:trPr>
        <w:tc>
          <w:tcPr>
            <w:tcW w:w="2140" w:type="dxa"/>
            <w:vAlign w:val="center"/>
          </w:tcPr>
          <w:p w14:paraId="6213D67D" w14:textId="77777777" w:rsidR="009B3E96" w:rsidRPr="00A10F46" w:rsidRDefault="009B3E96" w:rsidP="00733683">
            <w:pPr>
              <w:autoSpaceDE w:val="0"/>
              <w:autoSpaceDN w:val="0"/>
              <w:adjustRightInd w:val="0"/>
              <w:rPr>
                <w:rFonts w:ascii="Arial" w:hAnsi="Arial" w:cs="Arial"/>
                <w:sz w:val="18"/>
                <w:szCs w:val="18"/>
              </w:rPr>
            </w:pPr>
          </w:p>
        </w:tc>
        <w:tc>
          <w:tcPr>
            <w:tcW w:w="1036" w:type="dxa"/>
            <w:vAlign w:val="center"/>
          </w:tcPr>
          <w:p w14:paraId="2E186708" w14:textId="77777777" w:rsidR="009B3E96" w:rsidRPr="00A10F46" w:rsidDel="00FE5E17" w:rsidRDefault="009B3E96" w:rsidP="00733683">
            <w:pPr>
              <w:autoSpaceDE w:val="0"/>
              <w:autoSpaceDN w:val="0"/>
              <w:adjustRightInd w:val="0"/>
              <w:jc w:val="center"/>
              <w:rPr>
                <w:rFonts w:ascii="Arial" w:hAnsi="Arial" w:cs="Arial"/>
                <w:sz w:val="18"/>
                <w:szCs w:val="18"/>
              </w:rPr>
            </w:pPr>
          </w:p>
        </w:tc>
        <w:tc>
          <w:tcPr>
            <w:tcW w:w="1037" w:type="dxa"/>
            <w:vAlign w:val="center"/>
          </w:tcPr>
          <w:p w14:paraId="79356DC7" w14:textId="77777777" w:rsidR="009B3E96" w:rsidRPr="00A10F46" w:rsidDel="00FE5E17" w:rsidRDefault="009B3E96" w:rsidP="00733683">
            <w:pPr>
              <w:autoSpaceDE w:val="0"/>
              <w:autoSpaceDN w:val="0"/>
              <w:adjustRightInd w:val="0"/>
              <w:jc w:val="center"/>
              <w:rPr>
                <w:rFonts w:ascii="Arial" w:hAnsi="Arial" w:cs="Arial"/>
                <w:sz w:val="18"/>
                <w:szCs w:val="18"/>
              </w:rPr>
            </w:pPr>
          </w:p>
        </w:tc>
        <w:tc>
          <w:tcPr>
            <w:tcW w:w="1037" w:type="dxa"/>
            <w:vAlign w:val="center"/>
          </w:tcPr>
          <w:p w14:paraId="11C15D43" w14:textId="77777777" w:rsidR="009B3E96" w:rsidRPr="00A10F46" w:rsidDel="00FE5E17" w:rsidRDefault="009B3E96" w:rsidP="00733683">
            <w:pPr>
              <w:autoSpaceDE w:val="0"/>
              <w:autoSpaceDN w:val="0"/>
              <w:adjustRightInd w:val="0"/>
              <w:jc w:val="center"/>
              <w:rPr>
                <w:rFonts w:ascii="Arial" w:hAnsi="Arial" w:cs="Arial"/>
                <w:sz w:val="18"/>
                <w:szCs w:val="18"/>
              </w:rPr>
            </w:pPr>
          </w:p>
        </w:tc>
        <w:tc>
          <w:tcPr>
            <w:tcW w:w="1036" w:type="dxa"/>
            <w:vAlign w:val="center"/>
          </w:tcPr>
          <w:p w14:paraId="42239175" w14:textId="77777777" w:rsidR="009B3E96" w:rsidRPr="00A10F46" w:rsidDel="00FE5E17" w:rsidRDefault="009B3E96" w:rsidP="00733683">
            <w:pPr>
              <w:autoSpaceDE w:val="0"/>
              <w:autoSpaceDN w:val="0"/>
              <w:adjustRightInd w:val="0"/>
              <w:jc w:val="center"/>
              <w:rPr>
                <w:rFonts w:ascii="Arial" w:hAnsi="Arial" w:cs="Arial"/>
                <w:sz w:val="18"/>
                <w:szCs w:val="18"/>
              </w:rPr>
            </w:pPr>
          </w:p>
        </w:tc>
        <w:tc>
          <w:tcPr>
            <w:tcW w:w="1037" w:type="dxa"/>
            <w:vAlign w:val="center"/>
          </w:tcPr>
          <w:p w14:paraId="698FFF3B" w14:textId="77777777" w:rsidR="009B3E96" w:rsidRPr="00A10F46" w:rsidDel="00FE5E17" w:rsidRDefault="009B3E96" w:rsidP="00733683">
            <w:pPr>
              <w:autoSpaceDE w:val="0"/>
              <w:autoSpaceDN w:val="0"/>
              <w:adjustRightInd w:val="0"/>
              <w:jc w:val="center"/>
              <w:rPr>
                <w:rFonts w:ascii="Arial" w:hAnsi="Arial" w:cs="Arial"/>
                <w:sz w:val="18"/>
                <w:szCs w:val="18"/>
              </w:rPr>
            </w:pPr>
          </w:p>
        </w:tc>
        <w:tc>
          <w:tcPr>
            <w:tcW w:w="1037" w:type="dxa"/>
            <w:vAlign w:val="center"/>
          </w:tcPr>
          <w:p w14:paraId="543F7072" w14:textId="77777777" w:rsidR="009B3E96" w:rsidRPr="00A10F46" w:rsidDel="00FE5E17" w:rsidRDefault="009B3E96" w:rsidP="00733683">
            <w:pPr>
              <w:autoSpaceDE w:val="0"/>
              <w:autoSpaceDN w:val="0"/>
              <w:adjustRightInd w:val="0"/>
              <w:jc w:val="center"/>
              <w:rPr>
                <w:rFonts w:ascii="Arial" w:hAnsi="Arial" w:cs="Arial"/>
                <w:sz w:val="18"/>
                <w:szCs w:val="18"/>
              </w:rPr>
            </w:pPr>
          </w:p>
        </w:tc>
        <w:tc>
          <w:tcPr>
            <w:tcW w:w="1007" w:type="dxa"/>
            <w:vAlign w:val="center"/>
          </w:tcPr>
          <w:p w14:paraId="20C9A27A" w14:textId="77777777" w:rsidR="009B3E96" w:rsidRPr="00A10F46" w:rsidDel="00FE5E17" w:rsidRDefault="009B3E96" w:rsidP="00733683">
            <w:pPr>
              <w:autoSpaceDE w:val="0"/>
              <w:autoSpaceDN w:val="0"/>
              <w:adjustRightInd w:val="0"/>
              <w:jc w:val="center"/>
              <w:rPr>
                <w:rFonts w:ascii="Arial" w:hAnsi="Arial" w:cs="Arial"/>
                <w:sz w:val="18"/>
                <w:szCs w:val="18"/>
              </w:rPr>
            </w:pPr>
          </w:p>
        </w:tc>
      </w:tr>
      <w:tr w:rsidR="009B3E96" w:rsidRPr="00732F81" w14:paraId="4CB842D6" w14:textId="77777777" w:rsidTr="00733683">
        <w:trPr>
          <w:trHeight w:val="243"/>
          <w:jc w:val="center"/>
        </w:trPr>
        <w:tc>
          <w:tcPr>
            <w:tcW w:w="2140" w:type="dxa"/>
            <w:vAlign w:val="center"/>
          </w:tcPr>
          <w:p w14:paraId="0B085D36" w14:textId="77777777" w:rsidR="009B3E96" w:rsidRPr="00A10F46" w:rsidRDefault="009B3E96" w:rsidP="00733683">
            <w:pPr>
              <w:autoSpaceDE w:val="0"/>
              <w:autoSpaceDN w:val="0"/>
              <w:adjustRightInd w:val="0"/>
              <w:rPr>
                <w:rFonts w:ascii="Arial" w:hAnsi="Arial" w:cs="Arial"/>
                <w:sz w:val="18"/>
                <w:szCs w:val="18"/>
              </w:rPr>
            </w:pPr>
            <w:r w:rsidRPr="00A10F46">
              <w:rPr>
                <w:rFonts w:ascii="Arial" w:hAnsi="Arial" w:cs="Arial"/>
                <w:b/>
                <w:sz w:val="18"/>
                <w:szCs w:val="18"/>
              </w:rPr>
              <w:t>Penn Power</w:t>
            </w:r>
          </w:p>
        </w:tc>
        <w:tc>
          <w:tcPr>
            <w:tcW w:w="1036" w:type="dxa"/>
            <w:vAlign w:val="center"/>
          </w:tcPr>
          <w:p w14:paraId="5AEC9896"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b/>
                <w:sz w:val="18"/>
                <w:szCs w:val="18"/>
              </w:rPr>
              <w:t>2008</w:t>
            </w:r>
          </w:p>
        </w:tc>
        <w:tc>
          <w:tcPr>
            <w:tcW w:w="1037" w:type="dxa"/>
            <w:vAlign w:val="center"/>
          </w:tcPr>
          <w:p w14:paraId="41A6A6A2"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b/>
                <w:sz w:val="18"/>
                <w:szCs w:val="18"/>
              </w:rPr>
              <w:t>2009</w:t>
            </w:r>
          </w:p>
        </w:tc>
        <w:tc>
          <w:tcPr>
            <w:tcW w:w="1037" w:type="dxa"/>
            <w:vAlign w:val="center"/>
          </w:tcPr>
          <w:p w14:paraId="31535D29"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b/>
                <w:sz w:val="18"/>
                <w:szCs w:val="18"/>
              </w:rPr>
              <w:t>2010</w:t>
            </w:r>
          </w:p>
        </w:tc>
        <w:tc>
          <w:tcPr>
            <w:tcW w:w="1036" w:type="dxa"/>
            <w:vAlign w:val="center"/>
          </w:tcPr>
          <w:p w14:paraId="6629AC3C"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b/>
                <w:sz w:val="18"/>
                <w:szCs w:val="18"/>
              </w:rPr>
              <w:t>2011</w:t>
            </w:r>
          </w:p>
        </w:tc>
        <w:tc>
          <w:tcPr>
            <w:tcW w:w="1037" w:type="dxa"/>
            <w:vAlign w:val="center"/>
          </w:tcPr>
          <w:p w14:paraId="67C1586E"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b/>
                <w:sz w:val="18"/>
                <w:szCs w:val="18"/>
              </w:rPr>
              <w:t>2012</w:t>
            </w:r>
          </w:p>
        </w:tc>
        <w:tc>
          <w:tcPr>
            <w:tcW w:w="1037" w:type="dxa"/>
            <w:vAlign w:val="center"/>
          </w:tcPr>
          <w:p w14:paraId="7F6A5D9B"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b/>
                <w:sz w:val="18"/>
                <w:szCs w:val="18"/>
              </w:rPr>
              <w:t>2013</w:t>
            </w:r>
          </w:p>
        </w:tc>
        <w:tc>
          <w:tcPr>
            <w:tcW w:w="1007" w:type="dxa"/>
            <w:vAlign w:val="center"/>
          </w:tcPr>
          <w:p w14:paraId="2E9607DC"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b/>
                <w:sz w:val="18"/>
                <w:szCs w:val="18"/>
              </w:rPr>
              <w:t>Total</w:t>
            </w:r>
          </w:p>
        </w:tc>
      </w:tr>
      <w:tr w:rsidR="009B3E96" w:rsidRPr="00732F81" w14:paraId="6ED70D6D" w14:textId="77777777" w:rsidTr="00733683">
        <w:trPr>
          <w:trHeight w:val="243"/>
          <w:jc w:val="center"/>
        </w:trPr>
        <w:tc>
          <w:tcPr>
            <w:tcW w:w="2140" w:type="dxa"/>
            <w:vAlign w:val="center"/>
          </w:tcPr>
          <w:p w14:paraId="53E8E342" w14:textId="77777777" w:rsidR="009B3E96" w:rsidRPr="00A10F46" w:rsidRDefault="009B3E96" w:rsidP="00733683">
            <w:pPr>
              <w:autoSpaceDE w:val="0"/>
              <w:autoSpaceDN w:val="0"/>
              <w:adjustRightInd w:val="0"/>
              <w:rPr>
                <w:rFonts w:ascii="Arial" w:hAnsi="Arial" w:cs="Arial"/>
                <w:sz w:val="18"/>
                <w:szCs w:val="18"/>
              </w:rPr>
            </w:pPr>
            <w:r w:rsidRPr="00A10F46">
              <w:rPr>
                <w:rFonts w:ascii="Arial" w:hAnsi="Arial" w:cs="Arial"/>
                <w:sz w:val="18"/>
                <w:szCs w:val="18"/>
              </w:rPr>
              <w:t>Dividends Paid ($ 000)</w:t>
            </w:r>
          </w:p>
        </w:tc>
        <w:tc>
          <w:tcPr>
            <w:tcW w:w="1036" w:type="dxa"/>
            <w:vAlign w:val="center"/>
          </w:tcPr>
          <w:p w14:paraId="28633AD0"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$0</w:t>
            </w:r>
          </w:p>
        </w:tc>
        <w:tc>
          <w:tcPr>
            <w:tcW w:w="1037" w:type="dxa"/>
            <w:vAlign w:val="center"/>
          </w:tcPr>
          <w:p w14:paraId="01D3FD41"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$50,000</w:t>
            </w:r>
          </w:p>
        </w:tc>
        <w:tc>
          <w:tcPr>
            <w:tcW w:w="1037" w:type="dxa"/>
            <w:vAlign w:val="center"/>
          </w:tcPr>
          <w:p w14:paraId="3CA7693A"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$70,000</w:t>
            </w:r>
          </w:p>
        </w:tc>
        <w:tc>
          <w:tcPr>
            <w:tcW w:w="1036" w:type="dxa"/>
            <w:vAlign w:val="center"/>
          </w:tcPr>
          <w:p w14:paraId="7D7C9BE7"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$15,000</w:t>
            </w:r>
          </w:p>
        </w:tc>
        <w:tc>
          <w:tcPr>
            <w:tcW w:w="1037" w:type="dxa"/>
            <w:vAlign w:val="center"/>
          </w:tcPr>
          <w:p w14:paraId="3075E8DA"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$0</w:t>
            </w:r>
          </w:p>
        </w:tc>
        <w:tc>
          <w:tcPr>
            <w:tcW w:w="1037" w:type="dxa"/>
            <w:vAlign w:val="center"/>
          </w:tcPr>
          <w:p w14:paraId="3672B775"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$0</w:t>
            </w:r>
          </w:p>
        </w:tc>
        <w:tc>
          <w:tcPr>
            <w:tcW w:w="1007" w:type="dxa"/>
            <w:vAlign w:val="center"/>
          </w:tcPr>
          <w:p w14:paraId="69F4C92F"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$135,000</w:t>
            </w:r>
          </w:p>
        </w:tc>
      </w:tr>
      <w:tr w:rsidR="009B3E96" w:rsidRPr="00732F81" w14:paraId="637DD505" w14:textId="77777777" w:rsidTr="00733683">
        <w:trPr>
          <w:trHeight w:val="243"/>
          <w:jc w:val="center"/>
        </w:trPr>
        <w:tc>
          <w:tcPr>
            <w:tcW w:w="2140" w:type="dxa"/>
            <w:vAlign w:val="center"/>
          </w:tcPr>
          <w:p w14:paraId="4B2B0A61" w14:textId="77777777" w:rsidR="009B3E96" w:rsidRPr="00A10F46" w:rsidRDefault="009B3E96" w:rsidP="00733683">
            <w:pPr>
              <w:autoSpaceDE w:val="0"/>
              <w:autoSpaceDN w:val="0"/>
              <w:adjustRightInd w:val="0"/>
              <w:rPr>
                <w:rFonts w:ascii="Arial" w:hAnsi="Arial" w:cs="Arial"/>
                <w:sz w:val="18"/>
                <w:szCs w:val="18"/>
              </w:rPr>
            </w:pPr>
            <w:r w:rsidRPr="00A10F46">
              <w:rPr>
                <w:rFonts w:ascii="Arial" w:hAnsi="Arial" w:cs="Arial"/>
                <w:sz w:val="18"/>
                <w:szCs w:val="18"/>
              </w:rPr>
              <w:t>Net Income ($ 000)</w:t>
            </w:r>
          </w:p>
        </w:tc>
        <w:tc>
          <w:tcPr>
            <w:tcW w:w="1036" w:type="dxa"/>
            <w:vAlign w:val="center"/>
          </w:tcPr>
          <w:p w14:paraId="4D3A07C6"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$23,194</w:t>
            </w:r>
          </w:p>
        </w:tc>
        <w:tc>
          <w:tcPr>
            <w:tcW w:w="1037" w:type="dxa"/>
            <w:vAlign w:val="center"/>
          </w:tcPr>
          <w:p w14:paraId="46491D48"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$22,370</w:t>
            </w:r>
          </w:p>
        </w:tc>
        <w:tc>
          <w:tcPr>
            <w:tcW w:w="1037" w:type="dxa"/>
            <w:vAlign w:val="center"/>
          </w:tcPr>
          <w:p w14:paraId="7DF531A3"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$26,428</w:t>
            </w:r>
          </w:p>
        </w:tc>
        <w:tc>
          <w:tcPr>
            <w:tcW w:w="1036" w:type="dxa"/>
            <w:vAlign w:val="center"/>
          </w:tcPr>
          <w:p w14:paraId="427E3C4A"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$22,475</w:t>
            </w:r>
          </w:p>
        </w:tc>
        <w:tc>
          <w:tcPr>
            <w:tcW w:w="1037" w:type="dxa"/>
            <w:vAlign w:val="center"/>
          </w:tcPr>
          <w:p w14:paraId="7FDBC94E"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$20,767</w:t>
            </w:r>
          </w:p>
        </w:tc>
        <w:tc>
          <w:tcPr>
            <w:tcW w:w="1037" w:type="dxa"/>
            <w:vAlign w:val="center"/>
          </w:tcPr>
          <w:p w14:paraId="2DC6C127"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$20,703</w:t>
            </w:r>
          </w:p>
        </w:tc>
        <w:tc>
          <w:tcPr>
            <w:tcW w:w="1007" w:type="dxa"/>
            <w:vAlign w:val="center"/>
          </w:tcPr>
          <w:p w14:paraId="3CECCCE9"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$135,937</w:t>
            </w:r>
          </w:p>
        </w:tc>
      </w:tr>
      <w:tr w:rsidR="009B3E96" w:rsidRPr="00732F81" w14:paraId="40635B80" w14:textId="77777777" w:rsidTr="00733683">
        <w:trPr>
          <w:trHeight w:val="243"/>
          <w:jc w:val="center"/>
        </w:trPr>
        <w:tc>
          <w:tcPr>
            <w:tcW w:w="2140" w:type="dxa"/>
            <w:vAlign w:val="center"/>
          </w:tcPr>
          <w:p w14:paraId="6D61FA81" w14:textId="77777777" w:rsidR="009B3E96" w:rsidRPr="00A10F46" w:rsidRDefault="009B3E96" w:rsidP="00733683">
            <w:pPr>
              <w:autoSpaceDE w:val="0"/>
              <w:autoSpaceDN w:val="0"/>
              <w:adjustRightInd w:val="0"/>
              <w:rPr>
                <w:rFonts w:ascii="Arial" w:hAnsi="Arial" w:cs="Arial"/>
                <w:sz w:val="18"/>
                <w:szCs w:val="18"/>
              </w:rPr>
            </w:pPr>
            <w:r w:rsidRPr="00A10F46">
              <w:rPr>
                <w:rFonts w:ascii="Arial" w:hAnsi="Arial" w:cs="Arial"/>
                <w:sz w:val="18"/>
                <w:szCs w:val="18"/>
              </w:rPr>
              <w:t>Dividend Payout Ratio</w:t>
            </w:r>
          </w:p>
        </w:tc>
        <w:tc>
          <w:tcPr>
            <w:tcW w:w="1036" w:type="dxa"/>
            <w:vAlign w:val="center"/>
          </w:tcPr>
          <w:p w14:paraId="62D410F6"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0%</w:t>
            </w:r>
          </w:p>
        </w:tc>
        <w:tc>
          <w:tcPr>
            <w:tcW w:w="1037" w:type="dxa"/>
            <w:vAlign w:val="center"/>
          </w:tcPr>
          <w:p w14:paraId="7C9B8EFF"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224%</w:t>
            </w:r>
          </w:p>
        </w:tc>
        <w:tc>
          <w:tcPr>
            <w:tcW w:w="1037" w:type="dxa"/>
            <w:vAlign w:val="center"/>
          </w:tcPr>
          <w:p w14:paraId="76C9C079"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265%</w:t>
            </w:r>
          </w:p>
        </w:tc>
        <w:tc>
          <w:tcPr>
            <w:tcW w:w="1036" w:type="dxa"/>
            <w:vAlign w:val="center"/>
          </w:tcPr>
          <w:p w14:paraId="34E9DB44"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67%</w:t>
            </w:r>
          </w:p>
        </w:tc>
        <w:tc>
          <w:tcPr>
            <w:tcW w:w="1037" w:type="dxa"/>
            <w:vAlign w:val="center"/>
          </w:tcPr>
          <w:p w14:paraId="0A8D9C8B"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0%</w:t>
            </w:r>
          </w:p>
        </w:tc>
        <w:tc>
          <w:tcPr>
            <w:tcW w:w="1037" w:type="dxa"/>
            <w:vAlign w:val="center"/>
          </w:tcPr>
          <w:p w14:paraId="75BB35FE"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0%</w:t>
            </w:r>
          </w:p>
        </w:tc>
        <w:tc>
          <w:tcPr>
            <w:tcW w:w="1007" w:type="dxa"/>
            <w:vAlign w:val="center"/>
          </w:tcPr>
          <w:p w14:paraId="2A1345A4"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99%</w:t>
            </w:r>
          </w:p>
        </w:tc>
      </w:tr>
      <w:tr w:rsidR="009B3E96" w:rsidRPr="00732F81" w14:paraId="7D816161" w14:textId="77777777" w:rsidTr="00733683">
        <w:trPr>
          <w:trHeight w:val="144"/>
          <w:jc w:val="center"/>
        </w:trPr>
        <w:tc>
          <w:tcPr>
            <w:tcW w:w="2140" w:type="dxa"/>
            <w:vAlign w:val="center"/>
          </w:tcPr>
          <w:p w14:paraId="3EBA1CCF" w14:textId="77777777" w:rsidR="009B3E96" w:rsidRPr="00A10F46" w:rsidRDefault="009B3E96" w:rsidP="00733683">
            <w:pPr>
              <w:autoSpaceDE w:val="0"/>
              <w:autoSpaceDN w:val="0"/>
              <w:adjustRightInd w:val="0"/>
              <w:rPr>
                <w:rFonts w:ascii="Arial" w:hAnsi="Arial" w:cs="Arial"/>
                <w:sz w:val="18"/>
                <w:szCs w:val="18"/>
              </w:rPr>
            </w:pPr>
          </w:p>
        </w:tc>
        <w:tc>
          <w:tcPr>
            <w:tcW w:w="1036" w:type="dxa"/>
            <w:vAlign w:val="center"/>
          </w:tcPr>
          <w:p w14:paraId="04F00CD7" w14:textId="77777777" w:rsidR="009B3E96" w:rsidRPr="00A10F46" w:rsidDel="00FE5E17" w:rsidRDefault="009B3E96" w:rsidP="00733683">
            <w:pPr>
              <w:autoSpaceDE w:val="0"/>
              <w:autoSpaceDN w:val="0"/>
              <w:adjustRightInd w:val="0"/>
              <w:jc w:val="center"/>
              <w:rPr>
                <w:rFonts w:ascii="Arial" w:hAnsi="Arial" w:cs="Arial"/>
                <w:sz w:val="18"/>
                <w:szCs w:val="18"/>
              </w:rPr>
            </w:pPr>
          </w:p>
        </w:tc>
        <w:tc>
          <w:tcPr>
            <w:tcW w:w="1037" w:type="dxa"/>
            <w:vAlign w:val="center"/>
          </w:tcPr>
          <w:p w14:paraId="08294D34" w14:textId="77777777" w:rsidR="009B3E96" w:rsidRPr="00A10F46" w:rsidDel="00FE5E17" w:rsidRDefault="009B3E96" w:rsidP="00733683">
            <w:pPr>
              <w:autoSpaceDE w:val="0"/>
              <w:autoSpaceDN w:val="0"/>
              <w:adjustRightInd w:val="0"/>
              <w:jc w:val="center"/>
              <w:rPr>
                <w:rFonts w:ascii="Arial" w:hAnsi="Arial" w:cs="Arial"/>
                <w:sz w:val="18"/>
                <w:szCs w:val="18"/>
              </w:rPr>
            </w:pPr>
          </w:p>
        </w:tc>
        <w:tc>
          <w:tcPr>
            <w:tcW w:w="1037" w:type="dxa"/>
            <w:vAlign w:val="center"/>
          </w:tcPr>
          <w:p w14:paraId="3383871A" w14:textId="77777777" w:rsidR="009B3E96" w:rsidRPr="00A10F46" w:rsidDel="00FE5E17" w:rsidRDefault="009B3E96" w:rsidP="00733683">
            <w:pPr>
              <w:autoSpaceDE w:val="0"/>
              <w:autoSpaceDN w:val="0"/>
              <w:adjustRightInd w:val="0"/>
              <w:jc w:val="center"/>
              <w:rPr>
                <w:rFonts w:ascii="Arial" w:hAnsi="Arial" w:cs="Arial"/>
                <w:sz w:val="18"/>
                <w:szCs w:val="18"/>
              </w:rPr>
            </w:pPr>
          </w:p>
        </w:tc>
        <w:tc>
          <w:tcPr>
            <w:tcW w:w="1036" w:type="dxa"/>
            <w:vAlign w:val="center"/>
          </w:tcPr>
          <w:p w14:paraId="57E2C7A9" w14:textId="77777777" w:rsidR="009B3E96" w:rsidRPr="00A10F46" w:rsidDel="00FE5E17" w:rsidRDefault="009B3E96" w:rsidP="00733683">
            <w:pPr>
              <w:autoSpaceDE w:val="0"/>
              <w:autoSpaceDN w:val="0"/>
              <w:adjustRightInd w:val="0"/>
              <w:jc w:val="center"/>
              <w:rPr>
                <w:rFonts w:ascii="Arial" w:hAnsi="Arial" w:cs="Arial"/>
                <w:sz w:val="18"/>
                <w:szCs w:val="18"/>
              </w:rPr>
            </w:pPr>
          </w:p>
        </w:tc>
        <w:tc>
          <w:tcPr>
            <w:tcW w:w="1037" w:type="dxa"/>
            <w:vAlign w:val="center"/>
          </w:tcPr>
          <w:p w14:paraId="321288B8" w14:textId="77777777" w:rsidR="009B3E96" w:rsidRPr="00A10F46" w:rsidDel="00FE5E17" w:rsidRDefault="009B3E96" w:rsidP="00733683">
            <w:pPr>
              <w:autoSpaceDE w:val="0"/>
              <w:autoSpaceDN w:val="0"/>
              <w:adjustRightInd w:val="0"/>
              <w:jc w:val="center"/>
              <w:rPr>
                <w:rFonts w:ascii="Arial" w:hAnsi="Arial" w:cs="Arial"/>
                <w:sz w:val="18"/>
                <w:szCs w:val="18"/>
              </w:rPr>
            </w:pPr>
          </w:p>
        </w:tc>
        <w:tc>
          <w:tcPr>
            <w:tcW w:w="1037" w:type="dxa"/>
            <w:vAlign w:val="center"/>
          </w:tcPr>
          <w:p w14:paraId="0C13CB05" w14:textId="77777777" w:rsidR="009B3E96" w:rsidRPr="00A10F46" w:rsidDel="00FE5E17" w:rsidRDefault="009B3E96" w:rsidP="00733683">
            <w:pPr>
              <w:autoSpaceDE w:val="0"/>
              <w:autoSpaceDN w:val="0"/>
              <w:adjustRightInd w:val="0"/>
              <w:jc w:val="center"/>
              <w:rPr>
                <w:rFonts w:ascii="Arial" w:hAnsi="Arial" w:cs="Arial"/>
                <w:sz w:val="18"/>
                <w:szCs w:val="18"/>
              </w:rPr>
            </w:pPr>
          </w:p>
        </w:tc>
        <w:tc>
          <w:tcPr>
            <w:tcW w:w="1007" w:type="dxa"/>
            <w:vAlign w:val="center"/>
          </w:tcPr>
          <w:p w14:paraId="6E603FED" w14:textId="77777777" w:rsidR="009B3E96" w:rsidRPr="00A10F46" w:rsidDel="00FE5E17" w:rsidRDefault="009B3E96" w:rsidP="00733683">
            <w:pPr>
              <w:autoSpaceDE w:val="0"/>
              <w:autoSpaceDN w:val="0"/>
              <w:adjustRightInd w:val="0"/>
              <w:jc w:val="center"/>
              <w:rPr>
                <w:rFonts w:ascii="Arial" w:hAnsi="Arial" w:cs="Arial"/>
                <w:sz w:val="18"/>
                <w:szCs w:val="18"/>
              </w:rPr>
            </w:pPr>
          </w:p>
        </w:tc>
      </w:tr>
      <w:tr w:rsidR="009B3E96" w:rsidRPr="00732F81" w14:paraId="25BAA4D7" w14:textId="77777777" w:rsidTr="00733683">
        <w:trPr>
          <w:trHeight w:val="243"/>
          <w:jc w:val="center"/>
        </w:trPr>
        <w:tc>
          <w:tcPr>
            <w:tcW w:w="2140" w:type="dxa"/>
            <w:vAlign w:val="center"/>
          </w:tcPr>
          <w:p w14:paraId="6781B0DC" w14:textId="77777777" w:rsidR="009B3E96" w:rsidRPr="00A10F46" w:rsidRDefault="009B3E96" w:rsidP="00733683">
            <w:pPr>
              <w:autoSpaceDE w:val="0"/>
              <w:autoSpaceDN w:val="0"/>
              <w:adjustRightInd w:val="0"/>
              <w:rPr>
                <w:rFonts w:ascii="Arial" w:hAnsi="Arial" w:cs="Arial"/>
                <w:sz w:val="18"/>
                <w:szCs w:val="18"/>
              </w:rPr>
            </w:pPr>
            <w:r w:rsidRPr="00A10F46">
              <w:rPr>
                <w:rFonts w:ascii="Arial" w:hAnsi="Arial" w:cs="Arial"/>
                <w:b/>
                <w:sz w:val="18"/>
                <w:szCs w:val="18"/>
              </w:rPr>
              <w:t>West Penn Power</w:t>
            </w:r>
          </w:p>
        </w:tc>
        <w:tc>
          <w:tcPr>
            <w:tcW w:w="1036" w:type="dxa"/>
            <w:vAlign w:val="center"/>
          </w:tcPr>
          <w:p w14:paraId="756AD40A"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b/>
                <w:sz w:val="18"/>
                <w:szCs w:val="18"/>
              </w:rPr>
              <w:t>2008</w:t>
            </w:r>
          </w:p>
        </w:tc>
        <w:tc>
          <w:tcPr>
            <w:tcW w:w="1037" w:type="dxa"/>
            <w:vAlign w:val="center"/>
          </w:tcPr>
          <w:p w14:paraId="1E5587F5"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b/>
                <w:sz w:val="18"/>
                <w:szCs w:val="18"/>
              </w:rPr>
              <w:t>2009</w:t>
            </w:r>
          </w:p>
        </w:tc>
        <w:tc>
          <w:tcPr>
            <w:tcW w:w="1037" w:type="dxa"/>
            <w:vAlign w:val="center"/>
          </w:tcPr>
          <w:p w14:paraId="524D9373"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b/>
                <w:sz w:val="18"/>
                <w:szCs w:val="18"/>
              </w:rPr>
              <w:t>2010</w:t>
            </w:r>
          </w:p>
        </w:tc>
        <w:tc>
          <w:tcPr>
            <w:tcW w:w="1036" w:type="dxa"/>
            <w:vAlign w:val="center"/>
          </w:tcPr>
          <w:p w14:paraId="051E8DA1"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b/>
                <w:sz w:val="18"/>
                <w:szCs w:val="18"/>
              </w:rPr>
              <w:t>2011</w:t>
            </w:r>
          </w:p>
        </w:tc>
        <w:tc>
          <w:tcPr>
            <w:tcW w:w="1037" w:type="dxa"/>
            <w:vAlign w:val="center"/>
          </w:tcPr>
          <w:p w14:paraId="002C0DB8"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b/>
                <w:sz w:val="18"/>
                <w:szCs w:val="18"/>
              </w:rPr>
              <w:t>2012</w:t>
            </w:r>
          </w:p>
        </w:tc>
        <w:tc>
          <w:tcPr>
            <w:tcW w:w="1037" w:type="dxa"/>
            <w:vAlign w:val="center"/>
          </w:tcPr>
          <w:p w14:paraId="3516F01C"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b/>
                <w:sz w:val="18"/>
                <w:szCs w:val="18"/>
              </w:rPr>
              <w:t>2013</w:t>
            </w:r>
          </w:p>
        </w:tc>
        <w:tc>
          <w:tcPr>
            <w:tcW w:w="1007" w:type="dxa"/>
            <w:vAlign w:val="center"/>
          </w:tcPr>
          <w:p w14:paraId="4C0638B7"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b/>
                <w:sz w:val="18"/>
                <w:szCs w:val="18"/>
              </w:rPr>
              <w:t>Total</w:t>
            </w:r>
          </w:p>
        </w:tc>
      </w:tr>
      <w:tr w:rsidR="009B3E96" w:rsidRPr="00732F81" w14:paraId="2D5D12FC" w14:textId="77777777" w:rsidTr="00733683">
        <w:trPr>
          <w:trHeight w:val="243"/>
          <w:jc w:val="center"/>
        </w:trPr>
        <w:tc>
          <w:tcPr>
            <w:tcW w:w="2140" w:type="dxa"/>
            <w:vAlign w:val="center"/>
          </w:tcPr>
          <w:p w14:paraId="04529637" w14:textId="77777777" w:rsidR="009B3E96" w:rsidRPr="00A10F46" w:rsidRDefault="009B3E96" w:rsidP="00733683">
            <w:pPr>
              <w:autoSpaceDE w:val="0"/>
              <w:autoSpaceDN w:val="0"/>
              <w:adjustRightInd w:val="0"/>
              <w:rPr>
                <w:rFonts w:ascii="Arial" w:hAnsi="Arial" w:cs="Arial"/>
                <w:sz w:val="18"/>
                <w:szCs w:val="18"/>
              </w:rPr>
            </w:pPr>
            <w:r w:rsidRPr="00A10F46">
              <w:rPr>
                <w:rFonts w:ascii="Arial" w:hAnsi="Arial" w:cs="Arial"/>
                <w:sz w:val="18"/>
                <w:szCs w:val="18"/>
              </w:rPr>
              <w:t>Dividends Paid ($ 000)</w:t>
            </w:r>
          </w:p>
        </w:tc>
        <w:tc>
          <w:tcPr>
            <w:tcW w:w="1036" w:type="dxa"/>
            <w:vAlign w:val="center"/>
          </w:tcPr>
          <w:p w14:paraId="6F5961BE"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$35,324</w:t>
            </w:r>
          </w:p>
        </w:tc>
        <w:tc>
          <w:tcPr>
            <w:tcW w:w="1037" w:type="dxa"/>
            <w:vAlign w:val="center"/>
          </w:tcPr>
          <w:p w14:paraId="5307A4D7"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$35,081</w:t>
            </w:r>
          </w:p>
        </w:tc>
        <w:tc>
          <w:tcPr>
            <w:tcW w:w="1037" w:type="dxa"/>
            <w:vAlign w:val="center"/>
          </w:tcPr>
          <w:p w14:paraId="674BBED2"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$60,173</w:t>
            </w:r>
          </w:p>
        </w:tc>
        <w:tc>
          <w:tcPr>
            <w:tcW w:w="1036" w:type="dxa"/>
            <w:vAlign w:val="center"/>
          </w:tcPr>
          <w:p w14:paraId="5FE45BA6"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$40,000</w:t>
            </w:r>
          </w:p>
        </w:tc>
        <w:tc>
          <w:tcPr>
            <w:tcW w:w="1037" w:type="dxa"/>
            <w:vAlign w:val="center"/>
          </w:tcPr>
          <w:p w14:paraId="569CD595"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$20,000</w:t>
            </w:r>
          </w:p>
        </w:tc>
        <w:tc>
          <w:tcPr>
            <w:tcW w:w="1037" w:type="dxa"/>
            <w:vAlign w:val="center"/>
          </w:tcPr>
          <w:p w14:paraId="59BA8CA5"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$75,000</w:t>
            </w:r>
          </w:p>
        </w:tc>
        <w:tc>
          <w:tcPr>
            <w:tcW w:w="1007" w:type="dxa"/>
            <w:vAlign w:val="center"/>
          </w:tcPr>
          <w:p w14:paraId="64B275C6"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$265,578</w:t>
            </w:r>
          </w:p>
        </w:tc>
      </w:tr>
      <w:tr w:rsidR="009B3E96" w:rsidRPr="00732F81" w14:paraId="5F2AC8CB" w14:textId="77777777" w:rsidTr="00733683">
        <w:trPr>
          <w:trHeight w:val="243"/>
          <w:jc w:val="center"/>
        </w:trPr>
        <w:tc>
          <w:tcPr>
            <w:tcW w:w="2140" w:type="dxa"/>
            <w:vAlign w:val="center"/>
          </w:tcPr>
          <w:p w14:paraId="66AE1028" w14:textId="77777777" w:rsidR="009B3E96" w:rsidRPr="00A10F46" w:rsidRDefault="009B3E96" w:rsidP="00733683">
            <w:pPr>
              <w:autoSpaceDE w:val="0"/>
              <w:autoSpaceDN w:val="0"/>
              <w:adjustRightInd w:val="0"/>
              <w:rPr>
                <w:rFonts w:ascii="Arial" w:hAnsi="Arial" w:cs="Arial"/>
                <w:sz w:val="18"/>
                <w:szCs w:val="18"/>
              </w:rPr>
            </w:pPr>
            <w:r w:rsidRPr="00A10F46">
              <w:rPr>
                <w:rFonts w:ascii="Arial" w:hAnsi="Arial" w:cs="Arial"/>
                <w:sz w:val="18"/>
                <w:szCs w:val="18"/>
              </w:rPr>
              <w:t>Net Income ($ 000)</w:t>
            </w:r>
          </w:p>
        </w:tc>
        <w:tc>
          <w:tcPr>
            <w:tcW w:w="1036" w:type="dxa"/>
            <w:vAlign w:val="center"/>
          </w:tcPr>
          <w:p w14:paraId="3EAEBABA"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$45,053</w:t>
            </w:r>
          </w:p>
        </w:tc>
        <w:tc>
          <w:tcPr>
            <w:tcW w:w="1037" w:type="dxa"/>
            <w:vAlign w:val="center"/>
          </w:tcPr>
          <w:p w14:paraId="503E5680"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$61,409</w:t>
            </w:r>
          </w:p>
        </w:tc>
        <w:tc>
          <w:tcPr>
            <w:tcW w:w="1037" w:type="dxa"/>
            <w:vAlign w:val="center"/>
          </w:tcPr>
          <w:p w14:paraId="028939AE"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$74,600</w:t>
            </w:r>
          </w:p>
        </w:tc>
        <w:tc>
          <w:tcPr>
            <w:tcW w:w="1036" w:type="dxa"/>
            <w:vAlign w:val="center"/>
          </w:tcPr>
          <w:p w14:paraId="65767F22"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$90,712</w:t>
            </w:r>
          </w:p>
        </w:tc>
        <w:tc>
          <w:tcPr>
            <w:tcW w:w="1037" w:type="dxa"/>
            <w:vAlign w:val="center"/>
          </w:tcPr>
          <w:p w14:paraId="0DF81AAB"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$94,822</w:t>
            </w:r>
          </w:p>
        </w:tc>
        <w:tc>
          <w:tcPr>
            <w:tcW w:w="1037" w:type="dxa"/>
            <w:vAlign w:val="center"/>
          </w:tcPr>
          <w:p w14:paraId="0223B80A"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$93,535</w:t>
            </w:r>
          </w:p>
        </w:tc>
        <w:tc>
          <w:tcPr>
            <w:tcW w:w="1007" w:type="dxa"/>
            <w:vAlign w:val="center"/>
          </w:tcPr>
          <w:p w14:paraId="2F5807AA"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$460,131</w:t>
            </w:r>
          </w:p>
        </w:tc>
      </w:tr>
      <w:tr w:rsidR="009B3E96" w:rsidRPr="00732F81" w14:paraId="29B1A374" w14:textId="77777777" w:rsidTr="00733683">
        <w:trPr>
          <w:trHeight w:val="243"/>
          <w:jc w:val="center"/>
        </w:trPr>
        <w:tc>
          <w:tcPr>
            <w:tcW w:w="2140" w:type="dxa"/>
            <w:vAlign w:val="center"/>
          </w:tcPr>
          <w:p w14:paraId="076601E5" w14:textId="77777777" w:rsidR="009B3E96" w:rsidRPr="00A10F46" w:rsidRDefault="009B3E96" w:rsidP="00733683">
            <w:pPr>
              <w:autoSpaceDE w:val="0"/>
              <w:autoSpaceDN w:val="0"/>
              <w:adjustRightInd w:val="0"/>
              <w:rPr>
                <w:rFonts w:ascii="Arial" w:hAnsi="Arial" w:cs="Arial"/>
                <w:sz w:val="18"/>
                <w:szCs w:val="18"/>
              </w:rPr>
            </w:pPr>
            <w:r w:rsidRPr="00A10F46">
              <w:rPr>
                <w:rFonts w:ascii="Arial" w:hAnsi="Arial" w:cs="Arial"/>
                <w:sz w:val="18"/>
                <w:szCs w:val="18"/>
              </w:rPr>
              <w:t>Dividend Payout Ratio</w:t>
            </w:r>
          </w:p>
        </w:tc>
        <w:tc>
          <w:tcPr>
            <w:tcW w:w="1036" w:type="dxa"/>
            <w:vAlign w:val="center"/>
          </w:tcPr>
          <w:p w14:paraId="6F63621D"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78%</w:t>
            </w:r>
          </w:p>
        </w:tc>
        <w:tc>
          <w:tcPr>
            <w:tcW w:w="1037" w:type="dxa"/>
            <w:vAlign w:val="center"/>
          </w:tcPr>
          <w:p w14:paraId="52B7EE04"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57%</w:t>
            </w:r>
          </w:p>
        </w:tc>
        <w:tc>
          <w:tcPr>
            <w:tcW w:w="1037" w:type="dxa"/>
            <w:vAlign w:val="center"/>
          </w:tcPr>
          <w:p w14:paraId="7532F67A"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81%</w:t>
            </w:r>
          </w:p>
        </w:tc>
        <w:tc>
          <w:tcPr>
            <w:tcW w:w="1036" w:type="dxa"/>
            <w:vAlign w:val="center"/>
          </w:tcPr>
          <w:p w14:paraId="3F269D28"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44%</w:t>
            </w:r>
          </w:p>
        </w:tc>
        <w:tc>
          <w:tcPr>
            <w:tcW w:w="1037" w:type="dxa"/>
            <w:vAlign w:val="center"/>
          </w:tcPr>
          <w:p w14:paraId="4767E4AB"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21%</w:t>
            </w:r>
          </w:p>
        </w:tc>
        <w:tc>
          <w:tcPr>
            <w:tcW w:w="1037" w:type="dxa"/>
            <w:vAlign w:val="center"/>
          </w:tcPr>
          <w:p w14:paraId="77BC457D"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80%</w:t>
            </w:r>
          </w:p>
        </w:tc>
        <w:tc>
          <w:tcPr>
            <w:tcW w:w="1007" w:type="dxa"/>
            <w:vAlign w:val="center"/>
          </w:tcPr>
          <w:p w14:paraId="0CC2D6A8" w14:textId="77777777" w:rsidR="009B3E96" w:rsidRPr="00A10F46" w:rsidDel="00FE5E17" w:rsidRDefault="009B3E96" w:rsidP="00733683">
            <w:pPr>
              <w:autoSpaceDE w:val="0"/>
              <w:autoSpaceDN w:val="0"/>
              <w:adjustRightInd w:val="0"/>
              <w:jc w:val="center"/>
              <w:rPr>
                <w:rFonts w:ascii="Arial" w:hAnsi="Arial" w:cs="Arial"/>
                <w:sz w:val="18"/>
                <w:szCs w:val="18"/>
              </w:rPr>
            </w:pPr>
            <w:r w:rsidRPr="00A10F46">
              <w:rPr>
                <w:rFonts w:ascii="Arial" w:hAnsi="Arial" w:cs="Arial"/>
                <w:sz w:val="18"/>
                <w:szCs w:val="18"/>
              </w:rPr>
              <w:t>58%</w:t>
            </w:r>
          </w:p>
        </w:tc>
      </w:tr>
    </w:tbl>
    <w:p w14:paraId="1ED86A5E" w14:textId="77777777" w:rsidR="009B3E96" w:rsidRDefault="009B3E96" w:rsidP="00614005">
      <w:pPr>
        <w:autoSpaceDE w:val="0"/>
        <w:autoSpaceDN w:val="0"/>
        <w:adjustRightInd w:val="0"/>
        <w:spacing w:after="0" w:line="240" w:lineRule="auto"/>
        <w:ind w:left="270" w:hanging="270"/>
        <w:rPr>
          <w:rFonts w:ascii="Arial" w:hAnsi="Arial" w:cs="Arial"/>
          <w:sz w:val="18"/>
          <w:szCs w:val="18"/>
        </w:rPr>
      </w:pPr>
      <w:r w:rsidRPr="004E7F5A">
        <w:rPr>
          <w:rFonts w:ascii="Arial" w:hAnsi="Arial" w:cs="Arial"/>
          <w:sz w:val="18"/>
          <w:szCs w:val="18"/>
        </w:rPr>
        <w:t>*</w:t>
      </w:r>
      <w:r>
        <w:rPr>
          <w:rFonts w:ascii="Arial" w:hAnsi="Arial" w:cs="Arial"/>
          <w:sz w:val="18"/>
          <w:szCs w:val="18"/>
        </w:rPr>
        <w:t xml:space="preserve"> -  </w:t>
      </w:r>
      <w:r w:rsidRPr="004E7F5A">
        <w:rPr>
          <w:rFonts w:ascii="Arial" w:hAnsi="Arial" w:cs="Arial"/>
          <w:sz w:val="18"/>
          <w:szCs w:val="18"/>
        </w:rPr>
        <w:t>Dividends paid in 2012 by Met-Ed and Penelec represent cash dividends as a return of capital</w:t>
      </w:r>
      <w:r>
        <w:rPr>
          <w:rFonts w:ascii="Arial" w:hAnsi="Arial" w:cs="Arial"/>
          <w:sz w:val="18"/>
          <w:szCs w:val="18"/>
        </w:rPr>
        <w:t xml:space="preserve"> (i.e., distribution drawn from paid-in capital rather from retained earnings).</w:t>
      </w:r>
    </w:p>
    <w:p w14:paraId="6F7547BA" w14:textId="77777777" w:rsidR="0054316F" w:rsidRPr="00162307" w:rsidRDefault="0054316F" w:rsidP="0054316F">
      <w:pPr>
        <w:spacing w:after="0" w:line="20" w:lineRule="atLeast"/>
        <w:jc w:val="both"/>
        <w:rPr>
          <w:rFonts w:ascii="Arial" w:hAnsi="Arial" w:cs="Arial"/>
          <w:sz w:val="18"/>
          <w:szCs w:val="18"/>
        </w:rPr>
      </w:pPr>
      <w:r w:rsidRPr="00DC7C44">
        <w:rPr>
          <w:rFonts w:ascii="Arial" w:hAnsi="Arial" w:cs="Arial"/>
          <w:sz w:val="18"/>
          <w:szCs w:val="18"/>
        </w:rPr>
        <w:t xml:space="preserve">Source: </w:t>
      </w:r>
      <w:r>
        <w:rPr>
          <w:rFonts w:ascii="Arial" w:hAnsi="Arial" w:cs="Arial"/>
          <w:sz w:val="18"/>
          <w:szCs w:val="18"/>
        </w:rPr>
        <w:t>2014 Management Audit Exhibit VI-4</w:t>
      </w:r>
    </w:p>
    <w:p w14:paraId="014D9187" w14:textId="77777777" w:rsidR="0054316F" w:rsidRPr="00614005" w:rsidRDefault="0054316F" w:rsidP="00614005">
      <w:pPr>
        <w:autoSpaceDE w:val="0"/>
        <w:autoSpaceDN w:val="0"/>
        <w:adjustRightInd w:val="0"/>
        <w:spacing w:after="0"/>
        <w:ind w:left="270" w:hanging="270"/>
        <w:rPr>
          <w:rFonts w:ascii="Arial" w:hAnsi="Arial" w:cs="Arial"/>
          <w:sz w:val="24"/>
          <w:szCs w:val="24"/>
        </w:rPr>
      </w:pPr>
    </w:p>
    <w:p w14:paraId="17D48B56" w14:textId="77777777" w:rsidR="00515573" w:rsidRDefault="00515573" w:rsidP="00614005">
      <w:pPr>
        <w:spacing w:after="0" w:line="240" w:lineRule="auto"/>
        <w:ind w:firstLine="720"/>
        <w:rPr>
          <w:rFonts w:ascii="Arial" w:eastAsia="Times New Roman" w:hAnsi="Arial" w:cs="Arial"/>
          <w:snapToGrid w:val="0"/>
          <w:sz w:val="24"/>
          <w:szCs w:val="20"/>
        </w:rPr>
      </w:pPr>
    </w:p>
    <w:p w14:paraId="4FF22AEC" w14:textId="77777777" w:rsidR="00992B93" w:rsidRDefault="006C1D00" w:rsidP="00992B93">
      <w:pPr>
        <w:spacing w:line="240" w:lineRule="auto"/>
        <w:ind w:firstLine="720"/>
        <w:rPr>
          <w:rFonts w:ascii="Arial" w:hAnsi="Arial" w:cs="Arial"/>
          <w:sz w:val="24"/>
          <w:szCs w:val="24"/>
        </w:rPr>
      </w:pPr>
      <w:r>
        <w:rPr>
          <w:rFonts w:ascii="Arial" w:hAnsi="Arial" w:cs="Arial"/>
          <w:sz w:val="24"/>
          <w:szCs w:val="24"/>
        </w:rPr>
        <w:t>Per</w:t>
      </w:r>
      <w:r w:rsidR="00992B93">
        <w:rPr>
          <w:rFonts w:ascii="Arial" w:hAnsi="Arial" w:cs="Arial"/>
          <w:sz w:val="24"/>
          <w:szCs w:val="24"/>
        </w:rPr>
        <w:t xml:space="preserve"> the Commission Order, the FE-PA </w:t>
      </w:r>
      <w:r w:rsidR="00172831">
        <w:rPr>
          <w:rFonts w:ascii="Arial" w:hAnsi="Arial" w:cs="Arial"/>
          <w:sz w:val="24"/>
          <w:szCs w:val="24"/>
        </w:rPr>
        <w:t>c</w:t>
      </w:r>
      <w:r w:rsidR="00992B93">
        <w:rPr>
          <w:rFonts w:ascii="Arial" w:hAnsi="Arial" w:cs="Arial"/>
          <w:sz w:val="24"/>
          <w:szCs w:val="24"/>
        </w:rPr>
        <w:t xml:space="preserve">ompanies submitted </w:t>
      </w:r>
      <w:r>
        <w:rPr>
          <w:rFonts w:ascii="Arial" w:hAnsi="Arial" w:cs="Arial"/>
          <w:sz w:val="24"/>
          <w:szCs w:val="24"/>
        </w:rPr>
        <w:t xml:space="preserve">annual </w:t>
      </w:r>
      <w:r w:rsidR="00992B93">
        <w:rPr>
          <w:rFonts w:ascii="Arial" w:hAnsi="Arial" w:cs="Arial"/>
          <w:sz w:val="24"/>
          <w:szCs w:val="24"/>
        </w:rPr>
        <w:t>Progress Reports.  In the Progress Report for the calendar year 2012, dated July 1, 2013, the FE</w:t>
      </w:r>
      <w:r w:rsidR="00C77E7D">
        <w:rPr>
          <w:rFonts w:ascii="Arial" w:hAnsi="Arial" w:cs="Arial"/>
          <w:sz w:val="24"/>
          <w:szCs w:val="24"/>
        </w:rPr>
        <w:noBreakHyphen/>
      </w:r>
      <w:r w:rsidR="00992B93">
        <w:rPr>
          <w:rFonts w:ascii="Arial" w:hAnsi="Arial" w:cs="Arial"/>
          <w:sz w:val="24"/>
          <w:szCs w:val="24"/>
        </w:rPr>
        <w:t xml:space="preserve">PA </w:t>
      </w:r>
      <w:r w:rsidR="00172831">
        <w:rPr>
          <w:rFonts w:ascii="Arial" w:hAnsi="Arial" w:cs="Arial"/>
          <w:sz w:val="24"/>
          <w:szCs w:val="24"/>
        </w:rPr>
        <w:t>c</w:t>
      </w:r>
      <w:r w:rsidR="00992B93">
        <w:rPr>
          <w:rFonts w:ascii="Arial" w:hAnsi="Arial" w:cs="Arial"/>
          <w:sz w:val="24"/>
          <w:szCs w:val="24"/>
        </w:rPr>
        <w:t xml:space="preserve">ompanies reported the dividend payout ratios for each of the FE-PA </w:t>
      </w:r>
      <w:r w:rsidR="00172831">
        <w:rPr>
          <w:rFonts w:ascii="Arial" w:hAnsi="Arial" w:cs="Arial"/>
          <w:sz w:val="24"/>
          <w:szCs w:val="24"/>
        </w:rPr>
        <w:t>c</w:t>
      </w:r>
      <w:r w:rsidR="00992B93">
        <w:rPr>
          <w:rFonts w:ascii="Arial" w:hAnsi="Arial" w:cs="Arial"/>
          <w:sz w:val="24"/>
          <w:szCs w:val="24"/>
        </w:rPr>
        <w:t xml:space="preserve">ompanies for the period February 16, 2012 through December 31, 2012.  The FE-PA </w:t>
      </w:r>
      <w:r w:rsidR="00172831">
        <w:rPr>
          <w:rFonts w:ascii="Arial" w:hAnsi="Arial" w:cs="Arial"/>
          <w:sz w:val="24"/>
          <w:szCs w:val="24"/>
        </w:rPr>
        <w:t>c</w:t>
      </w:r>
      <w:r w:rsidR="00992B93">
        <w:rPr>
          <w:rFonts w:ascii="Arial" w:hAnsi="Arial" w:cs="Arial"/>
          <w:sz w:val="24"/>
          <w:szCs w:val="24"/>
        </w:rPr>
        <w:t xml:space="preserve">ompanies made this distinction as the period after which the Commission Order was issued.  The FE-PA </w:t>
      </w:r>
      <w:r w:rsidR="00172831">
        <w:rPr>
          <w:rFonts w:ascii="Arial" w:hAnsi="Arial" w:cs="Arial"/>
          <w:sz w:val="24"/>
          <w:szCs w:val="24"/>
        </w:rPr>
        <w:t>c</w:t>
      </w:r>
      <w:r w:rsidR="00992B93">
        <w:rPr>
          <w:rFonts w:ascii="Arial" w:hAnsi="Arial" w:cs="Arial"/>
          <w:sz w:val="24"/>
          <w:szCs w:val="24"/>
        </w:rPr>
        <w:t xml:space="preserve">ompanies also indicated that Penelec issued dividends of approximately $75 million in January of 2012 before the Commission Order was issued.  This dividend payment equated to 94% of Penelec’s net income.  In 2012, the other FE-PA </w:t>
      </w:r>
      <w:r w:rsidR="00172831">
        <w:rPr>
          <w:rFonts w:ascii="Arial" w:hAnsi="Arial" w:cs="Arial"/>
          <w:sz w:val="24"/>
          <w:szCs w:val="24"/>
        </w:rPr>
        <w:t>c</w:t>
      </w:r>
      <w:r w:rsidR="00992B93">
        <w:rPr>
          <w:rFonts w:ascii="Arial" w:hAnsi="Arial" w:cs="Arial"/>
          <w:sz w:val="24"/>
          <w:szCs w:val="24"/>
        </w:rPr>
        <w:t xml:space="preserve">ompanies did not issue any dividends in excess of 85 percent of net income.  Likewise, in 2013, the FE-PA </w:t>
      </w:r>
      <w:r>
        <w:rPr>
          <w:rFonts w:ascii="Arial" w:hAnsi="Arial" w:cs="Arial"/>
          <w:sz w:val="24"/>
          <w:szCs w:val="24"/>
        </w:rPr>
        <w:t>c</w:t>
      </w:r>
      <w:r w:rsidR="00992B93">
        <w:rPr>
          <w:rFonts w:ascii="Arial" w:hAnsi="Arial" w:cs="Arial"/>
          <w:sz w:val="24"/>
          <w:szCs w:val="24"/>
        </w:rPr>
        <w:t xml:space="preserve">ompanies have not issued dividends in excess of 85% of net income.  </w:t>
      </w:r>
    </w:p>
    <w:p w14:paraId="18658C6C" w14:textId="77777777" w:rsidR="00992B93" w:rsidRDefault="00992B93" w:rsidP="00992B93">
      <w:pPr>
        <w:spacing w:after="0" w:line="240" w:lineRule="auto"/>
        <w:ind w:firstLine="720"/>
        <w:rPr>
          <w:rFonts w:ascii="Arial" w:hAnsi="Arial" w:cs="Arial"/>
          <w:b/>
          <w:sz w:val="24"/>
          <w:szCs w:val="24"/>
          <w:u w:val="single"/>
        </w:rPr>
      </w:pPr>
      <w:r w:rsidRPr="00727832">
        <w:rPr>
          <w:rFonts w:ascii="Arial" w:hAnsi="Arial" w:cs="Arial"/>
          <w:sz w:val="24"/>
          <w:szCs w:val="24"/>
        </w:rPr>
        <w:t xml:space="preserve">In general, it is not a sound business practice to pay an annual dividend to a parent company that is more than 85% of the utility’s net income on a consistent or long-term basis.  </w:t>
      </w:r>
      <w:r w:rsidRPr="00011C07">
        <w:rPr>
          <w:rFonts w:ascii="Arial" w:hAnsi="Arial" w:cs="Arial"/>
          <w:sz w:val="24"/>
          <w:szCs w:val="24"/>
        </w:rPr>
        <w:t xml:space="preserve">Many regulated utilities have </w:t>
      </w:r>
      <w:r>
        <w:rPr>
          <w:rFonts w:ascii="Arial" w:hAnsi="Arial" w:cs="Arial"/>
          <w:sz w:val="24"/>
          <w:szCs w:val="24"/>
        </w:rPr>
        <w:t xml:space="preserve">established an internal </w:t>
      </w:r>
      <w:r w:rsidRPr="00011C07">
        <w:rPr>
          <w:rFonts w:ascii="Arial" w:hAnsi="Arial" w:cs="Arial"/>
          <w:sz w:val="24"/>
          <w:szCs w:val="24"/>
        </w:rPr>
        <w:t>dividend</w:t>
      </w:r>
      <w:r>
        <w:rPr>
          <w:rFonts w:ascii="Arial" w:hAnsi="Arial" w:cs="Arial"/>
          <w:sz w:val="24"/>
          <w:szCs w:val="24"/>
        </w:rPr>
        <w:t xml:space="preserve"> payout ratio of 75% to 85% of</w:t>
      </w:r>
      <w:r w:rsidRPr="00011C07">
        <w:rPr>
          <w:rFonts w:ascii="Arial" w:hAnsi="Arial" w:cs="Arial"/>
          <w:sz w:val="24"/>
          <w:szCs w:val="24"/>
        </w:rPr>
        <w:t xml:space="preserve"> net income </w:t>
      </w:r>
      <w:r>
        <w:rPr>
          <w:rFonts w:ascii="Arial" w:hAnsi="Arial" w:cs="Arial"/>
          <w:sz w:val="24"/>
          <w:szCs w:val="24"/>
        </w:rPr>
        <w:t>as a reasonable target.</w:t>
      </w:r>
      <w:r w:rsidRPr="00011C07">
        <w:rPr>
          <w:rFonts w:ascii="Arial" w:hAnsi="Arial" w:cs="Arial"/>
          <w:sz w:val="24"/>
          <w:szCs w:val="24"/>
        </w:rPr>
        <w:t xml:space="preserve">  </w:t>
      </w:r>
      <w:r w:rsidRPr="00727832">
        <w:rPr>
          <w:rFonts w:ascii="Arial" w:hAnsi="Arial" w:cs="Arial"/>
          <w:sz w:val="24"/>
          <w:szCs w:val="24"/>
        </w:rPr>
        <w:t xml:space="preserve">However, there may be situations when higher than normal dividends are warranted for a particular period/year.  </w:t>
      </w:r>
      <w:r>
        <w:rPr>
          <w:rFonts w:ascii="Arial" w:hAnsi="Arial" w:cs="Arial"/>
          <w:sz w:val="24"/>
          <w:szCs w:val="24"/>
        </w:rPr>
        <w:t xml:space="preserve">As an example, the auditors noted that </w:t>
      </w:r>
      <w:r w:rsidRPr="00011C07">
        <w:rPr>
          <w:rFonts w:ascii="Arial" w:hAnsi="Arial" w:cs="Arial"/>
          <w:sz w:val="24"/>
          <w:szCs w:val="24"/>
        </w:rPr>
        <w:t xml:space="preserve">positioning Penn Power’s regulatory capital structure closer to a targeted range of 45% to 55% equity was one of the key factors for its 2010 dividend as it reduced its equity from approximately 68% to 60%.  </w:t>
      </w:r>
      <w:r>
        <w:rPr>
          <w:rFonts w:ascii="Arial" w:hAnsi="Arial" w:cs="Arial"/>
          <w:sz w:val="24"/>
          <w:szCs w:val="24"/>
        </w:rPr>
        <w:t>The auditors stated that a</w:t>
      </w:r>
      <w:r w:rsidRPr="00011C07">
        <w:rPr>
          <w:rFonts w:ascii="Arial" w:hAnsi="Arial" w:cs="Arial"/>
          <w:sz w:val="24"/>
          <w:szCs w:val="24"/>
        </w:rPr>
        <w:t xml:space="preserve"> formal written dividend policy providing the framework for determination of dividends, which is consistent with regulatory practices, should be established and formally documented</w:t>
      </w:r>
      <w:r>
        <w:rPr>
          <w:rFonts w:ascii="Arial" w:hAnsi="Arial" w:cs="Arial"/>
          <w:sz w:val="24"/>
          <w:szCs w:val="24"/>
        </w:rPr>
        <w:t xml:space="preserve"> for each of the FE-PA </w:t>
      </w:r>
      <w:r w:rsidR="00DC3D9B">
        <w:rPr>
          <w:rFonts w:ascii="Arial" w:hAnsi="Arial" w:cs="Arial"/>
          <w:sz w:val="24"/>
          <w:szCs w:val="24"/>
        </w:rPr>
        <w:t>c</w:t>
      </w:r>
      <w:r>
        <w:rPr>
          <w:rFonts w:ascii="Arial" w:hAnsi="Arial" w:cs="Arial"/>
          <w:sz w:val="24"/>
          <w:szCs w:val="24"/>
        </w:rPr>
        <w:t>ompanies</w:t>
      </w:r>
      <w:r w:rsidRPr="00011C07">
        <w:rPr>
          <w:rFonts w:ascii="Arial" w:hAnsi="Arial" w:cs="Arial"/>
          <w:sz w:val="24"/>
          <w:szCs w:val="24"/>
        </w:rPr>
        <w:t xml:space="preserve">.  The </w:t>
      </w:r>
      <w:r>
        <w:rPr>
          <w:rFonts w:ascii="Arial" w:hAnsi="Arial" w:cs="Arial"/>
          <w:sz w:val="24"/>
          <w:szCs w:val="24"/>
        </w:rPr>
        <w:t xml:space="preserve">formal dividend </w:t>
      </w:r>
      <w:r w:rsidRPr="00011C07">
        <w:rPr>
          <w:rFonts w:ascii="Arial" w:hAnsi="Arial" w:cs="Arial"/>
          <w:sz w:val="24"/>
          <w:szCs w:val="24"/>
        </w:rPr>
        <w:t xml:space="preserve">policy should </w:t>
      </w:r>
      <w:r>
        <w:rPr>
          <w:rFonts w:ascii="Arial" w:hAnsi="Arial" w:cs="Arial"/>
          <w:sz w:val="24"/>
          <w:szCs w:val="24"/>
        </w:rPr>
        <w:t xml:space="preserve">outline the </w:t>
      </w:r>
      <w:r w:rsidRPr="00011C07">
        <w:rPr>
          <w:rFonts w:ascii="Arial" w:hAnsi="Arial" w:cs="Arial"/>
          <w:sz w:val="24"/>
          <w:szCs w:val="24"/>
        </w:rPr>
        <w:t>policy</w:t>
      </w:r>
      <w:r>
        <w:rPr>
          <w:rFonts w:ascii="Arial" w:hAnsi="Arial" w:cs="Arial"/>
          <w:sz w:val="24"/>
          <w:szCs w:val="24"/>
        </w:rPr>
        <w:t xml:space="preserve">’s purpose and scope, identify responsibility for the policy, and identify financial requirements, restrictions, </w:t>
      </w:r>
      <w:r w:rsidRPr="00011C07">
        <w:rPr>
          <w:rFonts w:ascii="Arial" w:hAnsi="Arial" w:cs="Arial"/>
          <w:sz w:val="24"/>
          <w:szCs w:val="24"/>
        </w:rPr>
        <w:t xml:space="preserve">and procedural guidelines for determining dividend amounts as well as a target range.  It should also include any steps required to deviate from this range. </w:t>
      </w:r>
    </w:p>
    <w:p w14:paraId="0AC8BD97" w14:textId="77777777" w:rsidR="00992B93" w:rsidRDefault="00992B93" w:rsidP="00992B93">
      <w:pPr>
        <w:widowControl w:val="0"/>
        <w:spacing w:after="0" w:line="240" w:lineRule="auto"/>
        <w:contextualSpacing/>
        <w:rPr>
          <w:rFonts w:ascii="Arial" w:eastAsia="Times New Roman" w:hAnsi="Arial" w:cs="Arial"/>
          <w:snapToGrid w:val="0"/>
          <w:sz w:val="24"/>
          <w:szCs w:val="20"/>
        </w:rPr>
      </w:pPr>
    </w:p>
    <w:p w14:paraId="521DFFBA" w14:textId="77777777" w:rsidR="00992B93" w:rsidRPr="00DE3B16" w:rsidRDefault="00992B93" w:rsidP="00992B93">
      <w:pPr>
        <w:spacing w:after="0" w:line="240" w:lineRule="auto"/>
        <w:rPr>
          <w:rFonts w:ascii="Arial" w:hAnsi="Arial" w:cs="Arial"/>
          <w:sz w:val="24"/>
          <w:szCs w:val="24"/>
        </w:rPr>
      </w:pPr>
      <w:r w:rsidRPr="004D579B">
        <w:rPr>
          <w:rFonts w:ascii="Arial" w:eastAsia="Times New Roman" w:hAnsi="Arial" w:cs="Arial"/>
          <w:b/>
          <w:snapToGrid w:val="0"/>
          <w:sz w:val="24"/>
          <w:szCs w:val="20"/>
          <w:u w:val="single"/>
        </w:rPr>
        <w:t>Prior Recommendation</w:t>
      </w:r>
      <w:r w:rsidRPr="004D579B">
        <w:rPr>
          <w:rFonts w:ascii="Arial" w:eastAsia="Times New Roman" w:hAnsi="Arial" w:cs="Arial"/>
          <w:snapToGrid w:val="0"/>
          <w:sz w:val="24"/>
          <w:szCs w:val="20"/>
        </w:rPr>
        <w:t xml:space="preserve"> </w:t>
      </w:r>
      <w:r w:rsidRPr="00A67D31">
        <w:rPr>
          <w:rFonts w:ascii="Arial" w:eastAsia="Times New Roman" w:hAnsi="Arial" w:cs="Times New Roman"/>
          <w:sz w:val="24"/>
          <w:szCs w:val="24"/>
        </w:rPr>
        <w:t>–</w:t>
      </w:r>
      <w:r>
        <w:rPr>
          <w:rFonts w:ascii="Arial" w:eastAsia="Times New Roman" w:hAnsi="Arial" w:cs="Times New Roman"/>
          <w:sz w:val="24"/>
          <w:szCs w:val="24"/>
        </w:rPr>
        <w:t xml:space="preserve"> </w:t>
      </w:r>
      <w:r w:rsidRPr="00DE3B16">
        <w:rPr>
          <w:rFonts w:ascii="Arial" w:hAnsi="Arial" w:cs="Arial"/>
          <w:sz w:val="24"/>
          <w:szCs w:val="24"/>
        </w:rPr>
        <w:t xml:space="preserve">Establish and document a dividend policy for each of the FE-PA </w:t>
      </w:r>
      <w:r w:rsidR="00DC3D9B">
        <w:rPr>
          <w:rFonts w:ascii="Arial" w:hAnsi="Arial" w:cs="Arial"/>
          <w:sz w:val="24"/>
          <w:szCs w:val="24"/>
        </w:rPr>
        <w:t>c</w:t>
      </w:r>
      <w:r w:rsidRPr="00DE3B16">
        <w:rPr>
          <w:rFonts w:ascii="Arial" w:hAnsi="Arial" w:cs="Arial"/>
          <w:sz w:val="24"/>
          <w:szCs w:val="24"/>
        </w:rPr>
        <w:t>ompanies and ensure that advanced notice and explanations are submitted to the Commission prior to making future dividend payments in excess of 85% of net income.</w:t>
      </w:r>
    </w:p>
    <w:p w14:paraId="63E87369" w14:textId="77777777" w:rsidR="00992B93" w:rsidRPr="00B910D4" w:rsidRDefault="00992B93" w:rsidP="00992B93">
      <w:pPr>
        <w:spacing w:after="0" w:line="240" w:lineRule="auto"/>
        <w:contextualSpacing/>
        <w:rPr>
          <w:rFonts w:ascii="Arial" w:hAnsi="Arial" w:cs="Arial"/>
          <w:sz w:val="24"/>
          <w:szCs w:val="24"/>
        </w:rPr>
      </w:pPr>
    </w:p>
    <w:p w14:paraId="67A0721C" w14:textId="77777777" w:rsidR="00992B93" w:rsidRPr="00017EF0" w:rsidRDefault="00992B93" w:rsidP="00992B93">
      <w:pPr>
        <w:spacing w:after="0" w:line="240" w:lineRule="auto"/>
        <w:rPr>
          <w:rFonts w:ascii="Arial" w:eastAsia="Times New Roman" w:hAnsi="Arial" w:cs="Arial"/>
          <w:snapToGrid w:val="0"/>
          <w:sz w:val="24"/>
          <w:szCs w:val="20"/>
        </w:rPr>
      </w:pPr>
      <w:r w:rsidRPr="00B146D6">
        <w:rPr>
          <w:rFonts w:ascii="Arial" w:eastAsia="Times New Roman" w:hAnsi="Arial" w:cs="Times New Roman"/>
          <w:b/>
          <w:sz w:val="24"/>
          <w:szCs w:val="24"/>
          <w:u w:val="single"/>
        </w:rPr>
        <w:t>Follow-</w:t>
      </w:r>
      <w:r>
        <w:rPr>
          <w:rFonts w:ascii="Arial" w:eastAsia="Times New Roman" w:hAnsi="Arial" w:cs="Times New Roman"/>
          <w:b/>
          <w:sz w:val="24"/>
          <w:szCs w:val="24"/>
          <w:u w:val="single"/>
        </w:rPr>
        <w:t>up Finding and Conclusion</w:t>
      </w:r>
      <w:r w:rsidR="00F65A25" w:rsidRPr="00F65A25">
        <w:rPr>
          <w:rFonts w:ascii="Arial" w:eastAsia="Times New Roman" w:hAnsi="Arial" w:cs="Times New Roman"/>
          <w:b/>
          <w:sz w:val="24"/>
          <w:szCs w:val="24"/>
          <w:u w:val="single"/>
        </w:rPr>
        <w:t xml:space="preserve"> </w:t>
      </w:r>
      <w:r w:rsidR="00F65A25">
        <w:rPr>
          <w:rFonts w:ascii="Arial" w:eastAsia="Times New Roman" w:hAnsi="Arial" w:cs="Times New Roman"/>
          <w:b/>
          <w:sz w:val="24"/>
          <w:szCs w:val="24"/>
          <w:u w:val="single"/>
        </w:rPr>
        <w:t>No. VI</w:t>
      </w:r>
      <w:r w:rsidR="00F65A25" w:rsidRPr="00B146D6">
        <w:rPr>
          <w:rFonts w:ascii="Arial" w:eastAsia="Times New Roman" w:hAnsi="Arial" w:cs="Times New Roman"/>
          <w:b/>
          <w:sz w:val="24"/>
          <w:szCs w:val="24"/>
          <w:u w:val="single"/>
        </w:rPr>
        <w:t>-</w:t>
      </w:r>
      <w:r w:rsidR="00F65A25" w:rsidRPr="00A67D31">
        <w:rPr>
          <w:rFonts w:ascii="Arial" w:eastAsia="Times New Roman" w:hAnsi="Arial" w:cs="Times New Roman"/>
          <w:b/>
          <w:sz w:val="24"/>
          <w:szCs w:val="24"/>
          <w:u w:val="single"/>
        </w:rPr>
        <w:t>1</w:t>
      </w:r>
      <w:r w:rsidRPr="00A67D31">
        <w:rPr>
          <w:rFonts w:ascii="Arial" w:eastAsia="Times New Roman" w:hAnsi="Arial" w:cs="Times New Roman"/>
          <w:b/>
          <w:sz w:val="24"/>
          <w:szCs w:val="24"/>
        </w:rPr>
        <w:t xml:space="preserve"> – </w:t>
      </w:r>
      <w:r w:rsidRPr="00017EF0">
        <w:rPr>
          <w:rFonts w:ascii="Arial" w:eastAsia="Times New Roman" w:hAnsi="Arial" w:cs="Arial"/>
          <w:b/>
          <w:snapToGrid w:val="0"/>
          <w:sz w:val="24"/>
          <w:szCs w:val="20"/>
        </w:rPr>
        <w:t xml:space="preserve">A dividend policy has been established for each of the </w:t>
      </w:r>
      <w:r w:rsidR="00DC3D9B">
        <w:rPr>
          <w:rFonts w:ascii="Arial" w:eastAsia="Times New Roman" w:hAnsi="Arial" w:cs="Arial"/>
          <w:b/>
          <w:snapToGrid w:val="0"/>
          <w:sz w:val="24"/>
          <w:szCs w:val="20"/>
        </w:rPr>
        <w:t>FE-PA companies</w:t>
      </w:r>
      <w:r w:rsidRPr="00017EF0">
        <w:rPr>
          <w:rFonts w:ascii="Arial" w:eastAsia="Times New Roman" w:hAnsi="Arial" w:cs="Arial"/>
          <w:b/>
          <w:snapToGrid w:val="0"/>
          <w:sz w:val="24"/>
          <w:szCs w:val="20"/>
        </w:rPr>
        <w:t>.</w:t>
      </w:r>
    </w:p>
    <w:p w14:paraId="11469CC1" w14:textId="77777777" w:rsidR="00992B93" w:rsidRPr="00542D05" w:rsidRDefault="00992B93" w:rsidP="00992B93">
      <w:pPr>
        <w:spacing w:after="0" w:line="240" w:lineRule="auto"/>
        <w:jc w:val="both"/>
        <w:rPr>
          <w:rFonts w:ascii="Arial" w:hAnsi="Arial" w:cs="Arial"/>
          <w:b/>
          <w:sz w:val="24"/>
          <w:szCs w:val="24"/>
        </w:rPr>
      </w:pPr>
    </w:p>
    <w:p w14:paraId="5CF83FE6" w14:textId="77777777" w:rsidR="00992B93" w:rsidRDefault="00992B93" w:rsidP="00992B93">
      <w:pPr>
        <w:widowControl w:val="0"/>
        <w:spacing w:after="0" w:line="240" w:lineRule="auto"/>
        <w:rPr>
          <w:rFonts w:ascii="Arial" w:eastAsia="Times New Roman" w:hAnsi="Arial" w:cs="Arial"/>
          <w:snapToGrid w:val="0"/>
          <w:sz w:val="24"/>
          <w:szCs w:val="20"/>
        </w:rPr>
      </w:pPr>
      <w:r>
        <w:rPr>
          <w:rFonts w:ascii="Arial" w:eastAsia="Times New Roman" w:hAnsi="Arial" w:cs="Arial"/>
          <w:b/>
          <w:snapToGrid w:val="0"/>
          <w:sz w:val="24"/>
          <w:szCs w:val="20"/>
          <w:u w:val="single"/>
        </w:rPr>
        <w:t>Current Review</w:t>
      </w:r>
      <w:r w:rsidRPr="005D2DA1">
        <w:rPr>
          <w:rFonts w:ascii="Arial" w:eastAsia="Times New Roman" w:hAnsi="Arial" w:cs="Arial"/>
          <w:snapToGrid w:val="0"/>
          <w:sz w:val="24"/>
          <w:szCs w:val="20"/>
        </w:rPr>
        <w:t xml:space="preserve"> -  A </w:t>
      </w:r>
      <w:r w:rsidRPr="00017EF0">
        <w:rPr>
          <w:rFonts w:ascii="Arial" w:eastAsia="Times New Roman" w:hAnsi="Arial" w:cs="Arial"/>
          <w:snapToGrid w:val="0"/>
          <w:sz w:val="24"/>
          <w:szCs w:val="20"/>
        </w:rPr>
        <w:t xml:space="preserve">separate dividend policy was established for each for the FE-PA </w:t>
      </w:r>
      <w:r w:rsidR="00DC3D9B">
        <w:rPr>
          <w:rFonts w:ascii="Arial" w:eastAsia="Times New Roman" w:hAnsi="Arial" w:cs="Arial"/>
          <w:snapToGrid w:val="0"/>
          <w:sz w:val="24"/>
          <w:szCs w:val="20"/>
        </w:rPr>
        <w:t>c</w:t>
      </w:r>
      <w:r w:rsidRPr="00017EF0">
        <w:rPr>
          <w:rFonts w:ascii="Arial" w:eastAsia="Times New Roman" w:hAnsi="Arial" w:cs="Arial"/>
          <w:snapToGrid w:val="0"/>
          <w:sz w:val="24"/>
          <w:szCs w:val="20"/>
        </w:rPr>
        <w:t>ompanies.  The policies were approved by the Board of Directors of each of the FE</w:t>
      </w:r>
      <w:r w:rsidRPr="00017EF0">
        <w:rPr>
          <w:rFonts w:ascii="Arial" w:eastAsia="Times New Roman" w:hAnsi="Arial" w:cs="Arial"/>
          <w:snapToGrid w:val="0"/>
          <w:sz w:val="24"/>
          <w:szCs w:val="20"/>
        </w:rPr>
        <w:noBreakHyphen/>
        <w:t xml:space="preserve">PA </w:t>
      </w:r>
      <w:r w:rsidR="00DC3D9B">
        <w:rPr>
          <w:rFonts w:ascii="Arial" w:eastAsia="Times New Roman" w:hAnsi="Arial" w:cs="Arial"/>
          <w:snapToGrid w:val="0"/>
          <w:sz w:val="24"/>
          <w:szCs w:val="20"/>
        </w:rPr>
        <w:t>c</w:t>
      </w:r>
      <w:r w:rsidRPr="00017EF0">
        <w:rPr>
          <w:rFonts w:ascii="Arial" w:eastAsia="Times New Roman" w:hAnsi="Arial" w:cs="Arial"/>
          <w:snapToGrid w:val="0"/>
          <w:sz w:val="24"/>
          <w:szCs w:val="20"/>
        </w:rPr>
        <w:t xml:space="preserve">ompanies on January 12, 2016.  Each policy describes the dividend practice in place, roles and responsibilities, and identifies restrictions and limitations.  Factors considered include applicable corporate governance and compliance documents, existing financial agreements and indentures, company performance, financial metrics, authorized equity capitalization for rate-making purposes, and credit ratings.  Dividends may be paid out of retained earnings or, with </w:t>
      </w:r>
      <w:r>
        <w:rPr>
          <w:rFonts w:ascii="Arial" w:eastAsia="Times New Roman" w:hAnsi="Arial" w:cs="Arial"/>
          <w:snapToGrid w:val="0"/>
          <w:sz w:val="24"/>
          <w:szCs w:val="20"/>
        </w:rPr>
        <w:t>Federal Energy Regulatory Commission (</w:t>
      </w:r>
      <w:r w:rsidRPr="00017EF0">
        <w:rPr>
          <w:rFonts w:ascii="Arial" w:eastAsia="Times New Roman" w:hAnsi="Arial" w:cs="Arial"/>
          <w:snapToGrid w:val="0"/>
          <w:sz w:val="24"/>
          <w:szCs w:val="20"/>
        </w:rPr>
        <w:t>FERC</w:t>
      </w:r>
      <w:r>
        <w:rPr>
          <w:rFonts w:ascii="Arial" w:eastAsia="Times New Roman" w:hAnsi="Arial" w:cs="Arial"/>
          <w:snapToGrid w:val="0"/>
          <w:sz w:val="24"/>
          <w:szCs w:val="20"/>
        </w:rPr>
        <w:t>)</w:t>
      </w:r>
      <w:r w:rsidRPr="00017EF0">
        <w:rPr>
          <w:rFonts w:ascii="Arial" w:eastAsia="Times New Roman" w:hAnsi="Arial" w:cs="Arial"/>
          <w:snapToGrid w:val="0"/>
          <w:sz w:val="24"/>
          <w:szCs w:val="20"/>
        </w:rPr>
        <w:t xml:space="preserve"> authorization, other equity capital (return of capital).  For example, the West Penn Power Dividend Policy describes the Process Overview (starting with the Assistant Corporate Secretary initiating the dividend review), Roles and Responsibilities (of the Assistant Corporate Secretary, Treasurer, Legal Counsel, PA Rates, Controller, Chief Financial Officer, and Board of Directors), Debt to Capitalization Ratio, and Certain Defined Terms.  </w:t>
      </w:r>
    </w:p>
    <w:p w14:paraId="3AB845B4" w14:textId="77777777" w:rsidR="00992B93" w:rsidRDefault="00992B93" w:rsidP="00992B93">
      <w:pPr>
        <w:widowControl w:val="0"/>
        <w:spacing w:after="0" w:line="240" w:lineRule="auto"/>
        <w:ind w:firstLine="720"/>
        <w:rPr>
          <w:rFonts w:ascii="Arial" w:eastAsia="Times New Roman" w:hAnsi="Arial" w:cs="Arial"/>
          <w:snapToGrid w:val="0"/>
          <w:sz w:val="24"/>
          <w:szCs w:val="20"/>
        </w:rPr>
      </w:pPr>
    </w:p>
    <w:p w14:paraId="4A56DA7D" w14:textId="77777777" w:rsidR="00992B93" w:rsidRPr="00017EF0" w:rsidRDefault="00992B93" w:rsidP="00992B93">
      <w:pPr>
        <w:widowControl w:val="0"/>
        <w:spacing w:after="0" w:line="240" w:lineRule="auto"/>
        <w:ind w:firstLine="720"/>
        <w:rPr>
          <w:rFonts w:ascii="Arial" w:eastAsia="Times New Roman" w:hAnsi="Arial" w:cs="Arial"/>
          <w:snapToGrid w:val="0"/>
          <w:sz w:val="24"/>
          <w:szCs w:val="20"/>
        </w:rPr>
      </w:pPr>
      <w:r w:rsidRPr="00017EF0">
        <w:rPr>
          <w:rFonts w:ascii="Arial" w:eastAsia="Times New Roman" w:hAnsi="Arial" w:cs="Arial"/>
          <w:snapToGrid w:val="0"/>
          <w:sz w:val="24"/>
          <w:szCs w:val="20"/>
        </w:rPr>
        <w:t xml:space="preserve">Dividends paid, net income, and the dividend payout ratio for each of the </w:t>
      </w:r>
      <w:r w:rsidR="00DC3D9B">
        <w:rPr>
          <w:rFonts w:ascii="Arial" w:eastAsia="Times New Roman" w:hAnsi="Arial" w:cs="Arial"/>
          <w:snapToGrid w:val="0"/>
          <w:sz w:val="24"/>
          <w:szCs w:val="20"/>
        </w:rPr>
        <w:t>FE-PA companies</w:t>
      </w:r>
      <w:r w:rsidRPr="00017EF0">
        <w:rPr>
          <w:rFonts w:ascii="Arial" w:eastAsia="Times New Roman" w:hAnsi="Arial" w:cs="Arial"/>
          <w:snapToGrid w:val="0"/>
          <w:sz w:val="24"/>
          <w:szCs w:val="20"/>
        </w:rPr>
        <w:t xml:space="preserve"> for 2014-2016 are shown </w:t>
      </w:r>
      <w:r>
        <w:rPr>
          <w:rFonts w:ascii="Arial" w:eastAsia="Times New Roman" w:hAnsi="Arial" w:cs="Arial"/>
          <w:snapToGrid w:val="0"/>
          <w:sz w:val="24"/>
          <w:szCs w:val="20"/>
        </w:rPr>
        <w:t>in Exhibit VI-</w:t>
      </w:r>
      <w:r w:rsidR="00A01A44">
        <w:rPr>
          <w:rFonts w:ascii="Arial" w:eastAsia="Times New Roman" w:hAnsi="Arial" w:cs="Arial"/>
          <w:snapToGrid w:val="0"/>
          <w:sz w:val="24"/>
          <w:szCs w:val="20"/>
        </w:rPr>
        <w:t>2</w:t>
      </w:r>
      <w:r w:rsidRPr="00017EF0">
        <w:rPr>
          <w:rFonts w:ascii="Arial" w:eastAsia="Times New Roman" w:hAnsi="Arial" w:cs="Arial"/>
          <w:snapToGrid w:val="0"/>
          <w:sz w:val="24"/>
          <w:szCs w:val="20"/>
        </w:rPr>
        <w:t xml:space="preserve">.  The other </w:t>
      </w:r>
      <w:r w:rsidR="00DC3D9B">
        <w:rPr>
          <w:rFonts w:ascii="Arial" w:eastAsia="Times New Roman" w:hAnsi="Arial" w:cs="Arial"/>
          <w:snapToGrid w:val="0"/>
          <w:sz w:val="24"/>
          <w:szCs w:val="20"/>
        </w:rPr>
        <w:t>FE-PA companies</w:t>
      </w:r>
      <w:r w:rsidRPr="00017EF0">
        <w:rPr>
          <w:rFonts w:ascii="Arial" w:eastAsia="Times New Roman" w:hAnsi="Arial" w:cs="Arial"/>
          <w:snapToGrid w:val="0"/>
          <w:sz w:val="24"/>
          <w:szCs w:val="20"/>
        </w:rPr>
        <w:t xml:space="preserve"> have dividend policies which are </w:t>
      </w:r>
      <w:r>
        <w:rPr>
          <w:rFonts w:ascii="Arial" w:eastAsia="Times New Roman" w:hAnsi="Arial" w:cs="Arial"/>
          <w:snapToGrid w:val="0"/>
          <w:sz w:val="24"/>
          <w:szCs w:val="20"/>
        </w:rPr>
        <w:t>similar to</w:t>
      </w:r>
      <w:r w:rsidRPr="00017EF0">
        <w:rPr>
          <w:rFonts w:ascii="Arial" w:eastAsia="Times New Roman" w:hAnsi="Arial" w:cs="Arial"/>
          <w:snapToGrid w:val="0"/>
          <w:sz w:val="24"/>
          <w:szCs w:val="20"/>
        </w:rPr>
        <w:t xml:space="preserve"> West Penn Power’s dividend policy.</w:t>
      </w:r>
      <w:r>
        <w:rPr>
          <w:rFonts w:ascii="Arial" w:eastAsia="Times New Roman" w:hAnsi="Arial" w:cs="Arial"/>
          <w:snapToGrid w:val="0"/>
          <w:sz w:val="24"/>
          <w:szCs w:val="20"/>
        </w:rPr>
        <w:t xml:space="preserve"> </w:t>
      </w:r>
      <w:r w:rsidRPr="00017EF0">
        <w:rPr>
          <w:rFonts w:ascii="Arial" w:eastAsia="Times New Roman" w:hAnsi="Arial" w:cs="Arial"/>
          <w:snapToGrid w:val="0"/>
          <w:sz w:val="24"/>
          <w:szCs w:val="20"/>
        </w:rPr>
        <w:t xml:space="preserve">For the period 2014-2016, the total dividend payout ratio ranged from a low of 34.85% for Penn Power to a high of 70.30% for West Penn Power.  The dividend payout ratio for each </w:t>
      </w:r>
      <w:r>
        <w:rPr>
          <w:rFonts w:ascii="Arial" w:eastAsia="Times New Roman" w:hAnsi="Arial" w:cs="Arial"/>
          <w:snapToGrid w:val="0"/>
          <w:sz w:val="24"/>
          <w:szCs w:val="20"/>
        </w:rPr>
        <w:t xml:space="preserve">of the </w:t>
      </w:r>
      <w:r w:rsidR="00DC3D9B">
        <w:rPr>
          <w:rFonts w:ascii="Arial" w:eastAsia="Times New Roman" w:hAnsi="Arial" w:cs="Arial"/>
          <w:snapToGrid w:val="0"/>
          <w:sz w:val="24"/>
          <w:szCs w:val="20"/>
        </w:rPr>
        <w:t>FE</w:t>
      </w:r>
      <w:r w:rsidR="00C77E7D">
        <w:rPr>
          <w:rFonts w:ascii="Arial" w:eastAsia="Times New Roman" w:hAnsi="Arial" w:cs="Arial"/>
          <w:snapToGrid w:val="0"/>
          <w:sz w:val="24"/>
          <w:szCs w:val="20"/>
        </w:rPr>
        <w:noBreakHyphen/>
      </w:r>
      <w:r w:rsidR="00DC3D9B">
        <w:rPr>
          <w:rFonts w:ascii="Arial" w:eastAsia="Times New Roman" w:hAnsi="Arial" w:cs="Arial"/>
          <w:snapToGrid w:val="0"/>
          <w:sz w:val="24"/>
          <w:szCs w:val="20"/>
        </w:rPr>
        <w:t>PA companies</w:t>
      </w:r>
      <w:r w:rsidRPr="00017EF0">
        <w:rPr>
          <w:rFonts w:ascii="Arial" w:eastAsia="Times New Roman" w:hAnsi="Arial" w:cs="Arial"/>
          <w:snapToGrid w:val="0"/>
          <w:sz w:val="24"/>
          <w:szCs w:val="20"/>
        </w:rPr>
        <w:t xml:space="preserve"> did not exceed 85% in any one year.  Therefore, no advance notices </w:t>
      </w:r>
      <w:r>
        <w:rPr>
          <w:rFonts w:ascii="Arial" w:eastAsia="Times New Roman" w:hAnsi="Arial" w:cs="Arial"/>
          <w:snapToGrid w:val="0"/>
          <w:sz w:val="24"/>
          <w:szCs w:val="20"/>
        </w:rPr>
        <w:t>and explanations were necessary, or</w:t>
      </w:r>
      <w:r w:rsidRPr="00017EF0">
        <w:rPr>
          <w:rFonts w:ascii="Arial" w:eastAsia="Times New Roman" w:hAnsi="Arial" w:cs="Arial"/>
          <w:snapToGrid w:val="0"/>
          <w:sz w:val="24"/>
          <w:szCs w:val="20"/>
        </w:rPr>
        <w:t xml:space="preserve"> submitted to the Commission during this period.</w:t>
      </w:r>
    </w:p>
    <w:p w14:paraId="0108CDEC" w14:textId="77777777" w:rsidR="00992B93" w:rsidRDefault="00992B93" w:rsidP="00992B93">
      <w:pPr>
        <w:spacing w:after="0" w:line="240" w:lineRule="auto"/>
        <w:rPr>
          <w:rFonts w:ascii="Arial" w:hAnsi="Arial" w:cs="Arial"/>
        </w:rPr>
      </w:pPr>
    </w:p>
    <w:p w14:paraId="49D08869" w14:textId="77777777" w:rsidR="00992B93" w:rsidRDefault="00992B93" w:rsidP="00992B93">
      <w:pPr>
        <w:spacing w:after="0" w:line="240" w:lineRule="auto"/>
        <w:rPr>
          <w:rFonts w:ascii="Arial" w:hAnsi="Arial" w:cs="Arial"/>
        </w:rPr>
      </w:pPr>
    </w:p>
    <w:p w14:paraId="600E0E64" w14:textId="77777777" w:rsidR="00C77E7D" w:rsidRDefault="00C77E7D">
      <w:pPr>
        <w:rPr>
          <w:rFonts w:ascii="Arial" w:eastAsia="Times New Roman" w:hAnsi="Arial" w:cs="Arial"/>
          <w:b/>
          <w:snapToGrid w:val="0"/>
          <w:sz w:val="24"/>
          <w:szCs w:val="20"/>
        </w:rPr>
      </w:pPr>
      <w:r>
        <w:rPr>
          <w:rFonts w:ascii="Arial" w:eastAsia="Times New Roman" w:hAnsi="Arial" w:cs="Arial"/>
          <w:b/>
          <w:snapToGrid w:val="0"/>
          <w:sz w:val="24"/>
          <w:szCs w:val="20"/>
        </w:rPr>
        <w:br w:type="page"/>
      </w:r>
    </w:p>
    <w:p w14:paraId="164B0D5D" w14:textId="77777777" w:rsidR="00992B93" w:rsidRPr="00017EF0" w:rsidRDefault="00992B93" w:rsidP="00992B93">
      <w:pPr>
        <w:widowControl w:val="0"/>
        <w:spacing w:after="0" w:line="20" w:lineRule="atLeast"/>
        <w:jc w:val="center"/>
        <w:rPr>
          <w:rFonts w:ascii="Arial" w:eastAsia="Times New Roman" w:hAnsi="Arial" w:cs="Arial"/>
          <w:b/>
          <w:snapToGrid w:val="0"/>
          <w:sz w:val="24"/>
          <w:szCs w:val="20"/>
        </w:rPr>
      </w:pPr>
      <w:r w:rsidRPr="00017EF0">
        <w:rPr>
          <w:rFonts w:ascii="Arial" w:eastAsia="Times New Roman" w:hAnsi="Arial" w:cs="Arial"/>
          <w:b/>
          <w:snapToGrid w:val="0"/>
          <w:sz w:val="24"/>
          <w:szCs w:val="20"/>
        </w:rPr>
        <w:t xml:space="preserve">Exhibit </w:t>
      </w:r>
      <w:r w:rsidR="00A40BA5">
        <w:rPr>
          <w:rFonts w:ascii="Arial" w:eastAsia="Times New Roman" w:hAnsi="Arial" w:cs="Arial"/>
          <w:b/>
          <w:snapToGrid w:val="0"/>
          <w:sz w:val="24"/>
          <w:szCs w:val="20"/>
        </w:rPr>
        <w:t>VI</w:t>
      </w:r>
      <w:r>
        <w:rPr>
          <w:rFonts w:ascii="Arial" w:eastAsia="Times New Roman" w:hAnsi="Arial" w:cs="Arial"/>
          <w:b/>
          <w:snapToGrid w:val="0"/>
          <w:sz w:val="24"/>
          <w:szCs w:val="20"/>
        </w:rPr>
        <w:t xml:space="preserve"> – </w:t>
      </w:r>
      <w:r w:rsidR="00A01A44">
        <w:rPr>
          <w:rFonts w:ascii="Arial" w:eastAsia="Times New Roman" w:hAnsi="Arial" w:cs="Arial"/>
          <w:b/>
          <w:snapToGrid w:val="0"/>
          <w:sz w:val="24"/>
          <w:szCs w:val="20"/>
        </w:rPr>
        <w:t>2</w:t>
      </w:r>
      <w:r>
        <w:rPr>
          <w:rFonts w:ascii="Arial" w:eastAsia="Times New Roman" w:hAnsi="Arial" w:cs="Arial"/>
          <w:b/>
          <w:snapToGrid w:val="0"/>
          <w:sz w:val="24"/>
          <w:szCs w:val="20"/>
        </w:rPr>
        <w:t xml:space="preserve"> </w:t>
      </w:r>
    </w:p>
    <w:p w14:paraId="584C6600" w14:textId="77777777" w:rsidR="00992B93" w:rsidRPr="00017EF0" w:rsidRDefault="00992B93" w:rsidP="00992B93">
      <w:pPr>
        <w:widowControl w:val="0"/>
        <w:spacing w:after="0" w:line="20" w:lineRule="atLeast"/>
        <w:jc w:val="center"/>
        <w:rPr>
          <w:rFonts w:ascii="Arial" w:eastAsia="Times New Roman" w:hAnsi="Arial" w:cs="Arial"/>
          <w:b/>
          <w:snapToGrid w:val="0"/>
          <w:sz w:val="24"/>
          <w:szCs w:val="20"/>
        </w:rPr>
      </w:pPr>
      <w:r w:rsidRPr="00017EF0">
        <w:rPr>
          <w:rFonts w:ascii="Arial" w:eastAsia="Times New Roman" w:hAnsi="Arial" w:cs="Arial"/>
          <w:b/>
          <w:snapToGrid w:val="0"/>
          <w:sz w:val="24"/>
          <w:szCs w:val="20"/>
        </w:rPr>
        <w:t>F</w:t>
      </w:r>
      <w:r>
        <w:rPr>
          <w:rFonts w:ascii="Arial" w:eastAsia="Times New Roman" w:hAnsi="Arial" w:cs="Arial"/>
          <w:b/>
          <w:snapToGrid w:val="0"/>
          <w:sz w:val="24"/>
          <w:szCs w:val="20"/>
        </w:rPr>
        <w:t>irst</w:t>
      </w:r>
      <w:r w:rsidRPr="00017EF0">
        <w:rPr>
          <w:rFonts w:ascii="Arial" w:eastAsia="Times New Roman" w:hAnsi="Arial" w:cs="Arial"/>
          <w:b/>
          <w:snapToGrid w:val="0"/>
          <w:sz w:val="24"/>
          <w:szCs w:val="20"/>
        </w:rPr>
        <w:t>E</w:t>
      </w:r>
      <w:r>
        <w:rPr>
          <w:rFonts w:ascii="Arial" w:eastAsia="Times New Roman" w:hAnsi="Arial" w:cs="Arial"/>
          <w:b/>
          <w:snapToGrid w:val="0"/>
          <w:sz w:val="24"/>
          <w:szCs w:val="20"/>
        </w:rPr>
        <w:t>nergy Pennsylvania</w:t>
      </w:r>
      <w:r w:rsidRPr="00017EF0">
        <w:rPr>
          <w:rFonts w:ascii="Arial" w:eastAsia="Times New Roman" w:hAnsi="Arial" w:cs="Arial"/>
          <w:b/>
          <w:snapToGrid w:val="0"/>
          <w:sz w:val="24"/>
          <w:szCs w:val="20"/>
        </w:rPr>
        <w:t xml:space="preserve"> Companies</w:t>
      </w:r>
    </w:p>
    <w:p w14:paraId="05F1F734" w14:textId="77777777" w:rsidR="00992B93" w:rsidRPr="00017EF0" w:rsidRDefault="00992B93" w:rsidP="00992B93">
      <w:pPr>
        <w:widowControl w:val="0"/>
        <w:spacing w:after="0" w:line="20" w:lineRule="atLeast"/>
        <w:jc w:val="center"/>
        <w:rPr>
          <w:rFonts w:ascii="Arial" w:eastAsia="Times New Roman" w:hAnsi="Arial" w:cs="Arial"/>
          <w:b/>
          <w:snapToGrid w:val="0"/>
          <w:sz w:val="24"/>
          <w:szCs w:val="20"/>
        </w:rPr>
      </w:pPr>
      <w:r>
        <w:rPr>
          <w:rFonts w:ascii="Arial" w:eastAsia="Times New Roman" w:hAnsi="Arial" w:cs="Arial"/>
          <w:b/>
          <w:snapToGrid w:val="0"/>
          <w:sz w:val="24"/>
          <w:szCs w:val="20"/>
        </w:rPr>
        <w:t xml:space="preserve">Dividends Paid, Net Income, and </w:t>
      </w:r>
      <w:r w:rsidRPr="00017EF0">
        <w:rPr>
          <w:rFonts w:ascii="Arial" w:eastAsia="Times New Roman" w:hAnsi="Arial" w:cs="Arial"/>
          <w:b/>
          <w:snapToGrid w:val="0"/>
          <w:sz w:val="24"/>
          <w:szCs w:val="20"/>
        </w:rPr>
        <w:t xml:space="preserve">Dividend Payout Ratio </w:t>
      </w:r>
    </w:p>
    <w:p w14:paraId="2EA53A44" w14:textId="77777777" w:rsidR="00992B93" w:rsidRPr="00017EF0" w:rsidRDefault="00992B93" w:rsidP="00992B93">
      <w:pPr>
        <w:widowControl w:val="0"/>
        <w:spacing w:after="0" w:line="20" w:lineRule="atLeast"/>
        <w:jc w:val="center"/>
        <w:rPr>
          <w:rFonts w:ascii="Arial" w:eastAsia="Times New Roman" w:hAnsi="Arial" w:cs="Arial"/>
          <w:b/>
          <w:snapToGrid w:val="0"/>
          <w:sz w:val="24"/>
          <w:szCs w:val="20"/>
        </w:rPr>
      </w:pPr>
      <w:r w:rsidRPr="00017EF0">
        <w:rPr>
          <w:rFonts w:ascii="Arial" w:eastAsia="Times New Roman" w:hAnsi="Arial" w:cs="Arial"/>
          <w:b/>
          <w:snapToGrid w:val="0"/>
          <w:sz w:val="24"/>
          <w:szCs w:val="20"/>
        </w:rPr>
        <w:t>For the Years 2014 through 2016</w:t>
      </w:r>
    </w:p>
    <w:p w14:paraId="13B91B45" w14:textId="77777777" w:rsidR="00992B93" w:rsidRPr="003A37BF" w:rsidRDefault="00992B93" w:rsidP="00992B93">
      <w:pPr>
        <w:widowControl w:val="0"/>
        <w:spacing w:after="0" w:line="20" w:lineRule="atLeast"/>
        <w:rPr>
          <w:rFonts w:ascii="Arial" w:eastAsia="Times New Roman" w:hAnsi="Arial" w:cs="Arial"/>
          <w:snapToGrid w:val="0"/>
          <w:sz w:val="8"/>
          <w:szCs w:val="8"/>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440"/>
        <w:gridCol w:w="222"/>
        <w:gridCol w:w="1440"/>
        <w:gridCol w:w="222"/>
        <w:gridCol w:w="1440"/>
        <w:gridCol w:w="222"/>
        <w:gridCol w:w="1440"/>
      </w:tblGrid>
      <w:tr w:rsidR="00992B93" w:rsidRPr="00017EF0" w14:paraId="6C171855" w14:textId="77777777" w:rsidTr="00347614">
        <w:trPr>
          <w:trHeight w:val="20"/>
        </w:trPr>
        <w:tc>
          <w:tcPr>
            <w:tcW w:w="2320" w:type="dxa"/>
            <w:shd w:val="clear" w:color="auto" w:fill="auto"/>
            <w:noWrap/>
            <w:vAlign w:val="bottom"/>
            <w:hideMark/>
          </w:tcPr>
          <w:p w14:paraId="3F57F45E" w14:textId="77777777" w:rsidR="00992B93" w:rsidRPr="006C1BE9" w:rsidRDefault="00992B93" w:rsidP="00347614">
            <w:pPr>
              <w:widowControl w:val="0"/>
              <w:spacing w:after="0" w:line="20" w:lineRule="atLeast"/>
              <w:rPr>
                <w:rFonts w:ascii="Arial" w:eastAsia="Times New Roman" w:hAnsi="Arial" w:cs="Arial"/>
                <w:snapToGrid w:val="0"/>
                <w:sz w:val="20"/>
                <w:szCs w:val="20"/>
              </w:rPr>
            </w:pPr>
          </w:p>
        </w:tc>
        <w:tc>
          <w:tcPr>
            <w:tcW w:w="1440" w:type="dxa"/>
            <w:shd w:val="clear" w:color="auto" w:fill="auto"/>
            <w:noWrap/>
            <w:vAlign w:val="bottom"/>
            <w:hideMark/>
          </w:tcPr>
          <w:p w14:paraId="2C468CDF" w14:textId="77777777" w:rsidR="00992B93" w:rsidRPr="006C1BE9" w:rsidRDefault="00992B93" w:rsidP="00347614">
            <w:pPr>
              <w:widowControl w:val="0"/>
              <w:spacing w:after="0" w:line="20" w:lineRule="atLeast"/>
              <w:jc w:val="center"/>
              <w:rPr>
                <w:rFonts w:ascii="Arial" w:eastAsia="Times New Roman" w:hAnsi="Arial" w:cs="Arial"/>
                <w:b/>
                <w:bCs/>
                <w:snapToGrid w:val="0"/>
                <w:color w:val="000000"/>
                <w:sz w:val="20"/>
                <w:szCs w:val="20"/>
              </w:rPr>
            </w:pPr>
            <w:r w:rsidRPr="006C1BE9">
              <w:rPr>
                <w:rFonts w:ascii="Arial" w:eastAsia="Times New Roman" w:hAnsi="Arial" w:cs="Arial"/>
                <w:b/>
                <w:bCs/>
                <w:snapToGrid w:val="0"/>
                <w:color w:val="000000"/>
                <w:sz w:val="20"/>
                <w:szCs w:val="20"/>
              </w:rPr>
              <w:t>2014</w:t>
            </w:r>
          </w:p>
        </w:tc>
        <w:tc>
          <w:tcPr>
            <w:tcW w:w="222" w:type="dxa"/>
            <w:shd w:val="clear" w:color="auto" w:fill="auto"/>
            <w:noWrap/>
            <w:vAlign w:val="bottom"/>
            <w:hideMark/>
          </w:tcPr>
          <w:p w14:paraId="29970EDF" w14:textId="77777777" w:rsidR="00992B93" w:rsidRPr="006C1BE9" w:rsidRDefault="00992B93" w:rsidP="00347614">
            <w:pPr>
              <w:widowControl w:val="0"/>
              <w:spacing w:after="0" w:line="20" w:lineRule="atLeast"/>
              <w:jc w:val="center"/>
              <w:rPr>
                <w:rFonts w:ascii="Arial" w:eastAsia="Times New Roman" w:hAnsi="Arial" w:cs="Arial"/>
                <w:b/>
                <w:bCs/>
                <w:snapToGrid w:val="0"/>
                <w:color w:val="000000"/>
                <w:sz w:val="20"/>
                <w:szCs w:val="20"/>
              </w:rPr>
            </w:pPr>
          </w:p>
        </w:tc>
        <w:tc>
          <w:tcPr>
            <w:tcW w:w="1440" w:type="dxa"/>
            <w:shd w:val="clear" w:color="auto" w:fill="auto"/>
            <w:noWrap/>
            <w:vAlign w:val="bottom"/>
            <w:hideMark/>
          </w:tcPr>
          <w:p w14:paraId="23223BE8" w14:textId="77777777" w:rsidR="00992B93" w:rsidRPr="006C1BE9" w:rsidRDefault="00992B93" w:rsidP="00347614">
            <w:pPr>
              <w:widowControl w:val="0"/>
              <w:spacing w:after="0" w:line="20" w:lineRule="atLeast"/>
              <w:jc w:val="center"/>
              <w:rPr>
                <w:rFonts w:ascii="Arial" w:eastAsia="Times New Roman" w:hAnsi="Arial" w:cs="Arial"/>
                <w:b/>
                <w:bCs/>
                <w:snapToGrid w:val="0"/>
                <w:color w:val="000000"/>
                <w:sz w:val="20"/>
                <w:szCs w:val="20"/>
              </w:rPr>
            </w:pPr>
            <w:r w:rsidRPr="006C1BE9">
              <w:rPr>
                <w:rFonts w:ascii="Arial" w:eastAsia="Times New Roman" w:hAnsi="Arial" w:cs="Arial"/>
                <w:b/>
                <w:bCs/>
                <w:snapToGrid w:val="0"/>
                <w:color w:val="000000"/>
                <w:sz w:val="20"/>
                <w:szCs w:val="20"/>
              </w:rPr>
              <w:t>2015</w:t>
            </w:r>
          </w:p>
        </w:tc>
        <w:tc>
          <w:tcPr>
            <w:tcW w:w="222" w:type="dxa"/>
            <w:shd w:val="clear" w:color="auto" w:fill="auto"/>
            <w:noWrap/>
            <w:vAlign w:val="bottom"/>
            <w:hideMark/>
          </w:tcPr>
          <w:p w14:paraId="73610447" w14:textId="77777777" w:rsidR="00992B93" w:rsidRPr="006C1BE9" w:rsidRDefault="00992B93" w:rsidP="00347614">
            <w:pPr>
              <w:widowControl w:val="0"/>
              <w:spacing w:after="0" w:line="20" w:lineRule="atLeast"/>
              <w:jc w:val="center"/>
              <w:rPr>
                <w:rFonts w:ascii="Arial" w:eastAsia="Times New Roman" w:hAnsi="Arial" w:cs="Arial"/>
                <w:b/>
                <w:bCs/>
                <w:snapToGrid w:val="0"/>
                <w:color w:val="000000"/>
                <w:sz w:val="20"/>
                <w:szCs w:val="20"/>
              </w:rPr>
            </w:pPr>
          </w:p>
        </w:tc>
        <w:tc>
          <w:tcPr>
            <w:tcW w:w="1440" w:type="dxa"/>
            <w:shd w:val="clear" w:color="auto" w:fill="auto"/>
            <w:noWrap/>
            <w:vAlign w:val="bottom"/>
            <w:hideMark/>
          </w:tcPr>
          <w:p w14:paraId="6BEDFF31" w14:textId="77777777" w:rsidR="00992B93" w:rsidRPr="006C1BE9" w:rsidRDefault="00992B93" w:rsidP="00347614">
            <w:pPr>
              <w:widowControl w:val="0"/>
              <w:spacing w:after="0" w:line="20" w:lineRule="atLeast"/>
              <w:jc w:val="center"/>
              <w:rPr>
                <w:rFonts w:ascii="Arial" w:eastAsia="Times New Roman" w:hAnsi="Arial" w:cs="Arial"/>
                <w:b/>
                <w:bCs/>
                <w:snapToGrid w:val="0"/>
                <w:color w:val="000000"/>
                <w:sz w:val="20"/>
                <w:szCs w:val="20"/>
              </w:rPr>
            </w:pPr>
            <w:r w:rsidRPr="006C1BE9">
              <w:rPr>
                <w:rFonts w:ascii="Arial" w:eastAsia="Times New Roman" w:hAnsi="Arial" w:cs="Arial"/>
                <w:b/>
                <w:bCs/>
                <w:snapToGrid w:val="0"/>
                <w:color w:val="000000"/>
                <w:sz w:val="20"/>
                <w:szCs w:val="20"/>
              </w:rPr>
              <w:t>2016</w:t>
            </w:r>
          </w:p>
        </w:tc>
        <w:tc>
          <w:tcPr>
            <w:tcW w:w="222" w:type="dxa"/>
            <w:shd w:val="clear" w:color="auto" w:fill="auto"/>
            <w:noWrap/>
            <w:vAlign w:val="bottom"/>
            <w:hideMark/>
          </w:tcPr>
          <w:p w14:paraId="2463EE1E" w14:textId="77777777" w:rsidR="00992B93" w:rsidRPr="006C1BE9" w:rsidRDefault="00992B93" w:rsidP="00347614">
            <w:pPr>
              <w:widowControl w:val="0"/>
              <w:spacing w:after="0" w:line="20" w:lineRule="atLeast"/>
              <w:jc w:val="right"/>
              <w:rPr>
                <w:rFonts w:ascii="Arial" w:eastAsia="Times New Roman" w:hAnsi="Arial" w:cs="Arial"/>
                <w:b/>
                <w:bCs/>
                <w:snapToGrid w:val="0"/>
                <w:color w:val="000000"/>
                <w:sz w:val="20"/>
                <w:szCs w:val="20"/>
              </w:rPr>
            </w:pPr>
          </w:p>
        </w:tc>
        <w:tc>
          <w:tcPr>
            <w:tcW w:w="1440" w:type="dxa"/>
            <w:shd w:val="clear" w:color="auto" w:fill="auto"/>
            <w:noWrap/>
            <w:vAlign w:val="bottom"/>
            <w:hideMark/>
          </w:tcPr>
          <w:p w14:paraId="28B2BD5B" w14:textId="77777777" w:rsidR="00992B93" w:rsidRPr="006C1BE9" w:rsidRDefault="00992B93" w:rsidP="00347614">
            <w:pPr>
              <w:widowControl w:val="0"/>
              <w:spacing w:after="0" w:line="20" w:lineRule="atLeast"/>
              <w:jc w:val="center"/>
              <w:rPr>
                <w:rFonts w:ascii="Arial" w:eastAsia="Times New Roman" w:hAnsi="Arial" w:cs="Arial"/>
                <w:b/>
                <w:bCs/>
                <w:snapToGrid w:val="0"/>
                <w:color w:val="000000"/>
                <w:sz w:val="20"/>
                <w:szCs w:val="20"/>
              </w:rPr>
            </w:pPr>
            <w:r w:rsidRPr="006C1BE9">
              <w:rPr>
                <w:rFonts w:ascii="Arial" w:eastAsia="Times New Roman" w:hAnsi="Arial" w:cs="Arial"/>
                <w:b/>
                <w:bCs/>
                <w:snapToGrid w:val="0"/>
                <w:color w:val="000000"/>
                <w:sz w:val="20"/>
                <w:szCs w:val="20"/>
              </w:rPr>
              <w:t>Total</w:t>
            </w:r>
          </w:p>
        </w:tc>
      </w:tr>
      <w:tr w:rsidR="00992B93" w:rsidRPr="00017EF0" w14:paraId="67F697DB" w14:textId="77777777" w:rsidTr="00347614">
        <w:trPr>
          <w:trHeight w:val="20"/>
        </w:trPr>
        <w:tc>
          <w:tcPr>
            <w:tcW w:w="2320" w:type="dxa"/>
            <w:shd w:val="clear" w:color="auto" w:fill="auto"/>
            <w:noWrap/>
            <w:vAlign w:val="bottom"/>
            <w:hideMark/>
          </w:tcPr>
          <w:p w14:paraId="4D0D71A2" w14:textId="77777777" w:rsidR="00992B93" w:rsidRPr="006C1BE9" w:rsidRDefault="00992B93" w:rsidP="00347614">
            <w:pPr>
              <w:widowControl w:val="0"/>
              <w:spacing w:after="0" w:line="20" w:lineRule="atLeast"/>
              <w:rPr>
                <w:rFonts w:ascii="Arial" w:eastAsia="Times New Roman" w:hAnsi="Arial" w:cs="Arial"/>
                <w:b/>
                <w:bCs/>
                <w:snapToGrid w:val="0"/>
                <w:color w:val="000000"/>
                <w:sz w:val="20"/>
                <w:szCs w:val="20"/>
              </w:rPr>
            </w:pPr>
            <w:r w:rsidRPr="006C1BE9">
              <w:rPr>
                <w:rFonts w:ascii="Arial" w:eastAsia="Times New Roman" w:hAnsi="Arial" w:cs="Arial"/>
                <w:b/>
                <w:bCs/>
                <w:snapToGrid w:val="0"/>
                <w:color w:val="000000"/>
                <w:sz w:val="20"/>
                <w:szCs w:val="20"/>
              </w:rPr>
              <w:t>Met-Ed</w:t>
            </w:r>
          </w:p>
        </w:tc>
        <w:tc>
          <w:tcPr>
            <w:tcW w:w="1440" w:type="dxa"/>
            <w:shd w:val="clear" w:color="auto" w:fill="auto"/>
            <w:noWrap/>
            <w:vAlign w:val="bottom"/>
            <w:hideMark/>
          </w:tcPr>
          <w:p w14:paraId="17CD3E54" w14:textId="77777777" w:rsidR="00992B93" w:rsidRPr="006C1BE9" w:rsidRDefault="00992B93" w:rsidP="00347614">
            <w:pPr>
              <w:widowControl w:val="0"/>
              <w:spacing w:after="0" w:line="20" w:lineRule="atLeast"/>
              <w:rPr>
                <w:rFonts w:ascii="Arial" w:eastAsia="Times New Roman" w:hAnsi="Arial" w:cs="Arial"/>
                <w:b/>
                <w:bCs/>
                <w:snapToGrid w:val="0"/>
                <w:color w:val="000000"/>
                <w:sz w:val="20"/>
                <w:szCs w:val="20"/>
              </w:rPr>
            </w:pPr>
          </w:p>
        </w:tc>
        <w:tc>
          <w:tcPr>
            <w:tcW w:w="222" w:type="dxa"/>
            <w:shd w:val="clear" w:color="auto" w:fill="auto"/>
            <w:noWrap/>
            <w:vAlign w:val="bottom"/>
            <w:hideMark/>
          </w:tcPr>
          <w:p w14:paraId="37DCD443" w14:textId="77777777" w:rsidR="00992B93" w:rsidRPr="006C1BE9" w:rsidRDefault="00992B93" w:rsidP="00347614">
            <w:pPr>
              <w:widowControl w:val="0"/>
              <w:spacing w:after="0" w:line="20" w:lineRule="atLeast"/>
              <w:rPr>
                <w:rFonts w:ascii="Arial" w:eastAsia="Times New Roman" w:hAnsi="Arial" w:cs="Arial"/>
                <w:snapToGrid w:val="0"/>
                <w:sz w:val="20"/>
                <w:szCs w:val="20"/>
              </w:rPr>
            </w:pPr>
          </w:p>
        </w:tc>
        <w:tc>
          <w:tcPr>
            <w:tcW w:w="1440" w:type="dxa"/>
            <w:shd w:val="clear" w:color="auto" w:fill="auto"/>
            <w:noWrap/>
            <w:vAlign w:val="bottom"/>
            <w:hideMark/>
          </w:tcPr>
          <w:p w14:paraId="2DC7ED93" w14:textId="77777777" w:rsidR="00992B93" w:rsidRPr="006C1BE9" w:rsidRDefault="00992B93" w:rsidP="00347614">
            <w:pPr>
              <w:widowControl w:val="0"/>
              <w:spacing w:after="0" w:line="20" w:lineRule="atLeast"/>
              <w:rPr>
                <w:rFonts w:ascii="Arial" w:eastAsia="Times New Roman" w:hAnsi="Arial" w:cs="Arial"/>
                <w:snapToGrid w:val="0"/>
                <w:sz w:val="20"/>
                <w:szCs w:val="20"/>
              </w:rPr>
            </w:pPr>
          </w:p>
        </w:tc>
        <w:tc>
          <w:tcPr>
            <w:tcW w:w="222" w:type="dxa"/>
            <w:shd w:val="clear" w:color="auto" w:fill="auto"/>
            <w:noWrap/>
            <w:vAlign w:val="bottom"/>
            <w:hideMark/>
          </w:tcPr>
          <w:p w14:paraId="69F1F512" w14:textId="77777777" w:rsidR="00992B93" w:rsidRPr="006C1BE9" w:rsidRDefault="00992B93" w:rsidP="00347614">
            <w:pPr>
              <w:widowControl w:val="0"/>
              <w:spacing w:after="0" w:line="20" w:lineRule="atLeast"/>
              <w:rPr>
                <w:rFonts w:ascii="Arial" w:eastAsia="Times New Roman" w:hAnsi="Arial" w:cs="Arial"/>
                <w:snapToGrid w:val="0"/>
                <w:sz w:val="20"/>
                <w:szCs w:val="20"/>
              </w:rPr>
            </w:pPr>
          </w:p>
        </w:tc>
        <w:tc>
          <w:tcPr>
            <w:tcW w:w="1440" w:type="dxa"/>
            <w:shd w:val="clear" w:color="auto" w:fill="auto"/>
            <w:noWrap/>
            <w:vAlign w:val="bottom"/>
            <w:hideMark/>
          </w:tcPr>
          <w:p w14:paraId="0253971F" w14:textId="77777777" w:rsidR="00992B93" w:rsidRPr="006C1BE9" w:rsidRDefault="00992B93" w:rsidP="00347614">
            <w:pPr>
              <w:widowControl w:val="0"/>
              <w:spacing w:after="0" w:line="20" w:lineRule="atLeast"/>
              <w:rPr>
                <w:rFonts w:ascii="Arial" w:eastAsia="Times New Roman" w:hAnsi="Arial" w:cs="Arial"/>
                <w:snapToGrid w:val="0"/>
                <w:sz w:val="20"/>
                <w:szCs w:val="20"/>
              </w:rPr>
            </w:pPr>
          </w:p>
        </w:tc>
        <w:tc>
          <w:tcPr>
            <w:tcW w:w="222" w:type="dxa"/>
            <w:shd w:val="clear" w:color="auto" w:fill="auto"/>
            <w:noWrap/>
            <w:vAlign w:val="bottom"/>
            <w:hideMark/>
          </w:tcPr>
          <w:p w14:paraId="5BD94319" w14:textId="77777777" w:rsidR="00992B93" w:rsidRPr="006C1BE9" w:rsidRDefault="00992B93" w:rsidP="00347614">
            <w:pPr>
              <w:widowControl w:val="0"/>
              <w:spacing w:after="0" w:line="20" w:lineRule="atLeast"/>
              <w:rPr>
                <w:rFonts w:ascii="Arial" w:eastAsia="Times New Roman" w:hAnsi="Arial" w:cs="Arial"/>
                <w:snapToGrid w:val="0"/>
                <w:sz w:val="20"/>
                <w:szCs w:val="20"/>
              </w:rPr>
            </w:pPr>
          </w:p>
        </w:tc>
        <w:tc>
          <w:tcPr>
            <w:tcW w:w="1440" w:type="dxa"/>
            <w:shd w:val="clear" w:color="auto" w:fill="auto"/>
            <w:noWrap/>
            <w:vAlign w:val="bottom"/>
            <w:hideMark/>
          </w:tcPr>
          <w:p w14:paraId="38EFF0D3" w14:textId="77777777" w:rsidR="00992B93" w:rsidRPr="006C1BE9" w:rsidRDefault="00992B93" w:rsidP="00347614">
            <w:pPr>
              <w:widowControl w:val="0"/>
              <w:spacing w:after="0" w:line="20" w:lineRule="atLeast"/>
              <w:rPr>
                <w:rFonts w:ascii="Arial" w:eastAsia="Times New Roman" w:hAnsi="Arial" w:cs="Arial"/>
                <w:snapToGrid w:val="0"/>
                <w:sz w:val="20"/>
                <w:szCs w:val="20"/>
              </w:rPr>
            </w:pPr>
          </w:p>
        </w:tc>
      </w:tr>
      <w:tr w:rsidR="00992B93" w:rsidRPr="00017EF0" w14:paraId="7F41676B" w14:textId="77777777" w:rsidTr="00347614">
        <w:trPr>
          <w:trHeight w:val="20"/>
        </w:trPr>
        <w:tc>
          <w:tcPr>
            <w:tcW w:w="2320" w:type="dxa"/>
            <w:shd w:val="clear" w:color="auto" w:fill="auto"/>
            <w:noWrap/>
            <w:vAlign w:val="bottom"/>
            <w:hideMark/>
          </w:tcPr>
          <w:p w14:paraId="7A2C9827" w14:textId="77777777" w:rsidR="00992B93" w:rsidRPr="006C1BE9" w:rsidRDefault="00992B93" w:rsidP="00347614">
            <w:pPr>
              <w:widowControl w:val="0"/>
              <w:spacing w:after="0" w:line="20" w:lineRule="atLeas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Dividends Paid</w:t>
            </w:r>
          </w:p>
        </w:tc>
        <w:tc>
          <w:tcPr>
            <w:tcW w:w="1440" w:type="dxa"/>
            <w:shd w:val="clear" w:color="auto" w:fill="auto"/>
            <w:noWrap/>
            <w:vAlign w:val="bottom"/>
            <w:hideMark/>
          </w:tcPr>
          <w:p w14:paraId="1BD60A14"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$25,000,000</w:t>
            </w:r>
          </w:p>
        </w:tc>
        <w:tc>
          <w:tcPr>
            <w:tcW w:w="222" w:type="dxa"/>
            <w:shd w:val="clear" w:color="auto" w:fill="auto"/>
            <w:noWrap/>
            <w:vAlign w:val="bottom"/>
            <w:hideMark/>
          </w:tcPr>
          <w:p w14:paraId="7D4D691E"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1DC6AB85"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$45,000,000</w:t>
            </w:r>
          </w:p>
        </w:tc>
        <w:tc>
          <w:tcPr>
            <w:tcW w:w="222" w:type="dxa"/>
            <w:shd w:val="clear" w:color="auto" w:fill="auto"/>
            <w:noWrap/>
            <w:vAlign w:val="bottom"/>
            <w:hideMark/>
          </w:tcPr>
          <w:p w14:paraId="69AEDE76"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74994A34"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$65,000,000</w:t>
            </w:r>
          </w:p>
        </w:tc>
        <w:tc>
          <w:tcPr>
            <w:tcW w:w="222" w:type="dxa"/>
            <w:shd w:val="clear" w:color="auto" w:fill="auto"/>
            <w:noWrap/>
            <w:vAlign w:val="bottom"/>
            <w:hideMark/>
          </w:tcPr>
          <w:p w14:paraId="37C097F7"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7292A7EF"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$135,000,000</w:t>
            </w:r>
          </w:p>
        </w:tc>
      </w:tr>
      <w:tr w:rsidR="00992B93" w:rsidRPr="00017EF0" w14:paraId="67DCE9A5" w14:textId="77777777" w:rsidTr="00347614">
        <w:trPr>
          <w:trHeight w:val="20"/>
        </w:trPr>
        <w:tc>
          <w:tcPr>
            <w:tcW w:w="2320" w:type="dxa"/>
            <w:shd w:val="clear" w:color="auto" w:fill="auto"/>
            <w:noWrap/>
            <w:vAlign w:val="bottom"/>
            <w:hideMark/>
          </w:tcPr>
          <w:p w14:paraId="0B296DC8" w14:textId="77777777" w:rsidR="00992B93" w:rsidRPr="006C1BE9" w:rsidRDefault="00992B93" w:rsidP="00347614">
            <w:pPr>
              <w:widowControl w:val="0"/>
              <w:spacing w:after="0" w:line="20" w:lineRule="atLeas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Net Income</w:t>
            </w:r>
          </w:p>
        </w:tc>
        <w:tc>
          <w:tcPr>
            <w:tcW w:w="1440" w:type="dxa"/>
            <w:shd w:val="clear" w:color="auto" w:fill="auto"/>
            <w:noWrap/>
            <w:vAlign w:val="bottom"/>
            <w:hideMark/>
          </w:tcPr>
          <w:p w14:paraId="4F655983"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$78,959,550</w:t>
            </w:r>
          </w:p>
        </w:tc>
        <w:tc>
          <w:tcPr>
            <w:tcW w:w="222" w:type="dxa"/>
            <w:shd w:val="clear" w:color="auto" w:fill="auto"/>
            <w:noWrap/>
            <w:vAlign w:val="bottom"/>
            <w:hideMark/>
          </w:tcPr>
          <w:p w14:paraId="7E27D7D8"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599070D4"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$83,063,260</w:t>
            </w:r>
          </w:p>
        </w:tc>
        <w:tc>
          <w:tcPr>
            <w:tcW w:w="222" w:type="dxa"/>
            <w:shd w:val="clear" w:color="auto" w:fill="auto"/>
            <w:noWrap/>
            <w:vAlign w:val="bottom"/>
            <w:hideMark/>
          </w:tcPr>
          <w:p w14:paraId="15455C7F"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20FA21B2"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$95,521,844</w:t>
            </w:r>
          </w:p>
        </w:tc>
        <w:tc>
          <w:tcPr>
            <w:tcW w:w="222" w:type="dxa"/>
            <w:shd w:val="clear" w:color="auto" w:fill="auto"/>
            <w:noWrap/>
            <w:vAlign w:val="bottom"/>
            <w:hideMark/>
          </w:tcPr>
          <w:p w14:paraId="36EB6DED"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00E4E2C9"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$257,544,654</w:t>
            </w:r>
          </w:p>
        </w:tc>
      </w:tr>
      <w:tr w:rsidR="00992B93" w:rsidRPr="00017EF0" w14:paraId="5C6EEFF3" w14:textId="77777777" w:rsidTr="00347614">
        <w:trPr>
          <w:trHeight w:val="20"/>
        </w:trPr>
        <w:tc>
          <w:tcPr>
            <w:tcW w:w="2320" w:type="dxa"/>
            <w:shd w:val="clear" w:color="auto" w:fill="auto"/>
            <w:noWrap/>
            <w:vAlign w:val="bottom"/>
            <w:hideMark/>
          </w:tcPr>
          <w:p w14:paraId="20FC5ABA" w14:textId="77777777" w:rsidR="00992B93" w:rsidRPr="006C1BE9" w:rsidRDefault="00992B93" w:rsidP="00347614">
            <w:pPr>
              <w:widowControl w:val="0"/>
              <w:spacing w:after="0" w:line="20" w:lineRule="atLeas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Dividend Payout Ratio</w:t>
            </w:r>
          </w:p>
        </w:tc>
        <w:tc>
          <w:tcPr>
            <w:tcW w:w="1440" w:type="dxa"/>
            <w:shd w:val="clear" w:color="auto" w:fill="auto"/>
            <w:noWrap/>
            <w:vAlign w:val="bottom"/>
            <w:hideMark/>
          </w:tcPr>
          <w:p w14:paraId="0C315336"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31.66%</w:t>
            </w:r>
          </w:p>
        </w:tc>
        <w:tc>
          <w:tcPr>
            <w:tcW w:w="222" w:type="dxa"/>
            <w:shd w:val="clear" w:color="auto" w:fill="auto"/>
            <w:noWrap/>
            <w:vAlign w:val="bottom"/>
            <w:hideMark/>
          </w:tcPr>
          <w:p w14:paraId="5B51F696"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726DCCA1"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54.18%</w:t>
            </w:r>
          </w:p>
        </w:tc>
        <w:tc>
          <w:tcPr>
            <w:tcW w:w="222" w:type="dxa"/>
            <w:shd w:val="clear" w:color="auto" w:fill="auto"/>
            <w:noWrap/>
            <w:vAlign w:val="bottom"/>
            <w:hideMark/>
          </w:tcPr>
          <w:p w14:paraId="79502B27"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13948250"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68.05%</w:t>
            </w:r>
          </w:p>
        </w:tc>
        <w:tc>
          <w:tcPr>
            <w:tcW w:w="222" w:type="dxa"/>
            <w:shd w:val="clear" w:color="auto" w:fill="auto"/>
            <w:noWrap/>
            <w:vAlign w:val="bottom"/>
            <w:hideMark/>
          </w:tcPr>
          <w:p w14:paraId="4357F661"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2093AD60"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52.42%</w:t>
            </w:r>
          </w:p>
        </w:tc>
      </w:tr>
      <w:tr w:rsidR="00992B93" w:rsidRPr="00017EF0" w14:paraId="2A3BA7D5" w14:textId="77777777" w:rsidTr="00347614">
        <w:trPr>
          <w:trHeight w:val="20"/>
        </w:trPr>
        <w:tc>
          <w:tcPr>
            <w:tcW w:w="2320" w:type="dxa"/>
            <w:shd w:val="clear" w:color="auto" w:fill="auto"/>
            <w:noWrap/>
            <w:vAlign w:val="bottom"/>
            <w:hideMark/>
          </w:tcPr>
          <w:p w14:paraId="26F82056" w14:textId="77777777" w:rsidR="00992B93" w:rsidRPr="003A37BF" w:rsidRDefault="00992B93" w:rsidP="00347614">
            <w:pPr>
              <w:widowControl w:val="0"/>
              <w:spacing w:after="0" w:line="20" w:lineRule="atLeast"/>
              <w:jc w:val="right"/>
              <w:rPr>
                <w:rFonts w:ascii="Arial" w:eastAsia="Times New Roman" w:hAnsi="Arial" w:cs="Arial"/>
                <w:snapToGrid w:val="0"/>
                <w:color w:val="000000"/>
                <w:sz w:val="8"/>
                <w:szCs w:val="8"/>
              </w:rPr>
            </w:pPr>
          </w:p>
        </w:tc>
        <w:tc>
          <w:tcPr>
            <w:tcW w:w="1440" w:type="dxa"/>
            <w:shd w:val="clear" w:color="auto" w:fill="auto"/>
            <w:noWrap/>
            <w:vAlign w:val="bottom"/>
            <w:hideMark/>
          </w:tcPr>
          <w:p w14:paraId="17FD3BAA" w14:textId="77777777" w:rsidR="00992B93" w:rsidRPr="003A37BF" w:rsidRDefault="00992B93" w:rsidP="00347614">
            <w:pPr>
              <w:widowControl w:val="0"/>
              <w:spacing w:after="0" w:line="20" w:lineRule="atLeast"/>
              <w:rPr>
                <w:rFonts w:ascii="Arial" w:eastAsia="Times New Roman" w:hAnsi="Arial" w:cs="Arial"/>
                <w:snapToGrid w:val="0"/>
                <w:sz w:val="8"/>
                <w:szCs w:val="8"/>
              </w:rPr>
            </w:pPr>
          </w:p>
        </w:tc>
        <w:tc>
          <w:tcPr>
            <w:tcW w:w="222" w:type="dxa"/>
            <w:shd w:val="clear" w:color="auto" w:fill="auto"/>
            <w:noWrap/>
            <w:vAlign w:val="bottom"/>
            <w:hideMark/>
          </w:tcPr>
          <w:p w14:paraId="68E6B9FA" w14:textId="77777777" w:rsidR="00992B93" w:rsidRPr="003A37BF" w:rsidRDefault="00992B93" w:rsidP="00347614">
            <w:pPr>
              <w:widowControl w:val="0"/>
              <w:spacing w:after="0" w:line="20" w:lineRule="atLeast"/>
              <w:rPr>
                <w:rFonts w:ascii="Arial" w:eastAsia="Times New Roman" w:hAnsi="Arial" w:cs="Arial"/>
                <w:snapToGrid w:val="0"/>
                <w:sz w:val="8"/>
                <w:szCs w:val="8"/>
              </w:rPr>
            </w:pPr>
          </w:p>
        </w:tc>
        <w:tc>
          <w:tcPr>
            <w:tcW w:w="1440" w:type="dxa"/>
            <w:shd w:val="clear" w:color="auto" w:fill="auto"/>
            <w:noWrap/>
            <w:vAlign w:val="bottom"/>
            <w:hideMark/>
          </w:tcPr>
          <w:p w14:paraId="7679A820" w14:textId="77777777" w:rsidR="00992B93" w:rsidRPr="003A37BF" w:rsidRDefault="00992B93" w:rsidP="00347614">
            <w:pPr>
              <w:widowControl w:val="0"/>
              <w:spacing w:after="0" w:line="20" w:lineRule="atLeast"/>
              <w:rPr>
                <w:rFonts w:ascii="Arial" w:eastAsia="Times New Roman" w:hAnsi="Arial" w:cs="Arial"/>
                <w:snapToGrid w:val="0"/>
                <w:sz w:val="8"/>
                <w:szCs w:val="8"/>
              </w:rPr>
            </w:pPr>
          </w:p>
        </w:tc>
        <w:tc>
          <w:tcPr>
            <w:tcW w:w="222" w:type="dxa"/>
            <w:shd w:val="clear" w:color="auto" w:fill="auto"/>
            <w:noWrap/>
            <w:vAlign w:val="bottom"/>
            <w:hideMark/>
          </w:tcPr>
          <w:p w14:paraId="3433BA94" w14:textId="77777777" w:rsidR="00992B93" w:rsidRPr="003A37BF" w:rsidRDefault="00992B93" w:rsidP="00347614">
            <w:pPr>
              <w:widowControl w:val="0"/>
              <w:spacing w:after="0" w:line="20" w:lineRule="atLeast"/>
              <w:rPr>
                <w:rFonts w:ascii="Arial" w:eastAsia="Times New Roman" w:hAnsi="Arial" w:cs="Arial"/>
                <w:snapToGrid w:val="0"/>
                <w:sz w:val="8"/>
                <w:szCs w:val="8"/>
              </w:rPr>
            </w:pPr>
          </w:p>
        </w:tc>
        <w:tc>
          <w:tcPr>
            <w:tcW w:w="1440" w:type="dxa"/>
            <w:shd w:val="clear" w:color="auto" w:fill="auto"/>
            <w:noWrap/>
            <w:vAlign w:val="bottom"/>
            <w:hideMark/>
          </w:tcPr>
          <w:p w14:paraId="3F89896C" w14:textId="77777777" w:rsidR="00992B93" w:rsidRPr="003A37BF" w:rsidRDefault="00992B93" w:rsidP="00347614">
            <w:pPr>
              <w:widowControl w:val="0"/>
              <w:spacing w:after="0" w:line="20" w:lineRule="atLeast"/>
              <w:rPr>
                <w:rFonts w:ascii="Arial" w:eastAsia="Times New Roman" w:hAnsi="Arial" w:cs="Arial"/>
                <w:snapToGrid w:val="0"/>
                <w:sz w:val="8"/>
                <w:szCs w:val="8"/>
              </w:rPr>
            </w:pPr>
          </w:p>
        </w:tc>
        <w:tc>
          <w:tcPr>
            <w:tcW w:w="222" w:type="dxa"/>
            <w:shd w:val="clear" w:color="auto" w:fill="auto"/>
            <w:noWrap/>
            <w:vAlign w:val="bottom"/>
            <w:hideMark/>
          </w:tcPr>
          <w:p w14:paraId="1A69BCEB" w14:textId="77777777" w:rsidR="00992B93" w:rsidRPr="003A37BF" w:rsidRDefault="00992B93" w:rsidP="00347614">
            <w:pPr>
              <w:widowControl w:val="0"/>
              <w:spacing w:after="0" w:line="20" w:lineRule="atLeast"/>
              <w:rPr>
                <w:rFonts w:ascii="Arial" w:eastAsia="Times New Roman" w:hAnsi="Arial" w:cs="Arial"/>
                <w:snapToGrid w:val="0"/>
                <w:sz w:val="8"/>
                <w:szCs w:val="8"/>
              </w:rPr>
            </w:pPr>
          </w:p>
        </w:tc>
        <w:tc>
          <w:tcPr>
            <w:tcW w:w="1440" w:type="dxa"/>
            <w:shd w:val="clear" w:color="auto" w:fill="auto"/>
            <w:noWrap/>
            <w:vAlign w:val="bottom"/>
            <w:hideMark/>
          </w:tcPr>
          <w:p w14:paraId="65813E30" w14:textId="77777777" w:rsidR="00992B93" w:rsidRPr="003A37BF" w:rsidRDefault="00992B93" w:rsidP="00347614">
            <w:pPr>
              <w:widowControl w:val="0"/>
              <w:spacing w:after="0" w:line="20" w:lineRule="atLeast"/>
              <w:rPr>
                <w:rFonts w:ascii="Arial" w:eastAsia="Times New Roman" w:hAnsi="Arial" w:cs="Arial"/>
                <w:snapToGrid w:val="0"/>
                <w:sz w:val="8"/>
                <w:szCs w:val="8"/>
              </w:rPr>
            </w:pPr>
          </w:p>
        </w:tc>
      </w:tr>
      <w:tr w:rsidR="00992B93" w:rsidRPr="00017EF0" w14:paraId="5735B763" w14:textId="77777777" w:rsidTr="00347614">
        <w:trPr>
          <w:trHeight w:val="20"/>
        </w:trPr>
        <w:tc>
          <w:tcPr>
            <w:tcW w:w="2320" w:type="dxa"/>
            <w:shd w:val="clear" w:color="auto" w:fill="auto"/>
            <w:noWrap/>
            <w:vAlign w:val="bottom"/>
            <w:hideMark/>
          </w:tcPr>
          <w:p w14:paraId="4DA25B8A" w14:textId="77777777" w:rsidR="00992B93" w:rsidRPr="006C1BE9" w:rsidRDefault="00992B93" w:rsidP="00347614">
            <w:pPr>
              <w:widowControl w:val="0"/>
              <w:spacing w:after="0" w:line="20" w:lineRule="atLeast"/>
              <w:rPr>
                <w:rFonts w:ascii="Arial" w:eastAsia="Times New Roman" w:hAnsi="Arial" w:cs="Arial"/>
                <w:b/>
                <w:bCs/>
                <w:snapToGrid w:val="0"/>
                <w:color w:val="000000"/>
                <w:sz w:val="20"/>
                <w:szCs w:val="20"/>
              </w:rPr>
            </w:pPr>
            <w:r w:rsidRPr="006C1BE9">
              <w:rPr>
                <w:rFonts w:ascii="Arial" w:eastAsia="Times New Roman" w:hAnsi="Arial" w:cs="Arial"/>
                <w:b/>
                <w:bCs/>
                <w:snapToGrid w:val="0"/>
                <w:color w:val="000000"/>
                <w:sz w:val="20"/>
                <w:szCs w:val="20"/>
              </w:rPr>
              <w:t>Penelec</w:t>
            </w:r>
          </w:p>
        </w:tc>
        <w:tc>
          <w:tcPr>
            <w:tcW w:w="1440" w:type="dxa"/>
            <w:shd w:val="clear" w:color="auto" w:fill="auto"/>
            <w:noWrap/>
            <w:vAlign w:val="bottom"/>
            <w:hideMark/>
          </w:tcPr>
          <w:p w14:paraId="689E89B5" w14:textId="77777777" w:rsidR="00992B93" w:rsidRPr="006C1BE9" w:rsidRDefault="00992B93" w:rsidP="00347614">
            <w:pPr>
              <w:widowControl w:val="0"/>
              <w:spacing w:after="0" w:line="20" w:lineRule="atLeast"/>
              <w:rPr>
                <w:rFonts w:ascii="Arial" w:eastAsia="Times New Roman" w:hAnsi="Arial" w:cs="Arial"/>
                <w:b/>
                <w:bCs/>
                <w:snapToGrid w:val="0"/>
                <w:color w:val="000000"/>
                <w:sz w:val="20"/>
                <w:szCs w:val="20"/>
              </w:rPr>
            </w:pPr>
          </w:p>
        </w:tc>
        <w:tc>
          <w:tcPr>
            <w:tcW w:w="222" w:type="dxa"/>
            <w:shd w:val="clear" w:color="auto" w:fill="auto"/>
            <w:noWrap/>
            <w:vAlign w:val="bottom"/>
            <w:hideMark/>
          </w:tcPr>
          <w:p w14:paraId="2515D706" w14:textId="77777777" w:rsidR="00992B93" w:rsidRPr="006C1BE9" w:rsidRDefault="00992B93" w:rsidP="00347614">
            <w:pPr>
              <w:widowControl w:val="0"/>
              <w:spacing w:after="0" w:line="20" w:lineRule="atLeast"/>
              <w:rPr>
                <w:rFonts w:ascii="Arial" w:eastAsia="Times New Roman" w:hAnsi="Arial" w:cs="Arial"/>
                <w:snapToGrid w:val="0"/>
                <w:sz w:val="20"/>
                <w:szCs w:val="20"/>
              </w:rPr>
            </w:pPr>
          </w:p>
        </w:tc>
        <w:tc>
          <w:tcPr>
            <w:tcW w:w="1440" w:type="dxa"/>
            <w:shd w:val="clear" w:color="auto" w:fill="auto"/>
            <w:noWrap/>
            <w:vAlign w:val="bottom"/>
            <w:hideMark/>
          </w:tcPr>
          <w:p w14:paraId="51E6B4BB" w14:textId="77777777" w:rsidR="00992B93" w:rsidRPr="006C1BE9" w:rsidRDefault="00992B93" w:rsidP="00347614">
            <w:pPr>
              <w:widowControl w:val="0"/>
              <w:spacing w:after="0" w:line="20" w:lineRule="atLeast"/>
              <w:rPr>
                <w:rFonts w:ascii="Arial" w:eastAsia="Times New Roman" w:hAnsi="Arial" w:cs="Arial"/>
                <w:snapToGrid w:val="0"/>
                <w:sz w:val="20"/>
                <w:szCs w:val="20"/>
              </w:rPr>
            </w:pPr>
          </w:p>
        </w:tc>
        <w:tc>
          <w:tcPr>
            <w:tcW w:w="222" w:type="dxa"/>
            <w:shd w:val="clear" w:color="auto" w:fill="auto"/>
            <w:noWrap/>
            <w:vAlign w:val="bottom"/>
            <w:hideMark/>
          </w:tcPr>
          <w:p w14:paraId="1AB04294" w14:textId="77777777" w:rsidR="00992B93" w:rsidRPr="006C1BE9" w:rsidRDefault="00992B93" w:rsidP="00347614">
            <w:pPr>
              <w:widowControl w:val="0"/>
              <w:spacing w:after="0" w:line="20" w:lineRule="atLeast"/>
              <w:rPr>
                <w:rFonts w:ascii="Arial" w:eastAsia="Times New Roman" w:hAnsi="Arial" w:cs="Arial"/>
                <w:snapToGrid w:val="0"/>
                <w:sz w:val="20"/>
                <w:szCs w:val="20"/>
              </w:rPr>
            </w:pPr>
          </w:p>
        </w:tc>
        <w:tc>
          <w:tcPr>
            <w:tcW w:w="1440" w:type="dxa"/>
            <w:shd w:val="clear" w:color="auto" w:fill="auto"/>
            <w:noWrap/>
            <w:vAlign w:val="bottom"/>
            <w:hideMark/>
          </w:tcPr>
          <w:p w14:paraId="76F6D6AB" w14:textId="77777777" w:rsidR="00992B93" w:rsidRPr="006C1BE9" w:rsidRDefault="00992B93" w:rsidP="00347614">
            <w:pPr>
              <w:widowControl w:val="0"/>
              <w:spacing w:after="0" w:line="20" w:lineRule="atLeast"/>
              <w:rPr>
                <w:rFonts w:ascii="Arial" w:eastAsia="Times New Roman" w:hAnsi="Arial" w:cs="Arial"/>
                <w:snapToGrid w:val="0"/>
                <w:sz w:val="20"/>
                <w:szCs w:val="20"/>
              </w:rPr>
            </w:pPr>
          </w:p>
        </w:tc>
        <w:tc>
          <w:tcPr>
            <w:tcW w:w="222" w:type="dxa"/>
            <w:shd w:val="clear" w:color="auto" w:fill="auto"/>
            <w:noWrap/>
            <w:vAlign w:val="bottom"/>
            <w:hideMark/>
          </w:tcPr>
          <w:p w14:paraId="76965315" w14:textId="77777777" w:rsidR="00992B93" w:rsidRPr="006C1BE9" w:rsidRDefault="00992B93" w:rsidP="00347614">
            <w:pPr>
              <w:widowControl w:val="0"/>
              <w:spacing w:after="0" w:line="20" w:lineRule="atLeast"/>
              <w:rPr>
                <w:rFonts w:ascii="Arial" w:eastAsia="Times New Roman" w:hAnsi="Arial" w:cs="Arial"/>
                <w:snapToGrid w:val="0"/>
                <w:sz w:val="20"/>
                <w:szCs w:val="20"/>
              </w:rPr>
            </w:pPr>
          </w:p>
        </w:tc>
        <w:tc>
          <w:tcPr>
            <w:tcW w:w="1440" w:type="dxa"/>
            <w:shd w:val="clear" w:color="auto" w:fill="auto"/>
            <w:noWrap/>
            <w:vAlign w:val="bottom"/>
            <w:hideMark/>
          </w:tcPr>
          <w:p w14:paraId="7FFE3B4B" w14:textId="77777777" w:rsidR="00992B93" w:rsidRPr="006C1BE9" w:rsidRDefault="00992B93" w:rsidP="00347614">
            <w:pPr>
              <w:widowControl w:val="0"/>
              <w:spacing w:after="0" w:line="20" w:lineRule="atLeast"/>
              <w:rPr>
                <w:rFonts w:ascii="Arial" w:eastAsia="Times New Roman" w:hAnsi="Arial" w:cs="Arial"/>
                <w:snapToGrid w:val="0"/>
                <w:sz w:val="20"/>
                <w:szCs w:val="20"/>
              </w:rPr>
            </w:pPr>
          </w:p>
        </w:tc>
      </w:tr>
      <w:tr w:rsidR="00992B93" w:rsidRPr="00017EF0" w14:paraId="07A06B09" w14:textId="77777777" w:rsidTr="00347614">
        <w:trPr>
          <w:trHeight w:val="20"/>
        </w:trPr>
        <w:tc>
          <w:tcPr>
            <w:tcW w:w="2320" w:type="dxa"/>
            <w:shd w:val="clear" w:color="auto" w:fill="auto"/>
            <w:noWrap/>
            <w:vAlign w:val="bottom"/>
            <w:hideMark/>
          </w:tcPr>
          <w:p w14:paraId="42C936A5" w14:textId="77777777" w:rsidR="00992B93" w:rsidRPr="006C1BE9" w:rsidRDefault="00992B93" w:rsidP="00347614">
            <w:pPr>
              <w:widowControl w:val="0"/>
              <w:spacing w:after="0" w:line="20" w:lineRule="atLeas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Dividends Paid</w:t>
            </w:r>
          </w:p>
        </w:tc>
        <w:tc>
          <w:tcPr>
            <w:tcW w:w="1440" w:type="dxa"/>
            <w:shd w:val="clear" w:color="auto" w:fill="auto"/>
            <w:noWrap/>
            <w:vAlign w:val="bottom"/>
            <w:hideMark/>
          </w:tcPr>
          <w:p w14:paraId="3C421E13"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$0</w:t>
            </w:r>
          </w:p>
        </w:tc>
        <w:tc>
          <w:tcPr>
            <w:tcW w:w="222" w:type="dxa"/>
            <w:shd w:val="clear" w:color="auto" w:fill="auto"/>
            <w:noWrap/>
            <w:vAlign w:val="bottom"/>
            <w:hideMark/>
          </w:tcPr>
          <w:p w14:paraId="4F889957"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466F81A9"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$60,000,000</w:t>
            </w:r>
          </w:p>
        </w:tc>
        <w:tc>
          <w:tcPr>
            <w:tcW w:w="222" w:type="dxa"/>
            <w:shd w:val="clear" w:color="auto" w:fill="auto"/>
            <w:noWrap/>
            <w:vAlign w:val="bottom"/>
            <w:hideMark/>
          </w:tcPr>
          <w:p w14:paraId="3ECE0F2E"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022928F0"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$60,000,000</w:t>
            </w:r>
          </w:p>
        </w:tc>
        <w:tc>
          <w:tcPr>
            <w:tcW w:w="222" w:type="dxa"/>
            <w:shd w:val="clear" w:color="auto" w:fill="auto"/>
            <w:noWrap/>
            <w:vAlign w:val="bottom"/>
            <w:hideMark/>
          </w:tcPr>
          <w:p w14:paraId="00142EC5"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2152FC29"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$120,000,000</w:t>
            </w:r>
          </w:p>
        </w:tc>
      </w:tr>
      <w:tr w:rsidR="00992B93" w:rsidRPr="00017EF0" w14:paraId="6F409430" w14:textId="77777777" w:rsidTr="00347614">
        <w:trPr>
          <w:trHeight w:val="20"/>
        </w:trPr>
        <w:tc>
          <w:tcPr>
            <w:tcW w:w="2320" w:type="dxa"/>
            <w:shd w:val="clear" w:color="auto" w:fill="auto"/>
            <w:noWrap/>
            <w:vAlign w:val="bottom"/>
            <w:hideMark/>
          </w:tcPr>
          <w:p w14:paraId="3036FF57" w14:textId="77777777" w:rsidR="00992B93" w:rsidRPr="006C1BE9" w:rsidRDefault="00992B93" w:rsidP="00347614">
            <w:pPr>
              <w:widowControl w:val="0"/>
              <w:spacing w:after="0" w:line="20" w:lineRule="atLeas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Net Income</w:t>
            </w:r>
          </w:p>
        </w:tc>
        <w:tc>
          <w:tcPr>
            <w:tcW w:w="1440" w:type="dxa"/>
            <w:shd w:val="clear" w:color="auto" w:fill="auto"/>
            <w:noWrap/>
            <w:vAlign w:val="bottom"/>
            <w:hideMark/>
          </w:tcPr>
          <w:p w14:paraId="48EE7E3D"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$66,836,260</w:t>
            </w:r>
          </w:p>
        </w:tc>
        <w:tc>
          <w:tcPr>
            <w:tcW w:w="222" w:type="dxa"/>
            <w:shd w:val="clear" w:color="auto" w:fill="auto"/>
            <w:noWrap/>
            <w:vAlign w:val="bottom"/>
            <w:hideMark/>
          </w:tcPr>
          <w:p w14:paraId="006DD340"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104DFB65"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$85,079,665</w:t>
            </w:r>
          </w:p>
        </w:tc>
        <w:tc>
          <w:tcPr>
            <w:tcW w:w="222" w:type="dxa"/>
            <w:shd w:val="clear" w:color="auto" w:fill="auto"/>
            <w:noWrap/>
            <w:vAlign w:val="bottom"/>
            <w:hideMark/>
          </w:tcPr>
          <w:p w14:paraId="1AB20D90"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3BBF114F"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$93,682,749</w:t>
            </w:r>
          </w:p>
        </w:tc>
        <w:tc>
          <w:tcPr>
            <w:tcW w:w="222" w:type="dxa"/>
            <w:shd w:val="clear" w:color="auto" w:fill="auto"/>
            <w:noWrap/>
            <w:vAlign w:val="bottom"/>
            <w:hideMark/>
          </w:tcPr>
          <w:p w14:paraId="2C07EA8A"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46BD8267"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$245,598,674</w:t>
            </w:r>
          </w:p>
        </w:tc>
      </w:tr>
      <w:tr w:rsidR="00992B93" w:rsidRPr="00017EF0" w14:paraId="3DEE1F58" w14:textId="77777777" w:rsidTr="00347614">
        <w:trPr>
          <w:trHeight w:val="20"/>
        </w:trPr>
        <w:tc>
          <w:tcPr>
            <w:tcW w:w="2320" w:type="dxa"/>
            <w:shd w:val="clear" w:color="auto" w:fill="auto"/>
            <w:noWrap/>
            <w:vAlign w:val="bottom"/>
            <w:hideMark/>
          </w:tcPr>
          <w:p w14:paraId="1B81EF6C" w14:textId="77777777" w:rsidR="00992B93" w:rsidRPr="006C1BE9" w:rsidRDefault="00992B93" w:rsidP="00347614">
            <w:pPr>
              <w:widowControl w:val="0"/>
              <w:spacing w:after="0" w:line="20" w:lineRule="atLeas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Dividend Payout Ratio</w:t>
            </w:r>
          </w:p>
        </w:tc>
        <w:tc>
          <w:tcPr>
            <w:tcW w:w="1440" w:type="dxa"/>
            <w:shd w:val="clear" w:color="auto" w:fill="auto"/>
            <w:noWrap/>
            <w:vAlign w:val="bottom"/>
            <w:hideMark/>
          </w:tcPr>
          <w:p w14:paraId="62CAD0FB"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0.00%</w:t>
            </w:r>
          </w:p>
        </w:tc>
        <w:tc>
          <w:tcPr>
            <w:tcW w:w="222" w:type="dxa"/>
            <w:shd w:val="clear" w:color="auto" w:fill="auto"/>
            <w:noWrap/>
            <w:vAlign w:val="bottom"/>
            <w:hideMark/>
          </w:tcPr>
          <w:p w14:paraId="19C029B8"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7C0D26F8"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70.52%</w:t>
            </w:r>
          </w:p>
        </w:tc>
        <w:tc>
          <w:tcPr>
            <w:tcW w:w="222" w:type="dxa"/>
            <w:shd w:val="clear" w:color="auto" w:fill="auto"/>
            <w:noWrap/>
            <w:vAlign w:val="bottom"/>
            <w:hideMark/>
          </w:tcPr>
          <w:p w14:paraId="1F9D01F7"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65611C99"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64.05%</w:t>
            </w:r>
          </w:p>
        </w:tc>
        <w:tc>
          <w:tcPr>
            <w:tcW w:w="222" w:type="dxa"/>
            <w:shd w:val="clear" w:color="auto" w:fill="auto"/>
            <w:noWrap/>
            <w:vAlign w:val="bottom"/>
            <w:hideMark/>
          </w:tcPr>
          <w:p w14:paraId="5992F871"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7651DF3D"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48.86%</w:t>
            </w:r>
          </w:p>
        </w:tc>
      </w:tr>
      <w:tr w:rsidR="00992B93" w:rsidRPr="00017EF0" w14:paraId="37D0CE87" w14:textId="77777777" w:rsidTr="00347614">
        <w:trPr>
          <w:trHeight w:val="20"/>
        </w:trPr>
        <w:tc>
          <w:tcPr>
            <w:tcW w:w="2320" w:type="dxa"/>
            <w:shd w:val="clear" w:color="auto" w:fill="auto"/>
            <w:noWrap/>
            <w:vAlign w:val="bottom"/>
            <w:hideMark/>
          </w:tcPr>
          <w:p w14:paraId="73355A4B" w14:textId="77777777" w:rsidR="00992B93" w:rsidRPr="003A37BF" w:rsidRDefault="00992B93" w:rsidP="00347614">
            <w:pPr>
              <w:widowControl w:val="0"/>
              <w:spacing w:after="0" w:line="20" w:lineRule="atLeast"/>
              <w:jc w:val="right"/>
              <w:rPr>
                <w:rFonts w:ascii="Arial" w:eastAsia="Times New Roman" w:hAnsi="Arial" w:cs="Arial"/>
                <w:snapToGrid w:val="0"/>
                <w:color w:val="000000"/>
                <w:sz w:val="8"/>
                <w:szCs w:val="8"/>
              </w:rPr>
            </w:pPr>
          </w:p>
        </w:tc>
        <w:tc>
          <w:tcPr>
            <w:tcW w:w="1440" w:type="dxa"/>
            <w:shd w:val="clear" w:color="auto" w:fill="auto"/>
            <w:noWrap/>
            <w:vAlign w:val="bottom"/>
            <w:hideMark/>
          </w:tcPr>
          <w:p w14:paraId="60D5DB97" w14:textId="77777777" w:rsidR="00992B93" w:rsidRPr="003A37BF" w:rsidRDefault="00992B93" w:rsidP="00347614">
            <w:pPr>
              <w:widowControl w:val="0"/>
              <w:spacing w:after="0" w:line="20" w:lineRule="atLeast"/>
              <w:rPr>
                <w:rFonts w:ascii="Arial" w:eastAsia="Times New Roman" w:hAnsi="Arial" w:cs="Arial"/>
                <w:snapToGrid w:val="0"/>
                <w:sz w:val="8"/>
                <w:szCs w:val="8"/>
              </w:rPr>
            </w:pPr>
          </w:p>
        </w:tc>
        <w:tc>
          <w:tcPr>
            <w:tcW w:w="222" w:type="dxa"/>
            <w:shd w:val="clear" w:color="auto" w:fill="auto"/>
            <w:noWrap/>
            <w:vAlign w:val="bottom"/>
            <w:hideMark/>
          </w:tcPr>
          <w:p w14:paraId="075622E0" w14:textId="77777777" w:rsidR="00992B93" w:rsidRPr="003A37BF" w:rsidRDefault="00992B93" w:rsidP="00347614">
            <w:pPr>
              <w:widowControl w:val="0"/>
              <w:spacing w:after="0" w:line="20" w:lineRule="atLeast"/>
              <w:rPr>
                <w:rFonts w:ascii="Arial" w:eastAsia="Times New Roman" w:hAnsi="Arial" w:cs="Arial"/>
                <w:snapToGrid w:val="0"/>
                <w:sz w:val="8"/>
                <w:szCs w:val="8"/>
              </w:rPr>
            </w:pPr>
          </w:p>
        </w:tc>
        <w:tc>
          <w:tcPr>
            <w:tcW w:w="1440" w:type="dxa"/>
            <w:shd w:val="clear" w:color="auto" w:fill="auto"/>
            <w:noWrap/>
            <w:vAlign w:val="bottom"/>
            <w:hideMark/>
          </w:tcPr>
          <w:p w14:paraId="0E8497E3" w14:textId="77777777" w:rsidR="00992B93" w:rsidRPr="003A37BF" w:rsidRDefault="00992B93" w:rsidP="00347614">
            <w:pPr>
              <w:widowControl w:val="0"/>
              <w:spacing w:after="0" w:line="20" w:lineRule="atLeast"/>
              <w:rPr>
                <w:rFonts w:ascii="Arial" w:eastAsia="Times New Roman" w:hAnsi="Arial" w:cs="Arial"/>
                <w:snapToGrid w:val="0"/>
                <w:sz w:val="8"/>
                <w:szCs w:val="8"/>
              </w:rPr>
            </w:pPr>
          </w:p>
        </w:tc>
        <w:tc>
          <w:tcPr>
            <w:tcW w:w="222" w:type="dxa"/>
            <w:shd w:val="clear" w:color="auto" w:fill="auto"/>
            <w:noWrap/>
            <w:vAlign w:val="bottom"/>
            <w:hideMark/>
          </w:tcPr>
          <w:p w14:paraId="0FC38EE6" w14:textId="77777777" w:rsidR="00992B93" w:rsidRPr="003A37BF" w:rsidRDefault="00992B93" w:rsidP="00347614">
            <w:pPr>
              <w:widowControl w:val="0"/>
              <w:spacing w:after="0" w:line="20" w:lineRule="atLeast"/>
              <w:rPr>
                <w:rFonts w:ascii="Arial" w:eastAsia="Times New Roman" w:hAnsi="Arial" w:cs="Arial"/>
                <w:snapToGrid w:val="0"/>
                <w:sz w:val="8"/>
                <w:szCs w:val="8"/>
              </w:rPr>
            </w:pPr>
          </w:p>
        </w:tc>
        <w:tc>
          <w:tcPr>
            <w:tcW w:w="1440" w:type="dxa"/>
            <w:shd w:val="clear" w:color="auto" w:fill="auto"/>
            <w:noWrap/>
            <w:vAlign w:val="bottom"/>
            <w:hideMark/>
          </w:tcPr>
          <w:p w14:paraId="5C4DC034" w14:textId="77777777" w:rsidR="00992B93" w:rsidRPr="003A37BF" w:rsidRDefault="00992B93" w:rsidP="00347614">
            <w:pPr>
              <w:widowControl w:val="0"/>
              <w:spacing w:after="0" w:line="20" w:lineRule="atLeast"/>
              <w:rPr>
                <w:rFonts w:ascii="Arial" w:eastAsia="Times New Roman" w:hAnsi="Arial" w:cs="Arial"/>
                <w:snapToGrid w:val="0"/>
                <w:sz w:val="8"/>
                <w:szCs w:val="8"/>
              </w:rPr>
            </w:pPr>
          </w:p>
        </w:tc>
        <w:tc>
          <w:tcPr>
            <w:tcW w:w="222" w:type="dxa"/>
            <w:shd w:val="clear" w:color="auto" w:fill="auto"/>
            <w:noWrap/>
            <w:vAlign w:val="bottom"/>
            <w:hideMark/>
          </w:tcPr>
          <w:p w14:paraId="2DD38301" w14:textId="77777777" w:rsidR="00992B93" w:rsidRPr="003A37BF" w:rsidRDefault="00992B93" w:rsidP="00347614">
            <w:pPr>
              <w:widowControl w:val="0"/>
              <w:spacing w:after="0" w:line="20" w:lineRule="atLeast"/>
              <w:rPr>
                <w:rFonts w:ascii="Arial" w:eastAsia="Times New Roman" w:hAnsi="Arial" w:cs="Arial"/>
                <w:snapToGrid w:val="0"/>
                <w:sz w:val="8"/>
                <w:szCs w:val="8"/>
              </w:rPr>
            </w:pPr>
          </w:p>
        </w:tc>
        <w:tc>
          <w:tcPr>
            <w:tcW w:w="1440" w:type="dxa"/>
            <w:shd w:val="clear" w:color="auto" w:fill="auto"/>
            <w:noWrap/>
            <w:vAlign w:val="bottom"/>
            <w:hideMark/>
          </w:tcPr>
          <w:p w14:paraId="2655775C" w14:textId="77777777" w:rsidR="00992B93" w:rsidRPr="003A37BF" w:rsidRDefault="00992B93" w:rsidP="00347614">
            <w:pPr>
              <w:widowControl w:val="0"/>
              <w:spacing w:after="0" w:line="20" w:lineRule="atLeast"/>
              <w:rPr>
                <w:rFonts w:ascii="Arial" w:eastAsia="Times New Roman" w:hAnsi="Arial" w:cs="Arial"/>
                <w:snapToGrid w:val="0"/>
                <w:sz w:val="8"/>
                <w:szCs w:val="8"/>
              </w:rPr>
            </w:pPr>
          </w:p>
        </w:tc>
      </w:tr>
      <w:tr w:rsidR="00992B93" w:rsidRPr="00017EF0" w14:paraId="32E5E78E" w14:textId="77777777" w:rsidTr="00347614">
        <w:trPr>
          <w:trHeight w:val="20"/>
        </w:trPr>
        <w:tc>
          <w:tcPr>
            <w:tcW w:w="2320" w:type="dxa"/>
            <w:shd w:val="clear" w:color="auto" w:fill="auto"/>
            <w:noWrap/>
            <w:vAlign w:val="bottom"/>
            <w:hideMark/>
          </w:tcPr>
          <w:p w14:paraId="608FDD2B" w14:textId="77777777" w:rsidR="00992B93" w:rsidRPr="006C1BE9" w:rsidRDefault="00992B93" w:rsidP="00347614">
            <w:pPr>
              <w:widowControl w:val="0"/>
              <w:spacing w:after="0" w:line="20" w:lineRule="atLeast"/>
              <w:rPr>
                <w:rFonts w:ascii="Arial" w:eastAsia="Times New Roman" w:hAnsi="Arial" w:cs="Arial"/>
                <w:b/>
                <w:bCs/>
                <w:snapToGrid w:val="0"/>
                <w:color w:val="000000"/>
                <w:sz w:val="20"/>
                <w:szCs w:val="20"/>
              </w:rPr>
            </w:pPr>
            <w:r w:rsidRPr="006C1BE9">
              <w:rPr>
                <w:rFonts w:ascii="Arial" w:eastAsia="Times New Roman" w:hAnsi="Arial" w:cs="Arial"/>
                <w:b/>
                <w:bCs/>
                <w:snapToGrid w:val="0"/>
                <w:color w:val="000000"/>
                <w:sz w:val="20"/>
                <w:szCs w:val="20"/>
              </w:rPr>
              <w:t>Penn Power</w:t>
            </w:r>
          </w:p>
        </w:tc>
        <w:tc>
          <w:tcPr>
            <w:tcW w:w="1440" w:type="dxa"/>
            <w:shd w:val="clear" w:color="auto" w:fill="auto"/>
            <w:noWrap/>
            <w:vAlign w:val="bottom"/>
            <w:hideMark/>
          </w:tcPr>
          <w:p w14:paraId="0A24A972" w14:textId="77777777" w:rsidR="00992B93" w:rsidRPr="006C1BE9" w:rsidRDefault="00992B93" w:rsidP="00347614">
            <w:pPr>
              <w:widowControl w:val="0"/>
              <w:spacing w:after="0" w:line="20" w:lineRule="atLeast"/>
              <w:rPr>
                <w:rFonts w:ascii="Arial" w:eastAsia="Times New Roman" w:hAnsi="Arial" w:cs="Arial"/>
                <w:b/>
                <w:bCs/>
                <w:snapToGrid w:val="0"/>
                <w:color w:val="000000"/>
                <w:sz w:val="20"/>
                <w:szCs w:val="20"/>
              </w:rPr>
            </w:pPr>
          </w:p>
        </w:tc>
        <w:tc>
          <w:tcPr>
            <w:tcW w:w="222" w:type="dxa"/>
            <w:shd w:val="clear" w:color="auto" w:fill="auto"/>
            <w:noWrap/>
            <w:vAlign w:val="bottom"/>
            <w:hideMark/>
          </w:tcPr>
          <w:p w14:paraId="3B852054" w14:textId="77777777" w:rsidR="00992B93" w:rsidRPr="006C1BE9" w:rsidRDefault="00992B93" w:rsidP="00347614">
            <w:pPr>
              <w:widowControl w:val="0"/>
              <w:spacing w:after="0" w:line="20" w:lineRule="atLeast"/>
              <w:rPr>
                <w:rFonts w:ascii="Arial" w:eastAsia="Times New Roman" w:hAnsi="Arial" w:cs="Arial"/>
                <w:snapToGrid w:val="0"/>
                <w:sz w:val="20"/>
                <w:szCs w:val="20"/>
              </w:rPr>
            </w:pPr>
          </w:p>
        </w:tc>
        <w:tc>
          <w:tcPr>
            <w:tcW w:w="1440" w:type="dxa"/>
            <w:shd w:val="clear" w:color="auto" w:fill="auto"/>
            <w:noWrap/>
            <w:vAlign w:val="bottom"/>
            <w:hideMark/>
          </w:tcPr>
          <w:p w14:paraId="7D360CE8" w14:textId="77777777" w:rsidR="00992B93" w:rsidRPr="006C1BE9" w:rsidRDefault="00992B93" w:rsidP="00347614">
            <w:pPr>
              <w:widowControl w:val="0"/>
              <w:spacing w:after="0" w:line="20" w:lineRule="atLeast"/>
              <w:rPr>
                <w:rFonts w:ascii="Arial" w:eastAsia="Times New Roman" w:hAnsi="Arial" w:cs="Arial"/>
                <w:snapToGrid w:val="0"/>
                <w:sz w:val="20"/>
                <w:szCs w:val="20"/>
              </w:rPr>
            </w:pPr>
          </w:p>
        </w:tc>
        <w:tc>
          <w:tcPr>
            <w:tcW w:w="222" w:type="dxa"/>
            <w:shd w:val="clear" w:color="auto" w:fill="auto"/>
            <w:noWrap/>
            <w:vAlign w:val="bottom"/>
            <w:hideMark/>
          </w:tcPr>
          <w:p w14:paraId="1D9A0AAF" w14:textId="77777777" w:rsidR="00992B93" w:rsidRPr="006C1BE9" w:rsidRDefault="00992B93" w:rsidP="00347614">
            <w:pPr>
              <w:widowControl w:val="0"/>
              <w:spacing w:after="0" w:line="20" w:lineRule="atLeast"/>
              <w:rPr>
                <w:rFonts w:ascii="Arial" w:eastAsia="Times New Roman" w:hAnsi="Arial" w:cs="Arial"/>
                <w:snapToGrid w:val="0"/>
                <w:sz w:val="20"/>
                <w:szCs w:val="20"/>
              </w:rPr>
            </w:pPr>
          </w:p>
        </w:tc>
        <w:tc>
          <w:tcPr>
            <w:tcW w:w="1440" w:type="dxa"/>
            <w:shd w:val="clear" w:color="auto" w:fill="auto"/>
            <w:noWrap/>
            <w:vAlign w:val="bottom"/>
            <w:hideMark/>
          </w:tcPr>
          <w:p w14:paraId="39988C5A" w14:textId="77777777" w:rsidR="00992B93" w:rsidRPr="006C1BE9" w:rsidRDefault="00992B93" w:rsidP="00347614">
            <w:pPr>
              <w:widowControl w:val="0"/>
              <w:spacing w:after="0" w:line="20" w:lineRule="atLeast"/>
              <w:rPr>
                <w:rFonts w:ascii="Arial" w:eastAsia="Times New Roman" w:hAnsi="Arial" w:cs="Arial"/>
                <w:snapToGrid w:val="0"/>
                <w:sz w:val="20"/>
                <w:szCs w:val="20"/>
              </w:rPr>
            </w:pPr>
          </w:p>
        </w:tc>
        <w:tc>
          <w:tcPr>
            <w:tcW w:w="222" w:type="dxa"/>
            <w:shd w:val="clear" w:color="auto" w:fill="auto"/>
            <w:noWrap/>
            <w:vAlign w:val="bottom"/>
            <w:hideMark/>
          </w:tcPr>
          <w:p w14:paraId="2C4D3C0D" w14:textId="77777777" w:rsidR="00992B93" w:rsidRPr="006C1BE9" w:rsidRDefault="00992B93" w:rsidP="00347614">
            <w:pPr>
              <w:widowControl w:val="0"/>
              <w:spacing w:after="0" w:line="20" w:lineRule="atLeast"/>
              <w:rPr>
                <w:rFonts w:ascii="Arial" w:eastAsia="Times New Roman" w:hAnsi="Arial" w:cs="Arial"/>
                <w:snapToGrid w:val="0"/>
                <w:sz w:val="20"/>
                <w:szCs w:val="20"/>
              </w:rPr>
            </w:pPr>
          </w:p>
        </w:tc>
        <w:tc>
          <w:tcPr>
            <w:tcW w:w="1440" w:type="dxa"/>
            <w:shd w:val="clear" w:color="auto" w:fill="auto"/>
            <w:noWrap/>
            <w:vAlign w:val="bottom"/>
            <w:hideMark/>
          </w:tcPr>
          <w:p w14:paraId="2A059305" w14:textId="77777777" w:rsidR="00992B93" w:rsidRPr="006C1BE9" w:rsidRDefault="00992B93" w:rsidP="00347614">
            <w:pPr>
              <w:widowControl w:val="0"/>
              <w:spacing w:after="0" w:line="20" w:lineRule="atLeast"/>
              <w:rPr>
                <w:rFonts w:ascii="Arial" w:eastAsia="Times New Roman" w:hAnsi="Arial" w:cs="Arial"/>
                <w:snapToGrid w:val="0"/>
                <w:sz w:val="20"/>
                <w:szCs w:val="20"/>
              </w:rPr>
            </w:pPr>
          </w:p>
        </w:tc>
      </w:tr>
      <w:tr w:rsidR="00992B93" w:rsidRPr="00017EF0" w14:paraId="1967D372" w14:textId="77777777" w:rsidTr="00347614">
        <w:trPr>
          <w:trHeight w:val="20"/>
        </w:trPr>
        <w:tc>
          <w:tcPr>
            <w:tcW w:w="2320" w:type="dxa"/>
            <w:shd w:val="clear" w:color="auto" w:fill="auto"/>
            <w:noWrap/>
            <w:vAlign w:val="bottom"/>
            <w:hideMark/>
          </w:tcPr>
          <w:p w14:paraId="38F10A07" w14:textId="77777777" w:rsidR="00992B93" w:rsidRPr="006C1BE9" w:rsidRDefault="00992B93" w:rsidP="00347614">
            <w:pPr>
              <w:widowControl w:val="0"/>
              <w:spacing w:after="0" w:line="20" w:lineRule="atLeas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Dividends Paid</w:t>
            </w:r>
          </w:p>
        </w:tc>
        <w:tc>
          <w:tcPr>
            <w:tcW w:w="1440" w:type="dxa"/>
            <w:shd w:val="clear" w:color="auto" w:fill="auto"/>
            <w:noWrap/>
            <w:vAlign w:val="bottom"/>
            <w:hideMark/>
          </w:tcPr>
          <w:p w14:paraId="121A8769"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$10,000,000</w:t>
            </w:r>
          </w:p>
        </w:tc>
        <w:tc>
          <w:tcPr>
            <w:tcW w:w="222" w:type="dxa"/>
            <w:shd w:val="clear" w:color="auto" w:fill="auto"/>
            <w:noWrap/>
            <w:vAlign w:val="bottom"/>
            <w:hideMark/>
          </w:tcPr>
          <w:p w14:paraId="1EC98AF5"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34E49B3E"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$0</w:t>
            </w:r>
          </w:p>
        </w:tc>
        <w:tc>
          <w:tcPr>
            <w:tcW w:w="222" w:type="dxa"/>
            <w:shd w:val="clear" w:color="auto" w:fill="auto"/>
            <w:noWrap/>
            <w:vAlign w:val="bottom"/>
            <w:hideMark/>
          </w:tcPr>
          <w:p w14:paraId="412462E1"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2BF224E9"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$15,000,000</w:t>
            </w:r>
          </w:p>
        </w:tc>
        <w:tc>
          <w:tcPr>
            <w:tcW w:w="222" w:type="dxa"/>
            <w:shd w:val="clear" w:color="auto" w:fill="auto"/>
            <w:noWrap/>
            <w:vAlign w:val="bottom"/>
            <w:hideMark/>
          </w:tcPr>
          <w:p w14:paraId="037EC9F4"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321637CF"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$25,000,000</w:t>
            </w:r>
          </w:p>
        </w:tc>
      </w:tr>
      <w:tr w:rsidR="00992B93" w:rsidRPr="00017EF0" w14:paraId="0DD158E5" w14:textId="77777777" w:rsidTr="00347614">
        <w:trPr>
          <w:trHeight w:val="20"/>
        </w:trPr>
        <w:tc>
          <w:tcPr>
            <w:tcW w:w="2320" w:type="dxa"/>
            <w:shd w:val="clear" w:color="auto" w:fill="auto"/>
            <w:noWrap/>
            <w:vAlign w:val="bottom"/>
            <w:hideMark/>
          </w:tcPr>
          <w:p w14:paraId="3F278EB0" w14:textId="77777777" w:rsidR="00992B93" w:rsidRPr="006C1BE9" w:rsidRDefault="00992B93" w:rsidP="00347614">
            <w:pPr>
              <w:widowControl w:val="0"/>
              <w:spacing w:after="0" w:line="20" w:lineRule="atLeas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Net Income</w:t>
            </w:r>
          </w:p>
        </w:tc>
        <w:tc>
          <w:tcPr>
            <w:tcW w:w="1440" w:type="dxa"/>
            <w:shd w:val="clear" w:color="auto" w:fill="auto"/>
            <w:noWrap/>
            <w:vAlign w:val="bottom"/>
            <w:hideMark/>
          </w:tcPr>
          <w:p w14:paraId="6B99BA58"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$22,610,237</w:t>
            </w:r>
          </w:p>
        </w:tc>
        <w:tc>
          <w:tcPr>
            <w:tcW w:w="222" w:type="dxa"/>
            <w:shd w:val="clear" w:color="auto" w:fill="auto"/>
            <w:noWrap/>
            <w:vAlign w:val="bottom"/>
            <w:hideMark/>
          </w:tcPr>
          <w:p w14:paraId="038EBBF5"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15CD4E65"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$24,127,698</w:t>
            </w:r>
          </w:p>
        </w:tc>
        <w:tc>
          <w:tcPr>
            <w:tcW w:w="222" w:type="dxa"/>
            <w:shd w:val="clear" w:color="auto" w:fill="auto"/>
            <w:noWrap/>
            <w:vAlign w:val="bottom"/>
            <w:hideMark/>
          </w:tcPr>
          <w:p w14:paraId="00452880"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782F65A0"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$24,995,899</w:t>
            </w:r>
          </w:p>
        </w:tc>
        <w:tc>
          <w:tcPr>
            <w:tcW w:w="222" w:type="dxa"/>
            <w:shd w:val="clear" w:color="auto" w:fill="auto"/>
            <w:noWrap/>
            <w:vAlign w:val="bottom"/>
            <w:hideMark/>
          </w:tcPr>
          <w:p w14:paraId="4D5AB4FE"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2BDE64E4"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$71,733,834</w:t>
            </w:r>
          </w:p>
        </w:tc>
      </w:tr>
      <w:tr w:rsidR="00992B93" w:rsidRPr="00017EF0" w14:paraId="08288D9A" w14:textId="77777777" w:rsidTr="00347614">
        <w:trPr>
          <w:trHeight w:val="20"/>
        </w:trPr>
        <w:tc>
          <w:tcPr>
            <w:tcW w:w="2320" w:type="dxa"/>
            <w:shd w:val="clear" w:color="auto" w:fill="auto"/>
            <w:noWrap/>
            <w:vAlign w:val="bottom"/>
            <w:hideMark/>
          </w:tcPr>
          <w:p w14:paraId="334C0968" w14:textId="77777777" w:rsidR="00992B93" w:rsidRPr="006C1BE9" w:rsidRDefault="00992B93" w:rsidP="00347614">
            <w:pPr>
              <w:widowControl w:val="0"/>
              <w:spacing w:after="0" w:line="20" w:lineRule="atLeas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Dividend Payout Ratio</w:t>
            </w:r>
          </w:p>
        </w:tc>
        <w:tc>
          <w:tcPr>
            <w:tcW w:w="1440" w:type="dxa"/>
            <w:shd w:val="clear" w:color="auto" w:fill="auto"/>
            <w:noWrap/>
            <w:vAlign w:val="bottom"/>
            <w:hideMark/>
          </w:tcPr>
          <w:p w14:paraId="0711A7D0"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44.23%</w:t>
            </w:r>
          </w:p>
        </w:tc>
        <w:tc>
          <w:tcPr>
            <w:tcW w:w="222" w:type="dxa"/>
            <w:shd w:val="clear" w:color="auto" w:fill="auto"/>
            <w:noWrap/>
            <w:vAlign w:val="bottom"/>
            <w:hideMark/>
          </w:tcPr>
          <w:p w14:paraId="4B5F7F8C"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29AD0569"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0.00%</w:t>
            </w:r>
          </w:p>
        </w:tc>
        <w:tc>
          <w:tcPr>
            <w:tcW w:w="222" w:type="dxa"/>
            <w:shd w:val="clear" w:color="auto" w:fill="auto"/>
            <w:noWrap/>
            <w:vAlign w:val="bottom"/>
            <w:hideMark/>
          </w:tcPr>
          <w:p w14:paraId="6DB56808"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6364E168"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60.01%</w:t>
            </w:r>
          </w:p>
        </w:tc>
        <w:tc>
          <w:tcPr>
            <w:tcW w:w="222" w:type="dxa"/>
            <w:shd w:val="clear" w:color="auto" w:fill="auto"/>
            <w:noWrap/>
            <w:vAlign w:val="bottom"/>
            <w:hideMark/>
          </w:tcPr>
          <w:p w14:paraId="30283F34"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130D815D"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34.85%</w:t>
            </w:r>
          </w:p>
        </w:tc>
      </w:tr>
      <w:tr w:rsidR="00992B93" w:rsidRPr="00017EF0" w14:paraId="4507A9C1" w14:textId="77777777" w:rsidTr="00347614">
        <w:trPr>
          <w:trHeight w:val="20"/>
        </w:trPr>
        <w:tc>
          <w:tcPr>
            <w:tcW w:w="2320" w:type="dxa"/>
            <w:shd w:val="clear" w:color="auto" w:fill="auto"/>
            <w:noWrap/>
            <w:vAlign w:val="bottom"/>
            <w:hideMark/>
          </w:tcPr>
          <w:p w14:paraId="16CD04FF" w14:textId="77777777" w:rsidR="00992B93" w:rsidRPr="003A37BF" w:rsidRDefault="00992B93" w:rsidP="00347614">
            <w:pPr>
              <w:widowControl w:val="0"/>
              <w:spacing w:after="0" w:line="20" w:lineRule="atLeast"/>
              <w:jc w:val="right"/>
              <w:rPr>
                <w:rFonts w:ascii="Arial" w:eastAsia="Times New Roman" w:hAnsi="Arial" w:cs="Arial"/>
                <w:snapToGrid w:val="0"/>
                <w:color w:val="000000"/>
                <w:sz w:val="8"/>
                <w:szCs w:val="8"/>
              </w:rPr>
            </w:pPr>
          </w:p>
        </w:tc>
        <w:tc>
          <w:tcPr>
            <w:tcW w:w="1440" w:type="dxa"/>
            <w:shd w:val="clear" w:color="auto" w:fill="auto"/>
            <w:noWrap/>
            <w:vAlign w:val="bottom"/>
            <w:hideMark/>
          </w:tcPr>
          <w:p w14:paraId="52455904" w14:textId="77777777" w:rsidR="00992B93" w:rsidRPr="003A37BF" w:rsidRDefault="00992B93" w:rsidP="00347614">
            <w:pPr>
              <w:widowControl w:val="0"/>
              <w:spacing w:after="0" w:line="20" w:lineRule="atLeast"/>
              <w:rPr>
                <w:rFonts w:ascii="Arial" w:eastAsia="Times New Roman" w:hAnsi="Arial" w:cs="Arial"/>
                <w:snapToGrid w:val="0"/>
                <w:sz w:val="8"/>
                <w:szCs w:val="8"/>
              </w:rPr>
            </w:pPr>
          </w:p>
        </w:tc>
        <w:tc>
          <w:tcPr>
            <w:tcW w:w="222" w:type="dxa"/>
            <w:shd w:val="clear" w:color="auto" w:fill="auto"/>
            <w:noWrap/>
            <w:vAlign w:val="bottom"/>
            <w:hideMark/>
          </w:tcPr>
          <w:p w14:paraId="4974D900" w14:textId="77777777" w:rsidR="00992B93" w:rsidRPr="003A37BF" w:rsidRDefault="00992B93" w:rsidP="00347614">
            <w:pPr>
              <w:widowControl w:val="0"/>
              <w:spacing w:after="0" w:line="20" w:lineRule="atLeast"/>
              <w:rPr>
                <w:rFonts w:ascii="Arial" w:eastAsia="Times New Roman" w:hAnsi="Arial" w:cs="Arial"/>
                <w:snapToGrid w:val="0"/>
                <w:sz w:val="8"/>
                <w:szCs w:val="8"/>
              </w:rPr>
            </w:pPr>
          </w:p>
        </w:tc>
        <w:tc>
          <w:tcPr>
            <w:tcW w:w="1440" w:type="dxa"/>
            <w:shd w:val="clear" w:color="auto" w:fill="auto"/>
            <w:noWrap/>
            <w:vAlign w:val="bottom"/>
            <w:hideMark/>
          </w:tcPr>
          <w:p w14:paraId="22B5BA15" w14:textId="77777777" w:rsidR="00992B93" w:rsidRPr="003A37BF" w:rsidRDefault="00992B93" w:rsidP="00347614">
            <w:pPr>
              <w:widowControl w:val="0"/>
              <w:spacing w:after="0" w:line="20" w:lineRule="atLeast"/>
              <w:rPr>
                <w:rFonts w:ascii="Arial" w:eastAsia="Times New Roman" w:hAnsi="Arial" w:cs="Arial"/>
                <w:snapToGrid w:val="0"/>
                <w:sz w:val="8"/>
                <w:szCs w:val="8"/>
              </w:rPr>
            </w:pPr>
          </w:p>
        </w:tc>
        <w:tc>
          <w:tcPr>
            <w:tcW w:w="222" w:type="dxa"/>
            <w:shd w:val="clear" w:color="auto" w:fill="auto"/>
            <w:noWrap/>
            <w:vAlign w:val="bottom"/>
            <w:hideMark/>
          </w:tcPr>
          <w:p w14:paraId="30B06C61" w14:textId="77777777" w:rsidR="00992B93" w:rsidRPr="003A37BF" w:rsidRDefault="00992B93" w:rsidP="00347614">
            <w:pPr>
              <w:widowControl w:val="0"/>
              <w:spacing w:after="0" w:line="20" w:lineRule="atLeast"/>
              <w:rPr>
                <w:rFonts w:ascii="Arial" w:eastAsia="Times New Roman" w:hAnsi="Arial" w:cs="Arial"/>
                <w:snapToGrid w:val="0"/>
                <w:sz w:val="8"/>
                <w:szCs w:val="8"/>
              </w:rPr>
            </w:pPr>
          </w:p>
        </w:tc>
        <w:tc>
          <w:tcPr>
            <w:tcW w:w="1440" w:type="dxa"/>
            <w:shd w:val="clear" w:color="auto" w:fill="auto"/>
            <w:noWrap/>
            <w:vAlign w:val="bottom"/>
            <w:hideMark/>
          </w:tcPr>
          <w:p w14:paraId="7B3A9A47" w14:textId="77777777" w:rsidR="00992B93" w:rsidRPr="003A37BF" w:rsidRDefault="00992B93" w:rsidP="00347614">
            <w:pPr>
              <w:widowControl w:val="0"/>
              <w:spacing w:after="0" w:line="20" w:lineRule="atLeast"/>
              <w:rPr>
                <w:rFonts w:ascii="Arial" w:eastAsia="Times New Roman" w:hAnsi="Arial" w:cs="Arial"/>
                <w:snapToGrid w:val="0"/>
                <w:sz w:val="8"/>
                <w:szCs w:val="8"/>
              </w:rPr>
            </w:pPr>
          </w:p>
        </w:tc>
        <w:tc>
          <w:tcPr>
            <w:tcW w:w="222" w:type="dxa"/>
            <w:shd w:val="clear" w:color="auto" w:fill="auto"/>
            <w:noWrap/>
            <w:vAlign w:val="bottom"/>
            <w:hideMark/>
          </w:tcPr>
          <w:p w14:paraId="123D9C38" w14:textId="77777777" w:rsidR="00992B93" w:rsidRPr="003A37BF" w:rsidRDefault="00992B93" w:rsidP="00347614">
            <w:pPr>
              <w:widowControl w:val="0"/>
              <w:spacing w:after="0" w:line="20" w:lineRule="atLeast"/>
              <w:rPr>
                <w:rFonts w:ascii="Arial" w:eastAsia="Times New Roman" w:hAnsi="Arial" w:cs="Arial"/>
                <w:snapToGrid w:val="0"/>
                <w:sz w:val="8"/>
                <w:szCs w:val="8"/>
              </w:rPr>
            </w:pPr>
          </w:p>
        </w:tc>
        <w:tc>
          <w:tcPr>
            <w:tcW w:w="1440" w:type="dxa"/>
            <w:shd w:val="clear" w:color="auto" w:fill="auto"/>
            <w:noWrap/>
            <w:vAlign w:val="bottom"/>
            <w:hideMark/>
          </w:tcPr>
          <w:p w14:paraId="609EBEB9" w14:textId="77777777" w:rsidR="00992B93" w:rsidRPr="003A37BF" w:rsidRDefault="00992B93" w:rsidP="00347614">
            <w:pPr>
              <w:widowControl w:val="0"/>
              <w:spacing w:after="0" w:line="20" w:lineRule="atLeast"/>
              <w:rPr>
                <w:rFonts w:ascii="Arial" w:eastAsia="Times New Roman" w:hAnsi="Arial" w:cs="Arial"/>
                <w:snapToGrid w:val="0"/>
                <w:sz w:val="8"/>
                <w:szCs w:val="8"/>
              </w:rPr>
            </w:pPr>
          </w:p>
        </w:tc>
      </w:tr>
      <w:tr w:rsidR="00992B93" w:rsidRPr="00017EF0" w14:paraId="2AAE4D8E" w14:textId="77777777" w:rsidTr="00347614">
        <w:trPr>
          <w:trHeight w:val="20"/>
        </w:trPr>
        <w:tc>
          <w:tcPr>
            <w:tcW w:w="2320" w:type="dxa"/>
            <w:shd w:val="clear" w:color="auto" w:fill="auto"/>
            <w:noWrap/>
            <w:vAlign w:val="bottom"/>
            <w:hideMark/>
          </w:tcPr>
          <w:p w14:paraId="52083631" w14:textId="77777777" w:rsidR="00992B93" w:rsidRPr="006C1BE9" w:rsidRDefault="00992B93" w:rsidP="00347614">
            <w:pPr>
              <w:widowControl w:val="0"/>
              <w:spacing w:after="0" w:line="20" w:lineRule="atLeast"/>
              <w:rPr>
                <w:rFonts w:ascii="Arial" w:eastAsia="Times New Roman" w:hAnsi="Arial" w:cs="Arial"/>
                <w:b/>
                <w:bCs/>
                <w:snapToGrid w:val="0"/>
                <w:color w:val="000000"/>
                <w:sz w:val="20"/>
                <w:szCs w:val="20"/>
              </w:rPr>
            </w:pPr>
            <w:r w:rsidRPr="006C1BE9">
              <w:rPr>
                <w:rFonts w:ascii="Arial" w:eastAsia="Times New Roman" w:hAnsi="Arial" w:cs="Arial"/>
                <w:b/>
                <w:bCs/>
                <w:snapToGrid w:val="0"/>
                <w:color w:val="000000"/>
                <w:sz w:val="20"/>
                <w:szCs w:val="20"/>
              </w:rPr>
              <w:t>West Penn Power</w:t>
            </w:r>
          </w:p>
        </w:tc>
        <w:tc>
          <w:tcPr>
            <w:tcW w:w="1440" w:type="dxa"/>
            <w:shd w:val="clear" w:color="auto" w:fill="auto"/>
            <w:noWrap/>
            <w:vAlign w:val="bottom"/>
            <w:hideMark/>
          </w:tcPr>
          <w:p w14:paraId="2013D0EA" w14:textId="77777777" w:rsidR="00992B93" w:rsidRPr="006C1BE9" w:rsidRDefault="00992B93" w:rsidP="00347614">
            <w:pPr>
              <w:widowControl w:val="0"/>
              <w:spacing w:after="0" w:line="20" w:lineRule="atLeast"/>
              <w:rPr>
                <w:rFonts w:ascii="Arial" w:eastAsia="Times New Roman" w:hAnsi="Arial" w:cs="Arial"/>
                <w:b/>
                <w:bCs/>
                <w:snapToGrid w:val="0"/>
                <w:color w:val="000000"/>
                <w:sz w:val="20"/>
                <w:szCs w:val="20"/>
              </w:rPr>
            </w:pPr>
          </w:p>
        </w:tc>
        <w:tc>
          <w:tcPr>
            <w:tcW w:w="222" w:type="dxa"/>
            <w:shd w:val="clear" w:color="auto" w:fill="auto"/>
            <w:noWrap/>
            <w:vAlign w:val="bottom"/>
            <w:hideMark/>
          </w:tcPr>
          <w:p w14:paraId="3342760D" w14:textId="77777777" w:rsidR="00992B93" w:rsidRPr="006C1BE9" w:rsidRDefault="00992B93" w:rsidP="00347614">
            <w:pPr>
              <w:widowControl w:val="0"/>
              <w:spacing w:after="0" w:line="20" w:lineRule="atLeast"/>
              <w:rPr>
                <w:rFonts w:ascii="Arial" w:eastAsia="Times New Roman" w:hAnsi="Arial" w:cs="Arial"/>
                <w:snapToGrid w:val="0"/>
                <w:sz w:val="20"/>
                <w:szCs w:val="20"/>
              </w:rPr>
            </w:pPr>
          </w:p>
        </w:tc>
        <w:tc>
          <w:tcPr>
            <w:tcW w:w="1440" w:type="dxa"/>
            <w:shd w:val="clear" w:color="auto" w:fill="auto"/>
            <w:noWrap/>
            <w:vAlign w:val="bottom"/>
            <w:hideMark/>
          </w:tcPr>
          <w:p w14:paraId="17B7B0C9" w14:textId="77777777" w:rsidR="00992B93" w:rsidRPr="006C1BE9" w:rsidRDefault="00992B93" w:rsidP="00347614">
            <w:pPr>
              <w:widowControl w:val="0"/>
              <w:spacing w:after="0" w:line="20" w:lineRule="atLeast"/>
              <w:rPr>
                <w:rFonts w:ascii="Arial" w:eastAsia="Times New Roman" w:hAnsi="Arial" w:cs="Arial"/>
                <w:snapToGrid w:val="0"/>
                <w:sz w:val="20"/>
                <w:szCs w:val="20"/>
              </w:rPr>
            </w:pPr>
          </w:p>
        </w:tc>
        <w:tc>
          <w:tcPr>
            <w:tcW w:w="222" w:type="dxa"/>
            <w:shd w:val="clear" w:color="auto" w:fill="auto"/>
            <w:noWrap/>
            <w:vAlign w:val="bottom"/>
            <w:hideMark/>
          </w:tcPr>
          <w:p w14:paraId="7D05BD3F" w14:textId="77777777" w:rsidR="00992B93" w:rsidRPr="006C1BE9" w:rsidRDefault="00992B93" w:rsidP="00347614">
            <w:pPr>
              <w:widowControl w:val="0"/>
              <w:spacing w:after="0" w:line="20" w:lineRule="atLeast"/>
              <w:rPr>
                <w:rFonts w:ascii="Arial" w:eastAsia="Times New Roman" w:hAnsi="Arial" w:cs="Arial"/>
                <w:snapToGrid w:val="0"/>
                <w:sz w:val="20"/>
                <w:szCs w:val="20"/>
              </w:rPr>
            </w:pPr>
          </w:p>
        </w:tc>
        <w:tc>
          <w:tcPr>
            <w:tcW w:w="1440" w:type="dxa"/>
            <w:shd w:val="clear" w:color="auto" w:fill="auto"/>
            <w:noWrap/>
            <w:vAlign w:val="bottom"/>
            <w:hideMark/>
          </w:tcPr>
          <w:p w14:paraId="603A1CDC" w14:textId="77777777" w:rsidR="00992B93" w:rsidRPr="006C1BE9" w:rsidRDefault="00992B93" w:rsidP="00347614">
            <w:pPr>
              <w:widowControl w:val="0"/>
              <w:spacing w:after="0" w:line="20" w:lineRule="atLeast"/>
              <w:rPr>
                <w:rFonts w:ascii="Arial" w:eastAsia="Times New Roman" w:hAnsi="Arial" w:cs="Arial"/>
                <w:snapToGrid w:val="0"/>
                <w:sz w:val="20"/>
                <w:szCs w:val="20"/>
              </w:rPr>
            </w:pPr>
          </w:p>
        </w:tc>
        <w:tc>
          <w:tcPr>
            <w:tcW w:w="222" w:type="dxa"/>
            <w:shd w:val="clear" w:color="auto" w:fill="auto"/>
            <w:noWrap/>
            <w:vAlign w:val="bottom"/>
            <w:hideMark/>
          </w:tcPr>
          <w:p w14:paraId="3072113E" w14:textId="77777777" w:rsidR="00992B93" w:rsidRPr="006C1BE9" w:rsidRDefault="00992B93" w:rsidP="00347614">
            <w:pPr>
              <w:widowControl w:val="0"/>
              <w:spacing w:after="0" w:line="20" w:lineRule="atLeast"/>
              <w:rPr>
                <w:rFonts w:ascii="Arial" w:eastAsia="Times New Roman" w:hAnsi="Arial" w:cs="Arial"/>
                <w:snapToGrid w:val="0"/>
                <w:sz w:val="20"/>
                <w:szCs w:val="20"/>
              </w:rPr>
            </w:pPr>
          </w:p>
        </w:tc>
        <w:tc>
          <w:tcPr>
            <w:tcW w:w="1440" w:type="dxa"/>
            <w:shd w:val="clear" w:color="auto" w:fill="auto"/>
            <w:noWrap/>
            <w:vAlign w:val="bottom"/>
            <w:hideMark/>
          </w:tcPr>
          <w:p w14:paraId="230C51E4" w14:textId="77777777" w:rsidR="00992B93" w:rsidRPr="006C1BE9" w:rsidRDefault="00992B93" w:rsidP="00347614">
            <w:pPr>
              <w:widowControl w:val="0"/>
              <w:spacing w:after="0" w:line="20" w:lineRule="atLeast"/>
              <w:rPr>
                <w:rFonts w:ascii="Arial" w:eastAsia="Times New Roman" w:hAnsi="Arial" w:cs="Arial"/>
                <w:snapToGrid w:val="0"/>
                <w:sz w:val="20"/>
                <w:szCs w:val="20"/>
              </w:rPr>
            </w:pPr>
          </w:p>
        </w:tc>
      </w:tr>
      <w:tr w:rsidR="00992B93" w:rsidRPr="00017EF0" w14:paraId="52E1CEEA" w14:textId="77777777" w:rsidTr="00347614">
        <w:trPr>
          <w:trHeight w:val="20"/>
        </w:trPr>
        <w:tc>
          <w:tcPr>
            <w:tcW w:w="2320" w:type="dxa"/>
            <w:shd w:val="clear" w:color="auto" w:fill="auto"/>
            <w:noWrap/>
            <w:vAlign w:val="bottom"/>
            <w:hideMark/>
          </w:tcPr>
          <w:p w14:paraId="7BE1FD20" w14:textId="77777777" w:rsidR="00992B93" w:rsidRPr="006C1BE9" w:rsidRDefault="00992B93" w:rsidP="00347614">
            <w:pPr>
              <w:widowControl w:val="0"/>
              <w:spacing w:after="0" w:line="20" w:lineRule="atLeas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Dividends Paid</w:t>
            </w:r>
          </w:p>
        </w:tc>
        <w:tc>
          <w:tcPr>
            <w:tcW w:w="1440" w:type="dxa"/>
            <w:shd w:val="clear" w:color="auto" w:fill="auto"/>
            <w:noWrap/>
            <w:vAlign w:val="bottom"/>
            <w:hideMark/>
          </w:tcPr>
          <w:p w14:paraId="27B8ABD6"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$75,000,000</w:t>
            </w:r>
          </w:p>
        </w:tc>
        <w:tc>
          <w:tcPr>
            <w:tcW w:w="222" w:type="dxa"/>
            <w:shd w:val="clear" w:color="auto" w:fill="auto"/>
            <w:noWrap/>
            <w:vAlign w:val="bottom"/>
            <w:hideMark/>
          </w:tcPr>
          <w:p w14:paraId="72A50A47"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40884851"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$75,000,000</w:t>
            </w:r>
          </w:p>
        </w:tc>
        <w:tc>
          <w:tcPr>
            <w:tcW w:w="222" w:type="dxa"/>
            <w:shd w:val="clear" w:color="auto" w:fill="auto"/>
            <w:noWrap/>
            <w:vAlign w:val="bottom"/>
            <w:hideMark/>
          </w:tcPr>
          <w:p w14:paraId="474B3573"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2B4E5771"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$95,000,000</w:t>
            </w:r>
          </w:p>
        </w:tc>
        <w:tc>
          <w:tcPr>
            <w:tcW w:w="222" w:type="dxa"/>
            <w:shd w:val="clear" w:color="auto" w:fill="auto"/>
            <w:noWrap/>
            <w:vAlign w:val="bottom"/>
            <w:hideMark/>
          </w:tcPr>
          <w:p w14:paraId="777D5BA5"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1F31C1BA"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$245,000,000</w:t>
            </w:r>
          </w:p>
        </w:tc>
      </w:tr>
      <w:tr w:rsidR="00992B93" w:rsidRPr="00017EF0" w14:paraId="22197E68" w14:textId="77777777" w:rsidTr="00347614">
        <w:trPr>
          <w:trHeight w:val="20"/>
        </w:trPr>
        <w:tc>
          <w:tcPr>
            <w:tcW w:w="2320" w:type="dxa"/>
            <w:shd w:val="clear" w:color="auto" w:fill="auto"/>
            <w:noWrap/>
            <w:vAlign w:val="bottom"/>
            <w:hideMark/>
          </w:tcPr>
          <w:p w14:paraId="3BCBD8C0" w14:textId="77777777" w:rsidR="00992B93" w:rsidRPr="006C1BE9" w:rsidRDefault="00992B93" w:rsidP="00347614">
            <w:pPr>
              <w:widowControl w:val="0"/>
              <w:spacing w:after="0" w:line="20" w:lineRule="atLeas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Net Income</w:t>
            </w:r>
          </w:p>
        </w:tc>
        <w:tc>
          <w:tcPr>
            <w:tcW w:w="1440" w:type="dxa"/>
            <w:shd w:val="clear" w:color="auto" w:fill="auto"/>
            <w:noWrap/>
            <w:vAlign w:val="bottom"/>
            <w:hideMark/>
          </w:tcPr>
          <w:p w14:paraId="16470D40"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$121,103,373</w:t>
            </w:r>
          </w:p>
        </w:tc>
        <w:tc>
          <w:tcPr>
            <w:tcW w:w="222" w:type="dxa"/>
            <w:shd w:val="clear" w:color="auto" w:fill="auto"/>
            <w:noWrap/>
            <w:vAlign w:val="bottom"/>
            <w:hideMark/>
          </w:tcPr>
          <w:p w14:paraId="3ED41F60"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6AC47885"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$107,020,549</w:t>
            </w:r>
          </w:p>
        </w:tc>
        <w:tc>
          <w:tcPr>
            <w:tcW w:w="222" w:type="dxa"/>
            <w:shd w:val="clear" w:color="auto" w:fill="auto"/>
            <w:noWrap/>
            <w:vAlign w:val="bottom"/>
            <w:hideMark/>
          </w:tcPr>
          <w:p w14:paraId="0E506D92"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3E88390E"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$120,403,241</w:t>
            </w:r>
          </w:p>
        </w:tc>
        <w:tc>
          <w:tcPr>
            <w:tcW w:w="222" w:type="dxa"/>
            <w:shd w:val="clear" w:color="auto" w:fill="auto"/>
            <w:noWrap/>
            <w:vAlign w:val="bottom"/>
            <w:hideMark/>
          </w:tcPr>
          <w:p w14:paraId="0B019EB6"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583270AD"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$348,527,163</w:t>
            </w:r>
          </w:p>
        </w:tc>
      </w:tr>
      <w:tr w:rsidR="00992B93" w:rsidRPr="00017EF0" w14:paraId="2E050D95" w14:textId="77777777" w:rsidTr="00347614">
        <w:trPr>
          <w:trHeight w:val="20"/>
        </w:trPr>
        <w:tc>
          <w:tcPr>
            <w:tcW w:w="2320" w:type="dxa"/>
            <w:shd w:val="clear" w:color="auto" w:fill="auto"/>
            <w:noWrap/>
            <w:vAlign w:val="bottom"/>
            <w:hideMark/>
          </w:tcPr>
          <w:p w14:paraId="4713224A" w14:textId="77777777" w:rsidR="00992B93" w:rsidRPr="006C1BE9" w:rsidRDefault="00992B93" w:rsidP="00347614">
            <w:pPr>
              <w:widowControl w:val="0"/>
              <w:spacing w:after="0" w:line="20" w:lineRule="atLeas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Dividend Payout Ratio</w:t>
            </w:r>
          </w:p>
        </w:tc>
        <w:tc>
          <w:tcPr>
            <w:tcW w:w="1440" w:type="dxa"/>
            <w:shd w:val="clear" w:color="auto" w:fill="auto"/>
            <w:noWrap/>
            <w:vAlign w:val="bottom"/>
            <w:hideMark/>
          </w:tcPr>
          <w:p w14:paraId="441747CD"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61.93%</w:t>
            </w:r>
          </w:p>
        </w:tc>
        <w:tc>
          <w:tcPr>
            <w:tcW w:w="222" w:type="dxa"/>
            <w:shd w:val="clear" w:color="auto" w:fill="auto"/>
            <w:noWrap/>
            <w:vAlign w:val="bottom"/>
            <w:hideMark/>
          </w:tcPr>
          <w:p w14:paraId="4C2A51EC"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0E95AB65"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70.08%</w:t>
            </w:r>
          </w:p>
        </w:tc>
        <w:tc>
          <w:tcPr>
            <w:tcW w:w="222" w:type="dxa"/>
            <w:shd w:val="clear" w:color="auto" w:fill="auto"/>
            <w:noWrap/>
            <w:vAlign w:val="bottom"/>
            <w:hideMark/>
          </w:tcPr>
          <w:p w14:paraId="1EDD014F"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1F87EF58"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78.90%</w:t>
            </w:r>
          </w:p>
        </w:tc>
        <w:tc>
          <w:tcPr>
            <w:tcW w:w="222" w:type="dxa"/>
            <w:shd w:val="clear" w:color="auto" w:fill="auto"/>
            <w:noWrap/>
            <w:vAlign w:val="bottom"/>
            <w:hideMark/>
          </w:tcPr>
          <w:p w14:paraId="3CF5CCEC"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p>
        </w:tc>
        <w:tc>
          <w:tcPr>
            <w:tcW w:w="1440" w:type="dxa"/>
            <w:shd w:val="clear" w:color="auto" w:fill="auto"/>
            <w:noWrap/>
            <w:vAlign w:val="bottom"/>
            <w:hideMark/>
          </w:tcPr>
          <w:p w14:paraId="3CC35E4A" w14:textId="77777777" w:rsidR="00992B93" w:rsidRPr="006C1BE9" w:rsidRDefault="00992B93" w:rsidP="00347614">
            <w:pPr>
              <w:widowControl w:val="0"/>
              <w:spacing w:after="0" w:line="20" w:lineRule="atLeast"/>
              <w:jc w:val="right"/>
              <w:rPr>
                <w:rFonts w:ascii="Arial" w:eastAsia="Times New Roman" w:hAnsi="Arial" w:cs="Arial"/>
                <w:snapToGrid w:val="0"/>
                <w:color w:val="000000"/>
                <w:sz w:val="20"/>
                <w:szCs w:val="20"/>
              </w:rPr>
            </w:pPr>
            <w:r w:rsidRPr="006C1BE9">
              <w:rPr>
                <w:rFonts w:ascii="Arial" w:eastAsia="Times New Roman" w:hAnsi="Arial" w:cs="Arial"/>
                <w:snapToGrid w:val="0"/>
                <w:color w:val="000000"/>
                <w:sz w:val="20"/>
                <w:szCs w:val="20"/>
              </w:rPr>
              <w:t>70.30%</w:t>
            </w:r>
          </w:p>
        </w:tc>
      </w:tr>
    </w:tbl>
    <w:p w14:paraId="12E6D8A9" w14:textId="77777777" w:rsidR="00992B93" w:rsidRPr="00017EF0" w:rsidRDefault="00992B93" w:rsidP="00992B93">
      <w:pPr>
        <w:widowControl w:val="0"/>
        <w:spacing w:after="0" w:line="20" w:lineRule="atLeast"/>
        <w:rPr>
          <w:rFonts w:ascii="Arial" w:eastAsia="Times New Roman" w:hAnsi="Arial" w:cs="Arial"/>
          <w:snapToGrid w:val="0"/>
          <w:sz w:val="18"/>
          <w:szCs w:val="18"/>
        </w:rPr>
      </w:pPr>
      <w:r w:rsidRPr="00017EF0">
        <w:rPr>
          <w:rFonts w:ascii="Arial" w:eastAsia="Times New Roman" w:hAnsi="Arial" w:cs="Arial"/>
          <w:snapToGrid w:val="0"/>
          <w:sz w:val="18"/>
          <w:szCs w:val="18"/>
        </w:rPr>
        <w:t>Source: Data Request No. FM-01</w:t>
      </w:r>
    </w:p>
    <w:p w14:paraId="3D128278" w14:textId="77777777" w:rsidR="00992B93" w:rsidRDefault="00992B93" w:rsidP="00992B93">
      <w:pPr>
        <w:spacing w:after="0" w:line="20" w:lineRule="atLeast"/>
        <w:jc w:val="both"/>
        <w:rPr>
          <w:rFonts w:ascii="Arial" w:eastAsia="Times New Roman" w:hAnsi="Arial" w:cs="Arial"/>
          <w:snapToGrid w:val="0"/>
          <w:sz w:val="24"/>
          <w:szCs w:val="20"/>
        </w:rPr>
      </w:pPr>
    </w:p>
    <w:p w14:paraId="0A23FC7B" w14:textId="77777777" w:rsidR="00992B93" w:rsidRDefault="00992B93" w:rsidP="00992B93">
      <w:pPr>
        <w:spacing w:after="0" w:line="20" w:lineRule="atLeast"/>
        <w:jc w:val="both"/>
        <w:rPr>
          <w:rFonts w:ascii="Arial" w:eastAsia="Times New Roman" w:hAnsi="Arial" w:cs="Arial"/>
          <w:b/>
          <w:snapToGrid w:val="0"/>
          <w:sz w:val="24"/>
          <w:szCs w:val="20"/>
          <w:u w:val="single"/>
        </w:rPr>
      </w:pPr>
    </w:p>
    <w:p w14:paraId="2199A7B8" w14:textId="77777777" w:rsidR="00992B93" w:rsidRPr="005E02B0" w:rsidRDefault="00992B93" w:rsidP="00992B93">
      <w:pPr>
        <w:spacing w:after="0" w:line="20" w:lineRule="atLeast"/>
        <w:jc w:val="both"/>
        <w:rPr>
          <w:rFonts w:ascii="Arial" w:hAnsi="Arial" w:cs="Arial"/>
          <w:b/>
          <w:sz w:val="24"/>
          <w:szCs w:val="24"/>
        </w:rPr>
      </w:pPr>
      <w:r w:rsidRPr="00C208C1">
        <w:rPr>
          <w:rFonts w:ascii="Arial" w:eastAsia="Times New Roman" w:hAnsi="Arial" w:cs="Arial"/>
          <w:b/>
          <w:snapToGrid w:val="0"/>
          <w:sz w:val="24"/>
          <w:szCs w:val="20"/>
          <w:u w:val="single"/>
        </w:rPr>
        <w:t>Follow-up Recommendation</w:t>
      </w:r>
      <w:r w:rsidRPr="00C208C1">
        <w:rPr>
          <w:rFonts w:ascii="Arial" w:eastAsia="Times New Roman" w:hAnsi="Arial" w:cs="Arial"/>
          <w:b/>
          <w:snapToGrid w:val="0"/>
          <w:sz w:val="24"/>
          <w:szCs w:val="20"/>
        </w:rPr>
        <w:t xml:space="preserve"> – </w:t>
      </w:r>
      <w:r w:rsidRPr="00B910D4">
        <w:rPr>
          <w:rFonts w:ascii="Arial" w:hAnsi="Arial" w:cs="Arial"/>
          <w:b/>
          <w:sz w:val="24"/>
          <w:szCs w:val="24"/>
        </w:rPr>
        <w:t>None</w:t>
      </w:r>
    </w:p>
    <w:p w14:paraId="1EC3F7B1" w14:textId="77777777" w:rsidR="00C4057E" w:rsidRDefault="00C4057E">
      <w:pPr>
        <w:rPr>
          <w:rFonts w:ascii="Arial" w:eastAsia="Times New Roman" w:hAnsi="Arial" w:cs="Arial"/>
          <w:b/>
          <w:snapToGrid w:val="0"/>
          <w:sz w:val="24"/>
          <w:szCs w:val="20"/>
        </w:rPr>
      </w:pPr>
      <w:r>
        <w:rPr>
          <w:rFonts w:ascii="Arial" w:eastAsia="Times New Roman" w:hAnsi="Arial" w:cs="Arial"/>
          <w:b/>
          <w:snapToGrid w:val="0"/>
          <w:sz w:val="24"/>
          <w:szCs w:val="20"/>
        </w:rPr>
        <w:br w:type="page"/>
      </w:r>
    </w:p>
    <w:p w14:paraId="5F01FD77" w14:textId="77777777" w:rsidR="00C4057E" w:rsidRPr="00C4057E" w:rsidRDefault="00C4057E" w:rsidP="00C4057E">
      <w:pPr>
        <w:spacing w:line="240" w:lineRule="auto"/>
        <w:contextualSpacing/>
        <w:jc w:val="center"/>
        <w:rPr>
          <w:rFonts w:ascii="Arial" w:hAnsi="Arial" w:cs="Arial"/>
          <w:b/>
          <w:sz w:val="26"/>
          <w:szCs w:val="26"/>
        </w:rPr>
      </w:pPr>
      <w:r w:rsidRPr="00C4057E">
        <w:rPr>
          <w:rFonts w:ascii="Arial" w:hAnsi="Arial" w:cs="Arial"/>
          <w:b/>
          <w:sz w:val="26"/>
          <w:szCs w:val="26"/>
        </w:rPr>
        <w:t>VII. ELECTRIC OPERATIONS</w:t>
      </w:r>
    </w:p>
    <w:p w14:paraId="6A65B8F6" w14:textId="77777777" w:rsidR="00C4057E" w:rsidRPr="00C4057E" w:rsidRDefault="00C4057E" w:rsidP="00C4057E">
      <w:pPr>
        <w:spacing w:after="0" w:line="20" w:lineRule="atLeast"/>
        <w:contextualSpacing/>
        <w:rPr>
          <w:rFonts w:ascii="Arial" w:eastAsia="Times New Roman" w:hAnsi="Arial" w:cs="Times New Roman"/>
          <w:sz w:val="24"/>
          <w:szCs w:val="20"/>
        </w:rPr>
      </w:pPr>
    </w:p>
    <w:p w14:paraId="5B75A36F" w14:textId="77777777" w:rsidR="00C4057E" w:rsidRPr="00C4057E" w:rsidRDefault="00C4057E" w:rsidP="00C4057E">
      <w:pPr>
        <w:spacing w:after="0" w:line="20" w:lineRule="atLeast"/>
        <w:contextualSpacing/>
        <w:rPr>
          <w:rFonts w:ascii="Arial" w:eastAsia="Times New Roman" w:hAnsi="Arial" w:cs="Times New Roman"/>
          <w:sz w:val="24"/>
          <w:szCs w:val="20"/>
        </w:rPr>
      </w:pPr>
    </w:p>
    <w:p w14:paraId="4B0BD302" w14:textId="77777777" w:rsidR="00C4057E" w:rsidRPr="00C4057E" w:rsidRDefault="00C4057E" w:rsidP="00C4057E">
      <w:pPr>
        <w:spacing w:after="0" w:line="20" w:lineRule="atLeast"/>
        <w:contextualSpacing/>
        <w:rPr>
          <w:rFonts w:ascii="Arial" w:eastAsia="Times New Roman" w:hAnsi="Arial" w:cs="Times New Roman"/>
          <w:sz w:val="24"/>
          <w:szCs w:val="24"/>
        </w:rPr>
      </w:pPr>
      <w:r w:rsidRPr="00C4057E">
        <w:rPr>
          <w:rFonts w:ascii="Arial" w:hAnsi="Arial" w:cs="Arial"/>
          <w:b/>
          <w:sz w:val="24"/>
          <w:szCs w:val="24"/>
          <w:u w:val="single"/>
        </w:rPr>
        <w:t>Background</w:t>
      </w:r>
      <w:r w:rsidRPr="00C4057E">
        <w:rPr>
          <w:rFonts w:ascii="Arial" w:hAnsi="Arial" w:cs="Arial"/>
          <w:sz w:val="24"/>
          <w:szCs w:val="24"/>
        </w:rPr>
        <w:t xml:space="preserve"> – </w:t>
      </w:r>
      <w:r w:rsidR="0081335C" w:rsidRPr="007C465E">
        <w:rPr>
          <w:rFonts w:ascii="Arial" w:eastAsia="Times New Roman" w:hAnsi="Arial" w:cs="Times New Roman"/>
          <w:sz w:val="24"/>
          <w:szCs w:val="24"/>
        </w:rPr>
        <w:t xml:space="preserve">The </w:t>
      </w:r>
      <w:r w:rsidR="0081335C">
        <w:rPr>
          <w:rFonts w:ascii="Arial" w:eastAsia="Times New Roman" w:hAnsi="Arial" w:cs="Times New Roman"/>
          <w:sz w:val="24"/>
          <w:szCs w:val="24"/>
        </w:rPr>
        <w:t xml:space="preserve">2014 </w:t>
      </w:r>
      <w:r w:rsidR="0081335C" w:rsidRPr="007C465E">
        <w:rPr>
          <w:rFonts w:ascii="Arial" w:eastAsia="Times New Roman" w:hAnsi="Arial" w:cs="Times New Roman"/>
          <w:sz w:val="24"/>
          <w:szCs w:val="24"/>
        </w:rPr>
        <w:t xml:space="preserve">Focused Management and Operations Audit of </w:t>
      </w:r>
      <w:r w:rsidR="0081335C">
        <w:rPr>
          <w:rFonts w:ascii="Arial" w:eastAsia="Times New Roman" w:hAnsi="Arial" w:cs="Times New Roman"/>
          <w:sz w:val="24"/>
          <w:szCs w:val="24"/>
        </w:rPr>
        <w:t xml:space="preserve">the </w:t>
      </w:r>
      <w:r w:rsidR="00DC3D9B">
        <w:rPr>
          <w:rFonts w:ascii="Arial" w:eastAsia="Times New Roman" w:hAnsi="Arial" w:cs="Times New Roman"/>
          <w:sz w:val="24"/>
          <w:szCs w:val="24"/>
        </w:rPr>
        <w:t>FE-PA companies</w:t>
      </w:r>
      <w:r w:rsidRPr="00C4057E">
        <w:rPr>
          <w:rFonts w:ascii="Arial" w:hAnsi="Arial" w:cs="Arial"/>
          <w:sz w:val="24"/>
          <w:szCs w:val="24"/>
        </w:rPr>
        <w:t xml:space="preserve"> </w:t>
      </w:r>
      <w:r w:rsidR="00A40BA5">
        <w:rPr>
          <w:rFonts w:ascii="Arial" w:eastAsia="Times New Roman" w:hAnsi="Arial" w:cs="Times New Roman"/>
          <w:sz w:val="24"/>
          <w:szCs w:val="24"/>
        </w:rPr>
        <w:t>examined the Electric Operations function</w:t>
      </w:r>
      <w:r w:rsidR="00A40BA5">
        <w:rPr>
          <w:rFonts w:ascii="Arial" w:hAnsi="Arial" w:cs="Arial"/>
          <w:sz w:val="24"/>
          <w:szCs w:val="24"/>
        </w:rPr>
        <w:t>, which</w:t>
      </w:r>
      <w:r w:rsidR="00A40BA5" w:rsidRPr="00C209CF">
        <w:rPr>
          <w:rFonts w:ascii="Arial" w:hAnsi="Arial" w:cs="Arial"/>
          <w:sz w:val="24"/>
          <w:szCs w:val="24"/>
        </w:rPr>
        <w:t xml:space="preserve"> included a review of </w:t>
      </w:r>
      <w:r w:rsidR="00A40BA5" w:rsidRPr="008227AA">
        <w:rPr>
          <w:rFonts w:ascii="Arial" w:eastAsia="Times New Roman" w:hAnsi="Arial" w:cs="Arial"/>
          <w:sz w:val="24"/>
          <w:szCs w:val="24"/>
        </w:rPr>
        <w:t xml:space="preserve">emergency operations, vegetation management, system reliability, maintenance policies and procedures, staffing levels, system planning, etc.  </w:t>
      </w:r>
      <w:r w:rsidR="00090A1C">
        <w:rPr>
          <w:rFonts w:ascii="Arial" w:eastAsia="Times New Roman" w:hAnsi="Arial" w:cs="Arial"/>
          <w:sz w:val="24"/>
          <w:szCs w:val="24"/>
        </w:rPr>
        <w:t xml:space="preserve">Electric transmission and distribution </w:t>
      </w:r>
      <w:r w:rsidR="00842501">
        <w:rPr>
          <w:rFonts w:ascii="Arial" w:eastAsia="Times New Roman" w:hAnsi="Arial" w:cs="Arial"/>
          <w:sz w:val="24"/>
          <w:szCs w:val="24"/>
        </w:rPr>
        <w:t>operations functions for the FE-PA companies are performed by various personnel from FirstEnergy, FirstEnergy Service Company</w:t>
      </w:r>
      <w:r w:rsidR="003B0FF9">
        <w:rPr>
          <w:rFonts w:ascii="Arial" w:eastAsia="Times New Roman" w:hAnsi="Arial" w:cs="Arial"/>
          <w:sz w:val="24"/>
          <w:szCs w:val="24"/>
        </w:rPr>
        <w:t xml:space="preserve"> (FESC)</w:t>
      </w:r>
      <w:r w:rsidR="00842501">
        <w:rPr>
          <w:rFonts w:ascii="Arial" w:eastAsia="Times New Roman" w:hAnsi="Arial" w:cs="Arial"/>
          <w:sz w:val="24"/>
          <w:szCs w:val="24"/>
        </w:rPr>
        <w:t>, and each of the FE</w:t>
      </w:r>
      <w:r w:rsidR="003B0FF9">
        <w:rPr>
          <w:rFonts w:ascii="Arial" w:eastAsia="Times New Roman" w:hAnsi="Arial" w:cs="Arial"/>
          <w:sz w:val="24"/>
          <w:szCs w:val="24"/>
        </w:rPr>
        <w:noBreakHyphen/>
      </w:r>
      <w:r w:rsidR="00842501">
        <w:rPr>
          <w:rFonts w:ascii="Arial" w:eastAsia="Times New Roman" w:hAnsi="Arial" w:cs="Arial"/>
          <w:sz w:val="24"/>
          <w:szCs w:val="24"/>
        </w:rPr>
        <w:t xml:space="preserve">PA companies.  </w:t>
      </w:r>
      <w:r w:rsidR="00A40BA5" w:rsidRPr="007C465E">
        <w:rPr>
          <w:rFonts w:ascii="Arial" w:eastAsia="Times New Roman" w:hAnsi="Arial" w:cs="Times New Roman"/>
          <w:sz w:val="24"/>
          <w:szCs w:val="24"/>
        </w:rPr>
        <w:t>The</w:t>
      </w:r>
      <w:r w:rsidR="00A40BA5">
        <w:rPr>
          <w:rFonts w:ascii="Arial" w:eastAsia="Times New Roman" w:hAnsi="Arial" w:cs="Times New Roman"/>
          <w:sz w:val="24"/>
          <w:szCs w:val="24"/>
        </w:rPr>
        <w:t xml:space="preserve"> PUC</w:t>
      </w:r>
      <w:r w:rsidR="00A40BA5" w:rsidRPr="007C465E">
        <w:rPr>
          <w:rFonts w:ascii="Arial" w:eastAsia="Times New Roman" w:hAnsi="Arial" w:cs="Times New Roman"/>
          <w:sz w:val="24"/>
          <w:szCs w:val="24"/>
        </w:rPr>
        <w:t xml:space="preserve"> </w:t>
      </w:r>
      <w:r w:rsidR="00A40BA5">
        <w:rPr>
          <w:rFonts w:ascii="Arial" w:eastAsia="Times New Roman" w:hAnsi="Arial" w:cs="Times New Roman"/>
          <w:sz w:val="24"/>
          <w:szCs w:val="24"/>
        </w:rPr>
        <w:t>auditors</w:t>
      </w:r>
      <w:r w:rsidR="00A40BA5" w:rsidRPr="007C465E">
        <w:rPr>
          <w:rFonts w:ascii="Arial" w:eastAsia="Times New Roman" w:hAnsi="Arial" w:cs="Times New Roman"/>
          <w:sz w:val="24"/>
          <w:szCs w:val="24"/>
        </w:rPr>
        <w:t xml:space="preserve"> </w:t>
      </w:r>
      <w:r w:rsidR="00A40BA5">
        <w:rPr>
          <w:rFonts w:ascii="Arial" w:eastAsia="Times New Roman" w:hAnsi="Arial" w:cs="Times New Roman"/>
          <w:sz w:val="24"/>
          <w:szCs w:val="24"/>
        </w:rPr>
        <w:t xml:space="preserve">issued </w:t>
      </w:r>
      <w:r w:rsidRPr="00C4057E">
        <w:rPr>
          <w:rFonts w:ascii="Arial" w:hAnsi="Arial" w:cs="Arial"/>
          <w:sz w:val="24"/>
          <w:szCs w:val="24"/>
        </w:rPr>
        <w:t xml:space="preserve">six recommendations </w:t>
      </w:r>
      <w:r w:rsidR="00A40BA5">
        <w:rPr>
          <w:rFonts w:ascii="Arial" w:hAnsi="Arial" w:cs="Arial"/>
          <w:sz w:val="24"/>
          <w:szCs w:val="24"/>
        </w:rPr>
        <w:t>in</w:t>
      </w:r>
      <w:r w:rsidRPr="00C4057E">
        <w:rPr>
          <w:rFonts w:ascii="Arial" w:hAnsi="Arial" w:cs="Arial"/>
          <w:sz w:val="24"/>
          <w:szCs w:val="24"/>
        </w:rPr>
        <w:t xml:space="preserve"> the Electric Operations chapter</w:t>
      </w:r>
      <w:r w:rsidR="00A40BA5">
        <w:rPr>
          <w:rFonts w:ascii="Arial" w:hAnsi="Arial" w:cs="Arial"/>
          <w:sz w:val="24"/>
          <w:szCs w:val="24"/>
        </w:rPr>
        <w:t xml:space="preserve"> and</w:t>
      </w:r>
      <w:r w:rsidRPr="00C4057E">
        <w:rPr>
          <w:rFonts w:ascii="Arial" w:hAnsi="Arial" w:cs="Arial"/>
          <w:sz w:val="24"/>
          <w:szCs w:val="24"/>
        </w:rPr>
        <w:t xml:space="preserve"> rated this functional area as needing significant improvement.  In this chapter, six prior recommendations and six prior situations are reviewed and six follow</w:t>
      </w:r>
      <w:r w:rsidRPr="00C4057E">
        <w:rPr>
          <w:rFonts w:ascii="Arial" w:hAnsi="Arial" w:cs="Arial"/>
          <w:sz w:val="24"/>
          <w:szCs w:val="24"/>
        </w:rPr>
        <w:noBreakHyphen/>
        <w:t xml:space="preserve">up findings and six </w:t>
      </w:r>
      <w:r w:rsidRPr="00C4057E">
        <w:rPr>
          <w:rFonts w:ascii="Arial" w:eastAsia="Times New Roman" w:hAnsi="Arial" w:cs="Times New Roman"/>
          <w:sz w:val="24"/>
          <w:szCs w:val="24"/>
        </w:rPr>
        <w:t>follow-up recommendations</w:t>
      </w:r>
      <w:r w:rsidRPr="00C4057E">
        <w:rPr>
          <w:rFonts w:ascii="Arial" w:hAnsi="Arial" w:cs="Arial"/>
          <w:sz w:val="24"/>
          <w:szCs w:val="24"/>
        </w:rPr>
        <w:t xml:space="preserve"> are presented.</w:t>
      </w:r>
      <w:r w:rsidRPr="00C4057E">
        <w:rPr>
          <w:rFonts w:ascii="Arial" w:eastAsia="Times New Roman" w:hAnsi="Arial" w:cs="Times New Roman"/>
          <w:sz w:val="24"/>
          <w:szCs w:val="24"/>
        </w:rPr>
        <w:t xml:space="preserve"> </w:t>
      </w:r>
    </w:p>
    <w:p w14:paraId="1FAACCF8" w14:textId="77777777" w:rsidR="00C4057E" w:rsidRPr="00C4057E" w:rsidRDefault="00C4057E" w:rsidP="00C4057E">
      <w:pPr>
        <w:spacing w:line="240" w:lineRule="auto"/>
        <w:contextualSpacing/>
        <w:rPr>
          <w:rFonts w:ascii="Arial" w:hAnsi="Arial" w:cs="Arial"/>
          <w:b/>
          <w:sz w:val="24"/>
          <w:szCs w:val="24"/>
        </w:rPr>
      </w:pPr>
    </w:p>
    <w:p w14:paraId="76860661" w14:textId="77777777" w:rsidR="00C4057E" w:rsidRPr="00C4057E" w:rsidRDefault="00C4057E" w:rsidP="00C4057E">
      <w:pPr>
        <w:spacing w:after="0" w:line="240" w:lineRule="auto"/>
        <w:jc w:val="center"/>
        <w:rPr>
          <w:rFonts w:ascii="Arial" w:hAnsi="Arial" w:cs="Arial"/>
          <w:b/>
          <w:sz w:val="24"/>
          <w:szCs w:val="24"/>
          <w:u w:val="single"/>
        </w:rPr>
      </w:pPr>
      <w:r w:rsidRPr="00C4057E">
        <w:rPr>
          <w:rFonts w:ascii="Arial" w:hAnsi="Arial" w:cs="Arial"/>
          <w:b/>
          <w:sz w:val="24"/>
          <w:szCs w:val="24"/>
          <w:u w:val="single"/>
        </w:rPr>
        <w:t>Finding No. VII-1</w:t>
      </w:r>
    </w:p>
    <w:p w14:paraId="0EAFB199" w14:textId="77777777" w:rsidR="00C4057E" w:rsidRPr="00C4057E" w:rsidRDefault="00C4057E" w:rsidP="00C4057E">
      <w:pPr>
        <w:spacing w:line="240" w:lineRule="auto"/>
        <w:contextualSpacing/>
        <w:jc w:val="center"/>
        <w:rPr>
          <w:rFonts w:ascii="Arial" w:hAnsi="Arial" w:cs="Arial"/>
          <w:sz w:val="24"/>
          <w:szCs w:val="24"/>
        </w:rPr>
      </w:pPr>
    </w:p>
    <w:p w14:paraId="053D05E4" w14:textId="77777777" w:rsidR="00C4057E" w:rsidRPr="00C4057E" w:rsidRDefault="00C4057E" w:rsidP="00C4057E">
      <w:pPr>
        <w:spacing w:after="0" w:line="240" w:lineRule="auto"/>
        <w:rPr>
          <w:rFonts w:ascii="Arial" w:eastAsia="Times New Roman" w:hAnsi="Arial" w:cs="Arial"/>
          <w:sz w:val="24"/>
          <w:szCs w:val="24"/>
        </w:rPr>
      </w:pPr>
      <w:r w:rsidRPr="00C4057E">
        <w:rPr>
          <w:rFonts w:ascii="Arial" w:hAnsi="Arial" w:cs="Arial"/>
          <w:b/>
          <w:sz w:val="24"/>
          <w:szCs w:val="24"/>
          <w:u w:val="single"/>
        </w:rPr>
        <w:t>Prior Situation</w:t>
      </w:r>
      <w:r w:rsidRPr="00C4057E">
        <w:rPr>
          <w:rFonts w:ascii="Arial" w:hAnsi="Arial" w:cs="Arial"/>
          <w:sz w:val="24"/>
          <w:szCs w:val="24"/>
        </w:rPr>
        <w:t xml:space="preserve"> –  </w:t>
      </w:r>
      <w:r w:rsidRPr="00C4057E">
        <w:rPr>
          <w:rFonts w:ascii="Arial" w:eastAsia="Times New Roman" w:hAnsi="Arial" w:cs="Arial"/>
          <w:sz w:val="24"/>
          <w:szCs w:val="24"/>
        </w:rPr>
        <w:t>The Electricity Generation Customer Choice and Competition Act (Act), 1996, Dec. 3, P.L. 802, No. 138 §</w:t>
      </w:r>
      <w:r w:rsidR="00D06F99">
        <w:rPr>
          <w:rFonts w:ascii="Arial" w:eastAsia="Times New Roman" w:hAnsi="Arial" w:cs="Arial"/>
          <w:sz w:val="24"/>
          <w:szCs w:val="24"/>
        </w:rPr>
        <w:t xml:space="preserve"> </w:t>
      </w:r>
      <w:r w:rsidRPr="00C4057E">
        <w:rPr>
          <w:rFonts w:ascii="Arial" w:eastAsia="Times New Roman" w:hAnsi="Arial" w:cs="Arial"/>
          <w:sz w:val="24"/>
          <w:szCs w:val="24"/>
        </w:rPr>
        <w:t xml:space="preserve">4, became effective January 1, 1997.  The Act amends Title 66 of the Pennsylvania Consolidated Statutes (“Public Utility Code” or “Code”) by adding Chapter 28 to establish standards and procedures to create direct access by retail customers to the competitive market for the generation of electricity, while maintaining the safety and reliability of the electric system.   More, specifically, at 66 Pa. C.S. § 2802(12), the Commission was given a legislative mandate to ensure that levels of reliability that were present prior to the restructuring of the electric utility industry would continue in the new competitive markets. </w:t>
      </w:r>
    </w:p>
    <w:p w14:paraId="11179E00" w14:textId="77777777" w:rsidR="00C4057E" w:rsidRPr="00C4057E" w:rsidRDefault="00C4057E" w:rsidP="00C4057E">
      <w:pPr>
        <w:spacing w:after="0" w:line="240" w:lineRule="auto"/>
        <w:ind w:firstLine="720"/>
        <w:rPr>
          <w:rFonts w:ascii="Arial" w:eastAsia="Times New Roman" w:hAnsi="Arial" w:cs="Arial"/>
          <w:sz w:val="24"/>
          <w:szCs w:val="24"/>
        </w:rPr>
      </w:pPr>
    </w:p>
    <w:p w14:paraId="521512E2" w14:textId="77777777" w:rsidR="00C4057E" w:rsidRPr="00C4057E" w:rsidRDefault="00C4057E" w:rsidP="00C4057E">
      <w:pPr>
        <w:spacing w:after="0" w:line="240" w:lineRule="auto"/>
        <w:ind w:firstLine="720"/>
        <w:rPr>
          <w:rFonts w:ascii="Arial" w:eastAsia="Times New Roman" w:hAnsi="Arial" w:cs="Arial"/>
          <w:sz w:val="24"/>
          <w:szCs w:val="24"/>
        </w:rPr>
      </w:pPr>
      <w:r w:rsidRPr="00C4057E">
        <w:rPr>
          <w:rFonts w:ascii="Arial" w:eastAsia="Times New Roman" w:hAnsi="Arial" w:cs="Arial"/>
          <w:sz w:val="24"/>
          <w:szCs w:val="24"/>
        </w:rPr>
        <w:t>In response to this legislative mandate, the Commission adopted a Final Rulemaking Order on April 23, 1998, at Docket No. L-00970120, setting forth various reporting requirements designed to ensure the continuing safety, adequacy and reliability of the transmission and distribution of electricity in the Commonwealth (see 52 Pa. Code §§ 57.191-57.197).  The Final Rulemaking Order acknowledged that the Commission could reevaluate its monitoring efforts later as deemed appropriate.  This reference is below:</w:t>
      </w:r>
    </w:p>
    <w:p w14:paraId="0D823A60" w14:textId="77777777" w:rsidR="00C4057E" w:rsidRPr="00C4057E" w:rsidRDefault="00C4057E" w:rsidP="00C4057E">
      <w:pPr>
        <w:spacing w:after="0" w:line="240" w:lineRule="auto"/>
        <w:ind w:firstLine="720"/>
        <w:rPr>
          <w:rFonts w:ascii="Arial" w:eastAsia="Times New Roman" w:hAnsi="Arial" w:cs="Arial"/>
          <w:sz w:val="24"/>
          <w:szCs w:val="24"/>
        </w:rPr>
      </w:pPr>
    </w:p>
    <w:p w14:paraId="58063949" w14:textId="77777777" w:rsidR="00C4057E" w:rsidRPr="00C4057E" w:rsidRDefault="00C4057E" w:rsidP="00C4057E">
      <w:pPr>
        <w:tabs>
          <w:tab w:val="left" w:pos="-720"/>
        </w:tabs>
        <w:suppressAutoHyphens/>
        <w:spacing w:after="0" w:line="240" w:lineRule="auto"/>
        <w:rPr>
          <w:rFonts w:ascii="Arial" w:eastAsia="Times New Roman" w:hAnsi="Arial" w:cs="Arial"/>
          <w:sz w:val="24"/>
          <w:szCs w:val="24"/>
        </w:rPr>
      </w:pPr>
      <w:r w:rsidRPr="00C4057E">
        <w:rPr>
          <w:rFonts w:ascii="Arial" w:eastAsia="Times New Roman" w:hAnsi="Arial" w:cs="Arial"/>
          <w:sz w:val="24"/>
          <w:szCs w:val="24"/>
        </w:rPr>
        <w:tab/>
        <w:t>Pa. Code § 57.194. Distribution system reliability.</w:t>
      </w:r>
    </w:p>
    <w:p w14:paraId="01D07925" w14:textId="77777777" w:rsidR="00C4057E" w:rsidRPr="00C4057E" w:rsidRDefault="00C4057E" w:rsidP="00C4057E">
      <w:pPr>
        <w:tabs>
          <w:tab w:val="left" w:pos="-720"/>
        </w:tabs>
        <w:suppressAutoHyphens/>
        <w:spacing w:before="90" w:after="0" w:line="240" w:lineRule="auto"/>
        <w:rPr>
          <w:rFonts w:ascii="Arial" w:eastAsia="Times New Roman" w:hAnsi="Arial" w:cs="Arial"/>
          <w:sz w:val="24"/>
          <w:szCs w:val="24"/>
        </w:rPr>
      </w:pPr>
    </w:p>
    <w:p w14:paraId="35C428D4" w14:textId="77777777" w:rsidR="00C4057E" w:rsidRPr="00C4057E" w:rsidRDefault="00C4057E" w:rsidP="00C4057E">
      <w:pPr>
        <w:spacing w:after="0" w:line="240" w:lineRule="auto"/>
        <w:ind w:left="720" w:right="720"/>
        <w:rPr>
          <w:rFonts w:ascii="Arial" w:eastAsia="Times New Roman" w:hAnsi="Arial" w:cs="Arial"/>
          <w:sz w:val="24"/>
          <w:szCs w:val="24"/>
        </w:rPr>
      </w:pPr>
      <w:r w:rsidRPr="00C4057E">
        <w:rPr>
          <w:rFonts w:ascii="Arial" w:eastAsia="Times New Roman" w:hAnsi="Arial" w:cs="Arial"/>
          <w:sz w:val="24"/>
          <w:szCs w:val="24"/>
        </w:rPr>
        <w:t xml:space="preserve">(e) An EDC shall design and maintain procedures to achieve the reliability performance benchmarks and minimum performance standards established by the Commission.  </w:t>
      </w:r>
    </w:p>
    <w:p w14:paraId="415F2330" w14:textId="77777777" w:rsidR="00C4057E" w:rsidRPr="00C4057E" w:rsidRDefault="00C4057E" w:rsidP="00C4057E">
      <w:pPr>
        <w:spacing w:after="0" w:line="240" w:lineRule="auto"/>
        <w:rPr>
          <w:rFonts w:ascii="Arial" w:eastAsia="Times New Roman" w:hAnsi="Arial" w:cs="Arial"/>
          <w:sz w:val="24"/>
          <w:szCs w:val="24"/>
        </w:rPr>
      </w:pPr>
    </w:p>
    <w:p w14:paraId="79D5AE91" w14:textId="77777777" w:rsidR="00C4057E" w:rsidRPr="00C4057E" w:rsidRDefault="00C4057E" w:rsidP="00C4057E">
      <w:pPr>
        <w:spacing w:after="0" w:line="240" w:lineRule="auto"/>
        <w:ind w:firstLine="720"/>
        <w:rPr>
          <w:rFonts w:ascii="Arial" w:eastAsia="Times New Roman" w:hAnsi="Arial" w:cs="Arial"/>
          <w:sz w:val="24"/>
          <w:szCs w:val="24"/>
        </w:rPr>
      </w:pPr>
      <w:r w:rsidRPr="00C4057E">
        <w:rPr>
          <w:rFonts w:ascii="Arial" w:eastAsia="Times New Roman" w:hAnsi="Arial" w:cs="Arial"/>
          <w:sz w:val="24"/>
          <w:szCs w:val="24"/>
        </w:rPr>
        <w:t xml:space="preserve">The Amended Reliability Benchmarks and Standards for the Electric Distribution Companies at Docket No. M-00991220 issued May 7, 2004, changed the measures for each reliability index to the current 12-month standard, 36-month standard, and benchmark.  The benchmark is the value that the EDC should strive for whereas the respective standards are the minimum acceptable performance.  </w:t>
      </w:r>
      <w:r w:rsidR="008E5F61">
        <w:rPr>
          <w:rFonts w:ascii="Arial" w:eastAsia="Times New Roman" w:hAnsi="Arial" w:cs="Arial"/>
          <w:sz w:val="24"/>
          <w:szCs w:val="24"/>
        </w:rPr>
        <w:t>Although</w:t>
      </w:r>
      <w:r w:rsidR="008E5F61" w:rsidRPr="00C4057E">
        <w:rPr>
          <w:rFonts w:ascii="Arial" w:eastAsia="Times New Roman" w:hAnsi="Arial" w:cs="Arial"/>
          <w:sz w:val="24"/>
          <w:szCs w:val="24"/>
        </w:rPr>
        <w:t xml:space="preserve"> </w:t>
      </w:r>
      <w:r w:rsidRPr="00C4057E">
        <w:rPr>
          <w:rFonts w:ascii="Arial" w:eastAsia="Times New Roman" w:hAnsi="Arial" w:cs="Arial"/>
          <w:sz w:val="24"/>
          <w:szCs w:val="24"/>
        </w:rPr>
        <w:t xml:space="preserve">overall system performance trends that fall in the range between the benchmark and the standard will not be subject to compliance enforcement, the Commission will keep EDCs whose performance is within the standard, but trending away from the benchmark, under review as a precautionary measure.  </w:t>
      </w:r>
      <w:r w:rsidRPr="00C4057E">
        <w:rPr>
          <w:rFonts w:ascii="Arial" w:hAnsi="Arial" w:cs="Arial"/>
          <w:sz w:val="24"/>
          <w:szCs w:val="24"/>
        </w:rPr>
        <w:t xml:space="preserve">Reliability performance benchmarks were based upon the five-year average of reported performance for each EDC for the period 1994 through1998.  Only major events were excluded from this reported performance.  In general, major events are service interruptions affecting at least 10% of the customers in an EDC’s service territory during an event that lasts five minutes or greater in duration.  Benchmark performance represents the historical reliability performance of each EDC prior to the Act and the restructuring of the electric </w:t>
      </w:r>
      <w:r w:rsidRPr="00C4057E">
        <w:rPr>
          <w:rFonts w:ascii="Arial" w:eastAsia="Times New Roman" w:hAnsi="Arial" w:cs="Arial"/>
          <w:sz w:val="24"/>
          <w:szCs w:val="24"/>
        </w:rPr>
        <w:t>utility industry in Pennsylvania.</w:t>
      </w:r>
    </w:p>
    <w:p w14:paraId="1596F17B" w14:textId="77777777" w:rsidR="00C4057E" w:rsidRPr="00C4057E" w:rsidRDefault="00C4057E" w:rsidP="00C4057E">
      <w:pPr>
        <w:spacing w:after="0" w:line="240" w:lineRule="auto"/>
        <w:ind w:firstLine="720"/>
        <w:rPr>
          <w:rFonts w:ascii="Arial" w:eastAsia="Times New Roman" w:hAnsi="Arial" w:cs="Arial"/>
          <w:sz w:val="24"/>
          <w:szCs w:val="24"/>
        </w:rPr>
      </w:pPr>
    </w:p>
    <w:p w14:paraId="5ABAB873" w14:textId="77777777" w:rsidR="00C4057E" w:rsidRPr="00C4057E" w:rsidRDefault="00C4057E" w:rsidP="00C4057E">
      <w:pPr>
        <w:spacing w:after="0" w:line="240" w:lineRule="auto"/>
        <w:ind w:firstLine="720"/>
        <w:rPr>
          <w:rFonts w:ascii="Arial" w:hAnsi="Arial" w:cs="Arial"/>
          <w:sz w:val="24"/>
          <w:szCs w:val="24"/>
        </w:rPr>
      </w:pPr>
      <w:r w:rsidRPr="00C4057E">
        <w:rPr>
          <w:rFonts w:ascii="Arial" w:eastAsia="Times New Roman" w:hAnsi="Arial" w:cs="Arial"/>
          <w:sz w:val="24"/>
          <w:szCs w:val="24"/>
        </w:rPr>
        <w:t>The definitions of the three reliability indices monitored by the Commission are as follows (definitions from the Institute</w:t>
      </w:r>
      <w:r w:rsidRPr="00C4057E">
        <w:rPr>
          <w:rFonts w:ascii="Arial" w:hAnsi="Arial" w:cs="Arial"/>
          <w:sz w:val="24"/>
          <w:szCs w:val="24"/>
        </w:rPr>
        <w:t xml:space="preserve"> of Electrical and Electronics Engineers or IEEE):</w:t>
      </w:r>
    </w:p>
    <w:p w14:paraId="4842F988" w14:textId="77777777" w:rsidR="00C4057E" w:rsidRPr="00C4057E" w:rsidRDefault="00C4057E" w:rsidP="00C4057E">
      <w:pPr>
        <w:spacing w:after="0" w:line="240" w:lineRule="auto"/>
        <w:ind w:firstLine="720"/>
        <w:rPr>
          <w:rFonts w:ascii="Arial" w:hAnsi="Arial" w:cs="Arial"/>
        </w:rPr>
      </w:pPr>
    </w:p>
    <w:p w14:paraId="4C6BA382" w14:textId="77777777" w:rsidR="00C4057E" w:rsidRPr="00C4057E" w:rsidRDefault="00C4057E" w:rsidP="003B0FF9">
      <w:pPr>
        <w:numPr>
          <w:ilvl w:val="0"/>
          <w:numId w:val="13"/>
        </w:numPr>
        <w:spacing w:after="0" w:line="240" w:lineRule="auto"/>
        <w:ind w:left="360"/>
        <w:rPr>
          <w:rFonts w:ascii="Arial" w:hAnsi="Arial" w:cs="Arial"/>
          <w:sz w:val="24"/>
          <w:szCs w:val="24"/>
        </w:rPr>
      </w:pPr>
      <w:r w:rsidRPr="00C4057E">
        <w:rPr>
          <w:rFonts w:ascii="Arial" w:hAnsi="Arial" w:cs="Arial"/>
          <w:sz w:val="24"/>
          <w:szCs w:val="24"/>
          <w:u w:val="single"/>
        </w:rPr>
        <w:t>System Average Interruption Frequency Index (SAIFI)</w:t>
      </w:r>
    </w:p>
    <w:p w14:paraId="586C888B" w14:textId="77777777" w:rsidR="00C4057E" w:rsidRPr="003B0FF9" w:rsidRDefault="00C4057E" w:rsidP="003B0FF9">
      <w:pPr>
        <w:spacing w:after="0" w:line="240" w:lineRule="auto"/>
        <w:ind w:left="360" w:hanging="360"/>
        <w:rPr>
          <w:rFonts w:ascii="Arial" w:hAnsi="Arial" w:cs="Arial"/>
          <w:sz w:val="16"/>
          <w:szCs w:val="16"/>
        </w:rPr>
      </w:pPr>
    </w:p>
    <w:p w14:paraId="56BF1FED" w14:textId="77777777" w:rsidR="00C4057E" w:rsidRPr="00C4057E" w:rsidRDefault="00C4057E" w:rsidP="003B0FF9">
      <w:pPr>
        <w:spacing w:after="0" w:line="240" w:lineRule="auto"/>
        <w:ind w:left="360"/>
        <w:rPr>
          <w:rFonts w:ascii="Arial" w:hAnsi="Arial" w:cs="Arial"/>
          <w:i/>
          <w:sz w:val="24"/>
          <w:szCs w:val="24"/>
        </w:rPr>
      </w:pPr>
      <w:r w:rsidRPr="00C4057E">
        <w:rPr>
          <w:rFonts w:ascii="Arial" w:hAnsi="Arial" w:cs="Arial"/>
          <w:i/>
          <w:sz w:val="24"/>
          <w:szCs w:val="24"/>
        </w:rPr>
        <w:t xml:space="preserve">Definition (IEEE P1366): The system average interruption frequency index calculates how often the average customer experiences a sustained interruption over a predefined period of time.  </w:t>
      </w:r>
    </w:p>
    <w:p w14:paraId="7D38A25B" w14:textId="77777777" w:rsidR="00C4057E" w:rsidRPr="003B0FF9" w:rsidRDefault="00C4057E" w:rsidP="003B0FF9">
      <w:pPr>
        <w:spacing w:after="0" w:line="240" w:lineRule="auto"/>
        <w:ind w:left="360" w:hanging="360"/>
        <w:rPr>
          <w:rFonts w:ascii="Arial" w:hAnsi="Arial" w:cs="Arial"/>
          <w:i/>
          <w:sz w:val="16"/>
          <w:szCs w:val="16"/>
        </w:rPr>
      </w:pPr>
    </w:p>
    <w:p w14:paraId="00B98668" w14:textId="77777777" w:rsidR="00C4057E" w:rsidRDefault="00C4057E" w:rsidP="003B0FF9">
      <w:pPr>
        <w:spacing w:after="0" w:line="240" w:lineRule="auto"/>
        <w:ind w:left="360"/>
        <w:rPr>
          <w:rFonts w:ascii="Arial" w:hAnsi="Arial" w:cs="Arial"/>
          <w:i/>
          <w:sz w:val="24"/>
          <w:szCs w:val="24"/>
        </w:rPr>
      </w:pPr>
      <w:r w:rsidRPr="00C4057E">
        <w:rPr>
          <w:rFonts w:ascii="Arial" w:hAnsi="Arial" w:cs="Arial"/>
          <w:i/>
          <w:sz w:val="24"/>
          <w:szCs w:val="24"/>
        </w:rPr>
        <w:t>Mathematically:</w:t>
      </w:r>
    </w:p>
    <w:p w14:paraId="6865F54F" w14:textId="77777777" w:rsidR="008E5F61" w:rsidRPr="003B0FF9" w:rsidRDefault="008E5F61" w:rsidP="003B0FF9">
      <w:pPr>
        <w:spacing w:after="0" w:line="240" w:lineRule="auto"/>
        <w:ind w:left="360" w:hanging="360"/>
        <w:rPr>
          <w:rFonts w:ascii="Arial" w:hAnsi="Arial" w:cs="Arial"/>
          <w:i/>
          <w:sz w:val="16"/>
          <w:szCs w:val="16"/>
        </w:rPr>
      </w:pPr>
    </w:p>
    <w:p w14:paraId="2A80B404" w14:textId="77777777" w:rsidR="008E5F61" w:rsidRPr="008E5F61" w:rsidRDefault="008E5F61" w:rsidP="003B0FF9">
      <w:pPr>
        <w:spacing w:after="0" w:line="240" w:lineRule="auto"/>
        <w:ind w:left="360" w:hanging="360"/>
        <w:rPr>
          <w:rFonts w:ascii="Arial" w:hAnsi="Arial" w:cs="Arial"/>
          <w:i/>
          <w:sz w:val="24"/>
          <w:szCs w:val="24"/>
        </w:rPr>
      </w:pPr>
      <m:oMathPara>
        <m:oMathParaPr>
          <m:jc m:val="left"/>
        </m:oMathParaPr>
        <m:oMath>
          <m:r>
            <w:rPr>
              <w:rFonts w:ascii="Cambria Math" w:hAnsi="Cambria Math" w:cs="Arial"/>
              <w:sz w:val="24"/>
              <w:szCs w:val="24"/>
            </w:rPr>
            <m:t>SAIFI=</m:t>
          </m:r>
          <m:f>
            <m:fPr>
              <m:ctrlPr>
                <w:rPr>
                  <w:rFonts w:ascii="Cambria Math" w:hAnsi="Cambria Math" w:cs="Arial"/>
                  <w:i/>
                  <w:sz w:val="24"/>
                  <w:szCs w:val="24"/>
                </w:rPr>
              </m:ctrlPr>
            </m:fPr>
            <m:num>
              <m:r>
                <w:rPr>
                  <w:rFonts w:ascii="Cambria Math" w:hAnsi="Cambria Math" w:cs="Arial"/>
                  <w:sz w:val="24"/>
                  <w:szCs w:val="24"/>
                </w:rPr>
                <m:t>Total number of customer interruptions</m:t>
              </m:r>
            </m:num>
            <m:den>
              <m:r>
                <w:rPr>
                  <w:rFonts w:ascii="Cambria Math" w:hAnsi="Cambria Math" w:cs="Arial"/>
                  <w:sz w:val="24"/>
                  <w:szCs w:val="24"/>
                </w:rPr>
                <m:t>Total number of customers served</m:t>
              </m:r>
            </m:den>
          </m:f>
        </m:oMath>
      </m:oMathPara>
    </w:p>
    <w:p w14:paraId="2686B401" w14:textId="77777777" w:rsidR="00C4057E" w:rsidRPr="00C4057E" w:rsidRDefault="00C4057E" w:rsidP="003B0FF9">
      <w:pPr>
        <w:spacing w:after="0" w:line="240" w:lineRule="auto"/>
        <w:ind w:left="360" w:hanging="360"/>
        <w:rPr>
          <w:rFonts w:ascii="Arial" w:hAnsi="Arial" w:cs="Arial"/>
          <w:sz w:val="24"/>
          <w:szCs w:val="24"/>
        </w:rPr>
      </w:pPr>
    </w:p>
    <w:p w14:paraId="18B446D5" w14:textId="77777777" w:rsidR="00C4057E" w:rsidRPr="00C4057E" w:rsidRDefault="00C4057E" w:rsidP="003B0FF9">
      <w:pPr>
        <w:numPr>
          <w:ilvl w:val="0"/>
          <w:numId w:val="14"/>
        </w:numPr>
        <w:tabs>
          <w:tab w:val="clear" w:pos="1080"/>
        </w:tabs>
        <w:spacing w:after="0" w:line="240" w:lineRule="auto"/>
        <w:ind w:left="360"/>
        <w:rPr>
          <w:rFonts w:ascii="Arial" w:hAnsi="Arial" w:cs="Arial"/>
          <w:sz w:val="24"/>
          <w:szCs w:val="24"/>
          <w:u w:val="single"/>
        </w:rPr>
      </w:pPr>
      <w:r w:rsidRPr="00C4057E">
        <w:rPr>
          <w:rFonts w:ascii="Arial" w:hAnsi="Arial" w:cs="Arial"/>
          <w:sz w:val="24"/>
          <w:szCs w:val="24"/>
          <w:u w:val="single"/>
        </w:rPr>
        <w:t>Customer Average Interruption Duration Index (CAIDI)</w:t>
      </w:r>
    </w:p>
    <w:p w14:paraId="570E2342" w14:textId="77777777" w:rsidR="00C4057E" w:rsidRPr="003B0FF9" w:rsidRDefault="00C4057E" w:rsidP="003B0FF9">
      <w:pPr>
        <w:spacing w:after="0" w:line="240" w:lineRule="auto"/>
        <w:ind w:left="360" w:hanging="360"/>
        <w:rPr>
          <w:rFonts w:ascii="Arial" w:hAnsi="Arial" w:cs="Arial"/>
          <w:sz w:val="16"/>
          <w:szCs w:val="16"/>
        </w:rPr>
      </w:pPr>
    </w:p>
    <w:p w14:paraId="546B7890" w14:textId="77777777" w:rsidR="00C4057E" w:rsidRPr="00C4057E" w:rsidRDefault="00C4057E" w:rsidP="003B0FF9">
      <w:pPr>
        <w:spacing w:after="0" w:line="240" w:lineRule="auto"/>
        <w:ind w:left="360"/>
        <w:rPr>
          <w:rFonts w:ascii="Arial" w:hAnsi="Arial" w:cs="Arial"/>
          <w:i/>
          <w:sz w:val="24"/>
          <w:szCs w:val="24"/>
        </w:rPr>
      </w:pPr>
      <w:r w:rsidRPr="00C4057E">
        <w:rPr>
          <w:rFonts w:ascii="Arial" w:hAnsi="Arial" w:cs="Arial"/>
          <w:i/>
          <w:sz w:val="24"/>
          <w:szCs w:val="24"/>
        </w:rPr>
        <w:t xml:space="preserve">Definition (IEEE P1366): CAIDI represents the average time required to restore service.  </w:t>
      </w:r>
    </w:p>
    <w:p w14:paraId="39FD0122" w14:textId="77777777" w:rsidR="00C4057E" w:rsidRPr="003B0FF9" w:rsidRDefault="00C4057E" w:rsidP="003B0FF9">
      <w:pPr>
        <w:spacing w:after="0" w:line="240" w:lineRule="auto"/>
        <w:ind w:left="360" w:hanging="360"/>
        <w:rPr>
          <w:rFonts w:ascii="Arial" w:hAnsi="Arial" w:cs="Arial"/>
          <w:i/>
          <w:sz w:val="16"/>
          <w:szCs w:val="16"/>
        </w:rPr>
      </w:pPr>
    </w:p>
    <w:p w14:paraId="3A214081" w14:textId="77777777" w:rsidR="00C4057E" w:rsidRPr="00C4057E" w:rsidRDefault="00C4057E" w:rsidP="003B0FF9">
      <w:pPr>
        <w:spacing w:after="0" w:line="240" w:lineRule="auto"/>
        <w:ind w:left="360"/>
        <w:rPr>
          <w:rFonts w:ascii="Arial" w:hAnsi="Arial" w:cs="Arial"/>
          <w:i/>
          <w:sz w:val="24"/>
          <w:szCs w:val="24"/>
        </w:rPr>
      </w:pPr>
      <w:r w:rsidRPr="00C4057E">
        <w:rPr>
          <w:rFonts w:ascii="Arial" w:hAnsi="Arial" w:cs="Arial"/>
          <w:i/>
          <w:sz w:val="24"/>
          <w:szCs w:val="24"/>
        </w:rPr>
        <w:t>Mathematically:</w:t>
      </w:r>
    </w:p>
    <w:p w14:paraId="28B475D2" w14:textId="77777777" w:rsidR="008E5F61" w:rsidRPr="003B0FF9" w:rsidRDefault="008E5F61" w:rsidP="003B0FF9">
      <w:pPr>
        <w:spacing w:after="0" w:line="240" w:lineRule="auto"/>
        <w:ind w:left="360" w:hanging="360"/>
        <w:rPr>
          <w:rFonts w:ascii="Arial" w:eastAsiaTheme="minorEastAsia" w:hAnsi="Arial" w:cs="Arial"/>
          <w:b/>
          <w:sz w:val="16"/>
          <w:szCs w:val="16"/>
        </w:rPr>
      </w:pPr>
    </w:p>
    <w:p w14:paraId="2E18D4C7" w14:textId="77777777" w:rsidR="008E5F61" w:rsidRPr="008E5F61" w:rsidRDefault="008E5F61" w:rsidP="003B0FF9">
      <w:pPr>
        <w:spacing w:after="0" w:line="240" w:lineRule="auto"/>
        <w:ind w:left="360" w:hanging="360"/>
        <w:rPr>
          <w:rFonts w:ascii="Arial" w:hAnsi="Arial" w:cs="Arial"/>
          <w:sz w:val="24"/>
          <w:szCs w:val="24"/>
          <w:u w:val="single"/>
        </w:rPr>
      </w:pPr>
      <m:oMathPara>
        <m:oMathParaPr>
          <m:jc m:val="left"/>
        </m:oMathParaPr>
        <m:oMath>
          <m:r>
            <w:rPr>
              <w:rFonts w:ascii="Cambria Math" w:hAnsi="Cambria Math" w:cs="Arial"/>
              <w:sz w:val="24"/>
              <w:szCs w:val="24"/>
            </w:rPr>
            <m:t>CAIDI=</m:t>
          </m:r>
          <m:f>
            <m:fPr>
              <m:ctrlPr>
                <w:rPr>
                  <w:rFonts w:ascii="Cambria Math" w:hAnsi="Cambria Math" w:cs="Arial"/>
                  <w:i/>
                  <w:sz w:val="24"/>
                  <w:szCs w:val="24"/>
                </w:rPr>
              </m:ctrlPr>
            </m:fPr>
            <m:num>
              <m:nary>
                <m:naryPr>
                  <m:chr m:val="∑"/>
                  <m:subHide m:val="1"/>
                  <m:supHide m:val="1"/>
                  <m:ctrlPr>
                    <w:rPr>
                      <w:rFonts w:ascii="Cambria Math" w:hAnsi="Cambria Math" w:cs="Arial"/>
                      <w:i/>
                      <w:sz w:val="24"/>
                      <w:szCs w:val="24"/>
                    </w:rPr>
                  </m:ctrlPr>
                </m:naryPr>
                <m:sub/>
                <m:sup/>
                <m:e>
                  <m:r>
                    <w:rPr>
                      <w:rFonts w:ascii="Cambria Math" w:hAnsi="Cambria Math" w:cs="Arial"/>
                      <w:sz w:val="24"/>
                      <w:szCs w:val="24"/>
                    </w:rPr>
                    <m:t>Customer minutes of interruption</m:t>
                  </m:r>
                </m:e>
              </m:nary>
            </m:num>
            <m:den>
              <m:r>
                <w:rPr>
                  <w:rFonts w:ascii="Cambria Math" w:hAnsi="Cambria Math" w:cs="Arial"/>
                  <w:sz w:val="24"/>
                  <w:szCs w:val="24"/>
                </w:rPr>
                <m:t>Total number of customer interruptions</m:t>
              </m:r>
            </m:den>
          </m:f>
        </m:oMath>
      </m:oMathPara>
    </w:p>
    <w:p w14:paraId="09A7A7D2" w14:textId="77777777" w:rsidR="008E5F61" w:rsidRPr="00C4057E" w:rsidRDefault="008E5F61" w:rsidP="003B0FF9">
      <w:pPr>
        <w:spacing w:after="0" w:line="240" w:lineRule="auto"/>
        <w:ind w:left="360" w:hanging="360"/>
        <w:rPr>
          <w:rFonts w:ascii="Arial" w:hAnsi="Arial" w:cs="Arial"/>
          <w:sz w:val="24"/>
          <w:szCs w:val="24"/>
          <w:u w:val="single"/>
        </w:rPr>
      </w:pPr>
    </w:p>
    <w:p w14:paraId="7FDDC860" w14:textId="77777777" w:rsidR="00C4057E" w:rsidRPr="00C4057E" w:rsidRDefault="00C4057E" w:rsidP="003B0FF9">
      <w:pPr>
        <w:numPr>
          <w:ilvl w:val="0"/>
          <w:numId w:val="14"/>
        </w:numPr>
        <w:tabs>
          <w:tab w:val="clear" w:pos="1080"/>
        </w:tabs>
        <w:spacing w:after="0" w:line="240" w:lineRule="auto"/>
        <w:ind w:left="360"/>
        <w:rPr>
          <w:rFonts w:ascii="Arial" w:hAnsi="Arial" w:cs="Arial"/>
          <w:sz w:val="24"/>
          <w:szCs w:val="24"/>
          <w:u w:val="single"/>
        </w:rPr>
      </w:pPr>
      <w:r w:rsidRPr="00C4057E">
        <w:rPr>
          <w:rFonts w:ascii="Arial" w:hAnsi="Arial" w:cs="Arial"/>
          <w:sz w:val="24"/>
          <w:szCs w:val="24"/>
          <w:u w:val="single"/>
        </w:rPr>
        <w:t>System Average Interruption Duration Index (SAIDI)</w:t>
      </w:r>
    </w:p>
    <w:p w14:paraId="7A5D07B4" w14:textId="77777777" w:rsidR="00C4057E" w:rsidRPr="003B0FF9" w:rsidRDefault="00C4057E" w:rsidP="003B0FF9">
      <w:pPr>
        <w:spacing w:after="0" w:line="240" w:lineRule="auto"/>
        <w:ind w:left="360" w:hanging="360"/>
        <w:rPr>
          <w:rFonts w:ascii="Arial" w:hAnsi="Arial" w:cs="Arial"/>
          <w:sz w:val="16"/>
          <w:szCs w:val="16"/>
          <w:u w:val="single"/>
        </w:rPr>
      </w:pPr>
    </w:p>
    <w:p w14:paraId="5DFD75E8" w14:textId="77777777" w:rsidR="00C4057E" w:rsidRPr="00C4057E" w:rsidRDefault="00C4057E" w:rsidP="003B0FF9">
      <w:pPr>
        <w:spacing w:after="0" w:line="240" w:lineRule="auto"/>
        <w:ind w:left="360" w:hanging="360"/>
        <w:rPr>
          <w:rFonts w:ascii="Arial" w:hAnsi="Arial" w:cs="Arial"/>
          <w:i/>
          <w:sz w:val="24"/>
          <w:szCs w:val="24"/>
        </w:rPr>
      </w:pPr>
      <w:r w:rsidRPr="00C4057E">
        <w:rPr>
          <w:rFonts w:ascii="Arial" w:hAnsi="Arial" w:cs="Arial"/>
          <w:sz w:val="24"/>
          <w:szCs w:val="24"/>
        </w:rPr>
        <w:tab/>
      </w:r>
      <w:r w:rsidRPr="00C4057E">
        <w:rPr>
          <w:rFonts w:ascii="Arial" w:hAnsi="Arial" w:cs="Arial"/>
          <w:i/>
          <w:sz w:val="24"/>
          <w:szCs w:val="24"/>
        </w:rPr>
        <w:t>Definition (IEEE P1366): This index calculates the total duration of</w:t>
      </w:r>
    </w:p>
    <w:p w14:paraId="5FA12650" w14:textId="77777777" w:rsidR="00C4057E" w:rsidRPr="00C4057E" w:rsidRDefault="00C4057E" w:rsidP="003B0FF9">
      <w:pPr>
        <w:spacing w:after="0" w:line="240" w:lineRule="auto"/>
        <w:ind w:left="360" w:hanging="360"/>
        <w:rPr>
          <w:rFonts w:ascii="Arial" w:hAnsi="Arial" w:cs="Arial"/>
          <w:i/>
          <w:sz w:val="24"/>
          <w:szCs w:val="24"/>
        </w:rPr>
      </w:pPr>
      <w:r w:rsidRPr="00C4057E">
        <w:rPr>
          <w:rFonts w:ascii="Arial" w:hAnsi="Arial" w:cs="Arial"/>
          <w:i/>
          <w:sz w:val="24"/>
          <w:szCs w:val="24"/>
        </w:rPr>
        <w:tab/>
        <w:t>interruptions for the average customer during a predefined period of</w:t>
      </w:r>
    </w:p>
    <w:p w14:paraId="4447AD85" w14:textId="77777777" w:rsidR="00C4057E" w:rsidRPr="003B0FF9" w:rsidRDefault="00C4057E" w:rsidP="003B0FF9">
      <w:pPr>
        <w:spacing w:after="0" w:line="240" w:lineRule="auto"/>
        <w:ind w:left="360" w:hanging="360"/>
        <w:rPr>
          <w:rFonts w:ascii="Arial" w:hAnsi="Arial" w:cs="Arial"/>
          <w:i/>
          <w:sz w:val="16"/>
          <w:szCs w:val="16"/>
        </w:rPr>
      </w:pPr>
      <w:r w:rsidRPr="00C4057E">
        <w:rPr>
          <w:rFonts w:ascii="Arial" w:hAnsi="Arial" w:cs="Arial"/>
          <w:i/>
          <w:sz w:val="24"/>
          <w:szCs w:val="24"/>
        </w:rPr>
        <w:tab/>
        <w:t xml:space="preserve">time.  </w:t>
      </w:r>
      <w:r w:rsidRPr="00C4057E">
        <w:rPr>
          <w:rFonts w:ascii="Arial" w:hAnsi="Arial" w:cs="Arial"/>
          <w:i/>
          <w:sz w:val="24"/>
          <w:szCs w:val="24"/>
        </w:rPr>
        <w:br/>
      </w:r>
    </w:p>
    <w:p w14:paraId="0CD894B9" w14:textId="77777777" w:rsidR="005A785F" w:rsidRPr="00842501" w:rsidRDefault="00C4057E" w:rsidP="003B0FF9">
      <w:pPr>
        <w:spacing w:after="0" w:line="240" w:lineRule="auto"/>
        <w:ind w:left="360" w:hanging="360"/>
        <w:rPr>
          <w:rFonts w:ascii="Arial" w:eastAsiaTheme="minorEastAsia" w:hAnsi="Arial" w:cs="Arial"/>
          <w:i/>
          <w:sz w:val="24"/>
          <w:szCs w:val="24"/>
        </w:rPr>
      </w:pPr>
      <w:r w:rsidRPr="00C4057E">
        <w:rPr>
          <w:rFonts w:ascii="Arial" w:hAnsi="Arial" w:cs="Arial"/>
          <w:i/>
          <w:sz w:val="24"/>
          <w:szCs w:val="24"/>
        </w:rPr>
        <w:tab/>
        <w:t>Mathematically:</w:t>
      </w:r>
    </w:p>
    <w:p w14:paraId="6BCE22AB" w14:textId="77777777" w:rsidR="005A785F" w:rsidRPr="00842501" w:rsidRDefault="005A785F" w:rsidP="003B0FF9">
      <w:pPr>
        <w:spacing w:after="0" w:line="240" w:lineRule="auto"/>
        <w:ind w:left="360" w:hanging="360"/>
        <w:rPr>
          <w:rFonts w:ascii="Cambria Math" w:hAnsi="Cambria Math" w:cs="Arial"/>
          <w:i/>
          <w:sz w:val="24"/>
          <w:szCs w:val="24"/>
        </w:rPr>
      </w:pPr>
      <m:oMathPara>
        <m:oMathParaPr>
          <m:jc m:val="left"/>
        </m:oMathParaPr>
        <m:oMath>
          <m:r>
            <w:rPr>
              <w:rFonts w:ascii="Cambria Math" w:hAnsi="Cambria Math" w:cs="Arial"/>
              <w:sz w:val="24"/>
              <w:szCs w:val="24"/>
            </w:rPr>
            <m:t>SAIDI=</m:t>
          </m:r>
          <m:f>
            <m:fPr>
              <m:ctrlPr>
                <w:rPr>
                  <w:rFonts w:ascii="Cambria Math" w:hAnsi="Cambria Math" w:cs="Arial"/>
                  <w:i/>
                  <w:sz w:val="24"/>
                  <w:szCs w:val="24"/>
                </w:rPr>
              </m:ctrlPr>
            </m:fPr>
            <m:num>
              <m:nary>
                <m:naryPr>
                  <m:chr m:val="∑"/>
                  <m:subHide m:val="1"/>
                  <m:supHide m:val="1"/>
                  <m:ctrlPr>
                    <w:rPr>
                      <w:rFonts w:ascii="Cambria Math" w:hAnsi="Cambria Math" w:cs="Arial"/>
                      <w:i/>
                      <w:sz w:val="24"/>
                      <w:szCs w:val="24"/>
                    </w:rPr>
                  </m:ctrlPr>
                </m:naryPr>
                <m:sub/>
                <m:sup/>
                <m:e>
                  <m:r>
                    <w:rPr>
                      <w:rFonts w:ascii="Cambria Math" w:hAnsi="Cambria Math" w:cs="Arial"/>
                      <w:sz w:val="24"/>
                      <w:szCs w:val="24"/>
                    </w:rPr>
                    <m:t>Customer minutes of interruption</m:t>
                  </m:r>
                </m:e>
              </m:nary>
            </m:num>
            <m:den>
              <m:r>
                <w:rPr>
                  <w:rFonts w:ascii="Cambria Math" w:hAnsi="Cambria Math" w:cs="Arial"/>
                  <w:sz w:val="24"/>
                  <w:szCs w:val="24"/>
                </w:rPr>
                <m:t>Total number of customers served</m:t>
              </m:r>
            </m:den>
          </m:f>
        </m:oMath>
      </m:oMathPara>
    </w:p>
    <w:p w14:paraId="5E14F36E" w14:textId="77777777" w:rsidR="00C4057E" w:rsidRPr="003B0FF9" w:rsidRDefault="00C4057E" w:rsidP="003B0FF9">
      <w:pPr>
        <w:spacing w:after="0" w:line="240" w:lineRule="auto"/>
        <w:ind w:left="360" w:hanging="360"/>
        <w:rPr>
          <w:rFonts w:ascii="Arial" w:hAnsi="Arial" w:cs="Arial"/>
          <w:sz w:val="16"/>
          <w:szCs w:val="16"/>
        </w:rPr>
      </w:pPr>
    </w:p>
    <w:p w14:paraId="64CB9FCC" w14:textId="77777777" w:rsidR="00C4057E" w:rsidRDefault="00C4057E" w:rsidP="003B0FF9">
      <w:pPr>
        <w:spacing w:after="0" w:line="240" w:lineRule="auto"/>
        <w:ind w:left="360"/>
        <w:rPr>
          <w:rFonts w:ascii="Arial" w:hAnsi="Arial" w:cs="Arial"/>
          <w:sz w:val="24"/>
          <w:szCs w:val="24"/>
        </w:rPr>
      </w:pPr>
      <w:r w:rsidRPr="00C4057E">
        <w:rPr>
          <w:rFonts w:ascii="Arial" w:hAnsi="Arial" w:cs="Arial"/>
          <w:sz w:val="24"/>
          <w:szCs w:val="24"/>
        </w:rPr>
        <w:t xml:space="preserve">SAIDI is the mathematical product of SAIFI and CAIDI.  </w:t>
      </w:r>
    </w:p>
    <w:p w14:paraId="72BE30F8" w14:textId="77777777" w:rsidR="003B0FF9" w:rsidRPr="003B0FF9" w:rsidRDefault="003B0FF9" w:rsidP="003B0FF9">
      <w:pPr>
        <w:spacing w:after="0" w:line="240" w:lineRule="auto"/>
        <w:ind w:left="360"/>
        <w:rPr>
          <w:rFonts w:ascii="Arial" w:hAnsi="Arial" w:cs="Arial"/>
          <w:sz w:val="16"/>
          <w:szCs w:val="16"/>
        </w:rPr>
      </w:pPr>
    </w:p>
    <w:p w14:paraId="05698E76" w14:textId="77777777" w:rsidR="003B0FF9" w:rsidRPr="003B0FF9" w:rsidRDefault="005A785F" w:rsidP="003B0FF9">
      <w:pPr>
        <w:spacing w:after="0" w:line="240" w:lineRule="auto"/>
        <w:ind w:left="360" w:hanging="360"/>
        <w:rPr>
          <w:rFonts w:ascii="Arial" w:eastAsiaTheme="minorEastAsia" w:hAnsi="Arial" w:cs="Arial"/>
          <w:sz w:val="24"/>
          <w:szCs w:val="24"/>
        </w:rPr>
      </w:pPr>
      <m:oMathPara>
        <m:oMathParaPr>
          <m:jc m:val="left"/>
        </m:oMathParaPr>
        <m:oMath>
          <m:r>
            <w:rPr>
              <w:rFonts w:ascii="Cambria Math" w:hAnsi="Cambria Math" w:cs="Arial"/>
              <w:sz w:val="24"/>
              <w:szCs w:val="24"/>
            </w:rPr>
            <m:t>SAIDI=SAIFI X CAIDI</m:t>
          </m:r>
        </m:oMath>
      </m:oMathPara>
    </w:p>
    <w:p w14:paraId="3D8AFBCA" w14:textId="77777777" w:rsidR="003B0FF9" w:rsidRPr="003B0FF9" w:rsidRDefault="003B0FF9" w:rsidP="003B0FF9">
      <w:pPr>
        <w:spacing w:after="0" w:line="240" w:lineRule="auto"/>
        <w:ind w:left="360" w:hanging="360"/>
        <w:rPr>
          <w:rFonts w:ascii="Arial" w:hAnsi="Arial" w:cs="Arial"/>
          <w:sz w:val="16"/>
          <w:szCs w:val="16"/>
        </w:rPr>
      </w:pPr>
    </w:p>
    <w:p w14:paraId="17EA53B2" w14:textId="77777777" w:rsidR="00C4057E" w:rsidRPr="00AD2A86" w:rsidRDefault="003B0FF9" w:rsidP="003B0FF9">
      <w:pPr>
        <w:spacing w:after="0" w:line="240" w:lineRule="auto"/>
        <w:ind w:left="360"/>
        <w:rPr>
          <w:rFonts w:ascii="Arial" w:hAnsi="Arial" w:cs="Arial"/>
          <w:sz w:val="16"/>
          <w:szCs w:val="16"/>
        </w:rPr>
      </w:pPr>
      <w:r>
        <w:rPr>
          <w:rFonts w:ascii="Arial" w:hAnsi="Arial" w:cs="Arial"/>
          <w:b/>
          <w:sz w:val="16"/>
          <w:szCs w:val="16"/>
        </w:rPr>
        <w:t>or</w:t>
      </w:r>
    </w:p>
    <w:p w14:paraId="139988F1" w14:textId="77777777" w:rsidR="005A785F" w:rsidRPr="00842501" w:rsidRDefault="005A785F" w:rsidP="003B0FF9">
      <w:pPr>
        <w:spacing w:after="0" w:line="240" w:lineRule="auto"/>
        <w:ind w:left="360" w:right="-360"/>
        <w:rPr>
          <w:rFonts w:ascii="Arial" w:hAnsi="Arial" w:cs="Arial"/>
        </w:rPr>
      </w:pPr>
      <m:oMathPara>
        <m:oMath>
          <m:r>
            <w:rPr>
              <w:rFonts w:ascii="Cambria Math" w:hAnsi="Cambria Math" w:cs="Arial"/>
            </w:rPr>
            <m:t>SAIDI =</m:t>
          </m:r>
          <m:f>
            <m:fPr>
              <m:ctrlPr>
                <w:rPr>
                  <w:rFonts w:ascii="Cambria Math" w:hAnsi="Cambria Math" w:cs="Arial"/>
                  <w:i/>
                </w:rPr>
              </m:ctrlPr>
            </m:fPr>
            <m:num>
              <m:r>
                <w:rPr>
                  <w:rFonts w:ascii="Cambria Math" w:hAnsi="Cambria Math" w:cs="Arial"/>
                </w:rPr>
                <m:t>Total number of customer interruptions</m:t>
              </m:r>
            </m:num>
            <m:den>
              <m:r>
                <w:rPr>
                  <w:rFonts w:ascii="Cambria Math" w:hAnsi="Cambria Math" w:cs="Arial"/>
                </w:rPr>
                <m:t>Total number of customers served</m:t>
              </m:r>
            </m:den>
          </m:f>
          <m:r>
            <w:rPr>
              <w:rFonts w:ascii="Cambria Math" w:hAnsi="Cambria Math" w:cs="Arial"/>
            </w:rPr>
            <m:t xml:space="preserve"> X </m:t>
          </m:r>
          <m:f>
            <m:fPr>
              <m:ctrlPr>
                <w:rPr>
                  <w:rFonts w:ascii="Cambria Math" w:hAnsi="Cambria Math" w:cs="Arial"/>
                  <w:i/>
                </w:rPr>
              </m:ctrlPr>
            </m:fPr>
            <m:num>
              <m:nary>
                <m:naryPr>
                  <m:chr m:val="∑"/>
                  <m:subHide m:val="1"/>
                  <m:supHide m:val="1"/>
                  <m:ctrlPr>
                    <w:rPr>
                      <w:rFonts w:ascii="Cambria Math" w:hAnsi="Cambria Math" w:cs="Arial"/>
                      <w:i/>
                    </w:rPr>
                  </m:ctrlPr>
                </m:naryPr>
                <m:sub/>
                <m:sup/>
                <m:e>
                  <m:r>
                    <w:rPr>
                      <w:rFonts w:ascii="Cambria Math" w:hAnsi="Cambria Math" w:cs="Arial"/>
                    </w:rPr>
                    <m:t>Customer minutes of interruption</m:t>
                  </m:r>
                </m:e>
              </m:nary>
            </m:num>
            <m:den>
              <m:r>
                <w:rPr>
                  <w:rFonts w:ascii="Cambria Math" w:hAnsi="Cambria Math" w:cs="Arial"/>
                </w:rPr>
                <m:t>Total number of customer interruptions</m:t>
              </m:r>
            </m:den>
          </m:f>
        </m:oMath>
      </m:oMathPara>
    </w:p>
    <w:p w14:paraId="04273EA6" w14:textId="77777777" w:rsidR="005A785F" w:rsidRDefault="005A785F" w:rsidP="00C4057E">
      <w:pPr>
        <w:spacing w:after="0" w:line="240" w:lineRule="auto"/>
        <w:ind w:left="360"/>
        <w:rPr>
          <w:rFonts w:ascii="Arial" w:hAnsi="Arial" w:cs="Arial"/>
          <w:sz w:val="24"/>
          <w:szCs w:val="24"/>
        </w:rPr>
      </w:pPr>
    </w:p>
    <w:p w14:paraId="709B2983" w14:textId="77777777" w:rsidR="005A785F" w:rsidRDefault="00C4057E" w:rsidP="00C4057E">
      <w:pPr>
        <w:spacing w:line="240" w:lineRule="auto"/>
        <w:ind w:firstLine="720"/>
        <w:contextualSpacing/>
        <w:rPr>
          <w:rFonts w:ascii="Arial" w:hAnsi="Arial" w:cs="Arial"/>
          <w:sz w:val="24"/>
          <w:szCs w:val="24"/>
        </w:rPr>
      </w:pPr>
      <w:r w:rsidRPr="00C4057E">
        <w:rPr>
          <w:rFonts w:ascii="Arial" w:hAnsi="Arial" w:cs="Arial"/>
          <w:sz w:val="24"/>
          <w:szCs w:val="24"/>
        </w:rPr>
        <w:t xml:space="preserve">Met-Ed was the only FE-PA </w:t>
      </w:r>
      <w:r w:rsidR="005A785F">
        <w:rPr>
          <w:rFonts w:ascii="Arial" w:hAnsi="Arial" w:cs="Arial"/>
          <w:sz w:val="24"/>
          <w:szCs w:val="24"/>
        </w:rPr>
        <w:t>c</w:t>
      </w:r>
      <w:r w:rsidRPr="00C4057E">
        <w:rPr>
          <w:rFonts w:ascii="Arial" w:hAnsi="Arial" w:cs="Arial"/>
          <w:sz w:val="24"/>
          <w:szCs w:val="24"/>
        </w:rPr>
        <w:t xml:space="preserve">ompany that met all its specific reliability standards and benchmarks for the year under examination (2013) at the time of the </w:t>
      </w:r>
      <w:r w:rsidR="005A785F">
        <w:rPr>
          <w:rFonts w:ascii="Arial" w:hAnsi="Arial" w:cs="Arial"/>
          <w:sz w:val="24"/>
          <w:szCs w:val="24"/>
        </w:rPr>
        <w:t xml:space="preserve">last </w:t>
      </w:r>
      <w:r w:rsidRPr="00C4057E">
        <w:rPr>
          <w:rFonts w:ascii="Arial" w:hAnsi="Arial" w:cs="Arial"/>
          <w:sz w:val="24"/>
          <w:szCs w:val="24"/>
        </w:rPr>
        <w:t>audit</w:t>
      </w:r>
      <w:r w:rsidR="005A785F">
        <w:rPr>
          <w:rFonts w:ascii="Arial" w:hAnsi="Arial" w:cs="Arial"/>
          <w:sz w:val="24"/>
          <w:szCs w:val="24"/>
        </w:rPr>
        <w:t>’s</w:t>
      </w:r>
      <w:r w:rsidRPr="00C4057E">
        <w:rPr>
          <w:rFonts w:ascii="Arial" w:hAnsi="Arial" w:cs="Arial"/>
          <w:sz w:val="24"/>
          <w:szCs w:val="24"/>
        </w:rPr>
        <w:t xml:space="preserve"> fieldwork, and several preceding years.  Penelec, Penn Power, and West Penn Power did not meet the minimum standards for at least one of the reliability metrics (some more than one) in 2013 and at times in the years leading up to 2013.  </w:t>
      </w:r>
    </w:p>
    <w:p w14:paraId="0B94842C" w14:textId="77777777" w:rsidR="005A785F" w:rsidRDefault="005A785F" w:rsidP="00C4057E">
      <w:pPr>
        <w:spacing w:line="240" w:lineRule="auto"/>
        <w:ind w:firstLine="720"/>
        <w:contextualSpacing/>
        <w:rPr>
          <w:rFonts w:ascii="Arial" w:hAnsi="Arial" w:cs="Arial"/>
          <w:sz w:val="24"/>
          <w:szCs w:val="24"/>
        </w:rPr>
      </w:pPr>
    </w:p>
    <w:p w14:paraId="5B9F4FF1" w14:textId="77777777" w:rsidR="00C4057E" w:rsidRPr="00C4057E" w:rsidRDefault="005A785F" w:rsidP="00C4057E">
      <w:pPr>
        <w:spacing w:line="240" w:lineRule="auto"/>
        <w:ind w:firstLine="720"/>
        <w:contextualSpacing/>
        <w:rPr>
          <w:rFonts w:ascii="Arial" w:hAnsi="Arial" w:cs="Arial"/>
          <w:sz w:val="24"/>
          <w:szCs w:val="24"/>
        </w:rPr>
      </w:pPr>
      <w:r>
        <w:rPr>
          <w:rFonts w:ascii="Arial" w:hAnsi="Arial" w:cs="Arial"/>
          <w:sz w:val="24"/>
          <w:szCs w:val="24"/>
        </w:rPr>
        <w:t>O</w:t>
      </w:r>
      <w:r w:rsidR="00C4057E" w:rsidRPr="00C4057E">
        <w:rPr>
          <w:rFonts w:ascii="Arial" w:hAnsi="Arial" w:cs="Arial"/>
          <w:sz w:val="24"/>
          <w:szCs w:val="24"/>
        </w:rPr>
        <w:t xml:space="preserve">n October 25, 2010, a Joint Petition for Partial Settlement (2010 Settlement) was filed regarding the Allegheny Energy/First Energy Corporation (FirstEnergy) acquisition which stated that West Penn Power was obligated to meet a three-year average for Customer Average Interruption Average Duration Index (CAIDI) of 172 minutes and System Average Interruption Duration Index (SAIDI) of 198 minutes by 2016.  At that time, West Penn Power’s reliability metrics did not appear to be trending towards this goal.  </w:t>
      </w:r>
    </w:p>
    <w:p w14:paraId="09CAC717" w14:textId="77777777" w:rsidR="00C4057E" w:rsidRPr="00C4057E" w:rsidRDefault="00C4057E" w:rsidP="00C4057E">
      <w:pPr>
        <w:spacing w:line="240" w:lineRule="auto"/>
        <w:contextualSpacing/>
        <w:rPr>
          <w:rFonts w:ascii="Arial" w:hAnsi="Arial" w:cs="Arial"/>
          <w:sz w:val="24"/>
          <w:szCs w:val="24"/>
        </w:rPr>
      </w:pPr>
    </w:p>
    <w:p w14:paraId="43447E78" w14:textId="77777777" w:rsidR="00C4057E" w:rsidRPr="00C4057E" w:rsidRDefault="00C4057E" w:rsidP="00C4057E">
      <w:pPr>
        <w:spacing w:line="240" w:lineRule="auto"/>
        <w:ind w:firstLine="720"/>
        <w:contextualSpacing/>
        <w:rPr>
          <w:rFonts w:ascii="Arial" w:hAnsi="Arial" w:cs="Arial"/>
          <w:sz w:val="24"/>
          <w:szCs w:val="24"/>
        </w:rPr>
      </w:pPr>
      <w:r w:rsidRPr="00C4057E">
        <w:rPr>
          <w:rFonts w:ascii="Arial" w:hAnsi="Arial" w:cs="Arial"/>
          <w:sz w:val="24"/>
          <w:szCs w:val="24"/>
        </w:rPr>
        <w:t xml:space="preserve">Exhibit VII-1 displays reliability performance for 2013 for the </w:t>
      </w:r>
      <w:r w:rsidR="00DC3D9B">
        <w:rPr>
          <w:rFonts w:ascii="Arial" w:hAnsi="Arial" w:cs="Arial"/>
          <w:sz w:val="24"/>
          <w:szCs w:val="24"/>
        </w:rPr>
        <w:t>FE-PA companies</w:t>
      </w:r>
      <w:r w:rsidRPr="00C4057E">
        <w:rPr>
          <w:rFonts w:ascii="Arial" w:hAnsi="Arial" w:cs="Arial"/>
          <w:sz w:val="24"/>
          <w:szCs w:val="24"/>
        </w:rPr>
        <w:t xml:space="preserve"> and Exhibit VII-2 shows which minimum standards were not met in 2013 and the preceding years (2009 through 2013).  </w:t>
      </w:r>
      <w:r w:rsidR="00F964AE" w:rsidRPr="00C4057E">
        <w:rPr>
          <w:rFonts w:ascii="Arial" w:hAnsi="Arial" w:cs="Arial"/>
          <w:sz w:val="24"/>
          <w:szCs w:val="24"/>
        </w:rPr>
        <w:t>To</w:t>
      </w:r>
      <w:r w:rsidRPr="00C4057E">
        <w:rPr>
          <w:rFonts w:ascii="Arial" w:hAnsi="Arial" w:cs="Arial"/>
          <w:sz w:val="24"/>
          <w:szCs w:val="24"/>
        </w:rPr>
        <w:t xml:space="preserve"> address reliability issues, each of the </w:t>
      </w:r>
      <w:r w:rsidR="00DC3D9B">
        <w:rPr>
          <w:rFonts w:ascii="Arial" w:hAnsi="Arial" w:cs="Arial"/>
          <w:sz w:val="24"/>
          <w:szCs w:val="24"/>
        </w:rPr>
        <w:t>FE-PA companies</w:t>
      </w:r>
      <w:r w:rsidRPr="00C4057E">
        <w:rPr>
          <w:rFonts w:ascii="Arial" w:hAnsi="Arial" w:cs="Arial"/>
          <w:sz w:val="24"/>
          <w:szCs w:val="24"/>
        </w:rPr>
        <w:t xml:space="preserve"> had their own strategies involving capital investment, inspection and maintenance, and targeted tree trimming to be implemented for its unique circumstances.</w:t>
      </w:r>
    </w:p>
    <w:p w14:paraId="35B49584" w14:textId="77777777" w:rsidR="00C4057E" w:rsidRPr="00C4057E" w:rsidRDefault="00C4057E" w:rsidP="00C4057E">
      <w:pPr>
        <w:spacing w:line="240" w:lineRule="auto"/>
        <w:contextualSpacing/>
        <w:rPr>
          <w:rFonts w:ascii="Arial" w:hAnsi="Arial" w:cs="Arial"/>
          <w:sz w:val="24"/>
          <w:szCs w:val="24"/>
        </w:rPr>
      </w:pPr>
    </w:p>
    <w:p w14:paraId="6BD8AD36" w14:textId="77777777" w:rsidR="000D0CE2" w:rsidRDefault="000D0CE2">
      <w:pPr>
        <w:rPr>
          <w:rFonts w:ascii="Arial" w:hAnsi="Arial" w:cs="Arial"/>
          <w:b/>
          <w:sz w:val="24"/>
          <w:szCs w:val="24"/>
        </w:rPr>
      </w:pPr>
      <w:bookmarkStart w:id="5" w:name="_Hlk511654027"/>
    </w:p>
    <w:p w14:paraId="7279DCA9"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Exhibit VII – 1</w:t>
      </w:r>
    </w:p>
    <w:p w14:paraId="48133CE6"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FirstEnergy Pennsylvania Companies</w:t>
      </w:r>
    </w:p>
    <w:p w14:paraId="251426FD"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Reliability Performance</w:t>
      </w:r>
    </w:p>
    <w:p w14:paraId="11286CD0" w14:textId="77777777" w:rsidR="00C4057E" w:rsidRPr="00C4057E" w:rsidRDefault="00C4057E" w:rsidP="00C4057E">
      <w:pPr>
        <w:spacing w:line="240" w:lineRule="auto"/>
        <w:contextualSpacing/>
        <w:jc w:val="center"/>
        <w:rPr>
          <w:rFonts w:ascii="Arial" w:hAnsi="Arial" w:cs="Arial"/>
          <w:b/>
          <w:sz w:val="24"/>
          <w:szCs w:val="24"/>
        </w:rPr>
      </w:pPr>
      <w:r w:rsidRPr="00C4057E">
        <w:rPr>
          <w:rFonts w:ascii="Arial" w:hAnsi="Arial" w:cs="Arial"/>
          <w:b/>
          <w:sz w:val="24"/>
          <w:szCs w:val="24"/>
        </w:rPr>
        <w:t>For the Year 2013</w:t>
      </w:r>
      <w:bookmarkEnd w:id="5"/>
    </w:p>
    <w:p w14:paraId="56E3242E" w14:textId="77777777" w:rsidR="00C4057E" w:rsidRPr="00C4057E" w:rsidRDefault="00C4057E" w:rsidP="00C4057E">
      <w:pPr>
        <w:spacing w:line="240" w:lineRule="auto"/>
        <w:contextualSpacing/>
        <w:jc w:val="center"/>
        <w:rPr>
          <w:rFonts w:ascii="Arial" w:hAnsi="Arial" w:cs="Arial"/>
          <w:sz w:val="8"/>
          <w:szCs w:val="8"/>
        </w:rPr>
      </w:pPr>
    </w:p>
    <w:tbl>
      <w:tblPr>
        <w:tblW w:w="9715" w:type="dxa"/>
        <w:tblLayout w:type="fixed"/>
        <w:tblLook w:val="04A0" w:firstRow="1" w:lastRow="0" w:firstColumn="1" w:lastColumn="0" w:noHBand="0" w:noVBand="1"/>
      </w:tblPr>
      <w:tblGrid>
        <w:gridCol w:w="750"/>
        <w:gridCol w:w="2935"/>
        <w:gridCol w:w="1507"/>
        <w:gridCol w:w="1508"/>
        <w:gridCol w:w="1507"/>
        <w:gridCol w:w="1508"/>
      </w:tblGrid>
      <w:tr w:rsidR="00C4057E" w:rsidRPr="00C4057E" w14:paraId="5A0E5F11" w14:textId="77777777" w:rsidTr="007B0B28">
        <w:trPr>
          <w:trHeight w:val="285"/>
        </w:trPr>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FD086" w14:textId="77777777" w:rsidR="00C4057E" w:rsidRPr="00C4057E" w:rsidRDefault="00C4057E" w:rsidP="00C4057E">
            <w:pPr>
              <w:spacing w:after="0" w:line="240" w:lineRule="auto"/>
              <w:jc w:val="center"/>
              <w:rPr>
                <w:rFonts w:ascii="Arial" w:eastAsia="Times New Roman" w:hAnsi="Arial" w:cs="Arial"/>
                <w:color w:val="000000"/>
                <w:sz w:val="20"/>
                <w:szCs w:val="20"/>
              </w:rPr>
            </w:pPr>
            <w:r w:rsidRPr="00C4057E">
              <w:rPr>
                <w:rFonts w:ascii="Arial" w:eastAsia="Times New Roman" w:hAnsi="Arial" w:cs="Arial"/>
                <w:color w:val="000000"/>
                <w:sz w:val="20"/>
                <w:szCs w:val="20"/>
              </w:rPr>
              <w:t> </w:t>
            </w:r>
          </w:p>
        </w:tc>
        <w:tc>
          <w:tcPr>
            <w:tcW w:w="1507" w:type="dxa"/>
            <w:tcBorders>
              <w:top w:val="single" w:sz="4" w:space="0" w:color="auto"/>
              <w:left w:val="nil"/>
              <w:bottom w:val="single" w:sz="4" w:space="0" w:color="auto"/>
              <w:right w:val="single" w:sz="4" w:space="0" w:color="auto"/>
            </w:tcBorders>
            <w:shd w:val="clear" w:color="000000" w:fill="C00000"/>
            <w:noWrap/>
            <w:vAlign w:val="bottom"/>
            <w:hideMark/>
          </w:tcPr>
          <w:p w14:paraId="251FA063" w14:textId="77777777" w:rsidR="00C4057E" w:rsidRPr="00C4057E" w:rsidRDefault="00C4057E" w:rsidP="00C4057E">
            <w:pPr>
              <w:spacing w:after="0" w:line="240" w:lineRule="auto"/>
              <w:jc w:val="center"/>
              <w:rPr>
                <w:rFonts w:ascii="Arial" w:eastAsia="Times New Roman" w:hAnsi="Arial" w:cs="Arial"/>
                <w:b/>
                <w:color w:val="FFFFFF"/>
                <w:sz w:val="20"/>
                <w:szCs w:val="20"/>
              </w:rPr>
            </w:pPr>
            <w:r w:rsidRPr="00C4057E">
              <w:rPr>
                <w:rFonts w:ascii="Arial" w:eastAsia="Times New Roman" w:hAnsi="Arial" w:cs="Arial"/>
                <w:b/>
                <w:color w:val="FFFFFF"/>
                <w:sz w:val="20"/>
                <w:szCs w:val="20"/>
              </w:rPr>
              <w:t>Met-Ed</w:t>
            </w:r>
          </w:p>
        </w:tc>
        <w:tc>
          <w:tcPr>
            <w:tcW w:w="1508" w:type="dxa"/>
            <w:tcBorders>
              <w:top w:val="single" w:sz="4" w:space="0" w:color="auto"/>
              <w:left w:val="nil"/>
              <w:bottom w:val="single" w:sz="4" w:space="0" w:color="auto"/>
              <w:right w:val="single" w:sz="4" w:space="0" w:color="auto"/>
            </w:tcBorders>
            <w:shd w:val="clear" w:color="000000" w:fill="C00000"/>
            <w:noWrap/>
            <w:vAlign w:val="bottom"/>
            <w:hideMark/>
          </w:tcPr>
          <w:p w14:paraId="4958CB88" w14:textId="77777777" w:rsidR="00C4057E" w:rsidRPr="00C4057E" w:rsidRDefault="00C4057E" w:rsidP="00C4057E">
            <w:pPr>
              <w:spacing w:after="0" w:line="240" w:lineRule="auto"/>
              <w:jc w:val="center"/>
              <w:rPr>
                <w:rFonts w:ascii="Arial" w:eastAsia="Times New Roman" w:hAnsi="Arial" w:cs="Arial"/>
                <w:b/>
                <w:color w:val="FFFFFF"/>
                <w:sz w:val="20"/>
                <w:szCs w:val="20"/>
              </w:rPr>
            </w:pPr>
            <w:r w:rsidRPr="00C4057E">
              <w:rPr>
                <w:rFonts w:ascii="Arial" w:eastAsia="Times New Roman" w:hAnsi="Arial" w:cs="Arial"/>
                <w:b/>
                <w:color w:val="FFFFFF"/>
                <w:sz w:val="20"/>
                <w:szCs w:val="20"/>
              </w:rPr>
              <w:t>Penelec</w:t>
            </w:r>
          </w:p>
        </w:tc>
        <w:tc>
          <w:tcPr>
            <w:tcW w:w="1507" w:type="dxa"/>
            <w:tcBorders>
              <w:top w:val="single" w:sz="4" w:space="0" w:color="auto"/>
              <w:left w:val="nil"/>
              <w:bottom w:val="single" w:sz="4" w:space="0" w:color="auto"/>
              <w:right w:val="single" w:sz="4" w:space="0" w:color="auto"/>
            </w:tcBorders>
            <w:shd w:val="clear" w:color="000000" w:fill="C00000"/>
            <w:noWrap/>
            <w:vAlign w:val="bottom"/>
            <w:hideMark/>
          </w:tcPr>
          <w:p w14:paraId="6E850AE0" w14:textId="77777777" w:rsidR="00C4057E" w:rsidRPr="00C4057E" w:rsidRDefault="00C4057E" w:rsidP="00C4057E">
            <w:pPr>
              <w:spacing w:after="0" w:line="240" w:lineRule="auto"/>
              <w:jc w:val="center"/>
              <w:rPr>
                <w:rFonts w:ascii="Arial" w:eastAsia="Times New Roman" w:hAnsi="Arial" w:cs="Arial"/>
                <w:b/>
                <w:color w:val="FFFFFF"/>
                <w:sz w:val="20"/>
                <w:szCs w:val="20"/>
              </w:rPr>
            </w:pPr>
            <w:r w:rsidRPr="00C4057E">
              <w:rPr>
                <w:rFonts w:ascii="Arial" w:eastAsia="Times New Roman" w:hAnsi="Arial" w:cs="Arial"/>
                <w:b/>
                <w:color w:val="FFFFFF"/>
                <w:sz w:val="20"/>
                <w:szCs w:val="20"/>
              </w:rPr>
              <w:t>Penn Power</w:t>
            </w:r>
          </w:p>
        </w:tc>
        <w:tc>
          <w:tcPr>
            <w:tcW w:w="1508" w:type="dxa"/>
            <w:tcBorders>
              <w:top w:val="single" w:sz="4" w:space="0" w:color="auto"/>
              <w:left w:val="nil"/>
              <w:bottom w:val="single" w:sz="4" w:space="0" w:color="auto"/>
              <w:right w:val="single" w:sz="4" w:space="0" w:color="auto"/>
            </w:tcBorders>
            <w:shd w:val="clear" w:color="000000" w:fill="C00000"/>
            <w:noWrap/>
            <w:vAlign w:val="bottom"/>
            <w:hideMark/>
          </w:tcPr>
          <w:p w14:paraId="00FF37DA" w14:textId="77777777" w:rsidR="00C4057E" w:rsidRPr="00C4057E" w:rsidRDefault="00C4057E" w:rsidP="00C4057E">
            <w:pPr>
              <w:spacing w:after="0" w:line="240" w:lineRule="auto"/>
              <w:jc w:val="center"/>
              <w:rPr>
                <w:rFonts w:ascii="Arial" w:eastAsia="Times New Roman" w:hAnsi="Arial" w:cs="Arial"/>
                <w:b/>
                <w:color w:val="FFFFFF"/>
                <w:sz w:val="20"/>
                <w:szCs w:val="20"/>
              </w:rPr>
            </w:pPr>
            <w:r w:rsidRPr="00C4057E">
              <w:rPr>
                <w:rFonts w:ascii="Arial" w:eastAsia="Times New Roman" w:hAnsi="Arial" w:cs="Arial"/>
                <w:b/>
                <w:color w:val="FFFFFF"/>
                <w:sz w:val="20"/>
                <w:szCs w:val="20"/>
              </w:rPr>
              <w:t>West Penn Power</w:t>
            </w:r>
          </w:p>
        </w:tc>
      </w:tr>
      <w:tr w:rsidR="00C4057E" w:rsidRPr="00C4057E" w14:paraId="7B91EA66" w14:textId="77777777" w:rsidTr="007B0B28">
        <w:trPr>
          <w:trHeight w:val="285"/>
        </w:trPr>
        <w:tc>
          <w:tcPr>
            <w:tcW w:w="750" w:type="dxa"/>
            <w:vMerge w:val="restart"/>
            <w:tcBorders>
              <w:top w:val="nil"/>
              <w:left w:val="single" w:sz="4" w:space="0" w:color="auto"/>
              <w:bottom w:val="single" w:sz="4" w:space="0" w:color="auto"/>
              <w:right w:val="single" w:sz="4" w:space="0" w:color="auto"/>
            </w:tcBorders>
            <w:shd w:val="clear" w:color="auto" w:fill="548DD4" w:themeFill="text2" w:themeFillTint="99"/>
            <w:noWrap/>
            <w:vAlign w:val="center"/>
            <w:hideMark/>
          </w:tcPr>
          <w:p w14:paraId="7461E3D8" w14:textId="77777777" w:rsidR="00C4057E" w:rsidRPr="00C4057E" w:rsidRDefault="00C4057E" w:rsidP="00C4057E">
            <w:pPr>
              <w:spacing w:after="0" w:line="240" w:lineRule="auto"/>
              <w:jc w:val="center"/>
              <w:rPr>
                <w:rFonts w:ascii="Arial" w:eastAsia="Times New Roman" w:hAnsi="Arial" w:cs="Arial"/>
                <w:color w:val="FFFFFF" w:themeColor="background1"/>
                <w:sz w:val="20"/>
                <w:szCs w:val="20"/>
              </w:rPr>
            </w:pPr>
            <w:r w:rsidRPr="00C4057E">
              <w:rPr>
                <w:rFonts w:ascii="Arial" w:eastAsia="Times New Roman" w:hAnsi="Arial" w:cs="Arial"/>
                <w:color w:val="FFFFFF" w:themeColor="background1"/>
                <w:sz w:val="20"/>
                <w:szCs w:val="20"/>
              </w:rPr>
              <w:t>SAIFI</w:t>
            </w:r>
          </w:p>
        </w:tc>
        <w:tc>
          <w:tcPr>
            <w:tcW w:w="2935" w:type="dxa"/>
            <w:tcBorders>
              <w:top w:val="nil"/>
              <w:left w:val="nil"/>
              <w:bottom w:val="single" w:sz="4" w:space="0" w:color="auto"/>
              <w:right w:val="single" w:sz="4" w:space="0" w:color="auto"/>
            </w:tcBorders>
            <w:shd w:val="clear" w:color="auto" w:fill="548DD4" w:themeFill="text2" w:themeFillTint="99"/>
            <w:noWrap/>
            <w:vAlign w:val="bottom"/>
            <w:hideMark/>
          </w:tcPr>
          <w:p w14:paraId="6A6EC483" w14:textId="77777777" w:rsidR="00C4057E" w:rsidRPr="00C4057E" w:rsidRDefault="00C4057E" w:rsidP="00C4057E">
            <w:pPr>
              <w:spacing w:after="0" w:line="240" w:lineRule="auto"/>
              <w:rPr>
                <w:rFonts w:ascii="Arial" w:eastAsia="Times New Roman" w:hAnsi="Arial" w:cs="Arial"/>
                <w:color w:val="FFFFFF" w:themeColor="background1"/>
                <w:sz w:val="20"/>
                <w:szCs w:val="20"/>
              </w:rPr>
            </w:pPr>
            <w:r w:rsidRPr="00C4057E">
              <w:rPr>
                <w:rFonts w:ascii="Arial" w:eastAsia="Times New Roman" w:hAnsi="Arial" w:cs="Arial"/>
                <w:color w:val="FFFFFF" w:themeColor="background1"/>
                <w:sz w:val="20"/>
                <w:szCs w:val="20"/>
              </w:rPr>
              <w:t>Benchmark</w:t>
            </w:r>
          </w:p>
        </w:tc>
        <w:tc>
          <w:tcPr>
            <w:tcW w:w="1507" w:type="dxa"/>
            <w:tcBorders>
              <w:top w:val="nil"/>
              <w:left w:val="nil"/>
              <w:bottom w:val="single" w:sz="4" w:space="0" w:color="auto"/>
              <w:right w:val="single" w:sz="4" w:space="0" w:color="auto"/>
            </w:tcBorders>
            <w:shd w:val="clear" w:color="auto" w:fill="548DD4" w:themeFill="text2" w:themeFillTint="99"/>
            <w:noWrap/>
            <w:vAlign w:val="bottom"/>
            <w:hideMark/>
          </w:tcPr>
          <w:p w14:paraId="3675B6EC" w14:textId="77777777" w:rsidR="00C4057E" w:rsidRPr="00C4057E" w:rsidRDefault="00C4057E" w:rsidP="00C4057E">
            <w:pPr>
              <w:spacing w:after="0" w:line="240" w:lineRule="auto"/>
              <w:jc w:val="center"/>
              <w:rPr>
                <w:rFonts w:ascii="Arial" w:eastAsia="Times New Roman" w:hAnsi="Arial" w:cs="Arial"/>
                <w:color w:val="FFFFFF" w:themeColor="background1"/>
                <w:sz w:val="20"/>
                <w:szCs w:val="20"/>
              </w:rPr>
            </w:pPr>
            <w:r w:rsidRPr="00C4057E">
              <w:rPr>
                <w:rFonts w:ascii="Arial" w:eastAsia="Times New Roman" w:hAnsi="Arial" w:cs="Arial"/>
                <w:color w:val="FFFFFF" w:themeColor="background1"/>
                <w:sz w:val="20"/>
                <w:szCs w:val="20"/>
              </w:rPr>
              <w:t>1.15</w:t>
            </w:r>
          </w:p>
        </w:tc>
        <w:tc>
          <w:tcPr>
            <w:tcW w:w="1508" w:type="dxa"/>
            <w:tcBorders>
              <w:top w:val="nil"/>
              <w:left w:val="nil"/>
              <w:bottom w:val="single" w:sz="4" w:space="0" w:color="auto"/>
              <w:right w:val="single" w:sz="4" w:space="0" w:color="auto"/>
            </w:tcBorders>
            <w:shd w:val="clear" w:color="auto" w:fill="548DD4" w:themeFill="text2" w:themeFillTint="99"/>
            <w:noWrap/>
            <w:vAlign w:val="bottom"/>
            <w:hideMark/>
          </w:tcPr>
          <w:p w14:paraId="5CF753B3" w14:textId="77777777" w:rsidR="00C4057E" w:rsidRPr="00C4057E" w:rsidRDefault="00C4057E" w:rsidP="00C4057E">
            <w:pPr>
              <w:spacing w:after="0" w:line="240" w:lineRule="auto"/>
              <w:jc w:val="center"/>
              <w:rPr>
                <w:rFonts w:ascii="Arial" w:eastAsia="Times New Roman" w:hAnsi="Arial" w:cs="Arial"/>
                <w:color w:val="FFFFFF" w:themeColor="background1"/>
                <w:sz w:val="20"/>
                <w:szCs w:val="20"/>
              </w:rPr>
            </w:pPr>
            <w:r w:rsidRPr="00C4057E">
              <w:rPr>
                <w:rFonts w:ascii="Arial" w:eastAsia="Times New Roman" w:hAnsi="Arial" w:cs="Arial"/>
                <w:color w:val="FFFFFF" w:themeColor="background1"/>
                <w:sz w:val="20"/>
                <w:szCs w:val="20"/>
              </w:rPr>
              <w:t>1.26</w:t>
            </w:r>
          </w:p>
        </w:tc>
        <w:tc>
          <w:tcPr>
            <w:tcW w:w="1507" w:type="dxa"/>
            <w:tcBorders>
              <w:top w:val="nil"/>
              <w:left w:val="nil"/>
              <w:bottom w:val="single" w:sz="4" w:space="0" w:color="auto"/>
              <w:right w:val="single" w:sz="4" w:space="0" w:color="auto"/>
            </w:tcBorders>
            <w:shd w:val="clear" w:color="auto" w:fill="548DD4" w:themeFill="text2" w:themeFillTint="99"/>
            <w:noWrap/>
            <w:vAlign w:val="bottom"/>
            <w:hideMark/>
          </w:tcPr>
          <w:p w14:paraId="1752DD4F" w14:textId="77777777" w:rsidR="00C4057E" w:rsidRPr="00C4057E" w:rsidRDefault="00C4057E" w:rsidP="00C4057E">
            <w:pPr>
              <w:spacing w:after="0" w:line="240" w:lineRule="auto"/>
              <w:jc w:val="center"/>
              <w:rPr>
                <w:rFonts w:ascii="Arial" w:eastAsia="Times New Roman" w:hAnsi="Arial" w:cs="Arial"/>
                <w:color w:val="FFFFFF" w:themeColor="background1"/>
                <w:sz w:val="20"/>
                <w:szCs w:val="20"/>
              </w:rPr>
            </w:pPr>
            <w:r w:rsidRPr="00C4057E">
              <w:rPr>
                <w:rFonts w:ascii="Arial" w:eastAsia="Times New Roman" w:hAnsi="Arial" w:cs="Arial"/>
                <w:color w:val="FFFFFF" w:themeColor="background1"/>
                <w:sz w:val="20"/>
                <w:szCs w:val="20"/>
              </w:rPr>
              <w:t>1.12</w:t>
            </w:r>
          </w:p>
        </w:tc>
        <w:tc>
          <w:tcPr>
            <w:tcW w:w="1508" w:type="dxa"/>
            <w:tcBorders>
              <w:top w:val="nil"/>
              <w:left w:val="nil"/>
              <w:bottom w:val="single" w:sz="4" w:space="0" w:color="auto"/>
              <w:right w:val="single" w:sz="4" w:space="0" w:color="auto"/>
            </w:tcBorders>
            <w:shd w:val="clear" w:color="auto" w:fill="548DD4" w:themeFill="text2" w:themeFillTint="99"/>
            <w:noWrap/>
            <w:vAlign w:val="bottom"/>
            <w:hideMark/>
          </w:tcPr>
          <w:p w14:paraId="6100ED06" w14:textId="77777777" w:rsidR="00C4057E" w:rsidRPr="00C4057E" w:rsidRDefault="00C4057E" w:rsidP="00C4057E">
            <w:pPr>
              <w:spacing w:after="0" w:line="240" w:lineRule="auto"/>
              <w:jc w:val="center"/>
              <w:rPr>
                <w:rFonts w:ascii="Arial" w:eastAsia="Times New Roman" w:hAnsi="Arial" w:cs="Arial"/>
                <w:color w:val="FFFFFF" w:themeColor="background1"/>
                <w:sz w:val="20"/>
                <w:szCs w:val="20"/>
              </w:rPr>
            </w:pPr>
            <w:r w:rsidRPr="00C4057E">
              <w:rPr>
                <w:rFonts w:ascii="Arial" w:eastAsia="Times New Roman" w:hAnsi="Arial" w:cs="Arial"/>
                <w:color w:val="FFFFFF" w:themeColor="background1"/>
                <w:sz w:val="20"/>
                <w:szCs w:val="20"/>
              </w:rPr>
              <w:t>1.05</w:t>
            </w:r>
          </w:p>
        </w:tc>
      </w:tr>
      <w:tr w:rsidR="00C4057E" w:rsidRPr="00C4057E" w14:paraId="6BF96231" w14:textId="77777777" w:rsidTr="007B0B28">
        <w:trPr>
          <w:trHeight w:val="285"/>
        </w:trPr>
        <w:tc>
          <w:tcPr>
            <w:tcW w:w="750" w:type="dxa"/>
            <w:vMerge/>
            <w:tcBorders>
              <w:top w:val="nil"/>
              <w:left w:val="single" w:sz="4" w:space="0" w:color="auto"/>
              <w:bottom w:val="single" w:sz="4" w:space="0" w:color="auto"/>
              <w:right w:val="single" w:sz="4" w:space="0" w:color="auto"/>
            </w:tcBorders>
            <w:shd w:val="clear" w:color="auto" w:fill="548DD4" w:themeFill="text2" w:themeFillTint="99"/>
            <w:vAlign w:val="center"/>
            <w:hideMark/>
          </w:tcPr>
          <w:p w14:paraId="27DA487D" w14:textId="77777777" w:rsidR="00C4057E" w:rsidRPr="00C4057E" w:rsidRDefault="00C4057E" w:rsidP="00C4057E">
            <w:pPr>
              <w:spacing w:after="0" w:line="240" w:lineRule="auto"/>
              <w:rPr>
                <w:rFonts w:ascii="Arial" w:eastAsia="Times New Roman" w:hAnsi="Arial" w:cs="Arial"/>
                <w:color w:val="000000"/>
                <w:sz w:val="20"/>
                <w:szCs w:val="20"/>
              </w:rPr>
            </w:pPr>
          </w:p>
        </w:tc>
        <w:tc>
          <w:tcPr>
            <w:tcW w:w="2935" w:type="dxa"/>
            <w:tcBorders>
              <w:top w:val="nil"/>
              <w:left w:val="nil"/>
              <w:bottom w:val="single" w:sz="4" w:space="0" w:color="auto"/>
              <w:right w:val="single" w:sz="4" w:space="0" w:color="auto"/>
            </w:tcBorders>
            <w:shd w:val="clear" w:color="auto" w:fill="auto"/>
            <w:noWrap/>
            <w:vAlign w:val="bottom"/>
            <w:hideMark/>
          </w:tcPr>
          <w:p w14:paraId="7C1B9994" w14:textId="77777777" w:rsidR="00C4057E" w:rsidRPr="00C4057E" w:rsidRDefault="00C4057E" w:rsidP="00C4057E">
            <w:pPr>
              <w:spacing w:after="0" w:line="240" w:lineRule="auto"/>
              <w:rPr>
                <w:rFonts w:ascii="Arial" w:eastAsia="Times New Roman" w:hAnsi="Arial" w:cs="Arial"/>
                <w:color w:val="000000"/>
                <w:sz w:val="20"/>
                <w:szCs w:val="20"/>
              </w:rPr>
            </w:pPr>
            <w:r w:rsidRPr="00C4057E">
              <w:rPr>
                <w:rFonts w:ascii="Arial" w:eastAsia="Times New Roman" w:hAnsi="Arial" w:cs="Arial"/>
                <w:color w:val="000000"/>
                <w:sz w:val="20"/>
                <w:szCs w:val="20"/>
              </w:rPr>
              <w:t>12 Month Standard</w:t>
            </w:r>
          </w:p>
        </w:tc>
        <w:tc>
          <w:tcPr>
            <w:tcW w:w="1507" w:type="dxa"/>
            <w:tcBorders>
              <w:top w:val="nil"/>
              <w:left w:val="nil"/>
              <w:bottom w:val="single" w:sz="4" w:space="0" w:color="auto"/>
              <w:right w:val="single" w:sz="4" w:space="0" w:color="auto"/>
            </w:tcBorders>
            <w:shd w:val="clear" w:color="auto" w:fill="auto"/>
            <w:noWrap/>
            <w:vAlign w:val="bottom"/>
            <w:hideMark/>
          </w:tcPr>
          <w:p w14:paraId="49DFCF7B"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1.38</w:t>
            </w:r>
          </w:p>
        </w:tc>
        <w:tc>
          <w:tcPr>
            <w:tcW w:w="1508" w:type="dxa"/>
            <w:tcBorders>
              <w:top w:val="nil"/>
              <w:left w:val="nil"/>
              <w:bottom w:val="single" w:sz="4" w:space="0" w:color="auto"/>
              <w:right w:val="single" w:sz="4" w:space="0" w:color="auto"/>
            </w:tcBorders>
            <w:shd w:val="clear" w:color="auto" w:fill="auto"/>
            <w:noWrap/>
            <w:vAlign w:val="bottom"/>
            <w:hideMark/>
          </w:tcPr>
          <w:p w14:paraId="2A278052"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1.52</w:t>
            </w:r>
          </w:p>
        </w:tc>
        <w:tc>
          <w:tcPr>
            <w:tcW w:w="1507" w:type="dxa"/>
            <w:tcBorders>
              <w:top w:val="nil"/>
              <w:left w:val="nil"/>
              <w:bottom w:val="single" w:sz="4" w:space="0" w:color="auto"/>
              <w:right w:val="single" w:sz="4" w:space="0" w:color="auto"/>
            </w:tcBorders>
            <w:shd w:val="clear" w:color="auto" w:fill="auto"/>
            <w:noWrap/>
            <w:vAlign w:val="bottom"/>
            <w:hideMark/>
          </w:tcPr>
          <w:p w14:paraId="48728D13"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1.34</w:t>
            </w:r>
          </w:p>
        </w:tc>
        <w:tc>
          <w:tcPr>
            <w:tcW w:w="1508" w:type="dxa"/>
            <w:tcBorders>
              <w:top w:val="nil"/>
              <w:left w:val="nil"/>
              <w:bottom w:val="single" w:sz="4" w:space="0" w:color="auto"/>
              <w:right w:val="single" w:sz="4" w:space="0" w:color="auto"/>
            </w:tcBorders>
            <w:shd w:val="clear" w:color="auto" w:fill="auto"/>
            <w:noWrap/>
            <w:vAlign w:val="bottom"/>
            <w:hideMark/>
          </w:tcPr>
          <w:p w14:paraId="6D9AF016"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1.26</w:t>
            </w:r>
          </w:p>
        </w:tc>
      </w:tr>
      <w:tr w:rsidR="00C4057E" w:rsidRPr="00C4057E" w14:paraId="5E7A4A80" w14:textId="77777777" w:rsidTr="007B0B28">
        <w:trPr>
          <w:trHeight w:val="300"/>
        </w:trPr>
        <w:tc>
          <w:tcPr>
            <w:tcW w:w="750" w:type="dxa"/>
            <w:vMerge/>
            <w:tcBorders>
              <w:top w:val="nil"/>
              <w:left w:val="single" w:sz="4" w:space="0" w:color="auto"/>
              <w:bottom w:val="single" w:sz="4" w:space="0" w:color="auto"/>
              <w:right w:val="single" w:sz="4" w:space="0" w:color="auto"/>
            </w:tcBorders>
            <w:shd w:val="clear" w:color="auto" w:fill="548DD4" w:themeFill="text2" w:themeFillTint="99"/>
            <w:vAlign w:val="center"/>
            <w:hideMark/>
          </w:tcPr>
          <w:p w14:paraId="5938E8B6" w14:textId="77777777" w:rsidR="00C4057E" w:rsidRPr="00C4057E" w:rsidRDefault="00C4057E" w:rsidP="00C4057E">
            <w:pPr>
              <w:spacing w:after="0" w:line="240" w:lineRule="auto"/>
              <w:rPr>
                <w:rFonts w:ascii="Arial" w:eastAsia="Times New Roman" w:hAnsi="Arial" w:cs="Arial"/>
                <w:color w:val="000000"/>
                <w:sz w:val="20"/>
                <w:szCs w:val="20"/>
              </w:rPr>
            </w:pPr>
          </w:p>
        </w:tc>
        <w:tc>
          <w:tcPr>
            <w:tcW w:w="2935" w:type="dxa"/>
            <w:tcBorders>
              <w:top w:val="nil"/>
              <w:left w:val="nil"/>
              <w:bottom w:val="single" w:sz="4" w:space="0" w:color="auto"/>
              <w:right w:val="single" w:sz="4" w:space="0" w:color="auto"/>
            </w:tcBorders>
            <w:shd w:val="clear" w:color="auto" w:fill="B8CCE4" w:themeFill="accent1" w:themeFillTint="66"/>
            <w:noWrap/>
            <w:vAlign w:val="bottom"/>
            <w:hideMark/>
          </w:tcPr>
          <w:p w14:paraId="77447225" w14:textId="77777777" w:rsidR="00C4057E" w:rsidRPr="00C4057E" w:rsidRDefault="00C4057E" w:rsidP="00C4057E">
            <w:pPr>
              <w:spacing w:after="0" w:line="240" w:lineRule="auto"/>
              <w:rPr>
                <w:rFonts w:ascii="Arial" w:eastAsia="Times New Roman" w:hAnsi="Arial" w:cs="Arial"/>
                <w:color w:val="000000"/>
                <w:sz w:val="20"/>
                <w:szCs w:val="20"/>
              </w:rPr>
            </w:pPr>
            <w:r w:rsidRPr="00C4057E">
              <w:rPr>
                <w:rFonts w:ascii="Arial" w:eastAsia="Times New Roman" w:hAnsi="Arial" w:cs="Arial"/>
                <w:color w:val="000000"/>
                <w:sz w:val="20"/>
                <w:szCs w:val="20"/>
              </w:rPr>
              <w:t>12 Month Actual Performance</w:t>
            </w:r>
          </w:p>
        </w:tc>
        <w:tc>
          <w:tcPr>
            <w:tcW w:w="1507" w:type="dxa"/>
            <w:tcBorders>
              <w:top w:val="nil"/>
              <w:left w:val="nil"/>
              <w:bottom w:val="single" w:sz="4" w:space="0" w:color="auto"/>
              <w:right w:val="single" w:sz="4" w:space="0" w:color="auto"/>
            </w:tcBorders>
            <w:shd w:val="clear" w:color="auto" w:fill="B8CCE4" w:themeFill="accent1" w:themeFillTint="66"/>
            <w:noWrap/>
            <w:vAlign w:val="bottom"/>
            <w:hideMark/>
          </w:tcPr>
          <w:p w14:paraId="17DBE217" w14:textId="77777777" w:rsidR="00C4057E" w:rsidRPr="00C4057E" w:rsidRDefault="00C4057E" w:rsidP="00C4057E">
            <w:pPr>
              <w:spacing w:after="0" w:line="240" w:lineRule="auto"/>
              <w:jc w:val="center"/>
              <w:rPr>
                <w:rFonts w:ascii="Arial" w:eastAsia="Times New Roman" w:hAnsi="Arial" w:cs="Arial"/>
                <w:color w:val="000000"/>
                <w:sz w:val="20"/>
                <w:szCs w:val="20"/>
              </w:rPr>
            </w:pPr>
            <w:r w:rsidRPr="00C4057E">
              <w:rPr>
                <w:rFonts w:ascii="Arial" w:eastAsia="Times New Roman" w:hAnsi="Arial" w:cs="Arial"/>
                <w:color w:val="000000"/>
                <w:sz w:val="20"/>
                <w:szCs w:val="20"/>
              </w:rPr>
              <w:t>1.09</w:t>
            </w:r>
          </w:p>
        </w:tc>
        <w:tc>
          <w:tcPr>
            <w:tcW w:w="1508" w:type="dxa"/>
            <w:tcBorders>
              <w:top w:val="nil"/>
              <w:left w:val="nil"/>
              <w:bottom w:val="single" w:sz="4" w:space="0" w:color="auto"/>
              <w:right w:val="single" w:sz="4" w:space="0" w:color="auto"/>
            </w:tcBorders>
            <w:shd w:val="clear" w:color="auto" w:fill="B8CCE4" w:themeFill="accent1" w:themeFillTint="66"/>
            <w:noWrap/>
            <w:vAlign w:val="bottom"/>
            <w:hideMark/>
          </w:tcPr>
          <w:p w14:paraId="697D4E84" w14:textId="77777777" w:rsidR="00C4057E" w:rsidRPr="00C4057E" w:rsidRDefault="00C4057E" w:rsidP="00C4057E">
            <w:pPr>
              <w:spacing w:after="0" w:line="240" w:lineRule="auto"/>
              <w:jc w:val="center"/>
              <w:rPr>
                <w:rFonts w:ascii="Arial" w:eastAsia="Times New Roman" w:hAnsi="Arial" w:cs="Arial"/>
                <w:color w:val="000000"/>
                <w:sz w:val="20"/>
                <w:szCs w:val="20"/>
              </w:rPr>
            </w:pPr>
            <w:r w:rsidRPr="00C4057E">
              <w:rPr>
                <w:rFonts w:ascii="Arial" w:eastAsia="Times New Roman" w:hAnsi="Arial" w:cs="Arial"/>
                <w:color w:val="000000"/>
                <w:sz w:val="20"/>
                <w:szCs w:val="20"/>
              </w:rPr>
              <w:t>1.48</w:t>
            </w:r>
          </w:p>
        </w:tc>
        <w:tc>
          <w:tcPr>
            <w:tcW w:w="1507" w:type="dxa"/>
            <w:tcBorders>
              <w:top w:val="nil"/>
              <w:left w:val="nil"/>
              <w:bottom w:val="single" w:sz="4" w:space="0" w:color="auto"/>
              <w:right w:val="single" w:sz="4" w:space="0" w:color="auto"/>
            </w:tcBorders>
            <w:shd w:val="clear" w:color="auto" w:fill="B8CCE4" w:themeFill="accent1" w:themeFillTint="66"/>
            <w:noWrap/>
            <w:vAlign w:val="bottom"/>
            <w:hideMark/>
          </w:tcPr>
          <w:p w14:paraId="073A06B5" w14:textId="77777777" w:rsidR="00C4057E" w:rsidRPr="00C4057E" w:rsidRDefault="00C4057E" w:rsidP="00C4057E">
            <w:pPr>
              <w:spacing w:after="0" w:line="240" w:lineRule="auto"/>
              <w:jc w:val="center"/>
              <w:rPr>
                <w:rFonts w:ascii="Arial" w:eastAsia="Times New Roman" w:hAnsi="Arial" w:cs="Arial"/>
                <w:b/>
                <w:bCs/>
                <w:color w:val="FF0000"/>
                <w:sz w:val="20"/>
                <w:szCs w:val="20"/>
              </w:rPr>
            </w:pPr>
            <w:r w:rsidRPr="00C4057E">
              <w:rPr>
                <w:rFonts w:ascii="Arial" w:eastAsia="Times New Roman" w:hAnsi="Arial" w:cs="Arial"/>
                <w:b/>
                <w:bCs/>
                <w:color w:val="FF0000"/>
                <w:sz w:val="20"/>
                <w:szCs w:val="20"/>
              </w:rPr>
              <w:t>1.35</w:t>
            </w:r>
          </w:p>
        </w:tc>
        <w:tc>
          <w:tcPr>
            <w:tcW w:w="1508" w:type="dxa"/>
            <w:tcBorders>
              <w:top w:val="nil"/>
              <w:left w:val="nil"/>
              <w:bottom w:val="single" w:sz="4" w:space="0" w:color="auto"/>
              <w:right w:val="single" w:sz="4" w:space="0" w:color="auto"/>
            </w:tcBorders>
            <w:shd w:val="clear" w:color="auto" w:fill="B8CCE4" w:themeFill="accent1" w:themeFillTint="66"/>
            <w:noWrap/>
            <w:vAlign w:val="bottom"/>
            <w:hideMark/>
          </w:tcPr>
          <w:p w14:paraId="581FFEAE" w14:textId="77777777" w:rsidR="00C4057E" w:rsidRPr="00C4057E" w:rsidRDefault="00C4057E" w:rsidP="00C4057E">
            <w:pPr>
              <w:spacing w:after="0" w:line="240" w:lineRule="auto"/>
              <w:jc w:val="center"/>
              <w:rPr>
                <w:rFonts w:ascii="Arial" w:eastAsia="Times New Roman" w:hAnsi="Arial" w:cs="Arial"/>
                <w:color w:val="000000"/>
                <w:sz w:val="20"/>
                <w:szCs w:val="20"/>
              </w:rPr>
            </w:pPr>
            <w:r w:rsidRPr="00C4057E">
              <w:rPr>
                <w:rFonts w:ascii="Arial" w:eastAsia="Times New Roman" w:hAnsi="Arial" w:cs="Arial"/>
                <w:color w:val="000000"/>
                <w:sz w:val="20"/>
                <w:szCs w:val="20"/>
              </w:rPr>
              <w:t>1.21</w:t>
            </w:r>
          </w:p>
        </w:tc>
      </w:tr>
      <w:tr w:rsidR="00C4057E" w:rsidRPr="00C4057E" w14:paraId="3161CD68" w14:textId="77777777" w:rsidTr="007B0B28">
        <w:trPr>
          <w:trHeight w:val="285"/>
        </w:trPr>
        <w:tc>
          <w:tcPr>
            <w:tcW w:w="750" w:type="dxa"/>
            <w:vMerge/>
            <w:tcBorders>
              <w:top w:val="nil"/>
              <w:left w:val="single" w:sz="4" w:space="0" w:color="auto"/>
              <w:bottom w:val="single" w:sz="4" w:space="0" w:color="auto"/>
              <w:right w:val="single" w:sz="4" w:space="0" w:color="auto"/>
            </w:tcBorders>
            <w:shd w:val="clear" w:color="auto" w:fill="548DD4" w:themeFill="text2" w:themeFillTint="99"/>
            <w:vAlign w:val="center"/>
            <w:hideMark/>
          </w:tcPr>
          <w:p w14:paraId="148902EB" w14:textId="77777777" w:rsidR="00C4057E" w:rsidRPr="00C4057E" w:rsidRDefault="00C4057E" w:rsidP="00C4057E">
            <w:pPr>
              <w:spacing w:after="0" w:line="240" w:lineRule="auto"/>
              <w:rPr>
                <w:rFonts w:ascii="Arial" w:eastAsia="Times New Roman" w:hAnsi="Arial" w:cs="Arial"/>
                <w:color w:val="000000"/>
                <w:sz w:val="20"/>
                <w:szCs w:val="20"/>
              </w:rPr>
            </w:pPr>
          </w:p>
        </w:tc>
        <w:tc>
          <w:tcPr>
            <w:tcW w:w="2935" w:type="dxa"/>
            <w:tcBorders>
              <w:top w:val="nil"/>
              <w:left w:val="nil"/>
              <w:bottom w:val="single" w:sz="4" w:space="0" w:color="auto"/>
              <w:right w:val="single" w:sz="4" w:space="0" w:color="auto"/>
            </w:tcBorders>
            <w:shd w:val="clear" w:color="auto" w:fill="auto"/>
            <w:noWrap/>
            <w:vAlign w:val="bottom"/>
            <w:hideMark/>
          </w:tcPr>
          <w:p w14:paraId="6741B2DB" w14:textId="77777777" w:rsidR="00C4057E" w:rsidRPr="00C4057E" w:rsidRDefault="00C4057E" w:rsidP="00C4057E">
            <w:pPr>
              <w:spacing w:after="0" w:line="240" w:lineRule="auto"/>
              <w:rPr>
                <w:rFonts w:ascii="Arial" w:eastAsia="Times New Roman" w:hAnsi="Arial" w:cs="Arial"/>
                <w:color w:val="000000"/>
                <w:sz w:val="20"/>
                <w:szCs w:val="20"/>
              </w:rPr>
            </w:pPr>
            <w:r w:rsidRPr="00C4057E">
              <w:rPr>
                <w:rFonts w:ascii="Arial" w:eastAsia="Times New Roman" w:hAnsi="Arial" w:cs="Arial"/>
                <w:color w:val="000000"/>
                <w:sz w:val="20"/>
                <w:szCs w:val="20"/>
              </w:rPr>
              <w:t>36 Month Standard</w:t>
            </w:r>
          </w:p>
        </w:tc>
        <w:tc>
          <w:tcPr>
            <w:tcW w:w="1507" w:type="dxa"/>
            <w:tcBorders>
              <w:top w:val="nil"/>
              <w:left w:val="nil"/>
              <w:bottom w:val="single" w:sz="4" w:space="0" w:color="auto"/>
              <w:right w:val="single" w:sz="4" w:space="0" w:color="auto"/>
            </w:tcBorders>
            <w:shd w:val="clear" w:color="auto" w:fill="auto"/>
            <w:noWrap/>
            <w:vAlign w:val="bottom"/>
            <w:hideMark/>
          </w:tcPr>
          <w:p w14:paraId="5E777252"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1.27</w:t>
            </w:r>
          </w:p>
        </w:tc>
        <w:tc>
          <w:tcPr>
            <w:tcW w:w="1508" w:type="dxa"/>
            <w:tcBorders>
              <w:top w:val="nil"/>
              <w:left w:val="nil"/>
              <w:bottom w:val="single" w:sz="4" w:space="0" w:color="auto"/>
              <w:right w:val="single" w:sz="4" w:space="0" w:color="auto"/>
            </w:tcBorders>
            <w:shd w:val="clear" w:color="auto" w:fill="auto"/>
            <w:noWrap/>
            <w:vAlign w:val="bottom"/>
            <w:hideMark/>
          </w:tcPr>
          <w:p w14:paraId="276989CF"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1.39</w:t>
            </w:r>
          </w:p>
        </w:tc>
        <w:tc>
          <w:tcPr>
            <w:tcW w:w="1507" w:type="dxa"/>
            <w:tcBorders>
              <w:top w:val="nil"/>
              <w:left w:val="nil"/>
              <w:bottom w:val="single" w:sz="4" w:space="0" w:color="auto"/>
              <w:right w:val="single" w:sz="4" w:space="0" w:color="auto"/>
            </w:tcBorders>
            <w:shd w:val="clear" w:color="auto" w:fill="auto"/>
            <w:noWrap/>
            <w:vAlign w:val="bottom"/>
            <w:hideMark/>
          </w:tcPr>
          <w:p w14:paraId="16D891C2"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1.23</w:t>
            </w:r>
          </w:p>
        </w:tc>
        <w:tc>
          <w:tcPr>
            <w:tcW w:w="1508" w:type="dxa"/>
            <w:tcBorders>
              <w:top w:val="nil"/>
              <w:left w:val="nil"/>
              <w:bottom w:val="single" w:sz="4" w:space="0" w:color="auto"/>
              <w:right w:val="single" w:sz="4" w:space="0" w:color="auto"/>
            </w:tcBorders>
            <w:shd w:val="clear" w:color="auto" w:fill="auto"/>
            <w:noWrap/>
            <w:vAlign w:val="bottom"/>
            <w:hideMark/>
          </w:tcPr>
          <w:p w14:paraId="0D5C84DD"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1.16</w:t>
            </w:r>
          </w:p>
        </w:tc>
      </w:tr>
      <w:tr w:rsidR="00C4057E" w:rsidRPr="00C4057E" w14:paraId="17BB7990" w14:textId="77777777" w:rsidTr="007B0B28">
        <w:trPr>
          <w:trHeight w:val="300"/>
        </w:trPr>
        <w:tc>
          <w:tcPr>
            <w:tcW w:w="750" w:type="dxa"/>
            <w:vMerge/>
            <w:tcBorders>
              <w:top w:val="nil"/>
              <w:left w:val="single" w:sz="4" w:space="0" w:color="auto"/>
              <w:bottom w:val="single" w:sz="4" w:space="0" w:color="auto"/>
              <w:right w:val="single" w:sz="4" w:space="0" w:color="auto"/>
            </w:tcBorders>
            <w:shd w:val="clear" w:color="auto" w:fill="548DD4" w:themeFill="text2" w:themeFillTint="99"/>
            <w:vAlign w:val="center"/>
            <w:hideMark/>
          </w:tcPr>
          <w:p w14:paraId="1011CE53" w14:textId="77777777" w:rsidR="00C4057E" w:rsidRPr="00C4057E" w:rsidRDefault="00C4057E" w:rsidP="00C4057E">
            <w:pPr>
              <w:spacing w:after="0" w:line="240" w:lineRule="auto"/>
              <w:rPr>
                <w:rFonts w:ascii="Arial" w:eastAsia="Times New Roman" w:hAnsi="Arial" w:cs="Arial"/>
                <w:color w:val="000000"/>
                <w:sz w:val="20"/>
                <w:szCs w:val="20"/>
              </w:rPr>
            </w:pPr>
          </w:p>
        </w:tc>
        <w:tc>
          <w:tcPr>
            <w:tcW w:w="2935" w:type="dxa"/>
            <w:tcBorders>
              <w:top w:val="nil"/>
              <w:left w:val="nil"/>
              <w:bottom w:val="single" w:sz="4" w:space="0" w:color="auto"/>
              <w:right w:val="single" w:sz="4" w:space="0" w:color="auto"/>
            </w:tcBorders>
            <w:shd w:val="clear" w:color="auto" w:fill="B8CCE4" w:themeFill="accent1" w:themeFillTint="66"/>
            <w:noWrap/>
            <w:vAlign w:val="bottom"/>
            <w:hideMark/>
          </w:tcPr>
          <w:p w14:paraId="1624FAD4" w14:textId="77777777" w:rsidR="00C4057E" w:rsidRPr="00C4057E" w:rsidRDefault="00C4057E" w:rsidP="00C4057E">
            <w:pPr>
              <w:spacing w:after="0" w:line="240" w:lineRule="auto"/>
              <w:rPr>
                <w:rFonts w:ascii="Arial" w:eastAsia="Times New Roman" w:hAnsi="Arial" w:cs="Arial"/>
                <w:color w:val="000000"/>
                <w:sz w:val="20"/>
                <w:szCs w:val="20"/>
              </w:rPr>
            </w:pPr>
            <w:r w:rsidRPr="00C4057E">
              <w:rPr>
                <w:rFonts w:ascii="Arial" w:eastAsia="Times New Roman" w:hAnsi="Arial" w:cs="Arial"/>
                <w:color w:val="000000"/>
                <w:sz w:val="20"/>
                <w:szCs w:val="20"/>
              </w:rPr>
              <w:t>36 Month Actual Performance</w:t>
            </w:r>
          </w:p>
        </w:tc>
        <w:tc>
          <w:tcPr>
            <w:tcW w:w="1507" w:type="dxa"/>
            <w:tcBorders>
              <w:top w:val="nil"/>
              <w:left w:val="nil"/>
              <w:bottom w:val="single" w:sz="4" w:space="0" w:color="auto"/>
              <w:right w:val="single" w:sz="4" w:space="0" w:color="auto"/>
            </w:tcBorders>
            <w:shd w:val="clear" w:color="auto" w:fill="B8CCE4" w:themeFill="accent1" w:themeFillTint="66"/>
            <w:noWrap/>
            <w:vAlign w:val="bottom"/>
            <w:hideMark/>
          </w:tcPr>
          <w:p w14:paraId="23B76518" w14:textId="77777777" w:rsidR="00C4057E" w:rsidRPr="00C4057E" w:rsidRDefault="00C4057E" w:rsidP="00C4057E">
            <w:pPr>
              <w:spacing w:after="0" w:line="240" w:lineRule="auto"/>
              <w:jc w:val="center"/>
              <w:rPr>
                <w:rFonts w:ascii="Arial" w:eastAsia="Times New Roman" w:hAnsi="Arial" w:cs="Arial"/>
                <w:color w:val="000000"/>
                <w:sz w:val="20"/>
                <w:szCs w:val="20"/>
              </w:rPr>
            </w:pPr>
            <w:r w:rsidRPr="00C4057E">
              <w:rPr>
                <w:rFonts w:ascii="Arial" w:eastAsia="Times New Roman" w:hAnsi="Arial" w:cs="Arial"/>
                <w:color w:val="000000"/>
                <w:sz w:val="20"/>
                <w:szCs w:val="20"/>
              </w:rPr>
              <w:t>1.20</w:t>
            </w:r>
          </w:p>
        </w:tc>
        <w:tc>
          <w:tcPr>
            <w:tcW w:w="1508" w:type="dxa"/>
            <w:tcBorders>
              <w:top w:val="nil"/>
              <w:left w:val="nil"/>
              <w:bottom w:val="single" w:sz="4" w:space="0" w:color="auto"/>
              <w:right w:val="single" w:sz="4" w:space="0" w:color="auto"/>
            </w:tcBorders>
            <w:shd w:val="clear" w:color="auto" w:fill="B8CCE4" w:themeFill="accent1" w:themeFillTint="66"/>
            <w:noWrap/>
            <w:vAlign w:val="bottom"/>
            <w:hideMark/>
          </w:tcPr>
          <w:p w14:paraId="4DAE0789" w14:textId="77777777" w:rsidR="00C4057E" w:rsidRPr="00C4057E" w:rsidRDefault="00C4057E" w:rsidP="00C4057E">
            <w:pPr>
              <w:spacing w:after="0" w:line="240" w:lineRule="auto"/>
              <w:jc w:val="center"/>
              <w:rPr>
                <w:rFonts w:ascii="Arial" w:eastAsia="Times New Roman" w:hAnsi="Arial" w:cs="Arial"/>
                <w:b/>
                <w:bCs/>
                <w:color w:val="FF0000"/>
                <w:sz w:val="20"/>
                <w:szCs w:val="20"/>
              </w:rPr>
            </w:pPr>
            <w:r w:rsidRPr="00C4057E">
              <w:rPr>
                <w:rFonts w:ascii="Arial" w:eastAsia="Times New Roman" w:hAnsi="Arial" w:cs="Arial"/>
                <w:b/>
                <w:bCs/>
                <w:color w:val="FF0000"/>
                <w:sz w:val="20"/>
                <w:szCs w:val="20"/>
              </w:rPr>
              <w:t>1.43</w:t>
            </w:r>
          </w:p>
        </w:tc>
        <w:tc>
          <w:tcPr>
            <w:tcW w:w="1507" w:type="dxa"/>
            <w:tcBorders>
              <w:top w:val="nil"/>
              <w:left w:val="nil"/>
              <w:bottom w:val="single" w:sz="4" w:space="0" w:color="auto"/>
              <w:right w:val="single" w:sz="4" w:space="0" w:color="auto"/>
            </w:tcBorders>
            <w:shd w:val="clear" w:color="auto" w:fill="B8CCE4" w:themeFill="accent1" w:themeFillTint="66"/>
            <w:noWrap/>
            <w:vAlign w:val="bottom"/>
            <w:hideMark/>
          </w:tcPr>
          <w:p w14:paraId="2863E6FE" w14:textId="77777777" w:rsidR="00C4057E" w:rsidRPr="00C4057E" w:rsidRDefault="00C4057E" w:rsidP="00C4057E">
            <w:pPr>
              <w:spacing w:after="0" w:line="240" w:lineRule="auto"/>
              <w:jc w:val="center"/>
              <w:rPr>
                <w:rFonts w:ascii="Arial" w:eastAsia="Times New Roman" w:hAnsi="Arial" w:cs="Arial"/>
                <w:color w:val="000000"/>
                <w:sz w:val="20"/>
                <w:szCs w:val="20"/>
              </w:rPr>
            </w:pPr>
            <w:r w:rsidRPr="00C4057E">
              <w:rPr>
                <w:rFonts w:ascii="Arial" w:eastAsia="Times New Roman" w:hAnsi="Arial" w:cs="Arial"/>
                <w:color w:val="000000"/>
                <w:sz w:val="20"/>
                <w:szCs w:val="20"/>
              </w:rPr>
              <w:t>1.18</w:t>
            </w:r>
          </w:p>
        </w:tc>
        <w:tc>
          <w:tcPr>
            <w:tcW w:w="1508" w:type="dxa"/>
            <w:tcBorders>
              <w:top w:val="nil"/>
              <w:left w:val="nil"/>
              <w:bottom w:val="single" w:sz="4" w:space="0" w:color="auto"/>
              <w:right w:val="single" w:sz="4" w:space="0" w:color="auto"/>
            </w:tcBorders>
            <w:shd w:val="clear" w:color="auto" w:fill="B8CCE4" w:themeFill="accent1" w:themeFillTint="66"/>
            <w:noWrap/>
            <w:vAlign w:val="bottom"/>
            <w:hideMark/>
          </w:tcPr>
          <w:p w14:paraId="1BA1580C" w14:textId="77777777" w:rsidR="00C4057E" w:rsidRPr="00C4057E" w:rsidRDefault="00C4057E" w:rsidP="00C4057E">
            <w:pPr>
              <w:spacing w:after="0" w:line="240" w:lineRule="auto"/>
              <w:jc w:val="center"/>
              <w:rPr>
                <w:rFonts w:ascii="Arial" w:eastAsia="Times New Roman" w:hAnsi="Arial" w:cs="Arial"/>
                <w:b/>
                <w:bCs/>
                <w:color w:val="FF0000"/>
                <w:sz w:val="20"/>
                <w:szCs w:val="20"/>
              </w:rPr>
            </w:pPr>
            <w:r w:rsidRPr="00C4057E">
              <w:rPr>
                <w:rFonts w:ascii="Arial" w:eastAsia="Times New Roman" w:hAnsi="Arial" w:cs="Arial"/>
                <w:b/>
                <w:bCs/>
                <w:color w:val="FF0000"/>
                <w:sz w:val="20"/>
                <w:szCs w:val="20"/>
              </w:rPr>
              <w:t>1.23</w:t>
            </w:r>
          </w:p>
        </w:tc>
      </w:tr>
      <w:tr w:rsidR="00C4057E" w:rsidRPr="00C4057E" w14:paraId="15B77511" w14:textId="77777777" w:rsidTr="007B0B28">
        <w:trPr>
          <w:trHeight w:val="285"/>
        </w:trPr>
        <w:tc>
          <w:tcPr>
            <w:tcW w:w="750" w:type="dxa"/>
            <w:vMerge w:val="restar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14:paraId="0E333B71" w14:textId="77777777" w:rsidR="00C4057E" w:rsidRPr="00C4057E" w:rsidRDefault="00C4057E" w:rsidP="00C4057E">
            <w:pPr>
              <w:spacing w:after="0" w:line="240" w:lineRule="auto"/>
              <w:jc w:val="center"/>
              <w:rPr>
                <w:rFonts w:ascii="Arial" w:eastAsia="Times New Roman" w:hAnsi="Arial" w:cs="Arial"/>
                <w:color w:val="FFFFFF" w:themeColor="background1"/>
                <w:sz w:val="20"/>
                <w:szCs w:val="20"/>
              </w:rPr>
            </w:pPr>
            <w:r w:rsidRPr="00C4057E">
              <w:rPr>
                <w:rFonts w:ascii="Arial" w:eastAsia="Times New Roman" w:hAnsi="Arial" w:cs="Arial"/>
                <w:color w:val="FFFFFF" w:themeColor="background1"/>
                <w:sz w:val="20"/>
                <w:szCs w:val="20"/>
              </w:rPr>
              <w:t>CAIDI</w:t>
            </w:r>
          </w:p>
        </w:tc>
        <w:tc>
          <w:tcPr>
            <w:tcW w:w="2935" w:type="dxa"/>
            <w:tcBorders>
              <w:top w:val="nil"/>
              <w:left w:val="nil"/>
              <w:bottom w:val="single" w:sz="4" w:space="0" w:color="auto"/>
              <w:right w:val="single" w:sz="4" w:space="0" w:color="auto"/>
            </w:tcBorders>
            <w:shd w:val="clear" w:color="auto" w:fill="808080" w:themeFill="background1" w:themeFillShade="80"/>
            <w:noWrap/>
            <w:vAlign w:val="bottom"/>
            <w:hideMark/>
          </w:tcPr>
          <w:p w14:paraId="5E7C2562" w14:textId="77777777" w:rsidR="00C4057E" w:rsidRPr="00C4057E" w:rsidRDefault="00C4057E" w:rsidP="00C4057E">
            <w:pPr>
              <w:spacing w:after="0" w:line="240" w:lineRule="auto"/>
              <w:rPr>
                <w:rFonts w:ascii="Arial" w:eastAsia="Times New Roman" w:hAnsi="Arial" w:cs="Arial"/>
                <w:color w:val="FFFFFF" w:themeColor="background1"/>
                <w:sz w:val="20"/>
                <w:szCs w:val="20"/>
              </w:rPr>
            </w:pPr>
            <w:r w:rsidRPr="00C4057E">
              <w:rPr>
                <w:rFonts w:ascii="Arial" w:eastAsia="Times New Roman" w:hAnsi="Arial" w:cs="Arial"/>
                <w:color w:val="FFFFFF" w:themeColor="background1"/>
                <w:sz w:val="20"/>
                <w:szCs w:val="20"/>
              </w:rPr>
              <w:t>Benchmark</w:t>
            </w:r>
          </w:p>
        </w:tc>
        <w:tc>
          <w:tcPr>
            <w:tcW w:w="1507" w:type="dxa"/>
            <w:tcBorders>
              <w:top w:val="nil"/>
              <w:left w:val="nil"/>
              <w:bottom w:val="single" w:sz="4" w:space="0" w:color="auto"/>
              <w:right w:val="single" w:sz="4" w:space="0" w:color="auto"/>
            </w:tcBorders>
            <w:shd w:val="clear" w:color="auto" w:fill="808080" w:themeFill="background1" w:themeFillShade="80"/>
            <w:noWrap/>
            <w:vAlign w:val="bottom"/>
            <w:hideMark/>
          </w:tcPr>
          <w:p w14:paraId="5BB2F771" w14:textId="77777777" w:rsidR="00C4057E" w:rsidRPr="00C4057E" w:rsidRDefault="00C4057E" w:rsidP="00C4057E">
            <w:pPr>
              <w:spacing w:after="0" w:line="240" w:lineRule="auto"/>
              <w:jc w:val="center"/>
              <w:rPr>
                <w:rFonts w:ascii="Arial" w:eastAsia="Times New Roman" w:hAnsi="Arial" w:cs="Arial"/>
                <w:color w:val="FFFFFF" w:themeColor="background1"/>
                <w:sz w:val="20"/>
                <w:szCs w:val="20"/>
              </w:rPr>
            </w:pPr>
            <w:r w:rsidRPr="00C4057E">
              <w:rPr>
                <w:rFonts w:ascii="Arial" w:eastAsia="Times New Roman" w:hAnsi="Arial" w:cs="Arial"/>
                <w:color w:val="FFFFFF" w:themeColor="background1"/>
                <w:sz w:val="20"/>
                <w:szCs w:val="20"/>
              </w:rPr>
              <w:t>117</w:t>
            </w:r>
          </w:p>
        </w:tc>
        <w:tc>
          <w:tcPr>
            <w:tcW w:w="1508" w:type="dxa"/>
            <w:tcBorders>
              <w:top w:val="nil"/>
              <w:left w:val="nil"/>
              <w:bottom w:val="single" w:sz="4" w:space="0" w:color="auto"/>
              <w:right w:val="single" w:sz="4" w:space="0" w:color="auto"/>
            </w:tcBorders>
            <w:shd w:val="clear" w:color="auto" w:fill="808080" w:themeFill="background1" w:themeFillShade="80"/>
            <w:noWrap/>
            <w:vAlign w:val="bottom"/>
            <w:hideMark/>
          </w:tcPr>
          <w:p w14:paraId="7BCB97E4" w14:textId="77777777" w:rsidR="00C4057E" w:rsidRPr="00C4057E" w:rsidRDefault="00C4057E" w:rsidP="00C4057E">
            <w:pPr>
              <w:spacing w:after="0" w:line="240" w:lineRule="auto"/>
              <w:jc w:val="center"/>
              <w:rPr>
                <w:rFonts w:ascii="Arial" w:eastAsia="Times New Roman" w:hAnsi="Arial" w:cs="Arial"/>
                <w:color w:val="FFFFFF" w:themeColor="background1"/>
                <w:sz w:val="20"/>
                <w:szCs w:val="20"/>
              </w:rPr>
            </w:pPr>
            <w:r w:rsidRPr="00C4057E">
              <w:rPr>
                <w:rFonts w:ascii="Arial" w:eastAsia="Times New Roman" w:hAnsi="Arial" w:cs="Arial"/>
                <w:color w:val="FFFFFF" w:themeColor="background1"/>
                <w:sz w:val="20"/>
                <w:szCs w:val="20"/>
              </w:rPr>
              <w:t>117</w:t>
            </w:r>
          </w:p>
        </w:tc>
        <w:tc>
          <w:tcPr>
            <w:tcW w:w="1507" w:type="dxa"/>
            <w:tcBorders>
              <w:top w:val="nil"/>
              <w:left w:val="nil"/>
              <w:bottom w:val="single" w:sz="4" w:space="0" w:color="auto"/>
              <w:right w:val="single" w:sz="4" w:space="0" w:color="auto"/>
            </w:tcBorders>
            <w:shd w:val="clear" w:color="auto" w:fill="808080" w:themeFill="background1" w:themeFillShade="80"/>
            <w:noWrap/>
            <w:vAlign w:val="bottom"/>
            <w:hideMark/>
          </w:tcPr>
          <w:p w14:paraId="4C8F10F8" w14:textId="77777777" w:rsidR="00C4057E" w:rsidRPr="00C4057E" w:rsidRDefault="00C4057E" w:rsidP="00C4057E">
            <w:pPr>
              <w:spacing w:after="0" w:line="240" w:lineRule="auto"/>
              <w:jc w:val="center"/>
              <w:rPr>
                <w:rFonts w:ascii="Arial" w:eastAsia="Times New Roman" w:hAnsi="Arial" w:cs="Arial"/>
                <w:color w:val="FFFFFF" w:themeColor="background1"/>
                <w:sz w:val="20"/>
                <w:szCs w:val="20"/>
              </w:rPr>
            </w:pPr>
            <w:r w:rsidRPr="00C4057E">
              <w:rPr>
                <w:rFonts w:ascii="Arial" w:eastAsia="Times New Roman" w:hAnsi="Arial" w:cs="Arial"/>
                <w:color w:val="FFFFFF" w:themeColor="background1"/>
                <w:sz w:val="20"/>
                <w:szCs w:val="20"/>
              </w:rPr>
              <w:t>101</w:t>
            </w:r>
          </w:p>
        </w:tc>
        <w:tc>
          <w:tcPr>
            <w:tcW w:w="1508" w:type="dxa"/>
            <w:tcBorders>
              <w:top w:val="nil"/>
              <w:left w:val="nil"/>
              <w:bottom w:val="single" w:sz="4" w:space="0" w:color="auto"/>
              <w:right w:val="single" w:sz="4" w:space="0" w:color="auto"/>
            </w:tcBorders>
            <w:shd w:val="clear" w:color="auto" w:fill="808080" w:themeFill="background1" w:themeFillShade="80"/>
            <w:noWrap/>
            <w:vAlign w:val="bottom"/>
            <w:hideMark/>
          </w:tcPr>
          <w:p w14:paraId="278ADFC6" w14:textId="77777777" w:rsidR="00C4057E" w:rsidRPr="00C4057E" w:rsidRDefault="00C4057E" w:rsidP="00C4057E">
            <w:pPr>
              <w:spacing w:after="0" w:line="240" w:lineRule="auto"/>
              <w:jc w:val="center"/>
              <w:rPr>
                <w:rFonts w:ascii="Arial" w:eastAsia="Times New Roman" w:hAnsi="Arial" w:cs="Arial"/>
                <w:color w:val="FFFFFF" w:themeColor="background1"/>
                <w:sz w:val="20"/>
                <w:szCs w:val="20"/>
              </w:rPr>
            </w:pPr>
            <w:r w:rsidRPr="00C4057E">
              <w:rPr>
                <w:rFonts w:ascii="Arial" w:eastAsia="Times New Roman" w:hAnsi="Arial" w:cs="Arial"/>
                <w:color w:val="FFFFFF" w:themeColor="background1"/>
                <w:sz w:val="20"/>
                <w:szCs w:val="20"/>
              </w:rPr>
              <w:t>170</w:t>
            </w:r>
          </w:p>
        </w:tc>
      </w:tr>
      <w:tr w:rsidR="00C4057E" w:rsidRPr="00C4057E" w14:paraId="1AE4D9FF" w14:textId="77777777" w:rsidTr="007B0B28">
        <w:trPr>
          <w:trHeight w:val="285"/>
        </w:trPr>
        <w:tc>
          <w:tcPr>
            <w:tcW w:w="750" w:type="dxa"/>
            <w:vMerge/>
            <w:tcBorders>
              <w:top w:val="nil"/>
              <w:left w:val="single" w:sz="4" w:space="0" w:color="auto"/>
              <w:bottom w:val="single" w:sz="4" w:space="0" w:color="auto"/>
              <w:right w:val="single" w:sz="4" w:space="0" w:color="auto"/>
            </w:tcBorders>
            <w:shd w:val="clear" w:color="auto" w:fill="808080" w:themeFill="background1" w:themeFillShade="80"/>
            <w:vAlign w:val="center"/>
            <w:hideMark/>
          </w:tcPr>
          <w:p w14:paraId="3A12C140" w14:textId="77777777" w:rsidR="00C4057E" w:rsidRPr="00C4057E" w:rsidRDefault="00C4057E" w:rsidP="00C4057E">
            <w:pPr>
              <w:spacing w:after="0" w:line="240" w:lineRule="auto"/>
              <w:rPr>
                <w:rFonts w:ascii="Arial" w:eastAsia="Times New Roman" w:hAnsi="Arial" w:cs="Arial"/>
                <w:color w:val="000000"/>
                <w:sz w:val="20"/>
                <w:szCs w:val="20"/>
              </w:rPr>
            </w:pPr>
          </w:p>
        </w:tc>
        <w:tc>
          <w:tcPr>
            <w:tcW w:w="2935" w:type="dxa"/>
            <w:tcBorders>
              <w:top w:val="nil"/>
              <w:left w:val="nil"/>
              <w:bottom w:val="single" w:sz="4" w:space="0" w:color="auto"/>
              <w:right w:val="single" w:sz="4" w:space="0" w:color="auto"/>
            </w:tcBorders>
            <w:shd w:val="clear" w:color="auto" w:fill="FFFFFF" w:themeFill="background1"/>
            <w:noWrap/>
            <w:vAlign w:val="bottom"/>
            <w:hideMark/>
          </w:tcPr>
          <w:p w14:paraId="7C8C974D" w14:textId="77777777" w:rsidR="00C4057E" w:rsidRPr="00C4057E" w:rsidRDefault="00C4057E" w:rsidP="00C4057E">
            <w:pPr>
              <w:spacing w:after="0" w:line="240" w:lineRule="auto"/>
              <w:rPr>
                <w:rFonts w:ascii="Arial" w:eastAsia="Times New Roman" w:hAnsi="Arial" w:cs="Arial"/>
                <w:color w:val="000000"/>
                <w:sz w:val="20"/>
                <w:szCs w:val="20"/>
              </w:rPr>
            </w:pPr>
            <w:r w:rsidRPr="00C4057E">
              <w:rPr>
                <w:rFonts w:ascii="Arial" w:eastAsia="Times New Roman" w:hAnsi="Arial" w:cs="Arial"/>
                <w:color w:val="000000"/>
                <w:sz w:val="20"/>
                <w:szCs w:val="20"/>
              </w:rPr>
              <w:t>12 Month Standard</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14:paraId="38956A1F"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140</w:t>
            </w:r>
          </w:p>
        </w:tc>
        <w:tc>
          <w:tcPr>
            <w:tcW w:w="1508" w:type="dxa"/>
            <w:tcBorders>
              <w:top w:val="nil"/>
              <w:left w:val="nil"/>
              <w:bottom w:val="single" w:sz="4" w:space="0" w:color="auto"/>
              <w:right w:val="single" w:sz="4" w:space="0" w:color="auto"/>
            </w:tcBorders>
            <w:shd w:val="clear" w:color="auto" w:fill="FFFFFF" w:themeFill="background1"/>
            <w:noWrap/>
            <w:vAlign w:val="bottom"/>
            <w:hideMark/>
          </w:tcPr>
          <w:p w14:paraId="5714F88F"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141</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14:paraId="5A9062DC"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121</w:t>
            </w:r>
          </w:p>
        </w:tc>
        <w:tc>
          <w:tcPr>
            <w:tcW w:w="1508" w:type="dxa"/>
            <w:tcBorders>
              <w:top w:val="nil"/>
              <w:left w:val="nil"/>
              <w:bottom w:val="single" w:sz="4" w:space="0" w:color="auto"/>
              <w:right w:val="single" w:sz="4" w:space="0" w:color="auto"/>
            </w:tcBorders>
            <w:shd w:val="clear" w:color="auto" w:fill="FFFFFF" w:themeFill="background1"/>
            <w:noWrap/>
            <w:vAlign w:val="bottom"/>
            <w:hideMark/>
          </w:tcPr>
          <w:p w14:paraId="702D74C0"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204</w:t>
            </w:r>
          </w:p>
        </w:tc>
      </w:tr>
      <w:tr w:rsidR="00C4057E" w:rsidRPr="00C4057E" w14:paraId="43084A1C" w14:textId="77777777" w:rsidTr="007B0B28">
        <w:trPr>
          <w:trHeight w:val="300"/>
        </w:trPr>
        <w:tc>
          <w:tcPr>
            <w:tcW w:w="750" w:type="dxa"/>
            <w:vMerge/>
            <w:tcBorders>
              <w:top w:val="nil"/>
              <w:left w:val="single" w:sz="4" w:space="0" w:color="auto"/>
              <w:bottom w:val="single" w:sz="4" w:space="0" w:color="auto"/>
              <w:right w:val="single" w:sz="4" w:space="0" w:color="auto"/>
            </w:tcBorders>
            <w:shd w:val="clear" w:color="auto" w:fill="808080" w:themeFill="background1" w:themeFillShade="80"/>
            <w:vAlign w:val="center"/>
            <w:hideMark/>
          </w:tcPr>
          <w:p w14:paraId="588BC302" w14:textId="77777777" w:rsidR="00C4057E" w:rsidRPr="00C4057E" w:rsidRDefault="00C4057E" w:rsidP="00C4057E">
            <w:pPr>
              <w:spacing w:after="0" w:line="240" w:lineRule="auto"/>
              <w:rPr>
                <w:rFonts w:ascii="Arial" w:eastAsia="Times New Roman" w:hAnsi="Arial" w:cs="Arial"/>
                <w:color w:val="000000"/>
                <w:sz w:val="20"/>
                <w:szCs w:val="20"/>
              </w:rPr>
            </w:pPr>
          </w:p>
        </w:tc>
        <w:tc>
          <w:tcPr>
            <w:tcW w:w="2935" w:type="dxa"/>
            <w:tcBorders>
              <w:top w:val="nil"/>
              <w:left w:val="nil"/>
              <w:bottom w:val="single" w:sz="4" w:space="0" w:color="auto"/>
              <w:right w:val="single" w:sz="4" w:space="0" w:color="auto"/>
            </w:tcBorders>
            <w:shd w:val="clear" w:color="auto" w:fill="D9D9D9" w:themeFill="background1" w:themeFillShade="D9"/>
            <w:noWrap/>
            <w:vAlign w:val="bottom"/>
            <w:hideMark/>
          </w:tcPr>
          <w:p w14:paraId="04C5067C" w14:textId="77777777" w:rsidR="00C4057E" w:rsidRPr="00C4057E" w:rsidRDefault="00C4057E" w:rsidP="00C4057E">
            <w:pPr>
              <w:spacing w:after="0" w:line="240" w:lineRule="auto"/>
              <w:rPr>
                <w:rFonts w:ascii="Arial" w:eastAsia="Times New Roman" w:hAnsi="Arial" w:cs="Arial"/>
                <w:color w:val="000000"/>
                <w:sz w:val="20"/>
                <w:szCs w:val="20"/>
              </w:rPr>
            </w:pPr>
            <w:r w:rsidRPr="00C4057E">
              <w:rPr>
                <w:rFonts w:ascii="Arial" w:eastAsia="Times New Roman" w:hAnsi="Arial" w:cs="Arial"/>
                <w:color w:val="000000"/>
                <w:sz w:val="20"/>
                <w:szCs w:val="20"/>
              </w:rPr>
              <w:t>12 Month Actual Performance</w:t>
            </w:r>
          </w:p>
        </w:tc>
        <w:tc>
          <w:tcPr>
            <w:tcW w:w="1507" w:type="dxa"/>
            <w:tcBorders>
              <w:top w:val="nil"/>
              <w:left w:val="nil"/>
              <w:bottom w:val="single" w:sz="4" w:space="0" w:color="auto"/>
              <w:right w:val="single" w:sz="4" w:space="0" w:color="auto"/>
            </w:tcBorders>
            <w:shd w:val="clear" w:color="auto" w:fill="D9D9D9" w:themeFill="background1" w:themeFillShade="D9"/>
            <w:noWrap/>
            <w:vAlign w:val="bottom"/>
            <w:hideMark/>
          </w:tcPr>
          <w:p w14:paraId="159685F6" w14:textId="77777777" w:rsidR="00C4057E" w:rsidRPr="00C4057E" w:rsidRDefault="00C4057E" w:rsidP="00C4057E">
            <w:pPr>
              <w:spacing w:after="0" w:line="240" w:lineRule="auto"/>
              <w:jc w:val="center"/>
              <w:rPr>
                <w:rFonts w:ascii="Arial" w:eastAsia="Times New Roman" w:hAnsi="Arial" w:cs="Arial"/>
                <w:color w:val="000000"/>
                <w:sz w:val="20"/>
                <w:szCs w:val="20"/>
              </w:rPr>
            </w:pPr>
            <w:r w:rsidRPr="00C4057E">
              <w:rPr>
                <w:rFonts w:ascii="Arial" w:eastAsia="Times New Roman" w:hAnsi="Arial" w:cs="Arial"/>
                <w:color w:val="000000"/>
                <w:sz w:val="20"/>
                <w:szCs w:val="20"/>
              </w:rPr>
              <w:t>105</w:t>
            </w:r>
          </w:p>
        </w:tc>
        <w:tc>
          <w:tcPr>
            <w:tcW w:w="1508" w:type="dxa"/>
            <w:tcBorders>
              <w:top w:val="nil"/>
              <w:left w:val="nil"/>
              <w:bottom w:val="single" w:sz="4" w:space="0" w:color="auto"/>
              <w:right w:val="single" w:sz="4" w:space="0" w:color="auto"/>
            </w:tcBorders>
            <w:shd w:val="clear" w:color="auto" w:fill="D9D9D9" w:themeFill="background1" w:themeFillShade="D9"/>
            <w:noWrap/>
            <w:vAlign w:val="bottom"/>
            <w:hideMark/>
          </w:tcPr>
          <w:p w14:paraId="4A9DE9B6" w14:textId="77777777" w:rsidR="00C4057E" w:rsidRPr="00C4057E" w:rsidRDefault="00C4057E" w:rsidP="00C4057E">
            <w:pPr>
              <w:spacing w:after="0" w:line="240" w:lineRule="auto"/>
              <w:jc w:val="center"/>
              <w:rPr>
                <w:rFonts w:ascii="Arial" w:eastAsia="Times New Roman" w:hAnsi="Arial" w:cs="Arial"/>
                <w:color w:val="000000"/>
                <w:sz w:val="20"/>
                <w:szCs w:val="20"/>
              </w:rPr>
            </w:pPr>
            <w:r w:rsidRPr="00C4057E">
              <w:rPr>
                <w:rFonts w:ascii="Arial" w:eastAsia="Times New Roman" w:hAnsi="Arial" w:cs="Arial"/>
                <w:color w:val="000000"/>
                <w:sz w:val="20"/>
                <w:szCs w:val="20"/>
              </w:rPr>
              <w:t>117</w:t>
            </w:r>
          </w:p>
        </w:tc>
        <w:tc>
          <w:tcPr>
            <w:tcW w:w="1507" w:type="dxa"/>
            <w:tcBorders>
              <w:top w:val="nil"/>
              <w:left w:val="nil"/>
              <w:bottom w:val="single" w:sz="4" w:space="0" w:color="auto"/>
              <w:right w:val="single" w:sz="4" w:space="0" w:color="auto"/>
            </w:tcBorders>
            <w:shd w:val="clear" w:color="auto" w:fill="D9D9D9" w:themeFill="background1" w:themeFillShade="D9"/>
            <w:noWrap/>
            <w:vAlign w:val="bottom"/>
            <w:hideMark/>
          </w:tcPr>
          <w:p w14:paraId="271BBF90" w14:textId="77777777" w:rsidR="00C4057E" w:rsidRPr="00C4057E" w:rsidRDefault="00C4057E" w:rsidP="00C4057E">
            <w:pPr>
              <w:spacing w:after="0" w:line="240" w:lineRule="auto"/>
              <w:jc w:val="center"/>
              <w:rPr>
                <w:rFonts w:ascii="Arial" w:eastAsia="Times New Roman" w:hAnsi="Arial" w:cs="Arial"/>
                <w:b/>
                <w:bCs/>
                <w:color w:val="FF0000"/>
                <w:sz w:val="20"/>
                <w:szCs w:val="20"/>
              </w:rPr>
            </w:pPr>
            <w:r w:rsidRPr="00C4057E">
              <w:rPr>
                <w:rFonts w:ascii="Arial" w:eastAsia="Times New Roman" w:hAnsi="Arial" w:cs="Arial"/>
                <w:b/>
                <w:bCs/>
                <w:color w:val="FF0000"/>
                <w:sz w:val="20"/>
                <w:szCs w:val="20"/>
              </w:rPr>
              <w:t>140</w:t>
            </w:r>
          </w:p>
        </w:tc>
        <w:tc>
          <w:tcPr>
            <w:tcW w:w="1508" w:type="dxa"/>
            <w:tcBorders>
              <w:top w:val="nil"/>
              <w:left w:val="nil"/>
              <w:bottom w:val="single" w:sz="4" w:space="0" w:color="auto"/>
              <w:right w:val="single" w:sz="4" w:space="0" w:color="auto"/>
            </w:tcBorders>
            <w:shd w:val="clear" w:color="auto" w:fill="D9D9D9" w:themeFill="background1" w:themeFillShade="D9"/>
            <w:noWrap/>
            <w:vAlign w:val="bottom"/>
            <w:hideMark/>
          </w:tcPr>
          <w:p w14:paraId="6E90C5FC" w14:textId="77777777" w:rsidR="00C4057E" w:rsidRPr="00C4057E" w:rsidRDefault="00C4057E" w:rsidP="00C4057E">
            <w:pPr>
              <w:spacing w:after="0" w:line="240" w:lineRule="auto"/>
              <w:jc w:val="center"/>
              <w:rPr>
                <w:rFonts w:ascii="Arial" w:eastAsia="Times New Roman" w:hAnsi="Arial" w:cs="Arial"/>
                <w:color w:val="000000"/>
                <w:sz w:val="20"/>
                <w:szCs w:val="20"/>
              </w:rPr>
            </w:pPr>
            <w:r w:rsidRPr="00C4057E">
              <w:rPr>
                <w:rFonts w:ascii="Arial" w:eastAsia="Times New Roman" w:hAnsi="Arial" w:cs="Arial"/>
                <w:color w:val="000000"/>
                <w:sz w:val="20"/>
                <w:szCs w:val="20"/>
              </w:rPr>
              <w:t>183</w:t>
            </w:r>
          </w:p>
        </w:tc>
      </w:tr>
      <w:tr w:rsidR="00C4057E" w:rsidRPr="00C4057E" w14:paraId="67759D6F" w14:textId="77777777" w:rsidTr="007B0B28">
        <w:trPr>
          <w:trHeight w:val="285"/>
        </w:trPr>
        <w:tc>
          <w:tcPr>
            <w:tcW w:w="750" w:type="dxa"/>
            <w:vMerge/>
            <w:tcBorders>
              <w:top w:val="nil"/>
              <w:left w:val="single" w:sz="4" w:space="0" w:color="auto"/>
              <w:bottom w:val="single" w:sz="4" w:space="0" w:color="auto"/>
              <w:right w:val="single" w:sz="4" w:space="0" w:color="auto"/>
            </w:tcBorders>
            <w:shd w:val="clear" w:color="auto" w:fill="808080" w:themeFill="background1" w:themeFillShade="80"/>
            <w:vAlign w:val="center"/>
            <w:hideMark/>
          </w:tcPr>
          <w:p w14:paraId="300FEDDD" w14:textId="77777777" w:rsidR="00C4057E" w:rsidRPr="00C4057E" w:rsidRDefault="00C4057E" w:rsidP="00C4057E">
            <w:pPr>
              <w:spacing w:after="0" w:line="240" w:lineRule="auto"/>
              <w:rPr>
                <w:rFonts w:ascii="Arial" w:eastAsia="Times New Roman" w:hAnsi="Arial" w:cs="Arial"/>
                <w:color w:val="000000"/>
                <w:sz w:val="20"/>
                <w:szCs w:val="20"/>
              </w:rPr>
            </w:pPr>
          </w:p>
        </w:tc>
        <w:tc>
          <w:tcPr>
            <w:tcW w:w="2935" w:type="dxa"/>
            <w:tcBorders>
              <w:top w:val="nil"/>
              <w:left w:val="nil"/>
              <w:bottom w:val="single" w:sz="4" w:space="0" w:color="auto"/>
              <w:right w:val="single" w:sz="4" w:space="0" w:color="auto"/>
            </w:tcBorders>
            <w:shd w:val="clear" w:color="auto" w:fill="FFFFFF" w:themeFill="background1"/>
            <w:noWrap/>
            <w:vAlign w:val="bottom"/>
            <w:hideMark/>
          </w:tcPr>
          <w:p w14:paraId="6E24FB05" w14:textId="77777777" w:rsidR="00C4057E" w:rsidRPr="00C4057E" w:rsidRDefault="00C4057E" w:rsidP="00C4057E">
            <w:pPr>
              <w:spacing w:after="0" w:line="240" w:lineRule="auto"/>
              <w:rPr>
                <w:rFonts w:ascii="Arial" w:eastAsia="Times New Roman" w:hAnsi="Arial" w:cs="Arial"/>
                <w:color w:val="000000"/>
                <w:sz w:val="20"/>
                <w:szCs w:val="20"/>
              </w:rPr>
            </w:pPr>
            <w:r w:rsidRPr="00C4057E">
              <w:rPr>
                <w:rFonts w:ascii="Arial" w:eastAsia="Times New Roman" w:hAnsi="Arial" w:cs="Arial"/>
                <w:color w:val="000000"/>
                <w:sz w:val="20"/>
                <w:szCs w:val="20"/>
              </w:rPr>
              <w:t>36 Month Standard</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14:paraId="1BBED073"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129</w:t>
            </w:r>
          </w:p>
        </w:tc>
        <w:tc>
          <w:tcPr>
            <w:tcW w:w="1508" w:type="dxa"/>
            <w:tcBorders>
              <w:top w:val="nil"/>
              <w:left w:val="nil"/>
              <w:bottom w:val="single" w:sz="4" w:space="0" w:color="auto"/>
              <w:right w:val="single" w:sz="4" w:space="0" w:color="auto"/>
            </w:tcBorders>
            <w:shd w:val="clear" w:color="auto" w:fill="FFFFFF" w:themeFill="background1"/>
            <w:noWrap/>
            <w:vAlign w:val="bottom"/>
            <w:hideMark/>
          </w:tcPr>
          <w:p w14:paraId="024F9955"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129</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14:paraId="42BA0548"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111</w:t>
            </w:r>
          </w:p>
        </w:tc>
        <w:tc>
          <w:tcPr>
            <w:tcW w:w="1508" w:type="dxa"/>
            <w:tcBorders>
              <w:top w:val="nil"/>
              <w:left w:val="nil"/>
              <w:bottom w:val="single" w:sz="4" w:space="0" w:color="auto"/>
              <w:right w:val="single" w:sz="4" w:space="0" w:color="auto"/>
            </w:tcBorders>
            <w:shd w:val="clear" w:color="auto" w:fill="FFFFFF" w:themeFill="background1"/>
            <w:noWrap/>
            <w:vAlign w:val="bottom"/>
            <w:hideMark/>
          </w:tcPr>
          <w:p w14:paraId="756965DC"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187</w:t>
            </w:r>
          </w:p>
        </w:tc>
      </w:tr>
      <w:tr w:rsidR="00C4057E" w:rsidRPr="00C4057E" w14:paraId="134F4D2F" w14:textId="77777777" w:rsidTr="007B0B28">
        <w:trPr>
          <w:trHeight w:val="300"/>
        </w:trPr>
        <w:tc>
          <w:tcPr>
            <w:tcW w:w="750" w:type="dxa"/>
            <w:vMerge/>
            <w:tcBorders>
              <w:top w:val="nil"/>
              <w:left w:val="single" w:sz="4" w:space="0" w:color="auto"/>
              <w:bottom w:val="single" w:sz="4" w:space="0" w:color="auto"/>
              <w:right w:val="single" w:sz="4" w:space="0" w:color="auto"/>
            </w:tcBorders>
            <w:shd w:val="clear" w:color="auto" w:fill="808080" w:themeFill="background1" w:themeFillShade="80"/>
            <w:vAlign w:val="center"/>
            <w:hideMark/>
          </w:tcPr>
          <w:p w14:paraId="2625968C" w14:textId="77777777" w:rsidR="00C4057E" w:rsidRPr="00C4057E" w:rsidRDefault="00C4057E" w:rsidP="00C4057E">
            <w:pPr>
              <w:spacing w:after="0" w:line="240" w:lineRule="auto"/>
              <w:rPr>
                <w:rFonts w:ascii="Arial" w:eastAsia="Times New Roman" w:hAnsi="Arial" w:cs="Arial"/>
                <w:color w:val="000000"/>
                <w:sz w:val="20"/>
                <w:szCs w:val="20"/>
              </w:rPr>
            </w:pPr>
          </w:p>
        </w:tc>
        <w:tc>
          <w:tcPr>
            <w:tcW w:w="2935" w:type="dxa"/>
            <w:tcBorders>
              <w:top w:val="nil"/>
              <w:left w:val="nil"/>
              <w:bottom w:val="single" w:sz="4" w:space="0" w:color="auto"/>
              <w:right w:val="single" w:sz="4" w:space="0" w:color="auto"/>
            </w:tcBorders>
            <w:shd w:val="clear" w:color="auto" w:fill="D9D9D9" w:themeFill="background1" w:themeFillShade="D9"/>
            <w:noWrap/>
            <w:vAlign w:val="bottom"/>
            <w:hideMark/>
          </w:tcPr>
          <w:p w14:paraId="0B0D4FEE" w14:textId="77777777" w:rsidR="00C4057E" w:rsidRPr="00C4057E" w:rsidRDefault="00C4057E" w:rsidP="00C4057E">
            <w:pPr>
              <w:spacing w:after="0" w:line="240" w:lineRule="auto"/>
              <w:rPr>
                <w:rFonts w:ascii="Arial" w:eastAsia="Times New Roman" w:hAnsi="Arial" w:cs="Arial"/>
                <w:color w:val="000000"/>
                <w:sz w:val="20"/>
                <w:szCs w:val="20"/>
              </w:rPr>
            </w:pPr>
            <w:r w:rsidRPr="00C4057E">
              <w:rPr>
                <w:rFonts w:ascii="Arial" w:eastAsia="Times New Roman" w:hAnsi="Arial" w:cs="Arial"/>
                <w:color w:val="000000"/>
                <w:sz w:val="20"/>
                <w:szCs w:val="20"/>
              </w:rPr>
              <w:t>36 Month Actual Performance</w:t>
            </w:r>
          </w:p>
        </w:tc>
        <w:tc>
          <w:tcPr>
            <w:tcW w:w="1507" w:type="dxa"/>
            <w:tcBorders>
              <w:top w:val="nil"/>
              <w:left w:val="nil"/>
              <w:bottom w:val="single" w:sz="4" w:space="0" w:color="auto"/>
              <w:right w:val="single" w:sz="4" w:space="0" w:color="auto"/>
            </w:tcBorders>
            <w:shd w:val="clear" w:color="auto" w:fill="D9D9D9" w:themeFill="background1" w:themeFillShade="D9"/>
            <w:noWrap/>
            <w:vAlign w:val="bottom"/>
            <w:hideMark/>
          </w:tcPr>
          <w:p w14:paraId="18C0137D" w14:textId="77777777" w:rsidR="00C4057E" w:rsidRPr="00C4057E" w:rsidRDefault="00C4057E" w:rsidP="00C4057E">
            <w:pPr>
              <w:spacing w:after="0" w:line="240" w:lineRule="auto"/>
              <w:jc w:val="center"/>
              <w:rPr>
                <w:rFonts w:ascii="Arial" w:eastAsia="Times New Roman" w:hAnsi="Arial" w:cs="Arial"/>
                <w:color w:val="000000"/>
                <w:sz w:val="20"/>
                <w:szCs w:val="20"/>
              </w:rPr>
            </w:pPr>
            <w:r w:rsidRPr="00C4057E">
              <w:rPr>
                <w:rFonts w:ascii="Arial" w:eastAsia="Times New Roman" w:hAnsi="Arial" w:cs="Arial"/>
                <w:color w:val="000000"/>
                <w:sz w:val="20"/>
                <w:szCs w:val="20"/>
              </w:rPr>
              <w:t>114</w:t>
            </w:r>
          </w:p>
        </w:tc>
        <w:tc>
          <w:tcPr>
            <w:tcW w:w="1508" w:type="dxa"/>
            <w:tcBorders>
              <w:top w:val="nil"/>
              <w:left w:val="nil"/>
              <w:bottom w:val="single" w:sz="4" w:space="0" w:color="auto"/>
              <w:right w:val="single" w:sz="4" w:space="0" w:color="auto"/>
            </w:tcBorders>
            <w:shd w:val="clear" w:color="auto" w:fill="D9D9D9" w:themeFill="background1" w:themeFillShade="D9"/>
            <w:noWrap/>
            <w:vAlign w:val="bottom"/>
            <w:hideMark/>
          </w:tcPr>
          <w:p w14:paraId="1BB85477" w14:textId="77777777" w:rsidR="00C4057E" w:rsidRPr="00C4057E" w:rsidRDefault="00C4057E" w:rsidP="00C4057E">
            <w:pPr>
              <w:spacing w:after="0" w:line="240" w:lineRule="auto"/>
              <w:jc w:val="center"/>
              <w:rPr>
                <w:rFonts w:ascii="Arial" w:eastAsia="Times New Roman" w:hAnsi="Arial" w:cs="Arial"/>
                <w:b/>
                <w:bCs/>
                <w:color w:val="FF0000"/>
                <w:sz w:val="20"/>
                <w:szCs w:val="20"/>
              </w:rPr>
            </w:pPr>
            <w:r w:rsidRPr="00C4057E">
              <w:rPr>
                <w:rFonts w:ascii="Arial" w:eastAsia="Times New Roman" w:hAnsi="Arial" w:cs="Arial"/>
                <w:b/>
                <w:bCs/>
                <w:color w:val="FF0000"/>
                <w:sz w:val="20"/>
                <w:szCs w:val="20"/>
              </w:rPr>
              <w:t>141</w:t>
            </w:r>
          </w:p>
        </w:tc>
        <w:tc>
          <w:tcPr>
            <w:tcW w:w="1507" w:type="dxa"/>
            <w:tcBorders>
              <w:top w:val="nil"/>
              <w:left w:val="nil"/>
              <w:bottom w:val="single" w:sz="4" w:space="0" w:color="auto"/>
              <w:right w:val="single" w:sz="4" w:space="0" w:color="auto"/>
            </w:tcBorders>
            <w:shd w:val="clear" w:color="auto" w:fill="D9D9D9" w:themeFill="background1" w:themeFillShade="D9"/>
            <w:noWrap/>
            <w:vAlign w:val="bottom"/>
            <w:hideMark/>
          </w:tcPr>
          <w:p w14:paraId="098D1999" w14:textId="77777777" w:rsidR="00C4057E" w:rsidRPr="00C4057E" w:rsidRDefault="00C4057E" w:rsidP="00C4057E">
            <w:pPr>
              <w:spacing w:after="0" w:line="240" w:lineRule="auto"/>
              <w:jc w:val="center"/>
              <w:rPr>
                <w:rFonts w:ascii="Arial" w:eastAsia="Times New Roman" w:hAnsi="Arial" w:cs="Arial"/>
                <w:b/>
                <w:bCs/>
                <w:color w:val="FF0000"/>
                <w:sz w:val="20"/>
                <w:szCs w:val="20"/>
              </w:rPr>
            </w:pPr>
            <w:r w:rsidRPr="00C4057E">
              <w:rPr>
                <w:rFonts w:ascii="Arial" w:eastAsia="Times New Roman" w:hAnsi="Arial" w:cs="Arial"/>
                <w:b/>
                <w:bCs/>
                <w:color w:val="FF0000"/>
                <w:sz w:val="20"/>
                <w:szCs w:val="20"/>
              </w:rPr>
              <w:t>131</w:t>
            </w:r>
          </w:p>
        </w:tc>
        <w:tc>
          <w:tcPr>
            <w:tcW w:w="1508" w:type="dxa"/>
            <w:tcBorders>
              <w:top w:val="nil"/>
              <w:left w:val="nil"/>
              <w:bottom w:val="single" w:sz="4" w:space="0" w:color="auto"/>
              <w:right w:val="single" w:sz="4" w:space="0" w:color="auto"/>
            </w:tcBorders>
            <w:shd w:val="clear" w:color="auto" w:fill="D9D9D9" w:themeFill="background1" w:themeFillShade="D9"/>
            <w:noWrap/>
            <w:vAlign w:val="bottom"/>
            <w:hideMark/>
          </w:tcPr>
          <w:p w14:paraId="051BB730" w14:textId="77777777" w:rsidR="00C4057E" w:rsidRPr="00C4057E" w:rsidRDefault="00C4057E" w:rsidP="00C4057E">
            <w:pPr>
              <w:spacing w:after="0" w:line="240" w:lineRule="auto"/>
              <w:jc w:val="center"/>
              <w:rPr>
                <w:rFonts w:ascii="Arial" w:eastAsia="Times New Roman" w:hAnsi="Arial" w:cs="Arial"/>
                <w:color w:val="000000"/>
                <w:sz w:val="20"/>
                <w:szCs w:val="20"/>
              </w:rPr>
            </w:pPr>
            <w:r w:rsidRPr="00C4057E">
              <w:rPr>
                <w:rFonts w:ascii="Arial" w:eastAsia="Times New Roman" w:hAnsi="Arial" w:cs="Arial"/>
                <w:color w:val="000000"/>
                <w:sz w:val="20"/>
                <w:szCs w:val="20"/>
              </w:rPr>
              <w:t>187</w:t>
            </w:r>
          </w:p>
        </w:tc>
      </w:tr>
      <w:tr w:rsidR="00C4057E" w:rsidRPr="00C4057E" w14:paraId="0FBD62E7" w14:textId="77777777" w:rsidTr="007B0B28">
        <w:trPr>
          <w:trHeight w:val="285"/>
        </w:trPr>
        <w:tc>
          <w:tcPr>
            <w:tcW w:w="750" w:type="dxa"/>
            <w:vMerge w:val="restart"/>
            <w:tcBorders>
              <w:top w:val="nil"/>
              <w:left w:val="single" w:sz="4" w:space="0" w:color="auto"/>
              <w:bottom w:val="single" w:sz="4" w:space="0" w:color="auto"/>
              <w:right w:val="single" w:sz="4" w:space="0" w:color="auto"/>
            </w:tcBorders>
            <w:shd w:val="clear" w:color="auto" w:fill="5F497A" w:themeFill="accent4" w:themeFillShade="BF"/>
            <w:noWrap/>
            <w:vAlign w:val="center"/>
            <w:hideMark/>
          </w:tcPr>
          <w:p w14:paraId="6450C602" w14:textId="77777777" w:rsidR="00C4057E" w:rsidRPr="00C4057E" w:rsidRDefault="00C4057E" w:rsidP="00C4057E">
            <w:pPr>
              <w:spacing w:after="0" w:line="240" w:lineRule="auto"/>
              <w:jc w:val="center"/>
              <w:rPr>
                <w:rFonts w:ascii="Arial" w:eastAsia="Times New Roman" w:hAnsi="Arial" w:cs="Arial"/>
                <w:color w:val="FFFFFF" w:themeColor="background1"/>
                <w:sz w:val="20"/>
                <w:szCs w:val="20"/>
              </w:rPr>
            </w:pPr>
            <w:r w:rsidRPr="00C4057E">
              <w:rPr>
                <w:rFonts w:ascii="Arial" w:eastAsia="Times New Roman" w:hAnsi="Arial" w:cs="Arial"/>
                <w:color w:val="FFFFFF" w:themeColor="background1"/>
                <w:sz w:val="20"/>
                <w:szCs w:val="20"/>
              </w:rPr>
              <w:t>SAIDI</w:t>
            </w:r>
          </w:p>
        </w:tc>
        <w:tc>
          <w:tcPr>
            <w:tcW w:w="2935" w:type="dxa"/>
            <w:tcBorders>
              <w:top w:val="nil"/>
              <w:left w:val="nil"/>
              <w:bottom w:val="single" w:sz="4" w:space="0" w:color="auto"/>
              <w:right w:val="single" w:sz="4" w:space="0" w:color="auto"/>
            </w:tcBorders>
            <w:shd w:val="clear" w:color="auto" w:fill="5F497A" w:themeFill="accent4" w:themeFillShade="BF"/>
            <w:noWrap/>
            <w:vAlign w:val="bottom"/>
            <w:hideMark/>
          </w:tcPr>
          <w:p w14:paraId="09C934F0" w14:textId="77777777" w:rsidR="00C4057E" w:rsidRPr="00C4057E" w:rsidRDefault="00C4057E" w:rsidP="00C4057E">
            <w:pPr>
              <w:spacing w:after="0" w:line="240" w:lineRule="auto"/>
              <w:rPr>
                <w:rFonts w:ascii="Arial" w:eastAsia="Times New Roman" w:hAnsi="Arial" w:cs="Arial"/>
                <w:color w:val="FFFFFF" w:themeColor="background1"/>
                <w:sz w:val="20"/>
                <w:szCs w:val="20"/>
              </w:rPr>
            </w:pPr>
            <w:r w:rsidRPr="00C4057E">
              <w:rPr>
                <w:rFonts w:ascii="Arial" w:eastAsia="Times New Roman" w:hAnsi="Arial" w:cs="Arial"/>
                <w:color w:val="FFFFFF" w:themeColor="background1"/>
                <w:sz w:val="20"/>
                <w:szCs w:val="20"/>
              </w:rPr>
              <w:t>Benchmark</w:t>
            </w:r>
          </w:p>
        </w:tc>
        <w:tc>
          <w:tcPr>
            <w:tcW w:w="1507" w:type="dxa"/>
            <w:tcBorders>
              <w:top w:val="nil"/>
              <w:left w:val="nil"/>
              <w:bottom w:val="single" w:sz="4" w:space="0" w:color="auto"/>
              <w:right w:val="single" w:sz="4" w:space="0" w:color="auto"/>
            </w:tcBorders>
            <w:shd w:val="clear" w:color="auto" w:fill="5F497A" w:themeFill="accent4" w:themeFillShade="BF"/>
            <w:noWrap/>
            <w:vAlign w:val="bottom"/>
            <w:hideMark/>
          </w:tcPr>
          <w:p w14:paraId="0700987C" w14:textId="77777777" w:rsidR="00C4057E" w:rsidRPr="00C4057E" w:rsidRDefault="00C4057E" w:rsidP="00C4057E">
            <w:pPr>
              <w:spacing w:after="0" w:line="240" w:lineRule="auto"/>
              <w:jc w:val="center"/>
              <w:rPr>
                <w:rFonts w:ascii="Arial" w:eastAsia="Times New Roman" w:hAnsi="Arial" w:cs="Arial"/>
                <w:color w:val="FFFFFF" w:themeColor="background1"/>
                <w:sz w:val="20"/>
                <w:szCs w:val="20"/>
              </w:rPr>
            </w:pPr>
            <w:r w:rsidRPr="00C4057E">
              <w:rPr>
                <w:rFonts w:ascii="Arial" w:eastAsia="Times New Roman" w:hAnsi="Arial" w:cs="Arial"/>
                <w:color w:val="FFFFFF" w:themeColor="background1"/>
                <w:sz w:val="20"/>
                <w:szCs w:val="20"/>
              </w:rPr>
              <w:t>135</w:t>
            </w:r>
          </w:p>
        </w:tc>
        <w:tc>
          <w:tcPr>
            <w:tcW w:w="1508" w:type="dxa"/>
            <w:tcBorders>
              <w:top w:val="nil"/>
              <w:left w:val="nil"/>
              <w:bottom w:val="single" w:sz="4" w:space="0" w:color="auto"/>
              <w:right w:val="single" w:sz="4" w:space="0" w:color="auto"/>
            </w:tcBorders>
            <w:shd w:val="clear" w:color="auto" w:fill="5F497A" w:themeFill="accent4" w:themeFillShade="BF"/>
            <w:noWrap/>
            <w:vAlign w:val="bottom"/>
            <w:hideMark/>
          </w:tcPr>
          <w:p w14:paraId="3CE6707D" w14:textId="77777777" w:rsidR="00C4057E" w:rsidRPr="00C4057E" w:rsidRDefault="00C4057E" w:rsidP="00C4057E">
            <w:pPr>
              <w:spacing w:after="0" w:line="240" w:lineRule="auto"/>
              <w:jc w:val="center"/>
              <w:rPr>
                <w:rFonts w:ascii="Arial" w:eastAsia="Times New Roman" w:hAnsi="Arial" w:cs="Arial"/>
                <w:color w:val="FFFFFF" w:themeColor="background1"/>
                <w:sz w:val="20"/>
                <w:szCs w:val="20"/>
              </w:rPr>
            </w:pPr>
            <w:r w:rsidRPr="00C4057E">
              <w:rPr>
                <w:rFonts w:ascii="Arial" w:eastAsia="Times New Roman" w:hAnsi="Arial" w:cs="Arial"/>
                <w:color w:val="FFFFFF" w:themeColor="background1"/>
                <w:sz w:val="20"/>
                <w:szCs w:val="20"/>
              </w:rPr>
              <w:t>148</w:t>
            </w:r>
          </w:p>
        </w:tc>
        <w:tc>
          <w:tcPr>
            <w:tcW w:w="1507" w:type="dxa"/>
            <w:tcBorders>
              <w:top w:val="nil"/>
              <w:left w:val="nil"/>
              <w:bottom w:val="single" w:sz="4" w:space="0" w:color="auto"/>
              <w:right w:val="single" w:sz="4" w:space="0" w:color="auto"/>
            </w:tcBorders>
            <w:shd w:val="clear" w:color="auto" w:fill="5F497A" w:themeFill="accent4" w:themeFillShade="BF"/>
            <w:noWrap/>
            <w:vAlign w:val="bottom"/>
            <w:hideMark/>
          </w:tcPr>
          <w:p w14:paraId="6F764206" w14:textId="77777777" w:rsidR="00C4057E" w:rsidRPr="00C4057E" w:rsidRDefault="00C4057E" w:rsidP="00C4057E">
            <w:pPr>
              <w:spacing w:after="0" w:line="240" w:lineRule="auto"/>
              <w:jc w:val="center"/>
              <w:rPr>
                <w:rFonts w:ascii="Arial" w:eastAsia="Times New Roman" w:hAnsi="Arial" w:cs="Arial"/>
                <w:color w:val="FFFFFF" w:themeColor="background1"/>
                <w:sz w:val="20"/>
                <w:szCs w:val="20"/>
              </w:rPr>
            </w:pPr>
            <w:r w:rsidRPr="00C4057E">
              <w:rPr>
                <w:rFonts w:ascii="Arial" w:eastAsia="Times New Roman" w:hAnsi="Arial" w:cs="Arial"/>
                <w:color w:val="FFFFFF" w:themeColor="background1"/>
                <w:sz w:val="20"/>
                <w:szCs w:val="20"/>
              </w:rPr>
              <w:t>113</w:t>
            </w:r>
          </w:p>
        </w:tc>
        <w:tc>
          <w:tcPr>
            <w:tcW w:w="1508" w:type="dxa"/>
            <w:tcBorders>
              <w:top w:val="nil"/>
              <w:left w:val="nil"/>
              <w:bottom w:val="single" w:sz="4" w:space="0" w:color="auto"/>
              <w:right w:val="single" w:sz="4" w:space="0" w:color="auto"/>
            </w:tcBorders>
            <w:shd w:val="clear" w:color="auto" w:fill="5F497A" w:themeFill="accent4" w:themeFillShade="BF"/>
            <w:noWrap/>
            <w:vAlign w:val="bottom"/>
            <w:hideMark/>
          </w:tcPr>
          <w:p w14:paraId="26CFDF7C" w14:textId="77777777" w:rsidR="00C4057E" w:rsidRPr="00C4057E" w:rsidRDefault="00C4057E" w:rsidP="00C4057E">
            <w:pPr>
              <w:spacing w:after="0" w:line="240" w:lineRule="auto"/>
              <w:jc w:val="center"/>
              <w:rPr>
                <w:rFonts w:ascii="Arial" w:eastAsia="Times New Roman" w:hAnsi="Arial" w:cs="Arial"/>
                <w:color w:val="FFFFFF" w:themeColor="background1"/>
                <w:sz w:val="20"/>
                <w:szCs w:val="20"/>
              </w:rPr>
            </w:pPr>
            <w:r w:rsidRPr="00C4057E">
              <w:rPr>
                <w:rFonts w:ascii="Arial" w:eastAsia="Times New Roman" w:hAnsi="Arial" w:cs="Arial"/>
                <w:color w:val="FFFFFF" w:themeColor="background1"/>
                <w:sz w:val="20"/>
                <w:szCs w:val="20"/>
              </w:rPr>
              <w:t>179</w:t>
            </w:r>
          </w:p>
        </w:tc>
      </w:tr>
      <w:tr w:rsidR="00C4057E" w:rsidRPr="00C4057E" w14:paraId="498430B8" w14:textId="77777777" w:rsidTr="007B0B28">
        <w:trPr>
          <w:trHeight w:val="285"/>
        </w:trPr>
        <w:tc>
          <w:tcPr>
            <w:tcW w:w="750" w:type="dxa"/>
            <w:vMerge/>
            <w:tcBorders>
              <w:top w:val="nil"/>
              <w:left w:val="single" w:sz="4" w:space="0" w:color="auto"/>
              <w:bottom w:val="single" w:sz="4" w:space="0" w:color="auto"/>
              <w:right w:val="single" w:sz="4" w:space="0" w:color="auto"/>
            </w:tcBorders>
            <w:shd w:val="clear" w:color="auto" w:fill="5F497A" w:themeFill="accent4" w:themeFillShade="BF"/>
            <w:vAlign w:val="center"/>
            <w:hideMark/>
          </w:tcPr>
          <w:p w14:paraId="6F87FD00" w14:textId="77777777" w:rsidR="00C4057E" w:rsidRPr="00C4057E" w:rsidRDefault="00C4057E" w:rsidP="00C4057E">
            <w:pPr>
              <w:spacing w:after="0" w:line="240" w:lineRule="auto"/>
              <w:rPr>
                <w:rFonts w:ascii="Arial" w:eastAsia="Times New Roman" w:hAnsi="Arial" w:cs="Arial"/>
                <w:color w:val="000000"/>
                <w:sz w:val="20"/>
                <w:szCs w:val="20"/>
              </w:rPr>
            </w:pPr>
          </w:p>
        </w:tc>
        <w:tc>
          <w:tcPr>
            <w:tcW w:w="2935" w:type="dxa"/>
            <w:tcBorders>
              <w:top w:val="nil"/>
              <w:left w:val="nil"/>
              <w:bottom w:val="single" w:sz="4" w:space="0" w:color="auto"/>
              <w:right w:val="single" w:sz="4" w:space="0" w:color="auto"/>
            </w:tcBorders>
            <w:shd w:val="clear" w:color="auto" w:fill="auto"/>
            <w:noWrap/>
            <w:vAlign w:val="bottom"/>
            <w:hideMark/>
          </w:tcPr>
          <w:p w14:paraId="4F01D4F9" w14:textId="77777777" w:rsidR="00C4057E" w:rsidRPr="00C4057E" w:rsidRDefault="00C4057E" w:rsidP="00C4057E">
            <w:pPr>
              <w:spacing w:after="0" w:line="240" w:lineRule="auto"/>
              <w:rPr>
                <w:rFonts w:ascii="Arial" w:eastAsia="Times New Roman" w:hAnsi="Arial" w:cs="Arial"/>
                <w:color w:val="000000"/>
                <w:sz w:val="20"/>
                <w:szCs w:val="20"/>
              </w:rPr>
            </w:pPr>
            <w:r w:rsidRPr="00C4057E">
              <w:rPr>
                <w:rFonts w:ascii="Arial" w:eastAsia="Times New Roman" w:hAnsi="Arial" w:cs="Arial"/>
                <w:color w:val="000000"/>
                <w:sz w:val="20"/>
                <w:szCs w:val="20"/>
              </w:rPr>
              <w:t>12 Month Standard</w:t>
            </w:r>
          </w:p>
        </w:tc>
        <w:tc>
          <w:tcPr>
            <w:tcW w:w="1507" w:type="dxa"/>
            <w:tcBorders>
              <w:top w:val="nil"/>
              <w:left w:val="nil"/>
              <w:bottom w:val="single" w:sz="4" w:space="0" w:color="auto"/>
              <w:right w:val="single" w:sz="4" w:space="0" w:color="auto"/>
            </w:tcBorders>
            <w:shd w:val="clear" w:color="auto" w:fill="auto"/>
            <w:noWrap/>
            <w:vAlign w:val="bottom"/>
            <w:hideMark/>
          </w:tcPr>
          <w:p w14:paraId="1454248F"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194</w:t>
            </w:r>
          </w:p>
        </w:tc>
        <w:tc>
          <w:tcPr>
            <w:tcW w:w="1508" w:type="dxa"/>
            <w:tcBorders>
              <w:top w:val="nil"/>
              <w:left w:val="nil"/>
              <w:bottom w:val="single" w:sz="4" w:space="0" w:color="auto"/>
              <w:right w:val="single" w:sz="4" w:space="0" w:color="auto"/>
            </w:tcBorders>
            <w:shd w:val="clear" w:color="auto" w:fill="auto"/>
            <w:noWrap/>
            <w:vAlign w:val="bottom"/>
            <w:hideMark/>
          </w:tcPr>
          <w:p w14:paraId="7B0B3C17"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213</w:t>
            </w:r>
          </w:p>
        </w:tc>
        <w:tc>
          <w:tcPr>
            <w:tcW w:w="1507" w:type="dxa"/>
            <w:tcBorders>
              <w:top w:val="nil"/>
              <w:left w:val="nil"/>
              <w:bottom w:val="single" w:sz="4" w:space="0" w:color="auto"/>
              <w:right w:val="single" w:sz="4" w:space="0" w:color="auto"/>
            </w:tcBorders>
            <w:shd w:val="clear" w:color="auto" w:fill="auto"/>
            <w:noWrap/>
            <w:vAlign w:val="bottom"/>
            <w:hideMark/>
          </w:tcPr>
          <w:p w14:paraId="790D3CC2"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162</w:t>
            </w:r>
          </w:p>
        </w:tc>
        <w:tc>
          <w:tcPr>
            <w:tcW w:w="1508" w:type="dxa"/>
            <w:tcBorders>
              <w:top w:val="nil"/>
              <w:left w:val="nil"/>
              <w:bottom w:val="single" w:sz="4" w:space="0" w:color="auto"/>
              <w:right w:val="single" w:sz="4" w:space="0" w:color="auto"/>
            </w:tcBorders>
            <w:shd w:val="clear" w:color="auto" w:fill="auto"/>
            <w:noWrap/>
            <w:vAlign w:val="bottom"/>
            <w:hideMark/>
          </w:tcPr>
          <w:p w14:paraId="0BE0C8CE"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257</w:t>
            </w:r>
          </w:p>
        </w:tc>
      </w:tr>
      <w:tr w:rsidR="00C4057E" w:rsidRPr="00C4057E" w14:paraId="2694E70D" w14:textId="77777777" w:rsidTr="007B0B28">
        <w:trPr>
          <w:trHeight w:val="300"/>
        </w:trPr>
        <w:tc>
          <w:tcPr>
            <w:tcW w:w="750" w:type="dxa"/>
            <w:vMerge/>
            <w:tcBorders>
              <w:top w:val="nil"/>
              <w:left w:val="single" w:sz="4" w:space="0" w:color="auto"/>
              <w:bottom w:val="single" w:sz="4" w:space="0" w:color="auto"/>
              <w:right w:val="single" w:sz="4" w:space="0" w:color="auto"/>
            </w:tcBorders>
            <w:shd w:val="clear" w:color="auto" w:fill="5F497A" w:themeFill="accent4" w:themeFillShade="BF"/>
            <w:vAlign w:val="center"/>
            <w:hideMark/>
          </w:tcPr>
          <w:p w14:paraId="6F4DF149" w14:textId="77777777" w:rsidR="00C4057E" w:rsidRPr="00C4057E" w:rsidRDefault="00C4057E" w:rsidP="00C4057E">
            <w:pPr>
              <w:spacing w:after="0" w:line="240" w:lineRule="auto"/>
              <w:rPr>
                <w:rFonts w:ascii="Arial" w:eastAsia="Times New Roman" w:hAnsi="Arial" w:cs="Arial"/>
                <w:color w:val="000000"/>
                <w:sz w:val="20"/>
                <w:szCs w:val="20"/>
              </w:rPr>
            </w:pPr>
          </w:p>
        </w:tc>
        <w:tc>
          <w:tcPr>
            <w:tcW w:w="2935" w:type="dxa"/>
            <w:tcBorders>
              <w:top w:val="nil"/>
              <w:left w:val="nil"/>
              <w:bottom w:val="single" w:sz="4" w:space="0" w:color="auto"/>
              <w:right w:val="single" w:sz="4" w:space="0" w:color="auto"/>
            </w:tcBorders>
            <w:shd w:val="clear" w:color="auto" w:fill="CCC0D9" w:themeFill="accent4" w:themeFillTint="66"/>
            <w:noWrap/>
            <w:vAlign w:val="bottom"/>
            <w:hideMark/>
          </w:tcPr>
          <w:p w14:paraId="1C2E73AF" w14:textId="77777777" w:rsidR="00C4057E" w:rsidRPr="00C4057E" w:rsidRDefault="00C4057E" w:rsidP="00C4057E">
            <w:pPr>
              <w:spacing w:after="0" w:line="240" w:lineRule="auto"/>
              <w:rPr>
                <w:rFonts w:ascii="Arial" w:eastAsia="Times New Roman" w:hAnsi="Arial" w:cs="Arial"/>
                <w:color w:val="000000"/>
                <w:sz w:val="20"/>
                <w:szCs w:val="20"/>
              </w:rPr>
            </w:pPr>
            <w:r w:rsidRPr="00C4057E">
              <w:rPr>
                <w:rFonts w:ascii="Arial" w:eastAsia="Times New Roman" w:hAnsi="Arial" w:cs="Arial"/>
                <w:color w:val="000000"/>
                <w:sz w:val="20"/>
                <w:szCs w:val="20"/>
              </w:rPr>
              <w:t>12 Month Actual Performance</w:t>
            </w:r>
          </w:p>
        </w:tc>
        <w:tc>
          <w:tcPr>
            <w:tcW w:w="1507" w:type="dxa"/>
            <w:tcBorders>
              <w:top w:val="nil"/>
              <w:left w:val="nil"/>
              <w:bottom w:val="single" w:sz="4" w:space="0" w:color="auto"/>
              <w:right w:val="single" w:sz="4" w:space="0" w:color="auto"/>
            </w:tcBorders>
            <w:shd w:val="clear" w:color="auto" w:fill="CCC0D9" w:themeFill="accent4" w:themeFillTint="66"/>
            <w:noWrap/>
            <w:vAlign w:val="bottom"/>
            <w:hideMark/>
          </w:tcPr>
          <w:p w14:paraId="3D18C549" w14:textId="77777777" w:rsidR="00C4057E" w:rsidRPr="00C4057E" w:rsidRDefault="00C4057E" w:rsidP="00C4057E">
            <w:pPr>
              <w:spacing w:after="0" w:line="240" w:lineRule="auto"/>
              <w:jc w:val="center"/>
              <w:rPr>
                <w:rFonts w:ascii="Arial" w:eastAsia="Times New Roman" w:hAnsi="Arial" w:cs="Arial"/>
                <w:color w:val="000000"/>
                <w:sz w:val="20"/>
                <w:szCs w:val="20"/>
              </w:rPr>
            </w:pPr>
            <w:r w:rsidRPr="00C4057E">
              <w:rPr>
                <w:rFonts w:ascii="Arial" w:eastAsia="Times New Roman" w:hAnsi="Arial" w:cs="Arial"/>
                <w:color w:val="000000"/>
                <w:sz w:val="20"/>
                <w:szCs w:val="20"/>
              </w:rPr>
              <w:t>115</w:t>
            </w:r>
          </w:p>
        </w:tc>
        <w:tc>
          <w:tcPr>
            <w:tcW w:w="1508" w:type="dxa"/>
            <w:tcBorders>
              <w:top w:val="nil"/>
              <w:left w:val="nil"/>
              <w:bottom w:val="single" w:sz="4" w:space="0" w:color="auto"/>
              <w:right w:val="single" w:sz="4" w:space="0" w:color="auto"/>
            </w:tcBorders>
            <w:shd w:val="clear" w:color="auto" w:fill="CCC0D9" w:themeFill="accent4" w:themeFillTint="66"/>
            <w:noWrap/>
            <w:vAlign w:val="bottom"/>
            <w:hideMark/>
          </w:tcPr>
          <w:p w14:paraId="7A554AA5" w14:textId="77777777" w:rsidR="00C4057E" w:rsidRPr="00C4057E" w:rsidRDefault="00C4057E" w:rsidP="00C4057E">
            <w:pPr>
              <w:spacing w:after="0" w:line="240" w:lineRule="auto"/>
              <w:jc w:val="center"/>
              <w:rPr>
                <w:rFonts w:ascii="Arial" w:eastAsia="Times New Roman" w:hAnsi="Arial" w:cs="Arial"/>
                <w:color w:val="000000"/>
                <w:sz w:val="20"/>
                <w:szCs w:val="20"/>
              </w:rPr>
            </w:pPr>
            <w:r w:rsidRPr="00C4057E">
              <w:rPr>
                <w:rFonts w:ascii="Arial" w:eastAsia="Times New Roman" w:hAnsi="Arial" w:cs="Arial"/>
                <w:color w:val="000000"/>
                <w:sz w:val="20"/>
                <w:szCs w:val="20"/>
              </w:rPr>
              <w:t>174</w:t>
            </w:r>
          </w:p>
        </w:tc>
        <w:tc>
          <w:tcPr>
            <w:tcW w:w="1507" w:type="dxa"/>
            <w:tcBorders>
              <w:top w:val="nil"/>
              <w:left w:val="nil"/>
              <w:bottom w:val="single" w:sz="4" w:space="0" w:color="auto"/>
              <w:right w:val="single" w:sz="4" w:space="0" w:color="auto"/>
            </w:tcBorders>
            <w:shd w:val="clear" w:color="auto" w:fill="CCC0D9" w:themeFill="accent4" w:themeFillTint="66"/>
            <w:noWrap/>
            <w:vAlign w:val="bottom"/>
            <w:hideMark/>
          </w:tcPr>
          <w:p w14:paraId="351DA6EF" w14:textId="77777777" w:rsidR="00C4057E" w:rsidRPr="00C4057E" w:rsidRDefault="00C4057E" w:rsidP="00C4057E">
            <w:pPr>
              <w:spacing w:after="0" w:line="240" w:lineRule="auto"/>
              <w:jc w:val="center"/>
              <w:rPr>
                <w:rFonts w:ascii="Arial" w:eastAsia="Times New Roman" w:hAnsi="Arial" w:cs="Arial"/>
                <w:b/>
                <w:bCs/>
                <w:color w:val="FF0000"/>
                <w:sz w:val="20"/>
                <w:szCs w:val="20"/>
              </w:rPr>
            </w:pPr>
            <w:r w:rsidRPr="00C4057E">
              <w:rPr>
                <w:rFonts w:ascii="Arial" w:eastAsia="Times New Roman" w:hAnsi="Arial" w:cs="Arial"/>
                <w:b/>
                <w:bCs/>
                <w:color w:val="FF0000"/>
                <w:sz w:val="20"/>
                <w:szCs w:val="20"/>
              </w:rPr>
              <w:t>188</w:t>
            </w:r>
          </w:p>
        </w:tc>
        <w:tc>
          <w:tcPr>
            <w:tcW w:w="1508" w:type="dxa"/>
            <w:tcBorders>
              <w:top w:val="nil"/>
              <w:left w:val="nil"/>
              <w:bottom w:val="single" w:sz="4" w:space="0" w:color="auto"/>
              <w:right w:val="single" w:sz="4" w:space="0" w:color="auto"/>
            </w:tcBorders>
            <w:shd w:val="clear" w:color="auto" w:fill="CCC0D9" w:themeFill="accent4" w:themeFillTint="66"/>
            <w:noWrap/>
            <w:vAlign w:val="bottom"/>
            <w:hideMark/>
          </w:tcPr>
          <w:p w14:paraId="4D99F691" w14:textId="77777777" w:rsidR="00C4057E" w:rsidRPr="00C4057E" w:rsidRDefault="00C4057E" w:rsidP="00C4057E">
            <w:pPr>
              <w:spacing w:after="0" w:line="240" w:lineRule="auto"/>
              <w:jc w:val="center"/>
              <w:rPr>
                <w:rFonts w:ascii="Arial" w:eastAsia="Times New Roman" w:hAnsi="Arial" w:cs="Arial"/>
                <w:color w:val="000000"/>
                <w:sz w:val="20"/>
                <w:szCs w:val="20"/>
              </w:rPr>
            </w:pPr>
            <w:r w:rsidRPr="00C4057E">
              <w:rPr>
                <w:rFonts w:ascii="Arial" w:eastAsia="Times New Roman" w:hAnsi="Arial" w:cs="Arial"/>
                <w:color w:val="000000"/>
                <w:sz w:val="20"/>
                <w:szCs w:val="20"/>
              </w:rPr>
              <w:t>222</w:t>
            </w:r>
          </w:p>
        </w:tc>
      </w:tr>
      <w:tr w:rsidR="00C4057E" w:rsidRPr="00C4057E" w14:paraId="04A07501" w14:textId="77777777" w:rsidTr="007B0B28">
        <w:trPr>
          <w:trHeight w:val="285"/>
        </w:trPr>
        <w:tc>
          <w:tcPr>
            <w:tcW w:w="750" w:type="dxa"/>
            <w:vMerge/>
            <w:tcBorders>
              <w:top w:val="nil"/>
              <w:left w:val="single" w:sz="4" w:space="0" w:color="auto"/>
              <w:bottom w:val="single" w:sz="4" w:space="0" w:color="auto"/>
              <w:right w:val="single" w:sz="4" w:space="0" w:color="auto"/>
            </w:tcBorders>
            <w:shd w:val="clear" w:color="auto" w:fill="5F497A" w:themeFill="accent4" w:themeFillShade="BF"/>
            <w:vAlign w:val="center"/>
            <w:hideMark/>
          </w:tcPr>
          <w:p w14:paraId="3970B76A" w14:textId="77777777" w:rsidR="00C4057E" w:rsidRPr="00C4057E" w:rsidRDefault="00C4057E" w:rsidP="00C4057E">
            <w:pPr>
              <w:spacing w:after="0" w:line="240" w:lineRule="auto"/>
              <w:rPr>
                <w:rFonts w:ascii="Arial" w:eastAsia="Times New Roman" w:hAnsi="Arial" w:cs="Arial"/>
                <w:color w:val="000000"/>
                <w:sz w:val="20"/>
                <w:szCs w:val="20"/>
              </w:rPr>
            </w:pPr>
          </w:p>
        </w:tc>
        <w:tc>
          <w:tcPr>
            <w:tcW w:w="2935" w:type="dxa"/>
            <w:tcBorders>
              <w:top w:val="nil"/>
              <w:left w:val="nil"/>
              <w:bottom w:val="single" w:sz="4" w:space="0" w:color="auto"/>
              <w:right w:val="single" w:sz="4" w:space="0" w:color="auto"/>
            </w:tcBorders>
            <w:shd w:val="clear" w:color="auto" w:fill="auto"/>
            <w:noWrap/>
            <w:vAlign w:val="bottom"/>
            <w:hideMark/>
          </w:tcPr>
          <w:p w14:paraId="3439213E" w14:textId="77777777" w:rsidR="00C4057E" w:rsidRPr="00C4057E" w:rsidRDefault="00C4057E" w:rsidP="00C4057E">
            <w:pPr>
              <w:spacing w:after="0" w:line="240" w:lineRule="auto"/>
              <w:rPr>
                <w:rFonts w:ascii="Arial" w:eastAsia="Times New Roman" w:hAnsi="Arial" w:cs="Arial"/>
                <w:color w:val="000000"/>
                <w:sz w:val="20"/>
                <w:szCs w:val="20"/>
              </w:rPr>
            </w:pPr>
            <w:r w:rsidRPr="00C4057E">
              <w:rPr>
                <w:rFonts w:ascii="Arial" w:eastAsia="Times New Roman" w:hAnsi="Arial" w:cs="Arial"/>
                <w:color w:val="000000"/>
                <w:sz w:val="20"/>
                <w:szCs w:val="20"/>
              </w:rPr>
              <w:t>36 Month Standard</w:t>
            </w:r>
          </w:p>
        </w:tc>
        <w:tc>
          <w:tcPr>
            <w:tcW w:w="1507" w:type="dxa"/>
            <w:tcBorders>
              <w:top w:val="nil"/>
              <w:left w:val="nil"/>
              <w:bottom w:val="single" w:sz="4" w:space="0" w:color="auto"/>
              <w:right w:val="single" w:sz="4" w:space="0" w:color="auto"/>
            </w:tcBorders>
            <w:shd w:val="clear" w:color="auto" w:fill="auto"/>
            <w:noWrap/>
            <w:vAlign w:val="bottom"/>
            <w:hideMark/>
          </w:tcPr>
          <w:p w14:paraId="0EBD2929"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163</w:t>
            </w:r>
          </w:p>
        </w:tc>
        <w:tc>
          <w:tcPr>
            <w:tcW w:w="1508" w:type="dxa"/>
            <w:tcBorders>
              <w:top w:val="nil"/>
              <w:left w:val="nil"/>
              <w:bottom w:val="single" w:sz="4" w:space="0" w:color="auto"/>
              <w:right w:val="single" w:sz="4" w:space="0" w:color="auto"/>
            </w:tcBorders>
            <w:shd w:val="clear" w:color="auto" w:fill="auto"/>
            <w:noWrap/>
            <w:vAlign w:val="bottom"/>
            <w:hideMark/>
          </w:tcPr>
          <w:p w14:paraId="09E0B103"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179</w:t>
            </w:r>
          </w:p>
        </w:tc>
        <w:tc>
          <w:tcPr>
            <w:tcW w:w="1507" w:type="dxa"/>
            <w:tcBorders>
              <w:top w:val="nil"/>
              <w:left w:val="nil"/>
              <w:bottom w:val="single" w:sz="4" w:space="0" w:color="auto"/>
              <w:right w:val="single" w:sz="4" w:space="0" w:color="auto"/>
            </w:tcBorders>
            <w:shd w:val="clear" w:color="auto" w:fill="auto"/>
            <w:noWrap/>
            <w:vAlign w:val="bottom"/>
            <w:hideMark/>
          </w:tcPr>
          <w:p w14:paraId="0BF36C87"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136</w:t>
            </w:r>
          </w:p>
        </w:tc>
        <w:tc>
          <w:tcPr>
            <w:tcW w:w="1508" w:type="dxa"/>
            <w:tcBorders>
              <w:top w:val="nil"/>
              <w:left w:val="nil"/>
              <w:bottom w:val="single" w:sz="4" w:space="0" w:color="auto"/>
              <w:right w:val="single" w:sz="4" w:space="0" w:color="auto"/>
            </w:tcBorders>
            <w:shd w:val="clear" w:color="auto" w:fill="auto"/>
            <w:noWrap/>
            <w:vAlign w:val="bottom"/>
            <w:hideMark/>
          </w:tcPr>
          <w:p w14:paraId="14971F82"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217</w:t>
            </w:r>
          </w:p>
        </w:tc>
      </w:tr>
      <w:tr w:rsidR="00C4057E" w:rsidRPr="00C4057E" w14:paraId="41282FAE" w14:textId="77777777" w:rsidTr="007B0B28">
        <w:trPr>
          <w:trHeight w:val="300"/>
        </w:trPr>
        <w:tc>
          <w:tcPr>
            <w:tcW w:w="750" w:type="dxa"/>
            <w:vMerge/>
            <w:tcBorders>
              <w:top w:val="nil"/>
              <w:left w:val="single" w:sz="4" w:space="0" w:color="auto"/>
              <w:bottom w:val="single" w:sz="4" w:space="0" w:color="auto"/>
              <w:right w:val="single" w:sz="4" w:space="0" w:color="auto"/>
            </w:tcBorders>
            <w:shd w:val="clear" w:color="auto" w:fill="5F497A" w:themeFill="accent4" w:themeFillShade="BF"/>
            <w:vAlign w:val="center"/>
            <w:hideMark/>
          </w:tcPr>
          <w:p w14:paraId="1AB55260" w14:textId="77777777" w:rsidR="00C4057E" w:rsidRPr="00C4057E" w:rsidRDefault="00C4057E" w:rsidP="00C4057E">
            <w:pPr>
              <w:spacing w:after="0" w:line="240" w:lineRule="auto"/>
              <w:rPr>
                <w:rFonts w:ascii="Arial" w:eastAsia="Times New Roman" w:hAnsi="Arial" w:cs="Arial"/>
                <w:color w:val="000000"/>
                <w:sz w:val="20"/>
                <w:szCs w:val="20"/>
              </w:rPr>
            </w:pPr>
          </w:p>
        </w:tc>
        <w:tc>
          <w:tcPr>
            <w:tcW w:w="2935" w:type="dxa"/>
            <w:tcBorders>
              <w:top w:val="nil"/>
              <w:left w:val="nil"/>
              <w:bottom w:val="single" w:sz="4" w:space="0" w:color="auto"/>
              <w:right w:val="single" w:sz="4" w:space="0" w:color="auto"/>
            </w:tcBorders>
            <w:shd w:val="clear" w:color="auto" w:fill="CCC0D9" w:themeFill="accent4" w:themeFillTint="66"/>
            <w:noWrap/>
            <w:vAlign w:val="bottom"/>
            <w:hideMark/>
          </w:tcPr>
          <w:p w14:paraId="3925EA64" w14:textId="77777777" w:rsidR="00C4057E" w:rsidRPr="00C4057E" w:rsidRDefault="00C4057E" w:rsidP="00C4057E">
            <w:pPr>
              <w:spacing w:after="0" w:line="240" w:lineRule="auto"/>
              <w:rPr>
                <w:rFonts w:ascii="Arial" w:eastAsia="Times New Roman" w:hAnsi="Arial" w:cs="Arial"/>
                <w:color w:val="000000"/>
                <w:sz w:val="20"/>
                <w:szCs w:val="20"/>
              </w:rPr>
            </w:pPr>
            <w:r w:rsidRPr="00C4057E">
              <w:rPr>
                <w:rFonts w:ascii="Arial" w:eastAsia="Times New Roman" w:hAnsi="Arial" w:cs="Arial"/>
                <w:color w:val="000000"/>
                <w:sz w:val="20"/>
                <w:szCs w:val="20"/>
              </w:rPr>
              <w:t>36 Month Actual Performance</w:t>
            </w:r>
          </w:p>
        </w:tc>
        <w:tc>
          <w:tcPr>
            <w:tcW w:w="1507" w:type="dxa"/>
            <w:tcBorders>
              <w:top w:val="nil"/>
              <w:left w:val="nil"/>
              <w:bottom w:val="single" w:sz="4" w:space="0" w:color="auto"/>
              <w:right w:val="single" w:sz="4" w:space="0" w:color="auto"/>
            </w:tcBorders>
            <w:shd w:val="clear" w:color="auto" w:fill="CCC0D9" w:themeFill="accent4" w:themeFillTint="66"/>
            <w:noWrap/>
            <w:vAlign w:val="bottom"/>
            <w:hideMark/>
          </w:tcPr>
          <w:p w14:paraId="7E9DDD09" w14:textId="77777777" w:rsidR="00C4057E" w:rsidRPr="00C4057E" w:rsidRDefault="00C4057E" w:rsidP="00C4057E">
            <w:pPr>
              <w:spacing w:after="0" w:line="240" w:lineRule="auto"/>
              <w:jc w:val="center"/>
              <w:rPr>
                <w:rFonts w:ascii="Arial" w:eastAsia="Times New Roman" w:hAnsi="Arial" w:cs="Arial"/>
                <w:color w:val="000000"/>
                <w:sz w:val="20"/>
                <w:szCs w:val="20"/>
              </w:rPr>
            </w:pPr>
            <w:r w:rsidRPr="00C4057E">
              <w:rPr>
                <w:rFonts w:ascii="Arial" w:eastAsia="Times New Roman" w:hAnsi="Arial" w:cs="Arial"/>
                <w:color w:val="000000"/>
                <w:sz w:val="20"/>
                <w:szCs w:val="20"/>
              </w:rPr>
              <w:t>137</w:t>
            </w:r>
          </w:p>
        </w:tc>
        <w:tc>
          <w:tcPr>
            <w:tcW w:w="1508" w:type="dxa"/>
            <w:tcBorders>
              <w:top w:val="nil"/>
              <w:left w:val="nil"/>
              <w:bottom w:val="single" w:sz="4" w:space="0" w:color="auto"/>
              <w:right w:val="single" w:sz="4" w:space="0" w:color="auto"/>
            </w:tcBorders>
            <w:shd w:val="clear" w:color="auto" w:fill="CCC0D9" w:themeFill="accent4" w:themeFillTint="66"/>
            <w:noWrap/>
            <w:vAlign w:val="bottom"/>
            <w:hideMark/>
          </w:tcPr>
          <w:p w14:paraId="093592E4" w14:textId="77777777" w:rsidR="00C4057E" w:rsidRPr="00C4057E" w:rsidRDefault="00C4057E" w:rsidP="00C4057E">
            <w:pPr>
              <w:spacing w:after="0" w:line="240" w:lineRule="auto"/>
              <w:jc w:val="center"/>
              <w:rPr>
                <w:rFonts w:ascii="Arial" w:eastAsia="Times New Roman" w:hAnsi="Arial" w:cs="Arial"/>
                <w:b/>
                <w:bCs/>
                <w:color w:val="FF0000"/>
                <w:sz w:val="20"/>
                <w:szCs w:val="20"/>
              </w:rPr>
            </w:pPr>
            <w:r w:rsidRPr="00C4057E">
              <w:rPr>
                <w:rFonts w:ascii="Arial" w:eastAsia="Times New Roman" w:hAnsi="Arial" w:cs="Arial"/>
                <w:b/>
                <w:bCs/>
                <w:color w:val="FF0000"/>
                <w:sz w:val="20"/>
                <w:szCs w:val="20"/>
              </w:rPr>
              <w:t>200</w:t>
            </w:r>
          </w:p>
        </w:tc>
        <w:tc>
          <w:tcPr>
            <w:tcW w:w="1507" w:type="dxa"/>
            <w:tcBorders>
              <w:top w:val="nil"/>
              <w:left w:val="nil"/>
              <w:bottom w:val="single" w:sz="4" w:space="0" w:color="auto"/>
              <w:right w:val="single" w:sz="4" w:space="0" w:color="auto"/>
            </w:tcBorders>
            <w:shd w:val="clear" w:color="auto" w:fill="CCC0D9" w:themeFill="accent4" w:themeFillTint="66"/>
            <w:noWrap/>
            <w:vAlign w:val="bottom"/>
            <w:hideMark/>
          </w:tcPr>
          <w:p w14:paraId="6750E89A" w14:textId="77777777" w:rsidR="00C4057E" w:rsidRPr="00C4057E" w:rsidRDefault="00C4057E" w:rsidP="00C4057E">
            <w:pPr>
              <w:spacing w:after="0" w:line="240" w:lineRule="auto"/>
              <w:jc w:val="center"/>
              <w:rPr>
                <w:rFonts w:ascii="Arial" w:eastAsia="Times New Roman" w:hAnsi="Arial" w:cs="Arial"/>
                <w:b/>
                <w:bCs/>
                <w:color w:val="FF0000"/>
                <w:sz w:val="20"/>
                <w:szCs w:val="20"/>
              </w:rPr>
            </w:pPr>
            <w:r w:rsidRPr="00C4057E">
              <w:rPr>
                <w:rFonts w:ascii="Arial" w:eastAsia="Times New Roman" w:hAnsi="Arial" w:cs="Arial"/>
                <w:b/>
                <w:bCs/>
                <w:color w:val="FF0000"/>
                <w:sz w:val="20"/>
                <w:szCs w:val="20"/>
              </w:rPr>
              <w:t>155</w:t>
            </w:r>
          </w:p>
        </w:tc>
        <w:tc>
          <w:tcPr>
            <w:tcW w:w="1508" w:type="dxa"/>
            <w:tcBorders>
              <w:top w:val="nil"/>
              <w:left w:val="nil"/>
              <w:bottom w:val="single" w:sz="4" w:space="0" w:color="auto"/>
              <w:right w:val="single" w:sz="4" w:space="0" w:color="auto"/>
            </w:tcBorders>
            <w:shd w:val="clear" w:color="auto" w:fill="CCC0D9" w:themeFill="accent4" w:themeFillTint="66"/>
            <w:noWrap/>
            <w:vAlign w:val="bottom"/>
            <w:hideMark/>
          </w:tcPr>
          <w:p w14:paraId="25F8497E" w14:textId="77777777" w:rsidR="00C4057E" w:rsidRPr="00C4057E" w:rsidRDefault="00C4057E" w:rsidP="00C4057E">
            <w:pPr>
              <w:spacing w:after="0" w:line="240" w:lineRule="auto"/>
              <w:jc w:val="center"/>
              <w:rPr>
                <w:rFonts w:ascii="Arial" w:eastAsia="Times New Roman" w:hAnsi="Arial" w:cs="Arial"/>
                <w:b/>
                <w:bCs/>
                <w:color w:val="FF0000"/>
                <w:sz w:val="20"/>
                <w:szCs w:val="20"/>
              </w:rPr>
            </w:pPr>
            <w:r w:rsidRPr="00C4057E">
              <w:rPr>
                <w:rFonts w:ascii="Arial" w:eastAsia="Times New Roman" w:hAnsi="Arial" w:cs="Arial"/>
                <w:b/>
                <w:bCs/>
                <w:color w:val="FF0000"/>
                <w:sz w:val="20"/>
                <w:szCs w:val="20"/>
              </w:rPr>
              <w:t>225</w:t>
            </w:r>
          </w:p>
        </w:tc>
      </w:tr>
    </w:tbl>
    <w:p w14:paraId="3DB9F5EF" w14:textId="77777777" w:rsidR="00C4057E" w:rsidRPr="00C4057E" w:rsidRDefault="00C4057E" w:rsidP="00C4057E">
      <w:pPr>
        <w:widowControl w:val="0"/>
        <w:spacing w:after="0" w:line="240" w:lineRule="auto"/>
        <w:rPr>
          <w:rFonts w:ascii="Arial" w:hAnsi="Arial" w:cs="Arial"/>
          <w:color w:val="FF0000"/>
          <w:sz w:val="8"/>
          <w:szCs w:val="8"/>
        </w:rPr>
      </w:pPr>
    </w:p>
    <w:p w14:paraId="221CB5DB" w14:textId="77777777" w:rsidR="00C4057E" w:rsidRPr="00C4057E" w:rsidRDefault="00C4057E" w:rsidP="00C4057E">
      <w:pPr>
        <w:widowControl w:val="0"/>
        <w:spacing w:after="0" w:line="240" w:lineRule="auto"/>
        <w:rPr>
          <w:rFonts w:ascii="Arial" w:hAnsi="Arial" w:cs="Arial"/>
          <w:i/>
          <w:sz w:val="20"/>
          <w:szCs w:val="20"/>
        </w:rPr>
      </w:pPr>
      <w:r w:rsidRPr="00C4057E">
        <w:rPr>
          <w:rFonts w:ascii="Arial" w:hAnsi="Arial" w:cs="Arial"/>
          <w:color w:val="FF0000"/>
          <w:sz w:val="20"/>
          <w:szCs w:val="20"/>
        </w:rPr>
        <w:t>Bold</w:t>
      </w:r>
      <w:r w:rsidR="005A785F">
        <w:rPr>
          <w:rFonts w:ascii="Arial" w:hAnsi="Arial" w:cs="Arial"/>
          <w:color w:val="FF0000"/>
          <w:sz w:val="20"/>
          <w:szCs w:val="20"/>
        </w:rPr>
        <w:t>, red</w:t>
      </w:r>
      <w:r w:rsidRPr="00C4057E">
        <w:rPr>
          <w:rFonts w:ascii="Arial" w:hAnsi="Arial" w:cs="Arial"/>
          <w:color w:val="FF0000"/>
          <w:sz w:val="20"/>
          <w:szCs w:val="20"/>
        </w:rPr>
        <w:t xml:space="preserve"> numbers indicate the index was not met.</w:t>
      </w:r>
    </w:p>
    <w:p w14:paraId="427958D7" w14:textId="77777777" w:rsidR="00C4057E" w:rsidRPr="00C4057E" w:rsidRDefault="00C4057E" w:rsidP="00C4057E">
      <w:pPr>
        <w:widowControl w:val="0"/>
        <w:spacing w:after="0" w:line="240" w:lineRule="auto"/>
        <w:rPr>
          <w:rFonts w:ascii="Arial" w:hAnsi="Arial" w:cs="Arial"/>
          <w:sz w:val="18"/>
          <w:szCs w:val="18"/>
        </w:rPr>
      </w:pPr>
      <w:r w:rsidRPr="00C4057E">
        <w:rPr>
          <w:rFonts w:ascii="Arial" w:hAnsi="Arial" w:cs="Arial"/>
          <w:sz w:val="18"/>
          <w:szCs w:val="18"/>
        </w:rPr>
        <w:t xml:space="preserve">Source: </w:t>
      </w:r>
      <w:r w:rsidR="00303E0B">
        <w:rPr>
          <w:rFonts w:ascii="Arial" w:hAnsi="Arial" w:cs="Arial"/>
          <w:sz w:val="18"/>
          <w:szCs w:val="18"/>
        </w:rPr>
        <w:t xml:space="preserve">2014 </w:t>
      </w:r>
      <w:r w:rsidRPr="00C4057E">
        <w:rPr>
          <w:rFonts w:ascii="Arial" w:hAnsi="Arial" w:cs="Arial"/>
          <w:sz w:val="18"/>
          <w:szCs w:val="18"/>
        </w:rPr>
        <w:t>Management Audit Exhibit VII-8.</w:t>
      </w:r>
    </w:p>
    <w:p w14:paraId="4452187B" w14:textId="77777777" w:rsidR="000D0CE2" w:rsidRDefault="000D0CE2">
      <w:pPr>
        <w:rPr>
          <w:rFonts w:ascii="Arial" w:hAnsi="Arial" w:cs="Arial"/>
          <w:b/>
          <w:sz w:val="24"/>
          <w:szCs w:val="24"/>
        </w:rPr>
      </w:pPr>
      <w:r>
        <w:rPr>
          <w:rFonts w:ascii="Arial" w:hAnsi="Arial" w:cs="Arial"/>
          <w:b/>
          <w:sz w:val="24"/>
          <w:szCs w:val="24"/>
        </w:rPr>
        <w:br w:type="page"/>
      </w:r>
    </w:p>
    <w:p w14:paraId="1C820180"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Exhibit VII – 2</w:t>
      </w:r>
    </w:p>
    <w:p w14:paraId="428044AC"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FirstEnergy Pennsylvania Companies</w:t>
      </w:r>
    </w:p>
    <w:p w14:paraId="4DD744AA"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Reliability Performance Status</w:t>
      </w:r>
    </w:p>
    <w:p w14:paraId="567200DA" w14:textId="77777777" w:rsidR="00C4057E" w:rsidRPr="00C4057E" w:rsidRDefault="00C4057E" w:rsidP="00C4057E">
      <w:pPr>
        <w:spacing w:line="240" w:lineRule="auto"/>
        <w:contextualSpacing/>
        <w:jc w:val="center"/>
        <w:rPr>
          <w:rFonts w:ascii="Arial" w:hAnsi="Arial" w:cs="Arial"/>
          <w:sz w:val="24"/>
          <w:szCs w:val="24"/>
        </w:rPr>
      </w:pPr>
      <w:r w:rsidRPr="00C4057E">
        <w:rPr>
          <w:rFonts w:ascii="Arial" w:hAnsi="Arial" w:cs="Arial"/>
          <w:b/>
          <w:sz w:val="24"/>
          <w:szCs w:val="24"/>
        </w:rPr>
        <w:t>For the Years 2009 through 2013</w:t>
      </w:r>
    </w:p>
    <w:p w14:paraId="6E9795E4" w14:textId="77777777" w:rsidR="00C4057E" w:rsidRPr="00C4057E" w:rsidRDefault="00C4057E" w:rsidP="00C4057E">
      <w:pPr>
        <w:widowControl w:val="0"/>
        <w:spacing w:after="0" w:line="240" w:lineRule="auto"/>
        <w:ind w:left="1800" w:hanging="1350"/>
        <w:jc w:val="center"/>
        <w:rPr>
          <w:rFonts w:ascii="Arial" w:hAnsi="Arial" w:cs="Arial"/>
          <w:sz w:val="8"/>
          <w:szCs w:val="8"/>
        </w:rPr>
      </w:pPr>
    </w:p>
    <w:tbl>
      <w:tblPr>
        <w:tblW w:w="8820" w:type="dxa"/>
        <w:tblInd w:w="170" w:type="dxa"/>
        <w:tblLook w:val="04A0" w:firstRow="1" w:lastRow="0" w:firstColumn="1" w:lastColumn="0" w:noHBand="0" w:noVBand="1"/>
      </w:tblPr>
      <w:tblGrid>
        <w:gridCol w:w="1130"/>
        <w:gridCol w:w="1660"/>
        <w:gridCol w:w="2010"/>
        <w:gridCol w:w="2010"/>
        <w:gridCol w:w="2010"/>
      </w:tblGrid>
      <w:tr w:rsidR="00C4057E" w:rsidRPr="00C4057E" w14:paraId="737905F5" w14:textId="77777777" w:rsidTr="007B0B28">
        <w:trPr>
          <w:trHeight w:val="20"/>
        </w:trPr>
        <w:tc>
          <w:tcPr>
            <w:tcW w:w="1130" w:type="dxa"/>
            <w:tcBorders>
              <w:top w:val="single" w:sz="4" w:space="0" w:color="auto"/>
              <w:left w:val="single" w:sz="8" w:space="0" w:color="auto"/>
              <w:bottom w:val="nil"/>
              <w:right w:val="single" w:sz="4" w:space="0" w:color="auto"/>
            </w:tcBorders>
            <w:shd w:val="clear" w:color="000000" w:fill="C00000"/>
            <w:vAlign w:val="bottom"/>
            <w:hideMark/>
          </w:tcPr>
          <w:p w14:paraId="485E3ED8" w14:textId="77777777" w:rsidR="00C4057E" w:rsidRPr="00C4057E" w:rsidRDefault="00C4057E" w:rsidP="00C4057E">
            <w:pPr>
              <w:spacing w:after="0" w:line="240" w:lineRule="auto"/>
              <w:jc w:val="center"/>
              <w:rPr>
                <w:rFonts w:ascii="Arial" w:eastAsia="Times New Roman" w:hAnsi="Arial" w:cs="Arial"/>
                <w:b/>
                <w:bCs/>
                <w:color w:val="FFFFFF"/>
                <w:sz w:val="20"/>
                <w:szCs w:val="20"/>
              </w:rPr>
            </w:pPr>
            <w:r w:rsidRPr="00C4057E">
              <w:rPr>
                <w:rFonts w:ascii="Arial" w:eastAsia="Times New Roman" w:hAnsi="Arial" w:cs="Arial"/>
                <w:b/>
                <w:bCs/>
                <w:color w:val="FFFFFF"/>
                <w:sz w:val="20"/>
                <w:szCs w:val="20"/>
              </w:rPr>
              <w:t>Company</w:t>
            </w:r>
          </w:p>
        </w:tc>
        <w:tc>
          <w:tcPr>
            <w:tcW w:w="1660" w:type="dxa"/>
            <w:tcBorders>
              <w:top w:val="single" w:sz="4" w:space="0" w:color="auto"/>
              <w:left w:val="nil"/>
              <w:bottom w:val="nil"/>
              <w:right w:val="single" w:sz="4" w:space="0" w:color="auto"/>
            </w:tcBorders>
            <w:shd w:val="clear" w:color="000000" w:fill="C00000"/>
            <w:vAlign w:val="bottom"/>
          </w:tcPr>
          <w:p w14:paraId="629DB76A" w14:textId="77777777" w:rsidR="00C4057E" w:rsidRPr="00C4057E" w:rsidRDefault="00C4057E" w:rsidP="00C4057E">
            <w:pPr>
              <w:spacing w:after="0" w:line="240" w:lineRule="auto"/>
              <w:jc w:val="center"/>
              <w:rPr>
                <w:rFonts w:ascii="Arial" w:eastAsia="Times New Roman" w:hAnsi="Arial" w:cs="Arial"/>
                <w:b/>
                <w:bCs/>
                <w:color w:val="FFFFFF"/>
                <w:sz w:val="20"/>
                <w:szCs w:val="20"/>
              </w:rPr>
            </w:pPr>
            <w:r w:rsidRPr="00C4057E">
              <w:rPr>
                <w:rFonts w:ascii="Arial" w:eastAsia="Times New Roman" w:hAnsi="Arial" w:cs="Arial"/>
                <w:b/>
                <w:bCs/>
                <w:color w:val="FFFFFF"/>
                <w:sz w:val="20"/>
                <w:szCs w:val="20"/>
              </w:rPr>
              <w:t>Metric</w:t>
            </w:r>
          </w:p>
        </w:tc>
        <w:tc>
          <w:tcPr>
            <w:tcW w:w="2010" w:type="dxa"/>
            <w:tcBorders>
              <w:top w:val="single" w:sz="4" w:space="0" w:color="auto"/>
              <w:left w:val="nil"/>
              <w:bottom w:val="nil"/>
              <w:right w:val="single" w:sz="4" w:space="0" w:color="auto"/>
            </w:tcBorders>
            <w:shd w:val="clear" w:color="000000" w:fill="C00000"/>
            <w:vAlign w:val="bottom"/>
            <w:hideMark/>
          </w:tcPr>
          <w:p w14:paraId="57923A45" w14:textId="77777777" w:rsidR="00C4057E" w:rsidRPr="00C4057E" w:rsidRDefault="00C4057E" w:rsidP="00C4057E">
            <w:pPr>
              <w:spacing w:after="0" w:line="240" w:lineRule="auto"/>
              <w:jc w:val="center"/>
              <w:rPr>
                <w:rFonts w:ascii="Arial" w:eastAsia="Times New Roman" w:hAnsi="Arial" w:cs="Arial"/>
                <w:b/>
                <w:bCs/>
                <w:color w:val="FFFFFF"/>
                <w:sz w:val="20"/>
                <w:szCs w:val="20"/>
              </w:rPr>
            </w:pPr>
            <w:r w:rsidRPr="00C4057E">
              <w:rPr>
                <w:rFonts w:ascii="Arial" w:eastAsia="Times New Roman" w:hAnsi="Arial" w:cs="Arial"/>
                <w:b/>
                <w:bCs/>
                <w:color w:val="FFFFFF"/>
                <w:sz w:val="20"/>
                <w:szCs w:val="20"/>
              </w:rPr>
              <w:t>Metric Did Not            Meet Standard                     (2013)</w:t>
            </w:r>
          </w:p>
        </w:tc>
        <w:tc>
          <w:tcPr>
            <w:tcW w:w="2010" w:type="dxa"/>
            <w:tcBorders>
              <w:top w:val="single" w:sz="4" w:space="0" w:color="auto"/>
              <w:left w:val="nil"/>
              <w:bottom w:val="nil"/>
              <w:right w:val="single" w:sz="4" w:space="0" w:color="auto"/>
            </w:tcBorders>
            <w:shd w:val="clear" w:color="000000" w:fill="C00000"/>
            <w:vAlign w:val="bottom"/>
            <w:hideMark/>
          </w:tcPr>
          <w:p w14:paraId="1FD23DF6" w14:textId="77777777" w:rsidR="00C4057E" w:rsidRPr="00C4057E" w:rsidRDefault="00C4057E" w:rsidP="00C4057E">
            <w:pPr>
              <w:spacing w:after="0" w:line="240" w:lineRule="auto"/>
              <w:jc w:val="center"/>
              <w:rPr>
                <w:rFonts w:ascii="Arial" w:eastAsia="Times New Roman" w:hAnsi="Arial" w:cs="Arial"/>
                <w:b/>
                <w:bCs/>
                <w:color w:val="FFFFFF"/>
                <w:sz w:val="20"/>
                <w:szCs w:val="20"/>
              </w:rPr>
            </w:pPr>
            <w:r w:rsidRPr="00C4057E">
              <w:rPr>
                <w:rFonts w:ascii="Arial" w:eastAsia="Times New Roman" w:hAnsi="Arial" w:cs="Arial"/>
                <w:b/>
                <w:bCs/>
                <w:color w:val="FFFFFF"/>
                <w:sz w:val="20"/>
                <w:szCs w:val="20"/>
              </w:rPr>
              <w:t>Metric Has</w:t>
            </w:r>
          </w:p>
          <w:p w14:paraId="5F9FD87D" w14:textId="77777777" w:rsidR="00C4057E" w:rsidRPr="00C4057E" w:rsidRDefault="00C4057E" w:rsidP="00C4057E">
            <w:pPr>
              <w:spacing w:after="0" w:line="240" w:lineRule="auto"/>
              <w:jc w:val="center"/>
              <w:rPr>
                <w:rFonts w:ascii="Arial" w:eastAsia="Times New Roman" w:hAnsi="Arial" w:cs="Arial"/>
                <w:b/>
                <w:bCs/>
                <w:color w:val="FFFFFF"/>
                <w:sz w:val="20"/>
                <w:szCs w:val="20"/>
              </w:rPr>
            </w:pPr>
            <w:r w:rsidRPr="00C4057E">
              <w:rPr>
                <w:rFonts w:ascii="Arial" w:eastAsia="Times New Roman" w:hAnsi="Arial" w:cs="Arial"/>
                <w:b/>
                <w:bCs/>
                <w:color w:val="FFFFFF"/>
                <w:sz w:val="20"/>
                <w:szCs w:val="20"/>
              </w:rPr>
              <w:t>Met Standards</w:t>
            </w:r>
          </w:p>
          <w:p w14:paraId="12411040" w14:textId="77777777" w:rsidR="00C4057E" w:rsidRPr="00C4057E" w:rsidRDefault="00C4057E" w:rsidP="00C4057E">
            <w:pPr>
              <w:spacing w:after="0" w:line="240" w:lineRule="auto"/>
              <w:jc w:val="center"/>
              <w:rPr>
                <w:rFonts w:ascii="Arial" w:eastAsia="Times New Roman" w:hAnsi="Arial" w:cs="Arial"/>
                <w:b/>
                <w:bCs/>
                <w:color w:val="FFFFFF"/>
                <w:sz w:val="20"/>
                <w:szCs w:val="20"/>
              </w:rPr>
            </w:pPr>
            <w:r w:rsidRPr="00C4057E">
              <w:rPr>
                <w:rFonts w:ascii="Arial" w:eastAsia="Times New Roman" w:hAnsi="Arial" w:cs="Arial"/>
                <w:b/>
                <w:bCs/>
                <w:color w:val="FFFFFF"/>
                <w:sz w:val="20"/>
                <w:szCs w:val="20"/>
              </w:rPr>
              <w:t>At Times                     (2009-2013)</w:t>
            </w:r>
          </w:p>
        </w:tc>
        <w:tc>
          <w:tcPr>
            <w:tcW w:w="2010" w:type="dxa"/>
            <w:tcBorders>
              <w:top w:val="single" w:sz="4" w:space="0" w:color="auto"/>
              <w:left w:val="nil"/>
              <w:bottom w:val="nil"/>
              <w:right w:val="single" w:sz="8" w:space="0" w:color="auto"/>
            </w:tcBorders>
            <w:shd w:val="clear" w:color="000000" w:fill="C00000"/>
            <w:vAlign w:val="bottom"/>
            <w:hideMark/>
          </w:tcPr>
          <w:p w14:paraId="65191CBF" w14:textId="77777777" w:rsidR="00C4057E" w:rsidRPr="00C4057E" w:rsidRDefault="00C4057E" w:rsidP="00C4057E">
            <w:pPr>
              <w:spacing w:after="0" w:line="240" w:lineRule="auto"/>
              <w:jc w:val="center"/>
              <w:rPr>
                <w:rFonts w:ascii="Arial" w:eastAsia="Times New Roman" w:hAnsi="Arial" w:cs="Arial"/>
                <w:b/>
                <w:bCs/>
                <w:color w:val="FFFFFF"/>
                <w:sz w:val="20"/>
                <w:szCs w:val="20"/>
              </w:rPr>
            </w:pPr>
            <w:r w:rsidRPr="00C4057E">
              <w:rPr>
                <w:rFonts w:ascii="Arial" w:eastAsia="Times New Roman" w:hAnsi="Arial" w:cs="Arial"/>
                <w:b/>
                <w:bCs/>
                <w:color w:val="FFFFFF"/>
                <w:sz w:val="20"/>
                <w:szCs w:val="20"/>
              </w:rPr>
              <w:t>Metric Met Standard</w:t>
            </w:r>
          </w:p>
          <w:p w14:paraId="0F70BFC1" w14:textId="77777777" w:rsidR="00C4057E" w:rsidRPr="00C4057E" w:rsidRDefault="00C4057E" w:rsidP="00C4057E">
            <w:pPr>
              <w:spacing w:after="0" w:line="240" w:lineRule="auto"/>
              <w:jc w:val="center"/>
              <w:rPr>
                <w:rFonts w:ascii="Arial" w:eastAsia="Times New Roman" w:hAnsi="Arial" w:cs="Arial"/>
                <w:b/>
                <w:bCs/>
                <w:color w:val="FFFFFF"/>
                <w:sz w:val="20"/>
                <w:szCs w:val="20"/>
              </w:rPr>
            </w:pPr>
            <w:r w:rsidRPr="00C4057E">
              <w:rPr>
                <w:rFonts w:ascii="Arial" w:eastAsia="Times New Roman" w:hAnsi="Arial" w:cs="Arial"/>
                <w:b/>
                <w:bCs/>
                <w:color w:val="FFFFFF"/>
                <w:sz w:val="20"/>
                <w:szCs w:val="20"/>
              </w:rPr>
              <w:t>Every Year            (2009 - 2013)</w:t>
            </w:r>
          </w:p>
        </w:tc>
      </w:tr>
      <w:tr w:rsidR="00C4057E" w:rsidRPr="00C4057E" w14:paraId="1A7B7742" w14:textId="77777777" w:rsidTr="007B0B28">
        <w:trPr>
          <w:trHeight w:val="20"/>
        </w:trPr>
        <w:tc>
          <w:tcPr>
            <w:tcW w:w="1130" w:type="dxa"/>
            <w:vMerge w:val="restart"/>
            <w:tcBorders>
              <w:top w:val="single" w:sz="8" w:space="0" w:color="auto"/>
              <w:left w:val="single" w:sz="8" w:space="0" w:color="auto"/>
              <w:bottom w:val="single" w:sz="8" w:space="0" w:color="000000"/>
              <w:right w:val="single" w:sz="4" w:space="0" w:color="auto"/>
            </w:tcBorders>
            <w:shd w:val="clear" w:color="000000" w:fill="F2DCDB"/>
            <w:noWrap/>
            <w:vAlign w:val="center"/>
            <w:hideMark/>
          </w:tcPr>
          <w:p w14:paraId="04E686B6"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Met-Ed</w:t>
            </w:r>
          </w:p>
        </w:tc>
        <w:tc>
          <w:tcPr>
            <w:tcW w:w="1660" w:type="dxa"/>
            <w:tcBorders>
              <w:top w:val="single" w:sz="8" w:space="0" w:color="auto"/>
              <w:left w:val="nil"/>
              <w:bottom w:val="single" w:sz="4" w:space="0" w:color="auto"/>
              <w:right w:val="nil"/>
            </w:tcBorders>
            <w:shd w:val="clear" w:color="000000" w:fill="F2DCDB"/>
            <w:noWrap/>
            <w:vAlign w:val="bottom"/>
            <w:hideMark/>
          </w:tcPr>
          <w:p w14:paraId="1ACAAD97"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12 Month SAIFI</w:t>
            </w:r>
          </w:p>
        </w:tc>
        <w:tc>
          <w:tcPr>
            <w:tcW w:w="2010" w:type="dxa"/>
            <w:tcBorders>
              <w:top w:val="single" w:sz="8" w:space="0" w:color="auto"/>
              <w:left w:val="single" w:sz="4" w:space="0" w:color="auto"/>
              <w:bottom w:val="single" w:sz="4" w:space="0" w:color="auto"/>
              <w:right w:val="single" w:sz="4" w:space="0" w:color="auto"/>
            </w:tcBorders>
            <w:shd w:val="clear" w:color="000000" w:fill="F2DCDB"/>
            <w:vAlign w:val="bottom"/>
            <w:hideMark/>
          </w:tcPr>
          <w:p w14:paraId="6C72398B" w14:textId="77777777" w:rsidR="00C4057E" w:rsidRPr="00C4057E" w:rsidRDefault="00C4057E" w:rsidP="00C4057E">
            <w:pPr>
              <w:spacing w:after="0" w:line="240" w:lineRule="auto"/>
              <w:jc w:val="center"/>
              <w:rPr>
                <w:rFonts w:ascii="Arial" w:eastAsia="Times New Roman" w:hAnsi="Arial" w:cs="Arial"/>
                <w:b/>
                <w:bCs/>
                <w:sz w:val="20"/>
                <w:szCs w:val="20"/>
              </w:rPr>
            </w:pPr>
          </w:p>
        </w:tc>
        <w:tc>
          <w:tcPr>
            <w:tcW w:w="2010" w:type="dxa"/>
            <w:tcBorders>
              <w:top w:val="single" w:sz="8" w:space="0" w:color="auto"/>
              <w:left w:val="nil"/>
              <w:bottom w:val="single" w:sz="4" w:space="0" w:color="auto"/>
              <w:right w:val="single" w:sz="4" w:space="0" w:color="auto"/>
            </w:tcBorders>
            <w:shd w:val="clear" w:color="000000" w:fill="F2DCDB"/>
            <w:vAlign w:val="bottom"/>
            <w:hideMark/>
          </w:tcPr>
          <w:p w14:paraId="75167278" w14:textId="77777777" w:rsidR="00C4057E" w:rsidRPr="00C4057E" w:rsidRDefault="00C4057E" w:rsidP="00C4057E">
            <w:pPr>
              <w:spacing w:after="0" w:line="240" w:lineRule="auto"/>
              <w:jc w:val="center"/>
              <w:rPr>
                <w:rFonts w:ascii="Arial" w:eastAsia="Times New Roman" w:hAnsi="Arial" w:cs="Arial"/>
                <w:b/>
                <w:bCs/>
                <w:sz w:val="20"/>
                <w:szCs w:val="20"/>
              </w:rPr>
            </w:pPr>
            <w:r w:rsidRPr="00C4057E">
              <w:rPr>
                <w:rFonts w:ascii="Arial" w:eastAsia="Times New Roman" w:hAnsi="Arial" w:cs="Arial"/>
                <w:b/>
                <w:bCs/>
                <w:sz w:val="20"/>
                <w:szCs w:val="20"/>
              </w:rPr>
              <w:t>X</w:t>
            </w:r>
          </w:p>
        </w:tc>
        <w:tc>
          <w:tcPr>
            <w:tcW w:w="2010" w:type="dxa"/>
            <w:tcBorders>
              <w:top w:val="single" w:sz="8" w:space="0" w:color="auto"/>
              <w:left w:val="nil"/>
              <w:bottom w:val="single" w:sz="4" w:space="0" w:color="auto"/>
              <w:right w:val="single" w:sz="8" w:space="0" w:color="auto"/>
            </w:tcBorders>
            <w:shd w:val="clear" w:color="000000" w:fill="F2DCDB"/>
            <w:vAlign w:val="bottom"/>
            <w:hideMark/>
          </w:tcPr>
          <w:p w14:paraId="793251DD" w14:textId="77777777" w:rsidR="00C4057E" w:rsidRPr="00C4057E" w:rsidRDefault="00C4057E" w:rsidP="00C4057E">
            <w:pPr>
              <w:spacing w:after="0" w:line="240" w:lineRule="auto"/>
              <w:jc w:val="center"/>
              <w:rPr>
                <w:rFonts w:ascii="Arial" w:eastAsia="Times New Roman" w:hAnsi="Arial" w:cs="Arial"/>
                <w:b/>
                <w:bCs/>
                <w:sz w:val="20"/>
                <w:szCs w:val="20"/>
              </w:rPr>
            </w:pPr>
          </w:p>
        </w:tc>
      </w:tr>
      <w:tr w:rsidR="00C4057E" w:rsidRPr="00C4057E" w14:paraId="2FADD0A8" w14:textId="77777777" w:rsidTr="007B0B28">
        <w:trPr>
          <w:trHeight w:val="20"/>
        </w:trPr>
        <w:tc>
          <w:tcPr>
            <w:tcW w:w="1130" w:type="dxa"/>
            <w:vMerge/>
            <w:tcBorders>
              <w:top w:val="single" w:sz="8" w:space="0" w:color="auto"/>
              <w:left w:val="single" w:sz="8" w:space="0" w:color="auto"/>
              <w:bottom w:val="single" w:sz="8" w:space="0" w:color="000000"/>
              <w:right w:val="single" w:sz="4" w:space="0" w:color="auto"/>
            </w:tcBorders>
            <w:vAlign w:val="center"/>
            <w:hideMark/>
          </w:tcPr>
          <w:p w14:paraId="0D9AEF14" w14:textId="77777777" w:rsidR="00C4057E" w:rsidRPr="00C4057E" w:rsidRDefault="00C4057E" w:rsidP="00C4057E">
            <w:pPr>
              <w:spacing w:after="0" w:line="240" w:lineRule="auto"/>
              <w:jc w:val="center"/>
              <w:rPr>
                <w:rFonts w:ascii="Arial" w:eastAsia="Times New Roman" w:hAnsi="Arial" w:cs="Arial"/>
                <w:sz w:val="20"/>
                <w:szCs w:val="20"/>
              </w:rPr>
            </w:pPr>
          </w:p>
        </w:tc>
        <w:tc>
          <w:tcPr>
            <w:tcW w:w="1660" w:type="dxa"/>
            <w:tcBorders>
              <w:top w:val="nil"/>
              <w:left w:val="nil"/>
              <w:bottom w:val="single" w:sz="4" w:space="0" w:color="auto"/>
              <w:right w:val="nil"/>
            </w:tcBorders>
            <w:shd w:val="clear" w:color="000000" w:fill="F2DCDB"/>
            <w:noWrap/>
            <w:vAlign w:val="bottom"/>
            <w:hideMark/>
          </w:tcPr>
          <w:p w14:paraId="0BD28C6A"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36 Month SAIFI</w:t>
            </w:r>
          </w:p>
        </w:tc>
        <w:tc>
          <w:tcPr>
            <w:tcW w:w="2010" w:type="dxa"/>
            <w:tcBorders>
              <w:top w:val="nil"/>
              <w:left w:val="single" w:sz="4" w:space="0" w:color="auto"/>
              <w:bottom w:val="single" w:sz="4" w:space="0" w:color="auto"/>
              <w:right w:val="single" w:sz="4" w:space="0" w:color="auto"/>
            </w:tcBorders>
            <w:shd w:val="clear" w:color="000000" w:fill="F2DCDB"/>
            <w:vAlign w:val="bottom"/>
            <w:hideMark/>
          </w:tcPr>
          <w:p w14:paraId="27617030" w14:textId="77777777" w:rsidR="00C4057E" w:rsidRPr="00C4057E" w:rsidRDefault="00C4057E" w:rsidP="00C4057E">
            <w:pPr>
              <w:spacing w:after="0" w:line="240" w:lineRule="auto"/>
              <w:jc w:val="center"/>
              <w:rPr>
                <w:rFonts w:ascii="Arial" w:eastAsia="Times New Roman" w:hAnsi="Arial" w:cs="Arial"/>
                <w:b/>
                <w:bCs/>
                <w:sz w:val="20"/>
                <w:szCs w:val="20"/>
              </w:rPr>
            </w:pPr>
          </w:p>
        </w:tc>
        <w:tc>
          <w:tcPr>
            <w:tcW w:w="2010" w:type="dxa"/>
            <w:tcBorders>
              <w:top w:val="nil"/>
              <w:left w:val="nil"/>
              <w:bottom w:val="single" w:sz="4" w:space="0" w:color="auto"/>
              <w:right w:val="single" w:sz="4" w:space="0" w:color="auto"/>
            </w:tcBorders>
            <w:shd w:val="clear" w:color="000000" w:fill="F2DCDB"/>
            <w:vAlign w:val="bottom"/>
            <w:hideMark/>
          </w:tcPr>
          <w:p w14:paraId="6019A552" w14:textId="77777777" w:rsidR="00C4057E" w:rsidRPr="00C4057E" w:rsidRDefault="00C4057E" w:rsidP="00C4057E">
            <w:pPr>
              <w:spacing w:after="0" w:line="240" w:lineRule="auto"/>
              <w:jc w:val="center"/>
              <w:rPr>
                <w:rFonts w:ascii="Arial" w:eastAsia="Times New Roman" w:hAnsi="Arial" w:cs="Arial"/>
                <w:b/>
                <w:bCs/>
                <w:sz w:val="20"/>
                <w:szCs w:val="20"/>
              </w:rPr>
            </w:pPr>
            <w:r w:rsidRPr="00C4057E">
              <w:rPr>
                <w:rFonts w:ascii="Arial" w:eastAsia="Times New Roman" w:hAnsi="Arial" w:cs="Arial"/>
                <w:b/>
                <w:bCs/>
                <w:sz w:val="20"/>
                <w:szCs w:val="20"/>
              </w:rPr>
              <w:t>X</w:t>
            </w:r>
          </w:p>
        </w:tc>
        <w:tc>
          <w:tcPr>
            <w:tcW w:w="2010" w:type="dxa"/>
            <w:tcBorders>
              <w:top w:val="nil"/>
              <w:left w:val="nil"/>
              <w:bottom w:val="single" w:sz="4" w:space="0" w:color="auto"/>
              <w:right w:val="single" w:sz="8" w:space="0" w:color="auto"/>
            </w:tcBorders>
            <w:shd w:val="clear" w:color="000000" w:fill="F2DCDB"/>
            <w:vAlign w:val="bottom"/>
            <w:hideMark/>
          </w:tcPr>
          <w:p w14:paraId="52E82A5B" w14:textId="77777777" w:rsidR="00C4057E" w:rsidRPr="00C4057E" w:rsidRDefault="00C4057E" w:rsidP="00C4057E">
            <w:pPr>
              <w:spacing w:after="0" w:line="240" w:lineRule="auto"/>
              <w:jc w:val="center"/>
              <w:rPr>
                <w:rFonts w:ascii="Arial" w:eastAsia="Times New Roman" w:hAnsi="Arial" w:cs="Arial"/>
                <w:b/>
                <w:bCs/>
                <w:sz w:val="20"/>
                <w:szCs w:val="20"/>
              </w:rPr>
            </w:pPr>
          </w:p>
        </w:tc>
      </w:tr>
      <w:tr w:rsidR="00C4057E" w:rsidRPr="00C4057E" w14:paraId="66997163" w14:textId="77777777" w:rsidTr="007B0B28">
        <w:trPr>
          <w:trHeight w:val="20"/>
        </w:trPr>
        <w:tc>
          <w:tcPr>
            <w:tcW w:w="1130" w:type="dxa"/>
            <w:vMerge/>
            <w:tcBorders>
              <w:top w:val="single" w:sz="8" w:space="0" w:color="auto"/>
              <w:left w:val="single" w:sz="8" w:space="0" w:color="auto"/>
              <w:bottom w:val="single" w:sz="8" w:space="0" w:color="000000"/>
              <w:right w:val="single" w:sz="4" w:space="0" w:color="auto"/>
            </w:tcBorders>
            <w:vAlign w:val="center"/>
            <w:hideMark/>
          </w:tcPr>
          <w:p w14:paraId="3A2A9094" w14:textId="77777777" w:rsidR="00C4057E" w:rsidRPr="00C4057E" w:rsidRDefault="00C4057E" w:rsidP="00C4057E">
            <w:pPr>
              <w:spacing w:after="0" w:line="240" w:lineRule="auto"/>
              <w:jc w:val="center"/>
              <w:rPr>
                <w:rFonts w:ascii="Arial" w:eastAsia="Times New Roman" w:hAnsi="Arial" w:cs="Arial"/>
                <w:sz w:val="20"/>
                <w:szCs w:val="20"/>
              </w:rPr>
            </w:pPr>
          </w:p>
        </w:tc>
        <w:tc>
          <w:tcPr>
            <w:tcW w:w="1660" w:type="dxa"/>
            <w:tcBorders>
              <w:top w:val="nil"/>
              <w:left w:val="nil"/>
              <w:bottom w:val="single" w:sz="4" w:space="0" w:color="auto"/>
              <w:right w:val="nil"/>
            </w:tcBorders>
            <w:shd w:val="clear" w:color="000000" w:fill="F2DCDB"/>
            <w:noWrap/>
            <w:vAlign w:val="bottom"/>
            <w:hideMark/>
          </w:tcPr>
          <w:p w14:paraId="0DF9458D"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12 Month CAIDI</w:t>
            </w:r>
          </w:p>
        </w:tc>
        <w:tc>
          <w:tcPr>
            <w:tcW w:w="2010" w:type="dxa"/>
            <w:tcBorders>
              <w:top w:val="nil"/>
              <w:left w:val="single" w:sz="4" w:space="0" w:color="auto"/>
              <w:bottom w:val="single" w:sz="4" w:space="0" w:color="auto"/>
              <w:right w:val="single" w:sz="4" w:space="0" w:color="auto"/>
            </w:tcBorders>
            <w:shd w:val="clear" w:color="000000" w:fill="F2DCDB"/>
            <w:vAlign w:val="bottom"/>
            <w:hideMark/>
          </w:tcPr>
          <w:p w14:paraId="2EEDE626" w14:textId="77777777" w:rsidR="00C4057E" w:rsidRPr="00C4057E" w:rsidRDefault="00C4057E" w:rsidP="00C4057E">
            <w:pPr>
              <w:spacing w:after="0" w:line="240" w:lineRule="auto"/>
              <w:jc w:val="center"/>
              <w:rPr>
                <w:rFonts w:ascii="Arial" w:eastAsia="Times New Roman" w:hAnsi="Arial" w:cs="Arial"/>
                <w:b/>
                <w:bCs/>
                <w:sz w:val="20"/>
                <w:szCs w:val="20"/>
              </w:rPr>
            </w:pPr>
          </w:p>
        </w:tc>
        <w:tc>
          <w:tcPr>
            <w:tcW w:w="2010" w:type="dxa"/>
            <w:tcBorders>
              <w:top w:val="nil"/>
              <w:left w:val="nil"/>
              <w:bottom w:val="single" w:sz="4" w:space="0" w:color="auto"/>
              <w:right w:val="single" w:sz="4" w:space="0" w:color="auto"/>
            </w:tcBorders>
            <w:shd w:val="clear" w:color="000000" w:fill="F2DCDB"/>
            <w:vAlign w:val="bottom"/>
            <w:hideMark/>
          </w:tcPr>
          <w:p w14:paraId="77A314EC" w14:textId="77777777" w:rsidR="00C4057E" w:rsidRPr="00C4057E" w:rsidRDefault="00C4057E" w:rsidP="00C4057E">
            <w:pPr>
              <w:spacing w:after="0" w:line="240" w:lineRule="auto"/>
              <w:jc w:val="center"/>
              <w:rPr>
                <w:rFonts w:ascii="Arial" w:eastAsia="Times New Roman" w:hAnsi="Arial" w:cs="Arial"/>
                <w:b/>
                <w:bCs/>
                <w:sz w:val="20"/>
                <w:szCs w:val="20"/>
              </w:rPr>
            </w:pPr>
          </w:p>
        </w:tc>
        <w:tc>
          <w:tcPr>
            <w:tcW w:w="2010" w:type="dxa"/>
            <w:tcBorders>
              <w:top w:val="nil"/>
              <w:left w:val="nil"/>
              <w:bottom w:val="single" w:sz="4" w:space="0" w:color="auto"/>
              <w:right w:val="single" w:sz="8" w:space="0" w:color="auto"/>
            </w:tcBorders>
            <w:shd w:val="clear" w:color="000000" w:fill="F2DCDB"/>
            <w:vAlign w:val="bottom"/>
            <w:hideMark/>
          </w:tcPr>
          <w:p w14:paraId="466688C3" w14:textId="77777777" w:rsidR="00C4057E" w:rsidRPr="00C4057E" w:rsidRDefault="00C4057E" w:rsidP="00C4057E">
            <w:pPr>
              <w:spacing w:after="0" w:line="240" w:lineRule="auto"/>
              <w:jc w:val="center"/>
              <w:rPr>
                <w:rFonts w:ascii="Arial" w:eastAsia="Times New Roman" w:hAnsi="Arial" w:cs="Arial"/>
                <w:b/>
                <w:bCs/>
                <w:sz w:val="20"/>
                <w:szCs w:val="20"/>
              </w:rPr>
            </w:pPr>
            <w:r w:rsidRPr="00C4057E">
              <w:rPr>
                <w:rFonts w:ascii="Arial" w:eastAsia="Times New Roman" w:hAnsi="Arial" w:cs="Arial"/>
                <w:b/>
                <w:bCs/>
                <w:sz w:val="20"/>
                <w:szCs w:val="20"/>
              </w:rPr>
              <w:t>X</w:t>
            </w:r>
          </w:p>
        </w:tc>
      </w:tr>
      <w:tr w:rsidR="00C4057E" w:rsidRPr="00C4057E" w14:paraId="2AD93008" w14:textId="77777777" w:rsidTr="007B0B28">
        <w:trPr>
          <w:trHeight w:val="20"/>
        </w:trPr>
        <w:tc>
          <w:tcPr>
            <w:tcW w:w="1130" w:type="dxa"/>
            <w:vMerge/>
            <w:tcBorders>
              <w:top w:val="single" w:sz="8" w:space="0" w:color="auto"/>
              <w:left w:val="single" w:sz="8" w:space="0" w:color="auto"/>
              <w:bottom w:val="single" w:sz="8" w:space="0" w:color="000000"/>
              <w:right w:val="single" w:sz="4" w:space="0" w:color="auto"/>
            </w:tcBorders>
            <w:vAlign w:val="center"/>
            <w:hideMark/>
          </w:tcPr>
          <w:p w14:paraId="279FC6EC" w14:textId="77777777" w:rsidR="00C4057E" w:rsidRPr="00C4057E" w:rsidRDefault="00C4057E" w:rsidP="00C4057E">
            <w:pPr>
              <w:spacing w:after="0" w:line="240" w:lineRule="auto"/>
              <w:jc w:val="center"/>
              <w:rPr>
                <w:rFonts w:ascii="Arial" w:eastAsia="Times New Roman" w:hAnsi="Arial" w:cs="Arial"/>
                <w:sz w:val="20"/>
                <w:szCs w:val="20"/>
              </w:rPr>
            </w:pPr>
          </w:p>
        </w:tc>
        <w:tc>
          <w:tcPr>
            <w:tcW w:w="1660" w:type="dxa"/>
            <w:tcBorders>
              <w:top w:val="nil"/>
              <w:left w:val="nil"/>
              <w:bottom w:val="single" w:sz="4" w:space="0" w:color="auto"/>
              <w:right w:val="nil"/>
            </w:tcBorders>
            <w:shd w:val="clear" w:color="000000" w:fill="F2DCDB"/>
            <w:noWrap/>
            <w:vAlign w:val="bottom"/>
            <w:hideMark/>
          </w:tcPr>
          <w:p w14:paraId="379F0B0D"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36 Month CAIDI</w:t>
            </w:r>
          </w:p>
        </w:tc>
        <w:tc>
          <w:tcPr>
            <w:tcW w:w="2010" w:type="dxa"/>
            <w:tcBorders>
              <w:top w:val="nil"/>
              <w:left w:val="single" w:sz="4" w:space="0" w:color="auto"/>
              <w:bottom w:val="single" w:sz="4" w:space="0" w:color="auto"/>
              <w:right w:val="single" w:sz="4" w:space="0" w:color="auto"/>
            </w:tcBorders>
            <w:shd w:val="clear" w:color="000000" w:fill="F2DCDB"/>
            <w:vAlign w:val="bottom"/>
            <w:hideMark/>
          </w:tcPr>
          <w:p w14:paraId="6B77B7DA" w14:textId="77777777" w:rsidR="00C4057E" w:rsidRPr="00C4057E" w:rsidRDefault="00C4057E" w:rsidP="00C4057E">
            <w:pPr>
              <w:spacing w:after="0" w:line="240" w:lineRule="auto"/>
              <w:jc w:val="center"/>
              <w:rPr>
                <w:rFonts w:ascii="Arial" w:eastAsia="Times New Roman" w:hAnsi="Arial" w:cs="Arial"/>
                <w:b/>
                <w:bCs/>
                <w:sz w:val="20"/>
                <w:szCs w:val="20"/>
              </w:rPr>
            </w:pPr>
          </w:p>
        </w:tc>
        <w:tc>
          <w:tcPr>
            <w:tcW w:w="2010" w:type="dxa"/>
            <w:tcBorders>
              <w:top w:val="nil"/>
              <w:left w:val="nil"/>
              <w:bottom w:val="single" w:sz="4" w:space="0" w:color="auto"/>
              <w:right w:val="single" w:sz="4" w:space="0" w:color="auto"/>
            </w:tcBorders>
            <w:shd w:val="clear" w:color="000000" w:fill="F2DCDB"/>
            <w:vAlign w:val="bottom"/>
            <w:hideMark/>
          </w:tcPr>
          <w:p w14:paraId="6AD526FF" w14:textId="77777777" w:rsidR="00C4057E" w:rsidRPr="00C4057E" w:rsidRDefault="00C4057E" w:rsidP="00C4057E">
            <w:pPr>
              <w:spacing w:after="0" w:line="240" w:lineRule="auto"/>
              <w:jc w:val="center"/>
              <w:rPr>
                <w:rFonts w:ascii="Arial" w:eastAsia="Times New Roman" w:hAnsi="Arial" w:cs="Arial"/>
                <w:b/>
                <w:bCs/>
                <w:sz w:val="20"/>
                <w:szCs w:val="20"/>
              </w:rPr>
            </w:pPr>
          </w:p>
        </w:tc>
        <w:tc>
          <w:tcPr>
            <w:tcW w:w="2010" w:type="dxa"/>
            <w:tcBorders>
              <w:top w:val="nil"/>
              <w:left w:val="nil"/>
              <w:bottom w:val="single" w:sz="4" w:space="0" w:color="auto"/>
              <w:right w:val="single" w:sz="8" w:space="0" w:color="auto"/>
            </w:tcBorders>
            <w:shd w:val="clear" w:color="000000" w:fill="F2DCDB"/>
            <w:vAlign w:val="bottom"/>
            <w:hideMark/>
          </w:tcPr>
          <w:p w14:paraId="0E45E7C5" w14:textId="77777777" w:rsidR="00C4057E" w:rsidRPr="00C4057E" w:rsidRDefault="00C4057E" w:rsidP="00C4057E">
            <w:pPr>
              <w:spacing w:after="0" w:line="240" w:lineRule="auto"/>
              <w:jc w:val="center"/>
              <w:rPr>
                <w:rFonts w:ascii="Arial" w:eastAsia="Times New Roman" w:hAnsi="Arial" w:cs="Arial"/>
                <w:b/>
                <w:bCs/>
                <w:sz w:val="20"/>
                <w:szCs w:val="20"/>
              </w:rPr>
            </w:pPr>
            <w:r w:rsidRPr="00C4057E">
              <w:rPr>
                <w:rFonts w:ascii="Arial" w:eastAsia="Times New Roman" w:hAnsi="Arial" w:cs="Arial"/>
                <w:b/>
                <w:bCs/>
                <w:sz w:val="20"/>
                <w:szCs w:val="20"/>
              </w:rPr>
              <w:t>X</w:t>
            </w:r>
          </w:p>
        </w:tc>
      </w:tr>
      <w:tr w:rsidR="00C4057E" w:rsidRPr="00C4057E" w14:paraId="32FF9609" w14:textId="77777777" w:rsidTr="007B0B28">
        <w:trPr>
          <w:trHeight w:val="20"/>
        </w:trPr>
        <w:tc>
          <w:tcPr>
            <w:tcW w:w="1130" w:type="dxa"/>
            <w:vMerge/>
            <w:tcBorders>
              <w:top w:val="single" w:sz="8" w:space="0" w:color="auto"/>
              <w:left w:val="single" w:sz="8" w:space="0" w:color="auto"/>
              <w:bottom w:val="single" w:sz="8" w:space="0" w:color="000000"/>
              <w:right w:val="single" w:sz="4" w:space="0" w:color="auto"/>
            </w:tcBorders>
            <w:vAlign w:val="center"/>
            <w:hideMark/>
          </w:tcPr>
          <w:p w14:paraId="691476F9" w14:textId="77777777" w:rsidR="00C4057E" w:rsidRPr="00C4057E" w:rsidRDefault="00C4057E" w:rsidP="00C4057E">
            <w:pPr>
              <w:spacing w:after="0" w:line="240" w:lineRule="auto"/>
              <w:jc w:val="center"/>
              <w:rPr>
                <w:rFonts w:ascii="Arial" w:eastAsia="Times New Roman" w:hAnsi="Arial" w:cs="Arial"/>
                <w:sz w:val="20"/>
                <w:szCs w:val="20"/>
              </w:rPr>
            </w:pPr>
          </w:p>
        </w:tc>
        <w:tc>
          <w:tcPr>
            <w:tcW w:w="1660" w:type="dxa"/>
            <w:tcBorders>
              <w:top w:val="nil"/>
              <w:left w:val="nil"/>
              <w:bottom w:val="single" w:sz="4" w:space="0" w:color="auto"/>
              <w:right w:val="nil"/>
            </w:tcBorders>
            <w:shd w:val="clear" w:color="000000" w:fill="F2DCDB"/>
            <w:noWrap/>
            <w:vAlign w:val="bottom"/>
            <w:hideMark/>
          </w:tcPr>
          <w:p w14:paraId="51252704"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12 Month SAIDI</w:t>
            </w:r>
          </w:p>
        </w:tc>
        <w:tc>
          <w:tcPr>
            <w:tcW w:w="2010" w:type="dxa"/>
            <w:tcBorders>
              <w:top w:val="nil"/>
              <w:left w:val="single" w:sz="4" w:space="0" w:color="auto"/>
              <w:bottom w:val="single" w:sz="4" w:space="0" w:color="auto"/>
              <w:right w:val="single" w:sz="4" w:space="0" w:color="auto"/>
            </w:tcBorders>
            <w:shd w:val="clear" w:color="000000" w:fill="F2DCDB"/>
            <w:vAlign w:val="bottom"/>
            <w:hideMark/>
          </w:tcPr>
          <w:p w14:paraId="1956A843" w14:textId="77777777" w:rsidR="00C4057E" w:rsidRPr="00C4057E" w:rsidRDefault="00C4057E" w:rsidP="00C4057E">
            <w:pPr>
              <w:spacing w:after="0" w:line="240" w:lineRule="auto"/>
              <w:jc w:val="center"/>
              <w:rPr>
                <w:rFonts w:ascii="Arial" w:eastAsia="Times New Roman" w:hAnsi="Arial" w:cs="Arial"/>
                <w:b/>
                <w:bCs/>
                <w:sz w:val="20"/>
                <w:szCs w:val="20"/>
              </w:rPr>
            </w:pPr>
          </w:p>
        </w:tc>
        <w:tc>
          <w:tcPr>
            <w:tcW w:w="2010" w:type="dxa"/>
            <w:tcBorders>
              <w:top w:val="nil"/>
              <w:left w:val="nil"/>
              <w:bottom w:val="single" w:sz="4" w:space="0" w:color="auto"/>
              <w:right w:val="single" w:sz="4" w:space="0" w:color="auto"/>
            </w:tcBorders>
            <w:shd w:val="clear" w:color="000000" w:fill="F2DCDB"/>
            <w:vAlign w:val="bottom"/>
            <w:hideMark/>
          </w:tcPr>
          <w:p w14:paraId="2C81C3B8" w14:textId="77777777" w:rsidR="00C4057E" w:rsidRPr="00C4057E" w:rsidRDefault="00C4057E" w:rsidP="00C4057E">
            <w:pPr>
              <w:spacing w:after="0" w:line="240" w:lineRule="auto"/>
              <w:jc w:val="center"/>
              <w:rPr>
                <w:rFonts w:ascii="Arial" w:eastAsia="Times New Roman" w:hAnsi="Arial" w:cs="Arial"/>
                <w:b/>
                <w:bCs/>
                <w:sz w:val="20"/>
                <w:szCs w:val="20"/>
              </w:rPr>
            </w:pPr>
          </w:p>
        </w:tc>
        <w:tc>
          <w:tcPr>
            <w:tcW w:w="2010" w:type="dxa"/>
            <w:tcBorders>
              <w:top w:val="nil"/>
              <w:left w:val="nil"/>
              <w:bottom w:val="single" w:sz="4" w:space="0" w:color="auto"/>
              <w:right w:val="single" w:sz="8" w:space="0" w:color="auto"/>
            </w:tcBorders>
            <w:shd w:val="clear" w:color="000000" w:fill="F2DCDB"/>
            <w:vAlign w:val="bottom"/>
            <w:hideMark/>
          </w:tcPr>
          <w:p w14:paraId="093E3839" w14:textId="77777777" w:rsidR="00C4057E" w:rsidRPr="00C4057E" w:rsidRDefault="00C4057E" w:rsidP="00C4057E">
            <w:pPr>
              <w:spacing w:after="0" w:line="240" w:lineRule="auto"/>
              <w:jc w:val="center"/>
              <w:rPr>
                <w:rFonts w:ascii="Arial" w:eastAsia="Times New Roman" w:hAnsi="Arial" w:cs="Arial"/>
                <w:b/>
                <w:bCs/>
                <w:sz w:val="20"/>
                <w:szCs w:val="20"/>
              </w:rPr>
            </w:pPr>
            <w:r w:rsidRPr="00C4057E">
              <w:rPr>
                <w:rFonts w:ascii="Arial" w:eastAsia="Times New Roman" w:hAnsi="Arial" w:cs="Arial"/>
                <w:b/>
                <w:bCs/>
                <w:sz w:val="20"/>
                <w:szCs w:val="20"/>
              </w:rPr>
              <w:t>X</w:t>
            </w:r>
          </w:p>
        </w:tc>
      </w:tr>
      <w:tr w:rsidR="00C4057E" w:rsidRPr="00C4057E" w14:paraId="55134265" w14:textId="77777777" w:rsidTr="007B0B28">
        <w:trPr>
          <w:trHeight w:val="20"/>
        </w:trPr>
        <w:tc>
          <w:tcPr>
            <w:tcW w:w="1130" w:type="dxa"/>
            <w:vMerge/>
            <w:tcBorders>
              <w:top w:val="single" w:sz="8" w:space="0" w:color="auto"/>
              <w:left w:val="single" w:sz="8" w:space="0" w:color="auto"/>
              <w:bottom w:val="single" w:sz="8" w:space="0" w:color="000000"/>
              <w:right w:val="single" w:sz="4" w:space="0" w:color="auto"/>
            </w:tcBorders>
            <w:vAlign w:val="center"/>
            <w:hideMark/>
          </w:tcPr>
          <w:p w14:paraId="122B9B02" w14:textId="77777777" w:rsidR="00C4057E" w:rsidRPr="00C4057E" w:rsidRDefault="00C4057E" w:rsidP="00C4057E">
            <w:pPr>
              <w:spacing w:after="0" w:line="240" w:lineRule="auto"/>
              <w:jc w:val="center"/>
              <w:rPr>
                <w:rFonts w:ascii="Arial" w:eastAsia="Times New Roman" w:hAnsi="Arial" w:cs="Arial"/>
                <w:sz w:val="20"/>
                <w:szCs w:val="20"/>
              </w:rPr>
            </w:pPr>
          </w:p>
        </w:tc>
        <w:tc>
          <w:tcPr>
            <w:tcW w:w="1660" w:type="dxa"/>
            <w:tcBorders>
              <w:top w:val="nil"/>
              <w:left w:val="nil"/>
              <w:bottom w:val="single" w:sz="8" w:space="0" w:color="auto"/>
              <w:right w:val="nil"/>
            </w:tcBorders>
            <w:shd w:val="clear" w:color="000000" w:fill="F2DCDB"/>
            <w:noWrap/>
            <w:vAlign w:val="bottom"/>
            <w:hideMark/>
          </w:tcPr>
          <w:p w14:paraId="2DE656FF"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36 Month SAIDI</w:t>
            </w:r>
          </w:p>
        </w:tc>
        <w:tc>
          <w:tcPr>
            <w:tcW w:w="2010" w:type="dxa"/>
            <w:tcBorders>
              <w:top w:val="nil"/>
              <w:left w:val="single" w:sz="4" w:space="0" w:color="auto"/>
              <w:bottom w:val="single" w:sz="8" w:space="0" w:color="auto"/>
              <w:right w:val="single" w:sz="4" w:space="0" w:color="auto"/>
            </w:tcBorders>
            <w:shd w:val="clear" w:color="000000" w:fill="F2DCDB"/>
            <w:vAlign w:val="bottom"/>
            <w:hideMark/>
          </w:tcPr>
          <w:p w14:paraId="78A4421C" w14:textId="77777777" w:rsidR="00C4057E" w:rsidRPr="00C4057E" w:rsidRDefault="00C4057E" w:rsidP="00C4057E">
            <w:pPr>
              <w:spacing w:after="0" w:line="240" w:lineRule="auto"/>
              <w:jc w:val="center"/>
              <w:rPr>
                <w:rFonts w:ascii="Arial" w:eastAsia="Times New Roman" w:hAnsi="Arial" w:cs="Arial"/>
                <w:b/>
                <w:bCs/>
                <w:sz w:val="20"/>
                <w:szCs w:val="20"/>
              </w:rPr>
            </w:pPr>
          </w:p>
        </w:tc>
        <w:tc>
          <w:tcPr>
            <w:tcW w:w="2010" w:type="dxa"/>
            <w:tcBorders>
              <w:top w:val="nil"/>
              <w:left w:val="nil"/>
              <w:bottom w:val="single" w:sz="8" w:space="0" w:color="auto"/>
              <w:right w:val="single" w:sz="4" w:space="0" w:color="auto"/>
            </w:tcBorders>
            <w:shd w:val="clear" w:color="000000" w:fill="F2DCDB"/>
            <w:vAlign w:val="bottom"/>
            <w:hideMark/>
          </w:tcPr>
          <w:p w14:paraId="50892555" w14:textId="77777777" w:rsidR="00C4057E" w:rsidRPr="00C4057E" w:rsidRDefault="00C4057E" w:rsidP="00C4057E">
            <w:pPr>
              <w:spacing w:after="0" w:line="240" w:lineRule="auto"/>
              <w:jc w:val="center"/>
              <w:rPr>
                <w:rFonts w:ascii="Arial" w:eastAsia="Times New Roman" w:hAnsi="Arial" w:cs="Arial"/>
                <w:b/>
                <w:bCs/>
                <w:sz w:val="20"/>
                <w:szCs w:val="20"/>
              </w:rPr>
            </w:pPr>
          </w:p>
        </w:tc>
        <w:tc>
          <w:tcPr>
            <w:tcW w:w="2010" w:type="dxa"/>
            <w:tcBorders>
              <w:top w:val="nil"/>
              <w:left w:val="nil"/>
              <w:bottom w:val="single" w:sz="8" w:space="0" w:color="auto"/>
              <w:right w:val="single" w:sz="8" w:space="0" w:color="auto"/>
            </w:tcBorders>
            <w:shd w:val="clear" w:color="000000" w:fill="F2DCDB"/>
            <w:vAlign w:val="bottom"/>
            <w:hideMark/>
          </w:tcPr>
          <w:p w14:paraId="3869FCC7" w14:textId="77777777" w:rsidR="00C4057E" w:rsidRPr="00C4057E" w:rsidRDefault="00C4057E" w:rsidP="00C4057E">
            <w:pPr>
              <w:spacing w:after="0" w:line="240" w:lineRule="auto"/>
              <w:jc w:val="center"/>
              <w:rPr>
                <w:rFonts w:ascii="Arial" w:eastAsia="Times New Roman" w:hAnsi="Arial" w:cs="Arial"/>
                <w:b/>
                <w:bCs/>
                <w:sz w:val="20"/>
                <w:szCs w:val="20"/>
              </w:rPr>
            </w:pPr>
            <w:r w:rsidRPr="00C4057E">
              <w:rPr>
                <w:rFonts w:ascii="Arial" w:eastAsia="Times New Roman" w:hAnsi="Arial" w:cs="Arial"/>
                <w:b/>
                <w:bCs/>
                <w:sz w:val="20"/>
                <w:szCs w:val="20"/>
              </w:rPr>
              <w:t>X</w:t>
            </w:r>
          </w:p>
        </w:tc>
      </w:tr>
      <w:tr w:rsidR="00C4057E" w:rsidRPr="00C4057E" w14:paraId="3813F8BA" w14:textId="77777777" w:rsidTr="007B0B28">
        <w:trPr>
          <w:trHeight w:val="20"/>
        </w:trPr>
        <w:tc>
          <w:tcPr>
            <w:tcW w:w="1130" w:type="dxa"/>
            <w:vMerge w:val="restart"/>
            <w:tcBorders>
              <w:top w:val="nil"/>
              <w:left w:val="single" w:sz="8" w:space="0" w:color="auto"/>
              <w:bottom w:val="single" w:sz="8" w:space="0" w:color="000000"/>
              <w:right w:val="single" w:sz="4" w:space="0" w:color="auto"/>
            </w:tcBorders>
            <w:shd w:val="clear" w:color="000000" w:fill="DA9694"/>
            <w:noWrap/>
            <w:vAlign w:val="center"/>
            <w:hideMark/>
          </w:tcPr>
          <w:p w14:paraId="5EE7104E"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Penelec</w:t>
            </w:r>
          </w:p>
        </w:tc>
        <w:tc>
          <w:tcPr>
            <w:tcW w:w="1660" w:type="dxa"/>
            <w:tcBorders>
              <w:top w:val="nil"/>
              <w:left w:val="nil"/>
              <w:bottom w:val="single" w:sz="4" w:space="0" w:color="auto"/>
              <w:right w:val="nil"/>
            </w:tcBorders>
            <w:shd w:val="clear" w:color="000000" w:fill="DA9694"/>
            <w:noWrap/>
            <w:vAlign w:val="bottom"/>
            <w:hideMark/>
          </w:tcPr>
          <w:p w14:paraId="61696497"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12 Month SAIFI</w:t>
            </w:r>
          </w:p>
        </w:tc>
        <w:tc>
          <w:tcPr>
            <w:tcW w:w="2010" w:type="dxa"/>
            <w:tcBorders>
              <w:top w:val="nil"/>
              <w:left w:val="single" w:sz="4" w:space="0" w:color="auto"/>
              <w:bottom w:val="single" w:sz="4" w:space="0" w:color="auto"/>
              <w:right w:val="single" w:sz="4" w:space="0" w:color="auto"/>
            </w:tcBorders>
            <w:shd w:val="clear" w:color="000000" w:fill="DA9694"/>
            <w:vAlign w:val="bottom"/>
            <w:hideMark/>
          </w:tcPr>
          <w:p w14:paraId="2344D00C" w14:textId="77777777" w:rsidR="00C4057E" w:rsidRPr="00C4057E" w:rsidRDefault="00C4057E" w:rsidP="00C4057E">
            <w:pPr>
              <w:spacing w:after="0" w:line="240" w:lineRule="auto"/>
              <w:jc w:val="center"/>
              <w:rPr>
                <w:rFonts w:ascii="Arial" w:eastAsia="Times New Roman" w:hAnsi="Arial" w:cs="Arial"/>
                <w:b/>
                <w:bCs/>
                <w:sz w:val="20"/>
                <w:szCs w:val="20"/>
              </w:rPr>
            </w:pPr>
          </w:p>
        </w:tc>
        <w:tc>
          <w:tcPr>
            <w:tcW w:w="2010" w:type="dxa"/>
            <w:tcBorders>
              <w:top w:val="nil"/>
              <w:left w:val="nil"/>
              <w:bottom w:val="single" w:sz="4" w:space="0" w:color="auto"/>
              <w:right w:val="single" w:sz="4" w:space="0" w:color="auto"/>
            </w:tcBorders>
            <w:shd w:val="clear" w:color="000000" w:fill="DA9694"/>
            <w:vAlign w:val="bottom"/>
            <w:hideMark/>
          </w:tcPr>
          <w:p w14:paraId="21EE1203" w14:textId="77777777" w:rsidR="00C4057E" w:rsidRPr="00C4057E" w:rsidRDefault="00C4057E" w:rsidP="00C4057E">
            <w:pPr>
              <w:spacing w:after="0" w:line="240" w:lineRule="auto"/>
              <w:jc w:val="center"/>
              <w:rPr>
                <w:rFonts w:ascii="Arial" w:eastAsia="Times New Roman" w:hAnsi="Arial" w:cs="Arial"/>
                <w:b/>
                <w:bCs/>
                <w:sz w:val="20"/>
                <w:szCs w:val="20"/>
              </w:rPr>
            </w:pPr>
          </w:p>
        </w:tc>
        <w:tc>
          <w:tcPr>
            <w:tcW w:w="2010" w:type="dxa"/>
            <w:tcBorders>
              <w:top w:val="nil"/>
              <w:left w:val="nil"/>
              <w:bottom w:val="single" w:sz="4" w:space="0" w:color="auto"/>
              <w:right w:val="single" w:sz="8" w:space="0" w:color="auto"/>
            </w:tcBorders>
            <w:shd w:val="clear" w:color="000000" w:fill="DA9694"/>
            <w:vAlign w:val="bottom"/>
            <w:hideMark/>
          </w:tcPr>
          <w:p w14:paraId="4535B2AA" w14:textId="77777777" w:rsidR="00C4057E" w:rsidRPr="00C4057E" w:rsidRDefault="00C4057E" w:rsidP="00C4057E">
            <w:pPr>
              <w:spacing w:after="0" w:line="240" w:lineRule="auto"/>
              <w:jc w:val="center"/>
              <w:rPr>
                <w:rFonts w:ascii="Arial" w:eastAsia="Times New Roman" w:hAnsi="Arial" w:cs="Arial"/>
                <w:b/>
                <w:bCs/>
                <w:sz w:val="20"/>
                <w:szCs w:val="20"/>
              </w:rPr>
            </w:pPr>
            <w:r w:rsidRPr="00C4057E">
              <w:rPr>
                <w:rFonts w:ascii="Arial" w:eastAsia="Times New Roman" w:hAnsi="Arial" w:cs="Arial"/>
                <w:b/>
                <w:bCs/>
                <w:sz w:val="20"/>
                <w:szCs w:val="20"/>
              </w:rPr>
              <w:t>X</w:t>
            </w:r>
          </w:p>
        </w:tc>
      </w:tr>
      <w:tr w:rsidR="00C4057E" w:rsidRPr="00C4057E" w14:paraId="500B5226" w14:textId="77777777" w:rsidTr="007B0B28">
        <w:trPr>
          <w:trHeight w:val="20"/>
        </w:trPr>
        <w:tc>
          <w:tcPr>
            <w:tcW w:w="1130" w:type="dxa"/>
            <w:vMerge/>
            <w:tcBorders>
              <w:top w:val="nil"/>
              <w:left w:val="single" w:sz="8" w:space="0" w:color="auto"/>
              <w:bottom w:val="single" w:sz="8" w:space="0" w:color="000000"/>
              <w:right w:val="single" w:sz="4" w:space="0" w:color="auto"/>
            </w:tcBorders>
            <w:vAlign w:val="center"/>
            <w:hideMark/>
          </w:tcPr>
          <w:p w14:paraId="7139D0A8" w14:textId="77777777" w:rsidR="00C4057E" w:rsidRPr="00C4057E" w:rsidRDefault="00C4057E" w:rsidP="00C4057E">
            <w:pPr>
              <w:spacing w:after="0" w:line="240" w:lineRule="auto"/>
              <w:jc w:val="center"/>
              <w:rPr>
                <w:rFonts w:ascii="Arial" w:eastAsia="Times New Roman" w:hAnsi="Arial" w:cs="Arial"/>
                <w:sz w:val="20"/>
                <w:szCs w:val="20"/>
              </w:rPr>
            </w:pPr>
          </w:p>
        </w:tc>
        <w:tc>
          <w:tcPr>
            <w:tcW w:w="1660" w:type="dxa"/>
            <w:tcBorders>
              <w:top w:val="nil"/>
              <w:left w:val="nil"/>
              <w:bottom w:val="single" w:sz="4" w:space="0" w:color="auto"/>
              <w:right w:val="nil"/>
            </w:tcBorders>
            <w:shd w:val="clear" w:color="000000" w:fill="DA9694"/>
            <w:noWrap/>
            <w:vAlign w:val="bottom"/>
            <w:hideMark/>
          </w:tcPr>
          <w:p w14:paraId="5206BC1C"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36 Month SAIFI</w:t>
            </w:r>
          </w:p>
        </w:tc>
        <w:tc>
          <w:tcPr>
            <w:tcW w:w="2010" w:type="dxa"/>
            <w:tcBorders>
              <w:top w:val="nil"/>
              <w:left w:val="single" w:sz="4" w:space="0" w:color="auto"/>
              <w:bottom w:val="single" w:sz="4" w:space="0" w:color="auto"/>
              <w:right w:val="single" w:sz="4" w:space="0" w:color="auto"/>
            </w:tcBorders>
            <w:shd w:val="clear" w:color="000000" w:fill="DA9694"/>
            <w:vAlign w:val="bottom"/>
            <w:hideMark/>
          </w:tcPr>
          <w:p w14:paraId="676B5A68" w14:textId="77777777" w:rsidR="00C4057E" w:rsidRPr="00C4057E" w:rsidRDefault="00C4057E" w:rsidP="00C4057E">
            <w:pPr>
              <w:spacing w:after="0" w:line="240" w:lineRule="auto"/>
              <w:jc w:val="center"/>
              <w:rPr>
                <w:rFonts w:ascii="Arial" w:eastAsia="Times New Roman" w:hAnsi="Arial" w:cs="Arial"/>
                <w:b/>
                <w:bCs/>
                <w:sz w:val="20"/>
                <w:szCs w:val="20"/>
              </w:rPr>
            </w:pPr>
            <w:r w:rsidRPr="00C4057E">
              <w:rPr>
                <w:rFonts w:ascii="Arial" w:eastAsia="Times New Roman" w:hAnsi="Arial" w:cs="Arial"/>
                <w:b/>
                <w:bCs/>
                <w:sz w:val="20"/>
                <w:szCs w:val="20"/>
              </w:rPr>
              <w:t>X</w:t>
            </w:r>
          </w:p>
        </w:tc>
        <w:tc>
          <w:tcPr>
            <w:tcW w:w="2010" w:type="dxa"/>
            <w:tcBorders>
              <w:top w:val="nil"/>
              <w:left w:val="nil"/>
              <w:bottom w:val="single" w:sz="4" w:space="0" w:color="auto"/>
              <w:right w:val="single" w:sz="4" w:space="0" w:color="auto"/>
            </w:tcBorders>
            <w:shd w:val="clear" w:color="000000" w:fill="DA9694"/>
            <w:vAlign w:val="bottom"/>
            <w:hideMark/>
          </w:tcPr>
          <w:p w14:paraId="1C7838A0" w14:textId="77777777" w:rsidR="00C4057E" w:rsidRPr="00C4057E" w:rsidRDefault="00C4057E" w:rsidP="00C4057E">
            <w:pPr>
              <w:spacing w:after="0" w:line="240" w:lineRule="auto"/>
              <w:jc w:val="center"/>
              <w:rPr>
                <w:rFonts w:ascii="Arial" w:eastAsia="Times New Roman" w:hAnsi="Arial" w:cs="Arial"/>
                <w:b/>
                <w:bCs/>
                <w:sz w:val="20"/>
                <w:szCs w:val="20"/>
              </w:rPr>
            </w:pPr>
          </w:p>
        </w:tc>
        <w:tc>
          <w:tcPr>
            <w:tcW w:w="2010" w:type="dxa"/>
            <w:tcBorders>
              <w:top w:val="nil"/>
              <w:left w:val="nil"/>
              <w:bottom w:val="single" w:sz="4" w:space="0" w:color="auto"/>
              <w:right w:val="single" w:sz="8" w:space="0" w:color="auto"/>
            </w:tcBorders>
            <w:shd w:val="clear" w:color="000000" w:fill="DA9694"/>
            <w:vAlign w:val="bottom"/>
            <w:hideMark/>
          </w:tcPr>
          <w:p w14:paraId="4B211ABB" w14:textId="77777777" w:rsidR="00C4057E" w:rsidRPr="00C4057E" w:rsidRDefault="00C4057E" w:rsidP="00C4057E">
            <w:pPr>
              <w:spacing w:after="0" w:line="240" w:lineRule="auto"/>
              <w:jc w:val="center"/>
              <w:rPr>
                <w:rFonts w:ascii="Arial" w:eastAsia="Times New Roman" w:hAnsi="Arial" w:cs="Arial"/>
                <w:b/>
                <w:bCs/>
                <w:sz w:val="20"/>
                <w:szCs w:val="20"/>
              </w:rPr>
            </w:pPr>
          </w:p>
        </w:tc>
      </w:tr>
      <w:tr w:rsidR="00C4057E" w:rsidRPr="00C4057E" w14:paraId="5AA4A55A" w14:textId="77777777" w:rsidTr="007B0B28">
        <w:trPr>
          <w:trHeight w:val="20"/>
        </w:trPr>
        <w:tc>
          <w:tcPr>
            <w:tcW w:w="1130" w:type="dxa"/>
            <w:vMerge/>
            <w:tcBorders>
              <w:top w:val="nil"/>
              <w:left w:val="single" w:sz="8" w:space="0" w:color="auto"/>
              <w:bottom w:val="single" w:sz="8" w:space="0" w:color="000000"/>
              <w:right w:val="single" w:sz="4" w:space="0" w:color="auto"/>
            </w:tcBorders>
            <w:vAlign w:val="center"/>
            <w:hideMark/>
          </w:tcPr>
          <w:p w14:paraId="5D5B49F4" w14:textId="77777777" w:rsidR="00C4057E" w:rsidRPr="00C4057E" w:rsidRDefault="00C4057E" w:rsidP="00C4057E">
            <w:pPr>
              <w:spacing w:after="0" w:line="240" w:lineRule="auto"/>
              <w:jc w:val="center"/>
              <w:rPr>
                <w:rFonts w:ascii="Arial" w:eastAsia="Times New Roman" w:hAnsi="Arial" w:cs="Arial"/>
                <w:sz w:val="20"/>
                <w:szCs w:val="20"/>
              </w:rPr>
            </w:pPr>
          </w:p>
        </w:tc>
        <w:tc>
          <w:tcPr>
            <w:tcW w:w="1660" w:type="dxa"/>
            <w:tcBorders>
              <w:top w:val="nil"/>
              <w:left w:val="nil"/>
              <w:bottom w:val="single" w:sz="4" w:space="0" w:color="auto"/>
              <w:right w:val="nil"/>
            </w:tcBorders>
            <w:shd w:val="clear" w:color="000000" w:fill="DA9694"/>
            <w:noWrap/>
            <w:vAlign w:val="bottom"/>
            <w:hideMark/>
          </w:tcPr>
          <w:p w14:paraId="123100CB"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12 Month CAIDI</w:t>
            </w:r>
          </w:p>
        </w:tc>
        <w:tc>
          <w:tcPr>
            <w:tcW w:w="2010" w:type="dxa"/>
            <w:tcBorders>
              <w:top w:val="nil"/>
              <w:left w:val="single" w:sz="4" w:space="0" w:color="auto"/>
              <w:bottom w:val="single" w:sz="4" w:space="0" w:color="auto"/>
              <w:right w:val="single" w:sz="4" w:space="0" w:color="auto"/>
            </w:tcBorders>
            <w:shd w:val="clear" w:color="000000" w:fill="DA9694"/>
            <w:vAlign w:val="bottom"/>
            <w:hideMark/>
          </w:tcPr>
          <w:p w14:paraId="7CF8157A" w14:textId="77777777" w:rsidR="00C4057E" w:rsidRPr="00C4057E" w:rsidRDefault="00C4057E" w:rsidP="00C4057E">
            <w:pPr>
              <w:spacing w:after="0" w:line="240" w:lineRule="auto"/>
              <w:jc w:val="center"/>
              <w:rPr>
                <w:rFonts w:ascii="Arial" w:eastAsia="Times New Roman" w:hAnsi="Arial" w:cs="Arial"/>
                <w:b/>
                <w:bCs/>
                <w:sz w:val="20"/>
                <w:szCs w:val="20"/>
              </w:rPr>
            </w:pPr>
          </w:p>
        </w:tc>
        <w:tc>
          <w:tcPr>
            <w:tcW w:w="2010" w:type="dxa"/>
            <w:tcBorders>
              <w:top w:val="nil"/>
              <w:left w:val="nil"/>
              <w:bottom w:val="single" w:sz="4" w:space="0" w:color="auto"/>
              <w:right w:val="single" w:sz="4" w:space="0" w:color="auto"/>
            </w:tcBorders>
            <w:shd w:val="clear" w:color="000000" w:fill="DA9694"/>
            <w:vAlign w:val="bottom"/>
            <w:hideMark/>
          </w:tcPr>
          <w:p w14:paraId="545CF031" w14:textId="77777777" w:rsidR="00C4057E" w:rsidRPr="00C4057E" w:rsidRDefault="00C4057E" w:rsidP="00C4057E">
            <w:pPr>
              <w:spacing w:after="0" w:line="240" w:lineRule="auto"/>
              <w:jc w:val="center"/>
              <w:rPr>
                <w:rFonts w:ascii="Arial" w:eastAsia="Times New Roman" w:hAnsi="Arial" w:cs="Arial"/>
                <w:b/>
                <w:bCs/>
                <w:sz w:val="20"/>
                <w:szCs w:val="20"/>
              </w:rPr>
            </w:pPr>
            <w:r w:rsidRPr="00C4057E">
              <w:rPr>
                <w:rFonts w:ascii="Arial" w:eastAsia="Times New Roman" w:hAnsi="Arial" w:cs="Arial"/>
                <w:b/>
                <w:bCs/>
                <w:sz w:val="20"/>
                <w:szCs w:val="20"/>
              </w:rPr>
              <w:t>X</w:t>
            </w:r>
          </w:p>
        </w:tc>
        <w:tc>
          <w:tcPr>
            <w:tcW w:w="2010" w:type="dxa"/>
            <w:tcBorders>
              <w:top w:val="nil"/>
              <w:left w:val="nil"/>
              <w:bottom w:val="single" w:sz="4" w:space="0" w:color="auto"/>
              <w:right w:val="single" w:sz="8" w:space="0" w:color="auto"/>
            </w:tcBorders>
            <w:shd w:val="clear" w:color="000000" w:fill="DA9694"/>
            <w:vAlign w:val="bottom"/>
            <w:hideMark/>
          </w:tcPr>
          <w:p w14:paraId="0C775FD8" w14:textId="77777777" w:rsidR="00C4057E" w:rsidRPr="00C4057E" w:rsidRDefault="00C4057E" w:rsidP="00C4057E">
            <w:pPr>
              <w:spacing w:after="0" w:line="240" w:lineRule="auto"/>
              <w:jc w:val="center"/>
              <w:rPr>
                <w:rFonts w:ascii="Arial" w:eastAsia="Times New Roman" w:hAnsi="Arial" w:cs="Arial"/>
                <w:b/>
                <w:bCs/>
                <w:sz w:val="20"/>
                <w:szCs w:val="20"/>
              </w:rPr>
            </w:pPr>
          </w:p>
        </w:tc>
      </w:tr>
      <w:tr w:rsidR="00C4057E" w:rsidRPr="00C4057E" w14:paraId="436495B4" w14:textId="77777777" w:rsidTr="007B0B28">
        <w:trPr>
          <w:trHeight w:val="20"/>
        </w:trPr>
        <w:tc>
          <w:tcPr>
            <w:tcW w:w="1130" w:type="dxa"/>
            <w:vMerge/>
            <w:tcBorders>
              <w:top w:val="nil"/>
              <w:left w:val="single" w:sz="8" w:space="0" w:color="auto"/>
              <w:bottom w:val="single" w:sz="8" w:space="0" w:color="000000"/>
              <w:right w:val="single" w:sz="4" w:space="0" w:color="auto"/>
            </w:tcBorders>
            <w:vAlign w:val="center"/>
            <w:hideMark/>
          </w:tcPr>
          <w:p w14:paraId="79685D43" w14:textId="77777777" w:rsidR="00C4057E" w:rsidRPr="00C4057E" w:rsidRDefault="00C4057E" w:rsidP="00C4057E">
            <w:pPr>
              <w:spacing w:after="0" w:line="240" w:lineRule="auto"/>
              <w:jc w:val="center"/>
              <w:rPr>
                <w:rFonts w:ascii="Arial" w:eastAsia="Times New Roman" w:hAnsi="Arial" w:cs="Arial"/>
                <w:sz w:val="20"/>
                <w:szCs w:val="20"/>
              </w:rPr>
            </w:pPr>
          </w:p>
        </w:tc>
        <w:tc>
          <w:tcPr>
            <w:tcW w:w="1660" w:type="dxa"/>
            <w:tcBorders>
              <w:top w:val="nil"/>
              <w:left w:val="nil"/>
              <w:bottom w:val="single" w:sz="4" w:space="0" w:color="auto"/>
              <w:right w:val="nil"/>
            </w:tcBorders>
            <w:shd w:val="clear" w:color="000000" w:fill="DA9694"/>
            <w:noWrap/>
            <w:vAlign w:val="bottom"/>
            <w:hideMark/>
          </w:tcPr>
          <w:p w14:paraId="33CEBEF0"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36 Month CAIDI</w:t>
            </w:r>
          </w:p>
        </w:tc>
        <w:tc>
          <w:tcPr>
            <w:tcW w:w="2010" w:type="dxa"/>
            <w:tcBorders>
              <w:top w:val="nil"/>
              <w:left w:val="single" w:sz="4" w:space="0" w:color="auto"/>
              <w:bottom w:val="single" w:sz="4" w:space="0" w:color="auto"/>
              <w:right w:val="single" w:sz="4" w:space="0" w:color="auto"/>
            </w:tcBorders>
            <w:shd w:val="clear" w:color="000000" w:fill="DA9694"/>
            <w:vAlign w:val="bottom"/>
            <w:hideMark/>
          </w:tcPr>
          <w:p w14:paraId="1D7FD0BC" w14:textId="77777777" w:rsidR="00C4057E" w:rsidRPr="00C4057E" w:rsidRDefault="00C4057E" w:rsidP="00C4057E">
            <w:pPr>
              <w:spacing w:after="0" w:line="240" w:lineRule="auto"/>
              <w:jc w:val="center"/>
              <w:rPr>
                <w:rFonts w:ascii="Arial" w:eastAsia="Times New Roman" w:hAnsi="Arial" w:cs="Arial"/>
                <w:b/>
                <w:bCs/>
                <w:sz w:val="20"/>
                <w:szCs w:val="20"/>
              </w:rPr>
            </w:pPr>
            <w:r w:rsidRPr="00C4057E">
              <w:rPr>
                <w:rFonts w:ascii="Arial" w:eastAsia="Times New Roman" w:hAnsi="Arial" w:cs="Arial"/>
                <w:b/>
                <w:bCs/>
                <w:sz w:val="20"/>
                <w:szCs w:val="20"/>
              </w:rPr>
              <w:t>X</w:t>
            </w:r>
          </w:p>
        </w:tc>
        <w:tc>
          <w:tcPr>
            <w:tcW w:w="2010" w:type="dxa"/>
            <w:tcBorders>
              <w:top w:val="nil"/>
              <w:left w:val="nil"/>
              <w:bottom w:val="single" w:sz="4" w:space="0" w:color="auto"/>
              <w:right w:val="single" w:sz="4" w:space="0" w:color="auto"/>
            </w:tcBorders>
            <w:shd w:val="clear" w:color="000000" w:fill="DA9694"/>
            <w:vAlign w:val="bottom"/>
            <w:hideMark/>
          </w:tcPr>
          <w:p w14:paraId="4B778414" w14:textId="77777777" w:rsidR="00C4057E" w:rsidRPr="00C4057E" w:rsidRDefault="00C4057E" w:rsidP="00C4057E">
            <w:pPr>
              <w:spacing w:after="0" w:line="240" w:lineRule="auto"/>
              <w:jc w:val="center"/>
              <w:rPr>
                <w:rFonts w:ascii="Arial" w:eastAsia="Times New Roman" w:hAnsi="Arial" w:cs="Arial"/>
                <w:b/>
                <w:bCs/>
                <w:sz w:val="20"/>
                <w:szCs w:val="20"/>
              </w:rPr>
            </w:pPr>
          </w:p>
        </w:tc>
        <w:tc>
          <w:tcPr>
            <w:tcW w:w="2010" w:type="dxa"/>
            <w:tcBorders>
              <w:top w:val="nil"/>
              <w:left w:val="nil"/>
              <w:bottom w:val="single" w:sz="4" w:space="0" w:color="auto"/>
              <w:right w:val="single" w:sz="8" w:space="0" w:color="auto"/>
            </w:tcBorders>
            <w:shd w:val="clear" w:color="000000" w:fill="DA9694"/>
            <w:vAlign w:val="bottom"/>
            <w:hideMark/>
          </w:tcPr>
          <w:p w14:paraId="4312CD8E" w14:textId="77777777" w:rsidR="00C4057E" w:rsidRPr="00C4057E" w:rsidRDefault="00C4057E" w:rsidP="00C4057E">
            <w:pPr>
              <w:spacing w:after="0" w:line="240" w:lineRule="auto"/>
              <w:jc w:val="center"/>
              <w:rPr>
                <w:rFonts w:ascii="Arial" w:eastAsia="Times New Roman" w:hAnsi="Arial" w:cs="Arial"/>
                <w:b/>
                <w:bCs/>
                <w:sz w:val="20"/>
                <w:szCs w:val="20"/>
              </w:rPr>
            </w:pPr>
          </w:p>
        </w:tc>
      </w:tr>
      <w:tr w:rsidR="00C4057E" w:rsidRPr="00C4057E" w14:paraId="4AA46329" w14:textId="77777777" w:rsidTr="007B0B28">
        <w:trPr>
          <w:trHeight w:val="20"/>
        </w:trPr>
        <w:tc>
          <w:tcPr>
            <w:tcW w:w="1130" w:type="dxa"/>
            <w:vMerge/>
            <w:tcBorders>
              <w:top w:val="nil"/>
              <w:left w:val="single" w:sz="8" w:space="0" w:color="auto"/>
              <w:bottom w:val="single" w:sz="8" w:space="0" w:color="000000"/>
              <w:right w:val="single" w:sz="4" w:space="0" w:color="auto"/>
            </w:tcBorders>
            <w:vAlign w:val="center"/>
            <w:hideMark/>
          </w:tcPr>
          <w:p w14:paraId="04D0016C" w14:textId="77777777" w:rsidR="00C4057E" w:rsidRPr="00C4057E" w:rsidRDefault="00C4057E" w:rsidP="00C4057E">
            <w:pPr>
              <w:spacing w:after="0" w:line="240" w:lineRule="auto"/>
              <w:jc w:val="center"/>
              <w:rPr>
                <w:rFonts w:ascii="Arial" w:eastAsia="Times New Roman" w:hAnsi="Arial" w:cs="Arial"/>
                <w:sz w:val="20"/>
                <w:szCs w:val="20"/>
              </w:rPr>
            </w:pPr>
          </w:p>
        </w:tc>
        <w:tc>
          <w:tcPr>
            <w:tcW w:w="1660" w:type="dxa"/>
            <w:tcBorders>
              <w:top w:val="nil"/>
              <w:left w:val="nil"/>
              <w:bottom w:val="single" w:sz="4" w:space="0" w:color="auto"/>
              <w:right w:val="nil"/>
            </w:tcBorders>
            <w:shd w:val="clear" w:color="000000" w:fill="DA9694"/>
            <w:noWrap/>
            <w:vAlign w:val="bottom"/>
            <w:hideMark/>
          </w:tcPr>
          <w:p w14:paraId="3AD33658"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12 Month SAIDI</w:t>
            </w:r>
          </w:p>
        </w:tc>
        <w:tc>
          <w:tcPr>
            <w:tcW w:w="2010" w:type="dxa"/>
            <w:tcBorders>
              <w:top w:val="nil"/>
              <w:left w:val="single" w:sz="4" w:space="0" w:color="auto"/>
              <w:bottom w:val="single" w:sz="4" w:space="0" w:color="auto"/>
              <w:right w:val="single" w:sz="4" w:space="0" w:color="auto"/>
            </w:tcBorders>
            <w:shd w:val="clear" w:color="000000" w:fill="DA9694"/>
            <w:vAlign w:val="bottom"/>
            <w:hideMark/>
          </w:tcPr>
          <w:p w14:paraId="53D8AAF4" w14:textId="77777777" w:rsidR="00C4057E" w:rsidRPr="00C4057E" w:rsidRDefault="00C4057E" w:rsidP="00C4057E">
            <w:pPr>
              <w:spacing w:after="0" w:line="240" w:lineRule="auto"/>
              <w:jc w:val="center"/>
              <w:rPr>
                <w:rFonts w:ascii="Arial" w:eastAsia="Times New Roman" w:hAnsi="Arial" w:cs="Arial"/>
                <w:b/>
                <w:bCs/>
                <w:sz w:val="20"/>
                <w:szCs w:val="20"/>
              </w:rPr>
            </w:pPr>
          </w:p>
        </w:tc>
        <w:tc>
          <w:tcPr>
            <w:tcW w:w="2010" w:type="dxa"/>
            <w:tcBorders>
              <w:top w:val="nil"/>
              <w:left w:val="nil"/>
              <w:bottom w:val="single" w:sz="4" w:space="0" w:color="auto"/>
              <w:right w:val="single" w:sz="4" w:space="0" w:color="auto"/>
            </w:tcBorders>
            <w:shd w:val="clear" w:color="000000" w:fill="DA9694"/>
            <w:vAlign w:val="bottom"/>
            <w:hideMark/>
          </w:tcPr>
          <w:p w14:paraId="3A233C71" w14:textId="77777777" w:rsidR="00C4057E" w:rsidRPr="00C4057E" w:rsidRDefault="00C4057E" w:rsidP="00C4057E">
            <w:pPr>
              <w:spacing w:after="0" w:line="240" w:lineRule="auto"/>
              <w:jc w:val="center"/>
              <w:rPr>
                <w:rFonts w:ascii="Arial" w:eastAsia="Times New Roman" w:hAnsi="Arial" w:cs="Arial"/>
                <w:b/>
                <w:bCs/>
                <w:sz w:val="20"/>
                <w:szCs w:val="20"/>
              </w:rPr>
            </w:pPr>
            <w:r w:rsidRPr="00C4057E">
              <w:rPr>
                <w:rFonts w:ascii="Arial" w:eastAsia="Times New Roman" w:hAnsi="Arial" w:cs="Arial"/>
                <w:b/>
                <w:bCs/>
                <w:sz w:val="20"/>
                <w:szCs w:val="20"/>
              </w:rPr>
              <w:t>X</w:t>
            </w:r>
          </w:p>
        </w:tc>
        <w:tc>
          <w:tcPr>
            <w:tcW w:w="2010" w:type="dxa"/>
            <w:tcBorders>
              <w:top w:val="nil"/>
              <w:left w:val="nil"/>
              <w:bottom w:val="single" w:sz="4" w:space="0" w:color="auto"/>
              <w:right w:val="single" w:sz="8" w:space="0" w:color="auto"/>
            </w:tcBorders>
            <w:shd w:val="clear" w:color="000000" w:fill="DA9694"/>
            <w:vAlign w:val="bottom"/>
            <w:hideMark/>
          </w:tcPr>
          <w:p w14:paraId="74D280CE" w14:textId="77777777" w:rsidR="00C4057E" w:rsidRPr="00C4057E" w:rsidRDefault="00C4057E" w:rsidP="00C4057E">
            <w:pPr>
              <w:spacing w:after="0" w:line="240" w:lineRule="auto"/>
              <w:jc w:val="center"/>
              <w:rPr>
                <w:rFonts w:ascii="Arial" w:eastAsia="Times New Roman" w:hAnsi="Arial" w:cs="Arial"/>
                <w:b/>
                <w:bCs/>
                <w:sz w:val="20"/>
                <w:szCs w:val="20"/>
              </w:rPr>
            </w:pPr>
          </w:p>
        </w:tc>
      </w:tr>
      <w:tr w:rsidR="00C4057E" w:rsidRPr="00C4057E" w14:paraId="5D8C3E9B" w14:textId="77777777" w:rsidTr="007B0B28">
        <w:trPr>
          <w:trHeight w:val="20"/>
        </w:trPr>
        <w:tc>
          <w:tcPr>
            <w:tcW w:w="1130" w:type="dxa"/>
            <w:vMerge/>
            <w:tcBorders>
              <w:top w:val="nil"/>
              <w:left w:val="single" w:sz="8" w:space="0" w:color="auto"/>
              <w:bottom w:val="single" w:sz="8" w:space="0" w:color="000000"/>
              <w:right w:val="single" w:sz="4" w:space="0" w:color="auto"/>
            </w:tcBorders>
            <w:vAlign w:val="center"/>
            <w:hideMark/>
          </w:tcPr>
          <w:p w14:paraId="1F7CED58" w14:textId="77777777" w:rsidR="00C4057E" w:rsidRPr="00C4057E" w:rsidRDefault="00C4057E" w:rsidP="00C4057E">
            <w:pPr>
              <w:spacing w:after="0" w:line="240" w:lineRule="auto"/>
              <w:jc w:val="center"/>
              <w:rPr>
                <w:rFonts w:ascii="Arial" w:eastAsia="Times New Roman" w:hAnsi="Arial" w:cs="Arial"/>
                <w:sz w:val="20"/>
                <w:szCs w:val="20"/>
              </w:rPr>
            </w:pPr>
          </w:p>
        </w:tc>
        <w:tc>
          <w:tcPr>
            <w:tcW w:w="1660" w:type="dxa"/>
            <w:tcBorders>
              <w:top w:val="nil"/>
              <w:left w:val="nil"/>
              <w:bottom w:val="nil"/>
              <w:right w:val="nil"/>
            </w:tcBorders>
            <w:shd w:val="clear" w:color="000000" w:fill="DA9694"/>
            <w:noWrap/>
            <w:vAlign w:val="bottom"/>
            <w:hideMark/>
          </w:tcPr>
          <w:p w14:paraId="16AA0D75"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36 Month SAIDI</w:t>
            </w:r>
          </w:p>
        </w:tc>
        <w:tc>
          <w:tcPr>
            <w:tcW w:w="2010" w:type="dxa"/>
            <w:tcBorders>
              <w:top w:val="nil"/>
              <w:left w:val="single" w:sz="4" w:space="0" w:color="auto"/>
              <w:bottom w:val="nil"/>
              <w:right w:val="single" w:sz="4" w:space="0" w:color="auto"/>
            </w:tcBorders>
            <w:shd w:val="clear" w:color="000000" w:fill="DA9694"/>
            <w:vAlign w:val="bottom"/>
            <w:hideMark/>
          </w:tcPr>
          <w:p w14:paraId="14D2F5BB" w14:textId="77777777" w:rsidR="00C4057E" w:rsidRPr="00C4057E" w:rsidRDefault="00C4057E" w:rsidP="00C4057E">
            <w:pPr>
              <w:spacing w:after="0" w:line="240" w:lineRule="auto"/>
              <w:jc w:val="center"/>
              <w:rPr>
                <w:rFonts w:ascii="Arial" w:eastAsia="Times New Roman" w:hAnsi="Arial" w:cs="Arial"/>
                <w:b/>
                <w:bCs/>
                <w:sz w:val="20"/>
                <w:szCs w:val="20"/>
              </w:rPr>
            </w:pPr>
            <w:r w:rsidRPr="00C4057E">
              <w:rPr>
                <w:rFonts w:ascii="Arial" w:eastAsia="Times New Roman" w:hAnsi="Arial" w:cs="Arial"/>
                <w:b/>
                <w:bCs/>
                <w:sz w:val="20"/>
                <w:szCs w:val="20"/>
              </w:rPr>
              <w:t>X</w:t>
            </w:r>
          </w:p>
        </w:tc>
        <w:tc>
          <w:tcPr>
            <w:tcW w:w="2010" w:type="dxa"/>
            <w:tcBorders>
              <w:top w:val="nil"/>
              <w:left w:val="nil"/>
              <w:bottom w:val="nil"/>
              <w:right w:val="single" w:sz="4" w:space="0" w:color="auto"/>
            </w:tcBorders>
            <w:shd w:val="clear" w:color="000000" w:fill="DA9694"/>
            <w:vAlign w:val="bottom"/>
            <w:hideMark/>
          </w:tcPr>
          <w:p w14:paraId="7C29D18F" w14:textId="77777777" w:rsidR="00C4057E" w:rsidRPr="00C4057E" w:rsidRDefault="00C4057E" w:rsidP="00C4057E">
            <w:pPr>
              <w:spacing w:after="0" w:line="240" w:lineRule="auto"/>
              <w:jc w:val="center"/>
              <w:rPr>
                <w:rFonts w:ascii="Arial" w:eastAsia="Times New Roman" w:hAnsi="Arial" w:cs="Arial"/>
                <w:b/>
                <w:bCs/>
                <w:sz w:val="20"/>
                <w:szCs w:val="20"/>
              </w:rPr>
            </w:pPr>
          </w:p>
        </w:tc>
        <w:tc>
          <w:tcPr>
            <w:tcW w:w="2010" w:type="dxa"/>
            <w:tcBorders>
              <w:top w:val="nil"/>
              <w:left w:val="nil"/>
              <w:bottom w:val="nil"/>
              <w:right w:val="single" w:sz="8" w:space="0" w:color="auto"/>
            </w:tcBorders>
            <w:shd w:val="clear" w:color="000000" w:fill="DA9694"/>
            <w:vAlign w:val="bottom"/>
            <w:hideMark/>
          </w:tcPr>
          <w:p w14:paraId="6B5957DA" w14:textId="77777777" w:rsidR="00C4057E" w:rsidRPr="00C4057E" w:rsidRDefault="00C4057E" w:rsidP="00C4057E">
            <w:pPr>
              <w:spacing w:after="0" w:line="240" w:lineRule="auto"/>
              <w:jc w:val="center"/>
              <w:rPr>
                <w:rFonts w:ascii="Arial" w:eastAsia="Times New Roman" w:hAnsi="Arial" w:cs="Arial"/>
                <w:b/>
                <w:bCs/>
                <w:sz w:val="20"/>
                <w:szCs w:val="20"/>
              </w:rPr>
            </w:pPr>
          </w:p>
        </w:tc>
      </w:tr>
      <w:tr w:rsidR="00C4057E" w:rsidRPr="00C4057E" w14:paraId="6AAEFB0C" w14:textId="77777777" w:rsidTr="007B0B28">
        <w:trPr>
          <w:trHeight w:val="20"/>
        </w:trPr>
        <w:tc>
          <w:tcPr>
            <w:tcW w:w="1130" w:type="dxa"/>
            <w:vMerge w:val="restart"/>
            <w:tcBorders>
              <w:top w:val="nil"/>
              <w:left w:val="single" w:sz="8" w:space="0" w:color="auto"/>
              <w:bottom w:val="single" w:sz="8" w:space="0" w:color="000000"/>
              <w:right w:val="single" w:sz="4" w:space="0" w:color="auto"/>
            </w:tcBorders>
            <w:shd w:val="clear" w:color="000000" w:fill="F2DCDB"/>
            <w:noWrap/>
            <w:vAlign w:val="center"/>
            <w:hideMark/>
          </w:tcPr>
          <w:p w14:paraId="684A9640"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Penn Power</w:t>
            </w:r>
          </w:p>
        </w:tc>
        <w:tc>
          <w:tcPr>
            <w:tcW w:w="1660" w:type="dxa"/>
            <w:tcBorders>
              <w:top w:val="single" w:sz="8" w:space="0" w:color="auto"/>
              <w:left w:val="nil"/>
              <w:bottom w:val="single" w:sz="4" w:space="0" w:color="auto"/>
              <w:right w:val="nil"/>
            </w:tcBorders>
            <w:shd w:val="clear" w:color="000000" w:fill="F2DCDB"/>
            <w:noWrap/>
            <w:vAlign w:val="bottom"/>
            <w:hideMark/>
          </w:tcPr>
          <w:p w14:paraId="1072FC34"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12 Month SAIFI</w:t>
            </w:r>
          </w:p>
        </w:tc>
        <w:tc>
          <w:tcPr>
            <w:tcW w:w="2010" w:type="dxa"/>
            <w:tcBorders>
              <w:top w:val="single" w:sz="8" w:space="0" w:color="auto"/>
              <w:left w:val="single" w:sz="4" w:space="0" w:color="auto"/>
              <w:bottom w:val="single" w:sz="4" w:space="0" w:color="auto"/>
              <w:right w:val="single" w:sz="4" w:space="0" w:color="auto"/>
            </w:tcBorders>
            <w:shd w:val="clear" w:color="000000" w:fill="F2DCDB"/>
            <w:vAlign w:val="bottom"/>
            <w:hideMark/>
          </w:tcPr>
          <w:p w14:paraId="26422066" w14:textId="77777777" w:rsidR="00C4057E" w:rsidRPr="00C4057E" w:rsidRDefault="00C4057E" w:rsidP="00C4057E">
            <w:pPr>
              <w:spacing w:after="0" w:line="240" w:lineRule="auto"/>
              <w:jc w:val="center"/>
              <w:rPr>
                <w:rFonts w:ascii="Arial" w:eastAsia="Times New Roman" w:hAnsi="Arial" w:cs="Arial"/>
                <w:b/>
                <w:bCs/>
                <w:sz w:val="20"/>
                <w:szCs w:val="20"/>
              </w:rPr>
            </w:pPr>
            <w:r w:rsidRPr="00C4057E">
              <w:rPr>
                <w:rFonts w:ascii="Arial" w:eastAsia="Times New Roman" w:hAnsi="Arial" w:cs="Arial"/>
                <w:b/>
                <w:bCs/>
                <w:sz w:val="20"/>
                <w:szCs w:val="20"/>
              </w:rPr>
              <w:t>X</w:t>
            </w:r>
          </w:p>
        </w:tc>
        <w:tc>
          <w:tcPr>
            <w:tcW w:w="2010" w:type="dxa"/>
            <w:tcBorders>
              <w:top w:val="single" w:sz="8" w:space="0" w:color="auto"/>
              <w:left w:val="nil"/>
              <w:bottom w:val="single" w:sz="4" w:space="0" w:color="auto"/>
              <w:right w:val="single" w:sz="4" w:space="0" w:color="auto"/>
            </w:tcBorders>
            <w:shd w:val="clear" w:color="000000" w:fill="F2DCDB"/>
            <w:vAlign w:val="bottom"/>
            <w:hideMark/>
          </w:tcPr>
          <w:p w14:paraId="51E1A3CC" w14:textId="77777777" w:rsidR="00C4057E" w:rsidRPr="00C4057E" w:rsidRDefault="00C4057E" w:rsidP="00C4057E">
            <w:pPr>
              <w:spacing w:after="0" w:line="240" w:lineRule="auto"/>
              <w:jc w:val="center"/>
              <w:rPr>
                <w:rFonts w:ascii="Arial" w:eastAsia="Times New Roman" w:hAnsi="Arial" w:cs="Arial"/>
                <w:b/>
                <w:bCs/>
                <w:sz w:val="20"/>
                <w:szCs w:val="20"/>
              </w:rPr>
            </w:pPr>
          </w:p>
        </w:tc>
        <w:tc>
          <w:tcPr>
            <w:tcW w:w="2010" w:type="dxa"/>
            <w:tcBorders>
              <w:top w:val="single" w:sz="8" w:space="0" w:color="auto"/>
              <w:left w:val="nil"/>
              <w:bottom w:val="single" w:sz="4" w:space="0" w:color="auto"/>
              <w:right w:val="single" w:sz="8" w:space="0" w:color="auto"/>
            </w:tcBorders>
            <w:shd w:val="clear" w:color="000000" w:fill="F2DCDB"/>
            <w:vAlign w:val="bottom"/>
            <w:hideMark/>
          </w:tcPr>
          <w:p w14:paraId="5855B288" w14:textId="77777777" w:rsidR="00C4057E" w:rsidRPr="00C4057E" w:rsidRDefault="00C4057E" w:rsidP="00C4057E">
            <w:pPr>
              <w:spacing w:after="0" w:line="240" w:lineRule="auto"/>
              <w:jc w:val="center"/>
              <w:rPr>
                <w:rFonts w:ascii="Arial" w:eastAsia="Times New Roman" w:hAnsi="Arial" w:cs="Arial"/>
                <w:b/>
                <w:bCs/>
                <w:sz w:val="20"/>
                <w:szCs w:val="20"/>
              </w:rPr>
            </w:pPr>
          </w:p>
        </w:tc>
      </w:tr>
      <w:tr w:rsidR="00C4057E" w:rsidRPr="00C4057E" w14:paraId="677C0858" w14:textId="77777777" w:rsidTr="007B0B28">
        <w:trPr>
          <w:trHeight w:val="20"/>
        </w:trPr>
        <w:tc>
          <w:tcPr>
            <w:tcW w:w="1130" w:type="dxa"/>
            <w:vMerge/>
            <w:tcBorders>
              <w:top w:val="nil"/>
              <w:left w:val="single" w:sz="8" w:space="0" w:color="auto"/>
              <w:bottom w:val="single" w:sz="8" w:space="0" w:color="000000"/>
              <w:right w:val="single" w:sz="4" w:space="0" w:color="auto"/>
            </w:tcBorders>
            <w:vAlign w:val="center"/>
            <w:hideMark/>
          </w:tcPr>
          <w:p w14:paraId="55E1EDEC" w14:textId="77777777" w:rsidR="00C4057E" w:rsidRPr="00C4057E" w:rsidRDefault="00C4057E" w:rsidP="00C4057E">
            <w:pPr>
              <w:spacing w:after="0" w:line="240" w:lineRule="auto"/>
              <w:jc w:val="center"/>
              <w:rPr>
                <w:rFonts w:ascii="Arial" w:eastAsia="Times New Roman" w:hAnsi="Arial" w:cs="Arial"/>
                <w:sz w:val="20"/>
                <w:szCs w:val="20"/>
              </w:rPr>
            </w:pPr>
          </w:p>
        </w:tc>
        <w:tc>
          <w:tcPr>
            <w:tcW w:w="1660" w:type="dxa"/>
            <w:tcBorders>
              <w:top w:val="nil"/>
              <w:left w:val="nil"/>
              <w:bottom w:val="single" w:sz="4" w:space="0" w:color="auto"/>
              <w:right w:val="nil"/>
            </w:tcBorders>
            <w:shd w:val="clear" w:color="000000" w:fill="F2DCDB"/>
            <w:noWrap/>
            <w:vAlign w:val="bottom"/>
            <w:hideMark/>
          </w:tcPr>
          <w:p w14:paraId="57716C85"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36 Month SAIFI</w:t>
            </w:r>
          </w:p>
        </w:tc>
        <w:tc>
          <w:tcPr>
            <w:tcW w:w="2010" w:type="dxa"/>
            <w:tcBorders>
              <w:top w:val="nil"/>
              <w:left w:val="single" w:sz="4" w:space="0" w:color="auto"/>
              <w:bottom w:val="single" w:sz="4" w:space="0" w:color="auto"/>
              <w:right w:val="single" w:sz="4" w:space="0" w:color="auto"/>
            </w:tcBorders>
            <w:shd w:val="clear" w:color="000000" w:fill="F2DCDB"/>
            <w:vAlign w:val="bottom"/>
            <w:hideMark/>
          </w:tcPr>
          <w:p w14:paraId="355D18D6" w14:textId="77777777" w:rsidR="00C4057E" w:rsidRPr="00C4057E" w:rsidRDefault="00C4057E" w:rsidP="00C4057E">
            <w:pPr>
              <w:spacing w:after="0" w:line="240" w:lineRule="auto"/>
              <w:jc w:val="center"/>
              <w:rPr>
                <w:rFonts w:ascii="Arial" w:eastAsia="Times New Roman" w:hAnsi="Arial" w:cs="Arial"/>
                <w:b/>
                <w:bCs/>
                <w:sz w:val="20"/>
                <w:szCs w:val="20"/>
              </w:rPr>
            </w:pPr>
          </w:p>
        </w:tc>
        <w:tc>
          <w:tcPr>
            <w:tcW w:w="2010" w:type="dxa"/>
            <w:tcBorders>
              <w:top w:val="nil"/>
              <w:left w:val="nil"/>
              <w:bottom w:val="single" w:sz="4" w:space="0" w:color="auto"/>
              <w:right w:val="single" w:sz="4" w:space="0" w:color="auto"/>
            </w:tcBorders>
            <w:shd w:val="clear" w:color="000000" w:fill="F2DCDB"/>
            <w:vAlign w:val="bottom"/>
            <w:hideMark/>
          </w:tcPr>
          <w:p w14:paraId="4F8EA082" w14:textId="77777777" w:rsidR="00C4057E" w:rsidRPr="00C4057E" w:rsidRDefault="00C4057E" w:rsidP="00C4057E">
            <w:pPr>
              <w:spacing w:after="0" w:line="240" w:lineRule="auto"/>
              <w:jc w:val="center"/>
              <w:rPr>
                <w:rFonts w:ascii="Arial" w:eastAsia="Times New Roman" w:hAnsi="Arial" w:cs="Arial"/>
                <w:b/>
                <w:bCs/>
                <w:sz w:val="20"/>
                <w:szCs w:val="20"/>
              </w:rPr>
            </w:pPr>
          </w:p>
        </w:tc>
        <w:tc>
          <w:tcPr>
            <w:tcW w:w="2010" w:type="dxa"/>
            <w:tcBorders>
              <w:top w:val="nil"/>
              <w:left w:val="nil"/>
              <w:bottom w:val="single" w:sz="4" w:space="0" w:color="auto"/>
              <w:right w:val="single" w:sz="8" w:space="0" w:color="auto"/>
            </w:tcBorders>
            <w:shd w:val="clear" w:color="000000" w:fill="F2DCDB"/>
            <w:vAlign w:val="bottom"/>
            <w:hideMark/>
          </w:tcPr>
          <w:p w14:paraId="2DB0821B" w14:textId="77777777" w:rsidR="00C4057E" w:rsidRPr="00C4057E" w:rsidRDefault="00C4057E" w:rsidP="00C4057E">
            <w:pPr>
              <w:spacing w:after="0" w:line="240" w:lineRule="auto"/>
              <w:jc w:val="center"/>
              <w:rPr>
                <w:rFonts w:ascii="Arial" w:eastAsia="Times New Roman" w:hAnsi="Arial" w:cs="Arial"/>
                <w:b/>
                <w:bCs/>
                <w:sz w:val="20"/>
                <w:szCs w:val="20"/>
              </w:rPr>
            </w:pPr>
            <w:r w:rsidRPr="00C4057E">
              <w:rPr>
                <w:rFonts w:ascii="Arial" w:eastAsia="Times New Roman" w:hAnsi="Arial" w:cs="Arial"/>
                <w:b/>
                <w:bCs/>
                <w:sz w:val="20"/>
                <w:szCs w:val="20"/>
              </w:rPr>
              <w:t>X</w:t>
            </w:r>
          </w:p>
        </w:tc>
      </w:tr>
      <w:tr w:rsidR="00C4057E" w:rsidRPr="00C4057E" w14:paraId="53B18F6B" w14:textId="77777777" w:rsidTr="007B0B28">
        <w:trPr>
          <w:trHeight w:val="20"/>
        </w:trPr>
        <w:tc>
          <w:tcPr>
            <w:tcW w:w="1130" w:type="dxa"/>
            <w:vMerge/>
            <w:tcBorders>
              <w:top w:val="nil"/>
              <w:left w:val="single" w:sz="8" w:space="0" w:color="auto"/>
              <w:bottom w:val="single" w:sz="8" w:space="0" w:color="000000"/>
              <w:right w:val="single" w:sz="4" w:space="0" w:color="auto"/>
            </w:tcBorders>
            <w:vAlign w:val="center"/>
            <w:hideMark/>
          </w:tcPr>
          <w:p w14:paraId="1C58FD33" w14:textId="77777777" w:rsidR="00C4057E" w:rsidRPr="00C4057E" w:rsidRDefault="00C4057E" w:rsidP="00C4057E">
            <w:pPr>
              <w:spacing w:after="0" w:line="240" w:lineRule="auto"/>
              <w:jc w:val="center"/>
              <w:rPr>
                <w:rFonts w:ascii="Arial" w:eastAsia="Times New Roman" w:hAnsi="Arial" w:cs="Arial"/>
                <w:sz w:val="20"/>
                <w:szCs w:val="20"/>
              </w:rPr>
            </w:pPr>
          </w:p>
        </w:tc>
        <w:tc>
          <w:tcPr>
            <w:tcW w:w="1660" w:type="dxa"/>
            <w:tcBorders>
              <w:top w:val="nil"/>
              <w:left w:val="nil"/>
              <w:bottom w:val="single" w:sz="4" w:space="0" w:color="auto"/>
              <w:right w:val="nil"/>
            </w:tcBorders>
            <w:shd w:val="clear" w:color="000000" w:fill="F2DCDB"/>
            <w:noWrap/>
            <w:vAlign w:val="bottom"/>
            <w:hideMark/>
          </w:tcPr>
          <w:p w14:paraId="1CF65037"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12 Month CAIDI</w:t>
            </w:r>
          </w:p>
        </w:tc>
        <w:tc>
          <w:tcPr>
            <w:tcW w:w="2010" w:type="dxa"/>
            <w:tcBorders>
              <w:top w:val="nil"/>
              <w:left w:val="single" w:sz="4" w:space="0" w:color="auto"/>
              <w:bottom w:val="single" w:sz="4" w:space="0" w:color="auto"/>
              <w:right w:val="single" w:sz="4" w:space="0" w:color="auto"/>
            </w:tcBorders>
            <w:shd w:val="clear" w:color="000000" w:fill="F2DCDB"/>
            <w:vAlign w:val="bottom"/>
            <w:hideMark/>
          </w:tcPr>
          <w:p w14:paraId="30701AC9" w14:textId="77777777" w:rsidR="00C4057E" w:rsidRPr="00C4057E" w:rsidRDefault="00C4057E" w:rsidP="00C4057E">
            <w:pPr>
              <w:spacing w:after="0" w:line="240" w:lineRule="auto"/>
              <w:jc w:val="center"/>
              <w:rPr>
                <w:rFonts w:ascii="Arial" w:eastAsia="Times New Roman" w:hAnsi="Arial" w:cs="Arial"/>
                <w:b/>
                <w:bCs/>
                <w:sz w:val="20"/>
                <w:szCs w:val="20"/>
              </w:rPr>
            </w:pPr>
            <w:r w:rsidRPr="00C4057E">
              <w:rPr>
                <w:rFonts w:ascii="Arial" w:eastAsia="Times New Roman" w:hAnsi="Arial" w:cs="Arial"/>
                <w:b/>
                <w:bCs/>
                <w:sz w:val="20"/>
                <w:szCs w:val="20"/>
              </w:rPr>
              <w:t>X</w:t>
            </w:r>
          </w:p>
        </w:tc>
        <w:tc>
          <w:tcPr>
            <w:tcW w:w="2010" w:type="dxa"/>
            <w:tcBorders>
              <w:top w:val="nil"/>
              <w:left w:val="nil"/>
              <w:bottom w:val="single" w:sz="4" w:space="0" w:color="auto"/>
              <w:right w:val="single" w:sz="4" w:space="0" w:color="auto"/>
            </w:tcBorders>
            <w:shd w:val="clear" w:color="000000" w:fill="F2DCDB"/>
            <w:vAlign w:val="bottom"/>
            <w:hideMark/>
          </w:tcPr>
          <w:p w14:paraId="57C04B76" w14:textId="77777777" w:rsidR="00C4057E" w:rsidRPr="00C4057E" w:rsidRDefault="00C4057E" w:rsidP="00C4057E">
            <w:pPr>
              <w:spacing w:after="0" w:line="240" w:lineRule="auto"/>
              <w:jc w:val="center"/>
              <w:rPr>
                <w:rFonts w:ascii="Arial" w:eastAsia="Times New Roman" w:hAnsi="Arial" w:cs="Arial"/>
                <w:b/>
                <w:bCs/>
                <w:sz w:val="20"/>
                <w:szCs w:val="20"/>
              </w:rPr>
            </w:pPr>
          </w:p>
        </w:tc>
        <w:tc>
          <w:tcPr>
            <w:tcW w:w="2010" w:type="dxa"/>
            <w:tcBorders>
              <w:top w:val="nil"/>
              <w:left w:val="nil"/>
              <w:bottom w:val="single" w:sz="4" w:space="0" w:color="auto"/>
              <w:right w:val="single" w:sz="8" w:space="0" w:color="auto"/>
            </w:tcBorders>
            <w:shd w:val="clear" w:color="000000" w:fill="F2DCDB"/>
            <w:vAlign w:val="bottom"/>
            <w:hideMark/>
          </w:tcPr>
          <w:p w14:paraId="071BE1C9" w14:textId="77777777" w:rsidR="00C4057E" w:rsidRPr="00C4057E" w:rsidRDefault="00C4057E" w:rsidP="00C4057E">
            <w:pPr>
              <w:spacing w:after="0" w:line="240" w:lineRule="auto"/>
              <w:jc w:val="center"/>
              <w:rPr>
                <w:rFonts w:ascii="Arial" w:eastAsia="Times New Roman" w:hAnsi="Arial" w:cs="Arial"/>
                <w:b/>
                <w:bCs/>
                <w:sz w:val="20"/>
                <w:szCs w:val="20"/>
              </w:rPr>
            </w:pPr>
          </w:p>
        </w:tc>
      </w:tr>
      <w:tr w:rsidR="00C4057E" w:rsidRPr="00C4057E" w14:paraId="62A77B91" w14:textId="77777777" w:rsidTr="007B0B28">
        <w:trPr>
          <w:trHeight w:val="20"/>
        </w:trPr>
        <w:tc>
          <w:tcPr>
            <w:tcW w:w="1130" w:type="dxa"/>
            <w:vMerge/>
            <w:tcBorders>
              <w:top w:val="nil"/>
              <w:left w:val="single" w:sz="8" w:space="0" w:color="auto"/>
              <w:bottom w:val="single" w:sz="8" w:space="0" w:color="000000"/>
              <w:right w:val="single" w:sz="4" w:space="0" w:color="auto"/>
            </w:tcBorders>
            <w:vAlign w:val="center"/>
            <w:hideMark/>
          </w:tcPr>
          <w:p w14:paraId="5DD7ECF0" w14:textId="77777777" w:rsidR="00C4057E" w:rsidRPr="00C4057E" w:rsidRDefault="00C4057E" w:rsidP="00C4057E">
            <w:pPr>
              <w:spacing w:after="0" w:line="240" w:lineRule="auto"/>
              <w:jc w:val="center"/>
              <w:rPr>
                <w:rFonts w:ascii="Arial" w:eastAsia="Times New Roman" w:hAnsi="Arial" w:cs="Arial"/>
                <w:sz w:val="20"/>
                <w:szCs w:val="20"/>
              </w:rPr>
            </w:pPr>
          </w:p>
        </w:tc>
        <w:tc>
          <w:tcPr>
            <w:tcW w:w="1660" w:type="dxa"/>
            <w:tcBorders>
              <w:top w:val="nil"/>
              <w:left w:val="nil"/>
              <w:bottom w:val="single" w:sz="4" w:space="0" w:color="auto"/>
              <w:right w:val="nil"/>
            </w:tcBorders>
            <w:shd w:val="clear" w:color="000000" w:fill="F2DCDB"/>
            <w:noWrap/>
            <w:vAlign w:val="bottom"/>
            <w:hideMark/>
          </w:tcPr>
          <w:p w14:paraId="3FA990B3"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36 Month CAIDI</w:t>
            </w:r>
          </w:p>
        </w:tc>
        <w:tc>
          <w:tcPr>
            <w:tcW w:w="2010" w:type="dxa"/>
            <w:tcBorders>
              <w:top w:val="nil"/>
              <w:left w:val="single" w:sz="4" w:space="0" w:color="auto"/>
              <w:bottom w:val="single" w:sz="4" w:space="0" w:color="auto"/>
              <w:right w:val="single" w:sz="4" w:space="0" w:color="auto"/>
            </w:tcBorders>
            <w:shd w:val="clear" w:color="000000" w:fill="F2DCDB"/>
            <w:vAlign w:val="bottom"/>
            <w:hideMark/>
          </w:tcPr>
          <w:p w14:paraId="6720F0E0" w14:textId="77777777" w:rsidR="00C4057E" w:rsidRPr="00C4057E" w:rsidRDefault="00C4057E" w:rsidP="00C4057E">
            <w:pPr>
              <w:spacing w:after="0" w:line="240" w:lineRule="auto"/>
              <w:jc w:val="center"/>
              <w:rPr>
                <w:rFonts w:ascii="Arial" w:eastAsia="Times New Roman" w:hAnsi="Arial" w:cs="Arial"/>
                <w:b/>
                <w:bCs/>
                <w:sz w:val="20"/>
                <w:szCs w:val="20"/>
              </w:rPr>
            </w:pPr>
            <w:r w:rsidRPr="00C4057E">
              <w:rPr>
                <w:rFonts w:ascii="Arial" w:eastAsia="Times New Roman" w:hAnsi="Arial" w:cs="Arial"/>
                <w:b/>
                <w:bCs/>
                <w:sz w:val="20"/>
                <w:szCs w:val="20"/>
              </w:rPr>
              <w:t>X</w:t>
            </w:r>
          </w:p>
        </w:tc>
        <w:tc>
          <w:tcPr>
            <w:tcW w:w="2010" w:type="dxa"/>
            <w:tcBorders>
              <w:top w:val="nil"/>
              <w:left w:val="nil"/>
              <w:bottom w:val="single" w:sz="4" w:space="0" w:color="auto"/>
              <w:right w:val="single" w:sz="4" w:space="0" w:color="auto"/>
            </w:tcBorders>
            <w:shd w:val="clear" w:color="000000" w:fill="F2DCDB"/>
            <w:vAlign w:val="bottom"/>
            <w:hideMark/>
          </w:tcPr>
          <w:p w14:paraId="75C5B702" w14:textId="77777777" w:rsidR="00C4057E" w:rsidRPr="00C4057E" w:rsidRDefault="00C4057E" w:rsidP="00C4057E">
            <w:pPr>
              <w:spacing w:after="0" w:line="240" w:lineRule="auto"/>
              <w:jc w:val="center"/>
              <w:rPr>
                <w:rFonts w:ascii="Arial" w:eastAsia="Times New Roman" w:hAnsi="Arial" w:cs="Arial"/>
                <w:b/>
                <w:bCs/>
                <w:sz w:val="20"/>
                <w:szCs w:val="20"/>
              </w:rPr>
            </w:pPr>
          </w:p>
        </w:tc>
        <w:tc>
          <w:tcPr>
            <w:tcW w:w="2010" w:type="dxa"/>
            <w:tcBorders>
              <w:top w:val="nil"/>
              <w:left w:val="nil"/>
              <w:bottom w:val="single" w:sz="4" w:space="0" w:color="auto"/>
              <w:right w:val="single" w:sz="8" w:space="0" w:color="auto"/>
            </w:tcBorders>
            <w:shd w:val="clear" w:color="000000" w:fill="F2DCDB"/>
            <w:vAlign w:val="bottom"/>
            <w:hideMark/>
          </w:tcPr>
          <w:p w14:paraId="3D0ACEAC" w14:textId="77777777" w:rsidR="00C4057E" w:rsidRPr="00C4057E" w:rsidRDefault="00C4057E" w:rsidP="00C4057E">
            <w:pPr>
              <w:spacing w:after="0" w:line="240" w:lineRule="auto"/>
              <w:jc w:val="center"/>
              <w:rPr>
                <w:rFonts w:ascii="Arial" w:eastAsia="Times New Roman" w:hAnsi="Arial" w:cs="Arial"/>
                <w:b/>
                <w:bCs/>
                <w:sz w:val="20"/>
                <w:szCs w:val="20"/>
              </w:rPr>
            </w:pPr>
          </w:p>
        </w:tc>
      </w:tr>
      <w:tr w:rsidR="00C4057E" w:rsidRPr="00C4057E" w14:paraId="7FA964F1" w14:textId="77777777" w:rsidTr="007B0B28">
        <w:trPr>
          <w:trHeight w:val="20"/>
        </w:trPr>
        <w:tc>
          <w:tcPr>
            <w:tcW w:w="1130" w:type="dxa"/>
            <w:vMerge/>
            <w:tcBorders>
              <w:top w:val="nil"/>
              <w:left w:val="single" w:sz="8" w:space="0" w:color="auto"/>
              <w:bottom w:val="single" w:sz="8" w:space="0" w:color="000000"/>
              <w:right w:val="single" w:sz="4" w:space="0" w:color="auto"/>
            </w:tcBorders>
            <w:vAlign w:val="center"/>
            <w:hideMark/>
          </w:tcPr>
          <w:p w14:paraId="4E3C56C5" w14:textId="77777777" w:rsidR="00C4057E" w:rsidRPr="00C4057E" w:rsidRDefault="00C4057E" w:rsidP="00C4057E">
            <w:pPr>
              <w:spacing w:after="0" w:line="240" w:lineRule="auto"/>
              <w:jc w:val="center"/>
              <w:rPr>
                <w:rFonts w:ascii="Arial" w:eastAsia="Times New Roman" w:hAnsi="Arial" w:cs="Arial"/>
                <w:sz w:val="20"/>
                <w:szCs w:val="20"/>
              </w:rPr>
            </w:pPr>
          </w:p>
        </w:tc>
        <w:tc>
          <w:tcPr>
            <w:tcW w:w="1660" w:type="dxa"/>
            <w:tcBorders>
              <w:top w:val="nil"/>
              <w:left w:val="nil"/>
              <w:bottom w:val="single" w:sz="4" w:space="0" w:color="auto"/>
              <w:right w:val="nil"/>
            </w:tcBorders>
            <w:shd w:val="clear" w:color="000000" w:fill="F2DCDB"/>
            <w:noWrap/>
            <w:vAlign w:val="bottom"/>
            <w:hideMark/>
          </w:tcPr>
          <w:p w14:paraId="7BD9AF63"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12 Month SAIDI</w:t>
            </w:r>
          </w:p>
        </w:tc>
        <w:tc>
          <w:tcPr>
            <w:tcW w:w="2010" w:type="dxa"/>
            <w:tcBorders>
              <w:top w:val="nil"/>
              <w:left w:val="single" w:sz="4" w:space="0" w:color="auto"/>
              <w:bottom w:val="single" w:sz="4" w:space="0" w:color="auto"/>
              <w:right w:val="single" w:sz="4" w:space="0" w:color="auto"/>
            </w:tcBorders>
            <w:shd w:val="clear" w:color="000000" w:fill="F2DCDB"/>
            <w:vAlign w:val="bottom"/>
            <w:hideMark/>
          </w:tcPr>
          <w:p w14:paraId="692A516A" w14:textId="77777777" w:rsidR="00C4057E" w:rsidRPr="00C4057E" w:rsidRDefault="00C4057E" w:rsidP="00C4057E">
            <w:pPr>
              <w:spacing w:after="0" w:line="240" w:lineRule="auto"/>
              <w:jc w:val="center"/>
              <w:rPr>
                <w:rFonts w:ascii="Arial" w:eastAsia="Times New Roman" w:hAnsi="Arial" w:cs="Arial"/>
                <w:b/>
                <w:bCs/>
                <w:sz w:val="20"/>
                <w:szCs w:val="20"/>
              </w:rPr>
            </w:pPr>
            <w:r w:rsidRPr="00C4057E">
              <w:rPr>
                <w:rFonts w:ascii="Arial" w:eastAsia="Times New Roman" w:hAnsi="Arial" w:cs="Arial"/>
                <w:b/>
                <w:bCs/>
                <w:sz w:val="20"/>
                <w:szCs w:val="20"/>
              </w:rPr>
              <w:t>X</w:t>
            </w:r>
          </w:p>
        </w:tc>
        <w:tc>
          <w:tcPr>
            <w:tcW w:w="2010" w:type="dxa"/>
            <w:tcBorders>
              <w:top w:val="nil"/>
              <w:left w:val="nil"/>
              <w:bottom w:val="single" w:sz="4" w:space="0" w:color="auto"/>
              <w:right w:val="single" w:sz="4" w:space="0" w:color="auto"/>
            </w:tcBorders>
            <w:shd w:val="clear" w:color="000000" w:fill="F2DCDB"/>
            <w:vAlign w:val="bottom"/>
            <w:hideMark/>
          </w:tcPr>
          <w:p w14:paraId="17823171" w14:textId="77777777" w:rsidR="00C4057E" w:rsidRPr="00C4057E" w:rsidRDefault="00C4057E" w:rsidP="00C4057E">
            <w:pPr>
              <w:spacing w:after="0" w:line="240" w:lineRule="auto"/>
              <w:jc w:val="center"/>
              <w:rPr>
                <w:rFonts w:ascii="Arial" w:eastAsia="Times New Roman" w:hAnsi="Arial" w:cs="Arial"/>
                <w:b/>
                <w:bCs/>
                <w:sz w:val="20"/>
                <w:szCs w:val="20"/>
              </w:rPr>
            </w:pPr>
          </w:p>
        </w:tc>
        <w:tc>
          <w:tcPr>
            <w:tcW w:w="2010" w:type="dxa"/>
            <w:tcBorders>
              <w:top w:val="nil"/>
              <w:left w:val="nil"/>
              <w:bottom w:val="single" w:sz="4" w:space="0" w:color="auto"/>
              <w:right w:val="single" w:sz="8" w:space="0" w:color="auto"/>
            </w:tcBorders>
            <w:shd w:val="clear" w:color="000000" w:fill="F2DCDB"/>
            <w:vAlign w:val="bottom"/>
            <w:hideMark/>
          </w:tcPr>
          <w:p w14:paraId="78AF7F09" w14:textId="77777777" w:rsidR="00C4057E" w:rsidRPr="00C4057E" w:rsidRDefault="00C4057E" w:rsidP="00C4057E">
            <w:pPr>
              <w:spacing w:after="0" w:line="240" w:lineRule="auto"/>
              <w:jc w:val="center"/>
              <w:rPr>
                <w:rFonts w:ascii="Arial" w:eastAsia="Times New Roman" w:hAnsi="Arial" w:cs="Arial"/>
                <w:b/>
                <w:bCs/>
                <w:sz w:val="20"/>
                <w:szCs w:val="20"/>
              </w:rPr>
            </w:pPr>
          </w:p>
        </w:tc>
      </w:tr>
      <w:tr w:rsidR="00C4057E" w:rsidRPr="00C4057E" w14:paraId="46F2E9FD" w14:textId="77777777" w:rsidTr="007B0B28">
        <w:trPr>
          <w:trHeight w:val="20"/>
        </w:trPr>
        <w:tc>
          <w:tcPr>
            <w:tcW w:w="1130" w:type="dxa"/>
            <w:vMerge/>
            <w:tcBorders>
              <w:top w:val="nil"/>
              <w:left w:val="single" w:sz="8" w:space="0" w:color="auto"/>
              <w:bottom w:val="single" w:sz="8" w:space="0" w:color="000000"/>
              <w:right w:val="single" w:sz="4" w:space="0" w:color="auto"/>
            </w:tcBorders>
            <w:vAlign w:val="center"/>
            <w:hideMark/>
          </w:tcPr>
          <w:p w14:paraId="20926850" w14:textId="77777777" w:rsidR="00C4057E" w:rsidRPr="00C4057E" w:rsidRDefault="00C4057E" w:rsidP="00C4057E">
            <w:pPr>
              <w:spacing w:after="0" w:line="240" w:lineRule="auto"/>
              <w:jc w:val="center"/>
              <w:rPr>
                <w:rFonts w:ascii="Arial" w:eastAsia="Times New Roman" w:hAnsi="Arial" w:cs="Arial"/>
                <w:sz w:val="20"/>
                <w:szCs w:val="20"/>
              </w:rPr>
            </w:pPr>
          </w:p>
        </w:tc>
        <w:tc>
          <w:tcPr>
            <w:tcW w:w="1660" w:type="dxa"/>
            <w:tcBorders>
              <w:top w:val="nil"/>
              <w:left w:val="nil"/>
              <w:bottom w:val="single" w:sz="8" w:space="0" w:color="auto"/>
              <w:right w:val="nil"/>
            </w:tcBorders>
            <w:shd w:val="clear" w:color="000000" w:fill="F2DCDB"/>
            <w:noWrap/>
            <w:vAlign w:val="bottom"/>
            <w:hideMark/>
          </w:tcPr>
          <w:p w14:paraId="2BB89B28"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36 Month SAIDI</w:t>
            </w:r>
          </w:p>
        </w:tc>
        <w:tc>
          <w:tcPr>
            <w:tcW w:w="2010" w:type="dxa"/>
            <w:tcBorders>
              <w:top w:val="nil"/>
              <w:left w:val="single" w:sz="4" w:space="0" w:color="auto"/>
              <w:bottom w:val="single" w:sz="8" w:space="0" w:color="auto"/>
              <w:right w:val="single" w:sz="4" w:space="0" w:color="auto"/>
            </w:tcBorders>
            <w:shd w:val="clear" w:color="000000" w:fill="F2DCDB"/>
            <w:vAlign w:val="bottom"/>
            <w:hideMark/>
          </w:tcPr>
          <w:p w14:paraId="64251C0E" w14:textId="77777777" w:rsidR="00C4057E" w:rsidRPr="00C4057E" w:rsidRDefault="00C4057E" w:rsidP="00C4057E">
            <w:pPr>
              <w:spacing w:after="0" w:line="240" w:lineRule="auto"/>
              <w:jc w:val="center"/>
              <w:rPr>
                <w:rFonts w:ascii="Arial" w:eastAsia="Times New Roman" w:hAnsi="Arial" w:cs="Arial"/>
                <w:b/>
                <w:bCs/>
                <w:sz w:val="20"/>
                <w:szCs w:val="20"/>
              </w:rPr>
            </w:pPr>
            <w:r w:rsidRPr="00C4057E">
              <w:rPr>
                <w:rFonts w:ascii="Arial" w:eastAsia="Times New Roman" w:hAnsi="Arial" w:cs="Arial"/>
                <w:b/>
                <w:bCs/>
                <w:sz w:val="20"/>
                <w:szCs w:val="20"/>
              </w:rPr>
              <w:t>X</w:t>
            </w:r>
          </w:p>
        </w:tc>
        <w:tc>
          <w:tcPr>
            <w:tcW w:w="2010" w:type="dxa"/>
            <w:tcBorders>
              <w:top w:val="nil"/>
              <w:left w:val="nil"/>
              <w:bottom w:val="single" w:sz="8" w:space="0" w:color="auto"/>
              <w:right w:val="single" w:sz="4" w:space="0" w:color="auto"/>
            </w:tcBorders>
            <w:shd w:val="clear" w:color="000000" w:fill="F2DCDB"/>
            <w:vAlign w:val="bottom"/>
            <w:hideMark/>
          </w:tcPr>
          <w:p w14:paraId="7EB22CB5" w14:textId="77777777" w:rsidR="00C4057E" w:rsidRPr="00C4057E" w:rsidRDefault="00C4057E" w:rsidP="00C4057E">
            <w:pPr>
              <w:spacing w:after="0" w:line="240" w:lineRule="auto"/>
              <w:jc w:val="center"/>
              <w:rPr>
                <w:rFonts w:ascii="Arial" w:eastAsia="Times New Roman" w:hAnsi="Arial" w:cs="Arial"/>
                <w:b/>
                <w:bCs/>
                <w:sz w:val="20"/>
                <w:szCs w:val="20"/>
              </w:rPr>
            </w:pPr>
          </w:p>
        </w:tc>
        <w:tc>
          <w:tcPr>
            <w:tcW w:w="2010" w:type="dxa"/>
            <w:tcBorders>
              <w:top w:val="nil"/>
              <w:left w:val="nil"/>
              <w:bottom w:val="single" w:sz="8" w:space="0" w:color="auto"/>
              <w:right w:val="single" w:sz="8" w:space="0" w:color="auto"/>
            </w:tcBorders>
            <w:shd w:val="clear" w:color="000000" w:fill="F2DCDB"/>
            <w:vAlign w:val="bottom"/>
            <w:hideMark/>
          </w:tcPr>
          <w:p w14:paraId="146A23FA" w14:textId="77777777" w:rsidR="00C4057E" w:rsidRPr="00C4057E" w:rsidRDefault="00C4057E" w:rsidP="00C4057E">
            <w:pPr>
              <w:spacing w:after="0" w:line="240" w:lineRule="auto"/>
              <w:jc w:val="center"/>
              <w:rPr>
                <w:rFonts w:ascii="Arial" w:eastAsia="Times New Roman" w:hAnsi="Arial" w:cs="Arial"/>
                <w:b/>
                <w:bCs/>
                <w:sz w:val="20"/>
                <w:szCs w:val="20"/>
              </w:rPr>
            </w:pPr>
          </w:p>
        </w:tc>
      </w:tr>
      <w:tr w:rsidR="00C4057E" w:rsidRPr="00C4057E" w14:paraId="55C82AC9" w14:textId="77777777" w:rsidTr="007B0B28">
        <w:trPr>
          <w:trHeight w:val="20"/>
        </w:trPr>
        <w:tc>
          <w:tcPr>
            <w:tcW w:w="1130" w:type="dxa"/>
            <w:vMerge w:val="restart"/>
            <w:tcBorders>
              <w:top w:val="nil"/>
              <w:left w:val="single" w:sz="8" w:space="0" w:color="auto"/>
              <w:bottom w:val="single" w:sz="8" w:space="0" w:color="000000"/>
              <w:right w:val="single" w:sz="4" w:space="0" w:color="auto"/>
            </w:tcBorders>
            <w:shd w:val="clear" w:color="000000" w:fill="DA9694"/>
            <w:noWrap/>
            <w:vAlign w:val="center"/>
            <w:hideMark/>
          </w:tcPr>
          <w:p w14:paraId="70076347"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West Penn Power</w:t>
            </w:r>
          </w:p>
        </w:tc>
        <w:tc>
          <w:tcPr>
            <w:tcW w:w="1660" w:type="dxa"/>
            <w:tcBorders>
              <w:top w:val="nil"/>
              <w:left w:val="nil"/>
              <w:bottom w:val="single" w:sz="4" w:space="0" w:color="auto"/>
              <w:right w:val="single" w:sz="4" w:space="0" w:color="auto"/>
            </w:tcBorders>
            <w:shd w:val="clear" w:color="000000" w:fill="DA9694"/>
            <w:noWrap/>
            <w:vAlign w:val="bottom"/>
            <w:hideMark/>
          </w:tcPr>
          <w:p w14:paraId="667888DC"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12 Month SAIFI</w:t>
            </w:r>
          </w:p>
        </w:tc>
        <w:tc>
          <w:tcPr>
            <w:tcW w:w="2010" w:type="dxa"/>
            <w:tcBorders>
              <w:top w:val="nil"/>
              <w:left w:val="nil"/>
              <w:bottom w:val="single" w:sz="4" w:space="0" w:color="auto"/>
              <w:right w:val="single" w:sz="4" w:space="0" w:color="auto"/>
            </w:tcBorders>
            <w:shd w:val="clear" w:color="000000" w:fill="DA9694"/>
            <w:vAlign w:val="bottom"/>
            <w:hideMark/>
          </w:tcPr>
          <w:p w14:paraId="392759AE" w14:textId="77777777" w:rsidR="00C4057E" w:rsidRPr="00C4057E" w:rsidRDefault="00C4057E" w:rsidP="00C4057E">
            <w:pPr>
              <w:spacing w:after="0" w:line="240" w:lineRule="auto"/>
              <w:jc w:val="center"/>
              <w:rPr>
                <w:rFonts w:ascii="Arial" w:eastAsia="Times New Roman" w:hAnsi="Arial" w:cs="Arial"/>
                <w:b/>
                <w:bCs/>
                <w:sz w:val="20"/>
                <w:szCs w:val="20"/>
              </w:rPr>
            </w:pPr>
          </w:p>
        </w:tc>
        <w:tc>
          <w:tcPr>
            <w:tcW w:w="2010" w:type="dxa"/>
            <w:tcBorders>
              <w:top w:val="nil"/>
              <w:left w:val="nil"/>
              <w:bottom w:val="single" w:sz="4" w:space="0" w:color="auto"/>
              <w:right w:val="single" w:sz="4" w:space="0" w:color="auto"/>
            </w:tcBorders>
            <w:shd w:val="clear" w:color="000000" w:fill="DA9694"/>
            <w:vAlign w:val="bottom"/>
            <w:hideMark/>
          </w:tcPr>
          <w:p w14:paraId="35A8486B" w14:textId="77777777" w:rsidR="00C4057E" w:rsidRPr="00C4057E" w:rsidRDefault="00C4057E" w:rsidP="00C4057E">
            <w:pPr>
              <w:spacing w:after="0" w:line="240" w:lineRule="auto"/>
              <w:jc w:val="center"/>
              <w:rPr>
                <w:rFonts w:ascii="Arial" w:eastAsia="Times New Roman" w:hAnsi="Arial" w:cs="Arial"/>
                <w:b/>
                <w:bCs/>
                <w:sz w:val="20"/>
                <w:szCs w:val="20"/>
              </w:rPr>
            </w:pPr>
            <w:r w:rsidRPr="00C4057E">
              <w:rPr>
                <w:rFonts w:ascii="Arial" w:eastAsia="Times New Roman" w:hAnsi="Arial" w:cs="Arial"/>
                <w:b/>
                <w:bCs/>
                <w:sz w:val="20"/>
                <w:szCs w:val="20"/>
              </w:rPr>
              <w:t>X</w:t>
            </w:r>
          </w:p>
        </w:tc>
        <w:tc>
          <w:tcPr>
            <w:tcW w:w="2010" w:type="dxa"/>
            <w:tcBorders>
              <w:top w:val="nil"/>
              <w:left w:val="nil"/>
              <w:bottom w:val="single" w:sz="4" w:space="0" w:color="auto"/>
              <w:right w:val="single" w:sz="8" w:space="0" w:color="auto"/>
            </w:tcBorders>
            <w:shd w:val="clear" w:color="000000" w:fill="DA9694"/>
            <w:vAlign w:val="bottom"/>
            <w:hideMark/>
          </w:tcPr>
          <w:p w14:paraId="13EF1368" w14:textId="77777777" w:rsidR="00C4057E" w:rsidRPr="00C4057E" w:rsidRDefault="00C4057E" w:rsidP="00C4057E">
            <w:pPr>
              <w:spacing w:after="0" w:line="240" w:lineRule="auto"/>
              <w:jc w:val="center"/>
              <w:rPr>
                <w:rFonts w:ascii="Arial" w:eastAsia="Times New Roman" w:hAnsi="Arial" w:cs="Arial"/>
                <w:b/>
                <w:bCs/>
                <w:sz w:val="20"/>
                <w:szCs w:val="20"/>
              </w:rPr>
            </w:pPr>
          </w:p>
        </w:tc>
      </w:tr>
      <w:tr w:rsidR="00C4057E" w:rsidRPr="00C4057E" w14:paraId="44F4936A" w14:textId="77777777" w:rsidTr="007B0B28">
        <w:trPr>
          <w:trHeight w:val="20"/>
        </w:trPr>
        <w:tc>
          <w:tcPr>
            <w:tcW w:w="1130" w:type="dxa"/>
            <w:vMerge/>
            <w:tcBorders>
              <w:top w:val="nil"/>
              <w:left w:val="single" w:sz="8" w:space="0" w:color="auto"/>
              <w:bottom w:val="single" w:sz="8" w:space="0" w:color="000000"/>
              <w:right w:val="single" w:sz="4" w:space="0" w:color="auto"/>
            </w:tcBorders>
            <w:vAlign w:val="center"/>
            <w:hideMark/>
          </w:tcPr>
          <w:p w14:paraId="7B1E4F16" w14:textId="77777777" w:rsidR="00C4057E" w:rsidRPr="00C4057E" w:rsidRDefault="00C4057E" w:rsidP="00C4057E">
            <w:pPr>
              <w:spacing w:after="0" w:line="240" w:lineRule="auto"/>
              <w:jc w:val="center"/>
              <w:rPr>
                <w:rFonts w:ascii="Arial" w:eastAsia="Times New Roman" w:hAnsi="Arial" w:cs="Arial"/>
                <w:sz w:val="20"/>
                <w:szCs w:val="20"/>
              </w:rPr>
            </w:pPr>
          </w:p>
        </w:tc>
        <w:tc>
          <w:tcPr>
            <w:tcW w:w="1660" w:type="dxa"/>
            <w:tcBorders>
              <w:top w:val="nil"/>
              <w:left w:val="nil"/>
              <w:bottom w:val="single" w:sz="4" w:space="0" w:color="auto"/>
              <w:right w:val="single" w:sz="4" w:space="0" w:color="auto"/>
            </w:tcBorders>
            <w:shd w:val="clear" w:color="000000" w:fill="DA9694"/>
            <w:noWrap/>
            <w:vAlign w:val="bottom"/>
            <w:hideMark/>
          </w:tcPr>
          <w:p w14:paraId="54CCF8AD"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36 Month SAIFI</w:t>
            </w:r>
          </w:p>
        </w:tc>
        <w:tc>
          <w:tcPr>
            <w:tcW w:w="2010" w:type="dxa"/>
            <w:tcBorders>
              <w:top w:val="nil"/>
              <w:left w:val="nil"/>
              <w:bottom w:val="single" w:sz="4" w:space="0" w:color="auto"/>
              <w:right w:val="single" w:sz="4" w:space="0" w:color="auto"/>
            </w:tcBorders>
            <w:shd w:val="clear" w:color="000000" w:fill="DA9694"/>
            <w:vAlign w:val="bottom"/>
            <w:hideMark/>
          </w:tcPr>
          <w:p w14:paraId="566CDE16" w14:textId="77777777" w:rsidR="00C4057E" w:rsidRPr="00C4057E" w:rsidRDefault="00C4057E" w:rsidP="00C4057E">
            <w:pPr>
              <w:spacing w:after="0" w:line="240" w:lineRule="auto"/>
              <w:jc w:val="center"/>
              <w:rPr>
                <w:rFonts w:ascii="Arial" w:eastAsia="Times New Roman" w:hAnsi="Arial" w:cs="Arial"/>
                <w:b/>
                <w:bCs/>
                <w:sz w:val="20"/>
                <w:szCs w:val="20"/>
              </w:rPr>
            </w:pPr>
            <w:r w:rsidRPr="00C4057E">
              <w:rPr>
                <w:rFonts w:ascii="Arial" w:eastAsia="Times New Roman" w:hAnsi="Arial" w:cs="Arial"/>
                <w:b/>
                <w:bCs/>
                <w:sz w:val="20"/>
                <w:szCs w:val="20"/>
              </w:rPr>
              <w:t>X</w:t>
            </w:r>
          </w:p>
        </w:tc>
        <w:tc>
          <w:tcPr>
            <w:tcW w:w="2010" w:type="dxa"/>
            <w:tcBorders>
              <w:top w:val="nil"/>
              <w:left w:val="nil"/>
              <w:bottom w:val="single" w:sz="4" w:space="0" w:color="auto"/>
              <w:right w:val="single" w:sz="4" w:space="0" w:color="auto"/>
            </w:tcBorders>
            <w:shd w:val="clear" w:color="000000" w:fill="DA9694"/>
            <w:vAlign w:val="bottom"/>
            <w:hideMark/>
          </w:tcPr>
          <w:p w14:paraId="2990D8A5" w14:textId="77777777" w:rsidR="00C4057E" w:rsidRPr="00C4057E" w:rsidRDefault="00C4057E" w:rsidP="00C4057E">
            <w:pPr>
              <w:spacing w:after="0" w:line="240" w:lineRule="auto"/>
              <w:jc w:val="center"/>
              <w:rPr>
                <w:rFonts w:ascii="Arial" w:eastAsia="Times New Roman" w:hAnsi="Arial" w:cs="Arial"/>
                <w:b/>
                <w:bCs/>
                <w:sz w:val="20"/>
                <w:szCs w:val="20"/>
              </w:rPr>
            </w:pPr>
          </w:p>
        </w:tc>
        <w:tc>
          <w:tcPr>
            <w:tcW w:w="2010" w:type="dxa"/>
            <w:tcBorders>
              <w:top w:val="nil"/>
              <w:left w:val="nil"/>
              <w:bottom w:val="single" w:sz="4" w:space="0" w:color="auto"/>
              <w:right w:val="single" w:sz="8" w:space="0" w:color="auto"/>
            </w:tcBorders>
            <w:shd w:val="clear" w:color="000000" w:fill="DA9694"/>
            <w:vAlign w:val="bottom"/>
            <w:hideMark/>
          </w:tcPr>
          <w:p w14:paraId="34D405F0" w14:textId="77777777" w:rsidR="00C4057E" w:rsidRPr="00C4057E" w:rsidRDefault="00C4057E" w:rsidP="00C4057E">
            <w:pPr>
              <w:spacing w:after="0" w:line="240" w:lineRule="auto"/>
              <w:jc w:val="center"/>
              <w:rPr>
                <w:rFonts w:ascii="Arial" w:eastAsia="Times New Roman" w:hAnsi="Arial" w:cs="Arial"/>
                <w:b/>
                <w:bCs/>
                <w:sz w:val="20"/>
                <w:szCs w:val="20"/>
              </w:rPr>
            </w:pPr>
          </w:p>
        </w:tc>
      </w:tr>
      <w:tr w:rsidR="00C4057E" w:rsidRPr="00C4057E" w14:paraId="32C9CD37" w14:textId="77777777" w:rsidTr="007B0B28">
        <w:trPr>
          <w:trHeight w:val="20"/>
        </w:trPr>
        <w:tc>
          <w:tcPr>
            <w:tcW w:w="1130" w:type="dxa"/>
            <w:vMerge/>
            <w:tcBorders>
              <w:top w:val="nil"/>
              <w:left w:val="single" w:sz="8" w:space="0" w:color="auto"/>
              <w:bottom w:val="single" w:sz="8" w:space="0" w:color="000000"/>
              <w:right w:val="single" w:sz="4" w:space="0" w:color="auto"/>
            </w:tcBorders>
            <w:vAlign w:val="center"/>
            <w:hideMark/>
          </w:tcPr>
          <w:p w14:paraId="75C8316E" w14:textId="77777777" w:rsidR="00C4057E" w:rsidRPr="00C4057E" w:rsidRDefault="00C4057E" w:rsidP="00C4057E">
            <w:pPr>
              <w:spacing w:after="0" w:line="240" w:lineRule="auto"/>
              <w:jc w:val="center"/>
              <w:rPr>
                <w:rFonts w:ascii="Arial" w:eastAsia="Times New Roman" w:hAnsi="Arial" w:cs="Arial"/>
                <w:sz w:val="20"/>
                <w:szCs w:val="20"/>
              </w:rPr>
            </w:pPr>
          </w:p>
        </w:tc>
        <w:tc>
          <w:tcPr>
            <w:tcW w:w="1660" w:type="dxa"/>
            <w:tcBorders>
              <w:top w:val="nil"/>
              <w:left w:val="nil"/>
              <w:bottom w:val="single" w:sz="4" w:space="0" w:color="auto"/>
              <w:right w:val="single" w:sz="4" w:space="0" w:color="auto"/>
            </w:tcBorders>
            <w:shd w:val="clear" w:color="000000" w:fill="DA9694"/>
            <w:noWrap/>
            <w:vAlign w:val="bottom"/>
            <w:hideMark/>
          </w:tcPr>
          <w:p w14:paraId="1C1D46B1"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12 Month CAIDI</w:t>
            </w:r>
          </w:p>
        </w:tc>
        <w:tc>
          <w:tcPr>
            <w:tcW w:w="2010" w:type="dxa"/>
            <w:tcBorders>
              <w:top w:val="nil"/>
              <w:left w:val="nil"/>
              <w:bottom w:val="single" w:sz="4" w:space="0" w:color="auto"/>
              <w:right w:val="single" w:sz="4" w:space="0" w:color="auto"/>
            </w:tcBorders>
            <w:shd w:val="clear" w:color="000000" w:fill="DA9694"/>
            <w:vAlign w:val="bottom"/>
            <w:hideMark/>
          </w:tcPr>
          <w:p w14:paraId="2A2DC659" w14:textId="77777777" w:rsidR="00C4057E" w:rsidRPr="00C4057E" w:rsidRDefault="00C4057E" w:rsidP="00C4057E">
            <w:pPr>
              <w:spacing w:after="0" w:line="240" w:lineRule="auto"/>
              <w:jc w:val="center"/>
              <w:rPr>
                <w:rFonts w:ascii="Arial" w:eastAsia="Times New Roman" w:hAnsi="Arial" w:cs="Arial"/>
                <w:b/>
                <w:bCs/>
                <w:sz w:val="20"/>
                <w:szCs w:val="20"/>
              </w:rPr>
            </w:pPr>
          </w:p>
        </w:tc>
        <w:tc>
          <w:tcPr>
            <w:tcW w:w="2010" w:type="dxa"/>
            <w:tcBorders>
              <w:top w:val="nil"/>
              <w:left w:val="nil"/>
              <w:bottom w:val="single" w:sz="4" w:space="0" w:color="auto"/>
              <w:right w:val="single" w:sz="4" w:space="0" w:color="auto"/>
            </w:tcBorders>
            <w:shd w:val="clear" w:color="000000" w:fill="DA9694"/>
            <w:vAlign w:val="bottom"/>
            <w:hideMark/>
          </w:tcPr>
          <w:p w14:paraId="391F1A33" w14:textId="77777777" w:rsidR="00C4057E" w:rsidRPr="00C4057E" w:rsidRDefault="00C4057E" w:rsidP="00C4057E">
            <w:pPr>
              <w:spacing w:after="0" w:line="240" w:lineRule="auto"/>
              <w:jc w:val="center"/>
              <w:rPr>
                <w:rFonts w:ascii="Arial" w:eastAsia="Times New Roman" w:hAnsi="Arial" w:cs="Arial"/>
                <w:b/>
                <w:bCs/>
                <w:sz w:val="20"/>
                <w:szCs w:val="20"/>
              </w:rPr>
            </w:pPr>
            <w:r w:rsidRPr="00C4057E">
              <w:rPr>
                <w:rFonts w:ascii="Arial" w:eastAsia="Times New Roman" w:hAnsi="Arial" w:cs="Arial"/>
                <w:b/>
                <w:bCs/>
                <w:sz w:val="20"/>
                <w:szCs w:val="20"/>
              </w:rPr>
              <w:t>X</w:t>
            </w:r>
          </w:p>
        </w:tc>
        <w:tc>
          <w:tcPr>
            <w:tcW w:w="2010" w:type="dxa"/>
            <w:tcBorders>
              <w:top w:val="nil"/>
              <w:left w:val="nil"/>
              <w:bottom w:val="single" w:sz="4" w:space="0" w:color="auto"/>
              <w:right w:val="single" w:sz="8" w:space="0" w:color="auto"/>
            </w:tcBorders>
            <w:shd w:val="clear" w:color="000000" w:fill="DA9694"/>
            <w:vAlign w:val="bottom"/>
            <w:hideMark/>
          </w:tcPr>
          <w:p w14:paraId="793CF682" w14:textId="77777777" w:rsidR="00C4057E" w:rsidRPr="00C4057E" w:rsidRDefault="00C4057E" w:rsidP="00C4057E">
            <w:pPr>
              <w:spacing w:after="0" w:line="240" w:lineRule="auto"/>
              <w:jc w:val="center"/>
              <w:rPr>
                <w:rFonts w:ascii="Arial" w:eastAsia="Times New Roman" w:hAnsi="Arial" w:cs="Arial"/>
                <w:b/>
                <w:bCs/>
                <w:sz w:val="20"/>
                <w:szCs w:val="20"/>
              </w:rPr>
            </w:pPr>
          </w:p>
        </w:tc>
      </w:tr>
      <w:tr w:rsidR="00C4057E" w:rsidRPr="00C4057E" w14:paraId="2093473F" w14:textId="77777777" w:rsidTr="007B0B28">
        <w:trPr>
          <w:trHeight w:val="20"/>
        </w:trPr>
        <w:tc>
          <w:tcPr>
            <w:tcW w:w="1130" w:type="dxa"/>
            <w:vMerge/>
            <w:tcBorders>
              <w:top w:val="nil"/>
              <w:left w:val="single" w:sz="8" w:space="0" w:color="auto"/>
              <w:bottom w:val="single" w:sz="8" w:space="0" w:color="000000"/>
              <w:right w:val="single" w:sz="4" w:space="0" w:color="auto"/>
            </w:tcBorders>
            <w:vAlign w:val="center"/>
            <w:hideMark/>
          </w:tcPr>
          <w:p w14:paraId="02D297B8" w14:textId="77777777" w:rsidR="00C4057E" w:rsidRPr="00C4057E" w:rsidRDefault="00C4057E" w:rsidP="00C4057E">
            <w:pPr>
              <w:spacing w:after="0" w:line="240" w:lineRule="auto"/>
              <w:jc w:val="center"/>
              <w:rPr>
                <w:rFonts w:ascii="Arial" w:eastAsia="Times New Roman" w:hAnsi="Arial" w:cs="Arial"/>
                <w:sz w:val="20"/>
                <w:szCs w:val="20"/>
              </w:rPr>
            </w:pPr>
          </w:p>
        </w:tc>
        <w:tc>
          <w:tcPr>
            <w:tcW w:w="1660" w:type="dxa"/>
            <w:tcBorders>
              <w:top w:val="nil"/>
              <w:left w:val="nil"/>
              <w:bottom w:val="single" w:sz="4" w:space="0" w:color="auto"/>
              <w:right w:val="single" w:sz="4" w:space="0" w:color="auto"/>
            </w:tcBorders>
            <w:shd w:val="clear" w:color="000000" w:fill="DA9694"/>
            <w:noWrap/>
            <w:vAlign w:val="bottom"/>
            <w:hideMark/>
          </w:tcPr>
          <w:p w14:paraId="64130E10"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36 Month CAIDI</w:t>
            </w:r>
          </w:p>
        </w:tc>
        <w:tc>
          <w:tcPr>
            <w:tcW w:w="2010" w:type="dxa"/>
            <w:tcBorders>
              <w:top w:val="nil"/>
              <w:left w:val="nil"/>
              <w:bottom w:val="single" w:sz="4" w:space="0" w:color="auto"/>
              <w:right w:val="single" w:sz="4" w:space="0" w:color="auto"/>
            </w:tcBorders>
            <w:shd w:val="clear" w:color="000000" w:fill="DA9694"/>
            <w:vAlign w:val="bottom"/>
            <w:hideMark/>
          </w:tcPr>
          <w:p w14:paraId="4A0F59B3" w14:textId="77777777" w:rsidR="00C4057E" w:rsidRPr="00C4057E" w:rsidRDefault="00C4057E" w:rsidP="00C4057E">
            <w:pPr>
              <w:spacing w:after="0" w:line="240" w:lineRule="auto"/>
              <w:jc w:val="center"/>
              <w:rPr>
                <w:rFonts w:ascii="Arial" w:eastAsia="Times New Roman" w:hAnsi="Arial" w:cs="Arial"/>
                <w:b/>
                <w:bCs/>
                <w:sz w:val="20"/>
                <w:szCs w:val="20"/>
              </w:rPr>
            </w:pPr>
          </w:p>
        </w:tc>
        <w:tc>
          <w:tcPr>
            <w:tcW w:w="2010" w:type="dxa"/>
            <w:tcBorders>
              <w:top w:val="nil"/>
              <w:left w:val="nil"/>
              <w:bottom w:val="single" w:sz="4" w:space="0" w:color="auto"/>
              <w:right w:val="single" w:sz="4" w:space="0" w:color="auto"/>
            </w:tcBorders>
            <w:shd w:val="clear" w:color="000000" w:fill="DA9694"/>
            <w:vAlign w:val="bottom"/>
            <w:hideMark/>
          </w:tcPr>
          <w:p w14:paraId="49F1095C" w14:textId="77777777" w:rsidR="00C4057E" w:rsidRPr="00C4057E" w:rsidRDefault="00C4057E" w:rsidP="00C4057E">
            <w:pPr>
              <w:spacing w:after="0" w:line="240" w:lineRule="auto"/>
              <w:jc w:val="center"/>
              <w:rPr>
                <w:rFonts w:ascii="Arial" w:eastAsia="Times New Roman" w:hAnsi="Arial" w:cs="Arial"/>
                <w:b/>
                <w:bCs/>
                <w:sz w:val="20"/>
                <w:szCs w:val="20"/>
              </w:rPr>
            </w:pPr>
            <w:r w:rsidRPr="00C4057E">
              <w:rPr>
                <w:rFonts w:ascii="Arial" w:eastAsia="Times New Roman" w:hAnsi="Arial" w:cs="Arial"/>
                <w:b/>
                <w:bCs/>
                <w:sz w:val="20"/>
                <w:szCs w:val="20"/>
              </w:rPr>
              <w:t>X</w:t>
            </w:r>
          </w:p>
        </w:tc>
        <w:tc>
          <w:tcPr>
            <w:tcW w:w="2010" w:type="dxa"/>
            <w:tcBorders>
              <w:top w:val="nil"/>
              <w:left w:val="nil"/>
              <w:bottom w:val="single" w:sz="4" w:space="0" w:color="auto"/>
              <w:right w:val="single" w:sz="8" w:space="0" w:color="auto"/>
            </w:tcBorders>
            <w:shd w:val="clear" w:color="000000" w:fill="DA9694"/>
            <w:vAlign w:val="bottom"/>
            <w:hideMark/>
          </w:tcPr>
          <w:p w14:paraId="3F00E663" w14:textId="77777777" w:rsidR="00C4057E" w:rsidRPr="00C4057E" w:rsidRDefault="00C4057E" w:rsidP="00C4057E">
            <w:pPr>
              <w:spacing w:after="0" w:line="240" w:lineRule="auto"/>
              <w:jc w:val="center"/>
              <w:rPr>
                <w:rFonts w:ascii="Arial" w:eastAsia="Times New Roman" w:hAnsi="Arial" w:cs="Arial"/>
                <w:b/>
                <w:bCs/>
                <w:sz w:val="20"/>
                <w:szCs w:val="20"/>
              </w:rPr>
            </w:pPr>
          </w:p>
        </w:tc>
      </w:tr>
      <w:tr w:rsidR="00C4057E" w:rsidRPr="00C4057E" w14:paraId="54A804D3" w14:textId="77777777" w:rsidTr="007B0B28">
        <w:trPr>
          <w:trHeight w:val="20"/>
        </w:trPr>
        <w:tc>
          <w:tcPr>
            <w:tcW w:w="1130" w:type="dxa"/>
            <w:vMerge/>
            <w:tcBorders>
              <w:top w:val="nil"/>
              <w:left w:val="single" w:sz="8" w:space="0" w:color="auto"/>
              <w:bottom w:val="single" w:sz="8" w:space="0" w:color="000000"/>
              <w:right w:val="single" w:sz="4" w:space="0" w:color="auto"/>
            </w:tcBorders>
            <w:vAlign w:val="center"/>
            <w:hideMark/>
          </w:tcPr>
          <w:p w14:paraId="4D210936" w14:textId="77777777" w:rsidR="00C4057E" w:rsidRPr="00C4057E" w:rsidRDefault="00C4057E" w:rsidP="00C4057E">
            <w:pPr>
              <w:spacing w:after="0" w:line="240" w:lineRule="auto"/>
              <w:jc w:val="center"/>
              <w:rPr>
                <w:rFonts w:ascii="Arial" w:eastAsia="Times New Roman" w:hAnsi="Arial" w:cs="Arial"/>
                <w:sz w:val="20"/>
                <w:szCs w:val="20"/>
              </w:rPr>
            </w:pPr>
          </w:p>
        </w:tc>
        <w:tc>
          <w:tcPr>
            <w:tcW w:w="1660" w:type="dxa"/>
            <w:tcBorders>
              <w:top w:val="nil"/>
              <w:left w:val="nil"/>
              <w:bottom w:val="single" w:sz="4" w:space="0" w:color="auto"/>
              <w:right w:val="single" w:sz="4" w:space="0" w:color="auto"/>
            </w:tcBorders>
            <w:shd w:val="clear" w:color="000000" w:fill="DA9694"/>
            <w:noWrap/>
            <w:vAlign w:val="bottom"/>
            <w:hideMark/>
          </w:tcPr>
          <w:p w14:paraId="076B47D8"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12 Month SAIDI</w:t>
            </w:r>
          </w:p>
        </w:tc>
        <w:tc>
          <w:tcPr>
            <w:tcW w:w="2010" w:type="dxa"/>
            <w:tcBorders>
              <w:top w:val="nil"/>
              <w:left w:val="nil"/>
              <w:bottom w:val="single" w:sz="4" w:space="0" w:color="auto"/>
              <w:right w:val="single" w:sz="4" w:space="0" w:color="auto"/>
            </w:tcBorders>
            <w:shd w:val="clear" w:color="000000" w:fill="DA9694"/>
            <w:vAlign w:val="bottom"/>
            <w:hideMark/>
          </w:tcPr>
          <w:p w14:paraId="39AFDA2C" w14:textId="77777777" w:rsidR="00C4057E" w:rsidRPr="00C4057E" w:rsidRDefault="00C4057E" w:rsidP="00C4057E">
            <w:pPr>
              <w:spacing w:after="0" w:line="240" w:lineRule="auto"/>
              <w:jc w:val="center"/>
              <w:rPr>
                <w:rFonts w:ascii="Arial" w:eastAsia="Times New Roman" w:hAnsi="Arial" w:cs="Arial"/>
                <w:b/>
                <w:bCs/>
                <w:sz w:val="20"/>
                <w:szCs w:val="20"/>
              </w:rPr>
            </w:pPr>
          </w:p>
        </w:tc>
        <w:tc>
          <w:tcPr>
            <w:tcW w:w="2010" w:type="dxa"/>
            <w:tcBorders>
              <w:top w:val="nil"/>
              <w:left w:val="nil"/>
              <w:bottom w:val="single" w:sz="4" w:space="0" w:color="auto"/>
              <w:right w:val="single" w:sz="4" w:space="0" w:color="auto"/>
            </w:tcBorders>
            <w:shd w:val="clear" w:color="000000" w:fill="DA9694"/>
            <w:vAlign w:val="bottom"/>
            <w:hideMark/>
          </w:tcPr>
          <w:p w14:paraId="2A51A65F" w14:textId="77777777" w:rsidR="00C4057E" w:rsidRPr="00C4057E" w:rsidRDefault="00C4057E" w:rsidP="00C4057E">
            <w:pPr>
              <w:spacing w:after="0" w:line="240" w:lineRule="auto"/>
              <w:jc w:val="center"/>
              <w:rPr>
                <w:rFonts w:ascii="Arial" w:eastAsia="Times New Roman" w:hAnsi="Arial" w:cs="Arial"/>
                <w:b/>
                <w:bCs/>
                <w:sz w:val="20"/>
                <w:szCs w:val="20"/>
              </w:rPr>
            </w:pPr>
          </w:p>
        </w:tc>
        <w:tc>
          <w:tcPr>
            <w:tcW w:w="2010" w:type="dxa"/>
            <w:tcBorders>
              <w:top w:val="nil"/>
              <w:left w:val="nil"/>
              <w:bottom w:val="single" w:sz="4" w:space="0" w:color="auto"/>
              <w:right w:val="single" w:sz="8" w:space="0" w:color="auto"/>
            </w:tcBorders>
            <w:shd w:val="clear" w:color="000000" w:fill="DA9694"/>
            <w:vAlign w:val="bottom"/>
            <w:hideMark/>
          </w:tcPr>
          <w:p w14:paraId="196862EE" w14:textId="77777777" w:rsidR="00C4057E" w:rsidRPr="00C4057E" w:rsidRDefault="00C4057E" w:rsidP="00C4057E">
            <w:pPr>
              <w:spacing w:after="0" w:line="240" w:lineRule="auto"/>
              <w:jc w:val="center"/>
              <w:rPr>
                <w:rFonts w:ascii="Arial" w:eastAsia="Times New Roman" w:hAnsi="Arial" w:cs="Arial"/>
                <w:b/>
                <w:bCs/>
                <w:sz w:val="20"/>
                <w:szCs w:val="20"/>
              </w:rPr>
            </w:pPr>
            <w:r w:rsidRPr="00C4057E">
              <w:rPr>
                <w:rFonts w:ascii="Arial" w:eastAsia="Times New Roman" w:hAnsi="Arial" w:cs="Arial"/>
                <w:b/>
                <w:bCs/>
                <w:sz w:val="20"/>
                <w:szCs w:val="20"/>
              </w:rPr>
              <w:t>X</w:t>
            </w:r>
          </w:p>
        </w:tc>
      </w:tr>
      <w:tr w:rsidR="00C4057E" w:rsidRPr="00C4057E" w14:paraId="2B4E5940" w14:textId="77777777" w:rsidTr="007B0B28">
        <w:trPr>
          <w:trHeight w:val="20"/>
        </w:trPr>
        <w:tc>
          <w:tcPr>
            <w:tcW w:w="1130" w:type="dxa"/>
            <w:vMerge/>
            <w:tcBorders>
              <w:top w:val="nil"/>
              <w:left w:val="single" w:sz="8" w:space="0" w:color="auto"/>
              <w:bottom w:val="single" w:sz="8" w:space="0" w:color="000000"/>
              <w:right w:val="single" w:sz="4" w:space="0" w:color="auto"/>
            </w:tcBorders>
            <w:vAlign w:val="center"/>
            <w:hideMark/>
          </w:tcPr>
          <w:p w14:paraId="4CCDED9D" w14:textId="77777777" w:rsidR="00C4057E" w:rsidRPr="00C4057E" w:rsidRDefault="00C4057E" w:rsidP="00C4057E">
            <w:pPr>
              <w:spacing w:after="0" w:line="240" w:lineRule="auto"/>
              <w:jc w:val="center"/>
              <w:rPr>
                <w:rFonts w:ascii="Arial" w:eastAsia="Times New Roman" w:hAnsi="Arial" w:cs="Arial"/>
                <w:sz w:val="20"/>
                <w:szCs w:val="20"/>
              </w:rPr>
            </w:pPr>
          </w:p>
        </w:tc>
        <w:tc>
          <w:tcPr>
            <w:tcW w:w="1660" w:type="dxa"/>
            <w:tcBorders>
              <w:top w:val="nil"/>
              <w:left w:val="nil"/>
              <w:bottom w:val="single" w:sz="8" w:space="0" w:color="auto"/>
              <w:right w:val="single" w:sz="4" w:space="0" w:color="auto"/>
            </w:tcBorders>
            <w:shd w:val="clear" w:color="000000" w:fill="DA9694"/>
            <w:noWrap/>
            <w:vAlign w:val="bottom"/>
            <w:hideMark/>
          </w:tcPr>
          <w:p w14:paraId="13218D82" w14:textId="77777777" w:rsidR="00C4057E" w:rsidRPr="00C4057E" w:rsidRDefault="00C4057E" w:rsidP="00C4057E">
            <w:pPr>
              <w:spacing w:after="0" w:line="240" w:lineRule="auto"/>
              <w:jc w:val="center"/>
              <w:rPr>
                <w:rFonts w:ascii="Arial" w:eastAsia="Times New Roman" w:hAnsi="Arial" w:cs="Arial"/>
                <w:sz w:val="20"/>
                <w:szCs w:val="20"/>
              </w:rPr>
            </w:pPr>
            <w:r w:rsidRPr="00C4057E">
              <w:rPr>
                <w:rFonts w:ascii="Arial" w:eastAsia="Times New Roman" w:hAnsi="Arial" w:cs="Arial"/>
                <w:sz w:val="20"/>
                <w:szCs w:val="20"/>
              </w:rPr>
              <w:t>36 Month SAIDI</w:t>
            </w:r>
          </w:p>
        </w:tc>
        <w:tc>
          <w:tcPr>
            <w:tcW w:w="2010" w:type="dxa"/>
            <w:tcBorders>
              <w:top w:val="nil"/>
              <w:left w:val="nil"/>
              <w:bottom w:val="single" w:sz="8" w:space="0" w:color="auto"/>
              <w:right w:val="single" w:sz="4" w:space="0" w:color="auto"/>
            </w:tcBorders>
            <w:shd w:val="clear" w:color="000000" w:fill="DA9694"/>
            <w:vAlign w:val="bottom"/>
            <w:hideMark/>
          </w:tcPr>
          <w:p w14:paraId="093E762B" w14:textId="77777777" w:rsidR="00C4057E" w:rsidRPr="00C4057E" w:rsidRDefault="00C4057E" w:rsidP="00C4057E">
            <w:pPr>
              <w:spacing w:after="0" w:line="240" w:lineRule="auto"/>
              <w:jc w:val="center"/>
              <w:rPr>
                <w:rFonts w:ascii="Arial" w:eastAsia="Times New Roman" w:hAnsi="Arial" w:cs="Arial"/>
                <w:b/>
                <w:bCs/>
                <w:sz w:val="20"/>
                <w:szCs w:val="20"/>
              </w:rPr>
            </w:pPr>
            <w:r w:rsidRPr="00C4057E">
              <w:rPr>
                <w:rFonts w:ascii="Arial" w:eastAsia="Times New Roman" w:hAnsi="Arial" w:cs="Arial"/>
                <w:b/>
                <w:bCs/>
                <w:sz w:val="20"/>
                <w:szCs w:val="20"/>
              </w:rPr>
              <w:t>X</w:t>
            </w:r>
          </w:p>
        </w:tc>
        <w:tc>
          <w:tcPr>
            <w:tcW w:w="2010" w:type="dxa"/>
            <w:tcBorders>
              <w:top w:val="nil"/>
              <w:left w:val="nil"/>
              <w:bottom w:val="single" w:sz="8" w:space="0" w:color="auto"/>
              <w:right w:val="single" w:sz="4" w:space="0" w:color="auto"/>
            </w:tcBorders>
            <w:shd w:val="clear" w:color="000000" w:fill="DA9694"/>
            <w:vAlign w:val="bottom"/>
            <w:hideMark/>
          </w:tcPr>
          <w:p w14:paraId="3C47FD1A" w14:textId="77777777" w:rsidR="00C4057E" w:rsidRPr="00C4057E" w:rsidRDefault="00C4057E" w:rsidP="00C4057E">
            <w:pPr>
              <w:spacing w:after="0" w:line="240" w:lineRule="auto"/>
              <w:jc w:val="center"/>
              <w:rPr>
                <w:rFonts w:ascii="Arial" w:eastAsia="Times New Roman" w:hAnsi="Arial" w:cs="Arial"/>
                <w:b/>
                <w:bCs/>
                <w:sz w:val="20"/>
                <w:szCs w:val="20"/>
              </w:rPr>
            </w:pPr>
          </w:p>
        </w:tc>
        <w:tc>
          <w:tcPr>
            <w:tcW w:w="2010" w:type="dxa"/>
            <w:tcBorders>
              <w:top w:val="nil"/>
              <w:left w:val="nil"/>
              <w:bottom w:val="single" w:sz="8" w:space="0" w:color="auto"/>
              <w:right w:val="single" w:sz="8" w:space="0" w:color="auto"/>
            </w:tcBorders>
            <w:shd w:val="clear" w:color="000000" w:fill="DA9694"/>
            <w:vAlign w:val="bottom"/>
            <w:hideMark/>
          </w:tcPr>
          <w:p w14:paraId="30C5B21A" w14:textId="77777777" w:rsidR="00C4057E" w:rsidRPr="00C4057E" w:rsidRDefault="00C4057E" w:rsidP="00C4057E">
            <w:pPr>
              <w:spacing w:after="0" w:line="240" w:lineRule="auto"/>
              <w:jc w:val="center"/>
              <w:rPr>
                <w:rFonts w:ascii="Arial" w:eastAsia="Times New Roman" w:hAnsi="Arial" w:cs="Arial"/>
                <w:b/>
                <w:bCs/>
                <w:sz w:val="20"/>
                <w:szCs w:val="20"/>
              </w:rPr>
            </w:pPr>
          </w:p>
        </w:tc>
      </w:tr>
    </w:tbl>
    <w:p w14:paraId="77C2C2DD" w14:textId="77777777" w:rsidR="00C4057E" w:rsidRPr="00C4057E" w:rsidRDefault="00C4057E" w:rsidP="00C4057E">
      <w:pPr>
        <w:spacing w:line="240" w:lineRule="auto"/>
        <w:ind w:left="180"/>
        <w:contextualSpacing/>
        <w:rPr>
          <w:rFonts w:ascii="Arial" w:hAnsi="Arial" w:cs="Arial"/>
          <w:sz w:val="24"/>
          <w:szCs w:val="24"/>
        </w:rPr>
      </w:pPr>
      <w:r w:rsidRPr="00C4057E">
        <w:rPr>
          <w:rFonts w:ascii="Arial" w:hAnsi="Arial" w:cs="Arial"/>
          <w:sz w:val="18"/>
          <w:szCs w:val="18"/>
        </w:rPr>
        <w:t xml:space="preserve">Source: </w:t>
      </w:r>
      <w:r w:rsidR="00303E0B">
        <w:rPr>
          <w:rFonts w:ascii="Arial" w:hAnsi="Arial" w:cs="Arial"/>
          <w:sz w:val="18"/>
          <w:szCs w:val="18"/>
        </w:rPr>
        <w:t xml:space="preserve">2014 </w:t>
      </w:r>
      <w:r w:rsidRPr="00C4057E">
        <w:rPr>
          <w:rFonts w:ascii="Arial" w:hAnsi="Arial" w:cs="Arial"/>
          <w:sz w:val="18"/>
          <w:szCs w:val="18"/>
        </w:rPr>
        <w:t>Management Audit Exhibits VII-9 through VII-16 and Auditor Analysis.</w:t>
      </w:r>
    </w:p>
    <w:p w14:paraId="05BA9798" w14:textId="77777777" w:rsidR="00C4057E" w:rsidRPr="00C4057E" w:rsidRDefault="00C4057E" w:rsidP="00C4057E">
      <w:pPr>
        <w:spacing w:line="240" w:lineRule="auto"/>
        <w:contextualSpacing/>
        <w:rPr>
          <w:rFonts w:ascii="Arial" w:hAnsi="Arial" w:cs="Arial"/>
          <w:sz w:val="24"/>
          <w:szCs w:val="24"/>
        </w:rPr>
      </w:pPr>
    </w:p>
    <w:p w14:paraId="625646B5" w14:textId="77777777" w:rsidR="00C4057E" w:rsidRPr="00C4057E" w:rsidRDefault="00C4057E" w:rsidP="00C4057E">
      <w:pPr>
        <w:spacing w:line="240" w:lineRule="auto"/>
        <w:contextualSpacing/>
        <w:rPr>
          <w:rFonts w:ascii="Arial" w:hAnsi="Arial" w:cs="Arial"/>
          <w:sz w:val="24"/>
          <w:szCs w:val="24"/>
        </w:rPr>
      </w:pPr>
    </w:p>
    <w:p w14:paraId="22E37934" w14:textId="77777777" w:rsidR="00C4057E" w:rsidRPr="00C4057E" w:rsidRDefault="00C4057E" w:rsidP="00C4057E">
      <w:pPr>
        <w:spacing w:after="0" w:line="240" w:lineRule="auto"/>
        <w:ind w:firstLine="720"/>
        <w:rPr>
          <w:rFonts w:ascii="Arial" w:hAnsi="Arial" w:cs="Arial"/>
          <w:sz w:val="24"/>
          <w:szCs w:val="24"/>
        </w:rPr>
      </w:pPr>
      <w:bookmarkStart w:id="6" w:name="_Hlk511997084"/>
      <w:r w:rsidRPr="00C4057E">
        <w:rPr>
          <w:rFonts w:ascii="Arial" w:hAnsi="Arial" w:cs="Arial"/>
          <w:sz w:val="24"/>
          <w:szCs w:val="24"/>
        </w:rPr>
        <w:t xml:space="preserve">The auditors believed that not only did the </w:t>
      </w:r>
      <w:r w:rsidR="00DC3D9B">
        <w:rPr>
          <w:rFonts w:ascii="Arial" w:hAnsi="Arial" w:cs="Arial"/>
          <w:sz w:val="24"/>
          <w:szCs w:val="24"/>
        </w:rPr>
        <w:t>FE-PA companies</w:t>
      </w:r>
      <w:r w:rsidRPr="00C4057E">
        <w:rPr>
          <w:rFonts w:ascii="Arial" w:hAnsi="Arial" w:cs="Arial"/>
          <w:sz w:val="24"/>
          <w:szCs w:val="24"/>
        </w:rPr>
        <w:t xml:space="preserve"> need to invest in capital projects and enhanced reliability strategies but there were also other issues which affected each distribution companies’ reliability</w:t>
      </w:r>
      <w:r w:rsidR="005A785F">
        <w:rPr>
          <w:rFonts w:ascii="Arial" w:hAnsi="Arial" w:cs="Arial"/>
          <w:sz w:val="24"/>
          <w:szCs w:val="24"/>
        </w:rPr>
        <w:t>, including</w:t>
      </w:r>
      <w:r w:rsidRPr="00C4057E">
        <w:rPr>
          <w:rFonts w:ascii="Arial" w:hAnsi="Arial" w:cs="Arial"/>
          <w:sz w:val="24"/>
          <w:szCs w:val="24"/>
        </w:rPr>
        <w:t xml:space="preserve"> staffing and retirement issues (see Follow-Up Finding and Conclusion No. VII-2), call out acceptance and high individual overtime (see Follow-Up Finding and Conclusion No. VII-3), repeated worst performing circuits (see Follow-Up Finding and Conclusion No. VII-4), and damage prevention issues (see Follow-Up Finding and Conclusion No. VII</w:t>
      </w:r>
      <w:r w:rsidRPr="00C4057E">
        <w:rPr>
          <w:rFonts w:ascii="Arial" w:hAnsi="Arial" w:cs="Arial"/>
          <w:sz w:val="24"/>
          <w:szCs w:val="24"/>
        </w:rPr>
        <w:noBreakHyphen/>
        <w:t>6).</w:t>
      </w:r>
    </w:p>
    <w:p w14:paraId="0BAD8581" w14:textId="77777777" w:rsidR="00C4057E" w:rsidRPr="00C4057E" w:rsidRDefault="00C4057E" w:rsidP="00C4057E">
      <w:pPr>
        <w:spacing w:after="0" w:line="240" w:lineRule="auto"/>
        <w:ind w:firstLine="720"/>
        <w:rPr>
          <w:rFonts w:ascii="Arial" w:hAnsi="Arial" w:cs="Arial"/>
          <w:sz w:val="24"/>
          <w:szCs w:val="24"/>
        </w:rPr>
      </w:pPr>
    </w:p>
    <w:p w14:paraId="1AE74F87" w14:textId="77777777" w:rsidR="00C4057E" w:rsidRPr="00C4057E" w:rsidRDefault="00C4057E" w:rsidP="00C4057E">
      <w:pPr>
        <w:spacing w:line="240" w:lineRule="auto"/>
        <w:contextualSpacing/>
        <w:rPr>
          <w:rFonts w:ascii="Arial" w:hAnsi="Arial" w:cs="Arial"/>
          <w:sz w:val="24"/>
          <w:szCs w:val="24"/>
        </w:rPr>
      </w:pPr>
      <w:r w:rsidRPr="00C4057E">
        <w:rPr>
          <w:rFonts w:ascii="Arial" w:hAnsi="Arial" w:cs="Arial"/>
          <w:b/>
          <w:sz w:val="24"/>
          <w:szCs w:val="24"/>
          <w:u w:val="single"/>
        </w:rPr>
        <w:t xml:space="preserve">Prior Recommendation </w:t>
      </w:r>
      <w:r w:rsidRPr="00C4057E">
        <w:rPr>
          <w:rFonts w:ascii="Arial" w:hAnsi="Arial" w:cs="Arial"/>
          <w:sz w:val="24"/>
          <w:szCs w:val="24"/>
        </w:rPr>
        <w:t>– Improve electric reliability performance at Penelec and Penn Power to achieve, at a minimum, both 12 and 36-month reliability standards and strive to achieve benchmark performance; and implement specific measures for West Penn Power to meet the reliability provisions of the 2010 Joint Petition.</w:t>
      </w:r>
    </w:p>
    <w:p w14:paraId="36E2A138" w14:textId="77777777" w:rsidR="00C4057E" w:rsidRPr="00C4057E" w:rsidRDefault="00C4057E" w:rsidP="00C4057E">
      <w:pPr>
        <w:spacing w:line="240" w:lineRule="auto"/>
        <w:contextualSpacing/>
        <w:rPr>
          <w:rFonts w:ascii="Arial" w:hAnsi="Arial" w:cs="Arial"/>
          <w:sz w:val="24"/>
          <w:szCs w:val="24"/>
        </w:rPr>
      </w:pPr>
    </w:p>
    <w:p w14:paraId="2F4FBD82" w14:textId="77777777" w:rsidR="00C4057E" w:rsidRPr="00C4057E" w:rsidRDefault="00C4057E" w:rsidP="00C4057E">
      <w:pPr>
        <w:rPr>
          <w:rFonts w:ascii="Arial" w:hAnsi="Arial" w:cs="Arial"/>
          <w:b/>
          <w:sz w:val="24"/>
          <w:szCs w:val="24"/>
          <w:u w:val="single"/>
        </w:rPr>
      </w:pPr>
      <w:r w:rsidRPr="00C4057E">
        <w:rPr>
          <w:rFonts w:ascii="Arial" w:hAnsi="Arial" w:cs="Arial"/>
          <w:b/>
          <w:sz w:val="24"/>
          <w:szCs w:val="24"/>
          <w:u w:val="single"/>
        </w:rPr>
        <w:br w:type="page"/>
      </w:r>
    </w:p>
    <w:p w14:paraId="2125E7BD" w14:textId="77777777" w:rsidR="00C4057E" w:rsidRPr="00C4057E" w:rsidRDefault="00C4057E" w:rsidP="00C4057E">
      <w:pPr>
        <w:spacing w:line="240" w:lineRule="auto"/>
        <w:contextualSpacing/>
        <w:rPr>
          <w:rFonts w:ascii="Arial" w:hAnsi="Arial" w:cs="Arial"/>
          <w:sz w:val="24"/>
          <w:szCs w:val="24"/>
        </w:rPr>
      </w:pPr>
      <w:r w:rsidRPr="00C4057E">
        <w:rPr>
          <w:rFonts w:ascii="Arial" w:hAnsi="Arial" w:cs="Arial"/>
          <w:b/>
          <w:sz w:val="24"/>
          <w:szCs w:val="24"/>
          <w:u w:val="single"/>
        </w:rPr>
        <w:t>Follow-up Finding and Conclusion</w:t>
      </w:r>
      <w:r w:rsidR="00F65A25" w:rsidRPr="00F65A25">
        <w:rPr>
          <w:rFonts w:ascii="Arial" w:eastAsia="Times New Roman" w:hAnsi="Arial" w:cs="Times New Roman"/>
          <w:b/>
          <w:sz w:val="24"/>
          <w:szCs w:val="24"/>
          <w:u w:val="single"/>
        </w:rPr>
        <w:t xml:space="preserve"> </w:t>
      </w:r>
      <w:r w:rsidR="00F65A25">
        <w:rPr>
          <w:rFonts w:ascii="Arial" w:eastAsia="Times New Roman" w:hAnsi="Arial" w:cs="Times New Roman"/>
          <w:b/>
          <w:sz w:val="24"/>
          <w:szCs w:val="24"/>
          <w:u w:val="single"/>
        </w:rPr>
        <w:t>No. VII</w:t>
      </w:r>
      <w:r w:rsidR="00F65A25" w:rsidRPr="00B146D6">
        <w:rPr>
          <w:rFonts w:ascii="Arial" w:eastAsia="Times New Roman" w:hAnsi="Arial" w:cs="Times New Roman"/>
          <w:b/>
          <w:sz w:val="24"/>
          <w:szCs w:val="24"/>
          <w:u w:val="single"/>
        </w:rPr>
        <w:t>-</w:t>
      </w:r>
      <w:r w:rsidR="00F65A25" w:rsidRPr="00A67D31">
        <w:rPr>
          <w:rFonts w:ascii="Arial" w:eastAsia="Times New Roman" w:hAnsi="Arial" w:cs="Times New Roman"/>
          <w:b/>
          <w:sz w:val="24"/>
          <w:szCs w:val="24"/>
          <w:u w:val="single"/>
        </w:rPr>
        <w:t>1</w:t>
      </w:r>
      <w:r w:rsidRPr="00C4057E">
        <w:rPr>
          <w:rFonts w:ascii="Arial" w:hAnsi="Arial" w:cs="Arial"/>
          <w:b/>
          <w:sz w:val="24"/>
          <w:szCs w:val="24"/>
        </w:rPr>
        <w:t xml:space="preserve"> </w:t>
      </w:r>
      <w:r w:rsidRPr="00C4057E">
        <w:rPr>
          <w:rFonts w:ascii="Arial" w:hAnsi="Arial" w:cs="Arial"/>
          <w:sz w:val="24"/>
          <w:szCs w:val="24"/>
        </w:rPr>
        <w:t>–</w:t>
      </w:r>
      <w:r w:rsidRPr="00C4057E">
        <w:rPr>
          <w:rFonts w:ascii="Arial" w:hAnsi="Arial" w:cs="Arial"/>
          <w:b/>
          <w:sz w:val="24"/>
          <w:szCs w:val="24"/>
        </w:rPr>
        <w:t xml:space="preserve"> The</w:t>
      </w:r>
      <w:bookmarkEnd w:id="6"/>
      <w:r w:rsidRPr="00C4057E">
        <w:rPr>
          <w:rFonts w:ascii="Arial" w:hAnsi="Arial" w:cs="Arial"/>
          <w:b/>
          <w:sz w:val="24"/>
          <w:szCs w:val="24"/>
        </w:rPr>
        <w:t xml:space="preserve"> </w:t>
      </w:r>
      <w:r w:rsidR="00DC3D9B">
        <w:rPr>
          <w:rFonts w:ascii="Arial" w:hAnsi="Arial" w:cs="Arial"/>
          <w:b/>
          <w:sz w:val="24"/>
          <w:szCs w:val="24"/>
        </w:rPr>
        <w:t>FE-PA companies</w:t>
      </w:r>
      <w:r w:rsidRPr="00C4057E">
        <w:rPr>
          <w:rFonts w:ascii="Arial" w:hAnsi="Arial" w:cs="Arial"/>
          <w:b/>
          <w:sz w:val="24"/>
          <w:szCs w:val="24"/>
        </w:rPr>
        <w:t xml:space="preserve"> have not consistently met all reliability standards since the management audit.</w:t>
      </w:r>
    </w:p>
    <w:p w14:paraId="46380A63" w14:textId="77777777" w:rsidR="00C4057E" w:rsidRPr="00C4057E" w:rsidRDefault="00C4057E" w:rsidP="00C4057E">
      <w:pPr>
        <w:spacing w:line="240" w:lineRule="auto"/>
        <w:contextualSpacing/>
        <w:rPr>
          <w:rFonts w:ascii="Arial" w:hAnsi="Arial" w:cs="Arial"/>
          <w:sz w:val="24"/>
          <w:szCs w:val="24"/>
        </w:rPr>
      </w:pPr>
    </w:p>
    <w:p w14:paraId="6EF351CD" w14:textId="77777777" w:rsidR="00C4057E" w:rsidRPr="00C4057E" w:rsidRDefault="00C4057E" w:rsidP="00C4057E">
      <w:pPr>
        <w:spacing w:line="240" w:lineRule="auto"/>
        <w:contextualSpacing/>
        <w:rPr>
          <w:rFonts w:ascii="Arial" w:hAnsi="Arial" w:cs="Arial"/>
          <w:b/>
        </w:rPr>
      </w:pPr>
      <w:r w:rsidRPr="00C4057E">
        <w:rPr>
          <w:rFonts w:ascii="Arial" w:hAnsi="Arial" w:cs="Arial"/>
          <w:b/>
          <w:u w:val="single"/>
        </w:rPr>
        <w:t>Current Review</w:t>
      </w:r>
      <w:r w:rsidRPr="00C4057E">
        <w:rPr>
          <w:rFonts w:ascii="Arial" w:hAnsi="Arial" w:cs="Arial"/>
          <w:b/>
        </w:rPr>
        <w:t xml:space="preserve"> – </w:t>
      </w:r>
      <w:r w:rsidRPr="00C4057E">
        <w:rPr>
          <w:rFonts w:ascii="Arial" w:hAnsi="Arial" w:cs="Arial"/>
          <w:sz w:val="24"/>
          <w:szCs w:val="24"/>
        </w:rPr>
        <w:t xml:space="preserve">Exhibit VII-3 displays the reliability benchmarks, standards, and performance for each of the </w:t>
      </w:r>
      <w:r w:rsidR="00DC3D9B">
        <w:rPr>
          <w:rFonts w:ascii="Arial" w:hAnsi="Arial" w:cs="Arial"/>
          <w:sz w:val="24"/>
          <w:szCs w:val="24"/>
        </w:rPr>
        <w:t>companies</w:t>
      </w:r>
      <w:r w:rsidRPr="00C4057E">
        <w:rPr>
          <w:rFonts w:ascii="Arial" w:hAnsi="Arial" w:cs="Arial"/>
          <w:sz w:val="24"/>
          <w:szCs w:val="24"/>
        </w:rPr>
        <w:t xml:space="preserve"> from 201</w:t>
      </w:r>
      <w:r w:rsidR="00F5773C">
        <w:rPr>
          <w:rFonts w:ascii="Arial" w:hAnsi="Arial" w:cs="Arial"/>
          <w:sz w:val="24"/>
          <w:szCs w:val="24"/>
        </w:rPr>
        <w:t>3</w:t>
      </w:r>
      <w:r w:rsidRPr="00C4057E">
        <w:rPr>
          <w:rFonts w:ascii="Arial" w:hAnsi="Arial" w:cs="Arial"/>
          <w:sz w:val="24"/>
          <w:szCs w:val="24"/>
        </w:rPr>
        <w:t xml:space="preserve"> to 2017 with highlighted areas showing performance that did not meet the minimum standards.  All </w:t>
      </w:r>
      <w:r w:rsidR="004E2955">
        <w:rPr>
          <w:rFonts w:ascii="Arial" w:hAnsi="Arial" w:cs="Arial"/>
          <w:sz w:val="24"/>
          <w:szCs w:val="24"/>
        </w:rPr>
        <w:t xml:space="preserve">of </w:t>
      </w:r>
      <w:r w:rsidRPr="00C4057E">
        <w:rPr>
          <w:rFonts w:ascii="Arial" w:hAnsi="Arial" w:cs="Arial"/>
          <w:sz w:val="24"/>
          <w:szCs w:val="24"/>
        </w:rPr>
        <w:t xml:space="preserve">the </w:t>
      </w:r>
      <w:r w:rsidR="00DC3D9B">
        <w:rPr>
          <w:rFonts w:ascii="Arial" w:hAnsi="Arial" w:cs="Arial"/>
          <w:sz w:val="24"/>
          <w:szCs w:val="24"/>
        </w:rPr>
        <w:t>FE-PA companies</w:t>
      </w:r>
      <w:r w:rsidRPr="00C4057E">
        <w:rPr>
          <w:rFonts w:ascii="Arial" w:hAnsi="Arial" w:cs="Arial"/>
          <w:sz w:val="24"/>
          <w:szCs w:val="24"/>
        </w:rPr>
        <w:t xml:space="preserve"> had reliability performance that did not meet one of the minimum reliability standards in 2017 and for some </w:t>
      </w:r>
      <w:r w:rsidR="004E2955">
        <w:rPr>
          <w:rFonts w:ascii="Arial" w:hAnsi="Arial" w:cs="Arial"/>
          <w:sz w:val="24"/>
          <w:szCs w:val="24"/>
        </w:rPr>
        <w:t xml:space="preserve">companies, </w:t>
      </w:r>
      <w:r w:rsidRPr="00C4057E">
        <w:rPr>
          <w:rFonts w:ascii="Arial" w:hAnsi="Arial" w:cs="Arial"/>
          <w:sz w:val="24"/>
          <w:szCs w:val="24"/>
        </w:rPr>
        <w:t xml:space="preserve">more than one of the minimum reliability standards were not met at times since 2014.  Because of this, the </w:t>
      </w:r>
      <w:r w:rsidR="00DC3D9B">
        <w:rPr>
          <w:rFonts w:ascii="Arial" w:hAnsi="Arial" w:cs="Arial"/>
          <w:sz w:val="24"/>
          <w:szCs w:val="24"/>
        </w:rPr>
        <w:t>FE-PA companies</w:t>
      </w:r>
      <w:r w:rsidRPr="00C4057E">
        <w:rPr>
          <w:rFonts w:ascii="Arial" w:hAnsi="Arial" w:cs="Arial"/>
          <w:sz w:val="24"/>
          <w:szCs w:val="24"/>
        </w:rPr>
        <w:t xml:space="preserve"> are still not consistently meeting the minimum standards as mandated in Pa. Code § 57.194, and therefore are not in compliance with the Electricity Generation Customer Choice and Competition Act.  It should be noted that West Penn Power </w:t>
      </w:r>
      <w:r w:rsidR="004E2955">
        <w:rPr>
          <w:rFonts w:ascii="Arial" w:hAnsi="Arial" w:cs="Arial"/>
          <w:sz w:val="24"/>
          <w:szCs w:val="24"/>
        </w:rPr>
        <w:t>met</w:t>
      </w:r>
      <w:r w:rsidRPr="00C4057E">
        <w:rPr>
          <w:rFonts w:ascii="Arial" w:hAnsi="Arial" w:cs="Arial"/>
          <w:sz w:val="24"/>
          <w:szCs w:val="24"/>
        </w:rPr>
        <w:t xml:space="preserve"> the reliability provisions of the 2010 Settlement by achieving a three-year average by 2016 for CAIDI of 146 (requirement was 172 minutes) and SAIDI of 159 (requirement was 198 minutes).</w:t>
      </w:r>
    </w:p>
    <w:p w14:paraId="07961D83" w14:textId="77777777" w:rsidR="00C4057E" w:rsidRPr="00C4057E" w:rsidRDefault="00C4057E" w:rsidP="00C4057E">
      <w:pPr>
        <w:spacing w:line="240" w:lineRule="auto"/>
        <w:contextualSpacing/>
        <w:rPr>
          <w:rFonts w:ascii="Arial" w:hAnsi="Arial" w:cs="Arial"/>
          <w:sz w:val="24"/>
          <w:szCs w:val="24"/>
        </w:rPr>
      </w:pPr>
    </w:p>
    <w:p w14:paraId="24F6DDC5" w14:textId="77777777" w:rsidR="00C4057E" w:rsidRPr="00C4057E" w:rsidRDefault="00C4057E" w:rsidP="00C4057E">
      <w:pPr>
        <w:widowControl w:val="0"/>
        <w:spacing w:after="0" w:line="240" w:lineRule="auto"/>
        <w:jc w:val="center"/>
        <w:rPr>
          <w:rFonts w:ascii="Arial" w:hAnsi="Arial" w:cs="Arial"/>
          <w:b/>
          <w:sz w:val="24"/>
          <w:szCs w:val="24"/>
        </w:rPr>
      </w:pPr>
      <w:bookmarkStart w:id="7" w:name="_Hlk512001327"/>
      <w:r w:rsidRPr="00C4057E">
        <w:rPr>
          <w:rFonts w:ascii="Arial" w:hAnsi="Arial" w:cs="Arial"/>
          <w:b/>
          <w:sz w:val="24"/>
          <w:szCs w:val="24"/>
        </w:rPr>
        <w:t>Exhibit VII – 3</w:t>
      </w:r>
    </w:p>
    <w:p w14:paraId="2DA6845E"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FirstEnergy Pennsylvania Companies</w:t>
      </w:r>
    </w:p>
    <w:p w14:paraId="6830CDA8"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Reliability Performance</w:t>
      </w:r>
    </w:p>
    <w:p w14:paraId="334E991F" w14:textId="77777777" w:rsidR="00C4057E" w:rsidRPr="00C4057E" w:rsidRDefault="00C4057E" w:rsidP="00C4057E">
      <w:pPr>
        <w:spacing w:line="240" w:lineRule="auto"/>
        <w:contextualSpacing/>
        <w:jc w:val="center"/>
        <w:rPr>
          <w:rFonts w:ascii="Arial" w:hAnsi="Arial" w:cs="Arial"/>
          <w:sz w:val="24"/>
          <w:szCs w:val="24"/>
        </w:rPr>
      </w:pPr>
      <w:r w:rsidRPr="00C4057E">
        <w:rPr>
          <w:rFonts w:ascii="Arial" w:hAnsi="Arial" w:cs="Arial"/>
          <w:b/>
          <w:sz w:val="24"/>
          <w:szCs w:val="24"/>
        </w:rPr>
        <w:t>For the Years 201</w:t>
      </w:r>
      <w:r w:rsidR="00F5773C">
        <w:rPr>
          <w:rFonts w:ascii="Arial" w:hAnsi="Arial" w:cs="Arial"/>
          <w:b/>
          <w:sz w:val="24"/>
          <w:szCs w:val="24"/>
        </w:rPr>
        <w:t>3</w:t>
      </w:r>
      <w:r w:rsidRPr="00C4057E">
        <w:rPr>
          <w:rFonts w:ascii="Arial" w:hAnsi="Arial" w:cs="Arial"/>
          <w:b/>
          <w:sz w:val="24"/>
          <w:szCs w:val="24"/>
        </w:rPr>
        <w:t xml:space="preserve"> through 2017</w:t>
      </w:r>
      <w:bookmarkEnd w:id="7"/>
    </w:p>
    <w:p w14:paraId="69551419" w14:textId="77777777" w:rsidR="00C4057E" w:rsidRPr="00C4057E" w:rsidRDefault="00C4057E" w:rsidP="00C4057E">
      <w:pPr>
        <w:spacing w:line="240" w:lineRule="auto"/>
        <w:contextualSpacing/>
        <w:rPr>
          <w:rFonts w:ascii="Arial" w:hAnsi="Arial" w:cs="Arial"/>
          <w:sz w:val="8"/>
          <w:szCs w:val="8"/>
        </w:rPr>
      </w:pPr>
      <w:bookmarkStart w:id="8" w:name="_Hlk512002466"/>
    </w:p>
    <w:tbl>
      <w:tblPr>
        <w:tblW w:w="10245" w:type="dxa"/>
        <w:tblLayout w:type="fixed"/>
        <w:tblLook w:val="04A0" w:firstRow="1" w:lastRow="0" w:firstColumn="1" w:lastColumn="0" w:noHBand="0" w:noVBand="1"/>
      </w:tblPr>
      <w:tblGrid>
        <w:gridCol w:w="1065"/>
        <w:gridCol w:w="1170"/>
        <w:gridCol w:w="990"/>
        <w:gridCol w:w="990"/>
        <w:gridCol w:w="270"/>
        <w:gridCol w:w="540"/>
        <w:gridCol w:w="630"/>
        <w:gridCol w:w="540"/>
        <w:gridCol w:w="630"/>
        <w:gridCol w:w="540"/>
        <w:gridCol w:w="450"/>
        <w:gridCol w:w="90"/>
        <w:gridCol w:w="540"/>
        <w:gridCol w:w="630"/>
        <w:gridCol w:w="540"/>
        <w:gridCol w:w="630"/>
      </w:tblGrid>
      <w:tr w:rsidR="005C05F2" w:rsidRPr="00C4057E" w14:paraId="66A799C5" w14:textId="77777777" w:rsidTr="00992EC5">
        <w:trPr>
          <w:trHeight w:val="20"/>
        </w:trPr>
        <w:tc>
          <w:tcPr>
            <w:tcW w:w="1065" w:type="dxa"/>
            <w:vMerge w:val="restart"/>
            <w:tcBorders>
              <w:top w:val="single" w:sz="18" w:space="0" w:color="auto"/>
              <w:left w:val="single" w:sz="18" w:space="0" w:color="auto"/>
              <w:bottom w:val="single" w:sz="4" w:space="0" w:color="auto"/>
              <w:right w:val="single" w:sz="4" w:space="0" w:color="auto"/>
            </w:tcBorders>
            <w:shd w:val="clear" w:color="000000" w:fill="D9D9D9"/>
            <w:noWrap/>
            <w:vAlign w:val="bottom"/>
            <w:hideMark/>
          </w:tcPr>
          <w:p w14:paraId="7FF0FB1D" w14:textId="77777777" w:rsidR="005C05F2" w:rsidRPr="00353C6A" w:rsidRDefault="005C05F2" w:rsidP="00C4057E">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Company</w:t>
            </w:r>
          </w:p>
        </w:tc>
        <w:tc>
          <w:tcPr>
            <w:tcW w:w="1170" w:type="dxa"/>
            <w:vMerge w:val="restart"/>
            <w:tcBorders>
              <w:top w:val="single" w:sz="18" w:space="0" w:color="auto"/>
              <w:left w:val="single" w:sz="4" w:space="0" w:color="auto"/>
              <w:bottom w:val="single" w:sz="4" w:space="0" w:color="auto"/>
              <w:right w:val="single" w:sz="4" w:space="0" w:color="auto"/>
            </w:tcBorders>
            <w:shd w:val="clear" w:color="000000" w:fill="D9D9D9"/>
            <w:noWrap/>
            <w:vAlign w:val="bottom"/>
            <w:hideMark/>
          </w:tcPr>
          <w:p w14:paraId="5ADE8749" w14:textId="77777777" w:rsidR="005C05F2" w:rsidRPr="00353C6A" w:rsidRDefault="005C05F2" w:rsidP="00C4057E">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SAIFI Benchmark</w:t>
            </w:r>
          </w:p>
        </w:tc>
        <w:tc>
          <w:tcPr>
            <w:tcW w:w="990" w:type="dxa"/>
            <w:vMerge w:val="restart"/>
            <w:tcBorders>
              <w:top w:val="single" w:sz="18" w:space="0" w:color="auto"/>
              <w:left w:val="single" w:sz="4" w:space="0" w:color="auto"/>
              <w:bottom w:val="single" w:sz="4" w:space="0" w:color="auto"/>
              <w:right w:val="single" w:sz="4" w:space="0" w:color="auto"/>
            </w:tcBorders>
            <w:shd w:val="clear" w:color="000000" w:fill="D9D9D9"/>
            <w:noWrap/>
            <w:vAlign w:val="bottom"/>
            <w:hideMark/>
          </w:tcPr>
          <w:p w14:paraId="25F8F02F" w14:textId="77777777" w:rsidR="005C05F2" w:rsidRPr="00353C6A" w:rsidRDefault="005C05F2" w:rsidP="00C4057E">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 xml:space="preserve">SAIFI </w:t>
            </w:r>
          </w:p>
          <w:p w14:paraId="5A230DCB" w14:textId="77777777" w:rsidR="005C05F2" w:rsidRPr="00353C6A" w:rsidRDefault="005C05F2" w:rsidP="00C4057E">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12 Month Standard</w:t>
            </w:r>
          </w:p>
        </w:tc>
        <w:tc>
          <w:tcPr>
            <w:tcW w:w="990" w:type="dxa"/>
            <w:vMerge w:val="restart"/>
            <w:tcBorders>
              <w:top w:val="single" w:sz="18" w:space="0" w:color="auto"/>
              <w:left w:val="single" w:sz="4" w:space="0" w:color="auto"/>
              <w:bottom w:val="single" w:sz="4" w:space="0" w:color="auto"/>
              <w:right w:val="single" w:sz="4" w:space="0" w:color="auto"/>
            </w:tcBorders>
            <w:shd w:val="clear" w:color="000000" w:fill="D9D9D9"/>
            <w:noWrap/>
            <w:vAlign w:val="bottom"/>
            <w:hideMark/>
          </w:tcPr>
          <w:p w14:paraId="0DD512F8" w14:textId="77777777" w:rsidR="005C05F2" w:rsidRPr="00353C6A" w:rsidRDefault="005C05F2" w:rsidP="00C4057E">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SAIFI</w:t>
            </w:r>
          </w:p>
          <w:p w14:paraId="42456EFD" w14:textId="77777777" w:rsidR="005C05F2" w:rsidRPr="00353C6A" w:rsidRDefault="005C05F2" w:rsidP="00C4057E">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36 Month Standard</w:t>
            </w:r>
          </w:p>
        </w:tc>
        <w:tc>
          <w:tcPr>
            <w:tcW w:w="270" w:type="dxa"/>
            <w:tcBorders>
              <w:top w:val="single" w:sz="18" w:space="0" w:color="auto"/>
              <w:left w:val="single" w:sz="4" w:space="0" w:color="auto"/>
              <w:bottom w:val="single" w:sz="4" w:space="0" w:color="auto"/>
              <w:right w:val="single" w:sz="4" w:space="0" w:color="auto"/>
            </w:tcBorders>
            <w:shd w:val="clear" w:color="auto" w:fill="000000" w:themeFill="text1"/>
          </w:tcPr>
          <w:p w14:paraId="7CBFB0E7" w14:textId="77777777" w:rsidR="005C05F2" w:rsidRPr="00353C6A" w:rsidRDefault="005C05F2" w:rsidP="00C4057E">
            <w:pPr>
              <w:spacing w:after="0" w:line="240" w:lineRule="auto"/>
              <w:jc w:val="center"/>
              <w:rPr>
                <w:rFonts w:ascii="Arial" w:eastAsia="Times New Roman" w:hAnsi="Arial" w:cs="Arial"/>
                <w:b/>
                <w:bCs/>
                <w:color w:val="000000"/>
                <w:sz w:val="16"/>
                <w:szCs w:val="16"/>
              </w:rPr>
            </w:pPr>
          </w:p>
        </w:tc>
        <w:tc>
          <w:tcPr>
            <w:tcW w:w="1170" w:type="dxa"/>
            <w:gridSpan w:val="2"/>
            <w:tcBorders>
              <w:top w:val="single" w:sz="18" w:space="0" w:color="auto"/>
              <w:left w:val="single" w:sz="4" w:space="0" w:color="auto"/>
              <w:bottom w:val="single" w:sz="4" w:space="0" w:color="auto"/>
              <w:right w:val="single" w:sz="4" w:space="0" w:color="auto"/>
            </w:tcBorders>
            <w:shd w:val="clear" w:color="000000" w:fill="D9D9D9"/>
          </w:tcPr>
          <w:p w14:paraId="60F29BAE" w14:textId="77777777" w:rsidR="005C05F2" w:rsidRPr="00353C6A" w:rsidRDefault="005C05F2" w:rsidP="00C4057E">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2013</w:t>
            </w:r>
          </w:p>
        </w:tc>
        <w:tc>
          <w:tcPr>
            <w:tcW w:w="1170" w:type="dxa"/>
            <w:gridSpan w:val="2"/>
            <w:tcBorders>
              <w:top w:val="single" w:sz="18" w:space="0" w:color="auto"/>
              <w:left w:val="single" w:sz="4" w:space="0" w:color="auto"/>
              <w:bottom w:val="single" w:sz="4" w:space="0" w:color="auto"/>
              <w:right w:val="single" w:sz="12" w:space="0" w:color="000000"/>
            </w:tcBorders>
            <w:shd w:val="clear" w:color="000000" w:fill="D9D9D9"/>
            <w:noWrap/>
            <w:vAlign w:val="bottom"/>
            <w:hideMark/>
          </w:tcPr>
          <w:p w14:paraId="564B5586" w14:textId="77777777" w:rsidR="005C05F2" w:rsidRPr="00353C6A" w:rsidRDefault="005C05F2" w:rsidP="00C4057E">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2014</w:t>
            </w:r>
          </w:p>
        </w:tc>
        <w:tc>
          <w:tcPr>
            <w:tcW w:w="1080" w:type="dxa"/>
            <w:gridSpan w:val="3"/>
            <w:tcBorders>
              <w:top w:val="single" w:sz="18" w:space="0" w:color="auto"/>
              <w:left w:val="nil"/>
              <w:bottom w:val="single" w:sz="4" w:space="0" w:color="auto"/>
              <w:right w:val="single" w:sz="4" w:space="0" w:color="auto"/>
            </w:tcBorders>
            <w:shd w:val="clear" w:color="000000" w:fill="D9D9D9"/>
            <w:noWrap/>
            <w:vAlign w:val="bottom"/>
            <w:hideMark/>
          </w:tcPr>
          <w:p w14:paraId="231CE46D" w14:textId="77777777" w:rsidR="005C05F2" w:rsidRPr="00353C6A" w:rsidRDefault="005C05F2" w:rsidP="00C4057E">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2015</w:t>
            </w:r>
          </w:p>
        </w:tc>
        <w:tc>
          <w:tcPr>
            <w:tcW w:w="1170" w:type="dxa"/>
            <w:gridSpan w:val="2"/>
            <w:tcBorders>
              <w:top w:val="single" w:sz="18" w:space="0" w:color="auto"/>
              <w:left w:val="single" w:sz="12" w:space="0" w:color="auto"/>
              <w:bottom w:val="single" w:sz="4" w:space="0" w:color="auto"/>
              <w:right w:val="single" w:sz="12" w:space="0" w:color="000000"/>
            </w:tcBorders>
            <w:shd w:val="clear" w:color="000000" w:fill="D9D9D9"/>
            <w:noWrap/>
            <w:vAlign w:val="bottom"/>
            <w:hideMark/>
          </w:tcPr>
          <w:p w14:paraId="2673EEE9" w14:textId="77777777" w:rsidR="005C05F2" w:rsidRPr="00353C6A" w:rsidRDefault="005C05F2" w:rsidP="00C4057E">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2016</w:t>
            </w:r>
          </w:p>
        </w:tc>
        <w:tc>
          <w:tcPr>
            <w:tcW w:w="1170" w:type="dxa"/>
            <w:gridSpan w:val="2"/>
            <w:tcBorders>
              <w:top w:val="single" w:sz="18" w:space="0" w:color="auto"/>
              <w:left w:val="nil"/>
              <w:bottom w:val="single" w:sz="4" w:space="0" w:color="auto"/>
              <w:right w:val="single" w:sz="18" w:space="0" w:color="auto"/>
            </w:tcBorders>
            <w:shd w:val="clear" w:color="000000" w:fill="D9D9D9"/>
            <w:noWrap/>
            <w:vAlign w:val="bottom"/>
            <w:hideMark/>
          </w:tcPr>
          <w:p w14:paraId="48A114CB" w14:textId="77777777" w:rsidR="005C05F2" w:rsidRPr="00353C6A" w:rsidRDefault="005C05F2" w:rsidP="00C4057E">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2017</w:t>
            </w:r>
          </w:p>
        </w:tc>
      </w:tr>
      <w:tr w:rsidR="00353C6A" w:rsidRPr="00C4057E" w14:paraId="4E8A96BB" w14:textId="77777777" w:rsidTr="00992EC5">
        <w:trPr>
          <w:trHeight w:val="20"/>
        </w:trPr>
        <w:tc>
          <w:tcPr>
            <w:tcW w:w="1065" w:type="dxa"/>
            <w:vMerge/>
            <w:tcBorders>
              <w:top w:val="single" w:sz="4" w:space="0" w:color="auto"/>
              <w:left w:val="single" w:sz="18" w:space="0" w:color="auto"/>
              <w:bottom w:val="single" w:sz="4" w:space="0" w:color="auto"/>
              <w:right w:val="single" w:sz="4" w:space="0" w:color="auto"/>
            </w:tcBorders>
            <w:vAlign w:val="center"/>
            <w:hideMark/>
          </w:tcPr>
          <w:p w14:paraId="46C2F53B" w14:textId="77777777" w:rsidR="005C05F2" w:rsidRPr="00F5773C" w:rsidRDefault="005C05F2" w:rsidP="005C05F2">
            <w:pPr>
              <w:spacing w:after="0" w:line="240" w:lineRule="auto"/>
              <w:rPr>
                <w:rFonts w:ascii="Arial" w:eastAsia="Times New Roman" w:hAnsi="Arial" w:cs="Arial"/>
                <w:b/>
                <w:bCs/>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4046AA08" w14:textId="77777777" w:rsidR="005C05F2" w:rsidRPr="00F5773C" w:rsidRDefault="005C05F2" w:rsidP="005C05F2">
            <w:pPr>
              <w:spacing w:after="0" w:line="240" w:lineRule="auto"/>
              <w:rPr>
                <w:rFonts w:ascii="Arial" w:eastAsia="Times New Roman" w:hAnsi="Arial" w:cs="Arial"/>
                <w:b/>
                <w:bCs/>
                <w:color w:val="000000"/>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1F5C753" w14:textId="77777777" w:rsidR="005C05F2" w:rsidRPr="00F5773C" w:rsidRDefault="005C05F2" w:rsidP="005C05F2">
            <w:pPr>
              <w:spacing w:after="0" w:line="240" w:lineRule="auto"/>
              <w:rPr>
                <w:rFonts w:ascii="Arial" w:eastAsia="Times New Roman" w:hAnsi="Arial" w:cs="Arial"/>
                <w:b/>
                <w:bCs/>
                <w:color w:val="000000"/>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CECB3DC" w14:textId="77777777" w:rsidR="005C05F2" w:rsidRPr="00F5773C" w:rsidRDefault="005C05F2" w:rsidP="005C05F2">
            <w:pPr>
              <w:spacing w:after="0" w:line="240" w:lineRule="auto"/>
              <w:rPr>
                <w:rFonts w:ascii="Arial" w:eastAsia="Times New Roman" w:hAnsi="Arial" w:cs="Arial"/>
                <w:b/>
                <w:bCs/>
                <w:color w:val="000000"/>
                <w:sz w:val="16"/>
                <w:szCs w:val="16"/>
              </w:rPr>
            </w:pPr>
          </w:p>
        </w:tc>
        <w:tc>
          <w:tcPr>
            <w:tcW w:w="270" w:type="dxa"/>
            <w:tcBorders>
              <w:top w:val="nil"/>
              <w:left w:val="single" w:sz="4" w:space="0" w:color="auto"/>
              <w:bottom w:val="single" w:sz="4" w:space="0" w:color="auto"/>
              <w:right w:val="single" w:sz="4" w:space="0" w:color="auto"/>
            </w:tcBorders>
            <w:shd w:val="clear" w:color="auto" w:fill="000000" w:themeFill="text1"/>
          </w:tcPr>
          <w:p w14:paraId="1FBCF0BE" w14:textId="77777777" w:rsidR="005C05F2" w:rsidRPr="00F5773C" w:rsidRDefault="005C05F2" w:rsidP="005C05F2">
            <w:pPr>
              <w:spacing w:after="0" w:line="240" w:lineRule="auto"/>
              <w:jc w:val="center"/>
              <w:rPr>
                <w:rFonts w:ascii="Arial" w:eastAsia="Times New Roman" w:hAnsi="Arial" w:cs="Arial"/>
                <w:b/>
                <w:bCs/>
                <w:color w:val="000000"/>
                <w:sz w:val="16"/>
                <w:szCs w:val="16"/>
              </w:rPr>
            </w:pPr>
          </w:p>
        </w:tc>
        <w:tc>
          <w:tcPr>
            <w:tcW w:w="540" w:type="dxa"/>
            <w:tcBorders>
              <w:top w:val="nil"/>
              <w:left w:val="single" w:sz="4" w:space="0" w:color="auto"/>
              <w:bottom w:val="single" w:sz="4" w:space="0" w:color="auto"/>
              <w:right w:val="single" w:sz="4" w:space="0" w:color="auto"/>
            </w:tcBorders>
            <w:shd w:val="clear" w:color="000000" w:fill="D9D9D9"/>
            <w:vAlign w:val="bottom"/>
          </w:tcPr>
          <w:p w14:paraId="2E6C5934" w14:textId="77777777" w:rsidR="005C05F2" w:rsidRPr="00F5773C" w:rsidRDefault="005C05F2" w:rsidP="00DC618A">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12</w:t>
            </w:r>
          </w:p>
          <w:p w14:paraId="0DA6F1DE" w14:textId="77777777" w:rsidR="005C05F2" w:rsidRPr="00F5773C" w:rsidRDefault="005C05F2" w:rsidP="00DC618A">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Mo.</w:t>
            </w:r>
          </w:p>
        </w:tc>
        <w:tc>
          <w:tcPr>
            <w:tcW w:w="630" w:type="dxa"/>
            <w:tcBorders>
              <w:top w:val="nil"/>
              <w:left w:val="single" w:sz="4" w:space="0" w:color="auto"/>
              <w:bottom w:val="single" w:sz="4" w:space="0" w:color="auto"/>
              <w:right w:val="single" w:sz="4" w:space="0" w:color="auto"/>
            </w:tcBorders>
            <w:shd w:val="clear" w:color="000000" w:fill="D9D9D9"/>
            <w:vAlign w:val="bottom"/>
          </w:tcPr>
          <w:p w14:paraId="58997A2F" w14:textId="77777777" w:rsidR="005C05F2" w:rsidRPr="00F5773C" w:rsidRDefault="005C05F2" w:rsidP="00DC618A">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36</w:t>
            </w:r>
          </w:p>
          <w:p w14:paraId="12F1412E" w14:textId="77777777" w:rsidR="005C05F2" w:rsidRPr="00F5773C" w:rsidRDefault="005C05F2" w:rsidP="00992EC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Mo.</w:t>
            </w:r>
          </w:p>
        </w:tc>
        <w:tc>
          <w:tcPr>
            <w:tcW w:w="540" w:type="dxa"/>
            <w:tcBorders>
              <w:top w:val="nil"/>
              <w:left w:val="single" w:sz="4" w:space="0" w:color="auto"/>
              <w:bottom w:val="single" w:sz="4" w:space="0" w:color="auto"/>
              <w:right w:val="single" w:sz="4" w:space="0" w:color="auto"/>
            </w:tcBorders>
            <w:shd w:val="clear" w:color="000000" w:fill="D9D9D9"/>
            <w:noWrap/>
            <w:vAlign w:val="bottom"/>
            <w:hideMark/>
          </w:tcPr>
          <w:p w14:paraId="4C5E4EF6" w14:textId="77777777" w:rsidR="005C05F2" w:rsidRPr="00F5773C" w:rsidRDefault="005C05F2" w:rsidP="00992EC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12</w:t>
            </w:r>
          </w:p>
          <w:p w14:paraId="5908179F" w14:textId="77777777" w:rsidR="005C05F2" w:rsidRPr="00F5773C" w:rsidRDefault="005C05F2" w:rsidP="00992EC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Mo.</w:t>
            </w:r>
          </w:p>
        </w:tc>
        <w:tc>
          <w:tcPr>
            <w:tcW w:w="630" w:type="dxa"/>
            <w:tcBorders>
              <w:top w:val="nil"/>
              <w:left w:val="nil"/>
              <w:bottom w:val="single" w:sz="4" w:space="0" w:color="auto"/>
              <w:right w:val="single" w:sz="12" w:space="0" w:color="auto"/>
            </w:tcBorders>
            <w:shd w:val="clear" w:color="000000" w:fill="D9D9D9"/>
            <w:noWrap/>
            <w:vAlign w:val="bottom"/>
            <w:hideMark/>
          </w:tcPr>
          <w:p w14:paraId="267F09F4" w14:textId="77777777" w:rsidR="005C05F2" w:rsidRPr="00F5773C" w:rsidRDefault="005C05F2" w:rsidP="00992EC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36</w:t>
            </w:r>
          </w:p>
          <w:p w14:paraId="72AD8B49" w14:textId="77777777" w:rsidR="005C05F2" w:rsidRPr="00F5773C" w:rsidRDefault="005C05F2" w:rsidP="00992EC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Mo.</w:t>
            </w:r>
          </w:p>
        </w:tc>
        <w:tc>
          <w:tcPr>
            <w:tcW w:w="540" w:type="dxa"/>
            <w:tcBorders>
              <w:top w:val="nil"/>
              <w:left w:val="nil"/>
              <w:bottom w:val="single" w:sz="4" w:space="0" w:color="auto"/>
              <w:right w:val="single" w:sz="4" w:space="0" w:color="auto"/>
            </w:tcBorders>
            <w:shd w:val="clear" w:color="000000" w:fill="D9D9D9"/>
            <w:noWrap/>
            <w:vAlign w:val="bottom"/>
            <w:hideMark/>
          </w:tcPr>
          <w:p w14:paraId="06C571D3" w14:textId="77777777" w:rsidR="005C05F2" w:rsidRPr="00F5773C" w:rsidRDefault="005C05F2" w:rsidP="00992EC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12</w:t>
            </w:r>
          </w:p>
          <w:p w14:paraId="5FAC5A55" w14:textId="77777777" w:rsidR="005C05F2" w:rsidRPr="00F5773C" w:rsidRDefault="005C05F2" w:rsidP="00992EC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Mo.</w:t>
            </w:r>
          </w:p>
        </w:tc>
        <w:tc>
          <w:tcPr>
            <w:tcW w:w="540" w:type="dxa"/>
            <w:gridSpan w:val="2"/>
            <w:tcBorders>
              <w:top w:val="nil"/>
              <w:left w:val="nil"/>
              <w:bottom w:val="single" w:sz="4" w:space="0" w:color="auto"/>
              <w:right w:val="single" w:sz="12" w:space="0" w:color="auto"/>
            </w:tcBorders>
            <w:shd w:val="clear" w:color="000000" w:fill="D9D9D9"/>
            <w:noWrap/>
            <w:vAlign w:val="bottom"/>
            <w:hideMark/>
          </w:tcPr>
          <w:p w14:paraId="72124EEF" w14:textId="77777777" w:rsidR="005C05F2" w:rsidRPr="00F5773C" w:rsidRDefault="005C05F2" w:rsidP="00992EC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36</w:t>
            </w:r>
          </w:p>
          <w:p w14:paraId="436B21C8" w14:textId="77777777" w:rsidR="005C05F2" w:rsidRPr="00F5773C" w:rsidRDefault="005C05F2" w:rsidP="00992EC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Mo.</w:t>
            </w:r>
          </w:p>
        </w:tc>
        <w:tc>
          <w:tcPr>
            <w:tcW w:w="540" w:type="dxa"/>
            <w:tcBorders>
              <w:top w:val="nil"/>
              <w:left w:val="nil"/>
              <w:bottom w:val="single" w:sz="4" w:space="0" w:color="auto"/>
              <w:right w:val="single" w:sz="4" w:space="0" w:color="auto"/>
            </w:tcBorders>
            <w:shd w:val="clear" w:color="000000" w:fill="D9D9D9"/>
            <w:noWrap/>
            <w:vAlign w:val="bottom"/>
            <w:hideMark/>
          </w:tcPr>
          <w:p w14:paraId="7FFBD257" w14:textId="77777777" w:rsidR="005C05F2" w:rsidRPr="00F5773C" w:rsidRDefault="005C05F2" w:rsidP="00992EC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12</w:t>
            </w:r>
          </w:p>
          <w:p w14:paraId="7AC147E4" w14:textId="77777777" w:rsidR="005C05F2" w:rsidRPr="00F5773C" w:rsidRDefault="005C05F2" w:rsidP="00992EC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Mo.</w:t>
            </w:r>
          </w:p>
        </w:tc>
        <w:tc>
          <w:tcPr>
            <w:tcW w:w="630" w:type="dxa"/>
            <w:tcBorders>
              <w:top w:val="nil"/>
              <w:left w:val="nil"/>
              <w:bottom w:val="single" w:sz="4" w:space="0" w:color="auto"/>
              <w:right w:val="single" w:sz="12" w:space="0" w:color="auto"/>
            </w:tcBorders>
            <w:shd w:val="clear" w:color="000000" w:fill="D9D9D9"/>
            <w:noWrap/>
            <w:vAlign w:val="bottom"/>
            <w:hideMark/>
          </w:tcPr>
          <w:p w14:paraId="63EFF26F" w14:textId="77777777" w:rsidR="005C05F2" w:rsidRPr="00F5773C" w:rsidRDefault="005C05F2" w:rsidP="00992EC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36</w:t>
            </w:r>
          </w:p>
          <w:p w14:paraId="073468DD" w14:textId="77777777" w:rsidR="005C05F2" w:rsidRPr="00F5773C" w:rsidRDefault="005C05F2" w:rsidP="00992EC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Mo.</w:t>
            </w:r>
          </w:p>
        </w:tc>
        <w:tc>
          <w:tcPr>
            <w:tcW w:w="540" w:type="dxa"/>
            <w:tcBorders>
              <w:top w:val="nil"/>
              <w:left w:val="nil"/>
              <w:bottom w:val="single" w:sz="4" w:space="0" w:color="auto"/>
              <w:right w:val="single" w:sz="4" w:space="0" w:color="auto"/>
            </w:tcBorders>
            <w:shd w:val="clear" w:color="000000" w:fill="D9D9D9"/>
            <w:noWrap/>
            <w:vAlign w:val="bottom"/>
            <w:hideMark/>
          </w:tcPr>
          <w:p w14:paraId="00A7A647" w14:textId="77777777" w:rsidR="005C05F2" w:rsidRPr="00F5773C" w:rsidRDefault="005C05F2" w:rsidP="00992EC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12</w:t>
            </w:r>
          </w:p>
          <w:p w14:paraId="3AA2A9EA" w14:textId="77777777" w:rsidR="005C05F2" w:rsidRPr="00F5773C" w:rsidRDefault="005C05F2" w:rsidP="00992EC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Mo.</w:t>
            </w:r>
          </w:p>
        </w:tc>
        <w:tc>
          <w:tcPr>
            <w:tcW w:w="630" w:type="dxa"/>
            <w:tcBorders>
              <w:top w:val="nil"/>
              <w:left w:val="nil"/>
              <w:bottom w:val="single" w:sz="4" w:space="0" w:color="auto"/>
              <w:right w:val="single" w:sz="18" w:space="0" w:color="auto"/>
            </w:tcBorders>
            <w:shd w:val="clear" w:color="000000" w:fill="D9D9D9"/>
            <w:noWrap/>
            <w:vAlign w:val="bottom"/>
            <w:hideMark/>
          </w:tcPr>
          <w:p w14:paraId="0D5D51BA" w14:textId="77777777" w:rsidR="005C05F2" w:rsidRPr="00F5773C" w:rsidRDefault="005C05F2" w:rsidP="00992EC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36</w:t>
            </w:r>
          </w:p>
          <w:p w14:paraId="5014F1BC" w14:textId="77777777" w:rsidR="005C05F2" w:rsidRPr="00F5773C" w:rsidRDefault="005C05F2" w:rsidP="00992EC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Mo.</w:t>
            </w:r>
          </w:p>
        </w:tc>
      </w:tr>
      <w:tr w:rsidR="00353C6A" w:rsidRPr="00C4057E" w14:paraId="1E7FA183" w14:textId="77777777" w:rsidTr="00992EC5">
        <w:trPr>
          <w:trHeight w:val="432"/>
        </w:trPr>
        <w:tc>
          <w:tcPr>
            <w:tcW w:w="1065" w:type="dxa"/>
            <w:tcBorders>
              <w:top w:val="nil"/>
              <w:left w:val="single" w:sz="18" w:space="0" w:color="auto"/>
              <w:bottom w:val="single" w:sz="4" w:space="0" w:color="auto"/>
              <w:right w:val="single" w:sz="4" w:space="0" w:color="auto"/>
            </w:tcBorders>
            <w:shd w:val="clear" w:color="auto" w:fill="auto"/>
            <w:noWrap/>
            <w:vAlign w:val="center"/>
            <w:hideMark/>
          </w:tcPr>
          <w:p w14:paraId="35C5712E" w14:textId="77777777" w:rsidR="004801DC" w:rsidRPr="00353C6A" w:rsidRDefault="004801DC" w:rsidP="0051240A">
            <w:pPr>
              <w:spacing w:after="0" w:line="240" w:lineRule="auto"/>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Met-Ed</w:t>
            </w:r>
          </w:p>
        </w:tc>
        <w:tc>
          <w:tcPr>
            <w:tcW w:w="1170" w:type="dxa"/>
            <w:tcBorders>
              <w:top w:val="nil"/>
              <w:left w:val="nil"/>
              <w:bottom w:val="single" w:sz="4" w:space="0" w:color="auto"/>
              <w:right w:val="single" w:sz="4" w:space="0" w:color="auto"/>
            </w:tcBorders>
            <w:shd w:val="clear" w:color="auto" w:fill="auto"/>
            <w:noWrap/>
            <w:vAlign w:val="center"/>
            <w:hideMark/>
          </w:tcPr>
          <w:p w14:paraId="7293C51A" w14:textId="77777777" w:rsidR="004801DC" w:rsidRPr="00353C6A" w:rsidRDefault="004801DC" w:rsidP="0051240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1.15</w:t>
            </w:r>
          </w:p>
        </w:tc>
        <w:tc>
          <w:tcPr>
            <w:tcW w:w="990" w:type="dxa"/>
            <w:tcBorders>
              <w:top w:val="nil"/>
              <w:left w:val="nil"/>
              <w:bottom w:val="single" w:sz="4" w:space="0" w:color="auto"/>
              <w:right w:val="single" w:sz="4" w:space="0" w:color="auto"/>
            </w:tcBorders>
            <w:shd w:val="clear" w:color="auto" w:fill="auto"/>
            <w:noWrap/>
            <w:vAlign w:val="center"/>
            <w:hideMark/>
          </w:tcPr>
          <w:p w14:paraId="29FD7D05" w14:textId="77777777" w:rsidR="004801DC" w:rsidRPr="00353C6A" w:rsidRDefault="004801DC" w:rsidP="00DC618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1.38</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7CB1E4FB" w14:textId="77777777" w:rsidR="004801DC" w:rsidRPr="00353C6A" w:rsidRDefault="004801DC" w:rsidP="00DC618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1.27</w:t>
            </w:r>
          </w:p>
        </w:tc>
        <w:tc>
          <w:tcPr>
            <w:tcW w:w="270" w:type="dxa"/>
            <w:tcBorders>
              <w:top w:val="nil"/>
              <w:left w:val="single" w:sz="4" w:space="0" w:color="auto"/>
              <w:bottom w:val="single" w:sz="4" w:space="0" w:color="auto"/>
              <w:right w:val="single" w:sz="4" w:space="0" w:color="auto"/>
            </w:tcBorders>
            <w:shd w:val="clear" w:color="auto" w:fill="000000" w:themeFill="text1"/>
            <w:vAlign w:val="center"/>
          </w:tcPr>
          <w:p w14:paraId="4FAA6BEA" w14:textId="77777777" w:rsidR="004801DC" w:rsidRPr="00353C6A" w:rsidRDefault="004801DC" w:rsidP="00992EC5">
            <w:pPr>
              <w:spacing w:after="0" w:line="240" w:lineRule="auto"/>
              <w:jc w:val="center"/>
              <w:rPr>
                <w:rFonts w:ascii="Arial" w:eastAsia="Times New Roman" w:hAnsi="Arial" w:cs="Arial"/>
                <w:color w:val="000000"/>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57FADE3A" w14:textId="77777777" w:rsidR="004801DC" w:rsidRPr="00353C6A" w:rsidRDefault="00F378E2"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1.09</w:t>
            </w:r>
          </w:p>
        </w:tc>
        <w:tc>
          <w:tcPr>
            <w:tcW w:w="630" w:type="dxa"/>
            <w:tcBorders>
              <w:top w:val="single" w:sz="4" w:space="0" w:color="auto"/>
              <w:left w:val="single" w:sz="4" w:space="0" w:color="auto"/>
              <w:bottom w:val="single" w:sz="4" w:space="0" w:color="auto"/>
              <w:right w:val="single" w:sz="4" w:space="0" w:color="auto"/>
            </w:tcBorders>
            <w:vAlign w:val="center"/>
          </w:tcPr>
          <w:p w14:paraId="4E2C3854" w14:textId="77777777" w:rsidR="004801DC" w:rsidRPr="00353C6A" w:rsidRDefault="00E15B2B"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1.20</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179BF84" w14:textId="77777777" w:rsidR="004801DC" w:rsidRPr="00353C6A" w:rsidRDefault="004801DC"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1.11</w:t>
            </w:r>
          </w:p>
        </w:tc>
        <w:tc>
          <w:tcPr>
            <w:tcW w:w="630" w:type="dxa"/>
            <w:tcBorders>
              <w:top w:val="nil"/>
              <w:left w:val="nil"/>
              <w:bottom w:val="single" w:sz="4" w:space="0" w:color="auto"/>
              <w:right w:val="single" w:sz="12" w:space="0" w:color="auto"/>
            </w:tcBorders>
            <w:shd w:val="clear" w:color="auto" w:fill="auto"/>
            <w:noWrap/>
            <w:vAlign w:val="center"/>
            <w:hideMark/>
          </w:tcPr>
          <w:p w14:paraId="06B4EBFF" w14:textId="77777777" w:rsidR="004801DC" w:rsidRPr="00353C6A" w:rsidRDefault="004801DC"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1.16</w:t>
            </w:r>
          </w:p>
        </w:tc>
        <w:tc>
          <w:tcPr>
            <w:tcW w:w="540" w:type="dxa"/>
            <w:tcBorders>
              <w:top w:val="nil"/>
              <w:left w:val="nil"/>
              <w:bottom w:val="single" w:sz="4" w:space="0" w:color="auto"/>
              <w:right w:val="single" w:sz="4" w:space="0" w:color="auto"/>
            </w:tcBorders>
            <w:shd w:val="clear" w:color="auto" w:fill="auto"/>
            <w:noWrap/>
            <w:vAlign w:val="center"/>
            <w:hideMark/>
          </w:tcPr>
          <w:p w14:paraId="65CE3C39" w14:textId="77777777" w:rsidR="004801DC" w:rsidRPr="00353C6A" w:rsidRDefault="004801DC"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1.19</w:t>
            </w:r>
          </w:p>
        </w:tc>
        <w:tc>
          <w:tcPr>
            <w:tcW w:w="540" w:type="dxa"/>
            <w:gridSpan w:val="2"/>
            <w:tcBorders>
              <w:top w:val="nil"/>
              <w:left w:val="nil"/>
              <w:bottom w:val="single" w:sz="4" w:space="0" w:color="auto"/>
              <w:right w:val="nil"/>
            </w:tcBorders>
            <w:shd w:val="clear" w:color="auto" w:fill="auto"/>
            <w:noWrap/>
            <w:vAlign w:val="center"/>
            <w:hideMark/>
          </w:tcPr>
          <w:p w14:paraId="33E94574" w14:textId="77777777" w:rsidR="004801DC" w:rsidRPr="00353C6A" w:rsidRDefault="004801DC"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1.13</w:t>
            </w:r>
          </w:p>
        </w:tc>
        <w:tc>
          <w:tcPr>
            <w:tcW w:w="540" w:type="dxa"/>
            <w:tcBorders>
              <w:top w:val="nil"/>
              <w:left w:val="single" w:sz="12" w:space="0" w:color="auto"/>
              <w:bottom w:val="single" w:sz="4" w:space="0" w:color="auto"/>
              <w:right w:val="single" w:sz="4" w:space="0" w:color="auto"/>
            </w:tcBorders>
            <w:shd w:val="clear" w:color="000000" w:fill="FF0000"/>
            <w:noWrap/>
            <w:vAlign w:val="center"/>
            <w:hideMark/>
          </w:tcPr>
          <w:p w14:paraId="171A3874" w14:textId="77777777" w:rsidR="004801DC" w:rsidRPr="00353C6A" w:rsidRDefault="004801DC" w:rsidP="00992EC5">
            <w:pPr>
              <w:spacing w:after="0" w:line="240" w:lineRule="auto"/>
              <w:jc w:val="center"/>
              <w:rPr>
                <w:rFonts w:ascii="Arial" w:eastAsia="Times New Roman" w:hAnsi="Arial" w:cs="Arial"/>
                <w:b/>
                <w:bCs/>
                <w:color w:val="FFFFFF"/>
                <w:sz w:val="16"/>
                <w:szCs w:val="16"/>
              </w:rPr>
            </w:pPr>
            <w:r w:rsidRPr="00353C6A">
              <w:rPr>
                <w:rFonts w:ascii="Arial" w:eastAsia="Times New Roman" w:hAnsi="Arial" w:cs="Arial"/>
                <w:b/>
                <w:bCs/>
                <w:color w:val="FFFFFF"/>
                <w:sz w:val="16"/>
                <w:szCs w:val="16"/>
              </w:rPr>
              <w:t>1.44</w:t>
            </w:r>
          </w:p>
        </w:tc>
        <w:tc>
          <w:tcPr>
            <w:tcW w:w="630" w:type="dxa"/>
            <w:tcBorders>
              <w:top w:val="nil"/>
              <w:left w:val="nil"/>
              <w:bottom w:val="single" w:sz="4" w:space="0" w:color="auto"/>
              <w:right w:val="single" w:sz="12" w:space="0" w:color="auto"/>
            </w:tcBorders>
            <w:shd w:val="clear" w:color="auto" w:fill="auto"/>
            <w:noWrap/>
            <w:vAlign w:val="center"/>
            <w:hideMark/>
          </w:tcPr>
          <w:p w14:paraId="63F46E4A" w14:textId="77777777" w:rsidR="004801DC" w:rsidRPr="00353C6A" w:rsidRDefault="004801DC"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1.25</w:t>
            </w:r>
          </w:p>
        </w:tc>
        <w:tc>
          <w:tcPr>
            <w:tcW w:w="540" w:type="dxa"/>
            <w:tcBorders>
              <w:top w:val="nil"/>
              <w:left w:val="nil"/>
              <w:bottom w:val="single" w:sz="4" w:space="0" w:color="auto"/>
              <w:right w:val="single" w:sz="4" w:space="0" w:color="auto"/>
            </w:tcBorders>
            <w:shd w:val="clear" w:color="000000" w:fill="FF0000"/>
            <w:noWrap/>
            <w:vAlign w:val="center"/>
            <w:hideMark/>
          </w:tcPr>
          <w:p w14:paraId="3337F6E8" w14:textId="77777777" w:rsidR="004801DC" w:rsidRPr="00353C6A" w:rsidRDefault="004801DC" w:rsidP="00992EC5">
            <w:pPr>
              <w:spacing w:after="0" w:line="240" w:lineRule="auto"/>
              <w:jc w:val="center"/>
              <w:rPr>
                <w:rFonts w:ascii="Arial" w:eastAsia="Times New Roman" w:hAnsi="Arial" w:cs="Arial"/>
                <w:b/>
                <w:bCs/>
                <w:color w:val="FFFFFF"/>
                <w:sz w:val="16"/>
                <w:szCs w:val="16"/>
              </w:rPr>
            </w:pPr>
            <w:r w:rsidRPr="00353C6A">
              <w:rPr>
                <w:rFonts w:ascii="Arial" w:eastAsia="Times New Roman" w:hAnsi="Arial" w:cs="Arial"/>
                <w:b/>
                <w:bCs/>
                <w:color w:val="FFFFFF"/>
                <w:sz w:val="16"/>
                <w:szCs w:val="16"/>
              </w:rPr>
              <w:t>1.47</w:t>
            </w:r>
          </w:p>
        </w:tc>
        <w:tc>
          <w:tcPr>
            <w:tcW w:w="630" w:type="dxa"/>
            <w:tcBorders>
              <w:top w:val="nil"/>
              <w:left w:val="nil"/>
              <w:bottom w:val="single" w:sz="4" w:space="0" w:color="auto"/>
              <w:right w:val="single" w:sz="18" w:space="0" w:color="auto"/>
            </w:tcBorders>
            <w:shd w:val="clear" w:color="000000" w:fill="FF0000"/>
            <w:noWrap/>
            <w:vAlign w:val="center"/>
            <w:hideMark/>
          </w:tcPr>
          <w:p w14:paraId="0507FCF3" w14:textId="77777777" w:rsidR="004801DC" w:rsidRPr="00353C6A" w:rsidRDefault="004801DC" w:rsidP="00992EC5">
            <w:pPr>
              <w:spacing w:after="0" w:line="240" w:lineRule="auto"/>
              <w:jc w:val="center"/>
              <w:rPr>
                <w:rFonts w:ascii="Arial" w:eastAsia="Times New Roman" w:hAnsi="Arial" w:cs="Arial"/>
                <w:b/>
                <w:bCs/>
                <w:color w:val="FFFFFF"/>
                <w:sz w:val="16"/>
                <w:szCs w:val="16"/>
              </w:rPr>
            </w:pPr>
            <w:r w:rsidRPr="00353C6A">
              <w:rPr>
                <w:rFonts w:ascii="Arial" w:eastAsia="Times New Roman" w:hAnsi="Arial" w:cs="Arial"/>
                <w:b/>
                <w:bCs/>
                <w:color w:val="FFFFFF"/>
                <w:sz w:val="16"/>
                <w:szCs w:val="16"/>
              </w:rPr>
              <w:t>1.37</w:t>
            </w:r>
          </w:p>
        </w:tc>
      </w:tr>
      <w:tr w:rsidR="00353C6A" w:rsidRPr="00C4057E" w14:paraId="4E2BFB37" w14:textId="77777777" w:rsidTr="00992EC5">
        <w:trPr>
          <w:trHeight w:val="432"/>
        </w:trPr>
        <w:tc>
          <w:tcPr>
            <w:tcW w:w="1065" w:type="dxa"/>
            <w:tcBorders>
              <w:top w:val="nil"/>
              <w:left w:val="single" w:sz="18" w:space="0" w:color="auto"/>
              <w:bottom w:val="single" w:sz="4" w:space="0" w:color="auto"/>
              <w:right w:val="single" w:sz="4" w:space="0" w:color="auto"/>
            </w:tcBorders>
            <w:shd w:val="clear" w:color="auto" w:fill="auto"/>
            <w:noWrap/>
            <w:vAlign w:val="center"/>
            <w:hideMark/>
          </w:tcPr>
          <w:p w14:paraId="2163F103" w14:textId="77777777" w:rsidR="004801DC" w:rsidRPr="00353C6A" w:rsidRDefault="004801DC" w:rsidP="0051240A">
            <w:pPr>
              <w:spacing w:after="0" w:line="240" w:lineRule="auto"/>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Penelec</w:t>
            </w:r>
          </w:p>
        </w:tc>
        <w:tc>
          <w:tcPr>
            <w:tcW w:w="1170" w:type="dxa"/>
            <w:tcBorders>
              <w:top w:val="nil"/>
              <w:left w:val="nil"/>
              <w:bottom w:val="single" w:sz="4" w:space="0" w:color="auto"/>
              <w:right w:val="single" w:sz="4" w:space="0" w:color="auto"/>
            </w:tcBorders>
            <w:shd w:val="clear" w:color="auto" w:fill="auto"/>
            <w:noWrap/>
            <w:vAlign w:val="center"/>
            <w:hideMark/>
          </w:tcPr>
          <w:p w14:paraId="1221D270" w14:textId="77777777" w:rsidR="004801DC" w:rsidRPr="00353C6A" w:rsidRDefault="004801DC" w:rsidP="0051240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1.26</w:t>
            </w:r>
          </w:p>
        </w:tc>
        <w:tc>
          <w:tcPr>
            <w:tcW w:w="990" w:type="dxa"/>
            <w:tcBorders>
              <w:top w:val="nil"/>
              <w:left w:val="nil"/>
              <w:bottom w:val="single" w:sz="4" w:space="0" w:color="auto"/>
              <w:right w:val="single" w:sz="4" w:space="0" w:color="auto"/>
            </w:tcBorders>
            <w:shd w:val="clear" w:color="auto" w:fill="auto"/>
            <w:noWrap/>
            <w:vAlign w:val="center"/>
            <w:hideMark/>
          </w:tcPr>
          <w:p w14:paraId="3692DE11" w14:textId="77777777" w:rsidR="004801DC" w:rsidRPr="00353C6A" w:rsidRDefault="004801DC" w:rsidP="00DC618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1.52</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3B5E01AD" w14:textId="77777777" w:rsidR="004801DC" w:rsidRPr="00353C6A" w:rsidRDefault="004801DC" w:rsidP="00DC618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1.39</w:t>
            </w:r>
          </w:p>
        </w:tc>
        <w:tc>
          <w:tcPr>
            <w:tcW w:w="270" w:type="dxa"/>
            <w:tcBorders>
              <w:top w:val="nil"/>
              <w:left w:val="single" w:sz="4" w:space="0" w:color="auto"/>
              <w:bottom w:val="single" w:sz="4" w:space="0" w:color="auto"/>
              <w:right w:val="single" w:sz="4" w:space="0" w:color="auto"/>
            </w:tcBorders>
            <w:shd w:val="clear" w:color="auto" w:fill="000000" w:themeFill="text1"/>
            <w:vAlign w:val="center"/>
          </w:tcPr>
          <w:p w14:paraId="207318F9" w14:textId="77777777" w:rsidR="004801DC" w:rsidRPr="00353C6A" w:rsidRDefault="004801DC" w:rsidP="00992EC5">
            <w:pPr>
              <w:spacing w:after="0" w:line="240" w:lineRule="auto"/>
              <w:jc w:val="center"/>
              <w:rPr>
                <w:rFonts w:ascii="Arial" w:eastAsia="Times New Roman" w:hAnsi="Arial" w:cs="Arial"/>
                <w:b/>
                <w:bCs/>
                <w:color w:val="FFFFFF"/>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7A91DB1A" w14:textId="77777777" w:rsidR="004801DC"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1.48</w:t>
            </w:r>
          </w:p>
        </w:tc>
        <w:tc>
          <w:tcPr>
            <w:tcW w:w="630" w:type="dxa"/>
            <w:tcBorders>
              <w:top w:val="single" w:sz="4" w:space="0" w:color="auto"/>
              <w:left w:val="single" w:sz="4" w:space="0" w:color="auto"/>
              <w:bottom w:val="single" w:sz="4" w:space="0" w:color="auto"/>
              <w:right w:val="single" w:sz="4" w:space="0" w:color="auto"/>
            </w:tcBorders>
            <w:shd w:val="clear" w:color="auto" w:fill="FF0000"/>
            <w:vAlign w:val="center"/>
          </w:tcPr>
          <w:p w14:paraId="488F5BB2" w14:textId="77777777" w:rsidR="004801DC" w:rsidRPr="00353C6A" w:rsidRDefault="00E15B2B" w:rsidP="00992EC5">
            <w:pPr>
              <w:spacing w:after="0" w:line="240" w:lineRule="auto"/>
              <w:jc w:val="center"/>
              <w:rPr>
                <w:rFonts w:ascii="Arial" w:eastAsia="Times New Roman" w:hAnsi="Arial" w:cs="Arial"/>
                <w:b/>
                <w:color w:val="000000"/>
                <w:sz w:val="16"/>
                <w:szCs w:val="16"/>
              </w:rPr>
            </w:pPr>
            <w:r w:rsidRPr="00353C6A">
              <w:rPr>
                <w:rFonts w:ascii="Arial" w:eastAsia="Times New Roman" w:hAnsi="Arial" w:cs="Arial"/>
                <w:b/>
                <w:color w:val="FFFFFF" w:themeColor="background1"/>
                <w:sz w:val="16"/>
                <w:szCs w:val="16"/>
              </w:rPr>
              <w:t>1.43</w:t>
            </w:r>
          </w:p>
        </w:tc>
        <w:tc>
          <w:tcPr>
            <w:tcW w:w="540" w:type="dxa"/>
            <w:tcBorders>
              <w:top w:val="nil"/>
              <w:left w:val="single" w:sz="4" w:space="0" w:color="auto"/>
              <w:bottom w:val="single" w:sz="4" w:space="0" w:color="auto"/>
              <w:right w:val="single" w:sz="4" w:space="0" w:color="auto"/>
            </w:tcBorders>
            <w:shd w:val="clear" w:color="000000" w:fill="FF0000"/>
            <w:noWrap/>
            <w:vAlign w:val="center"/>
            <w:hideMark/>
          </w:tcPr>
          <w:p w14:paraId="3EBDA131" w14:textId="77777777" w:rsidR="004801DC" w:rsidRPr="00353C6A" w:rsidRDefault="004801DC" w:rsidP="00992EC5">
            <w:pPr>
              <w:spacing w:after="0" w:line="240" w:lineRule="auto"/>
              <w:jc w:val="center"/>
              <w:rPr>
                <w:rFonts w:ascii="Arial" w:eastAsia="Times New Roman" w:hAnsi="Arial" w:cs="Arial"/>
                <w:b/>
                <w:bCs/>
                <w:color w:val="FFFFFF"/>
                <w:sz w:val="16"/>
                <w:szCs w:val="16"/>
              </w:rPr>
            </w:pPr>
            <w:r w:rsidRPr="00353C6A">
              <w:rPr>
                <w:rFonts w:ascii="Arial" w:eastAsia="Times New Roman" w:hAnsi="Arial" w:cs="Arial"/>
                <w:b/>
                <w:bCs/>
                <w:color w:val="FFFFFF"/>
                <w:sz w:val="16"/>
                <w:szCs w:val="16"/>
              </w:rPr>
              <w:t>1.55</w:t>
            </w:r>
          </w:p>
        </w:tc>
        <w:tc>
          <w:tcPr>
            <w:tcW w:w="630" w:type="dxa"/>
            <w:tcBorders>
              <w:top w:val="nil"/>
              <w:left w:val="nil"/>
              <w:bottom w:val="single" w:sz="4" w:space="0" w:color="auto"/>
              <w:right w:val="single" w:sz="12" w:space="0" w:color="auto"/>
            </w:tcBorders>
            <w:shd w:val="clear" w:color="000000" w:fill="FF0000"/>
            <w:noWrap/>
            <w:vAlign w:val="center"/>
            <w:hideMark/>
          </w:tcPr>
          <w:p w14:paraId="0BDDB35D" w14:textId="77777777" w:rsidR="004801DC" w:rsidRPr="00353C6A" w:rsidRDefault="004801DC" w:rsidP="00992EC5">
            <w:pPr>
              <w:spacing w:after="0" w:line="240" w:lineRule="auto"/>
              <w:jc w:val="center"/>
              <w:rPr>
                <w:rFonts w:ascii="Arial" w:eastAsia="Times New Roman" w:hAnsi="Arial" w:cs="Arial"/>
                <w:b/>
                <w:bCs/>
                <w:color w:val="FFFFFF"/>
                <w:sz w:val="16"/>
                <w:szCs w:val="16"/>
              </w:rPr>
            </w:pPr>
            <w:r w:rsidRPr="00353C6A">
              <w:rPr>
                <w:rFonts w:ascii="Arial" w:eastAsia="Times New Roman" w:hAnsi="Arial" w:cs="Arial"/>
                <w:b/>
                <w:bCs/>
                <w:color w:val="FFFFFF"/>
                <w:sz w:val="16"/>
                <w:szCs w:val="16"/>
              </w:rPr>
              <w:t>1.48</w:t>
            </w:r>
          </w:p>
        </w:tc>
        <w:tc>
          <w:tcPr>
            <w:tcW w:w="540" w:type="dxa"/>
            <w:tcBorders>
              <w:top w:val="nil"/>
              <w:left w:val="nil"/>
              <w:bottom w:val="single" w:sz="4" w:space="0" w:color="auto"/>
              <w:right w:val="single" w:sz="4" w:space="0" w:color="auto"/>
            </w:tcBorders>
            <w:shd w:val="clear" w:color="auto" w:fill="auto"/>
            <w:noWrap/>
            <w:vAlign w:val="center"/>
            <w:hideMark/>
          </w:tcPr>
          <w:p w14:paraId="5336B31A" w14:textId="77777777" w:rsidR="004801DC" w:rsidRPr="00353C6A" w:rsidRDefault="004801DC"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1.36</w:t>
            </w:r>
          </w:p>
        </w:tc>
        <w:tc>
          <w:tcPr>
            <w:tcW w:w="540" w:type="dxa"/>
            <w:gridSpan w:val="2"/>
            <w:tcBorders>
              <w:top w:val="nil"/>
              <w:left w:val="nil"/>
              <w:bottom w:val="single" w:sz="4" w:space="0" w:color="auto"/>
              <w:right w:val="nil"/>
            </w:tcBorders>
            <w:shd w:val="clear" w:color="000000" w:fill="FF0000"/>
            <w:noWrap/>
            <w:vAlign w:val="center"/>
            <w:hideMark/>
          </w:tcPr>
          <w:p w14:paraId="7481CEC0" w14:textId="77777777" w:rsidR="004801DC" w:rsidRPr="00353C6A" w:rsidRDefault="004801DC" w:rsidP="00992EC5">
            <w:pPr>
              <w:spacing w:after="0" w:line="240" w:lineRule="auto"/>
              <w:jc w:val="center"/>
              <w:rPr>
                <w:rFonts w:ascii="Arial" w:eastAsia="Times New Roman" w:hAnsi="Arial" w:cs="Arial"/>
                <w:b/>
                <w:bCs/>
                <w:color w:val="FFFFFF"/>
                <w:sz w:val="16"/>
                <w:szCs w:val="16"/>
              </w:rPr>
            </w:pPr>
            <w:r w:rsidRPr="00353C6A">
              <w:rPr>
                <w:rFonts w:ascii="Arial" w:eastAsia="Times New Roman" w:hAnsi="Arial" w:cs="Arial"/>
                <w:b/>
                <w:bCs/>
                <w:color w:val="FFFFFF"/>
                <w:sz w:val="16"/>
                <w:szCs w:val="16"/>
              </w:rPr>
              <w:t>1.46</w:t>
            </w:r>
          </w:p>
        </w:tc>
        <w:tc>
          <w:tcPr>
            <w:tcW w:w="540" w:type="dxa"/>
            <w:tcBorders>
              <w:top w:val="nil"/>
              <w:left w:val="single" w:sz="12" w:space="0" w:color="auto"/>
              <w:bottom w:val="single" w:sz="4" w:space="0" w:color="auto"/>
              <w:right w:val="single" w:sz="4" w:space="0" w:color="auto"/>
            </w:tcBorders>
            <w:shd w:val="clear" w:color="auto" w:fill="auto"/>
            <w:noWrap/>
            <w:vAlign w:val="center"/>
            <w:hideMark/>
          </w:tcPr>
          <w:p w14:paraId="32E58194" w14:textId="77777777" w:rsidR="004801DC" w:rsidRPr="00353C6A" w:rsidRDefault="004801DC"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1.43</w:t>
            </w:r>
          </w:p>
        </w:tc>
        <w:tc>
          <w:tcPr>
            <w:tcW w:w="630" w:type="dxa"/>
            <w:tcBorders>
              <w:top w:val="nil"/>
              <w:left w:val="nil"/>
              <w:bottom w:val="single" w:sz="4" w:space="0" w:color="auto"/>
              <w:right w:val="single" w:sz="12" w:space="0" w:color="auto"/>
            </w:tcBorders>
            <w:shd w:val="clear" w:color="000000" w:fill="FF0000"/>
            <w:noWrap/>
            <w:vAlign w:val="center"/>
            <w:hideMark/>
          </w:tcPr>
          <w:p w14:paraId="29A8DEE9" w14:textId="77777777" w:rsidR="004801DC" w:rsidRPr="00353C6A" w:rsidRDefault="004801DC" w:rsidP="00992EC5">
            <w:pPr>
              <w:spacing w:after="0" w:line="240" w:lineRule="auto"/>
              <w:jc w:val="center"/>
              <w:rPr>
                <w:rFonts w:ascii="Arial" w:eastAsia="Times New Roman" w:hAnsi="Arial" w:cs="Arial"/>
                <w:b/>
                <w:bCs/>
                <w:color w:val="FFFFFF"/>
                <w:sz w:val="16"/>
                <w:szCs w:val="16"/>
              </w:rPr>
            </w:pPr>
            <w:r w:rsidRPr="00353C6A">
              <w:rPr>
                <w:rFonts w:ascii="Arial" w:eastAsia="Times New Roman" w:hAnsi="Arial" w:cs="Arial"/>
                <w:b/>
                <w:bCs/>
                <w:color w:val="FFFFFF"/>
                <w:sz w:val="16"/>
                <w:szCs w:val="16"/>
              </w:rPr>
              <w:t>1.45</w:t>
            </w:r>
          </w:p>
        </w:tc>
        <w:tc>
          <w:tcPr>
            <w:tcW w:w="540" w:type="dxa"/>
            <w:tcBorders>
              <w:top w:val="nil"/>
              <w:left w:val="nil"/>
              <w:bottom w:val="single" w:sz="4" w:space="0" w:color="auto"/>
              <w:right w:val="single" w:sz="4" w:space="0" w:color="auto"/>
            </w:tcBorders>
            <w:shd w:val="clear" w:color="000000" w:fill="FF0000"/>
            <w:noWrap/>
            <w:vAlign w:val="center"/>
            <w:hideMark/>
          </w:tcPr>
          <w:p w14:paraId="4E7C69CF" w14:textId="77777777" w:rsidR="004801DC" w:rsidRPr="00353C6A" w:rsidRDefault="004801DC" w:rsidP="00992EC5">
            <w:pPr>
              <w:spacing w:after="0" w:line="240" w:lineRule="auto"/>
              <w:jc w:val="center"/>
              <w:rPr>
                <w:rFonts w:ascii="Arial" w:eastAsia="Times New Roman" w:hAnsi="Arial" w:cs="Arial"/>
                <w:b/>
                <w:bCs/>
                <w:color w:val="FFFFFF"/>
                <w:sz w:val="16"/>
                <w:szCs w:val="16"/>
              </w:rPr>
            </w:pPr>
            <w:r w:rsidRPr="00353C6A">
              <w:rPr>
                <w:rFonts w:ascii="Arial" w:eastAsia="Times New Roman" w:hAnsi="Arial" w:cs="Arial"/>
                <w:b/>
                <w:bCs/>
                <w:color w:val="FFFFFF"/>
                <w:sz w:val="16"/>
                <w:szCs w:val="16"/>
              </w:rPr>
              <w:t>1.73</w:t>
            </w:r>
          </w:p>
        </w:tc>
        <w:tc>
          <w:tcPr>
            <w:tcW w:w="630" w:type="dxa"/>
            <w:tcBorders>
              <w:top w:val="nil"/>
              <w:left w:val="nil"/>
              <w:bottom w:val="single" w:sz="4" w:space="0" w:color="auto"/>
              <w:right w:val="single" w:sz="18" w:space="0" w:color="auto"/>
            </w:tcBorders>
            <w:shd w:val="clear" w:color="000000" w:fill="FF0000"/>
            <w:noWrap/>
            <w:vAlign w:val="center"/>
            <w:hideMark/>
          </w:tcPr>
          <w:p w14:paraId="15F409E3" w14:textId="77777777" w:rsidR="004801DC" w:rsidRPr="00353C6A" w:rsidRDefault="004801DC" w:rsidP="00992EC5">
            <w:pPr>
              <w:spacing w:after="0" w:line="240" w:lineRule="auto"/>
              <w:jc w:val="center"/>
              <w:rPr>
                <w:rFonts w:ascii="Arial" w:eastAsia="Times New Roman" w:hAnsi="Arial" w:cs="Arial"/>
                <w:b/>
                <w:bCs/>
                <w:color w:val="FFFFFF"/>
                <w:sz w:val="16"/>
                <w:szCs w:val="16"/>
              </w:rPr>
            </w:pPr>
            <w:r w:rsidRPr="00353C6A">
              <w:rPr>
                <w:rFonts w:ascii="Arial" w:eastAsia="Times New Roman" w:hAnsi="Arial" w:cs="Arial"/>
                <w:b/>
                <w:bCs/>
                <w:color w:val="FFFFFF"/>
                <w:sz w:val="16"/>
                <w:szCs w:val="16"/>
              </w:rPr>
              <w:t>1.51</w:t>
            </w:r>
          </w:p>
        </w:tc>
      </w:tr>
      <w:tr w:rsidR="00353C6A" w:rsidRPr="00C4057E" w14:paraId="26601EE4" w14:textId="77777777" w:rsidTr="00992EC5">
        <w:trPr>
          <w:trHeight w:val="432"/>
        </w:trPr>
        <w:tc>
          <w:tcPr>
            <w:tcW w:w="1065" w:type="dxa"/>
            <w:tcBorders>
              <w:top w:val="nil"/>
              <w:left w:val="single" w:sz="18" w:space="0" w:color="auto"/>
              <w:bottom w:val="single" w:sz="4" w:space="0" w:color="auto"/>
              <w:right w:val="single" w:sz="4" w:space="0" w:color="auto"/>
            </w:tcBorders>
            <w:shd w:val="clear" w:color="auto" w:fill="auto"/>
            <w:noWrap/>
            <w:vAlign w:val="center"/>
            <w:hideMark/>
          </w:tcPr>
          <w:p w14:paraId="08515E33" w14:textId="77777777" w:rsidR="004801DC" w:rsidRPr="00353C6A" w:rsidRDefault="004801DC" w:rsidP="0051240A">
            <w:pPr>
              <w:spacing w:after="0" w:line="240" w:lineRule="auto"/>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Penn Power</w:t>
            </w:r>
          </w:p>
        </w:tc>
        <w:tc>
          <w:tcPr>
            <w:tcW w:w="1170" w:type="dxa"/>
            <w:tcBorders>
              <w:top w:val="nil"/>
              <w:left w:val="nil"/>
              <w:bottom w:val="single" w:sz="4" w:space="0" w:color="auto"/>
              <w:right w:val="single" w:sz="4" w:space="0" w:color="auto"/>
            </w:tcBorders>
            <w:shd w:val="clear" w:color="auto" w:fill="auto"/>
            <w:noWrap/>
            <w:vAlign w:val="center"/>
            <w:hideMark/>
          </w:tcPr>
          <w:p w14:paraId="34978F9D" w14:textId="77777777" w:rsidR="004801DC" w:rsidRPr="00353C6A" w:rsidRDefault="004801DC" w:rsidP="0051240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1.12</w:t>
            </w:r>
          </w:p>
        </w:tc>
        <w:tc>
          <w:tcPr>
            <w:tcW w:w="990" w:type="dxa"/>
            <w:tcBorders>
              <w:top w:val="nil"/>
              <w:left w:val="nil"/>
              <w:bottom w:val="single" w:sz="4" w:space="0" w:color="auto"/>
              <w:right w:val="single" w:sz="4" w:space="0" w:color="auto"/>
            </w:tcBorders>
            <w:shd w:val="clear" w:color="auto" w:fill="auto"/>
            <w:noWrap/>
            <w:vAlign w:val="center"/>
            <w:hideMark/>
          </w:tcPr>
          <w:p w14:paraId="356D3FA5" w14:textId="77777777" w:rsidR="004801DC" w:rsidRPr="00353C6A" w:rsidRDefault="004801DC" w:rsidP="00DC618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1.34</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3B2F6CF7" w14:textId="77777777" w:rsidR="004801DC" w:rsidRPr="00353C6A" w:rsidRDefault="004801DC" w:rsidP="00DC618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1.23</w:t>
            </w:r>
          </w:p>
        </w:tc>
        <w:tc>
          <w:tcPr>
            <w:tcW w:w="270" w:type="dxa"/>
            <w:tcBorders>
              <w:top w:val="nil"/>
              <w:left w:val="single" w:sz="4" w:space="0" w:color="auto"/>
              <w:bottom w:val="single" w:sz="4" w:space="0" w:color="auto"/>
              <w:right w:val="single" w:sz="4" w:space="0" w:color="auto"/>
            </w:tcBorders>
            <w:shd w:val="clear" w:color="auto" w:fill="000000" w:themeFill="text1"/>
            <w:vAlign w:val="center"/>
          </w:tcPr>
          <w:p w14:paraId="25741946" w14:textId="77777777" w:rsidR="004801DC" w:rsidRPr="00353C6A" w:rsidRDefault="004801DC" w:rsidP="00992EC5">
            <w:pPr>
              <w:spacing w:after="0" w:line="240" w:lineRule="auto"/>
              <w:jc w:val="center"/>
              <w:rPr>
                <w:rFonts w:ascii="Arial" w:eastAsia="Times New Roman" w:hAnsi="Arial" w:cs="Arial"/>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FF0000"/>
            <w:vAlign w:val="center"/>
          </w:tcPr>
          <w:p w14:paraId="71FA483A" w14:textId="77777777" w:rsidR="004801DC" w:rsidRPr="00353C6A" w:rsidRDefault="00996145" w:rsidP="00992EC5">
            <w:pPr>
              <w:spacing w:after="0" w:line="240" w:lineRule="auto"/>
              <w:jc w:val="center"/>
              <w:rPr>
                <w:rFonts w:ascii="Arial" w:eastAsia="Times New Roman" w:hAnsi="Arial" w:cs="Arial"/>
                <w:b/>
                <w:color w:val="000000"/>
                <w:sz w:val="16"/>
                <w:szCs w:val="16"/>
              </w:rPr>
            </w:pPr>
            <w:r w:rsidRPr="00353C6A">
              <w:rPr>
                <w:rFonts w:ascii="Arial" w:eastAsia="Times New Roman" w:hAnsi="Arial" w:cs="Arial"/>
                <w:b/>
                <w:color w:val="FFFFFF" w:themeColor="background1"/>
                <w:sz w:val="16"/>
                <w:szCs w:val="16"/>
              </w:rPr>
              <w:t>1.35</w:t>
            </w:r>
          </w:p>
        </w:tc>
        <w:tc>
          <w:tcPr>
            <w:tcW w:w="630" w:type="dxa"/>
            <w:tcBorders>
              <w:top w:val="single" w:sz="4" w:space="0" w:color="auto"/>
              <w:left w:val="single" w:sz="4" w:space="0" w:color="auto"/>
              <w:bottom w:val="single" w:sz="4" w:space="0" w:color="auto"/>
              <w:right w:val="single" w:sz="4" w:space="0" w:color="auto"/>
            </w:tcBorders>
            <w:vAlign w:val="center"/>
          </w:tcPr>
          <w:p w14:paraId="29B1C2F2" w14:textId="77777777" w:rsidR="004801DC" w:rsidRPr="00353C6A" w:rsidRDefault="00E15B2B"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1.18</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3908AB8" w14:textId="77777777" w:rsidR="004801DC" w:rsidRPr="00353C6A" w:rsidRDefault="004801DC"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1.11</w:t>
            </w:r>
          </w:p>
        </w:tc>
        <w:tc>
          <w:tcPr>
            <w:tcW w:w="630" w:type="dxa"/>
            <w:tcBorders>
              <w:top w:val="nil"/>
              <w:left w:val="nil"/>
              <w:bottom w:val="single" w:sz="4" w:space="0" w:color="auto"/>
              <w:right w:val="single" w:sz="12" w:space="0" w:color="auto"/>
            </w:tcBorders>
            <w:shd w:val="clear" w:color="auto" w:fill="auto"/>
            <w:noWrap/>
            <w:vAlign w:val="center"/>
            <w:hideMark/>
          </w:tcPr>
          <w:p w14:paraId="7B266F49" w14:textId="77777777" w:rsidR="004801DC" w:rsidRPr="00353C6A" w:rsidRDefault="004801DC"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1.21</w:t>
            </w:r>
          </w:p>
        </w:tc>
        <w:tc>
          <w:tcPr>
            <w:tcW w:w="540" w:type="dxa"/>
            <w:tcBorders>
              <w:top w:val="nil"/>
              <w:left w:val="nil"/>
              <w:bottom w:val="single" w:sz="4" w:space="0" w:color="auto"/>
              <w:right w:val="single" w:sz="4" w:space="0" w:color="auto"/>
            </w:tcBorders>
            <w:shd w:val="clear" w:color="auto" w:fill="auto"/>
            <w:noWrap/>
            <w:vAlign w:val="center"/>
            <w:hideMark/>
          </w:tcPr>
          <w:p w14:paraId="0C883770" w14:textId="77777777" w:rsidR="004801DC" w:rsidRPr="00353C6A" w:rsidRDefault="004801DC"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1.14</w:t>
            </w:r>
          </w:p>
        </w:tc>
        <w:tc>
          <w:tcPr>
            <w:tcW w:w="540" w:type="dxa"/>
            <w:gridSpan w:val="2"/>
            <w:tcBorders>
              <w:top w:val="nil"/>
              <w:left w:val="nil"/>
              <w:bottom w:val="single" w:sz="4" w:space="0" w:color="auto"/>
              <w:right w:val="nil"/>
            </w:tcBorders>
            <w:shd w:val="clear" w:color="auto" w:fill="auto"/>
            <w:noWrap/>
            <w:vAlign w:val="center"/>
            <w:hideMark/>
          </w:tcPr>
          <w:p w14:paraId="60C37729" w14:textId="77777777" w:rsidR="004801DC" w:rsidRPr="00353C6A" w:rsidRDefault="004801DC"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1.20</w:t>
            </w:r>
          </w:p>
        </w:tc>
        <w:tc>
          <w:tcPr>
            <w:tcW w:w="540" w:type="dxa"/>
            <w:tcBorders>
              <w:top w:val="nil"/>
              <w:left w:val="single" w:sz="12" w:space="0" w:color="auto"/>
              <w:bottom w:val="single" w:sz="4" w:space="0" w:color="auto"/>
              <w:right w:val="single" w:sz="4" w:space="0" w:color="auto"/>
            </w:tcBorders>
            <w:shd w:val="clear" w:color="auto" w:fill="auto"/>
            <w:noWrap/>
            <w:vAlign w:val="center"/>
            <w:hideMark/>
          </w:tcPr>
          <w:p w14:paraId="45BF57EE" w14:textId="77777777" w:rsidR="004801DC" w:rsidRPr="00353C6A" w:rsidRDefault="004801DC"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1.09</w:t>
            </w:r>
          </w:p>
        </w:tc>
        <w:tc>
          <w:tcPr>
            <w:tcW w:w="630" w:type="dxa"/>
            <w:tcBorders>
              <w:top w:val="nil"/>
              <w:left w:val="nil"/>
              <w:bottom w:val="single" w:sz="4" w:space="0" w:color="auto"/>
              <w:right w:val="single" w:sz="12" w:space="0" w:color="auto"/>
            </w:tcBorders>
            <w:shd w:val="clear" w:color="auto" w:fill="auto"/>
            <w:noWrap/>
            <w:vAlign w:val="center"/>
            <w:hideMark/>
          </w:tcPr>
          <w:p w14:paraId="589D1ED9" w14:textId="77777777" w:rsidR="004801DC" w:rsidRPr="00353C6A" w:rsidRDefault="004801DC"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1.11</w:t>
            </w:r>
          </w:p>
        </w:tc>
        <w:tc>
          <w:tcPr>
            <w:tcW w:w="540" w:type="dxa"/>
            <w:tcBorders>
              <w:top w:val="nil"/>
              <w:left w:val="nil"/>
              <w:bottom w:val="single" w:sz="4" w:space="0" w:color="auto"/>
              <w:right w:val="single" w:sz="4" w:space="0" w:color="auto"/>
            </w:tcBorders>
            <w:shd w:val="clear" w:color="auto" w:fill="auto"/>
            <w:noWrap/>
            <w:vAlign w:val="center"/>
            <w:hideMark/>
          </w:tcPr>
          <w:p w14:paraId="1EB55F6C" w14:textId="77777777" w:rsidR="004801DC" w:rsidRPr="00353C6A" w:rsidRDefault="004801DC"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1.06</w:t>
            </w:r>
          </w:p>
        </w:tc>
        <w:tc>
          <w:tcPr>
            <w:tcW w:w="630" w:type="dxa"/>
            <w:tcBorders>
              <w:top w:val="nil"/>
              <w:left w:val="nil"/>
              <w:bottom w:val="single" w:sz="4" w:space="0" w:color="auto"/>
              <w:right w:val="single" w:sz="18" w:space="0" w:color="auto"/>
            </w:tcBorders>
            <w:shd w:val="clear" w:color="auto" w:fill="auto"/>
            <w:noWrap/>
            <w:vAlign w:val="center"/>
            <w:hideMark/>
          </w:tcPr>
          <w:p w14:paraId="2F1A7DFD" w14:textId="77777777" w:rsidR="004801DC" w:rsidRPr="00353C6A" w:rsidRDefault="004801DC"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1.10</w:t>
            </w:r>
          </w:p>
        </w:tc>
      </w:tr>
      <w:tr w:rsidR="00353C6A" w:rsidRPr="00C4057E" w14:paraId="3B1867B2" w14:textId="77777777" w:rsidTr="00992EC5">
        <w:trPr>
          <w:trHeight w:val="432"/>
        </w:trPr>
        <w:tc>
          <w:tcPr>
            <w:tcW w:w="1065" w:type="dxa"/>
            <w:tcBorders>
              <w:top w:val="nil"/>
              <w:left w:val="single" w:sz="18" w:space="0" w:color="auto"/>
              <w:bottom w:val="single" w:sz="18" w:space="0" w:color="auto"/>
              <w:right w:val="single" w:sz="4" w:space="0" w:color="auto"/>
            </w:tcBorders>
            <w:shd w:val="clear" w:color="auto" w:fill="auto"/>
            <w:noWrap/>
            <w:vAlign w:val="center"/>
            <w:hideMark/>
          </w:tcPr>
          <w:p w14:paraId="508DCB59" w14:textId="77777777" w:rsidR="004801DC" w:rsidRPr="00353C6A" w:rsidRDefault="004801DC" w:rsidP="0051240A">
            <w:pPr>
              <w:spacing w:after="0" w:line="240" w:lineRule="auto"/>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West Penn Power</w:t>
            </w:r>
          </w:p>
        </w:tc>
        <w:tc>
          <w:tcPr>
            <w:tcW w:w="1170" w:type="dxa"/>
            <w:tcBorders>
              <w:top w:val="nil"/>
              <w:left w:val="nil"/>
              <w:bottom w:val="single" w:sz="18" w:space="0" w:color="auto"/>
              <w:right w:val="single" w:sz="4" w:space="0" w:color="auto"/>
            </w:tcBorders>
            <w:shd w:val="clear" w:color="auto" w:fill="auto"/>
            <w:noWrap/>
            <w:vAlign w:val="center"/>
            <w:hideMark/>
          </w:tcPr>
          <w:p w14:paraId="6ABEE9D9" w14:textId="77777777" w:rsidR="004801DC" w:rsidRPr="00353C6A" w:rsidRDefault="004801DC" w:rsidP="0051240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1.05</w:t>
            </w:r>
          </w:p>
        </w:tc>
        <w:tc>
          <w:tcPr>
            <w:tcW w:w="990" w:type="dxa"/>
            <w:tcBorders>
              <w:top w:val="nil"/>
              <w:left w:val="nil"/>
              <w:bottom w:val="single" w:sz="18" w:space="0" w:color="auto"/>
              <w:right w:val="single" w:sz="4" w:space="0" w:color="auto"/>
            </w:tcBorders>
            <w:shd w:val="clear" w:color="auto" w:fill="auto"/>
            <w:noWrap/>
            <w:vAlign w:val="center"/>
            <w:hideMark/>
          </w:tcPr>
          <w:p w14:paraId="391E25D7" w14:textId="77777777" w:rsidR="004801DC" w:rsidRPr="00353C6A" w:rsidRDefault="004801DC" w:rsidP="00DC618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1.26</w:t>
            </w:r>
          </w:p>
        </w:tc>
        <w:tc>
          <w:tcPr>
            <w:tcW w:w="990" w:type="dxa"/>
            <w:tcBorders>
              <w:top w:val="single" w:sz="4" w:space="0" w:color="auto"/>
              <w:left w:val="nil"/>
              <w:bottom w:val="single" w:sz="18" w:space="0" w:color="auto"/>
              <w:right w:val="single" w:sz="4" w:space="0" w:color="auto"/>
            </w:tcBorders>
            <w:shd w:val="clear" w:color="auto" w:fill="auto"/>
            <w:noWrap/>
            <w:vAlign w:val="center"/>
            <w:hideMark/>
          </w:tcPr>
          <w:p w14:paraId="549E742F" w14:textId="77777777" w:rsidR="004801DC" w:rsidRPr="00353C6A" w:rsidRDefault="004801DC" w:rsidP="00DC618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1.16</w:t>
            </w:r>
          </w:p>
        </w:tc>
        <w:tc>
          <w:tcPr>
            <w:tcW w:w="270" w:type="dxa"/>
            <w:tcBorders>
              <w:top w:val="nil"/>
              <w:left w:val="single" w:sz="4" w:space="0" w:color="auto"/>
              <w:bottom w:val="single" w:sz="18" w:space="0" w:color="auto"/>
              <w:right w:val="single" w:sz="4" w:space="0" w:color="auto"/>
            </w:tcBorders>
            <w:shd w:val="clear" w:color="auto" w:fill="000000" w:themeFill="text1"/>
            <w:vAlign w:val="center"/>
          </w:tcPr>
          <w:p w14:paraId="5DDC0910" w14:textId="77777777" w:rsidR="004801DC" w:rsidRPr="00353C6A" w:rsidRDefault="004801DC" w:rsidP="00992EC5">
            <w:pPr>
              <w:spacing w:after="0" w:line="240" w:lineRule="auto"/>
              <w:jc w:val="center"/>
              <w:rPr>
                <w:rFonts w:ascii="Arial" w:eastAsia="Times New Roman" w:hAnsi="Arial" w:cs="Arial"/>
                <w:color w:val="000000"/>
                <w:sz w:val="16"/>
                <w:szCs w:val="16"/>
              </w:rPr>
            </w:pPr>
          </w:p>
        </w:tc>
        <w:tc>
          <w:tcPr>
            <w:tcW w:w="540" w:type="dxa"/>
            <w:tcBorders>
              <w:top w:val="single" w:sz="4" w:space="0" w:color="auto"/>
              <w:left w:val="single" w:sz="4" w:space="0" w:color="auto"/>
              <w:bottom w:val="single" w:sz="18" w:space="0" w:color="auto"/>
              <w:right w:val="single" w:sz="4" w:space="0" w:color="auto"/>
            </w:tcBorders>
            <w:vAlign w:val="center"/>
          </w:tcPr>
          <w:p w14:paraId="5D548A6B" w14:textId="77777777" w:rsidR="004801DC"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1.21</w:t>
            </w:r>
          </w:p>
        </w:tc>
        <w:tc>
          <w:tcPr>
            <w:tcW w:w="630" w:type="dxa"/>
            <w:tcBorders>
              <w:top w:val="single" w:sz="4" w:space="0" w:color="auto"/>
              <w:left w:val="single" w:sz="4" w:space="0" w:color="auto"/>
              <w:bottom w:val="single" w:sz="18" w:space="0" w:color="auto"/>
              <w:right w:val="single" w:sz="4" w:space="0" w:color="auto"/>
            </w:tcBorders>
            <w:shd w:val="clear" w:color="auto" w:fill="FF0000"/>
            <w:vAlign w:val="center"/>
          </w:tcPr>
          <w:p w14:paraId="0F4F2263" w14:textId="77777777" w:rsidR="004801DC" w:rsidRPr="00353C6A" w:rsidRDefault="00E15B2B" w:rsidP="00992EC5">
            <w:pPr>
              <w:spacing w:after="0" w:line="240" w:lineRule="auto"/>
              <w:jc w:val="center"/>
              <w:rPr>
                <w:rFonts w:ascii="Arial" w:eastAsia="Times New Roman" w:hAnsi="Arial" w:cs="Arial"/>
                <w:b/>
                <w:color w:val="000000"/>
                <w:sz w:val="16"/>
                <w:szCs w:val="16"/>
              </w:rPr>
            </w:pPr>
            <w:r w:rsidRPr="00353C6A">
              <w:rPr>
                <w:rFonts w:ascii="Arial" w:eastAsia="Times New Roman" w:hAnsi="Arial" w:cs="Arial"/>
                <w:b/>
                <w:color w:val="FFFFFF" w:themeColor="background1"/>
                <w:sz w:val="16"/>
                <w:szCs w:val="16"/>
              </w:rPr>
              <w:t>1.23</w:t>
            </w:r>
          </w:p>
        </w:tc>
        <w:tc>
          <w:tcPr>
            <w:tcW w:w="540" w:type="dxa"/>
            <w:tcBorders>
              <w:top w:val="nil"/>
              <w:left w:val="single" w:sz="4" w:space="0" w:color="auto"/>
              <w:bottom w:val="single" w:sz="18" w:space="0" w:color="auto"/>
              <w:right w:val="single" w:sz="4" w:space="0" w:color="auto"/>
            </w:tcBorders>
            <w:shd w:val="clear" w:color="auto" w:fill="auto"/>
            <w:noWrap/>
            <w:vAlign w:val="center"/>
            <w:hideMark/>
          </w:tcPr>
          <w:p w14:paraId="69E6D893" w14:textId="77777777" w:rsidR="004801DC" w:rsidRPr="00353C6A" w:rsidRDefault="004801DC"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1.02</w:t>
            </w:r>
          </w:p>
        </w:tc>
        <w:tc>
          <w:tcPr>
            <w:tcW w:w="630" w:type="dxa"/>
            <w:tcBorders>
              <w:top w:val="nil"/>
              <w:left w:val="nil"/>
              <w:bottom w:val="single" w:sz="18" w:space="0" w:color="auto"/>
              <w:right w:val="single" w:sz="12" w:space="0" w:color="auto"/>
            </w:tcBorders>
            <w:shd w:val="clear" w:color="auto" w:fill="auto"/>
            <w:noWrap/>
            <w:vAlign w:val="center"/>
            <w:hideMark/>
          </w:tcPr>
          <w:p w14:paraId="580F6A79" w14:textId="77777777" w:rsidR="004801DC" w:rsidRPr="00353C6A" w:rsidRDefault="004801DC"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1.10</w:t>
            </w:r>
          </w:p>
        </w:tc>
        <w:tc>
          <w:tcPr>
            <w:tcW w:w="540" w:type="dxa"/>
            <w:tcBorders>
              <w:top w:val="nil"/>
              <w:left w:val="nil"/>
              <w:bottom w:val="single" w:sz="18" w:space="0" w:color="auto"/>
              <w:right w:val="single" w:sz="4" w:space="0" w:color="auto"/>
            </w:tcBorders>
            <w:shd w:val="clear" w:color="auto" w:fill="auto"/>
            <w:noWrap/>
            <w:vAlign w:val="center"/>
            <w:hideMark/>
          </w:tcPr>
          <w:p w14:paraId="62749373" w14:textId="77777777" w:rsidR="004801DC" w:rsidRPr="00353C6A" w:rsidRDefault="004801DC"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1.17</w:t>
            </w:r>
          </w:p>
        </w:tc>
        <w:tc>
          <w:tcPr>
            <w:tcW w:w="540" w:type="dxa"/>
            <w:gridSpan w:val="2"/>
            <w:tcBorders>
              <w:top w:val="nil"/>
              <w:left w:val="nil"/>
              <w:bottom w:val="single" w:sz="18" w:space="0" w:color="auto"/>
              <w:right w:val="nil"/>
            </w:tcBorders>
            <w:shd w:val="clear" w:color="auto" w:fill="auto"/>
            <w:noWrap/>
            <w:vAlign w:val="center"/>
            <w:hideMark/>
          </w:tcPr>
          <w:p w14:paraId="2D498768" w14:textId="77777777" w:rsidR="004801DC" w:rsidRPr="00353C6A" w:rsidRDefault="004801DC"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1.13</w:t>
            </w:r>
          </w:p>
        </w:tc>
        <w:tc>
          <w:tcPr>
            <w:tcW w:w="540" w:type="dxa"/>
            <w:tcBorders>
              <w:top w:val="nil"/>
              <w:left w:val="single" w:sz="12" w:space="0" w:color="auto"/>
              <w:bottom w:val="single" w:sz="18" w:space="0" w:color="auto"/>
              <w:right w:val="single" w:sz="4" w:space="0" w:color="auto"/>
            </w:tcBorders>
            <w:shd w:val="clear" w:color="auto" w:fill="auto"/>
            <w:noWrap/>
            <w:vAlign w:val="center"/>
            <w:hideMark/>
          </w:tcPr>
          <w:p w14:paraId="78DC7872" w14:textId="77777777" w:rsidR="004801DC" w:rsidRPr="00353C6A" w:rsidRDefault="004801DC"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1.08</w:t>
            </w:r>
          </w:p>
        </w:tc>
        <w:tc>
          <w:tcPr>
            <w:tcW w:w="630" w:type="dxa"/>
            <w:tcBorders>
              <w:top w:val="nil"/>
              <w:left w:val="nil"/>
              <w:bottom w:val="single" w:sz="18" w:space="0" w:color="auto"/>
              <w:right w:val="single" w:sz="12" w:space="0" w:color="auto"/>
            </w:tcBorders>
            <w:shd w:val="clear" w:color="auto" w:fill="auto"/>
            <w:noWrap/>
            <w:vAlign w:val="center"/>
            <w:hideMark/>
          </w:tcPr>
          <w:p w14:paraId="3D059B2F" w14:textId="77777777" w:rsidR="004801DC" w:rsidRPr="00353C6A" w:rsidRDefault="004801DC"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1.09</w:t>
            </w:r>
          </w:p>
        </w:tc>
        <w:tc>
          <w:tcPr>
            <w:tcW w:w="540" w:type="dxa"/>
            <w:tcBorders>
              <w:top w:val="nil"/>
              <w:left w:val="nil"/>
              <w:bottom w:val="single" w:sz="18" w:space="0" w:color="auto"/>
              <w:right w:val="single" w:sz="4" w:space="0" w:color="auto"/>
            </w:tcBorders>
            <w:shd w:val="clear" w:color="000000" w:fill="FF0000"/>
            <w:noWrap/>
            <w:vAlign w:val="center"/>
            <w:hideMark/>
          </w:tcPr>
          <w:p w14:paraId="1B1F37F6" w14:textId="77777777" w:rsidR="004801DC" w:rsidRPr="00353C6A" w:rsidRDefault="004801DC" w:rsidP="00992EC5">
            <w:pPr>
              <w:spacing w:after="0" w:line="240" w:lineRule="auto"/>
              <w:jc w:val="center"/>
              <w:rPr>
                <w:rFonts w:ascii="Arial" w:eastAsia="Times New Roman" w:hAnsi="Arial" w:cs="Arial"/>
                <w:b/>
                <w:bCs/>
                <w:color w:val="FFFFFF"/>
                <w:sz w:val="16"/>
                <w:szCs w:val="16"/>
              </w:rPr>
            </w:pPr>
            <w:r w:rsidRPr="00353C6A">
              <w:rPr>
                <w:rFonts w:ascii="Arial" w:eastAsia="Times New Roman" w:hAnsi="Arial" w:cs="Arial"/>
                <w:b/>
                <w:bCs/>
                <w:color w:val="FFFFFF"/>
                <w:sz w:val="16"/>
                <w:szCs w:val="16"/>
              </w:rPr>
              <w:t>1.29</w:t>
            </w:r>
          </w:p>
        </w:tc>
        <w:tc>
          <w:tcPr>
            <w:tcW w:w="630" w:type="dxa"/>
            <w:tcBorders>
              <w:top w:val="nil"/>
              <w:left w:val="nil"/>
              <w:bottom w:val="single" w:sz="18" w:space="0" w:color="auto"/>
              <w:right w:val="single" w:sz="18" w:space="0" w:color="auto"/>
            </w:tcBorders>
            <w:shd w:val="clear" w:color="000000" w:fill="FF0000"/>
            <w:noWrap/>
            <w:vAlign w:val="center"/>
            <w:hideMark/>
          </w:tcPr>
          <w:p w14:paraId="17B2A2B3" w14:textId="77777777" w:rsidR="004801DC" w:rsidRPr="00353C6A" w:rsidRDefault="004801DC" w:rsidP="00992EC5">
            <w:pPr>
              <w:spacing w:after="0" w:line="240" w:lineRule="auto"/>
              <w:jc w:val="center"/>
              <w:rPr>
                <w:rFonts w:ascii="Arial" w:eastAsia="Times New Roman" w:hAnsi="Arial" w:cs="Arial"/>
                <w:b/>
                <w:bCs/>
                <w:color w:val="FFFFFF"/>
                <w:sz w:val="16"/>
                <w:szCs w:val="16"/>
              </w:rPr>
            </w:pPr>
            <w:r w:rsidRPr="00353C6A">
              <w:rPr>
                <w:rFonts w:ascii="Arial" w:eastAsia="Times New Roman" w:hAnsi="Arial" w:cs="Arial"/>
                <w:b/>
                <w:bCs/>
                <w:color w:val="FFFFFF"/>
                <w:sz w:val="16"/>
                <w:szCs w:val="16"/>
              </w:rPr>
              <w:t>1.18</w:t>
            </w:r>
          </w:p>
        </w:tc>
      </w:tr>
      <w:tr w:rsidR="00353C6A" w:rsidRPr="00C4057E" w14:paraId="035E6F8B" w14:textId="77777777" w:rsidTr="00992EC5">
        <w:trPr>
          <w:trHeight w:val="144"/>
        </w:trPr>
        <w:tc>
          <w:tcPr>
            <w:tcW w:w="1065" w:type="dxa"/>
            <w:vMerge w:val="restart"/>
            <w:tcBorders>
              <w:top w:val="single" w:sz="18" w:space="0" w:color="auto"/>
              <w:left w:val="single" w:sz="18" w:space="0" w:color="auto"/>
              <w:bottom w:val="single" w:sz="4" w:space="0" w:color="auto"/>
              <w:right w:val="single" w:sz="4" w:space="0" w:color="auto"/>
            </w:tcBorders>
            <w:shd w:val="clear" w:color="000000" w:fill="D9D9D9"/>
            <w:noWrap/>
            <w:vAlign w:val="bottom"/>
            <w:hideMark/>
          </w:tcPr>
          <w:p w14:paraId="324EFA1F" w14:textId="77777777" w:rsidR="005C05F2" w:rsidRPr="00353C6A" w:rsidRDefault="005C05F2" w:rsidP="005C05F2">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Company</w:t>
            </w:r>
          </w:p>
        </w:tc>
        <w:tc>
          <w:tcPr>
            <w:tcW w:w="1170" w:type="dxa"/>
            <w:vMerge w:val="restart"/>
            <w:tcBorders>
              <w:top w:val="single" w:sz="18" w:space="0" w:color="auto"/>
              <w:left w:val="single" w:sz="4" w:space="0" w:color="auto"/>
              <w:bottom w:val="single" w:sz="4" w:space="0" w:color="auto"/>
              <w:right w:val="single" w:sz="4" w:space="0" w:color="auto"/>
            </w:tcBorders>
            <w:shd w:val="clear" w:color="000000" w:fill="D9D9D9"/>
            <w:noWrap/>
            <w:vAlign w:val="bottom"/>
            <w:hideMark/>
          </w:tcPr>
          <w:p w14:paraId="1ADE44AA" w14:textId="77777777" w:rsidR="005C05F2" w:rsidRPr="00353C6A" w:rsidRDefault="005C05F2" w:rsidP="005C05F2">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CAIDI Benchmark</w:t>
            </w:r>
          </w:p>
        </w:tc>
        <w:tc>
          <w:tcPr>
            <w:tcW w:w="990" w:type="dxa"/>
            <w:vMerge w:val="restart"/>
            <w:tcBorders>
              <w:top w:val="single" w:sz="18" w:space="0" w:color="auto"/>
              <w:left w:val="single" w:sz="4" w:space="0" w:color="auto"/>
              <w:bottom w:val="single" w:sz="4" w:space="0" w:color="auto"/>
              <w:right w:val="single" w:sz="4" w:space="0" w:color="auto"/>
            </w:tcBorders>
            <w:shd w:val="clear" w:color="000000" w:fill="D9D9D9"/>
            <w:noWrap/>
            <w:vAlign w:val="bottom"/>
            <w:hideMark/>
          </w:tcPr>
          <w:p w14:paraId="5BFCF995" w14:textId="77777777" w:rsidR="005C05F2" w:rsidRPr="00353C6A" w:rsidRDefault="005C05F2" w:rsidP="005C05F2">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CAIDI</w:t>
            </w:r>
          </w:p>
          <w:p w14:paraId="12FFC271" w14:textId="77777777" w:rsidR="005C05F2" w:rsidRPr="00353C6A" w:rsidRDefault="005C05F2" w:rsidP="005C05F2">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12 Month Standard</w:t>
            </w:r>
          </w:p>
        </w:tc>
        <w:tc>
          <w:tcPr>
            <w:tcW w:w="990" w:type="dxa"/>
            <w:vMerge w:val="restart"/>
            <w:tcBorders>
              <w:top w:val="single" w:sz="18" w:space="0" w:color="auto"/>
              <w:left w:val="single" w:sz="4" w:space="0" w:color="auto"/>
              <w:bottom w:val="single" w:sz="4" w:space="0" w:color="auto"/>
              <w:right w:val="single" w:sz="4" w:space="0" w:color="auto"/>
            </w:tcBorders>
            <w:shd w:val="clear" w:color="000000" w:fill="D9D9D9"/>
            <w:noWrap/>
            <w:vAlign w:val="bottom"/>
            <w:hideMark/>
          </w:tcPr>
          <w:p w14:paraId="78D31F72" w14:textId="77777777" w:rsidR="005C05F2" w:rsidRPr="00353C6A" w:rsidRDefault="005C05F2" w:rsidP="005C05F2">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CAIDI</w:t>
            </w:r>
          </w:p>
          <w:p w14:paraId="566A53AC" w14:textId="77777777" w:rsidR="005C05F2" w:rsidRPr="00353C6A" w:rsidRDefault="005C05F2" w:rsidP="005C05F2">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36 Month Standard</w:t>
            </w:r>
          </w:p>
        </w:tc>
        <w:tc>
          <w:tcPr>
            <w:tcW w:w="270" w:type="dxa"/>
            <w:tcBorders>
              <w:top w:val="single" w:sz="18" w:space="0" w:color="auto"/>
              <w:left w:val="single" w:sz="4" w:space="0" w:color="auto"/>
              <w:bottom w:val="single" w:sz="4" w:space="0" w:color="auto"/>
              <w:right w:val="single" w:sz="4" w:space="0" w:color="auto"/>
            </w:tcBorders>
            <w:shd w:val="clear" w:color="auto" w:fill="000000" w:themeFill="text1"/>
          </w:tcPr>
          <w:p w14:paraId="4818BFAE" w14:textId="77777777" w:rsidR="005C05F2" w:rsidRPr="00353C6A" w:rsidRDefault="005C05F2" w:rsidP="005C05F2">
            <w:pPr>
              <w:spacing w:after="0" w:line="240" w:lineRule="auto"/>
              <w:jc w:val="center"/>
              <w:rPr>
                <w:rFonts w:ascii="Arial" w:eastAsia="Times New Roman" w:hAnsi="Arial" w:cs="Arial"/>
                <w:b/>
                <w:bCs/>
                <w:color w:val="000000"/>
                <w:sz w:val="16"/>
                <w:szCs w:val="16"/>
              </w:rPr>
            </w:pPr>
          </w:p>
        </w:tc>
        <w:tc>
          <w:tcPr>
            <w:tcW w:w="1170" w:type="dxa"/>
            <w:gridSpan w:val="2"/>
            <w:tcBorders>
              <w:top w:val="single" w:sz="18" w:space="0" w:color="auto"/>
              <w:left w:val="single" w:sz="4" w:space="0" w:color="auto"/>
              <w:bottom w:val="single" w:sz="4" w:space="0" w:color="auto"/>
              <w:right w:val="single" w:sz="4" w:space="0" w:color="auto"/>
            </w:tcBorders>
            <w:shd w:val="clear" w:color="000000" w:fill="D9D9D9"/>
            <w:vAlign w:val="bottom"/>
          </w:tcPr>
          <w:p w14:paraId="787E5A03" w14:textId="77777777" w:rsidR="005C05F2" w:rsidRPr="00353C6A" w:rsidRDefault="00996145" w:rsidP="005C05F2">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2013</w:t>
            </w:r>
          </w:p>
        </w:tc>
        <w:tc>
          <w:tcPr>
            <w:tcW w:w="1170" w:type="dxa"/>
            <w:gridSpan w:val="2"/>
            <w:tcBorders>
              <w:top w:val="single" w:sz="18" w:space="0" w:color="auto"/>
              <w:left w:val="single" w:sz="4" w:space="0" w:color="auto"/>
              <w:bottom w:val="single" w:sz="4" w:space="0" w:color="auto"/>
              <w:right w:val="single" w:sz="12" w:space="0" w:color="000000"/>
            </w:tcBorders>
            <w:shd w:val="clear" w:color="000000" w:fill="D9D9D9"/>
            <w:noWrap/>
            <w:vAlign w:val="bottom"/>
            <w:hideMark/>
          </w:tcPr>
          <w:p w14:paraId="22502332" w14:textId="77777777" w:rsidR="005C05F2" w:rsidRPr="00353C6A" w:rsidRDefault="005C05F2" w:rsidP="005C05F2">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2014</w:t>
            </w:r>
          </w:p>
        </w:tc>
        <w:tc>
          <w:tcPr>
            <w:tcW w:w="1080" w:type="dxa"/>
            <w:gridSpan w:val="3"/>
            <w:tcBorders>
              <w:top w:val="single" w:sz="18" w:space="0" w:color="auto"/>
              <w:left w:val="nil"/>
              <w:bottom w:val="single" w:sz="4" w:space="0" w:color="auto"/>
              <w:right w:val="single" w:sz="4" w:space="0" w:color="auto"/>
            </w:tcBorders>
            <w:shd w:val="clear" w:color="000000" w:fill="D9D9D9"/>
            <w:noWrap/>
            <w:vAlign w:val="bottom"/>
            <w:hideMark/>
          </w:tcPr>
          <w:p w14:paraId="7763039C" w14:textId="77777777" w:rsidR="005C05F2" w:rsidRPr="00353C6A" w:rsidRDefault="005C05F2" w:rsidP="005C05F2">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2015</w:t>
            </w:r>
          </w:p>
        </w:tc>
        <w:tc>
          <w:tcPr>
            <w:tcW w:w="1170" w:type="dxa"/>
            <w:gridSpan w:val="2"/>
            <w:tcBorders>
              <w:top w:val="single" w:sz="18" w:space="0" w:color="auto"/>
              <w:left w:val="single" w:sz="12" w:space="0" w:color="auto"/>
              <w:bottom w:val="single" w:sz="4" w:space="0" w:color="auto"/>
              <w:right w:val="single" w:sz="12" w:space="0" w:color="000000"/>
            </w:tcBorders>
            <w:shd w:val="clear" w:color="000000" w:fill="D9D9D9"/>
            <w:noWrap/>
            <w:vAlign w:val="bottom"/>
            <w:hideMark/>
          </w:tcPr>
          <w:p w14:paraId="2C8E7EB2" w14:textId="77777777" w:rsidR="005C05F2" w:rsidRPr="00353C6A" w:rsidRDefault="005C05F2" w:rsidP="005C05F2">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2016</w:t>
            </w:r>
          </w:p>
        </w:tc>
        <w:tc>
          <w:tcPr>
            <w:tcW w:w="1170" w:type="dxa"/>
            <w:gridSpan w:val="2"/>
            <w:tcBorders>
              <w:top w:val="single" w:sz="18" w:space="0" w:color="auto"/>
              <w:left w:val="nil"/>
              <w:bottom w:val="single" w:sz="4" w:space="0" w:color="auto"/>
              <w:right w:val="single" w:sz="18" w:space="0" w:color="auto"/>
            </w:tcBorders>
            <w:shd w:val="clear" w:color="000000" w:fill="D9D9D9"/>
            <w:noWrap/>
            <w:vAlign w:val="bottom"/>
            <w:hideMark/>
          </w:tcPr>
          <w:p w14:paraId="719F326D" w14:textId="77777777" w:rsidR="005C05F2" w:rsidRPr="00353C6A" w:rsidRDefault="005C05F2" w:rsidP="005C05F2">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2017</w:t>
            </w:r>
          </w:p>
        </w:tc>
      </w:tr>
      <w:tr w:rsidR="00353C6A" w:rsidRPr="00C4057E" w14:paraId="39769997" w14:textId="77777777" w:rsidTr="00992EC5">
        <w:trPr>
          <w:trHeight w:val="288"/>
        </w:trPr>
        <w:tc>
          <w:tcPr>
            <w:tcW w:w="1065" w:type="dxa"/>
            <w:vMerge/>
            <w:tcBorders>
              <w:top w:val="nil"/>
              <w:left w:val="single" w:sz="18" w:space="0" w:color="auto"/>
              <w:bottom w:val="single" w:sz="4" w:space="0" w:color="auto"/>
              <w:right w:val="single" w:sz="4" w:space="0" w:color="auto"/>
            </w:tcBorders>
            <w:vAlign w:val="center"/>
            <w:hideMark/>
          </w:tcPr>
          <w:p w14:paraId="58E9E95B" w14:textId="77777777" w:rsidR="00996145" w:rsidRPr="00F5773C" w:rsidRDefault="00996145" w:rsidP="00996145">
            <w:pPr>
              <w:spacing w:after="0" w:line="240" w:lineRule="auto"/>
              <w:rPr>
                <w:rFonts w:ascii="Arial" w:eastAsia="Times New Roman" w:hAnsi="Arial" w:cs="Arial"/>
                <w:b/>
                <w:bCs/>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14:paraId="20AA3B4D" w14:textId="77777777" w:rsidR="00996145" w:rsidRPr="00F5773C" w:rsidRDefault="00996145" w:rsidP="00996145">
            <w:pPr>
              <w:spacing w:after="0" w:line="240" w:lineRule="auto"/>
              <w:rPr>
                <w:rFonts w:ascii="Arial" w:eastAsia="Times New Roman" w:hAnsi="Arial" w:cs="Arial"/>
                <w:b/>
                <w:bCs/>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14:paraId="3DB1BA63" w14:textId="77777777" w:rsidR="00996145" w:rsidRPr="00F5773C" w:rsidRDefault="00996145" w:rsidP="00996145">
            <w:pPr>
              <w:spacing w:after="0" w:line="240" w:lineRule="auto"/>
              <w:rPr>
                <w:rFonts w:ascii="Arial" w:eastAsia="Times New Roman" w:hAnsi="Arial" w:cs="Arial"/>
                <w:b/>
                <w:bCs/>
                <w:color w:val="000000"/>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6483164" w14:textId="77777777" w:rsidR="00996145" w:rsidRPr="00F5773C" w:rsidRDefault="00996145" w:rsidP="00996145">
            <w:pPr>
              <w:spacing w:after="0" w:line="240" w:lineRule="auto"/>
              <w:rPr>
                <w:rFonts w:ascii="Arial" w:eastAsia="Times New Roman" w:hAnsi="Arial" w:cs="Arial"/>
                <w:b/>
                <w:bCs/>
                <w:color w:val="000000"/>
                <w:sz w:val="16"/>
                <w:szCs w:val="16"/>
              </w:rPr>
            </w:pPr>
          </w:p>
        </w:tc>
        <w:tc>
          <w:tcPr>
            <w:tcW w:w="270" w:type="dxa"/>
            <w:tcBorders>
              <w:top w:val="nil"/>
              <w:left w:val="single" w:sz="4" w:space="0" w:color="auto"/>
              <w:bottom w:val="single" w:sz="4" w:space="0" w:color="auto"/>
              <w:right w:val="single" w:sz="4" w:space="0" w:color="auto"/>
            </w:tcBorders>
            <w:shd w:val="clear" w:color="auto" w:fill="000000" w:themeFill="text1"/>
          </w:tcPr>
          <w:p w14:paraId="7A9BC9D4" w14:textId="77777777" w:rsidR="00996145" w:rsidRPr="00F5773C" w:rsidRDefault="00996145" w:rsidP="00996145">
            <w:pPr>
              <w:spacing w:after="0" w:line="240" w:lineRule="auto"/>
              <w:jc w:val="center"/>
              <w:rPr>
                <w:rFonts w:ascii="Arial" w:eastAsia="Times New Roman" w:hAnsi="Arial" w:cs="Arial"/>
                <w:b/>
                <w:bCs/>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000000" w:fill="D9D9D9"/>
            <w:vAlign w:val="bottom"/>
          </w:tcPr>
          <w:p w14:paraId="459AB790" w14:textId="77777777" w:rsidR="00996145" w:rsidRPr="00F5773C" w:rsidRDefault="00996145" w:rsidP="0099614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12</w:t>
            </w:r>
          </w:p>
          <w:p w14:paraId="5B80D85E" w14:textId="77777777" w:rsidR="00996145" w:rsidRPr="00F5773C" w:rsidRDefault="00996145" w:rsidP="0099614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Mo.</w:t>
            </w:r>
          </w:p>
        </w:tc>
        <w:tc>
          <w:tcPr>
            <w:tcW w:w="630" w:type="dxa"/>
            <w:tcBorders>
              <w:top w:val="single" w:sz="4" w:space="0" w:color="auto"/>
              <w:left w:val="single" w:sz="4" w:space="0" w:color="auto"/>
              <w:bottom w:val="single" w:sz="4" w:space="0" w:color="auto"/>
              <w:right w:val="single" w:sz="4" w:space="0" w:color="auto"/>
            </w:tcBorders>
            <w:shd w:val="clear" w:color="000000" w:fill="D9D9D9"/>
            <w:vAlign w:val="bottom"/>
          </w:tcPr>
          <w:p w14:paraId="78F96BCE" w14:textId="77777777" w:rsidR="00996145" w:rsidRPr="00F5773C" w:rsidRDefault="00996145" w:rsidP="0099614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 xml:space="preserve">36 </w:t>
            </w:r>
          </w:p>
          <w:p w14:paraId="13A9BFFD" w14:textId="77777777" w:rsidR="00996145" w:rsidRPr="00F5773C" w:rsidRDefault="00996145" w:rsidP="0099614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Mo.</w:t>
            </w:r>
          </w:p>
        </w:tc>
        <w:tc>
          <w:tcPr>
            <w:tcW w:w="540" w:type="dxa"/>
            <w:tcBorders>
              <w:top w:val="nil"/>
              <w:left w:val="single" w:sz="4" w:space="0" w:color="auto"/>
              <w:bottom w:val="single" w:sz="4" w:space="0" w:color="auto"/>
              <w:right w:val="single" w:sz="4" w:space="0" w:color="auto"/>
            </w:tcBorders>
            <w:shd w:val="clear" w:color="000000" w:fill="D9D9D9"/>
            <w:noWrap/>
            <w:vAlign w:val="bottom"/>
            <w:hideMark/>
          </w:tcPr>
          <w:p w14:paraId="72371404" w14:textId="77777777" w:rsidR="00996145" w:rsidRPr="00F5773C" w:rsidRDefault="00996145" w:rsidP="0099614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12 Mo.</w:t>
            </w:r>
          </w:p>
        </w:tc>
        <w:tc>
          <w:tcPr>
            <w:tcW w:w="630" w:type="dxa"/>
            <w:tcBorders>
              <w:top w:val="nil"/>
              <w:left w:val="nil"/>
              <w:bottom w:val="single" w:sz="4" w:space="0" w:color="auto"/>
              <w:right w:val="single" w:sz="12" w:space="0" w:color="auto"/>
            </w:tcBorders>
            <w:shd w:val="clear" w:color="000000" w:fill="D9D9D9"/>
            <w:noWrap/>
            <w:vAlign w:val="bottom"/>
            <w:hideMark/>
          </w:tcPr>
          <w:p w14:paraId="4607C5C1" w14:textId="77777777" w:rsidR="00996145" w:rsidRPr="00F5773C" w:rsidRDefault="00996145" w:rsidP="0099614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36 Mo.</w:t>
            </w:r>
          </w:p>
        </w:tc>
        <w:tc>
          <w:tcPr>
            <w:tcW w:w="540" w:type="dxa"/>
            <w:tcBorders>
              <w:top w:val="nil"/>
              <w:left w:val="nil"/>
              <w:bottom w:val="single" w:sz="4" w:space="0" w:color="auto"/>
              <w:right w:val="single" w:sz="4" w:space="0" w:color="auto"/>
            </w:tcBorders>
            <w:shd w:val="clear" w:color="000000" w:fill="D9D9D9"/>
            <w:noWrap/>
            <w:vAlign w:val="bottom"/>
            <w:hideMark/>
          </w:tcPr>
          <w:p w14:paraId="333A50F6" w14:textId="77777777" w:rsidR="00996145" w:rsidRPr="00F5773C" w:rsidRDefault="00996145" w:rsidP="0099614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12 Mo.</w:t>
            </w:r>
          </w:p>
        </w:tc>
        <w:tc>
          <w:tcPr>
            <w:tcW w:w="540" w:type="dxa"/>
            <w:gridSpan w:val="2"/>
            <w:tcBorders>
              <w:top w:val="nil"/>
              <w:left w:val="nil"/>
              <w:bottom w:val="single" w:sz="4" w:space="0" w:color="auto"/>
              <w:right w:val="single" w:sz="12" w:space="0" w:color="auto"/>
            </w:tcBorders>
            <w:shd w:val="clear" w:color="000000" w:fill="D9D9D9"/>
            <w:noWrap/>
            <w:vAlign w:val="bottom"/>
            <w:hideMark/>
          </w:tcPr>
          <w:p w14:paraId="5F40AAA8" w14:textId="77777777" w:rsidR="00996145" w:rsidRPr="00F5773C" w:rsidRDefault="00996145" w:rsidP="0099614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36 Mo.</w:t>
            </w:r>
          </w:p>
        </w:tc>
        <w:tc>
          <w:tcPr>
            <w:tcW w:w="540" w:type="dxa"/>
            <w:tcBorders>
              <w:top w:val="nil"/>
              <w:left w:val="nil"/>
              <w:bottom w:val="single" w:sz="4" w:space="0" w:color="auto"/>
              <w:right w:val="single" w:sz="4" w:space="0" w:color="auto"/>
            </w:tcBorders>
            <w:shd w:val="clear" w:color="000000" w:fill="D9D9D9"/>
            <w:noWrap/>
            <w:vAlign w:val="bottom"/>
            <w:hideMark/>
          </w:tcPr>
          <w:p w14:paraId="4EDFDF33" w14:textId="77777777" w:rsidR="00996145" w:rsidRPr="00F5773C" w:rsidRDefault="00996145" w:rsidP="0099614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12 Mo.</w:t>
            </w:r>
          </w:p>
        </w:tc>
        <w:tc>
          <w:tcPr>
            <w:tcW w:w="630" w:type="dxa"/>
            <w:tcBorders>
              <w:top w:val="nil"/>
              <w:left w:val="nil"/>
              <w:bottom w:val="single" w:sz="4" w:space="0" w:color="auto"/>
              <w:right w:val="single" w:sz="12" w:space="0" w:color="auto"/>
            </w:tcBorders>
            <w:shd w:val="clear" w:color="000000" w:fill="D9D9D9"/>
            <w:noWrap/>
            <w:vAlign w:val="bottom"/>
            <w:hideMark/>
          </w:tcPr>
          <w:p w14:paraId="7D827E24" w14:textId="77777777" w:rsidR="00996145" w:rsidRPr="00F5773C" w:rsidRDefault="00996145" w:rsidP="0099614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36 Mo.</w:t>
            </w:r>
          </w:p>
        </w:tc>
        <w:tc>
          <w:tcPr>
            <w:tcW w:w="540" w:type="dxa"/>
            <w:tcBorders>
              <w:top w:val="nil"/>
              <w:left w:val="nil"/>
              <w:bottom w:val="single" w:sz="4" w:space="0" w:color="auto"/>
              <w:right w:val="single" w:sz="4" w:space="0" w:color="auto"/>
            </w:tcBorders>
            <w:shd w:val="clear" w:color="000000" w:fill="D9D9D9"/>
            <w:noWrap/>
            <w:vAlign w:val="bottom"/>
            <w:hideMark/>
          </w:tcPr>
          <w:p w14:paraId="122E2A62" w14:textId="77777777" w:rsidR="00996145" w:rsidRPr="00F5773C" w:rsidRDefault="00996145" w:rsidP="0099614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12 Mo.</w:t>
            </w:r>
          </w:p>
        </w:tc>
        <w:tc>
          <w:tcPr>
            <w:tcW w:w="630" w:type="dxa"/>
            <w:tcBorders>
              <w:top w:val="nil"/>
              <w:left w:val="nil"/>
              <w:bottom w:val="single" w:sz="4" w:space="0" w:color="auto"/>
              <w:right w:val="single" w:sz="18" w:space="0" w:color="auto"/>
            </w:tcBorders>
            <w:shd w:val="clear" w:color="000000" w:fill="D9D9D9"/>
            <w:noWrap/>
            <w:vAlign w:val="bottom"/>
            <w:hideMark/>
          </w:tcPr>
          <w:p w14:paraId="101CBC75" w14:textId="77777777" w:rsidR="00996145" w:rsidRPr="00F5773C" w:rsidRDefault="00996145" w:rsidP="0099614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36 Mo.</w:t>
            </w:r>
          </w:p>
        </w:tc>
      </w:tr>
      <w:tr w:rsidR="00353C6A" w:rsidRPr="00C4057E" w14:paraId="3D647AED" w14:textId="77777777" w:rsidTr="00992EC5">
        <w:trPr>
          <w:trHeight w:val="432"/>
        </w:trPr>
        <w:tc>
          <w:tcPr>
            <w:tcW w:w="1065" w:type="dxa"/>
            <w:tcBorders>
              <w:top w:val="nil"/>
              <w:left w:val="single" w:sz="18" w:space="0" w:color="auto"/>
              <w:bottom w:val="single" w:sz="4" w:space="0" w:color="auto"/>
              <w:right w:val="single" w:sz="4" w:space="0" w:color="auto"/>
            </w:tcBorders>
            <w:shd w:val="clear" w:color="auto" w:fill="auto"/>
            <w:noWrap/>
            <w:vAlign w:val="center"/>
            <w:hideMark/>
          </w:tcPr>
          <w:p w14:paraId="15EEFB77" w14:textId="77777777" w:rsidR="00996145" w:rsidRPr="00353C6A" w:rsidRDefault="00996145" w:rsidP="0051240A">
            <w:pPr>
              <w:spacing w:after="0" w:line="240" w:lineRule="auto"/>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Met-Ed</w:t>
            </w:r>
          </w:p>
        </w:tc>
        <w:tc>
          <w:tcPr>
            <w:tcW w:w="1170" w:type="dxa"/>
            <w:tcBorders>
              <w:top w:val="nil"/>
              <w:left w:val="nil"/>
              <w:bottom w:val="single" w:sz="4" w:space="0" w:color="auto"/>
              <w:right w:val="single" w:sz="4" w:space="0" w:color="auto"/>
            </w:tcBorders>
            <w:shd w:val="clear" w:color="auto" w:fill="auto"/>
            <w:noWrap/>
            <w:vAlign w:val="center"/>
            <w:hideMark/>
          </w:tcPr>
          <w:p w14:paraId="0C31D442" w14:textId="77777777" w:rsidR="00996145" w:rsidRPr="00353C6A" w:rsidRDefault="00996145" w:rsidP="00DC618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117</w:t>
            </w:r>
          </w:p>
        </w:tc>
        <w:tc>
          <w:tcPr>
            <w:tcW w:w="990" w:type="dxa"/>
            <w:tcBorders>
              <w:top w:val="nil"/>
              <w:left w:val="nil"/>
              <w:bottom w:val="single" w:sz="4" w:space="0" w:color="auto"/>
              <w:right w:val="single" w:sz="4" w:space="0" w:color="auto"/>
            </w:tcBorders>
            <w:shd w:val="clear" w:color="auto" w:fill="auto"/>
            <w:noWrap/>
            <w:vAlign w:val="center"/>
            <w:hideMark/>
          </w:tcPr>
          <w:p w14:paraId="6EA89B26" w14:textId="77777777" w:rsidR="00996145" w:rsidRPr="00353C6A" w:rsidRDefault="00996145" w:rsidP="00DC618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140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55550354" w14:textId="77777777" w:rsidR="00996145" w:rsidRPr="00353C6A" w:rsidRDefault="00996145" w:rsidP="00DC618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129</w:t>
            </w:r>
          </w:p>
        </w:tc>
        <w:tc>
          <w:tcPr>
            <w:tcW w:w="270" w:type="dxa"/>
            <w:tcBorders>
              <w:top w:val="nil"/>
              <w:left w:val="single" w:sz="4" w:space="0" w:color="auto"/>
              <w:bottom w:val="single" w:sz="4" w:space="0" w:color="auto"/>
              <w:right w:val="single" w:sz="4" w:space="0" w:color="auto"/>
            </w:tcBorders>
            <w:shd w:val="clear" w:color="auto" w:fill="000000" w:themeFill="text1"/>
            <w:vAlign w:val="center"/>
          </w:tcPr>
          <w:p w14:paraId="396D978A" w14:textId="77777777" w:rsidR="00996145" w:rsidRPr="00353C6A" w:rsidRDefault="00996145" w:rsidP="00992EC5">
            <w:pPr>
              <w:spacing w:after="0" w:line="240" w:lineRule="auto"/>
              <w:jc w:val="center"/>
              <w:rPr>
                <w:rFonts w:ascii="Arial" w:eastAsia="Times New Roman" w:hAnsi="Arial" w:cs="Arial"/>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C5B63CC"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105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9105AB6" w14:textId="77777777" w:rsidR="00996145" w:rsidRPr="00353C6A" w:rsidRDefault="00E15B2B"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114</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374A42D"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128</w:t>
            </w:r>
          </w:p>
        </w:tc>
        <w:tc>
          <w:tcPr>
            <w:tcW w:w="630" w:type="dxa"/>
            <w:tcBorders>
              <w:top w:val="nil"/>
              <w:left w:val="nil"/>
              <w:bottom w:val="single" w:sz="4" w:space="0" w:color="auto"/>
              <w:right w:val="single" w:sz="12" w:space="0" w:color="auto"/>
            </w:tcBorders>
            <w:shd w:val="clear" w:color="auto" w:fill="auto"/>
            <w:noWrap/>
            <w:vAlign w:val="center"/>
            <w:hideMark/>
          </w:tcPr>
          <w:p w14:paraId="4CCB24B2"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118</w:t>
            </w:r>
          </w:p>
        </w:tc>
        <w:tc>
          <w:tcPr>
            <w:tcW w:w="540" w:type="dxa"/>
            <w:tcBorders>
              <w:top w:val="nil"/>
              <w:left w:val="nil"/>
              <w:bottom w:val="single" w:sz="4" w:space="0" w:color="auto"/>
              <w:right w:val="single" w:sz="4" w:space="0" w:color="auto"/>
            </w:tcBorders>
            <w:shd w:val="clear" w:color="auto" w:fill="auto"/>
            <w:noWrap/>
            <w:vAlign w:val="center"/>
            <w:hideMark/>
          </w:tcPr>
          <w:p w14:paraId="284B8C0B"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113</w:t>
            </w:r>
          </w:p>
        </w:tc>
        <w:tc>
          <w:tcPr>
            <w:tcW w:w="540" w:type="dxa"/>
            <w:gridSpan w:val="2"/>
            <w:tcBorders>
              <w:top w:val="nil"/>
              <w:left w:val="nil"/>
              <w:bottom w:val="single" w:sz="4" w:space="0" w:color="auto"/>
              <w:right w:val="nil"/>
            </w:tcBorders>
            <w:shd w:val="clear" w:color="auto" w:fill="auto"/>
            <w:noWrap/>
            <w:vAlign w:val="center"/>
            <w:hideMark/>
          </w:tcPr>
          <w:p w14:paraId="7548517E"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115</w:t>
            </w:r>
          </w:p>
        </w:tc>
        <w:tc>
          <w:tcPr>
            <w:tcW w:w="540" w:type="dxa"/>
            <w:tcBorders>
              <w:top w:val="nil"/>
              <w:left w:val="single" w:sz="12" w:space="0" w:color="auto"/>
              <w:bottom w:val="single" w:sz="4" w:space="0" w:color="auto"/>
              <w:right w:val="single" w:sz="4" w:space="0" w:color="auto"/>
            </w:tcBorders>
            <w:shd w:val="clear" w:color="auto" w:fill="auto"/>
            <w:noWrap/>
            <w:vAlign w:val="center"/>
            <w:hideMark/>
          </w:tcPr>
          <w:p w14:paraId="726B4442"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124</w:t>
            </w:r>
          </w:p>
        </w:tc>
        <w:tc>
          <w:tcPr>
            <w:tcW w:w="630" w:type="dxa"/>
            <w:tcBorders>
              <w:top w:val="nil"/>
              <w:left w:val="nil"/>
              <w:bottom w:val="single" w:sz="4" w:space="0" w:color="auto"/>
              <w:right w:val="single" w:sz="12" w:space="0" w:color="auto"/>
            </w:tcBorders>
            <w:shd w:val="clear" w:color="auto" w:fill="auto"/>
            <w:noWrap/>
            <w:vAlign w:val="center"/>
            <w:hideMark/>
          </w:tcPr>
          <w:p w14:paraId="182690FD"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122</w:t>
            </w:r>
          </w:p>
        </w:tc>
        <w:tc>
          <w:tcPr>
            <w:tcW w:w="540" w:type="dxa"/>
            <w:tcBorders>
              <w:top w:val="nil"/>
              <w:left w:val="nil"/>
              <w:bottom w:val="single" w:sz="4" w:space="0" w:color="auto"/>
              <w:right w:val="single" w:sz="4" w:space="0" w:color="auto"/>
            </w:tcBorders>
            <w:shd w:val="clear" w:color="000000" w:fill="FF0000"/>
            <w:noWrap/>
            <w:vAlign w:val="center"/>
            <w:hideMark/>
          </w:tcPr>
          <w:p w14:paraId="1A94FAE0" w14:textId="77777777" w:rsidR="00996145" w:rsidRPr="00353C6A" w:rsidRDefault="00996145" w:rsidP="00992EC5">
            <w:pPr>
              <w:spacing w:after="0" w:line="240" w:lineRule="auto"/>
              <w:jc w:val="center"/>
              <w:rPr>
                <w:rFonts w:ascii="Arial" w:eastAsia="Times New Roman" w:hAnsi="Arial" w:cs="Arial"/>
                <w:b/>
                <w:bCs/>
                <w:color w:val="FFFFFF"/>
                <w:sz w:val="16"/>
                <w:szCs w:val="16"/>
              </w:rPr>
            </w:pPr>
            <w:r w:rsidRPr="00353C6A">
              <w:rPr>
                <w:rFonts w:ascii="Arial" w:eastAsia="Times New Roman" w:hAnsi="Arial" w:cs="Arial"/>
                <w:b/>
                <w:bCs/>
                <w:color w:val="FFFFFF"/>
                <w:sz w:val="16"/>
                <w:szCs w:val="16"/>
              </w:rPr>
              <w:t>147</w:t>
            </w:r>
          </w:p>
        </w:tc>
        <w:tc>
          <w:tcPr>
            <w:tcW w:w="630" w:type="dxa"/>
            <w:tcBorders>
              <w:top w:val="nil"/>
              <w:left w:val="nil"/>
              <w:bottom w:val="single" w:sz="4" w:space="0" w:color="auto"/>
              <w:right w:val="single" w:sz="18" w:space="0" w:color="auto"/>
            </w:tcBorders>
            <w:shd w:val="clear" w:color="auto" w:fill="auto"/>
            <w:noWrap/>
            <w:vAlign w:val="center"/>
            <w:hideMark/>
          </w:tcPr>
          <w:p w14:paraId="6069295B"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128</w:t>
            </w:r>
          </w:p>
        </w:tc>
      </w:tr>
      <w:tr w:rsidR="00353C6A" w:rsidRPr="00C4057E" w14:paraId="6F77A5A8" w14:textId="77777777" w:rsidTr="00992EC5">
        <w:trPr>
          <w:trHeight w:val="432"/>
        </w:trPr>
        <w:tc>
          <w:tcPr>
            <w:tcW w:w="1065" w:type="dxa"/>
            <w:tcBorders>
              <w:top w:val="nil"/>
              <w:left w:val="single" w:sz="18" w:space="0" w:color="auto"/>
              <w:bottom w:val="single" w:sz="4" w:space="0" w:color="auto"/>
              <w:right w:val="single" w:sz="4" w:space="0" w:color="auto"/>
            </w:tcBorders>
            <w:shd w:val="clear" w:color="auto" w:fill="auto"/>
            <w:noWrap/>
            <w:vAlign w:val="center"/>
            <w:hideMark/>
          </w:tcPr>
          <w:p w14:paraId="52CC9B08" w14:textId="77777777" w:rsidR="00996145" w:rsidRPr="00353C6A" w:rsidRDefault="00996145" w:rsidP="0051240A">
            <w:pPr>
              <w:spacing w:after="0" w:line="240" w:lineRule="auto"/>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Penelec</w:t>
            </w:r>
          </w:p>
        </w:tc>
        <w:tc>
          <w:tcPr>
            <w:tcW w:w="1170" w:type="dxa"/>
            <w:tcBorders>
              <w:top w:val="nil"/>
              <w:left w:val="nil"/>
              <w:bottom w:val="single" w:sz="4" w:space="0" w:color="auto"/>
              <w:right w:val="single" w:sz="4" w:space="0" w:color="auto"/>
            </w:tcBorders>
            <w:shd w:val="clear" w:color="auto" w:fill="auto"/>
            <w:noWrap/>
            <w:vAlign w:val="center"/>
            <w:hideMark/>
          </w:tcPr>
          <w:p w14:paraId="0E645FF2" w14:textId="77777777" w:rsidR="00996145" w:rsidRPr="00353C6A" w:rsidRDefault="00996145" w:rsidP="00DC618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117</w:t>
            </w:r>
          </w:p>
        </w:tc>
        <w:tc>
          <w:tcPr>
            <w:tcW w:w="990" w:type="dxa"/>
            <w:tcBorders>
              <w:top w:val="nil"/>
              <w:left w:val="nil"/>
              <w:bottom w:val="single" w:sz="4" w:space="0" w:color="auto"/>
              <w:right w:val="single" w:sz="4" w:space="0" w:color="auto"/>
            </w:tcBorders>
            <w:shd w:val="clear" w:color="auto" w:fill="auto"/>
            <w:noWrap/>
            <w:vAlign w:val="center"/>
            <w:hideMark/>
          </w:tcPr>
          <w:p w14:paraId="3BC178D1" w14:textId="77777777" w:rsidR="00996145" w:rsidRPr="00353C6A" w:rsidRDefault="00996145" w:rsidP="00DC618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141</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0844C2B8" w14:textId="77777777" w:rsidR="00996145" w:rsidRPr="00353C6A" w:rsidRDefault="00996145" w:rsidP="00DC618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129</w:t>
            </w:r>
          </w:p>
        </w:tc>
        <w:tc>
          <w:tcPr>
            <w:tcW w:w="270" w:type="dxa"/>
            <w:tcBorders>
              <w:top w:val="nil"/>
              <w:left w:val="single" w:sz="4" w:space="0" w:color="auto"/>
              <w:bottom w:val="single" w:sz="4" w:space="0" w:color="auto"/>
              <w:right w:val="single" w:sz="4" w:space="0" w:color="auto"/>
            </w:tcBorders>
            <w:shd w:val="clear" w:color="auto" w:fill="000000" w:themeFill="text1"/>
            <w:vAlign w:val="center"/>
          </w:tcPr>
          <w:p w14:paraId="50EEC9AF" w14:textId="77777777" w:rsidR="00996145" w:rsidRPr="00353C6A" w:rsidRDefault="00996145" w:rsidP="00992EC5">
            <w:pPr>
              <w:spacing w:after="0" w:line="240" w:lineRule="auto"/>
              <w:jc w:val="center"/>
              <w:rPr>
                <w:rFonts w:ascii="Arial" w:eastAsia="Times New Roman" w:hAnsi="Arial" w:cs="Arial"/>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3BC2B4B"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117</w:t>
            </w:r>
          </w:p>
        </w:tc>
        <w:tc>
          <w:tcPr>
            <w:tcW w:w="630" w:type="dxa"/>
            <w:tcBorders>
              <w:top w:val="single" w:sz="4" w:space="0" w:color="auto"/>
              <w:left w:val="single" w:sz="4" w:space="0" w:color="auto"/>
              <w:bottom w:val="single" w:sz="4" w:space="0" w:color="auto"/>
              <w:right w:val="single" w:sz="4" w:space="0" w:color="auto"/>
            </w:tcBorders>
            <w:shd w:val="clear" w:color="auto" w:fill="FF0000"/>
            <w:vAlign w:val="center"/>
          </w:tcPr>
          <w:p w14:paraId="14D5CB98" w14:textId="77777777" w:rsidR="00996145" w:rsidRPr="00353C6A" w:rsidRDefault="00E15B2B" w:rsidP="00992EC5">
            <w:pPr>
              <w:spacing w:after="0" w:line="240" w:lineRule="auto"/>
              <w:jc w:val="center"/>
              <w:rPr>
                <w:rFonts w:ascii="Arial" w:eastAsia="Times New Roman" w:hAnsi="Arial" w:cs="Arial"/>
                <w:b/>
                <w:color w:val="FFFFFF" w:themeColor="background1"/>
                <w:sz w:val="16"/>
                <w:szCs w:val="16"/>
              </w:rPr>
            </w:pPr>
            <w:r w:rsidRPr="00353C6A">
              <w:rPr>
                <w:rFonts w:ascii="Arial" w:eastAsia="Times New Roman" w:hAnsi="Arial" w:cs="Arial"/>
                <w:b/>
                <w:color w:val="FFFFFF" w:themeColor="background1"/>
                <w:sz w:val="16"/>
                <w:szCs w:val="16"/>
              </w:rPr>
              <w:t>141</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8F036B2"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118</w:t>
            </w:r>
          </w:p>
        </w:tc>
        <w:tc>
          <w:tcPr>
            <w:tcW w:w="630" w:type="dxa"/>
            <w:tcBorders>
              <w:top w:val="nil"/>
              <w:left w:val="nil"/>
              <w:bottom w:val="single" w:sz="4" w:space="0" w:color="auto"/>
              <w:right w:val="single" w:sz="12" w:space="0" w:color="auto"/>
            </w:tcBorders>
            <w:shd w:val="clear" w:color="auto" w:fill="auto"/>
            <w:noWrap/>
            <w:vAlign w:val="center"/>
            <w:hideMark/>
          </w:tcPr>
          <w:p w14:paraId="626F3882"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124</w:t>
            </w:r>
          </w:p>
        </w:tc>
        <w:tc>
          <w:tcPr>
            <w:tcW w:w="540" w:type="dxa"/>
            <w:tcBorders>
              <w:top w:val="nil"/>
              <w:left w:val="nil"/>
              <w:bottom w:val="single" w:sz="4" w:space="0" w:color="auto"/>
              <w:right w:val="single" w:sz="4" w:space="0" w:color="auto"/>
            </w:tcBorders>
            <w:shd w:val="clear" w:color="auto" w:fill="auto"/>
            <w:noWrap/>
            <w:vAlign w:val="center"/>
            <w:hideMark/>
          </w:tcPr>
          <w:p w14:paraId="5FD7B801"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140</w:t>
            </w:r>
          </w:p>
        </w:tc>
        <w:tc>
          <w:tcPr>
            <w:tcW w:w="540" w:type="dxa"/>
            <w:gridSpan w:val="2"/>
            <w:tcBorders>
              <w:top w:val="nil"/>
              <w:left w:val="nil"/>
              <w:bottom w:val="single" w:sz="4" w:space="0" w:color="auto"/>
              <w:right w:val="nil"/>
            </w:tcBorders>
            <w:shd w:val="clear" w:color="auto" w:fill="auto"/>
            <w:noWrap/>
            <w:vAlign w:val="center"/>
            <w:hideMark/>
          </w:tcPr>
          <w:p w14:paraId="71BAE3F7"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125</w:t>
            </w:r>
          </w:p>
        </w:tc>
        <w:tc>
          <w:tcPr>
            <w:tcW w:w="540" w:type="dxa"/>
            <w:tcBorders>
              <w:top w:val="nil"/>
              <w:left w:val="single" w:sz="12" w:space="0" w:color="auto"/>
              <w:bottom w:val="single" w:sz="4" w:space="0" w:color="auto"/>
              <w:right w:val="single" w:sz="4" w:space="0" w:color="auto"/>
            </w:tcBorders>
            <w:shd w:val="clear" w:color="auto" w:fill="auto"/>
            <w:noWrap/>
            <w:vAlign w:val="center"/>
            <w:hideMark/>
          </w:tcPr>
          <w:p w14:paraId="29C86043"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120</w:t>
            </w:r>
          </w:p>
        </w:tc>
        <w:tc>
          <w:tcPr>
            <w:tcW w:w="630" w:type="dxa"/>
            <w:tcBorders>
              <w:top w:val="nil"/>
              <w:left w:val="nil"/>
              <w:bottom w:val="single" w:sz="4" w:space="0" w:color="auto"/>
              <w:right w:val="single" w:sz="12" w:space="0" w:color="auto"/>
            </w:tcBorders>
            <w:shd w:val="clear" w:color="auto" w:fill="auto"/>
            <w:noWrap/>
            <w:vAlign w:val="center"/>
            <w:hideMark/>
          </w:tcPr>
          <w:p w14:paraId="0721A29D"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126</w:t>
            </w:r>
          </w:p>
        </w:tc>
        <w:tc>
          <w:tcPr>
            <w:tcW w:w="540" w:type="dxa"/>
            <w:tcBorders>
              <w:top w:val="nil"/>
              <w:left w:val="nil"/>
              <w:bottom w:val="single" w:sz="4" w:space="0" w:color="auto"/>
              <w:right w:val="single" w:sz="4" w:space="0" w:color="auto"/>
            </w:tcBorders>
            <w:shd w:val="clear" w:color="auto" w:fill="auto"/>
            <w:noWrap/>
            <w:vAlign w:val="center"/>
            <w:hideMark/>
          </w:tcPr>
          <w:p w14:paraId="30682452"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138</w:t>
            </w:r>
          </w:p>
        </w:tc>
        <w:tc>
          <w:tcPr>
            <w:tcW w:w="630" w:type="dxa"/>
            <w:tcBorders>
              <w:top w:val="nil"/>
              <w:left w:val="nil"/>
              <w:bottom w:val="single" w:sz="4" w:space="0" w:color="auto"/>
              <w:right w:val="single" w:sz="18" w:space="0" w:color="auto"/>
            </w:tcBorders>
            <w:shd w:val="clear" w:color="000000" w:fill="FF0000"/>
            <w:noWrap/>
            <w:vAlign w:val="center"/>
            <w:hideMark/>
          </w:tcPr>
          <w:p w14:paraId="26463BFA" w14:textId="77777777" w:rsidR="00996145" w:rsidRPr="00353C6A" w:rsidRDefault="00996145" w:rsidP="00992EC5">
            <w:pPr>
              <w:spacing w:after="0" w:line="240" w:lineRule="auto"/>
              <w:jc w:val="center"/>
              <w:rPr>
                <w:rFonts w:ascii="Arial" w:eastAsia="Times New Roman" w:hAnsi="Arial" w:cs="Arial"/>
                <w:b/>
                <w:bCs/>
                <w:color w:val="FFFFFF"/>
                <w:sz w:val="16"/>
                <w:szCs w:val="16"/>
              </w:rPr>
            </w:pPr>
            <w:r w:rsidRPr="00353C6A">
              <w:rPr>
                <w:rFonts w:ascii="Arial" w:eastAsia="Times New Roman" w:hAnsi="Arial" w:cs="Arial"/>
                <w:b/>
                <w:bCs/>
                <w:color w:val="FFFFFF"/>
                <w:sz w:val="16"/>
                <w:szCs w:val="16"/>
              </w:rPr>
              <w:t>133</w:t>
            </w:r>
          </w:p>
        </w:tc>
      </w:tr>
      <w:tr w:rsidR="00353C6A" w:rsidRPr="00C4057E" w14:paraId="5928BEA6" w14:textId="77777777" w:rsidTr="00992EC5">
        <w:trPr>
          <w:trHeight w:val="432"/>
        </w:trPr>
        <w:tc>
          <w:tcPr>
            <w:tcW w:w="1065" w:type="dxa"/>
            <w:tcBorders>
              <w:top w:val="nil"/>
              <w:left w:val="single" w:sz="18" w:space="0" w:color="auto"/>
              <w:bottom w:val="single" w:sz="4" w:space="0" w:color="auto"/>
              <w:right w:val="single" w:sz="4" w:space="0" w:color="auto"/>
            </w:tcBorders>
            <w:shd w:val="clear" w:color="auto" w:fill="auto"/>
            <w:noWrap/>
            <w:vAlign w:val="center"/>
            <w:hideMark/>
          </w:tcPr>
          <w:p w14:paraId="5C1B14F1" w14:textId="77777777" w:rsidR="00996145" w:rsidRPr="00353C6A" w:rsidRDefault="00996145" w:rsidP="0051240A">
            <w:pPr>
              <w:spacing w:after="0" w:line="240" w:lineRule="auto"/>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Penn Power</w:t>
            </w:r>
          </w:p>
        </w:tc>
        <w:tc>
          <w:tcPr>
            <w:tcW w:w="1170" w:type="dxa"/>
            <w:tcBorders>
              <w:top w:val="nil"/>
              <w:left w:val="nil"/>
              <w:bottom w:val="single" w:sz="4" w:space="0" w:color="auto"/>
              <w:right w:val="single" w:sz="4" w:space="0" w:color="auto"/>
            </w:tcBorders>
            <w:shd w:val="clear" w:color="auto" w:fill="auto"/>
            <w:noWrap/>
            <w:vAlign w:val="center"/>
            <w:hideMark/>
          </w:tcPr>
          <w:p w14:paraId="15FF4595" w14:textId="77777777" w:rsidR="00996145" w:rsidRPr="00353C6A" w:rsidRDefault="00996145" w:rsidP="00DC618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101</w:t>
            </w:r>
          </w:p>
        </w:tc>
        <w:tc>
          <w:tcPr>
            <w:tcW w:w="990" w:type="dxa"/>
            <w:tcBorders>
              <w:top w:val="nil"/>
              <w:left w:val="nil"/>
              <w:bottom w:val="single" w:sz="4" w:space="0" w:color="auto"/>
              <w:right w:val="single" w:sz="4" w:space="0" w:color="auto"/>
            </w:tcBorders>
            <w:shd w:val="clear" w:color="auto" w:fill="auto"/>
            <w:noWrap/>
            <w:vAlign w:val="center"/>
            <w:hideMark/>
          </w:tcPr>
          <w:p w14:paraId="7D1D2B69" w14:textId="77777777" w:rsidR="00996145" w:rsidRPr="00353C6A" w:rsidRDefault="00996145" w:rsidP="00DC618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121</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63174385" w14:textId="77777777" w:rsidR="00996145" w:rsidRPr="00353C6A" w:rsidRDefault="00996145" w:rsidP="00DC618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111</w:t>
            </w:r>
          </w:p>
        </w:tc>
        <w:tc>
          <w:tcPr>
            <w:tcW w:w="270" w:type="dxa"/>
            <w:tcBorders>
              <w:top w:val="nil"/>
              <w:left w:val="single" w:sz="4" w:space="0" w:color="auto"/>
              <w:bottom w:val="single" w:sz="4" w:space="0" w:color="auto"/>
              <w:right w:val="single" w:sz="4" w:space="0" w:color="auto"/>
            </w:tcBorders>
            <w:shd w:val="clear" w:color="auto" w:fill="000000" w:themeFill="text1"/>
            <w:vAlign w:val="center"/>
          </w:tcPr>
          <w:p w14:paraId="0E862035" w14:textId="77777777" w:rsidR="00996145" w:rsidRPr="00353C6A" w:rsidRDefault="00996145" w:rsidP="00992EC5">
            <w:pPr>
              <w:spacing w:after="0" w:line="240" w:lineRule="auto"/>
              <w:jc w:val="center"/>
              <w:rPr>
                <w:rFonts w:ascii="Arial" w:eastAsia="Times New Roman" w:hAnsi="Arial" w:cs="Arial"/>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FF0000"/>
            <w:vAlign w:val="center"/>
          </w:tcPr>
          <w:p w14:paraId="4A8E5164" w14:textId="77777777" w:rsidR="00996145" w:rsidRPr="00353C6A" w:rsidRDefault="00996145" w:rsidP="00992EC5">
            <w:pPr>
              <w:spacing w:after="0" w:line="240" w:lineRule="auto"/>
              <w:jc w:val="center"/>
              <w:rPr>
                <w:rFonts w:ascii="Arial" w:eastAsia="Times New Roman" w:hAnsi="Arial" w:cs="Arial"/>
                <w:b/>
                <w:color w:val="000000"/>
                <w:sz w:val="16"/>
                <w:szCs w:val="16"/>
              </w:rPr>
            </w:pPr>
            <w:r w:rsidRPr="00353C6A">
              <w:rPr>
                <w:rFonts w:ascii="Arial" w:eastAsia="Times New Roman" w:hAnsi="Arial" w:cs="Arial"/>
                <w:b/>
                <w:color w:val="FFFFFF" w:themeColor="background1"/>
                <w:sz w:val="16"/>
                <w:szCs w:val="16"/>
              </w:rPr>
              <w:t>140</w:t>
            </w:r>
          </w:p>
        </w:tc>
        <w:tc>
          <w:tcPr>
            <w:tcW w:w="630" w:type="dxa"/>
            <w:tcBorders>
              <w:top w:val="single" w:sz="4" w:space="0" w:color="auto"/>
              <w:left w:val="single" w:sz="4" w:space="0" w:color="auto"/>
              <w:bottom w:val="single" w:sz="4" w:space="0" w:color="auto"/>
              <w:right w:val="single" w:sz="4" w:space="0" w:color="auto"/>
            </w:tcBorders>
            <w:shd w:val="clear" w:color="auto" w:fill="FF0000"/>
            <w:vAlign w:val="center"/>
          </w:tcPr>
          <w:p w14:paraId="50D555C0" w14:textId="77777777" w:rsidR="00996145" w:rsidRPr="00353C6A" w:rsidRDefault="00E15B2B" w:rsidP="00992EC5">
            <w:pPr>
              <w:spacing w:after="0" w:line="240" w:lineRule="auto"/>
              <w:jc w:val="center"/>
              <w:rPr>
                <w:rFonts w:ascii="Arial" w:eastAsia="Times New Roman" w:hAnsi="Arial" w:cs="Arial"/>
                <w:b/>
                <w:color w:val="FFFFFF" w:themeColor="background1"/>
                <w:sz w:val="16"/>
                <w:szCs w:val="16"/>
              </w:rPr>
            </w:pPr>
            <w:r w:rsidRPr="00353C6A">
              <w:rPr>
                <w:rFonts w:ascii="Arial" w:eastAsia="Times New Roman" w:hAnsi="Arial" w:cs="Arial"/>
                <w:b/>
                <w:color w:val="FFFFFF" w:themeColor="background1"/>
                <w:sz w:val="16"/>
                <w:szCs w:val="16"/>
              </w:rPr>
              <w:t>131</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3477A39"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106</w:t>
            </w:r>
          </w:p>
        </w:tc>
        <w:tc>
          <w:tcPr>
            <w:tcW w:w="630" w:type="dxa"/>
            <w:tcBorders>
              <w:top w:val="nil"/>
              <w:left w:val="nil"/>
              <w:bottom w:val="single" w:sz="4" w:space="0" w:color="auto"/>
              <w:right w:val="single" w:sz="12" w:space="0" w:color="auto"/>
            </w:tcBorders>
            <w:shd w:val="clear" w:color="000000" w:fill="FF0000"/>
            <w:noWrap/>
            <w:vAlign w:val="center"/>
            <w:hideMark/>
          </w:tcPr>
          <w:p w14:paraId="08289D86" w14:textId="77777777" w:rsidR="00996145" w:rsidRPr="00353C6A" w:rsidRDefault="00996145" w:rsidP="00992EC5">
            <w:pPr>
              <w:spacing w:after="0" w:line="240" w:lineRule="auto"/>
              <w:jc w:val="center"/>
              <w:rPr>
                <w:rFonts w:ascii="Arial" w:eastAsia="Times New Roman" w:hAnsi="Arial" w:cs="Arial"/>
                <w:b/>
                <w:bCs/>
                <w:color w:val="FFFFFF"/>
                <w:sz w:val="16"/>
                <w:szCs w:val="16"/>
              </w:rPr>
            </w:pPr>
            <w:r w:rsidRPr="00353C6A">
              <w:rPr>
                <w:rFonts w:ascii="Arial" w:eastAsia="Times New Roman" w:hAnsi="Arial" w:cs="Arial"/>
                <w:b/>
                <w:bCs/>
                <w:color w:val="FFFFFF"/>
                <w:sz w:val="16"/>
                <w:szCs w:val="16"/>
              </w:rPr>
              <w:t>120</w:t>
            </w:r>
          </w:p>
        </w:tc>
        <w:tc>
          <w:tcPr>
            <w:tcW w:w="540" w:type="dxa"/>
            <w:tcBorders>
              <w:top w:val="nil"/>
              <w:left w:val="nil"/>
              <w:bottom w:val="single" w:sz="4" w:space="0" w:color="auto"/>
              <w:right w:val="single" w:sz="4" w:space="0" w:color="auto"/>
            </w:tcBorders>
            <w:shd w:val="clear" w:color="auto" w:fill="auto"/>
            <w:noWrap/>
            <w:vAlign w:val="center"/>
            <w:hideMark/>
          </w:tcPr>
          <w:p w14:paraId="192FD5BB"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100</w:t>
            </w:r>
          </w:p>
        </w:tc>
        <w:tc>
          <w:tcPr>
            <w:tcW w:w="540" w:type="dxa"/>
            <w:gridSpan w:val="2"/>
            <w:tcBorders>
              <w:top w:val="nil"/>
              <w:left w:val="nil"/>
              <w:bottom w:val="single" w:sz="4" w:space="0" w:color="auto"/>
              <w:right w:val="nil"/>
            </w:tcBorders>
            <w:shd w:val="clear" w:color="000000" w:fill="FF0000"/>
            <w:noWrap/>
            <w:vAlign w:val="center"/>
            <w:hideMark/>
          </w:tcPr>
          <w:p w14:paraId="5B271550" w14:textId="77777777" w:rsidR="00996145" w:rsidRPr="00353C6A" w:rsidRDefault="00996145" w:rsidP="00992EC5">
            <w:pPr>
              <w:spacing w:after="0" w:line="240" w:lineRule="auto"/>
              <w:jc w:val="center"/>
              <w:rPr>
                <w:rFonts w:ascii="Arial" w:eastAsia="Times New Roman" w:hAnsi="Arial" w:cs="Arial"/>
                <w:b/>
                <w:bCs/>
                <w:color w:val="FFFFFF"/>
                <w:sz w:val="16"/>
                <w:szCs w:val="16"/>
              </w:rPr>
            </w:pPr>
            <w:r w:rsidRPr="00353C6A">
              <w:rPr>
                <w:rFonts w:ascii="Arial" w:eastAsia="Times New Roman" w:hAnsi="Arial" w:cs="Arial"/>
                <w:b/>
                <w:bCs/>
                <w:color w:val="FFFFFF"/>
                <w:sz w:val="16"/>
                <w:szCs w:val="16"/>
              </w:rPr>
              <w:t>115</w:t>
            </w:r>
          </w:p>
        </w:tc>
        <w:tc>
          <w:tcPr>
            <w:tcW w:w="540" w:type="dxa"/>
            <w:tcBorders>
              <w:top w:val="nil"/>
              <w:left w:val="single" w:sz="12" w:space="0" w:color="auto"/>
              <w:bottom w:val="single" w:sz="4" w:space="0" w:color="auto"/>
              <w:right w:val="single" w:sz="4" w:space="0" w:color="auto"/>
            </w:tcBorders>
            <w:shd w:val="clear" w:color="auto" w:fill="auto"/>
            <w:noWrap/>
            <w:vAlign w:val="center"/>
            <w:hideMark/>
          </w:tcPr>
          <w:p w14:paraId="0569889D"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95</w:t>
            </w:r>
          </w:p>
        </w:tc>
        <w:tc>
          <w:tcPr>
            <w:tcW w:w="630" w:type="dxa"/>
            <w:tcBorders>
              <w:top w:val="nil"/>
              <w:left w:val="nil"/>
              <w:bottom w:val="single" w:sz="4" w:space="0" w:color="auto"/>
              <w:right w:val="single" w:sz="12" w:space="0" w:color="auto"/>
            </w:tcBorders>
            <w:shd w:val="clear" w:color="auto" w:fill="auto"/>
            <w:noWrap/>
            <w:vAlign w:val="center"/>
            <w:hideMark/>
          </w:tcPr>
          <w:p w14:paraId="3CAAADC0"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100</w:t>
            </w:r>
          </w:p>
        </w:tc>
        <w:tc>
          <w:tcPr>
            <w:tcW w:w="540" w:type="dxa"/>
            <w:tcBorders>
              <w:top w:val="nil"/>
              <w:left w:val="nil"/>
              <w:bottom w:val="single" w:sz="4" w:space="0" w:color="auto"/>
              <w:right w:val="single" w:sz="4" w:space="0" w:color="auto"/>
            </w:tcBorders>
            <w:shd w:val="clear" w:color="000000" w:fill="FF0000"/>
            <w:noWrap/>
            <w:vAlign w:val="center"/>
            <w:hideMark/>
          </w:tcPr>
          <w:p w14:paraId="7AD879DC" w14:textId="77777777" w:rsidR="00996145" w:rsidRPr="00353C6A" w:rsidRDefault="00996145" w:rsidP="00992EC5">
            <w:pPr>
              <w:spacing w:after="0" w:line="240" w:lineRule="auto"/>
              <w:jc w:val="center"/>
              <w:rPr>
                <w:rFonts w:ascii="Arial" w:eastAsia="Times New Roman" w:hAnsi="Arial" w:cs="Arial"/>
                <w:b/>
                <w:bCs/>
                <w:color w:val="FFFFFF"/>
                <w:sz w:val="16"/>
                <w:szCs w:val="16"/>
              </w:rPr>
            </w:pPr>
            <w:r w:rsidRPr="00353C6A">
              <w:rPr>
                <w:rFonts w:ascii="Arial" w:eastAsia="Times New Roman" w:hAnsi="Arial" w:cs="Arial"/>
                <w:b/>
                <w:bCs/>
                <w:color w:val="FFFFFF"/>
                <w:sz w:val="16"/>
                <w:szCs w:val="16"/>
              </w:rPr>
              <w:t>150</w:t>
            </w:r>
          </w:p>
        </w:tc>
        <w:tc>
          <w:tcPr>
            <w:tcW w:w="630" w:type="dxa"/>
            <w:tcBorders>
              <w:top w:val="nil"/>
              <w:left w:val="nil"/>
              <w:bottom w:val="single" w:sz="4" w:space="0" w:color="auto"/>
              <w:right w:val="single" w:sz="18" w:space="0" w:color="auto"/>
            </w:tcBorders>
            <w:shd w:val="clear" w:color="000000" w:fill="FF0000"/>
            <w:noWrap/>
            <w:vAlign w:val="center"/>
            <w:hideMark/>
          </w:tcPr>
          <w:p w14:paraId="5DC7E854" w14:textId="77777777" w:rsidR="00996145" w:rsidRPr="00353C6A" w:rsidRDefault="00996145" w:rsidP="00992EC5">
            <w:pPr>
              <w:spacing w:after="0" w:line="240" w:lineRule="auto"/>
              <w:jc w:val="center"/>
              <w:rPr>
                <w:rFonts w:ascii="Arial" w:eastAsia="Times New Roman" w:hAnsi="Arial" w:cs="Arial"/>
                <w:b/>
                <w:bCs/>
                <w:color w:val="FFFFFF"/>
                <w:sz w:val="16"/>
                <w:szCs w:val="16"/>
              </w:rPr>
            </w:pPr>
            <w:r w:rsidRPr="00353C6A">
              <w:rPr>
                <w:rFonts w:ascii="Arial" w:eastAsia="Times New Roman" w:hAnsi="Arial" w:cs="Arial"/>
                <w:b/>
                <w:bCs/>
                <w:color w:val="FFFFFF"/>
                <w:sz w:val="16"/>
                <w:szCs w:val="16"/>
              </w:rPr>
              <w:t>115</w:t>
            </w:r>
          </w:p>
        </w:tc>
      </w:tr>
      <w:tr w:rsidR="00353C6A" w:rsidRPr="00C4057E" w14:paraId="5C8FF285" w14:textId="77777777" w:rsidTr="00992EC5">
        <w:trPr>
          <w:trHeight w:val="432"/>
        </w:trPr>
        <w:tc>
          <w:tcPr>
            <w:tcW w:w="1065" w:type="dxa"/>
            <w:tcBorders>
              <w:top w:val="nil"/>
              <w:left w:val="single" w:sz="18" w:space="0" w:color="auto"/>
              <w:bottom w:val="single" w:sz="18" w:space="0" w:color="auto"/>
              <w:right w:val="single" w:sz="4" w:space="0" w:color="auto"/>
            </w:tcBorders>
            <w:shd w:val="clear" w:color="auto" w:fill="auto"/>
            <w:noWrap/>
            <w:vAlign w:val="center"/>
            <w:hideMark/>
          </w:tcPr>
          <w:p w14:paraId="0B26C1DF" w14:textId="77777777" w:rsidR="00996145" w:rsidRPr="00353C6A" w:rsidRDefault="00996145" w:rsidP="0051240A">
            <w:pPr>
              <w:spacing w:after="0" w:line="240" w:lineRule="auto"/>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West Penn Power</w:t>
            </w:r>
          </w:p>
        </w:tc>
        <w:tc>
          <w:tcPr>
            <w:tcW w:w="1170" w:type="dxa"/>
            <w:tcBorders>
              <w:top w:val="nil"/>
              <w:left w:val="nil"/>
              <w:bottom w:val="single" w:sz="18" w:space="0" w:color="auto"/>
              <w:right w:val="single" w:sz="4" w:space="0" w:color="auto"/>
            </w:tcBorders>
            <w:shd w:val="clear" w:color="auto" w:fill="auto"/>
            <w:noWrap/>
            <w:vAlign w:val="center"/>
            <w:hideMark/>
          </w:tcPr>
          <w:p w14:paraId="68E83A23" w14:textId="77777777" w:rsidR="00996145" w:rsidRPr="00353C6A" w:rsidRDefault="00996145" w:rsidP="00DC618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170</w:t>
            </w:r>
          </w:p>
        </w:tc>
        <w:tc>
          <w:tcPr>
            <w:tcW w:w="990" w:type="dxa"/>
            <w:tcBorders>
              <w:top w:val="nil"/>
              <w:left w:val="nil"/>
              <w:bottom w:val="single" w:sz="18" w:space="0" w:color="auto"/>
              <w:right w:val="single" w:sz="4" w:space="0" w:color="auto"/>
            </w:tcBorders>
            <w:shd w:val="clear" w:color="auto" w:fill="auto"/>
            <w:noWrap/>
            <w:vAlign w:val="center"/>
            <w:hideMark/>
          </w:tcPr>
          <w:p w14:paraId="300B3E69" w14:textId="77777777" w:rsidR="00996145" w:rsidRPr="00353C6A" w:rsidRDefault="00996145" w:rsidP="00DC618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204</w:t>
            </w:r>
          </w:p>
        </w:tc>
        <w:tc>
          <w:tcPr>
            <w:tcW w:w="990" w:type="dxa"/>
            <w:tcBorders>
              <w:top w:val="single" w:sz="4" w:space="0" w:color="auto"/>
              <w:left w:val="nil"/>
              <w:bottom w:val="single" w:sz="18" w:space="0" w:color="auto"/>
              <w:right w:val="single" w:sz="4" w:space="0" w:color="auto"/>
            </w:tcBorders>
            <w:shd w:val="clear" w:color="auto" w:fill="auto"/>
            <w:noWrap/>
            <w:vAlign w:val="center"/>
            <w:hideMark/>
          </w:tcPr>
          <w:p w14:paraId="3A6618FD" w14:textId="77777777" w:rsidR="00996145" w:rsidRPr="00353C6A" w:rsidRDefault="00996145" w:rsidP="00DC618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187</w:t>
            </w:r>
          </w:p>
        </w:tc>
        <w:tc>
          <w:tcPr>
            <w:tcW w:w="270" w:type="dxa"/>
            <w:tcBorders>
              <w:top w:val="nil"/>
              <w:left w:val="single" w:sz="4" w:space="0" w:color="auto"/>
              <w:bottom w:val="single" w:sz="18" w:space="0" w:color="auto"/>
              <w:right w:val="single" w:sz="4" w:space="0" w:color="auto"/>
            </w:tcBorders>
            <w:shd w:val="clear" w:color="auto" w:fill="000000" w:themeFill="text1"/>
            <w:vAlign w:val="center"/>
          </w:tcPr>
          <w:p w14:paraId="79D96963" w14:textId="77777777" w:rsidR="00996145" w:rsidRPr="00353C6A" w:rsidRDefault="00996145" w:rsidP="00992EC5">
            <w:pPr>
              <w:spacing w:after="0" w:line="240" w:lineRule="auto"/>
              <w:jc w:val="center"/>
              <w:rPr>
                <w:rFonts w:ascii="Arial" w:eastAsia="Times New Roman" w:hAnsi="Arial" w:cs="Arial"/>
                <w:color w:val="000000"/>
                <w:sz w:val="16"/>
                <w:szCs w:val="16"/>
              </w:rPr>
            </w:pPr>
          </w:p>
        </w:tc>
        <w:tc>
          <w:tcPr>
            <w:tcW w:w="540" w:type="dxa"/>
            <w:tcBorders>
              <w:top w:val="single" w:sz="4" w:space="0" w:color="auto"/>
              <w:left w:val="single" w:sz="4" w:space="0" w:color="auto"/>
              <w:bottom w:val="single" w:sz="18" w:space="0" w:color="auto"/>
              <w:right w:val="single" w:sz="4" w:space="0" w:color="auto"/>
            </w:tcBorders>
            <w:shd w:val="clear" w:color="auto" w:fill="auto"/>
            <w:vAlign w:val="center"/>
          </w:tcPr>
          <w:p w14:paraId="24AD061C"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183</w:t>
            </w:r>
          </w:p>
        </w:tc>
        <w:tc>
          <w:tcPr>
            <w:tcW w:w="630" w:type="dxa"/>
            <w:tcBorders>
              <w:top w:val="single" w:sz="4" w:space="0" w:color="auto"/>
              <w:left w:val="single" w:sz="4" w:space="0" w:color="auto"/>
              <w:bottom w:val="single" w:sz="18" w:space="0" w:color="auto"/>
              <w:right w:val="single" w:sz="4" w:space="0" w:color="auto"/>
            </w:tcBorders>
            <w:shd w:val="clear" w:color="auto" w:fill="auto"/>
            <w:vAlign w:val="center"/>
          </w:tcPr>
          <w:p w14:paraId="1CD01F7D" w14:textId="77777777" w:rsidR="00996145" w:rsidRPr="00353C6A" w:rsidRDefault="00E15B2B"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187</w:t>
            </w:r>
          </w:p>
        </w:tc>
        <w:tc>
          <w:tcPr>
            <w:tcW w:w="540" w:type="dxa"/>
            <w:tcBorders>
              <w:top w:val="nil"/>
              <w:left w:val="single" w:sz="4" w:space="0" w:color="auto"/>
              <w:bottom w:val="single" w:sz="18" w:space="0" w:color="auto"/>
              <w:right w:val="single" w:sz="4" w:space="0" w:color="auto"/>
            </w:tcBorders>
            <w:shd w:val="clear" w:color="auto" w:fill="auto"/>
            <w:noWrap/>
            <w:vAlign w:val="center"/>
            <w:hideMark/>
          </w:tcPr>
          <w:p w14:paraId="7754C48A"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137</w:t>
            </w:r>
          </w:p>
        </w:tc>
        <w:tc>
          <w:tcPr>
            <w:tcW w:w="630" w:type="dxa"/>
            <w:tcBorders>
              <w:top w:val="nil"/>
              <w:left w:val="nil"/>
              <w:bottom w:val="single" w:sz="18" w:space="0" w:color="auto"/>
              <w:right w:val="single" w:sz="12" w:space="0" w:color="auto"/>
            </w:tcBorders>
            <w:shd w:val="clear" w:color="auto" w:fill="auto"/>
            <w:noWrap/>
            <w:vAlign w:val="center"/>
            <w:hideMark/>
          </w:tcPr>
          <w:p w14:paraId="0A04E2F0"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182</w:t>
            </w:r>
          </w:p>
        </w:tc>
        <w:tc>
          <w:tcPr>
            <w:tcW w:w="540" w:type="dxa"/>
            <w:tcBorders>
              <w:top w:val="nil"/>
              <w:left w:val="nil"/>
              <w:bottom w:val="single" w:sz="18" w:space="0" w:color="auto"/>
              <w:right w:val="single" w:sz="4" w:space="0" w:color="auto"/>
            </w:tcBorders>
            <w:shd w:val="clear" w:color="auto" w:fill="auto"/>
            <w:noWrap/>
            <w:vAlign w:val="center"/>
            <w:hideMark/>
          </w:tcPr>
          <w:p w14:paraId="7882CDF4"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154</w:t>
            </w:r>
          </w:p>
        </w:tc>
        <w:tc>
          <w:tcPr>
            <w:tcW w:w="540" w:type="dxa"/>
            <w:gridSpan w:val="2"/>
            <w:tcBorders>
              <w:top w:val="nil"/>
              <w:left w:val="nil"/>
              <w:bottom w:val="single" w:sz="18" w:space="0" w:color="auto"/>
              <w:right w:val="nil"/>
            </w:tcBorders>
            <w:shd w:val="clear" w:color="auto" w:fill="auto"/>
            <w:noWrap/>
            <w:vAlign w:val="center"/>
            <w:hideMark/>
          </w:tcPr>
          <w:p w14:paraId="4D23EF65"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158</w:t>
            </w:r>
          </w:p>
        </w:tc>
        <w:tc>
          <w:tcPr>
            <w:tcW w:w="540" w:type="dxa"/>
            <w:tcBorders>
              <w:top w:val="nil"/>
              <w:left w:val="single" w:sz="12" w:space="0" w:color="auto"/>
              <w:bottom w:val="single" w:sz="18" w:space="0" w:color="auto"/>
              <w:right w:val="single" w:sz="4" w:space="0" w:color="auto"/>
            </w:tcBorders>
            <w:shd w:val="clear" w:color="auto" w:fill="auto"/>
            <w:noWrap/>
            <w:vAlign w:val="center"/>
            <w:hideMark/>
          </w:tcPr>
          <w:p w14:paraId="76A3C2F1"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147</w:t>
            </w:r>
          </w:p>
        </w:tc>
        <w:tc>
          <w:tcPr>
            <w:tcW w:w="630" w:type="dxa"/>
            <w:tcBorders>
              <w:top w:val="nil"/>
              <w:left w:val="nil"/>
              <w:bottom w:val="single" w:sz="18" w:space="0" w:color="auto"/>
              <w:right w:val="single" w:sz="12" w:space="0" w:color="auto"/>
            </w:tcBorders>
            <w:shd w:val="clear" w:color="auto" w:fill="auto"/>
            <w:noWrap/>
            <w:vAlign w:val="center"/>
            <w:hideMark/>
          </w:tcPr>
          <w:p w14:paraId="037A7BCF"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146</w:t>
            </w:r>
          </w:p>
        </w:tc>
        <w:tc>
          <w:tcPr>
            <w:tcW w:w="540" w:type="dxa"/>
            <w:tcBorders>
              <w:top w:val="nil"/>
              <w:left w:val="nil"/>
              <w:bottom w:val="single" w:sz="18" w:space="0" w:color="auto"/>
              <w:right w:val="single" w:sz="4" w:space="0" w:color="auto"/>
            </w:tcBorders>
            <w:shd w:val="clear" w:color="auto" w:fill="auto"/>
            <w:noWrap/>
            <w:vAlign w:val="center"/>
            <w:hideMark/>
          </w:tcPr>
          <w:p w14:paraId="0CEC692D"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166</w:t>
            </w:r>
          </w:p>
        </w:tc>
        <w:tc>
          <w:tcPr>
            <w:tcW w:w="630" w:type="dxa"/>
            <w:tcBorders>
              <w:top w:val="nil"/>
              <w:left w:val="nil"/>
              <w:bottom w:val="single" w:sz="18" w:space="0" w:color="auto"/>
              <w:right w:val="single" w:sz="18" w:space="0" w:color="auto"/>
            </w:tcBorders>
            <w:shd w:val="clear" w:color="auto" w:fill="auto"/>
            <w:noWrap/>
            <w:vAlign w:val="center"/>
            <w:hideMark/>
          </w:tcPr>
          <w:p w14:paraId="648BA6EE"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155</w:t>
            </w:r>
          </w:p>
        </w:tc>
      </w:tr>
      <w:tr w:rsidR="00353C6A" w:rsidRPr="00C4057E" w14:paraId="216FE200" w14:textId="77777777" w:rsidTr="00992EC5">
        <w:trPr>
          <w:trHeight w:val="144"/>
        </w:trPr>
        <w:tc>
          <w:tcPr>
            <w:tcW w:w="1065" w:type="dxa"/>
            <w:vMerge w:val="restart"/>
            <w:tcBorders>
              <w:top w:val="single" w:sz="18" w:space="0" w:color="auto"/>
              <w:left w:val="single" w:sz="18" w:space="0" w:color="auto"/>
              <w:bottom w:val="single" w:sz="4" w:space="0" w:color="auto"/>
              <w:right w:val="single" w:sz="4" w:space="0" w:color="auto"/>
            </w:tcBorders>
            <w:shd w:val="clear" w:color="000000" w:fill="D9D9D9"/>
            <w:noWrap/>
            <w:vAlign w:val="bottom"/>
            <w:hideMark/>
          </w:tcPr>
          <w:p w14:paraId="1957AE09" w14:textId="77777777" w:rsidR="00996145" w:rsidRPr="00353C6A" w:rsidRDefault="00996145" w:rsidP="00996145">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Company</w:t>
            </w:r>
          </w:p>
        </w:tc>
        <w:tc>
          <w:tcPr>
            <w:tcW w:w="1170" w:type="dxa"/>
            <w:vMerge w:val="restart"/>
            <w:tcBorders>
              <w:top w:val="single" w:sz="18" w:space="0" w:color="auto"/>
              <w:left w:val="single" w:sz="4" w:space="0" w:color="auto"/>
              <w:bottom w:val="single" w:sz="4" w:space="0" w:color="auto"/>
              <w:right w:val="single" w:sz="4" w:space="0" w:color="auto"/>
            </w:tcBorders>
            <w:shd w:val="clear" w:color="000000" w:fill="D9D9D9"/>
            <w:noWrap/>
            <w:vAlign w:val="bottom"/>
            <w:hideMark/>
          </w:tcPr>
          <w:p w14:paraId="53BC6151" w14:textId="77777777" w:rsidR="00996145" w:rsidRPr="00353C6A" w:rsidRDefault="00996145" w:rsidP="00996145">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SAIDI Benchmark</w:t>
            </w:r>
          </w:p>
        </w:tc>
        <w:tc>
          <w:tcPr>
            <w:tcW w:w="990" w:type="dxa"/>
            <w:vMerge w:val="restart"/>
            <w:tcBorders>
              <w:top w:val="single" w:sz="18" w:space="0" w:color="auto"/>
              <w:left w:val="single" w:sz="4" w:space="0" w:color="auto"/>
              <w:bottom w:val="single" w:sz="4" w:space="0" w:color="auto"/>
              <w:right w:val="single" w:sz="4" w:space="0" w:color="auto"/>
            </w:tcBorders>
            <w:shd w:val="clear" w:color="000000" w:fill="D9D9D9"/>
            <w:noWrap/>
            <w:vAlign w:val="bottom"/>
            <w:hideMark/>
          </w:tcPr>
          <w:p w14:paraId="7CEE364A" w14:textId="77777777" w:rsidR="00996145" w:rsidRPr="00353C6A" w:rsidRDefault="00996145" w:rsidP="00996145">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SAIDI</w:t>
            </w:r>
          </w:p>
          <w:p w14:paraId="59A5BB3A" w14:textId="77777777" w:rsidR="00996145" w:rsidRPr="00353C6A" w:rsidRDefault="00996145" w:rsidP="00996145">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12 Month Standard</w:t>
            </w:r>
          </w:p>
        </w:tc>
        <w:tc>
          <w:tcPr>
            <w:tcW w:w="990" w:type="dxa"/>
            <w:vMerge w:val="restart"/>
            <w:tcBorders>
              <w:top w:val="single" w:sz="18" w:space="0" w:color="auto"/>
              <w:left w:val="single" w:sz="4" w:space="0" w:color="auto"/>
              <w:bottom w:val="single" w:sz="4" w:space="0" w:color="auto"/>
              <w:right w:val="single" w:sz="4" w:space="0" w:color="auto"/>
            </w:tcBorders>
            <w:shd w:val="clear" w:color="000000" w:fill="D9D9D9"/>
            <w:noWrap/>
            <w:vAlign w:val="bottom"/>
            <w:hideMark/>
          </w:tcPr>
          <w:p w14:paraId="460C9422" w14:textId="77777777" w:rsidR="00996145" w:rsidRPr="00353C6A" w:rsidRDefault="00996145" w:rsidP="00996145">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SAIDI</w:t>
            </w:r>
          </w:p>
          <w:p w14:paraId="6B9BC40D" w14:textId="77777777" w:rsidR="00996145" w:rsidRPr="00353C6A" w:rsidRDefault="00996145" w:rsidP="00996145">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36 Month Standard</w:t>
            </w:r>
          </w:p>
        </w:tc>
        <w:tc>
          <w:tcPr>
            <w:tcW w:w="270" w:type="dxa"/>
            <w:tcBorders>
              <w:top w:val="single" w:sz="18" w:space="0" w:color="auto"/>
              <w:left w:val="single" w:sz="4" w:space="0" w:color="auto"/>
              <w:bottom w:val="single" w:sz="4" w:space="0" w:color="auto"/>
              <w:right w:val="single" w:sz="4" w:space="0" w:color="auto"/>
            </w:tcBorders>
            <w:shd w:val="clear" w:color="auto" w:fill="000000" w:themeFill="text1"/>
          </w:tcPr>
          <w:p w14:paraId="51BD0F8C" w14:textId="77777777" w:rsidR="00996145" w:rsidRPr="00353C6A" w:rsidRDefault="00996145" w:rsidP="00996145">
            <w:pPr>
              <w:spacing w:after="0" w:line="240" w:lineRule="auto"/>
              <w:jc w:val="center"/>
              <w:rPr>
                <w:rFonts w:ascii="Arial" w:eastAsia="Times New Roman" w:hAnsi="Arial" w:cs="Arial"/>
                <w:b/>
                <w:bCs/>
                <w:color w:val="000000"/>
                <w:sz w:val="16"/>
                <w:szCs w:val="16"/>
              </w:rPr>
            </w:pPr>
          </w:p>
        </w:tc>
        <w:tc>
          <w:tcPr>
            <w:tcW w:w="1170" w:type="dxa"/>
            <w:gridSpan w:val="2"/>
            <w:tcBorders>
              <w:top w:val="single" w:sz="18" w:space="0" w:color="auto"/>
              <w:left w:val="single" w:sz="4" w:space="0" w:color="auto"/>
              <w:bottom w:val="single" w:sz="4" w:space="0" w:color="auto"/>
              <w:right w:val="single" w:sz="4" w:space="0" w:color="auto"/>
            </w:tcBorders>
            <w:shd w:val="clear" w:color="000000" w:fill="D9D9D9"/>
            <w:vAlign w:val="bottom"/>
          </w:tcPr>
          <w:p w14:paraId="5D0A4C31" w14:textId="77777777" w:rsidR="00996145" w:rsidRPr="00353C6A" w:rsidRDefault="00996145" w:rsidP="00996145">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2013</w:t>
            </w:r>
          </w:p>
        </w:tc>
        <w:tc>
          <w:tcPr>
            <w:tcW w:w="1170" w:type="dxa"/>
            <w:gridSpan w:val="2"/>
            <w:tcBorders>
              <w:top w:val="single" w:sz="18" w:space="0" w:color="auto"/>
              <w:left w:val="single" w:sz="4" w:space="0" w:color="auto"/>
              <w:bottom w:val="single" w:sz="4" w:space="0" w:color="auto"/>
              <w:right w:val="single" w:sz="12" w:space="0" w:color="000000"/>
            </w:tcBorders>
            <w:shd w:val="clear" w:color="000000" w:fill="D9D9D9"/>
            <w:noWrap/>
            <w:vAlign w:val="bottom"/>
            <w:hideMark/>
          </w:tcPr>
          <w:p w14:paraId="6F19E7F0" w14:textId="77777777" w:rsidR="00996145" w:rsidRPr="00353C6A" w:rsidRDefault="00996145" w:rsidP="00996145">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2014</w:t>
            </w:r>
          </w:p>
        </w:tc>
        <w:tc>
          <w:tcPr>
            <w:tcW w:w="1080" w:type="dxa"/>
            <w:gridSpan w:val="3"/>
            <w:tcBorders>
              <w:top w:val="single" w:sz="18" w:space="0" w:color="auto"/>
              <w:left w:val="nil"/>
              <w:bottom w:val="single" w:sz="4" w:space="0" w:color="auto"/>
              <w:right w:val="single" w:sz="4" w:space="0" w:color="auto"/>
            </w:tcBorders>
            <w:shd w:val="clear" w:color="000000" w:fill="D9D9D9"/>
            <w:noWrap/>
            <w:vAlign w:val="bottom"/>
            <w:hideMark/>
          </w:tcPr>
          <w:p w14:paraId="4FE3D0DB" w14:textId="77777777" w:rsidR="00996145" w:rsidRPr="00353C6A" w:rsidRDefault="00996145" w:rsidP="00996145">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2015</w:t>
            </w:r>
          </w:p>
        </w:tc>
        <w:tc>
          <w:tcPr>
            <w:tcW w:w="1170" w:type="dxa"/>
            <w:gridSpan w:val="2"/>
            <w:tcBorders>
              <w:top w:val="single" w:sz="18" w:space="0" w:color="auto"/>
              <w:left w:val="single" w:sz="12" w:space="0" w:color="auto"/>
              <w:bottom w:val="single" w:sz="4" w:space="0" w:color="auto"/>
              <w:right w:val="single" w:sz="12" w:space="0" w:color="000000"/>
            </w:tcBorders>
            <w:shd w:val="clear" w:color="000000" w:fill="D9D9D9"/>
            <w:noWrap/>
            <w:vAlign w:val="bottom"/>
            <w:hideMark/>
          </w:tcPr>
          <w:p w14:paraId="71D04656" w14:textId="77777777" w:rsidR="00996145" w:rsidRPr="00353C6A" w:rsidRDefault="00996145" w:rsidP="00996145">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2016</w:t>
            </w:r>
          </w:p>
        </w:tc>
        <w:tc>
          <w:tcPr>
            <w:tcW w:w="1170" w:type="dxa"/>
            <w:gridSpan w:val="2"/>
            <w:tcBorders>
              <w:top w:val="single" w:sz="18" w:space="0" w:color="auto"/>
              <w:left w:val="nil"/>
              <w:bottom w:val="single" w:sz="4" w:space="0" w:color="auto"/>
              <w:right w:val="single" w:sz="18" w:space="0" w:color="auto"/>
            </w:tcBorders>
            <w:shd w:val="clear" w:color="000000" w:fill="D9D9D9"/>
            <w:noWrap/>
            <w:vAlign w:val="bottom"/>
            <w:hideMark/>
          </w:tcPr>
          <w:p w14:paraId="5E2736D8" w14:textId="77777777" w:rsidR="00996145" w:rsidRPr="00353C6A" w:rsidRDefault="00996145" w:rsidP="00996145">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2017</w:t>
            </w:r>
          </w:p>
        </w:tc>
      </w:tr>
      <w:tr w:rsidR="00353C6A" w:rsidRPr="00C4057E" w14:paraId="54D993CD" w14:textId="77777777" w:rsidTr="00992EC5">
        <w:trPr>
          <w:trHeight w:val="288"/>
        </w:trPr>
        <w:tc>
          <w:tcPr>
            <w:tcW w:w="1065" w:type="dxa"/>
            <w:vMerge/>
            <w:tcBorders>
              <w:top w:val="nil"/>
              <w:left w:val="single" w:sz="18" w:space="0" w:color="auto"/>
              <w:bottom w:val="single" w:sz="4" w:space="0" w:color="auto"/>
              <w:right w:val="single" w:sz="4" w:space="0" w:color="auto"/>
            </w:tcBorders>
            <w:vAlign w:val="center"/>
            <w:hideMark/>
          </w:tcPr>
          <w:p w14:paraId="5C3DD232" w14:textId="77777777" w:rsidR="00996145" w:rsidRPr="00F5773C" w:rsidRDefault="00996145" w:rsidP="00996145">
            <w:pPr>
              <w:spacing w:after="0" w:line="240" w:lineRule="auto"/>
              <w:rPr>
                <w:rFonts w:ascii="Arial" w:eastAsia="Times New Roman" w:hAnsi="Arial" w:cs="Arial"/>
                <w:b/>
                <w:bCs/>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14:paraId="4AB5AAD8" w14:textId="77777777" w:rsidR="00996145" w:rsidRPr="00F5773C" w:rsidRDefault="00996145" w:rsidP="00996145">
            <w:pPr>
              <w:spacing w:after="0" w:line="240" w:lineRule="auto"/>
              <w:rPr>
                <w:rFonts w:ascii="Arial" w:eastAsia="Times New Roman" w:hAnsi="Arial" w:cs="Arial"/>
                <w:b/>
                <w:bCs/>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14:paraId="366802C7" w14:textId="77777777" w:rsidR="00996145" w:rsidRPr="00F5773C" w:rsidRDefault="00996145" w:rsidP="00996145">
            <w:pPr>
              <w:spacing w:after="0" w:line="240" w:lineRule="auto"/>
              <w:rPr>
                <w:rFonts w:ascii="Arial" w:eastAsia="Times New Roman" w:hAnsi="Arial" w:cs="Arial"/>
                <w:b/>
                <w:bCs/>
                <w:color w:val="000000"/>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F3F4BC2" w14:textId="77777777" w:rsidR="00996145" w:rsidRPr="00F5773C" w:rsidRDefault="00996145" w:rsidP="00996145">
            <w:pPr>
              <w:spacing w:after="0" w:line="240" w:lineRule="auto"/>
              <w:rPr>
                <w:rFonts w:ascii="Arial" w:eastAsia="Times New Roman" w:hAnsi="Arial" w:cs="Arial"/>
                <w:b/>
                <w:bCs/>
                <w:color w:val="000000"/>
                <w:sz w:val="16"/>
                <w:szCs w:val="16"/>
              </w:rPr>
            </w:pPr>
          </w:p>
        </w:tc>
        <w:tc>
          <w:tcPr>
            <w:tcW w:w="270" w:type="dxa"/>
            <w:tcBorders>
              <w:top w:val="nil"/>
              <w:left w:val="single" w:sz="4" w:space="0" w:color="auto"/>
              <w:bottom w:val="single" w:sz="4" w:space="0" w:color="auto"/>
              <w:right w:val="single" w:sz="4" w:space="0" w:color="auto"/>
            </w:tcBorders>
            <w:shd w:val="clear" w:color="auto" w:fill="000000" w:themeFill="text1"/>
          </w:tcPr>
          <w:p w14:paraId="4A4A258C" w14:textId="77777777" w:rsidR="00996145" w:rsidRPr="00F5773C" w:rsidRDefault="00996145" w:rsidP="00996145">
            <w:pPr>
              <w:spacing w:after="0" w:line="240" w:lineRule="auto"/>
              <w:jc w:val="center"/>
              <w:rPr>
                <w:rFonts w:ascii="Arial" w:eastAsia="Times New Roman" w:hAnsi="Arial" w:cs="Arial"/>
                <w:b/>
                <w:bCs/>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000000" w:fill="D9D9D9"/>
            <w:vAlign w:val="bottom"/>
          </w:tcPr>
          <w:p w14:paraId="198F3E0F" w14:textId="77777777" w:rsidR="00996145" w:rsidRPr="00F5773C" w:rsidRDefault="00996145" w:rsidP="0099614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12</w:t>
            </w:r>
          </w:p>
          <w:p w14:paraId="274C82E4" w14:textId="77777777" w:rsidR="00996145" w:rsidRPr="00F5773C" w:rsidRDefault="00996145" w:rsidP="0099614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Mo.</w:t>
            </w:r>
          </w:p>
        </w:tc>
        <w:tc>
          <w:tcPr>
            <w:tcW w:w="630" w:type="dxa"/>
            <w:tcBorders>
              <w:top w:val="single" w:sz="4" w:space="0" w:color="auto"/>
              <w:left w:val="single" w:sz="4" w:space="0" w:color="auto"/>
              <w:bottom w:val="single" w:sz="4" w:space="0" w:color="auto"/>
              <w:right w:val="single" w:sz="4" w:space="0" w:color="auto"/>
            </w:tcBorders>
            <w:shd w:val="clear" w:color="000000" w:fill="D9D9D9"/>
            <w:vAlign w:val="bottom"/>
          </w:tcPr>
          <w:p w14:paraId="3D463C92" w14:textId="77777777" w:rsidR="00996145" w:rsidRPr="00F5773C" w:rsidRDefault="00996145" w:rsidP="0099614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 xml:space="preserve">36 </w:t>
            </w:r>
          </w:p>
          <w:p w14:paraId="4A8E7B6A" w14:textId="77777777" w:rsidR="00996145" w:rsidRPr="00F5773C" w:rsidRDefault="00996145" w:rsidP="0099614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Mo.</w:t>
            </w:r>
          </w:p>
        </w:tc>
        <w:tc>
          <w:tcPr>
            <w:tcW w:w="540" w:type="dxa"/>
            <w:tcBorders>
              <w:top w:val="nil"/>
              <w:left w:val="single" w:sz="4" w:space="0" w:color="auto"/>
              <w:bottom w:val="single" w:sz="4" w:space="0" w:color="auto"/>
              <w:right w:val="single" w:sz="4" w:space="0" w:color="auto"/>
            </w:tcBorders>
            <w:shd w:val="clear" w:color="000000" w:fill="D9D9D9"/>
            <w:noWrap/>
            <w:vAlign w:val="bottom"/>
            <w:hideMark/>
          </w:tcPr>
          <w:p w14:paraId="57216B32" w14:textId="77777777" w:rsidR="00996145" w:rsidRPr="00F5773C" w:rsidRDefault="00996145" w:rsidP="0099614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12 Mo.</w:t>
            </w:r>
          </w:p>
        </w:tc>
        <w:tc>
          <w:tcPr>
            <w:tcW w:w="630" w:type="dxa"/>
            <w:tcBorders>
              <w:top w:val="nil"/>
              <w:left w:val="nil"/>
              <w:bottom w:val="single" w:sz="4" w:space="0" w:color="auto"/>
              <w:right w:val="single" w:sz="12" w:space="0" w:color="auto"/>
            </w:tcBorders>
            <w:shd w:val="clear" w:color="000000" w:fill="D9D9D9"/>
            <w:noWrap/>
            <w:vAlign w:val="bottom"/>
            <w:hideMark/>
          </w:tcPr>
          <w:p w14:paraId="381A4743" w14:textId="77777777" w:rsidR="00996145" w:rsidRPr="00F5773C" w:rsidRDefault="00996145" w:rsidP="0099614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36 Mo.</w:t>
            </w:r>
          </w:p>
        </w:tc>
        <w:tc>
          <w:tcPr>
            <w:tcW w:w="540" w:type="dxa"/>
            <w:tcBorders>
              <w:top w:val="nil"/>
              <w:left w:val="nil"/>
              <w:bottom w:val="single" w:sz="4" w:space="0" w:color="auto"/>
              <w:right w:val="single" w:sz="4" w:space="0" w:color="auto"/>
            </w:tcBorders>
            <w:shd w:val="clear" w:color="000000" w:fill="D9D9D9"/>
            <w:noWrap/>
            <w:vAlign w:val="bottom"/>
            <w:hideMark/>
          </w:tcPr>
          <w:p w14:paraId="632CB6F8" w14:textId="77777777" w:rsidR="00996145" w:rsidRPr="00F5773C" w:rsidRDefault="00996145" w:rsidP="0099614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12 Mo.</w:t>
            </w:r>
          </w:p>
        </w:tc>
        <w:tc>
          <w:tcPr>
            <w:tcW w:w="540" w:type="dxa"/>
            <w:gridSpan w:val="2"/>
            <w:tcBorders>
              <w:top w:val="nil"/>
              <w:left w:val="nil"/>
              <w:bottom w:val="single" w:sz="4" w:space="0" w:color="auto"/>
              <w:right w:val="single" w:sz="12" w:space="0" w:color="auto"/>
            </w:tcBorders>
            <w:shd w:val="clear" w:color="000000" w:fill="D9D9D9"/>
            <w:noWrap/>
            <w:vAlign w:val="bottom"/>
            <w:hideMark/>
          </w:tcPr>
          <w:p w14:paraId="45743BEF" w14:textId="77777777" w:rsidR="00996145" w:rsidRPr="00F5773C" w:rsidRDefault="00996145" w:rsidP="0099614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36 Mo.</w:t>
            </w:r>
          </w:p>
        </w:tc>
        <w:tc>
          <w:tcPr>
            <w:tcW w:w="540" w:type="dxa"/>
            <w:tcBorders>
              <w:top w:val="nil"/>
              <w:left w:val="nil"/>
              <w:bottom w:val="single" w:sz="4" w:space="0" w:color="auto"/>
              <w:right w:val="single" w:sz="4" w:space="0" w:color="auto"/>
            </w:tcBorders>
            <w:shd w:val="clear" w:color="000000" w:fill="D9D9D9"/>
            <w:noWrap/>
            <w:vAlign w:val="bottom"/>
            <w:hideMark/>
          </w:tcPr>
          <w:p w14:paraId="172C129F" w14:textId="77777777" w:rsidR="00996145" w:rsidRPr="00F5773C" w:rsidRDefault="00996145" w:rsidP="0099614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12 Mo.</w:t>
            </w:r>
          </w:p>
        </w:tc>
        <w:tc>
          <w:tcPr>
            <w:tcW w:w="630" w:type="dxa"/>
            <w:tcBorders>
              <w:top w:val="nil"/>
              <w:left w:val="nil"/>
              <w:bottom w:val="single" w:sz="4" w:space="0" w:color="auto"/>
              <w:right w:val="single" w:sz="12" w:space="0" w:color="auto"/>
            </w:tcBorders>
            <w:shd w:val="clear" w:color="000000" w:fill="D9D9D9"/>
            <w:noWrap/>
            <w:vAlign w:val="bottom"/>
            <w:hideMark/>
          </w:tcPr>
          <w:p w14:paraId="10D32C97" w14:textId="77777777" w:rsidR="00996145" w:rsidRPr="00F5773C" w:rsidRDefault="00996145" w:rsidP="0099614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36 Mo.</w:t>
            </w:r>
          </w:p>
        </w:tc>
        <w:tc>
          <w:tcPr>
            <w:tcW w:w="540" w:type="dxa"/>
            <w:tcBorders>
              <w:top w:val="nil"/>
              <w:left w:val="nil"/>
              <w:bottom w:val="single" w:sz="4" w:space="0" w:color="auto"/>
              <w:right w:val="single" w:sz="4" w:space="0" w:color="auto"/>
            </w:tcBorders>
            <w:shd w:val="clear" w:color="000000" w:fill="D9D9D9"/>
            <w:noWrap/>
            <w:vAlign w:val="bottom"/>
            <w:hideMark/>
          </w:tcPr>
          <w:p w14:paraId="106253A2" w14:textId="77777777" w:rsidR="00996145" w:rsidRPr="00F5773C" w:rsidRDefault="00996145" w:rsidP="0099614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12 Mo.</w:t>
            </w:r>
          </w:p>
        </w:tc>
        <w:tc>
          <w:tcPr>
            <w:tcW w:w="630" w:type="dxa"/>
            <w:tcBorders>
              <w:top w:val="nil"/>
              <w:left w:val="nil"/>
              <w:bottom w:val="single" w:sz="4" w:space="0" w:color="auto"/>
              <w:right w:val="single" w:sz="18" w:space="0" w:color="auto"/>
            </w:tcBorders>
            <w:shd w:val="clear" w:color="000000" w:fill="D9D9D9"/>
            <w:noWrap/>
            <w:vAlign w:val="bottom"/>
            <w:hideMark/>
          </w:tcPr>
          <w:p w14:paraId="272F18DD" w14:textId="77777777" w:rsidR="00996145" w:rsidRPr="00F5773C" w:rsidRDefault="00996145" w:rsidP="00996145">
            <w:pPr>
              <w:spacing w:after="0" w:line="240" w:lineRule="auto"/>
              <w:jc w:val="center"/>
              <w:rPr>
                <w:rFonts w:ascii="Arial" w:eastAsia="Times New Roman" w:hAnsi="Arial" w:cs="Arial"/>
                <w:b/>
                <w:bCs/>
                <w:color w:val="000000"/>
                <w:sz w:val="16"/>
                <w:szCs w:val="16"/>
              </w:rPr>
            </w:pPr>
            <w:r w:rsidRPr="00F5773C">
              <w:rPr>
                <w:rFonts w:ascii="Arial" w:eastAsia="Times New Roman" w:hAnsi="Arial" w:cs="Arial"/>
                <w:b/>
                <w:bCs/>
                <w:color w:val="000000"/>
                <w:sz w:val="16"/>
                <w:szCs w:val="16"/>
              </w:rPr>
              <w:t>36 Mo.</w:t>
            </w:r>
          </w:p>
        </w:tc>
      </w:tr>
      <w:tr w:rsidR="00353C6A" w:rsidRPr="00C4057E" w14:paraId="324280E3" w14:textId="77777777" w:rsidTr="00992EC5">
        <w:trPr>
          <w:trHeight w:val="432"/>
        </w:trPr>
        <w:tc>
          <w:tcPr>
            <w:tcW w:w="1065" w:type="dxa"/>
            <w:tcBorders>
              <w:top w:val="nil"/>
              <w:left w:val="single" w:sz="18" w:space="0" w:color="auto"/>
              <w:bottom w:val="single" w:sz="4" w:space="0" w:color="auto"/>
              <w:right w:val="single" w:sz="4" w:space="0" w:color="auto"/>
            </w:tcBorders>
            <w:shd w:val="clear" w:color="auto" w:fill="auto"/>
            <w:noWrap/>
            <w:vAlign w:val="center"/>
            <w:hideMark/>
          </w:tcPr>
          <w:p w14:paraId="3A07FE2F" w14:textId="77777777" w:rsidR="00996145" w:rsidRPr="00353C6A" w:rsidRDefault="00996145" w:rsidP="00DC618A">
            <w:pPr>
              <w:spacing w:after="0" w:line="240" w:lineRule="auto"/>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Met-Ed</w:t>
            </w:r>
          </w:p>
        </w:tc>
        <w:tc>
          <w:tcPr>
            <w:tcW w:w="1170" w:type="dxa"/>
            <w:tcBorders>
              <w:top w:val="nil"/>
              <w:left w:val="nil"/>
              <w:bottom w:val="single" w:sz="4" w:space="0" w:color="auto"/>
              <w:right w:val="single" w:sz="4" w:space="0" w:color="auto"/>
            </w:tcBorders>
            <w:shd w:val="clear" w:color="auto" w:fill="auto"/>
            <w:noWrap/>
            <w:vAlign w:val="center"/>
            <w:hideMark/>
          </w:tcPr>
          <w:p w14:paraId="5FAF1B54" w14:textId="77777777" w:rsidR="00996145" w:rsidRPr="00353C6A" w:rsidRDefault="00996145" w:rsidP="00DC618A">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135</w:t>
            </w:r>
          </w:p>
        </w:tc>
        <w:tc>
          <w:tcPr>
            <w:tcW w:w="990" w:type="dxa"/>
            <w:tcBorders>
              <w:top w:val="nil"/>
              <w:left w:val="nil"/>
              <w:bottom w:val="single" w:sz="4" w:space="0" w:color="auto"/>
              <w:right w:val="single" w:sz="4" w:space="0" w:color="auto"/>
            </w:tcBorders>
            <w:shd w:val="clear" w:color="auto" w:fill="auto"/>
            <w:noWrap/>
            <w:vAlign w:val="center"/>
            <w:hideMark/>
          </w:tcPr>
          <w:p w14:paraId="5BB83F94" w14:textId="77777777" w:rsidR="00996145" w:rsidRPr="00353C6A" w:rsidRDefault="00996145" w:rsidP="00DC618A">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194</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66BF758" w14:textId="77777777" w:rsidR="00996145" w:rsidRPr="00353C6A" w:rsidRDefault="00996145" w:rsidP="00DC618A">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163</w:t>
            </w:r>
          </w:p>
        </w:tc>
        <w:tc>
          <w:tcPr>
            <w:tcW w:w="270" w:type="dxa"/>
            <w:tcBorders>
              <w:top w:val="nil"/>
              <w:left w:val="single" w:sz="4" w:space="0" w:color="auto"/>
              <w:bottom w:val="single" w:sz="4" w:space="0" w:color="auto"/>
              <w:right w:val="single" w:sz="4" w:space="0" w:color="auto"/>
            </w:tcBorders>
            <w:shd w:val="clear" w:color="auto" w:fill="000000" w:themeFill="text1"/>
            <w:vAlign w:val="center"/>
          </w:tcPr>
          <w:p w14:paraId="36FCB7FF" w14:textId="77777777" w:rsidR="00996145" w:rsidRPr="00353C6A" w:rsidRDefault="00996145" w:rsidP="00992EC5">
            <w:pPr>
              <w:spacing w:after="0" w:line="240" w:lineRule="auto"/>
              <w:jc w:val="center"/>
              <w:rPr>
                <w:rFonts w:ascii="Arial" w:eastAsia="Times New Roman" w:hAnsi="Arial" w:cs="Arial"/>
                <w:b/>
                <w:bCs/>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82B80FD" w14:textId="77777777" w:rsidR="00996145" w:rsidRPr="00353C6A" w:rsidRDefault="00996145" w:rsidP="00992EC5">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115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8002B19" w14:textId="77777777" w:rsidR="00996145" w:rsidRPr="00353C6A" w:rsidRDefault="00E15B2B" w:rsidP="00992EC5">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137</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98238F9" w14:textId="77777777" w:rsidR="00996145" w:rsidRPr="00353C6A" w:rsidRDefault="00996145" w:rsidP="00992EC5">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141</w:t>
            </w:r>
          </w:p>
        </w:tc>
        <w:tc>
          <w:tcPr>
            <w:tcW w:w="630" w:type="dxa"/>
            <w:tcBorders>
              <w:top w:val="nil"/>
              <w:left w:val="nil"/>
              <w:bottom w:val="single" w:sz="4" w:space="0" w:color="auto"/>
              <w:right w:val="single" w:sz="12" w:space="0" w:color="auto"/>
            </w:tcBorders>
            <w:shd w:val="clear" w:color="auto" w:fill="auto"/>
            <w:noWrap/>
            <w:vAlign w:val="center"/>
            <w:hideMark/>
          </w:tcPr>
          <w:p w14:paraId="33D06899" w14:textId="77777777" w:rsidR="00996145" w:rsidRPr="00353C6A" w:rsidRDefault="00996145" w:rsidP="00992EC5">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137</w:t>
            </w:r>
          </w:p>
        </w:tc>
        <w:tc>
          <w:tcPr>
            <w:tcW w:w="540" w:type="dxa"/>
            <w:tcBorders>
              <w:top w:val="nil"/>
              <w:left w:val="nil"/>
              <w:bottom w:val="single" w:sz="4" w:space="0" w:color="auto"/>
              <w:right w:val="single" w:sz="4" w:space="0" w:color="auto"/>
            </w:tcBorders>
            <w:shd w:val="clear" w:color="auto" w:fill="auto"/>
            <w:noWrap/>
            <w:vAlign w:val="center"/>
            <w:hideMark/>
          </w:tcPr>
          <w:p w14:paraId="5D497BA3" w14:textId="77777777" w:rsidR="00996145" w:rsidRPr="00353C6A" w:rsidRDefault="00996145" w:rsidP="00992EC5">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136</w:t>
            </w:r>
          </w:p>
        </w:tc>
        <w:tc>
          <w:tcPr>
            <w:tcW w:w="540" w:type="dxa"/>
            <w:gridSpan w:val="2"/>
            <w:tcBorders>
              <w:top w:val="nil"/>
              <w:left w:val="nil"/>
              <w:bottom w:val="single" w:sz="4" w:space="0" w:color="auto"/>
              <w:right w:val="nil"/>
            </w:tcBorders>
            <w:shd w:val="clear" w:color="auto" w:fill="auto"/>
            <w:noWrap/>
            <w:vAlign w:val="center"/>
            <w:hideMark/>
          </w:tcPr>
          <w:p w14:paraId="6719160C" w14:textId="77777777" w:rsidR="00996145" w:rsidRPr="00353C6A" w:rsidRDefault="00996145" w:rsidP="00992EC5">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131</w:t>
            </w:r>
          </w:p>
        </w:tc>
        <w:tc>
          <w:tcPr>
            <w:tcW w:w="540" w:type="dxa"/>
            <w:tcBorders>
              <w:top w:val="nil"/>
              <w:left w:val="single" w:sz="12" w:space="0" w:color="auto"/>
              <w:bottom w:val="single" w:sz="4" w:space="0" w:color="auto"/>
              <w:right w:val="single" w:sz="4" w:space="0" w:color="auto"/>
            </w:tcBorders>
            <w:shd w:val="clear" w:color="auto" w:fill="auto"/>
            <w:noWrap/>
            <w:vAlign w:val="center"/>
            <w:hideMark/>
          </w:tcPr>
          <w:p w14:paraId="486FB189" w14:textId="77777777" w:rsidR="00996145" w:rsidRPr="00353C6A" w:rsidRDefault="00996145" w:rsidP="00992EC5">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178</w:t>
            </w:r>
          </w:p>
        </w:tc>
        <w:tc>
          <w:tcPr>
            <w:tcW w:w="630" w:type="dxa"/>
            <w:tcBorders>
              <w:top w:val="nil"/>
              <w:left w:val="nil"/>
              <w:bottom w:val="single" w:sz="4" w:space="0" w:color="auto"/>
              <w:right w:val="single" w:sz="12" w:space="0" w:color="auto"/>
            </w:tcBorders>
            <w:shd w:val="clear" w:color="auto" w:fill="auto"/>
            <w:noWrap/>
            <w:vAlign w:val="center"/>
            <w:hideMark/>
          </w:tcPr>
          <w:p w14:paraId="7FFAB32D" w14:textId="77777777" w:rsidR="00996145" w:rsidRPr="00353C6A" w:rsidRDefault="00996145" w:rsidP="00992EC5">
            <w:pPr>
              <w:spacing w:after="0" w:line="240" w:lineRule="auto"/>
              <w:jc w:val="center"/>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152</w:t>
            </w:r>
          </w:p>
        </w:tc>
        <w:tc>
          <w:tcPr>
            <w:tcW w:w="540" w:type="dxa"/>
            <w:tcBorders>
              <w:top w:val="nil"/>
              <w:left w:val="nil"/>
              <w:bottom w:val="single" w:sz="4" w:space="0" w:color="auto"/>
              <w:right w:val="single" w:sz="4" w:space="0" w:color="auto"/>
            </w:tcBorders>
            <w:shd w:val="clear" w:color="000000" w:fill="FF0000"/>
            <w:noWrap/>
            <w:vAlign w:val="center"/>
            <w:hideMark/>
          </w:tcPr>
          <w:p w14:paraId="4FB8C074" w14:textId="77777777" w:rsidR="00996145" w:rsidRPr="00353C6A" w:rsidRDefault="00996145" w:rsidP="00992EC5">
            <w:pPr>
              <w:spacing w:after="0" w:line="240" w:lineRule="auto"/>
              <w:jc w:val="center"/>
              <w:rPr>
                <w:rFonts w:ascii="Arial" w:eastAsia="Times New Roman" w:hAnsi="Arial" w:cs="Arial"/>
                <w:b/>
                <w:bCs/>
                <w:color w:val="FFFFFF"/>
                <w:sz w:val="16"/>
                <w:szCs w:val="16"/>
              </w:rPr>
            </w:pPr>
            <w:r w:rsidRPr="00353C6A">
              <w:rPr>
                <w:rFonts w:ascii="Arial" w:eastAsia="Times New Roman" w:hAnsi="Arial" w:cs="Arial"/>
                <w:b/>
                <w:bCs/>
                <w:color w:val="FFFFFF"/>
                <w:sz w:val="16"/>
                <w:szCs w:val="16"/>
              </w:rPr>
              <w:t>217</w:t>
            </w:r>
          </w:p>
        </w:tc>
        <w:tc>
          <w:tcPr>
            <w:tcW w:w="630" w:type="dxa"/>
            <w:tcBorders>
              <w:top w:val="nil"/>
              <w:left w:val="nil"/>
              <w:bottom w:val="single" w:sz="4" w:space="0" w:color="auto"/>
              <w:right w:val="single" w:sz="18" w:space="0" w:color="auto"/>
            </w:tcBorders>
            <w:shd w:val="clear" w:color="000000" w:fill="FF0000"/>
            <w:noWrap/>
            <w:vAlign w:val="center"/>
            <w:hideMark/>
          </w:tcPr>
          <w:p w14:paraId="7DBC0CC3" w14:textId="77777777" w:rsidR="00996145" w:rsidRPr="00353C6A" w:rsidRDefault="00996145" w:rsidP="00992EC5">
            <w:pPr>
              <w:spacing w:after="0" w:line="240" w:lineRule="auto"/>
              <w:jc w:val="center"/>
              <w:rPr>
                <w:rFonts w:ascii="Arial" w:eastAsia="Times New Roman" w:hAnsi="Arial" w:cs="Arial"/>
                <w:b/>
                <w:bCs/>
                <w:color w:val="FFFFFF"/>
                <w:sz w:val="16"/>
                <w:szCs w:val="16"/>
              </w:rPr>
            </w:pPr>
            <w:r w:rsidRPr="00353C6A">
              <w:rPr>
                <w:rFonts w:ascii="Arial" w:eastAsia="Times New Roman" w:hAnsi="Arial" w:cs="Arial"/>
                <w:b/>
                <w:bCs/>
                <w:color w:val="FFFFFF"/>
                <w:sz w:val="16"/>
                <w:szCs w:val="16"/>
              </w:rPr>
              <w:t>177</w:t>
            </w:r>
          </w:p>
        </w:tc>
      </w:tr>
      <w:tr w:rsidR="00353C6A" w:rsidRPr="00C4057E" w14:paraId="46C0F14D" w14:textId="77777777" w:rsidTr="00992EC5">
        <w:trPr>
          <w:trHeight w:val="432"/>
        </w:trPr>
        <w:tc>
          <w:tcPr>
            <w:tcW w:w="1065" w:type="dxa"/>
            <w:tcBorders>
              <w:top w:val="nil"/>
              <w:left w:val="single" w:sz="18" w:space="0" w:color="auto"/>
              <w:bottom w:val="single" w:sz="4" w:space="0" w:color="auto"/>
              <w:right w:val="single" w:sz="4" w:space="0" w:color="auto"/>
            </w:tcBorders>
            <w:shd w:val="clear" w:color="auto" w:fill="auto"/>
            <w:noWrap/>
            <w:vAlign w:val="center"/>
            <w:hideMark/>
          </w:tcPr>
          <w:p w14:paraId="3C575B9B" w14:textId="77777777" w:rsidR="00996145" w:rsidRPr="00353C6A" w:rsidRDefault="00996145" w:rsidP="00DC618A">
            <w:pPr>
              <w:spacing w:after="0" w:line="240" w:lineRule="auto"/>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Penelec</w:t>
            </w:r>
          </w:p>
        </w:tc>
        <w:tc>
          <w:tcPr>
            <w:tcW w:w="1170" w:type="dxa"/>
            <w:tcBorders>
              <w:top w:val="nil"/>
              <w:left w:val="nil"/>
              <w:bottom w:val="single" w:sz="4" w:space="0" w:color="auto"/>
              <w:right w:val="single" w:sz="4" w:space="0" w:color="auto"/>
            </w:tcBorders>
            <w:shd w:val="clear" w:color="auto" w:fill="auto"/>
            <w:noWrap/>
            <w:vAlign w:val="center"/>
            <w:hideMark/>
          </w:tcPr>
          <w:p w14:paraId="7E622CA9" w14:textId="77777777" w:rsidR="00996145" w:rsidRPr="00353C6A" w:rsidRDefault="00996145" w:rsidP="00DC618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148</w:t>
            </w:r>
          </w:p>
        </w:tc>
        <w:tc>
          <w:tcPr>
            <w:tcW w:w="990" w:type="dxa"/>
            <w:tcBorders>
              <w:top w:val="nil"/>
              <w:left w:val="nil"/>
              <w:bottom w:val="single" w:sz="4" w:space="0" w:color="auto"/>
              <w:right w:val="single" w:sz="4" w:space="0" w:color="auto"/>
            </w:tcBorders>
            <w:shd w:val="clear" w:color="auto" w:fill="auto"/>
            <w:noWrap/>
            <w:vAlign w:val="center"/>
            <w:hideMark/>
          </w:tcPr>
          <w:p w14:paraId="17584A0E" w14:textId="77777777" w:rsidR="00996145" w:rsidRPr="00353C6A" w:rsidRDefault="00996145" w:rsidP="00DC618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213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311DBBE6" w14:textId="77777777" w:rsidR="00996145" w:rsidRPr="00353C6A" w:rsidRDefault="00996145" w:rsidP="00DC618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179</w:t>
            </w:r>
          </w:p>
        </w:tc>
        <w:tc>
          <w:tcPr>
            <w:tcW w:w="270" w:type="dxa"/>
            <w:tcBorders>
              <w:top w:val="nil"/>
              <w:left w:val="single" w:sz="4" w:space="0" w:color="auto"/>
              <w:bottom w:val="single" w:sz="4" w:space="0" w:color="auto"/>
              <w:right w:val="single" w:sz="4" w:space="0" w:color="auto"/>
            </w:tcBorders>
            <w:shd w:val="clear" w:color="auto" w:fill="000000" w:themeFill="text1"/>
            <w:vAlign w:val="center"/>
          </w:tcPr>
          <w:p w14:paraId="5CBE44F7" w14:textId="77777777" w:rsidR="00996145" w:rsidRPr="00353C6A" w:rsidRDefault="00996145" w:rsidP="00992EC5">
            <w:pPr>
              <w:spacing w:after="0" w:line="240" w:lineRule="auto"/>
              <w:jc w:val="center"/>
              <w:rPr>
                <w:rFonts w:ascii="Arial" w:eastAsia="Times New Roman" w:hAnsi="Arial" w:cs="Arial"/>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A688C7A"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174</w:t>
            </w:r>
          </w:p>
        </w:tc>
        <w:tc>
          <w:tcPr>
            <w:tcW w:w="630" w:type="dxa"/>
            <w:tcBorders>
              <w:top w:val="single" w:sz="4" w:space="0" w:color="auto"/>
              <w:left w:val="single" w:sz="4" w:space="0" w:color="auto"/>
              <w:bottom w:val="single" w:sz="4" w:space="0" w:color="auto"/>
              <w:right w:val="single" w:sz="4" w:space="0" w:color="auto"/>
            </w:tcBorders>
            <w:shd w:val="clear" w:color="auto" w:fill="FF0000"/>
            <w:vAlign w:val="center"/>
          </w:tcPr>
          <w:p w14:paraId="67E1E881" w14:textId="77777777" w:rsidR="00996145" w:rsidRPr="00353C6A" w:rsidRDefault="00E15B2B" w:rsidP="00992EC5">
            <w:pPr>
              <w:spacing w:after="0" w:line="240" w:lineRule="auto"/>
              <w:jc w:val="center"/>
              <w:rPr>
                <w:rFonts w:ascii="Arial" w:eastAsia="Times New Roman" w:hAnsi="Arial" w:cs="Arial"/>
                <w:b/>
                <w:color w:val="FFFFFF" w:themeColor="background1"/>
                <w:sz w:val="16"/>
                <w:szCs w:val="16"/>
              </w:rPr>
            </w:pPr>
            <w:r w:rsidRPr="00353C6A">
              <w:rPr>
                <w:rFonts w:ascii="Arial" w:eastAsia="Times New Roman" w:hAnsi="Arial" w:cs="Arial"/>
                <w:b/>
                <w:color w:val="FFFFFF" w:themeColor="background1"/>
                <w:sz w:val="16"/>
                <w:szCs w:val="16"/>
              </w:rPr>
              <w:t>200</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0A181F1"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183</w:t>
            </w:r>
          </w:p>
        </w:tc>
        <w:tc>
          <w:tcPr>
            <w:tcW w:w="630" w:type="dxa"/>
            <w:tcBorders>
              <w:top w:val="nil"/>
              <w:left w:val="nil"/>
              <w:bottom w:val="single" w:sz="4" w:space="0" w:color="auto"/>
              <w:right w:val="single" w:sz="12" w:space="0" w:color="auto"/>
            </w:tcBorders>
            <w:shd w:val="clear" w:color="000000" w:fill="FF0000"/>
            <w:noWrap/>
            <w:vAlign w:val="center"/>
            <w:hideMark/>
          </w:tcPr>
          <w:p w14:paraId="2F02D5AA" w14:textId="77777777" w:rsidR="00996145" w:rsidRPr="00353C6A" w:rsidRDefault="00996145" w:rsidP="00992EC5">
            <w:pPr>
              <w:spacing w:after="0" w:line="240" w:lineRule="auto"/>
              <w:jc w:val="center"/>
              <w:rPr>
                <w:rFonts w:ascii="Arial" w:eastAsia="Times New Roman" w:hAnsi="Arial" w:cs="Arial"/>
                <w:b/>
                <w:bCs/>
                <w:color w:val="FFFFFF"/>
                <w:sz w:val="16"/>
                <w:szCs w:val="16"/>
              </w:rPr>
            </w:pPr>
            <w:r w:rsidRPr="00353C6A">
              <w:rPr>
                <w:rFonts w:ascii="Arial" w:eastAsia="Times New Roman" w:hAnsi="Arial" w:cs="Arial"/>
                <w:b/>
                <w:bCs/>
                <w:color w:val="FFFFFF"/>
                <w:sz w:val="16"/>
                <w:szCs w:val="16"/>
              </w:rPr>
              <w:t>184</w:t>
            </w:r>
          </w:p>
        </w:tc>
        <w:tc>
          <w:tcPr>
            <w:tcW w:w="540" w:type="dxa"/>
            <w:tcBorders>
              <w:top w:val="nil"/>
              <w:left w:val="nil"/>
              <w:bottom w:val="single" w:sz="4" w:space="0" w:color="auto"/>
              <w:right w:val="single" w:sz="4" w:space="0" w:color="auto"/>
            </w:tcBorders>
            <w:shd w:val="clear" w:color="auto" w:fill="auto"/>
            <w:noWrap/>
            <w:vAlign w:val="center"/>
            <w:hideMark/>
          </w:tcPr>
          <w:p w14:paraId="1ACBAFCE"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191</w:t>
            </w:r>
          </w:p>
        </w:tc>
        <w:tc>
          <w:tcPr>
            <w:tcW w:w="540" w:type="dxa"/>
            <w:gridSpan w:val="2"/>
            <w:tcBorders>
              <w:top w:val="nil"/>
              <w:left w:val="nil"/>
              <w:bottom w:val="single" w:sz="4" w:space="0" w:color="auto"/>
              <w:right w:val="nil"/>
            </w:tcBorders>
            <w:shd w:val="clear" w:color="000000" w:fill="FF0000"/>
            <w:noWrap/>
            <w:vAlign w:val="center"/>
            <w:hideMark/>
          </w:tcPr>
          <w:p w14:paraId="13242B89" w14:textId="77777777" w:rsidR="00996145" w:rsidRPr="00353C6A" w:rsidRDefault="00996145" w:rsidP="00992EC5">
            <w:pPr>
              <w:spacing w:after="0" w:line="240" w:lineRule="auto"/>
              <w:jc w:val="center"/>
              <w:rPr>
                <w:rFonts w:ascii="Arial" w:eastAsia="Times New Roman" w:hAnsi="Arial" w:cs="Arial"/>
                <w:b/>
                <w:bCs/>
                <w:color w:val="FFFFFF"/>
                <w:sz w:val="16"/>
                <w:szCs w:val="16"/>
              </w:rPr>
            </w:pPr>
            <w:r w:rsidRPr="00353C6A">
              <w:rPr>
                <w:rFonts w:ascii="Arial" w:eastAsia="Times New Roman" w:hAnsi="Arial" w:cs="Arial"/>
                <w:b/>
                <w:bCs/>
                <w:color w:val="FFFFFF"/>
                <w:sz w:val="16"/>
                <w:szCs w:val="16"/>
              </w:rPr>
              <w:t>183</w:t>
            </w:r>
          </w:p>
        </w:tc>
        <w:tc>
          <w:tcPr>
            <w:tcW w:w="540" w:type="dxa"/>
            <w:tcBorders>
              <w:top w:val="nil"/>
              <w:left w:val="single" w:sz="12" w:space="0" w:color="auto"/>
              <w:bottom w:val="single" w:sz="4" w:space="0" w:color="auto"/>
              <w:right w:val="single" w:sz="4" w:space="0" w:color="auto"/>
            </w:tcBorders>
            <w:shd w:val="clear" w:color="auto" w:fill="auto"/>
            <w:noWrap/>
            <w:vAlign w:val="center"/>
            <w:hideMark/>
          </w:tcPr>
          <w:p w14:paraId="6DA6D4FF"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171</w:t>
            </w:r>
          </w:p>
        </w:tc>
        <w:tc>
          <w:tcPr>
            <w:tcW w:w="630" w:type="dxa"/>
            <w:tcBorders>
              <w:top w:val="nil"/>
              <w:left w:val="nil"/>
              <w:bottom w:val="single" w:sz="4" w:space="0" w:color="auto"/>
              <w:right w:val="single" w:sz="12" w:space="0" w:color="auto"/>
            </w:tcBorders>
            <w:shd w:val="clear" w:color="000000" w:fill="FF0000"/>
            <w:noWrap/>
            <w:vAlign w:val="center"/>
            <w:hideMark/>
          </w:tcPr>
          <w:p w14:paraId="34463D9D" w14:textId="77777777" w:rsidR="00996145" w:rsidRPr="00353C6A" w:rsidRDefault="00996145" w:rsidP="00992EC5">
            <w:pPr>
              <w:spacing w:after="0" w:line="240" w:lineRule="auto"/>
              <w:jc w:val="center"/>
              <w:rPr>
                <w:rFonts w:ascii="Arial" w:eastAsia="Times New Roman" w:hAnsi="Arial" w:cs="Arial"/>
                <w:b/>
                <w:bCs/>
                <w:color w:val="FFFFFF"/>
                <w:sz w:val="16"/>
                <w:szCs w:val="16"/>
              </w:rPr>
            </w:pPr>
            <w:r w:rsidRPr="00353C6A">
              <w:rPr>
                <w:rFonts w:ascii="Arial" w:eastAsia="Times New Roman" w:hAnsi="Arial" w:cs="Arial"/>
                <w:b/>
                <w:bCs/>
                <w:color w:val="FFFFFF"/>
                <w:sz w:val="16"/>
                <w:szCs w:val="16"/>
              </w:rPr>
              <w:t>182</w:t>
            </w:r>
          </w:p>
        </w:tc>
        <w:tc>
          <w:tcPr>
            <w:tcW w:w="540" w:type="dxa"/>
            <w:tcBorders>
              <w:top w:val="nil"/>
              <w:left w:val="nil"/>
              <w:bottom w:val="single" w:sz="4" w:space="0" w:color="auto"/>
              <w:right w:val="single" w:sz="4" w:space="0" w:color="auto"/>
            </w:tcBorders>
            <w:shd w:val="clear" w:color="000000" w:fill="FF0000"/>
            <w:noWrap/>
            <w:vAlign w:val="center"/>
            <w:hideMark/>
          </w:tcPr>
          <w:p w14:paraId="05B676FF" w14:textId="77777777" w:rsidR="00996145" w:rsidRPr="00353C6A" w:rsidRDefault="00996145" w:rsidP="00992EC5">
            <w:pPr>
              <w:spacing w:after="0" w:line="240" w:lineRule="auto"/>
              <w:jc w:val="center"/>
              <w:rPr>
                <w:rFonts w:ascii="Arial" w:eastAsia="Times New Roman" w:hAnsi="Arial" w:cs="Arial"/>
                <w:b/>
                <w:bCs/>
                <w:color w:val="FFFFFF"/>
                <w:sz w:val="16"/>
                <w:szCs w:val="16"/>
              </w:rPr>
            </w:pPr>
            <w:r w:rsidRPr="00353C6A">
              <w:rPr>
                <w:rFonts w:ascii="Arial" w:eastAsia="Times New Roman" w:hAnsi="Arial" w:cs="Arial"/>
                <w:b/>
                <w:bCs/>
                <w:color w:val="FFFFFF"/>
                <w:sz w:val="16"/>
                <w:szCs w:val="16"/>
              </w:rPr>
              <w:t>239</w:t>
            </w:r>
          </w:p>
        </w:tc>
        <w:tc>
          <w:tcPr>
            <w:tcW w:w="630" w:type="dxa"/>
            <w:tcBorders>
              <w:top w:val="nil"/>
              <w:left w:val="nil"/>
              <w:bottom w:val="single" w:sz="4" w:space="0" w:color="auto"/>
              <w:right w:val="single" w:sz="18" w:space="0" w:color="auto"/>
            </w:tcBorders>
            <w:shd w:val="clear" w:color="000000" w:fill="FF0000"/>
            <w:noWrap/>
            <w:vAlign w:val="center"/>
            <w:hideMark/>
          </w:tcPr>
          <w:p w14:paraId="43FFC8A3" w14:textId="77777777" w:rsidR="00996145" w:rsidRPr="00353C6A" w:rsidRDefault="00996145" w:rsidP="00992EC5">
            <w:pPr>
              <w:spacing w:after="0" w:line="240" w:lineRule="auto"/>
              <w:jc w:val="center"/>
              <w:rPr>
                <w:rFonts w:ascii="Arial" w:eastAsia="Times New Roman" w:hAnsi="Arial" w:cs="Arial"/>
                <w:b/>
                <w:bCs/>
                <w:color w:val="FFFFFF"/>
                <w:sz w:val="16"/>
                <w:szCs w:val="16"/>
              </w:rPr>
            </w:pPr>
            <w:r w:rsidRPr="00353C6A">
              <w:rPr>
                <w:rFonts w:ascii="Arial" w:eastAsia="Times New Roman" w:hAnsi="Arial" w:cs="Arial"/>
                <w:b/>
                <w:bCs/>
                <w:color w:val="FFFFFF"/>
                <w:sz w:val="16"/>
                <w:szCs w:val="16"/>
              </w:rPr>
              <w:t>200</w:t>
            </w:r>
          </w:p>
        </w:tc>
      </w:tr>
      <w:tr w:rsidR="00353C6A" w:rsidRPr="00C4057E" w14:paraId="345E7212" w14:textId="77777777" w:rsidTr="00992EC5">
        <w:trPr>
          <w:trHeight w:val="432"/>
        </w:trPr>
        <w:tc>
          <w:tcPr>
            <w:tcW w:w="1065" w:type="dxa"/>
            <w:tcBorders>
              <w:top w:val="nil"/>
              <w:left w:val="single" w:sz="18" w:space="0" w:color="auto"/>
              <w:bottom w:val="single" w:sz="4" w:space="0" w:color="auto"/>
              <w:right w:val="single" w:sz="4" w:space="0" w:color="auto"/>
            </w:tcBorders>
            <w:shd w:val="clear" w:color="auto" w:fill="auto"/>
            <w:noWrap/>
            <w:vAlign w:val="center"/>
            <w:hideMark/>
          </w:tcPr>
          <w:p w14:paraId="72F5F9E0" w14:textId="77777777" w:rsidR="00996145" w:rsidRPr="00353C6A" w:rsidRDefault="00996145" w:rsidP="00DC618A">
            <w:pPr>
              <w:spacing w:after="0" w:line="240" w:lineRule="auto"/>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Penn Power</w:t>
            </w:r>
          </w:p>
        </w:tc>
        <w:tc>
          <w:tcPr>
            <w:tcW w:w="1170" w:type="dxa"/>
            <w:tcBorders>
              <w:top w:val="nil"/>
              <w:left w:val="nil"/>
              <w:bottom w:val="single" w:sz="4" w:space="0" w:color="auto"/>
              <w:right w:val="single" w:sz="4" w:space="0" w:color="auto"/>
            </w:tcBorders>
            <w:shd w:val="clear" w:color="auto" w:fill="auto"/>
            <w:noWrap/>
            <w:vAlign w:val="center"/>
            <w:hideMark/>
          </w:tcPr>
          <w:p w14:paraId="617FFD96" w14:textId="77777777" w:rsidR="00996145" w:rsidRPr="00353C6A" w:rsidRDefault="00996145" w:rsidP="00DC618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113</w:t>
            </w:r>
          </w:p>
        </w:tc>
        <w:tc>
          <w:tcPr>
            <w:tcW w:w="990" w:type="dxa"/>
            <w:tcBorders>
              <w:top w:val="nil"/>
              <w:left w:val="nil"/>
              <w:bottom w:val="single" w:sz="4" w:space="0" w:color="auto"/>
              <w:right w:val="single" w:sz="4" w:space="0" w:color="auto"/>
            </w:tcBorders>
            <w:shd w:val="clear" w:color="auto" w:fill="auto"/>
            <w:noWrap/>
            <w:vAlign w:val="center"/>
            <w:hideMark/>
          </w:tcPr>
          <w:p w14:paraId="06303D09" w14:textId="77777777" w:rsidR="00996145" w:rsidRPr="00353C6A" w:rsidRDefault="00996145" w:rsidP="00DC618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162</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03A23812" w14:textId="77777777" w:rsidR="00996145" w:rsidRPr="00353C6A" w:rsidRDefault="00996145" w:rsidP="00DC618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136</w:t>
            </w:r>
          </w:p>
        </w:tc>
        <w:tc>
          <w:tcPr>
            <w:tcW w:w="270" w:type="dxa"/>
            <w:tcBorders>
              <w:top w:val="nil"/>
              <w:left w:val="single" w:sz="4" w:space="0" w:color="auto"/>
              <w:bottom w:val="single" w:sz="4" w:space="0" w:color="auto"/>
              <w:right w:val="single" w:sz="4" w:space="0" w:color="auto"/>
            </w:tcBorders>
            <w:shd w:val="clear" w:color="auto" w:fill="000000" w:themeFill="text1"/>
            <w:vAlign w:val="center"/>
          </w:tcPr>
          <w:p w14:paraId="014DCE0E" w14:textId="77777777" w:rsidR="00996145" w:rsidRPr="00353C6A" w:rsidRDefault="00996145" w:rsidP="00992EC5">
            <w:pPr>
              <w:spacing w:after="0" w:line="240" w:lineRule="auto"/>
              <w:jc w:val="center"/>
              <w:rPr>
                <w:rFonts w:ascii="Arial" w:eastAsia="Times New Roman" w:hAnsi="Arial" w:cs="Arial"/>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FF0000"/>
            <w:vAlign w:val="center"/>
          </w:tcPr>
          <w:p w14:paraId="20E69574" w14:textId="77777777" w:rsidR="00996145" w:rsidRPr="00353C6A" w:rsidRDefault="00996145" w:rsidP="00992EC5">
            <w:pPr>
              <w:spacing w:after="0" w:line="240" w:lineRule="auto"/>
              <w:jc w:val="center"/>
              <w:rPr>
                <w:rFonts w:ascii="Arial" w:eastAsia="Times New Roman" w:hAnsi="Arial" w:cs="Arial"/>
                <w:b/>
                <w:color w:val="000000"/>
                <w:sz w:val="16"/>
                <w:szCs w:val="16"/>
              </w:rPr>
            </w:pPr>
            <w:r w:rsidRPr="00353C6A">
              <w:rPr>
                <w:rFonts w:ascii="Arial" w:eastAsia="Times New Roman" w:hAnsi="Arial" w:cs="Arial"/>
                <w:b/>
                <w:color w:val="FFFFFF" w:themeColor="background1"/>
                <w:sz w:val="16"/>
                <w:szCs w:val="16"/>
              </w:rPr>
              <w:t>188</w:t>
            </w:r>
          </w:p>
        </w:tc>
        <w:tc>
          <w:tcPr>
            <w:tcW w:w="630" w:type="dxa"/>
            <w:tcBorders>
              <w:top w:val="single" w:sz="4" w:space="0" w:color="auto"/>
              <w:left w:val="single" w:sz="4" w:space="0" w:color="auto"/>
              <w:bottom w:val="single" w:sz="4" w:space="0" w:color="auto"/>
              <w:right w:val="single" w:sz="4" w:space="0" w:color="auto"/>
            </w:tcBorders>
            <w:shd w:val="clear" w:color="auto" w:fill="FF0000"/>
            <w:vAlign w:val="center"/>
          </w:tcPr>
          <w:p w14:paraId="4900369E" w14:textId="77777777" w:rsidR="00996145" w:rsidRPr="00353C6A" w:rsidRDefault="00E15B2B" w:rsidP="00992EC5">
            <w:pPr>
              <w:spacing w:after="0" w:line="240" w:lineRule="auto"/>
              <w:jc w:val="center"/>
              <w:rPr>
                <w:rFonts w:ascii="Arial" w:eastAsia="Times New Roman" w:hAnsi="Arial" w:cs="Arial"/>
                <w:b/>
                <w:color w:val="FFFFFF" w:themeColor="background1"/>
                <w:sz w:val="16"/>
                <w:szCs w:val="16"/>
              </w:rPr>
            </w:pPr>
            <w:r w:rsidRPr="00353C6A">
              <w:rPr>
                <w:rFonts w:ascii="Arial" w:eastAsia="Times New Roman" w:hAnsi="Arial" w:cs="Arial"/>
                <w:b/>
                <w:color w:val="FFFFFF" w:themeColor="background1"/>
                <w:sz w:val="16"/>
                <w:szCs w:val="16"/>
              </w:rPr>
              <w:t>155</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83C2893"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118</w:t>
            </w:r>
          </w:p>
        </w:tc>
        <w:tc>
          <w:tcPr>
            <w:tcW w:w="630" w:type="dxa"/>
            <w:tcBorders>
              <w:top w:val="nil"/>
              <w:left w:val="nil"/>
              <w:bottom w:val="single" w:sz="4" w:space="0" w:color="auto"/>
              <w:right w:val="single" w:sz="12" w:space="0" w:color="auto"/>
            </w:tcBorders>
            <w:shd w:val="clear" w:color="000000" w:fill="FF0000"/>
            <w:noWrap/>
            <w:vAlign w:val="center"/>
            <w:hideMark/>
          </w:tcPr>
          <w:p w14:paraId="26ED510B" w14:textId="77777777" w:rsidR="00996145" w:rsidRPr="00353C6A" w:rsidRDefault="00996145" w:rsidP="00992EC5">
            <w:pPr>
              <w:spacing w:after="0" w:line="240" w:lineRule="auto"/>
              <w:jc w:val="center"/>
              <w:rPr>
                <w:rFonts w:ascii="Arial" w:eastAsia="Times New Roman" w:hAnsi="Arial" w:cs="Arial"/>
                <w:b/>
                <w:bCs/>
                <w:color w:val="FFFFFF"/>
                <w:sz w:val="16"/>
                <w:szCs w:val="16"/>
              </w:rPr>
            </w:pPr>
            <w:r w:rsidRPr="00353C6A">
              <w:rPr>
                <w:rFonts w:ascii="Arial" w:eastAsia="Times New Roman" w:hAnsi="Arial" w:cs="Arial"/>
                <w:b/>
                <w:bCs/>
                <w:color w:val="FFFFFF"/>
                <w:sz w:val="16"/>
                <w:szCs w:val="16"/>
              </w:rPr>
              <w:t>146</w:t>
            </w:r>
          </w:p>
        </w:tc>
        <w:tc>
          <w:tcPr>
            <w:tcW w:w="540" w:type="dxa"/>
            <w:tcBorders>
              <w:top w:val="nil"/>
              <w:left w:val="nil"/>
              <w:bottom w:val="single" w:sz="4" w:space="0" w:color="auto"/>
              <w:right w:val="single" w:sz="4" w:space="0" w:color="auto"/>
            </w:tcBorders>
            <w:shd w:val="clear" w:color="auto" w:fill="auto"/>
            <w:noWrap/>
            <w:vAlign w:val="center"/>
            <w:hideMark/>
          </w:tcPr>
          <w:p w14:paraId="794ACAF7"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114</w:t>
            </w:r>
          </w:p>
        </w:tc>
        <w:tc>
          <w:tcPr>
            <w:tcW w:w="540" w:type="dxa"/>
            <w:gridSpan w:val="2"/>
            <w:tcBorders>
              <w:top w:val="nil"/>
              <w:left w:val="nil"/>
              <w:bottom w:val="single" w:sz="4" w:space="0" w:color="auto"/>
              <w:right w:val="nil"/>
            </w:tcBorders>
            <w:shd w:val="clear" w:color="000000" w:fill="FF0000"/>
            <w:noWrap/>
            <w:vAlign w:val="center"/>
            <w:hideMark/>
          </w:tcPr>
          <w:p w14:paraId="455959DF" w14:textId="77777777" w:rsidR="00996145" w:rsidRPr="00353C6A" w:rsidRDefault="00996145" w:rsidP="00992EC5">
            <w:pPr>
              <w:spacing w:after="0" w:line="240" w:lineRule="auto"/>
              <w:jc w:val="center"/>
              <w:rPr>
                <w:rFonts w:ascii="Arial" w:eastAsia="Times New Roman" w:hAnsi="Arial" w:cs="Arial"/>
                <w:b/>
                <w:bCs/>
                <w:color w:val="FFFFFF"/>
                <w:sz w:val="16"/>
                <w:szCs w:val="16"/>
              </w:rPr>
            </w:pPr>
            <w:r w:rsidRPr="00353C6A">
              <w:rPr>
                <w:rFonts w:ascii="Arial" w:eastAsia="Times New Roman" w:hAnsi="Arial" w:cs="Arial"/>
                <w:b/>
                <w:bCs/>
                <w:color w:val="FFFFFF"/>
                <w:sz w:val="16"/>
                <w:szCs w:val="16"/>
              </w:rPr>
              <w:t>140</w:t>
            </w:r>
          </w:p>
        </w:tc>
        <w:tc>
          <w:tcPr>
            <w:tcW w:w="540" w:type="dxa"/>
            <w:tcBorders>
              <w:top w:val="nil"/>
              <w:left w:val="single" w:sz="12" w:space="0" w:color="auto"/>
              <w:bottom w:val="single" w:sz="4" w:space="0" w:color="auto"/>
              <w:right w:val="single" w:sz="4" w:space="0" w:color="auto"/>
            </w:tcBorders>
            <w:shd w:val="clear" w:color="auto" w:fill="auto"/>
            <w:noWrap/>
            <w:vAlign w:val="center"/>
            <w:hideMark/>
          </w:tcPr>
          <w:p w14:paraId="0FD98878"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104</w:t>
            </w:r>
          </w:p>
        </w:tc>
        <w:tc>
          <w:tcPr>
            <w:tcW w:w="630" w:type="dxa"/>
            <w:tcBorders>
              <w:top w:val="nil"/>
              <w:left w:val="nil"/>
              <w:bottom w:val="single" w:sz="4" w:space="0" w:color="auto"/>
              <w:right w:val="single" w:sz="12" w:space="0" w:color="auto"/>
            </w:tcBorders>
            <w:shd w:val="clear" w:color="auto" w:fill="auto"/>
            <w:noWrap/>
            <w:vAlign w:val="center"/>
            <w:hideMark/>
          </w:tcPr>
          <w:p w14:paraId="27552FDF"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112</w:t>
            </w:r>
          </w:p>
        </w:tc>
        <w:tc>
          <w:tcPr>
            <w:tcW w:w="540" w:type="dxa"/>
            <w:tcBorders>
              <w:top w:val="nil"/>
              <w:left w:val="nil"/>
              <w:bottom w:val="single" w:sz="4" w:space="0" w:color="auto"/>
              <w:right w:val="single" w:sz="4" w:space="0" w:color="auto"/>
            </w:tcBorders>
            <w:shd w:val="clear" w:color="auto" w:fill="auto"/>
            <w:noWrap/>
            <w:vAlign w:val="center"/>
            <w:hideMark/>
          </w:tcPr>
          <w:p w14:paraId="0A1A5468"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160</w:t>
            </w:r>
          </w:p>
        </w:tc>
        <w:tc>
          <w:tcPr>
            <w:tcW w:w="630" w:type="dxa"/>
            <w:tcBorders>
              <w:top w:val="nil"/>
              <w:left w:val="nil"/>
              <w:bottom w:val="single" w:sz="4" w:space="0" w:color="auto"/>
              <w:right w:val="single" w:sz="18" w:space="0" w:color="auto"/>
            </w:tcBorders>
            <w:shd w:val="clear" w:color="auto" w:fill="auto"/>
            <w:noWrap/>
            <w:vAlign w:val="center"/>
            <w:hideMark/>
          </w:tcPr>
          <w:p w14:paraId="2F24DDD1"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126</w:t>
            </w:r>
          </w:p>
        </w:tc>
      </w:tr>
      <w:tr w:rsidR="00353C6A" w:rsidRPr="00C4057E" w14:paraId="7D7DD3E6" w14:textId="77777777" w:rsidTr="00992EC5">
        <w:trPr>
          <w:trHeight w:val="432"/>
        </w:trPr>
        <w:tc>
          <w:tcPr>
            <w:tcW w:w="1065" w:type="dxa"/>
            <w:tcBorders>
              <w:top w:val="nil"/>
              <w:left w:val="single" w:sz="18" w:space="0" w:color="auto"/>
              <w:bottom w:val="single" w:sz="18" w:space="0" w:color="auto"/>
              <w:right w:val="single" w:sz="4" w:space="0" w:color="auto"/>
            </w:tcBorders>
            <w:shd w:val="clear" w:color="auto" w:fill="auto"/>
            <w:noWrap/>
            <w:vAlign w:val="center"/>
            <w:hideMark/>
          </w:tcPr>
          <w:p w14:paraId="264AD988" w14:textId="77777777" w:rsidR="00996145" w:rsidRPr="00353C6A" w:rsidRDefault="00996145" w:rsidP="00DC618A">
            <w:pPr>
              <w:spacing w:after="0" w:line="240" w:lineRule="auto"/>
              <w:rPr>
                <w:rFonts w:ascii="Arial" w:eastAsia="Times New Roman" w:hAnsi="Arial" w:cs="Arial"/>
                <w:b/>
                <w:bCs/>
                <w:color w:val="000000"/>
                <w:sz w:val="16"/>
                <w:szCs w:val="16"/>
              </w:rPr>
            </w:pPr>
            <w:r w:rsidRPr="00353C6A">
              <w:rPr>
                <w:rFonts w:ascii="Arial" w:eastAsia="Times New Roman" w:hAnsi="Arial" w:cs="Arial"/>
                <w:b/>
                <w:bCs/>
                <w:color w:val="000000"/>
                <w:sz w:val="16"/>
                <w:szCs w:val="16"/>
              </w:rPr>
              <w:t>West Penn Power</w:t>
            </w:r>
          </w:p>
        </w:tc>
        <w:tc>
          <w:tcPr>
            <w:tcW w:w="1170" w:type="dxa"/>
            <w:tcBorders>
              <w:top w:val="nil"/>
              <w:left w:val="nil"/>
              <w:bottom w:val="single" w:sz="18" w:space="0" w:color="auto"/>
              <w:right w:val="single" w:sz="4" w:space="0" w:color="auto"/>
            </w:tcBorders>
            <w:shd w:val="clear" w:color="auto" w:fill="auto"/>
            <w:noWrap/>
            <w:vAlign w:val="center"/>
            <w:hideMark/>
          </w:tcPr>
          <w:p w14:paraId="20880AB4" w14:textId="77777777" w:rsidR="00996145" w:rsidRPr="00353C6A" w:rsidRDefault="00996145" w:rsidP="00DC618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179</w:t>
            </w:r>
          </w:p>
        </w:tc>
        <w:tc>
          <w:tcPr>
            <w:tcW w:w="990" w:type="dxa"/>
            <w:tcBorders>
              <w:top w:val="nil"/>
              <w:left w:val="nil"/>
              <w:bottom w:val="single" w:sz="18" w:space="0" w:color="auto"/>
              <w:right w:val="single" w:sz="4" w:space="0" w:color="auto"/>
            </w:tcBorders>
            <w:shd w:val="clear" w:color="auto" w:fill="auto"/>
            <w:noWrap/>
            <w:vAlign w:val="center"/>
            <w:hideMark/>
          </w:tcPr>
          <w:p w14:paraId="1E0F5C22" w14:textId="77777777" w:rsidR="00996145" w:rsidRPr="00353C6A" w:rsidRDefault="00996145" w:rsidP="00DC618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257</w:t>
            </w:r>
          </w:p>
        </w:tc>
        <w:tc>
          <w:tcPr>
            <w:tcW w:w="990" w:type="dxa"/>
            <w:tcBorders>
              <w:top w:val="single" w:sz="4" w:space="0" w:color="auto"/>
              <w:left w:val="nil"/>
              <w:bottom w:val="single" w:sz="18" w:space="0" w:color="auto"/>
              <w:right w:val="single" w:sz="4" w:space="0" w:color="auto"/>
            </w:tcBorders>
            <w:shd w:val="clear" w:color="auto" w:fill="auto"/>
            <w:noWrap/>
            <w:vAlign w:val="center"/>
            <w:hideMark/>
          </w:tcPr>
          <w:p w14:paraId="4E4E356E" w14:textId="77777777" w:rsidR="00996145" w:rsidRPr="00353C6A" w:rsidRDefault="00996145" w:rsidP="00DC618A">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217</w:t>
            </w:r>
          </w:p>
        </w:tc>
        <w:tc>
          <w:tcPr>
            <w:tcW w:w="270" w:type="dxa"/>
            <w:tcBorders>
              <w:top w:val="nil"/>
              <w:left w:val="single" w:sz="4" w:space="0" w:color="auto"/>
              <w:bottom w:val="single" w:sz="18" w:space="0" w:color="auto"/>
              <w:right w:val="single" w:sz="4" w:space="0" w:color="auto"/>
            </w:tcBorders>
            <w:shd w:val="clear" w:color="auto" w:fill="000000" w:themeFill="text1"/>
            <w:vAlign w:val="center"/>
          </w:tcPr>
          <w:p w14:paraId="296495D4" w14:textId="77777777" w:rsidR="00996145" w:rsidRPr="00353C6A" w:rsidRDefault="00996145" w:rsidP="00992EC5">
            <w:pPr>
              <w:spacing w:after="0" w:line="240" w:lineRule="auto"/>
              <w:jc w:val="center"/>
              <w:rPr>
                <w:rFonts w:ascii="Arial" w:eastAsia="Times New Roman" w:hAnsi="Arial" w:cs="Arial"/>
                <w:color w:val="000000"/>
                <w:sz w:val="16"/>
                <w:szCs w:val="16"/>
              </w:rPr>
            </w:pPr>
          </w:p>
        </w:tc>
        <w:tc>
          <w:tcPr>
            <w:tcW w:w="540" w:type="dxa"/>
            <w:tcBorders>
              <w:top w:val="single" w:sz="4" w:space="0" w:color="auto"/>
              <w:left w:val="single" w:sz="4" w:space="0" w:color="auto"/>
              <w:bottom w:val="single" w:sz="18" w:space="0" w:color="auto"/>
              <w:right w:val="single" w:sz="4" w:space="0" w:color="auto"/>
            </w:tcBorders>
            <w:shd w:val="clear" w:color="auto" w:fill="auto"/>
            <w:vAlign w:val="center"/>
          </w:tcPr>
          <w:p w14:paraId="12D4A9D4"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222</w:t>
            </w:r>
          </w:p>
        </w:tc>
        <w:tc>
          <w:tcPr>
            <w:tcW w:w="630" w:type="dxa"/>
            <w:tcBorders>
              <w:top w:val="single" w:sz="4" w:space="0" w:color="auto"/>
              <w:left w:val="single" w:sz="4" w:space="0" w:color="auto"/>
              <w:bottom w:val="single" w:sz="18" w:space="0" w:color="auto"/>
              <w:right w:val="single" w:sz="4" w:space="0" w:color="auto"/>
            </w:tcBorders>
            <w:shd w:val="clear" w:color="auto" w:fill="FF0000"/>
            <w:vAlign w:val="center"/>
          </w:tcPr>
          <w:p w14:paraId="0383EC42" w14:textId="77777777" w:rsidR="00996145" w:rsidRPr="00353C6A" w:rsidRDefault="00E15B2B" w:rsidP="00992EC5">
            <w:pPr>
              <w:spacing w:after="0" w:line="240" w:lineRule="auto"/>
              <w:jc w:val="center"/>
              <w:rPr>
                <w:rFonts w:ascii="Arial" w:eastAsia="Times New Roman" w:hAnsi="Arial" w:cs="Arial"/>
                <w:b/>
                <w:color w:val="FFFFFF" w:themeColor="background1"/>
                <w:sz w:val="16"/>
                <w:szCs w:val="16"/>
              </w:rPr>
            </w:pPr>
            <w:r w:rsidRPr="00353C6A">
              <w:rPr>
                <w:rFonts w:ascii="Arial" w:eastAsia="Times New Roman" w:hAnsi="Arial" w:cs="Arial"/>
                <w:b/>
                <w:color w:val="FFFFFF" w:themeColor="background1"/>
                <w:sz w:val="16"/>
                <w:szCs w:val="16"/>
              </w:rPr>
              <w:t>225</w:t>
            </w:r>
          </w:p>
        </w:tc>
        <w:tc>
          <w:tcPr>
            <w:tcW w:w="540" w:type="dxa"/>
            <w:tcBorders>
              <w:top w:val="nil"/>
              <w:left w:val="single" w:sz="4" w:space="0" w:color="auto"/>
              <w:bottom w:val="single" w:sz="18" w:space="0" w:color="auto"/>
              <w:right w:val="single" w:sz="4" w:space="0" w:color="auto"/>
            </w:tcBorders>
            <w:shd w:val="clear" w:color="auto" w:fill="auto"/>
            <w:noWrap/>
            <w:vAlign w:val="center"/>
            <w:hideMark/>
          </w:tcPr>
          <w:p w14:paraId="770B42F7"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139</w:t>
            </w:r>
          </w:p>
        </w:tc>
        <w:tc>
          <w:tcPr>
            <w:tcW w:w="630" w:type="dxa"/>
            <w:tcBorders>
              <w:top w:val="nil"/>
              <w:left w:val="nil"/>
              <w:bottom w:val="single" w:sz="18" w:space="0" w:color="auto"/>
              <w:right w:val="single" w:sz="12" w:space="0" w:color="auto"/>
            </w:tcBorders>
            <w:shd w:val="clear" w:color="auto" w:fill="auto"/>
            <w:noWrap/>
            <w:vAlign w:val="center"/>
            <w:hideMark/>
          </w:tcPr>
          <w:p w14:paraId="0614F745"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201</w:t>
            </w:r>
          </w:p>
        </w:tc>
        <w:tc>
          <w:tcPr>
            <w:tcW w:w="540" w:type="dxa"/>
            <w:tcBorders>
              <w:top w:val="nil"/>
              <w:left w:val="nil"/>
              <w:bottom w:val="single" w:sz="18" w:space="0" w:color="auto"/>
              <w:right w:val="single" w:sz="4" w:space="0" w:color="auto"/>
            </w:tcBorders>
            <w:shd w:val="clear" w:color="auto" w:fill="auto"/>
            <w:noWrap/>
            <w:vAlign w:val="center"/>
            <w:hideMark/>
          </w:tcPr>
          <w:p w14:paraId="6D5EB727"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179</w:t>
            </w:r>
          </w:p>
        </w:tc>
        <w:tc>
          <w:tcPr>
            <w:tcW w:w="540" w:type="dxa"/>
            <w:gridSpan w:val="2"/>
            <w:tcBorders>
              <w:top w:val="nil"/>
              <w:left w:val="nil"/>
              <w:bottom w:val="single" w:sz="18" w:space="0" w:color="auto"/>
              <w:right w:val="nil"/>
            </w:tcBorders>
            <w:shd w:val="clear" w:color="auto" w:fill="auto"/>
            <w:noWrap/>
            <w:vAlign w:val="center"/>
            <w:hideMark/>
          </w:tcPr>
          <w:p w14:paraId="65A54FFF"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180</w:t>
            </w:r>
          </w:p>
        </w:tc>
        <w:tc>
          <w:tcPr>
            <w:tcW w:w="540" w:type="dxa"/>
            <w:tcBorders>
              <w:top w:val="nil"/>
              <w:left w:val="single" w:sz="12" w:space="0" w:color="auto"/>
              <w:bottom w:val="single" w:sz="18" w:space="0" w:color="auto"/>
              <w:right w:val="single" w:sz="4" w:space="0" w:color="auto"/>
            </w:tcBorders>
            <w:shd w:val="clear" w:color="auto" w:fill="auto"/>
            <w:noWrap/>
            <w:vAlign w:val="center"/>
            <w:hideMark/>
          </w:tcPr>
          <w:p w14:paraId="11FADB28"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159</w:t>
            </w:r>
          </w:p>
        </w:tc>
        <w:tc>
          <w:tcPr>
            <w:tcW w:w="630" w:type="dxa"/>
            <w:tcBorders>
              <w:top w:val="nil"/>
              <w:left w:val="nil"/>
              <w:bottom w:val="single" w:sz="18" w:space="0" w:color="auto"/>
              <w:right w:val="single" w:sz="12" w:space="0" w:color="auto"/>
            </w:tcBorders>
            <w:shd w:val="clear" w:color="auto" w:fill="auto"/>
            <w:noWrap/>
            <w:vAlign w:val="center"/>
            <w:hideMark/>
          </w:tcPr>
          <w:p w14:paraId="5FB64820"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159</w:t>
            </w:r>
          </w:p>
        </w:tc>
        <w:tc>
          <w:tcPr>
            <w:tcW w:w="540" w:type="dxa"/>
            <w:tcBorders>
              <w:top w:val="nil"/>
              <w:left w:val="nil"/>
              <w:bottom w:val="single" w:sz="18" w:space="0" w:color="auto"/>
              <w:right w:val="single" w:sz="4" w:space="0" w:color="auto"/>
            </w:tcBorders>
            <w:shd w:val="clear" w:color="auto" w:fill="auto"/>
            <w:noWrap/>
            <w:vAlign w:val="center"/>
            <w:hideMark/>
          </w:tcPr>
          <w:p w14:paraId="6EF9CF1C"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214</w:t>
            </w:r>
          </w:p>
        </w:tc>
        <w:tc>
          <w:tcPr>
            <w:tcW w:w="630" w:type="dxa"/>
            <w:tcBorders>
              <w:top w:val="nil"/>
              <w:left w:val="nil"/>
              <w:bottom w:val="single" w:sz="18" w:space="0" w:color="auto"/>
              <w:right w:val="single" w:sz="18" w:space="0" w:color="auto"/>
            </w:tcBorders>
            <w:shd w:val="clear" w:color="auto" w:fill="auto"/>
            <w:noWrap/>
            <w:vAlign w:val="center"/>
            <w:hideMark/>
          </w:tcPr>
          <w:p w14:paraId="008B5D10" w14:textId="77777777" w:rsidR="00996145" w:rsidRPr="00353C6A" w:rsidRDefault="00996145" w:rsidP="00992EC5">
            <w:pPr>
              <w:spacing w:after="0" w:line="240" w:lineRule="auto"/>
              <w:jc w:val="center"/>
              <w:rPr>
                <w:rFonts w:ascii="Arial" w:eastAsia="Times New Roman" w:hAnsi="Arial" w:cs="Arial"/>
                <w:color w:val="000000"/>
                <w:sz w:val="16"/>
                <w:szCs w:val="16"/>
              </w:rPr>
            </w:pPr>
            <w:r w:rsidRPr="00353C6A">
              <w:rPr>
                <w:rFonts w:ascii="Arial" w:eastAsia="Times New Roman" w:hAnsi="Arial" w:cs="Arial"/>
                <w:color w:val="000000"/>
                <w:sz w:val="16"/>
                <w:szCs w:val="16"/>
              </w:rPr>
              <w:t>184</w:t>
            </w:r>
          </w:p>
        </w:tc>
      </w:tr>
      <w:tr w:rsidR="006B4FE1" w:rsidRPr="00C4057E" w14:paraId="3EDB21D5" w14:textId="77777777" w:rsidTr="00992EC5">
        <w:trPr>
          <w:gridAfter w:val="5"/>
          <w:wAfter w:w="2430" w:type="dxa"/>
          <w:trHeight w:val="162"/>
        </w:trPr>
        <w:tc>
          <w:tcPr>
            <w:tcW w:w="6825" w:type="dxa"/>
            <w:gridSpan w:val="9"/>
            <w:tcBorders>
              <w:top w:val="nil"/>
              <w:left w:val="nil"/>
              <w:bottom w:val="nil"/>
              <w:right w:val="nil"/>
            </w:tcBorders>
            <w:shd w:val="clear" w:color="auto" w:fill="FF0000"/>
            <w:vAlign w:val="center"/>
          </w:tcPr>
          <w:p w14:paraId="4496DCB4" w14:textId="77777777" w:rsidR="006B4FE1" w:rsidRPr="0051240A" w:rsidRDefault="006B4FE1" w:rsidP="006B4FE1">
            <w:pPr>
              <w:spacing w:after="0" w:line="240" w:lineRule="auto"/>
              <w:rPr>
                <w:rFonts w:ascii="Times New Roman" w:eastAsia="Times New Roman" w:hAnsi="Times New Roman" w:cs="Times New Roman"/>
                <w:color w:val="FFFFFF" w:themeColor="background1"/>
                <w:sz w:val="20"/>
                <w:szCs w:val="20"/>
              </w:rPr>
            </w:pPr>
            <w:r w:rsidRPr="0051240A">
              <w:rPr>
                <w:rFonts w:ascii="Arial" w:eastAsia="Times New Roman" w:hAnsi="Arial" w:cs="Arial"/>
                <w:b/>
                <w:bCs/>
                <w:color w:val="FFFFFF" w:themeColor="background1"/>
                <w:sz w:val="20"/>
                <w:szCs w:val="20"/>
              </w:rPr>
              <w:t>Highlighting indicates not meeting the minimum reliability standards</w:t>
            </w:r>
          </w:p>
        </w:tc>
        <w:tc>
          <w:tcPr>
            <w:tcW w:w="990" w:type="dxa"/>
            <w:gridSpan w:val="2"/>
            <w:tcBorders>
              <w:top w:val="nil"/>
              <w:left w:val="nil"/>
              <w:bottom w:val="nil"/>
              <w:right w:val="nil"/>
            </w:tcBorders>
            <w:shd w:val="clear" w:color="auto" w:fill="auto"/>
            <w:noWrap/>
            <w:vAlign w:val="bottom"/>
            <w:hideMark/>
          </w:tcPr>
          <w:p w14:paraId="6A9DB2A4" w14:textId="77777777" w:rsidR="006B4FE1" w:rsidRPr="00C4057E" w:rsidRDefault="006B4FE1" w:rsidP="006B4FE1">
            <w:pPr>
              <w:spacing w:after="0" w:line="240" w:lineRule="auto"/>
              <w:rPr>
                <w:rFonts w:ascii="Times New Roman" w:eastAsia="Times New Roman" w:hAnsi="Times New Roman" w:cs="Times New Roman"/>
                <w:sz w:val="18"/>
                <w:szCs w:val="18"/>
              </w:rPr>
            </w:pPr>
          </w:p>
        </w:tc>
      </w:tr>
    </w:tbl>
    <w:p w14:paraId="77ADC390" w14:textId="77777777" w:rsidR="00C4057E" w:rsidRPr="00C4057E" w:rsidRDefault="00C4057E" w:rsidP="00C4057E">
      <w:pPr>
        <w:spacing w:after="0" w:line="240" w:lineRule="auto"/>
        <w:contextualSpacing/>
        <w:rPr>
          <w:rFonts w:ascii="Arial" w:hAnsi="Arial" w:cs="Arial"/>
          <w:sz w:val="8"/>
          <w:szCs w:val="8"/>
        </w:rPr>
      </w:pPr>
    </w:p>
    <w:p w14:paraId="52A7BC43" w14:textId="650C17D7" w:rsidR="00CA5CEB" w:rsidRDefault="00C4057E" w:rsidP="00CA5CEB">
      <w:pPr>
        <w:spacing w:after="0" w:line="240" w:lineRule="auto"/>
        <w:contextualSpacing/>
        <w:rPr>
          <w:rFonts w:ascii="Arial" w:hAnsi="Arial" w:cs="Arial"/>
          <w:sz w:val="18"/>
          <w:szCs w:val="18"/>
        </w:rPr>
      </w:pPr>
      <w:r w:rsidRPr="00C4057E">
        <w:rPr>
          <w:rFonts w:ascii="Arial" w:hAnsi="Arial" w:cs="Arial"/>
          <w:sz w:val="18"/>
          <w:szCs w:val="18"/>
        </w:rPr>
        <w:t>Source: Annual Reliability Reports and Data Request TD-23</w:t>
      </w:r>
      <w:r w:rsidR="00CA5CEB">
        <w:rPr>
          <w:rFonts w:ascii="Arial" w:hAnsi="Arial" w:cs="Arial"/>
          <w:sz w:val="18"/>
          <w:szCs w:val="18"/>
        </w:rPr>
        <w:br w:type="page"/>
      </w:r>
    </w:p>
    <w:bookmarkEnd w:id="8"/>
    <w:p w14:paraId="58A38B0F" w14:textId="77777777" w:rsidR="000610CC" w:rsidRDefault="00C4057E" w:rsidP="00C4057E">
      <w:pPr>
        <w:spacing w:after="0" w:line="240" w:lineRule="auto"/>
        <w:ind w:firstLine="720"/>
        <w:contextualSpacing/>
        <w:rPr>
          <w:rFonts w:ascii="Arial" w:hAnsi="Arial" w:cs="Arial"/>
          <w:sz w:val="24"/>
          <w:szCs w:val="24"/>
        </w:rPr>
      </w:pPr>
      <w:r w:rsidRPr="00C4057E">
        <w:rPr>
          <w:rFonts w:ascii="Arial" w:hAnsi="Arial" w:cs="Arial"/>
          <w:sz w:val="24"/>
          <w:szCs w:val="24"/>
        </w:rPr>
        <w:t xml:space="preserve">As part of the March 30, 2015 Commission Order (Order), FirstEnergy was directed to prepare and file a revised implementation plan to the 2014 Management Audit.  </w:t>
      </w:r>
      <w:bookmarkStart w:id="9" w:name="_Hlk512323949"/>
      <w:r w:rsidR="000610CC">
        <w:rPr>
          <w:rFonts w:ascii="Arial" w:hAnsi="Arial" w:cs="Arial"/>
          <w:sz w:val="24"/>
          <w:szCs w:val="24"/>
        </w:rPr>
        <w:t>The Order included</w:t>
      </w:r>
      <w:r w:rsidRPr="00C4057E">
        <w:rPr>
          <w:rFonts w:ascii="Arial" w:hAnsi="Arial" w:cs="Arial"/>
          <w:sz w:val="24"/>
          <w:szCs w:val="24"/>
        </w:rPr>
        <w:t xml:space="preserve"> requests for additional information to specific findings which included issues with reliability</w:t>
      </w:r>
      <w:bookmarkEnd w:id="9"/>
      <w:r w:rsidRPr="00C4057E">
        <w:rPr>
          <w:rFonts w:ascii="Arial" w:hAnsi="Arial" w:cs="Arial"/>
          <w:sz w:val="24"/>
          <w:szCs w:val="24"/>
        </w:rPr>
        <w:t>, workforce planning (Follow-Up Finding and Conclusion No. VII-2), emergency call-out acceptance and individual overtime (Follow</w:t>
      </w:r>
      <w:r w:rsidRPr="00C4057E">
        <w:rPr>
          <w:rFonts w:ascii="Arial" w:hAnsi="Arial" w:cs="Arial"/>
          <w:sz w:val="24"/>
          <w:szCs w:val="24"/>
        </w:rPr>
        <w:noBreakHyphen/>
        <w:t xml:space="preserve">Up Finding and Conclusion No. VII-3), worst performing circuits (Follow-Up Finding and Conclusion No. VII-4), damage prevention (Follow-Up Finding and Conclusion No. VII-5), and priority 3 repairs for the transmission system (Follow-Up Finding and Conclusion No. VII-6).  </w:t>
      </w:r>
    </w:p>
    <w:p w14:paraId="151A972B" w14:textId="77777777" w:rsidR="000610CC" w:rsidRDefault="000610CC" w:rsidP="00C4057E">
      <w:pPr>
        <w:spacing w:after="0" w:line="240" w:lineRule="auto"/>
        <w:ind w:firstLine="720"/>
        <w:contextualSpacing/>
        <w:rPr>
          <w:rFonts w:ascii="Arial" w:hAnsi="Arial" w:cs="Arial"/>
          <w:sz w:val="24"/>
          <w:szCs w:val="24"/>
        </w:rPr>
      </w:pPr>
    </w:p>
    <w:p w14:paraId="3826027F" w14:textId="77777777" w:rsidR="00C4057E" w:rsidRPr="00C4057E" w:rsidRDefault="00C4057E" w:rsidP="00C4057E">
      <w:pPr>
        <w:spacing w:after="0" w:line="240" w:lineRule="auto"/>
        <w:ind w:firstLine="720"/>
        <w:contextualSpacing/>
        <w:rPr>
          <w:rFonts w:ascii="Arial" w:hAnsi="Arial" w:cs="Arial"/>
          <w:sz w:val="24"/>
          <w:szCs w:val="24"/>
        </w:rPr>
      </w:pPr>
      <w:r w:rsidRPr="00C4057E">
        <w:rPr>
          <w:rFonts w:ascii="Arial" w:hAnsi="Arial" w:cs="Arial"/>
          <w:sz w:val="24"/>
          <w:szCs w:val="24"/>
        </w:rPr>
        <w:t xml:space="preserve">As part of this Management Efficiency Investigation (MEI), the auditors included a review of the enhanced detailed implementation plans to address the Order for all six areas.  For example, to address these enhanced reliability related issues, the </w:t>
      </w:r>
      <w:r w:rsidR="00DC3D9B">
        <w:rPr>
          <w:rFonts w:ascii="Arial" w:hAnsi="Arial" w:cs="Arial"/>
          <w:sz w:val="24"/>
          <w:szCs w:val="24"/>
        </w:rPr>
        <w:t>FE-PA companies</w:t>
      </w:r>
      <w:r w:rsidRPr="00C4057E">
        <w:rPr>
          <w:rFonts w:ascii="Arial" w:hAnsi="Arial" w:cs="Arial"/>
          <w:sz w:val="24"/>
          <w:szCs w:val="24"/>
        </w:rPr>
        <w:t xml:space="preserve"> have stated that they are continuing investments into the system as detailed in the periodic filings with the Commission’s Bureau of Technical Utility Services (TUS) regarding Corrective Action Plans, Reliability Plans, Worst Performing Circuit Plans (</w:t>
      </w:r>
      <w:bookmarkStart w:id="10" w:name="_Hlk512433319"/>
      <w:r w:rsidRPr="00C4057E">
        <w:rPr>
          <w:rFonts w:ascii="Arial" w:hAnsi="Arial" w:cs="Arial"/>
          <w:sz w:val="24"/>
          <w:szCs w:val="24"/>
        </w:rPr>
        <w:t>Follow-Up Finding and Conclusion No. VII-</w:t>
      </w:r>
      <w:bookmarkEnd w:id="10"/>
      <w:r w:rsidRPr="00C4057E">
        <w:rPr>
          <w:rFonts w:ascii="Arial" w:hAnsi="Arial" w:cs="Arial"/>
          <w:sz w:val="24"/>
          <w:szCs w:val="24"/>
        </w:rPr>
        <w:t xml:space="preserve">4), and the Long-Term Infrastructure Improvement Plans.  These efforts include additional vegetation work, further segmentation and automation of the system, reconducting distribution circuits, adding substations for alternate feeds in some areas, adaptive relaying, and transmission upgrades.  </w:t>
      </w:r>
    </w:p>
    <w:p w14:paraId="253A8C9E" w14:textId="77777777" w:rsidR="00C4057E" w:rsidRPr="00C4057E" w:rsidRDefault="00C4057E" w:rsidP="00C4057E">
      <w:pPr>
        <w:spacing w:after="0" w:line="240" w:lineRule="auto"/>
        <w:ind w:firstLine="720"/>
        <w:contextualSpacing/>
        <w:rPr>
          <w:rFonts w:ascii="Arial" w:hAnsi="Arial" w:cs="Arial"/>
          <w:sz w:val="24"/>
          <w:szCs w:val="24"/>
        </w:rPr>
      </w:pPr>
    </w:p>
    <w:p w14:paraId="52315201" w14:textId="77777777" w:rsidR="00C4057E" w:rsidRPr="00C4057E" w:rsidRDefault="00C4057E" w:rsidP="00C4057E">
      <w:pPr>
        <w:spacing w:after="0" w:line="240" w:lineRule="auto"/>
        <w:ind w:firstLine="720"/>
        <w:contextualSpacing/>
        <w:rPr>
          <w:rFonts w:ascii="Arial" w:hAnsi="Arial" w:cs="Arial"/>
          <w:sz w:val="24"/>
          <w:szCs w:val="24"/>
        </w:rPr>
      </w:pPr>
      <w:r w:rsidRPr="00C4057E">
        <w:rPr>
          <w:rFonts w:ascii="Arial" w:hAnsi="Arial" w:cs="Arial"/>
          <w:sz w:val="24"/>
          <w:szCs w:val="24"/>
        </w:rPr>
        <w:t xml:space="preserve">The </w:t>
      </w:r>
      <w:r w:rsidR="00DC3D9B">
        <w:rPr>
          <w:rFonts w:ascii="Arial" w:hAnsi="Arial" w:cs="Arial"/>
          <w:sz w:val="24"/>
          <w:szCs w:val="24"/>
        </w:rPr>
        <w:t>FE-PA companies</w:t>
      </w:r>
      <w:r w:rsidRPr="00C4057E">
        <w:rPr>
          <w:rFonts w:ascii="Arial" w:hAnsi="Arial" w:cs="Arial"/>
          <w:sz w:val="24"/>
          <w:szCs w:val="24"/>
        </w:rPr>
        <w:t xml:space="preserve"> should continue to periodically submit details for reliability analysis and planning to the Commission with TUS’s review and approval of planned system improvements or adjustments to maintenance schedules.  Additionally, the </w:t>
      </w:r>
      <w:r w:rsidR="00DC3D9B">
        <w:rPr>
          <w:rFonts w:ascii="Arial" w:hAnsi="Arial" w:cs="Arial"/>
          <w:sz w:val="24"/>
          <w:szCs w:val="24"/>
        </w:rPr>
        <w:t>companies</w:t>
      </w:r>
      <w:r w:rsidRPr="00C4057E">
        <w:rPr>
          <w:rFonts w:ascii="Arial" w:hAnsi="Arial" w:cs="Arial"/>
          <w:sz w:val="24"/>
          <w:szCs w:val="24"/>
        </w:rPr>
        <w:t xml:space="preserve"> should also improve upon on other related activities which relate to reliability such as workforce planning (Follow-Up Finding and Conclusion No. VII-2), consider additional shifts (Follow-Up Finding and Conclusion No. VII-3) and address </w:t>
      </w:r>
      <w:r w:rsidR="000610CC">
        <w:rPr>
          <w:rFonts w:ascii="Arial" w:hAnsi="Arial" w:cs="Arial"/>
          <w:sz w:val="24"/>
          <w:szCs w:val="24"/>
        </w:rPr>
        <w:t xml:space="preserve">the </w:t>
      </w:r>
      <w:r w:rsidRPr="00C4057E">
        <w:rPr>
          <w:rFonts w:ascii="Arial" w:hAnsi="Arial" w:cs="Arial"/>
          <w:sz w:val="24"/>
          <w:szCs w:val="24"/>
        </w:rPr>
        <w:t>worst performance circuits (Follow-Up Finding and Conclusion No. VII-4).</w:t>
      </w:r>
    </w:p>
    <w:p w14:paraId="4923CA94" w14:textId="77777777" w:rsidR="00C4057E" w:rsidRPr="00C4057E" w:rsidRDefault="00C4057E" w:rsidP="00C4057E">
      <w:pPr>
        <w:spacing w:after="0" w:line="240" w:lineRule="auto"/>
        <w:contextualSpacing/>
        <w:rPr>
          <w:rFonts w:ascii="Arial" w:hAnsi="Arial" w:cs="Arial"/>
          <w:sz w:val="24"/>
          <w:szCs w:val="24"/>
        </w:rPr>
      </w:pPr>
    </w:p>
    <w:p w14:paraId="7D1F5DEA" w14:textId="77777777" w:rsidR="00C4057E" w:rsidRPr="00C4057E" w:rsidRDefault="00C4057E" w:rsidP="00C4057E">
      <w:pPr>
        <w:widowControl w:val="0"/>
        <w:autoSpaceDE w:val="0"/>
        <w:autoSpaceDN w:val="0"/>
        <w:adjustRightInd w:val="0"/>
        <w:spacing w:after="0" w:line="240" w:lineRule="auto"/>
        <w:contextualSpacing/>
        <w:rPr>
          <w:rFonts w:ascii="Arial" w:hAnsi="Arial" w:cs="Arial"/>
          <w:b/>
          <w:bCs/>
          <w:color w:val="000000"/>
          <w:sz w:val="24"/>
          <w:szCs w:val="24"/>
        </w:rPr>
      </w:pPr>
      <w:bookmarkStart w:id="11" w:name="_Hlk512234766"/>
      <w:r w:rsidRPr="00C4057E">
        <w:rPr>
          <w:rFonts w:ascii="Arial" w:eastAsia="Times New Roman" w:hAnsi="Arial" w:cs="Arial"/>
          <w:b/>
          <w:snapToGrid w:val="0"/>
          <w:sz w:val="24"/>
          <w:szCs w:val="20"/>
          <w:u w:val="single"/>
        </w:rPr>
        <w:t xml:space="preserve">Follow-up </w:t>
      </w:r>
      <w:r w:rsidRPr="00C4057E">
        <w:rPr>
          <w:rFonts w:ascii="Arial" w:hAnsi="Arial" w:cs="Arial"/>
          <w:b/>
          <w:bCs/>
          <w:color w:val="000000"/>
          <w:sz w:val="24"/>
          <w:szCs w:val="24"/>
          <w:u w:val="single"/>
        </w:rPr>
        <w:t>Recommendation</w:t>
      </w:r>
      <w:r w:rsidRPr="00C4057E">
        <w:rPr>
          <w:rFonts w:ascii="Arial" w:hAnsi="Arial" w:cs="Arial"/>
          <w:b/>
          <w:bCs/>
          <w:color w:val="000000"/>
          <w:sz w:val="24"/>
          <w:szCs w:val="24"/>
        </w:rPr>
        <w:t xml:space="preserve"> </w:t>
      </w:r>
      <w:r w:rsidRPr="00C4057E">
        <w:rPr>
          <w:rFonts w:ascii="Arial" w:hAnsi="Arial" w:cs="Arial"/>
          <w:bCs/>
          <w:color w:val="000000"/>
          <w:sz w:val="24"/>
          <w:szCs w:val="24"/>
        </w:rPr>
        <w:t>–</w:t>
      </w:r>
      <w:r w:rsidRPr="00C4057E">
        <w:rPr>
          <w:rFonts w:ascii="Arial" w:hAnsi="Arial" w:cs="Arial"/>
          <w:b/>
          <w:bCs/>
          <w:color w:val="000000"/>
          <w:sz w:val="24"/>
          <w:szCs w:val="24"/>
        </w:rPr>
        <w:t xml:space="preserve"> Improve </w:t>
      </w:r>
      <w:bookmarkEnd w:id="11"/>
      <w:r w:rsidRPr="00C4057E">
        <w:rPr>
          <w:rFonts w:ascii="Arial" w:hAnsi="Arial" w:cs="Arial"/>
          <w:b/>
          <w:bCs/>
          <w:color w:val="000000"/>
          <w:sz w:val="24"/>
          <w:szCs w:val="24"/>
        </w:rPr>
        <w:t xml:space="preserve">electric reliability performance to meet minimum standards and strive toward achieving benchmark performance through the continued coordination </w:t>
      </w:r>
      <w:bookmarkStart w:id="12" w:name="_Hlk512500458"/>
      <w:r w:rsidRPr="00C4057E">
        <w:rPr>
          <w:rFonts w:ascii="Arial" w:hAnsi="Arial" w:cs="Arial"/>
          <w:b/>
          <w:bCs/>
          <w:color w:val="000000"/>
          <w:sz w:val="24"/>
          <w:szCs w:val="24"/>
        </w:rPr>
        <w:t>with the PUC’s Bureau of Technical Utility Services</w:t>
      </w:r>
      <w:bookmarkEnd w:id="12"/>
      <w:r w:rsidRPr="00C4057E">
        <w:rPr>
          <w:rFonts w:ascii="Arial" w:hAnsi="Arial" w:cs="Arial"/>
          <w:b/>
          <w:bCs/>
          <w:color w:val="000000"/>
          <w:sz w:val="24"/>
          <w:szCs w:val="24"/>
        </w:rPr>
        <w:t>.</w:t>
      </w:r>
    </w:p>
    <w:p w14:paraId="3762C528" w14:textId="77777777" w:rsidR="00C4057E" w:rsidRPr="00C4057E" w:rsidRDefault="00C4057E" w:rsidP="00C4057E">
      <w:pPr>
        <w:spacing w:after="0" w:line="240" w:lineRule="auto"/>
        <w:rPr>
          <w:rFonts w:ascii="Arial" w:hAnsi="Arial" w:cs="Arial"/>
          <w:b/>
          <w:sz w:val="24"/>
          <w:szCs w:val="24"/>
          <w:u w:val="single"/>
        </w:rPr>
      </w:pPr>
    </w:p>
    <w:p w14:paraId="63325FC7" w14:textId="77777777" w:rsidR="00C4057E" w:rsidRPr="00C4057E" w:rsidRDefault="00C4057E" w:rsidP="00C4057E">
      <w:pPr>
        <w:spacing w:after="0" w:line="240" w:lineRule="auto"/>
        <w:rPr>
          <w:rFonts w:ascii="Arial" w:hAnsi="Arial" w:cs="Arial"/>
          <w:b/>
          <w:sz w:val="24"/>
          <w:szCs w:val="24"/>
          <w:u w:val="single"/>
        </w:rPr>
      </w:pPr>
    </w:p>
    <w:p w14:paraId="1E9143BD" w14:textId="77777777" w:rsidR="00C4057E" w:rsidRPr="00C4057E" w:rsidRDefault="00C4057E" w:rsidP="00C4057E">
      <w:pPr>
        <w:rPr>
          <w:rFonts w:ascii="Arial" w:hAnsi="Arial" w:cs="Arial"/>
          <w:b/>
          <w:sz w:val="24"/>
          <w:szCs w:val="24"/>
          <w:u w:val="single"/>
        </w:rPr>
      </w:pPr>
      <w:r w:rsidRPr="00C4057E">
        <w:rPr>
          <w:rFonts w:ascii="Arial" w:hAnsi="Arial" w:cs="Arial"/>
          <w:b/>
          <w:sz w:val="24"/>
          <w:szCs w:val="24"/>
          <w:u w:val="single"/>
        </w:rPr>
        <w:br w:type="page"/>
      </w:r>
    </w:p>
    <w:p w14:paraId="45E07975" w14:textId="77777777" w:rsidR="00C4057E" w:rsidRPr="00C4057E" w:rsidRDefault="00C4057E" w:rsidP="00C4057E">
      <w:pPr>
        <w:spacing w:after="0" w:line="240" w:lineRule="auto"/>
        <w:jc w:val="center"/>
        <w:rPr>
          <w:rFonts w:ascii="Arial" w:hAnsi="Arial" w:cs="Arial"/>
          <w:b/>
          <w:sz w:val="24"/>
          <w:szCs w:val="24"/>
          <w:u w:val="single"/>
        </w:rPr>
      </w:pPr>
      <w:r w:rsidRPr="00C4057E">
        <w:rPr>
          <w:rFonts w:ascii="Arial" w:hAnsi="Arial" w:cs="Arial"/>
          <w:b/>
          <w:sz w:val="24"/>
          <w:szCs w:val="24"/>
          <w:u w:val="single"/>
        </w:rPr>
        <w:t>Finding No. VII-2</w:t>
      </w:r>
    </w:p>
    <w:p w14:paraId="4FA06880" w14:textId="77777777" w:rsidR="00C4057E" w:rsidRPr="00C4057E" w:rsidRDefault="00C4057E" w:rsidP="00C4057E">
      <w:pPr>
        <w:spacing w:after="0" w:line="240" w:lineRule="auto"/>
        <w:rPr>
          <w:rFonts w:ascii="Arial" w:hAnsi="Arial" w:cs="Arial"/>
          <w:b/>
          <w:sz w:val="24"/>
          <w:szCs w:val="24"/>
          <w:u w:val="single"/>
        </w:rPr>
      </w:pPr>
    </w:p>
    <w:p w14:paraId="57D5DF06" w14:textId="77777777" w:rsidR="00C4057E" w:rsidRPr="00C4057E" w:rsidRDefault="00C4057E" w:rsidP="00C4057E">
      <w:pPr>
        <w:spacing w:after="0" w:line="240" w:lineRule="auto"/>
        <w:rPr>
          <w:rFonts w:ascii="Arial" w:hAnsi="Arial" w:cs="Arial"/>
          <w:sz w:val="24"/>
          <w:szCs w:val="24"/>
        </w:rPr>
      </w:pPr>
      <w:bookmarkStart w:id="13" w:name="_Hlk512252039"/>
      <w:r w:rsidRPr="00C4057E">
        <w:rPr>
          <w:rFonts w:ascii="Arial" w:hAnsi="Arial" w:cs="Arial"/>
          <w:b/>
          <w:sz w:val="24"/>
          <w:szCs w:val="24"/>
          <w:u w:val="single"/>
        </w:rPr>
        <w:t>Prior Situation</w:t>
      </w:r>
      <w:r w:rsidRPr="00C4057E">
        <w:rPr>
          <w:rFonts w:ascii="Arial" w:hAnsi="Arial" w:cs="Arial"/>
          <w:sz w:val="24"/>
          <w:szCs w:val="24"/>
        </w:rPr>
        <w:t xml:space="preserve"> – Based </w:t>
      </w:r>
      <w:bookmarkEnd w:id="13"/>
      <w:r w:rsidRPr="00C4057E">
        <w:rPr>
          <w:rFonts w:ascii="Arial" w:hAnsi="Arial" w:cs="Arial"/>
          <w:sz w:val="24"/>
          <w:szCs w:val="24"/>
        </w:rPr>
        <w:t xml:space="preserve">upon high overtime levels and the number of employees eligible for retirement, the </w:t>
      </w:r>
      <w:r w:rsidR="00DC3D9B">
        <w:rPr>
          <w:rFonts w:ascii="Arial" w:hAnsi="Arial" w:cs="Arial"/>
          <w:sz w:val="24"/>
          <w:szCs w:val="24"/>
        </w:rPr>
        <w:t>FE-PA companies</w:t>
      </w:r>
      <w:r w:rsidRPr="00C4057E">
        <w:rPr>
          <w:rFonts w:ascii="Arial" w:hAnsi="Arial" w:cs="Arial"/>
          <w:sz w:val="24"/>
          <w:szCs w:val="24"/>
        </w:rPr>
        <w:t xml:space="preserve"> did not appear to have sufficient staffing</w:t>
      </w:r>
      <w:r w:rsidR="0081335C">
        <w:rPr>
          <w:rFonts w:ascii="Arial" w:hAnsi="Arial" w:cs="Arial"/>
          <w:sz w:val="24"/>
          <w:szCs w:val="24"/>
        </w:rPr>
        <w:t xml:space="preserve"> as of the last audit</w:t>
      </w:r>
      <w:r w:rsidRPr="00C4057E">
        <w:rPr>
          <w:rFonts w:ascii="Arial" w:hAnsi="Arial" w:cs="Arial"/>
          <w:sz w:val="24"/>
          <w:szCs w:val="24"/>
        </w:rPr>
        <w:t xml:space="preserve">.  Each of the </w:t>
      </w:r>
      <w:r w:rsidR="00DC3D9B">
        <w:rPr>
          <w:rFonts w:ascii="Arial" w:hAnsi="Arial" w:cs="Arial"/>
          <w:sz w:val="24"/>
          <w:szCs w:val="24"/>
        </w:rPr>
        <w:t>companies</w:t>
      </w:r>
      <w:r w:rsidRPr="00C4057E">
        <w:rPr>
          <w:rFonts w:ascii="Arial" w:hAnsi="Arial" w:cs="Arial"/>
          <w:sz w:val="24"/>
          <w:szCs w:val="24"/>
        </w:rPr>
        <w:t xml:space="preserve"> had workforce planning strategies that incorporated 15% planned overtime annually, but specific departments across the four companies’ territories </w:t>
      </w:r>
      <w:r w:rsidR="00F964AE" w:rsidRPr="00C4057E">
        <w:rPr>
          <w:rFonts w:ascii="Arial" w:hAnsi="Arial" w:cs="Arial"/>
          <w:sz w:val="24"/>
          <w:szCs w:val="24"/>
        </w:rPr>
        <w:t>often</w:t>
      </w:r>
      <w:r w:rsidRPr="00C4057E">
        <w:rPr>
          <w:rFonts w:ascii="Arial" w:hAnsi="Arial" w:cs="Arial"/>
          <w:sz w:val="24"/>
          <w:szCs w:val="24"/>
        </w:rPr>
        <w:t xml:space="preserve"> had well over 15% planned overtime for the department, with the overwhelming majority of these departments being craft workers.  From 2009 to 2013, there were annually 39 to 65 entire departments across the </w:t>
      </w:r>
      <w:r w:rsidR="00DC3D9B">
        <w:rPr>
          <w:rFonts w:ascii="Arial" w:hAnsi="Arial" w:cs="Arial"/>
          <w:sz w:val="24"/>
          <w:szCs w:val="24"/>
        </w:rPr>
        <w:t>FE-PA companies</w:t>
      </w:r>
      <w:r w:rsidRPr="00C4057E">
        <w:rPr>
          <w:rFonts w:ascii="Arial" w:hAnsi="Arial" w:cs="Arial"/>
          <w:sz w:val="24"/>
          <w:szCs w:val="24"/>
        </w:rPr>
        <w:t xml:space="preserve"> that averaged over 15% overtime, with some departments getting as high as 38%.</w:t>
      </w:r>
      <w:r w:rsidRPr="00C4057E">
        <w:rPr>
          <w:rFonts w:ascii="Arial" w:hAnsi="Arial" w:cs="Arial"/>
          <w:sz w:val="24"/>
          <w:szCs w:val="24"/>
          <w:vertAlign w:val="superscript"/>
        </w:rPr>
        <w:footnoteReference w:id="2"/>
      </w:r>
      <w:r w:rsidRPr="00C4057E">
        <w:rPr>
          <w:rFonts w:ascii="Arial" w:hAnsi="Arial" w:cs="Arial"/>
          <w:sz w:val="24"/>
          <w:szCs w:val="24"/>
        </w:rPr>
        <w:t xml:space="preserve">  When individual overtime was reviewed, it was even more excessive (See Follow-Up Finding and Conclusion No. VII-3).  Also, among the </w:t>
      </w:r>
      <w:r w:rsidR="00DC3D9B">
        <w:rPr>
          <w:rFonts w:ascii="Arial" w:hAnsi="Arial" w:cs="Arial"/>
          <w:sz w:val="24"/>
          <w:szCs w:val="24"/>
        </w:rPr>
        <w:t>FE-PA companies</w:t>
      </w:r>
      <w:r w:rsidRPr="00C4057E">
        <w:rPr>
          <w:rFonts w:ascii="Arial" w:hAnsi="Arial" w:cs="Arial"/>
          <w:sz w:val="24"/>
          <w:szCs w:val="24"/>
        </w:rPr>
        <w:t>, approximately 40% of craft workers were either eligible for retirement or would be eligible within five years.  Based on these factors, the auditors recommended a staffing study be performed to account and prepare for future retirements, and to determine the proper staffing levels of craft workers to reduce planned overtime to the target level of 15% and ensure proper staffing in the future.</w:t>
      </w:r>
    </w:p>
    <w:p w14:paraId="42D9D1EE" w14:textId="77777777" w:rsidR="00C4057E" w:rsidRPr="00C4057E" w:rsidRDefault="00C4057E" w:rsidP="00C4057E">
      <w:pPr>
        <w:spacing w:after="0" w:line="240" w:lineRule="auto"/>
        <w:rPr>
          <w:rFonts w:ascii="Arial" w:hAnsi="Arial" w:cs="Arial"/>
          <w:sz w:val="24"/>
          <w:szCs w:val="24"/>
        </w:rPr>
      </w:pPr>
    </w:p>
    <w:p w14:paraId="39576EC1" w14:textId="77777777" w:rsidR="00C4057E" w:rsidRPr="00C4057E" w:rsidRDefault="00C4057E" w:rsidP="00C4057E">
      <w:pPr>
        <w:spacing w:after="0" w:line="240" w:lineRule="auto"/>
        <w:rPr>
          <w:rFonts w:ascii="Arial" w:hAnsi="Arial" w:cs="Arial"/>
          <w:sz w:val="24"/>
          <w:szCs w:val="24"/>
        </w:rPr>
      </w:pPr>
      <w:bookmarkStart w:id="14" w:name="_Hlk512252224"/>
      <w:bookmarkStart w:id="15" w:name="_Hlk512253473"/>
      <w:r w:rsidRPr="00C4057E">
        <w:rPr>
          <w:rFonts w:ascii="Arial" w:hAnsi="Arial" w:cs="Arial"/>
          <w:b/>
          <w:sz w:val="24"/>
          <w:szCs w:val="24"/>
          <w:u w:val="single"/>
        </w:rPr>
        <w:t xml:space="preserve">Prior Recommendation </w:t>
      </w:r>
      <w:r w:rsidRPr="00C4057E">
        <w:rPr>
          <w:rFonts w:ascii="Arial" w:hAnsi="Arial" w:cs="Arial"/>
          <w:sz w:val="24"/>
          <w:szCs w:val="24"/>
        </w:rPr>
        <w:t>– Conduct a staffing study accounting for future retirements to determine the proper staffing levels of craft workers to reduce overtime to the target level of 15% and improve reliability.</w:t>
      </w:r>
    </w:p>
    <w:p w14:paraId="6A40AD0A" w14:textId="77777777" w:rsidR="00C4057E" w:rsidRPr="00C4057E" w:rsidRDefault="00C4057E" w:rsidP="00C4057E">
      <w:pPr>
        <w:spacing w:after="0" w:line="240" w:lineRule="auto"/>
        <w:rPr>
          <w:rFonts w:ascii="Arial" w:hAnsi="Arial" w:cs="Arial"/>
          <w:sz w:val="24"/>
          <w:szCs w:val="24"/>
        </w:rPr>
      </w:pPr>
    </w:p>
    <w:p w14:paraId="4E3B4B0C" w14:textId="77777777" w:rsidR="00C4057E" w:rsidRPr="00C4057E" w:rsidRDefault="00C4057E" w:rsidP="00C4057E">
      <w:pPr>
        <w:spacing w:after="0" w:line="240" w:lineRule="auto"/>
        <w:rPr>
          <w:rFonts w:ascii="Arial" w:hAnsi="Arial" w:cs="Arial"/>
          <w:sz w:val="24"/>
          <w:szCs w:val="24"/>
        </w:rPr>
      </w:pPr>
      <w:r w:rsidRPr="00C4057E">
        <w:rPr>
          <w:rFonts w:ascii="Arial" w:hAnsi="Arial" w:cs="Arial"/>
          <w:b/>
          <w:sz w:val="24"/>
          <w:szCs w:val="24"/>
          <w:u w:val="single"/>
        </w:rPr>
        <w:t>Follow-up Finding and Conclusion</w:t>
      </w:r>
      <w:r w:rsidR="00F65A25" w:rsidRPr="00F65A25">
        <w:rPr>
          <w:rFonts w:ascii="Arial" w:eastAsia="Times New Roman" w:hAnsi="Arial" w:cs="Times New Roman"/>
          <w:b/>
          <w:sz w:val="24"/>
          <w:szCs w:val="24"/>
          <w:u w:val="single"/>
        </w:rPr>
        <w:t xml:space="preserve"> </w:t>
      </w:r>
      <w:r w:rsidR="00F65A25">
        <w:rPr>
          <w:rFonts w:ascii="Arial" w:eastAsia="Times New Roman" w:hAnsi="Arial" w:cs="Times New Roman"/>
          <w:b/>
          <w:sz w:val="24"/>
          <w:szCs w:val="24"/>
          <w:u w:val="single"/>
        </w:rPr>
        <w:t>No. VII</w:t>
      </w:r>
      <w:r w:rsidR="00F65A25" w:rsidRPr="00B146D6">
        <w:rPr>
          <w:rFonts w:ascii="Arial" w:eastAsia="Times New Roman" w:hAnsi="Arial" w:cs="Times New Roman"/>
          <w:b/>
          <w:sz w:val="24"/>
          <w:szCs w:val="24"/>
          <w:u w:val="single"/>
        </w:rPr>
        <w:t>-</w:t>
      </w:r>
      <w:r w:rsidR="00F65A25">
        <w:rPr>
          <w:rFonts w:ascii="Arial" w:eastAsia="Times New Roman" w:hAnsi="Arial" w:cs="Times New Roman"/>
          <w:b/>
          <w:sz w:val="24"/>
          <w:szCs w:val="24"/>
          <w:u w:val="single"/>
        </w:rPr>
        <w:t>2</w:t>
      </w:r>
      <w:r w:rsidRPr="00C4057E">
        <w:rPr>
          <w:rFonts w:ascii="Arial" w:hAnsi="Arial" w:cs="Arial"/>
          <w:b/>
          <w:sz w:val="24"/>
          <w:szCs w:val="24"/>
        </w:rPr>
        <w:t xml:space="preserve"> </w:t>
      </w:r>
      <w:bookmarkEnd w:id="14"/>
      <w:r w:rsidRPr="00C4057E">
        <w:rPr>
          <w:rFonts w:ascii="Arial" w:hAnsi="Arial" w:cs="Arial"/>
          <w:sz w:val="24"/>
          <w:szCs w:val="24"/>
        </w:rPr>
        <w:t>–</w:t>
      </w:r>
      <w:r w:rsidRPr="00C4057E">
        <w:rPr>
          <w:rFonts w:ascii="Arial" w:hAnsi="Arial" w:cs="Arial"/>
          <w:b/>
          <w:sz w:val="24"/>
          <w:szCs w:val="24"/>
        </w:rPr>
        <w:t xml:space="preserve"> The staffing study conducted by the </w:t>
      </w:r>
      <w:r w:rsidR="00DC3D9B">
        <w:rPr>
          <w:rFonts w:ascii="Arial" w:hAnsi="Arial" w:cs="Arial"/>
          <w:b/>
          <w:sz w:val="24"/>
          <w:szCs w:val="24"/>
        </w:rPr>
        <w:t>FE-PA companies</w:t>
      </w:r>
      <w:r w:rsidRPr="00C4057E">
        <w:rPr>
          <w:rFonts w:ascii="Arial" w:hAnsi="Arial" w:cs="Arial"/>
          <w:b/>
          <w:sz w:val="24"/>
          <w:szCs w:val="24"/>
        </w:rPr>
        <w:t xml:space="preserve"> did not include all aspects required for a thorough review of workforce needs.</w:t>
      </w:r>
      <w:bookmarkEnd w:id="15"/>
    </w:p>
    <w:p w14:paraId="53BAF336" w14:textId="77777777" w:rsidR="00C4057E" w:rsidRPr="00C4057E" w:rsidRDefault="00C4057E" w:rsidP="00C4057E">
      <w:pPr>
        <w:spacing w:after="0" w:line="240" w:lineRule="auto"/>
        <w:rPr>
          <w:rFonts w:ascii="Arial" w:hAnsi="Arial" w:cs="Arial"/>
          <w:sz w:val="24"/>
          <w:szCs w:val="24"/>
        </w:rPr>
      </w:pPr>
    </w:p>
    <w:p w14:paraId="46112F04" w14:textId="77777777" w:rsidR="00C4057E" w:rsidRPr="00C4057E" w:rsidRDefault="00C4057E" w:rsidP="00C4057E">
      <w:pPr>
        <w:spacing w:after="0" w:line="240" w:lineRule="auto"/>
        <w:rPr>
          <w:rFonts w:ascii="Arial" w:hAnsi="Arial" w:cs="Arial"/>
          <w:sz w:val="24"/>
          <w:szCs w:val="24"/>
        </w:rPr>
      </w:pPr>
      <w:r w:rsidRPr="00C4057E">
        <w:rPr>
          <w:rFonts w:ascii="Arial" w:hAnsi="Arial" w:cs="Arial"/>
          <w:b/>
          <w:u w:val="single"/>
        </w:rPr>
        <w:t>Current Review</w:t>
      </w:r>
      <w:r w:rsidRPr="00C4057E">
        <w:rPr>
          <w:rFonts w:ascii="Arial" w:hAnsi="Arial" w:cs="Arial"/>
        </w:rPr>
        <w:t xml:space="preserve"> – </w:t>
      </w:r>
      <w:r w:rsidRPr="00C4057E">
        <w:rPr>
          <w:rFonts w:ascii="Arial" w:hAnsi="Arial" w:cs="Arial"/>
          <w:sz w:val="24"/>
          <w:szCs w:val="24"/>
        </w:rPr>
        <w:t xml:space="preserve">In 2016, FirstEnergy conducted a staffing study to assess the adequacy of staffing levels at each of the </w:t>
      </w:r>
      <w:r w:rsidR="00DC3D9B">
        <w:rPr>
          <w:rFonts w:ascii="Arial" w:hAnsi="Arial" w:cs="Arial"/>
          <w:sz w:val="24"/>
          <w:szCs w:val="24"/>
        </w:rPr>
        <w:t>FE-PA companies</w:t>
      </w:r>
      <w:r w:rsidRPr="00C4057E">
        <w:rPr>
          <w:rFonts w:ascii="Arial" w:hAnsi="Arial" w:cs="Arial"/>
          <w:sz w:val="24"/>
          <w:szCs w:val="24"/>
        </w:rPr>
        <w:t xml:space="preserve">.  The study concluded that the </w:t>
      </w:r>
      <w:r w:rsidR="00DC3D9B">
        <w:rPr>
          <w:rFonts w:ascii="Arial" w:hAnsi="Arial" w:cs="Arial"/>
          <w:sz w:val="24"/>
          <w:szCs w:val="24"/>
        </w:rPr>
        <w:t>FE-PA companies</w:t>
      </w:r>
      <w:r w:rsidRPr="00C4057E">
        <w:rPr>
          <w:rFonts w:ascii="Arial" w:hAnsi="Arial" w:cs="Arial"/>
          <w:sz w:val="24"/>
          <w:szCs w:val="24"/>
        </w:rPr>
        <w:t xml:space="preserve"> were adequately staffed </w:t>
      </w:r>
      <w:r w:rsidR="00080DC0" w:rsidRPr="00C4057E">
        <w:rPr>
          <w:rFonts w:ascii="Arial" w:hAnsi="Arial" w:cs="Arial"/>
          <w:sz w:val="24"/>
          <w:szCs w:val="24"/>
        </w:rPr>
        <w:t>based on</w:t>
      </w:r>
      <w:r w:rsidRPr="00C4057E">
        <w:rPr>
          <w:rFonts w:ascii="Arial" w:hAnsi="Arial" w:cs="Arial"/>
          <w:sz w:val="24"/>
          <w:szCs w:val="24"/>
        </w:rPr>
        <w:t xml:space="preserve"> current and planned incoming hires.  </w:t>
      </w:r>
      <w:r w:rsidR="004B522E">
        <w:rPr>
          <w:rFonts w:ascii="Arial" w:hAnsi="Arial" w:cs="Arial"/>
          <w:sz w:val="24"/>
          <w:szCs w:val="24"/>
        </w:rPr>
        <w:t>After reviewing the</w:t>
      </w:r>
      <w:r w:rsidRPr="00C4057E">
        <w:rPr>
          <w:rFonts w:ascii="Arial" w:hAnsi="Arial" w:cs="Arial"/>
          <w:sz w:val="24"/>
          <w:szCs w:val="24"/>
        </w:rPr>
        <w:t xml:space="preserve"> staffing study</w:t>
      </w:r>
      <w:r w:rsidR="004B522E">
        <w:rPr>
          <w:rFonts w:ascii="Arial" w:hAnsi="Arial" w:cs="Arial"/>
          <w:sz w:val="24"/>
          <w:szCs w:val="24"/>
        </w:rPr>
        <w:t>,</w:t>
      </w:r>
      <w:r w:rsidRPr="00C4057E">
        <w:rPr>
          <w:rFonts w:ascii="Arial" w:hAnsi="Arial" w:cs="Arial"/>
          <w:sz w:val="24"/>
          <w:szCs w:val="24"/>
        </w:rPr>
        <w:t xml:space="preserve"> the auditors </w:t>
      </w:r>
      <w:r w:rsidR="000610CC">
        <w:rPr>
          <w:rFonts w:ascii="Arial" w:hAnsi="Arial" w:cs="Arial"/>
          <w:sz w:val="24"/>
          <w:szCs w:val="24"/>
        </w:rPr>
        <w:t>felt</w:t>
      </w:r>
      <w:r w:rsidRPr="00C4057E">
        <w:rPr>
          <w:rFonts w:ascii="Arial" w:hAnsi="Arial" w:cs="Arial"/>
          <w:sz w:val="24"/>
          <w:szCs w:val="24"/>
        </w:rPr>
        <w:t xml:space="preserve"> that the </w:t>
      </w:r>
      <w:r w:rsidR="00DC3D9B">
        <w:rPr>
          <w:rFonts w:ascii="Arial" w:hAnsi="Arial" w:cs="Arial"/>
          <w:sz w:val="24"/>
          <w:szCs w:val="24"/>
        </w:rPr>
        <w:t>FE-PA companies</w:t>
      </w:r>
      <w:r w:rsidRPr="00C4057E">
        <w:rPr>
          <w:rFonts w:ascii="Arial" w:hAnsi="Arial" w:cs="Arial"/>
          <w:sz w:val="24"/>
          <w:szCs w:val="24"/>
        </w:rPr>
        <w:t xml:space="preserve"> were adequately planning for retirements (in a sense that the workforce numbers would not be decreasing), </w:t>
      </w:r>
      <w:r w:rsidR="004B522E">
        <w:rPr>
          <w:rFonts w:ascii="Arial" w:hAnsi="Arial" w:cs="Arial"/>
          <w:sz w:val="24"/>
          <w:szCs w:val="24"/>
        </w:rPr>
        <w:t xml:space="preserve">but </w:t>
      </w:r>
      <w:r w:rsidRPr="00C4057E">
        <w:rPr>
          <w:rFonts w:ascii="Arial" w:hAnsi="Arial" w:cs="Arial"/>
          <w:sz w:val="24"/>
          <w:szCs w:val="24"/>
        </w:rPr>
        <w:t>the auditors do not believe the staffing study accurately estimated all workforce needs due to the following:</w:t>
      </w:r>
    </w:p>
    <w:p w14:paraId="1C458279" w14:textId="77777777" w:rsidR="00C4057E" w:rsidRPr="00C4057E" w:rsidRDefault="00C4057E" w:rsidP="00C4057E">
      <w:pPr>
        <w:spacing w:after="0" w:line="240" w:lineRule="auto"/>
        <w:rPr>
          <w:rFonts w:ascii="Arial" w:hAnsi="Arial" w:cs="Arial"/>
          <w:sz w:val="24"/>
          <w:szCs w:val="24"/>
        </w:rPr>
      </w:pPr>
    </w:p>
    <w:p w14:paraId="31AB2384" w14:textId="77777777" w:rsidR="00C4057E" w:rsidRPr="00C4057E" w:rsidRDefault="00C4057E" w:rsidP="00C4057E">
      <w:pPr>
        <w:numPr>
          <w:ilvl w:val="0"/>
          <w:numId w:val="11"/>
        </w:numPr>
        <w:spacing w:after="0" w:line="240" w:lineRule="auto"/>
        <w:contextualSpacing/>
        <w:rPr>
          <w:rFonts w:ascii="Arial" w:hAnsi="Arial" w:cs="Arial"/>
          <w:sz w:val="24"/>
          <w:szCs w:val="24"/>
        </w:rPr>
      </w:pPr>
      <w:r w:rsidRPr="00C4057E">
        <w:rPr>
          <w:rFonts w:ascii="Arial" w:hAnsi="Arial" w:cs="Arial"/>
          <w:sz w:val="24"/>
          <w:szCs w:val="24"/>
        </w:rPr>
        <w:t>The Order requested that FirstEnergy undertake a ten-year historical review to determine how much excessive overtime and delinquent work flow could be attributable to major storms and mutual assistance.  However, FirstEnergy did not use ten years of historic storm data in the 2016 staffing study reportedly due to inaccurate older storm data.  Furthermore, even for the recent data that was used and deemed more accurate, FirstEnergy did not include historic storm estimations for storm events that were deemed irregular.  For instance, if there was a significant snow storm or remnants of a hurricane in previous years which required emergency response, this was excluded from the historic storm analysis therefore reducing the anticipated workforce needs.</w:t>
      </w:r>
    </w:p>
    <w:p w14:paraId="0D7E4457" w14:textId="77777777" w:rsidR="00C4057E" w:rsidRPr="00C4057E" w:rsidRDefault="00C4057E" w:rsidP="00C4057E">
      <w:pPr>
        <w:spacing w:after="0" w:line="240" w:lineRule="auto"/>
        <w:ind w:left="720"/>
        <w:rPr>
          <w:rFonts w:ascii="Arial" w:hAnsi="Arial" w:cs="Arial"/>
          <w:sz w:val="24"/>
          <w:szCs w:val="24"/>
        </w:rPr>
      </w:pPr>
    </w:p>
    <w:p w14:paraId="401078B9" w14:textId="77777777" w:rsidR="00C4057E" w:rsidRPr="00C4057E" w:rsidRDefault="004B522E" w:rsidP="00C4057E">
      <w:pPr>
        <w:numPr>
          <w:ilvl w:val="0"/>
          <w:numId w:val="11"/>
        </w:numPr>
        <w:spacing w:after="0" w:line="240" w:lineRule="auto"/>
        <w:contextualSpacing/>
        <w:rPr>
          <w:rFonts w:ascii="Arial" w:hAnsi="Arial" w:cs="Arial"/>
          <w:sz w:val="24"/>
          <w:szCs w:val="24"/>
        </w:rPr>
      </w:pPr>
      <w:r>
        <w:rPr>
          <w:rFonts w:ascii="Arial" w:hAnsi="Arial" w:cs="Arial"/>
          <w:sz w:val="24"/>
          <w:szCs w:val="24"/>
        </w:rPr>
        <w:t>A</w:t>
      </w:r>
      <w:r w:rsidR="00C4057E" w:rsidRPr="00C4057E">
        <w:rPr>
          <w:rFonts w:ascii="Arial" w:hAnsi="Arial" w:cs="Arial"/>
          <w:sz w:val="24"/>
          <w:szCs w:val="24"/>
        </w:rPr>
        <w:t>s part of the analysis</w:t>
      </w:r>
      <w:r>
        <w:rPr>
          <w:rFonts w:ascii="Arial" w:hAnsi="Arial" w:cs="Arial"/>
          <w:sz w:val="24"/>
          <w:szCs w:val="24"/>
        </w:rPr>
        <w:t>,</w:t>
      </w:r>
      <w:r w:rsidR="00C4057E" w:rsidRPr="00C4057E">
        <w:rPr>
          <w:rFonts w:ascii="Arial" w:hAnsi="Arial" w:cs="Arial"/>
          <w:sz w:val="24"/>
          <w:szCs w:val="24"/>
        </w:rPr>
        <w:t xml:space="preserve"> </w:t>
      </w:r>
      <w:r>
        <w:rPr>
          <w:rFonts w:ascii="Arial" w:hAnsi="Arial" w:cs="Arial"/>
          <w:sz w:val="24"/>
          <w:szCs w:val="24"/>
        </w:rPr>
        <w:t xml:space="preserve">FirstEnergy </w:t>
      </w:r>
      <w:r w:rsidR="00C4057E" w:rsidRPr="00C4057E">
        <w:rPr>
          <w:rFonts w:ascii="Arial" w:hAnsi="Arial" w:cs="Arial"/>
          <w:sz w:val="24"/>
          <w:szCs w:val="24"/>
        </w:rPr>
        <w:t xml:space="preserve">used an estimated 15% planned overtime for each of the </w:t>
      </w:r>
      <w:r w:rsidR="00DC3D9B">
        <w:rPr>
          <w:rFonts w:ascii="Arial" w:hAnsi="Arial" w:cs="Arial"/>
          <w:sz w:val="24"/>
          <w:szCs w:val="24"/>
        </w:rPr>
        <w:t>companies</w:t>
      </w:r>
      <w:r w:rsidR="00C4057E" w:rsidRPr="00C4057E">
        <w:rPr>
          <w:rFonts w:ascii="Arial" w:hAnsi="Arial" w:cs="Arial"/>
          <w:sz w:val="24"/>
          <w:szCs w:val="24"/>
        </w:rPr>
        <w:t xml:space="preserve">; however, this was for the whole company, not specifically just the craft workers.  </w:t>
      </w:r>
      <w:r>
        <w:rPr>
          <w:rFonts w:ascii="Arial" w:hAnsi="Arial" w:cs="Arial"/>
          <w:sz w:val="24"/>
          <w:szCs w:val="24"/>
        </w:rPr>
        <w:t>As part of the analysis, i</w:t>
      </w:r>
      <w:r w:rsidR="00C4057E" w:rsidRPr="00C4057E">
        <w:rPr>
          <w:rFonts w:ascii="Arial" w:hAnsi="Arial" w:cs="Arial"/>
          <w:sz w:val="24"/>
          <w:szCs w:val="24"/>
        </w:rPr>
        <w:t xml:space="preserve">t was noted that reallocation of budgeted overtime between craft and non-craft workers could be shifted where needed while maintaining overall company-wide levels of 15%.  (As a note, the </w:t>
      </w:r>
      <w:r w:rsidR="00DC3D9B">
        <w:rPr>
          <w:rFonts w:ascii="Arial" w:hAnsi="Arial" w:cs="Arial"/>
          <w:sz w:val="24"/>
          <w:szCs w:val="24"/>
        </w:rPr>
        <w:t>FE-PA companies</w:t>
      </w:r>
      <w:r w:rsidR="00C4057E" w:rsidRPr="00C4057E">
        <w:rPr>
          <w:rFonts w:ascii="Arial" w:hAnsi="Arial" w:cs="Arial"/>
          <w:sz w:val="24"/>
          <w:szCs w:val="24"/>
        </w:rPr>
        <w:t xml:space="preserve"> plan for 20% contractor use at a </w:t>
      </w:r>
      <w:r w:rsidR="00C47227" w:rsidRPr="00C4057E">
        <w:rPr>
          <w:rFonts w:ascii="Arial" w:hAnsi="Arial" w:cs="Arial"/>
          <w:sz w:val="24"/>
          <w:szCs w:val="24"/>
        </w:rPr>
        <w:t>most</w:t>
      </w:r>
      <w:r w:rsidR="00C4057E" w:rsidRPr="00C4057E">
        <w:rPr>
          <w:rFonts w:ascii="Arial" w:hAnsi="Arial" w:cs="Arial"/>
          <w:sz w:val="24"/>
          <w:szCs w:val="24"/>
        </w:rPr>
        <w:t xml:space="preserve"> and the rest of the workforce needs are to be met by FirstEnergy employees).</w:t>
      </w:r>
    </w:p>
    <w:p w14:paraId="52F4371C" w14:textId="77777777" w:rsidR="00C4057E" w:rsidRPr="00C4057E" w:rsidRDefault="00C4057E" w:rsidP="00C4057E">
      <w:pPr>
        <w:spacing w:after="0" w:line="240" w:lineRule="auto"/>
        <w:rPr>
          <w:rFonts w:ascii="Arial" w:hAnsi="Arial" w:cs="Arial"/>
          <w:sz w:val="24"/>
          <w:szCs w:val="24"/>
        </w:rPr>
      </w:pPr>
    </w:p>
    <w:p w14:paraId="7DF30835" w14:textId="77777777" w:rsidR="008E0917" w:rsidRDefault="00C4057E" w:rsidP="00C4057E">
      <w:pPr>
        <w:spacing w:after="0" w:line="240" w:lineRule="auto"/>
        <w:ind w:firstLine="720"/>
        <w:rPr>
          <w:rFonts w:ascii="Arial" w:hAnsi="Arial" w:cs="Arial"/>
          <w:sz w:val="24"/>
          <w:szCs w:val="24"/>
        </w:rPr>
      </w:pPr>
      <w:r w:rsidRPr="00C4057E">
        <w:rPr>
          <w:rFonts w:ascii="Arial" w:hAnsi="Arial" w:cs="Arial"/>
          <w:sz w:val="24"/>
          <w:szCs w:val="24"/>
        </w:rPr>
        <w:t xml:space="preserve">To support the auditors’ assertion that the 2016 staffing study did not adequately address the stated concerns from the management audit, the PUC </w:t>
      </w:r>
      <w:r w:rsidR="004B522E">
        <w:rPr>
          <w:rFonts w:ascii="Arial" w:hAnsi="Arial" w:cs="Arial"/>
          <w:sz w:val="24"/>
          <w:szCs w:val="24"/>
        </w:rPr>
        <w:t>auditors</w:t>
      </w:r>
      <w:r w:rsidRPr="00C4057E">
        <w:rPr>
          <w:rFonts w:ascii="Arial" w:hAnsi="Arial" w:cs="Arial"/>
          <w:sz w:val="24"/>
          <w:szCs w:val="24"/>
        </w:rPr>
        <w:t xml:space="preserve"> conducted the same review of staffing and overtime levels on the departments associated with field operations as was previously conducted during the management audit</w:t>
      </w:r>
      <w:r w:rsidR="008E0917">
        <w:rPr>
          <w:rFonts w:ascii="Arial" w:hAnsi="Arial" w:cs="Arial"/>
          <w:sz w:val="24"/>
          <w:szCs w:val="24"/>
        </w:rPr>
        <w:t xml:space="preserve">. </w:t>
      </w:r>
      <w:r w:rsidRPr="00C4057E">
        <w:rPr>
          <w:rFonts w:ascii="Arial" w:hAnsi="Arial" w:cs="Arial"/>
          <w:sz w:val="24"/>
          <w:szCs w:val="24"/>
        </w:rPr>
        <w:t xml:space="preserve"> </w:t>
      </w:r>
      <w:r w:rsidR="008E0917">
        <w:rPr>
          <w:rFonts w:ascii="Arial" w:hAnsi="Arial" w:cs="Arial"/>
          <w:sz w:val="24"/>
          <w:szCs w:val="24"/>
        </w:rPr>
        <w:t>I</w:t>
      </w:r>
      <w:r w:rsidRPr="00C4057E">
        <w:rPr>
          <w:rFonts w:ascii="Arial" w:hAnsi="Arial" w:cs="Arial"/>
          <w:sz w:val="24"/>
          <w:szCs w:val="24"/>
        </w:rPr>
        <w:t xml:space="preserve">n addition to a review of the field operations groups (namely the craftworkers which includes positions for line workers, substation workers, and transmission maintenance workers), the auditors included a review of all other support groups that were peripherally involved with field operations.  </w:t>
      </w:r>
      <w:r w:rsidR="008E0917">
        <w:rPr>
          <w:rFonts w:ascii="Arial" w:hAnsi="Arial" w:cs="Arial"/>
          <w:sz w:val="24"/>
          <w:szCs w:val="24"/>
        </w:rPr>
        <w:t>The support groups</w:t>
      </w:r>
      <w:r w:rsidR="008E0917" w:rsidRPr="00C4057E">
        <w:rPr>
          <w:rFonts w:ascii="Arial" w:hAnsi="Arial" w:cs="Arial"/>
          <w:sz w:val="24"/>
          <w:szCs w:val="24"/>
        </w:rPr>
        <w:t xml:space="preserve"> </w:t>
      </w:r>
      <w:r w:rsidRPr="00C4057E">
        <w:rPr>
          <w:rFonts w:ascii="Arial" w:hAnsi="Arial" w:cs="Arial"/>
          <w:sz w:val="24"/>
          <w:szCs w:val="24"/>
        </w:rPr>
        <w:t xml:space="preserve">included employees from asset management, claims, customer support, meter reading, meter services, garage, administration, dispatching, engineering, facility services, forestry, and human resources.  This extended review was included to determine if relatively high overtime levels existed company-wide or was an isolated issue for the field operations groups.  </w:t>
      </w:r>
    </w:p>
    <w:p w14:paraId="6F8ECDB1" w14:textId="77777777" w:rsidR="008E0917" w:rsidRDefault="008E0917" w:rsidP="00C4057E">
      <w:pPr>
        <w:spacing w:after="0" w:line="240" w:lineRule="auto"/>
        <w:ind w:firstLine="720"/>
        <w:rPr>
          <w:rFonts w:ascii="Arial" w:hAnsi="Arial" w:cs="Arial"/>
          <w:sz w:val="24"/>
          <w:szCs w:val="24"/>
        </w:rPr>
      </w:pPr>
    </w:p>
    <w:p w14:paraId="5475E3A1" w14:textId="77777777" w:rsidR="008E0917" w:rsidRDefault="00C4057E" w:rsidP="00C4057E">
      <w:pPr>
        <w:spacing w:after="0" w:line="240" w:lineRule="auto"/>
        <w:ind w:firstLine="720"/>
        <w:rPr>
          <w:rFonts w:ascii="Arial" w:hAnsi="Arial" w:cs="Arial"/>
          <w:sz w:val="24"/>
          <w:szCs w:val="24"/>
        </w:rPr>
      </w:pPr>
      <w:r w:rsidRPr="00C4057E">
        <w:rPr>
          <w:rFonts w:ascii="Arial" w:hAnsi="Arial" w:cs="Arial"/>
          <w:sz w:val="24"/>
          <w:szCs w:val="24"/>
        </w:rPr>
        <w:t xml:space="preserve">A total of approximately 190 departments were reviewed.  The majority of departments incurring overtime of at least 15% were in the field operations groups staffed with line workers.  </w:t>
      </w:r>
      <w:r w:rsidR="008E0917">
        <w:rPr>
          <w:rFonts w:ascii="Arial" w:hAnsi="Arial" w:cs="Arial"/>
          <w:sz w:val="24"/>
          <w:szCs w:val="24"/>
        </w:rPr>
        <w:t>T</w:t>
      </w:r>
      <w:r w:rsidRPr="00C4057E">
        <w:rPr>
          <w:rFonts w:ascii="Arial" w:hAnsi="Arial" w:cs="Arial"/>
          <w:sz w:val="24"/>
          <w:szCs w:val="24"/>
        </w:rPr>
        <w:t xml:space="preserve">here was also a notable portion of departments staffed with substation workers and transmission maintenance that experienced high overtime levels, though not to the extent as the line workers.  There were other departments that occasionally experienced overtime levels over 15% (e.g., garage workers, etc.), but not to </w:t>
      </w:r>
      <w:r w:rsidR="008E0917" w:rsidRPr="00C4057E">
        <w:rPr>
          <w:rFonts w:ascii="Arial" w:hAnsi="Arial" w:cs="Arial"/>
          <w:sz w:val="24"/>
          <w:szCs w:val="24"/>
        </w:rPr>
        <w:t>a considerable extent</w:t>
      </w:r>
      <w:r w:rsidRPr="00C4057E">
        <w:rPr>
          <w:rFonts w:ascii="Arial" w:hAnsi="Arial" w:cs="Arial"/>
          <w:sz w:val="24"/>
          <w:szCs w:val="24"/>
        </w:rPr>
        <w:t xml:space="preserve">.  </w:t>
      </w:r>
    </w:p>
    <w:p w14:paraId="49AA79B8" w14:textId="77777777" w:rsidR="008E0917" w:rsidRDefault="008E0917" w:rsidP="00C4057E">
      <w:pPr>
        <w:spacing w:after="0" w:line="240" w:lineRule="auto"/>
        <w:ind w:firstLine="720"/>
        <w:rPr>
          <w:rFonts w:ascii="Arial" w:hAnsi="Arial" w:cs="Arial"/>
          <w:sz w:val="24"/>
          <w:szCs w:val="24"/>
        </w:rPr>
      </w:pPr>
    </w:p>
    <w:p w14:paraId="2C0C66B4" w14:textId="77777777" w:rsidR="00C47227" w:rsidRDefault="00C4057E" w:rsidP="00C47227">
      <w:pPr>
        <w:spacing w:after="0" w:line="240" w:lineRule="auto"/>
        <w:ind w:firstLine="720"/>
        <w:rPr>
          <w:rFonts w:ascii="Arial" w:hAnsi="Arial" w:cs="Arial"/>
          <w:sz w:val="24"/>
          <w:szCs w:val="24"/>
        </w:rPr>
      </w:pPr>
      <w:r w:rsidRPr="00C4057E">
        <w:rPr>
          <w:rFonts w:ascii="Arial" w:hAnsi="Arial" w:cs="Arial"/>
          <w:sz w:val="24"/>
          <w:szCs w:val="24"/>
        </w:rPr>
        <w:t xml:space="preserve">Exhibit VII-4 shows the results of this analysis, displaying the number of departments with over 15% overtime at the </w:t>
      </w:r>
      <w:r w:rsidR="00DC3D9B">
        <w:rPr>
          <w:rFonts w:ascii="Arial" w:hAnsi="Arial" w:cs="Arial"/>
          <w:sz w:val="24"/>
          <w:szCs w:val="24"/>
        </w:rPr>
        <w:t>FE-PA companies</w:t>
      </w:r>
      <w:r w:rsidRPr="00C4057E">
        <w:rPr>
          <w:rFonts w:ascii="Arial" w:hAnsi="Arial" w:cs="Arial"/>
          <w:sz w:val="24"/>
          <w:szCs w:val="24"/>
        </w:rPr>
        <w:t xml:space="preserve"> from 2014 to 2017, and the maximum overtime experienced by a department for that year.  Annually, there were 46 to 56 departments that had overtime levels over 15% with at least one department over 30% every year for at least one of the </w:t>
      </w:r>
      <w:r w:rsidR="00DC3D9B">
        <w:rPr>
          <w:rFonts w:ascii="Arial" w:hAnsi="Arial" w:cs="Arial"/>
          <w:sz w:val="24"/>
          <w:szCs w:val="24"/>
        </w:rPr>
        <w:t>FE-PA companies</w:t>
      </w:r>
      <w:r w:rsidRPr="00C4057E">
        <w:rPr>
          <w:rFonts w:ascii="Arial" w:hAnsi="Arial" w:cs="Arial"/>
          <w:sz w:val="24"/>
          <w:szCs w:val="24"/>
        </w:rPr>
        <w:t>.  The highest experienced overtime rate for a department in this timeframe was 39.3%.  Overall the extremes of the highest overtime experienced by department has increased for Met-Ed (from 34% in 2012 to 37% in 2014), Penelec (from 38% in 2011 to 39% in 2014), and West Penn Power (from 33% in 2010 to 37% in 2016) from the management audit review to the current review and the average highs experienced for all four distribution companies increased as well (from 27% to 35% for Met-Ed, from 29% to 32% for Penelec, from 25% to 27% for Penn Power, and from 27% to 29% for West Penn Power).</w:t>
      </w:r>
      <w:bookmarkStart w:id="16" w:name="_Hlk512255143"/>
    </w:p>
    <w:p w14:paraId="72CCDF94" w14:textId="77777777" w:rsidR="00C47227" w:rsidRDefault="00C47227" w:rsidP="00C47227">
      <w:pPr>
        <w:spacing w:after="0" w:line="240" w:lineRule="auto"/>
        <w:ind w:firstLine="720"/>
        <w:rPr>
          <w:rFonts w:ascii="Arial" w:hAnsi="Arial" w:cs="Arial"/>
          <w:b/>
          <w:sz w:val="24"/>
          <w:szCs w:val="24"/>
        </w:rPr>
      </w:pPr>
    </w:p>
    <w:p w14:paraId="38AA28F4" w14:textId="77777777" w:rsidR="000D0CE2" w:rsidRDefault="000D0CE2">
      <w:pPr>
        <w:rPr>
          <w:rFonts w:ascii="Arial" w:hAnsi="Arial" w:cs="Arial"/>
          <w:b/>
          <w:sz w:val="24"/>
          <w:szCs w:val="24"/>
        </w:rPr>
      </w:pPr>
      <w:r>
        <w:rPr>
          <w:rFonts w:ascii="Arial" w:hAnsi="Arial" w:cs="Arial"/>
          <w:b/>
          <w:sz w:val="24"/>
          <w:szCs w:val="24"/>
        </w:rPr>
        <w:br w:type="page"/>
      </w:r>
    </w:p>
    <w:p w14:paraId="72F1D99A" w14:textId="77777777" w:rsidR="00C4057E" w:rsidRPr="00C4057E" w:rsidRDefault="00C4057E" w:rsidP="005676E2">
      <w:pPr>
        <w:spacing w:after="0" w:line="240" w:lineRule="auto"/>
        <w:ind w:firstLine="720"/>
        <w:jc w:val="center"/>
        <w:rPr>
          <w:rFonts w:ascii="Arial" w:hAnsi="Arial" w:cs="Arial"/>
          <w:b/>
          <w:sz w:val="24"/>
          <w:szCs w:val="24"/>
        </w:rPr>
      </w:pPr>
      <w:r w:rsidRPr="00C4057E">
        <w:rPr>
          <w:rFonts w:ascii="Arial" w:hAnsi="Arial" w:cs="Arial"/>
          <w:b/>
          <w:sz w:val="24"/>
          <w:szCs w:val="24"/>
        </w:rPr>
        <w:t>Exhibit VII – 4</w:t>
      </w:r>
    </w:p>
    <w:p w14:paraId="4335D54B" w14:textId="77777777" w:rsidR="00C4057E" w:rsidRPr="00C4057E" w:rsidRDefault="00C4057E" w:rsidP="00C4057E">
      <w:pPr>
        <w:widowControl w:val="0"/>
        <w:spacing w:after="0" w:line="240" w:lineRule="auto"/>
        <w:jc w:val="center"/>
        <w:rPr>
          <w:rFonts w:ascii="Arial" w:hAnsi="Arial" w:cs="Arial"/>
          <w:b/>
          <w:sz w:val="24"/>
          <w:szCs w:val="24"/>
        </w:rPr>
      </w:pPr>
      <w:bookmarkStart w:id="17" w:name="_Hlk512324911"/>
      <w:r w:rsidRPr="00C4057E">
        <w:rPr>
          <w:rFonts w:ascii="Arial" w:hAnsi="Arial" w:cs="Arial"/>
          <w:b/>
          <w:sz w:val="24"/>
          <w:szCs w:val="24"/>
        </w:rPr>
        <w:t>FirstEnergy Pennsylvania Companies</w:t>
      </w:r>
    </w:p>
    <w:bookmarkEnd w:id="17"/>
    <w:p w14:paraId="03446AE7"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Number of Field Operations Departments with Overtime Levels Exceeding 15% And the Maximum Overtime Level Experienced by a Department</w:t>
      </w:r>
    </w:p>
    <w:p w14:paraId="72C5CC6C" w14:textId="77777777" w:rsidR="00C4057E" w:rsidRPr="00C4057E" w:rsidRDefault="00C4057E" w:rsidP="00C4057E">
      <w:pPr>
        <w:spacing w:after="0" w:line="240" w:lineRule="auto"/>
        <w:jc w:val="center"/>
        <w:rPr>
          <w:rFonts w:ascii="Arial" w:hAnsi="Arial" w:cs="Arial"/>
          <w:b/>
          <w:sz w:val="24"/>
          <w:szCs w:val="24"/>
        </w:rPr>
      </w:pPr>
      <w:r w:rsidRPr="00C4057E">
        <w:rPr>
          <w:rFonts w:ascii="Arial" w:hAnsi="Arial" w:cs="Arial"/>
          <w:b/>
          <w:sz w:val="24"/>
          <w:szCs w:val="24"/>
        </w:rPr>
        <w:t>For Years 2014 through 2017</w:t>
      </w:r>
      <w:bookmarkEnd w:id="16"/>
    </w:p>
    <w:p w14:paraId="29404765" w14:textId="77777777" w:rsidR="00C4057E" w:rsidRPr="00C4057E" w:rsidRDefault="00C4057E" w:rsidP="00C4057E">
      <w:pPr>
        <w:spacing w:after="0" w:line="240" w:lineRule="auto"/>
        <w:jc w:val="center"/>
        <w:rPr>
          <w:rFonts w:ascii="Arial" w:hAnsi="Arial" w:cs="Arial"/>
          <w:sz w:val="8"/>
          <w:szCs w:val="8"/>
        </w:rPr>
      </w:pPr>
    </w:p>
    <w:tbl>
      <w:tblPr>
        <w:tblW w:w="10951" w:type="dxa"/>
        <w:jc w:val="center"/>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871"/>
        <w:gridCol w:w="1260"/>
        <w:gridCol w:w="1260"/>
        <w:gridCol w:w="1260"/>
        <w:gridCol w:w="1222"/>
        <w:gridCol w:w="1298"/>
        <w:gridCol w:w="1260"/>
        <w:gridCol w:w="1260"/>
        <w:gridCol w:w="1260"/>
      </w:tblGrid>
      <w:tr w:rsidR="002E6BC4" w:rsidRPr="00C4057E" w14:paraId="3DD71A1F" w14:textId="77777777" w:rsidTr="000C0479">
        <w:trPr>
          <w:trHeight w:val="20"/>
          <w:jc w:val="center"/>
        </w:trPr>
        <w:tc>
          <w:tcPr>
            <w:tcW w:w="871" w:type="dxa"/>
            <w:vMerge w:val="restart"/>
            <w:tcBorders>
              <w:top w:val="single" w:sz="18" w:space="0" w:color="auto"/>
              <w:left w:val="single" w:sz="18" w:space="0" w:color="auto"/>
              <w:bottom w:val="nil"/>
              <w:right w:val="single" w:sz="18" w:space="0" w:color="auto"/>
            </w:tcBorders>
            <w:shd w:val="clear" w:color="auto" w:fill="auto"/>
            <w:noWrap/>
            <w:vAlign w:val="bottom"/>
          </w:tcPr>
          <w:p w14:paraId="21FFB759" w14:textId="77777777" w:rsidR="00C4057E" w:rsidRPr="00C4057E" w:rsidRDefault="00C4057E" w:rsidP="00C4057E">
            <w:pPr>
              <w:spacing w:after="0" w:line="240" w:lineRule="auto"/>
              <w:rPr>
                <w:rFonts w:ascii="Arial" w:eastAsia="Times New Roman" w:hAnsi="Arial" w:cs="Arial"/>
                <w:color w:val="000000"/>
                <w:sz w:val="18"/>
                <w:szCs w:val="18"/>
              </w:rPr>
            </w:pPr>
            <w:r w:rsidRPr="00C4057E">
              <w:rPr>
                <w:rFonts w:ascii="Arial" w:eastAsia="Times New Roman" w:hAnsi="Arial" w:cs="Arial"/>
                <w:color w:val="000000"/>
                <w:sz w:val="18"/>
                <w:szCs w:val="18"/>
              </w:rPr>
              <w:t> </w:t>
            </w:r>
          </w:p>
        </w:tc>
        <w:tc>
          <w:tcPr>
            <w:tcW w:w="2520" w:type="dxa"/>
            <w:gridSpan w:val="2"/>
            <w:tcBorders>
              <w:top w:val="single" w:sz="18" w:space="0" w:color="auto"/>
              <w:left w:val="single" w:sz="18" w:space="0" w:color="auto"/>
              <w:bottom w:val="single" w:sz="18" w:space="0" w:color="auto"/>
              <w:right w:val="single" w:sz="18" w:space="0" w:color="auto"/>
            </w:tcBorders>
            <w:shd w:val="clear" w:color="000000" w:fill="C00000"/>
            <w:noWrap/>
            <w:vAlign w:val="center"/>
          </w:tcPr>
          <w:p w14:paraId="6A299A03" w14:textId="77777777" w:rsidR="00C4057E" w:rsidRPr="00C4057E" w:rsidRDefault="00C4057E" w:rsidP="00C4057E">
            <w:pPr>
              <w:spacing w:after="0" w:line="240" w:lineRule="auto"/>
              <w:jc w:val="center"/>
              <w:rPr>
                <w:rFonts w:ascii="Arial" w:eastAsia="Times New Roman" w:hAnsi="Arial" w:cs="Arial"/>
                <w:b/>
                <w:color w:val="FFFFFF"/>
                <w:sz w:val="18"/>
                <w:szCs w:val="18"/>
              </w:rPr>
            </w:pPr>
            <w:r w:rsidRPr="00C4057E">
              <w:rPr>
                <w:rFonts w:ascii="Arial" w:eastAsia="Times New Roman" w:hAnsi="Arial" w:cs="Arial"/>
                <w:b/>
                <w:color w:val="FFFFFF"/>
                <w:sz w:val="18"/>
                <w:szCs w:val="18"/>
              </w:rPr>
              <w:t>2014</w:t>
            </w:r>
          </w:p>
        </w:tc>
        <w:tc>
          <w:tcPr>
            <w:tcW w:w="2482" w:type="dxa"/>
            <w:gridSpan w:val="2"/>
            <w:tcBorders>
              <w:top w:val="single" w:sz="18" w:space="0" w:color="auto"/>
              <w:left w:val="single" w:sz="18" w:space="0" w:color="auto"/>
              <w:bottom w:val="single" w:sz="18" w:space="0" w:color="auto"/>
              <w:right w:val="single" w:sz="18" w:space="0" w:color="auto"/>
            </w:tcBorders>
            <w:shd w:val="clear" w:color="000000" w:fill="C00000"/>
            <w:noWrap/>
            <w:vAlign w:val="center"/>
          </w:tcPr>
          <w:p w14:paraId="59064645" w14:textId="77777777" w:rsidR="00C4057E" w:rsidRPr="00C4057E" w:rsidRDefault="00C4057E" w:rsidP="00C4057E">
            <w:pPr>
              <w:spacing w:after="0" w:line="240" w:lineRule="auto"/>
              <w:jc w:val="center"/>
              <w:rPr>
                <w:rFonts w:ascii="Arial" w:eastAsia="Times New Roman" w:hAnsi="Arial" w:cs="Arial"/>
                <w:b/>
                <w:color w:val="FFFFFF"/>
                <w:sz w:val="18"/>
                <w:szCs w:val="18"/>
              </w:rPr>
            </w:pPr>
            <w:r w:rsidRPr="00C4057E">
              <w:rPr>
                <w:rFonts w:ascii="Arial" w:eastAsia="Times New Roman" w:hAnsi="Arial" w:cs="Arial"/>
                <w:b/>
                <w:color w:val="FFFFFF"/>
                <w:sz w:val="18"/>
                <w:szCs w:val="18"/>
              </w:rPr>
              <w:t>2015</w:t>
            </w:r>
          </w:p>
        </w:tc>
        <w:tc>
          <w:tcPr>
            <w:tcW w:w="2558" w:type="dxa"/>
            <w:gridSpan w:val="2"/>
            <w:tcBorders>
              <w:top w:val="single" w:sz="18" w:space="0" w:color="auto"/>
              <w:left w:val="single" w:sz="18" w:space="0" w:color="auto"/>
              <w:bottom w:val="single" w:sz="18" w:space="0" w:color="auto"/>
              <w:right w:val="single" w:sz="18" w:space="0" w:color="auto"/>
            </w:tcBorders>
            <w:shd w:val="clear" w:color="000000" w:fill="C00000"/>
            <w:noWrap/>
            <w:vAlign w:val="center"/>
          </w:tcPr>
          <w:p w14:paraId="60C2B575" w14:textId="77777777" w:rsidR="00C4057E" w:rsidRPr="00C4057E" w:rsidRDefault="00C4057E" w:rsidP="00C4057E">
            <w:pPr>
              <w:spacing w:after="0" w:line="240" w:lineRule="auto"/>
              <w:jc w:val="center"/>
              <w:rPr>
                <w:rFonts w:ascii="Arial" w:eastAsia="Times New Roman" w:hAnsi="Arial" w:cs="Arial"/>
                <w:b/>
                <w:color w:val="FFFFFF"/>
                <w:sz w:val="18"/>
                <w:szCs w:val="18"/>
              </w:rPr>
            </w:pPr>
            <w:r w:rsidRPr="00C4057E">
              <w:rPr>
                <w:rFonts w:ascii="Arial" w:eastAsia="Times New Roman" w:hAnsi="Arial" w:cs="Arial"/>
                <w:b/>
                <w:color w:val="FFFFFF"/>
                <w:sz w:val="18"/>
                <w:szCs w:val="18"/>
              </w:rPr>
              <w:t>2016</w:t>
            </w:r>
          </w:p>
        </w:tc>
        <w:tc>
          <w:tcPr>
            <w:tcW w:w="2520" w:type="dxa"/>
            <w:gridSpan w:val="2"/>
            <w:tcBorders>
              <w:top w:val="single" w:sz="18" w:space="0" w:color="auto"/>
              <w:left w:val="single" w:sz="18" w:space="0" w:color="auto"/>
              <w:bottom w:val="single" w:sz="18" w:space="0" w:color="auto"/>
              <w:right w:val="single" w:sz="18" w:space="0" w:color="auto"/>
            </w:tcBorders>
            <w:shd w:val="clear" w:color="000000" w:fill="C00000"/>
            <w:noWrap/>
            <w:vAlign w:val="center"/>
          </w:tcPr>
          <w:p w14:paraId="28B83507" w14:textId="77777777" w:rsidR="00C4057E" w:rsidRPr="00C4057E" w:rsidRDefault="00C4057E" w:rsidP="00C4057E">
            <w:pPr>
              <w:spacing w:after="0" w:line="240" w:lineRule="auto"/>
              <w:jc w:val="center"/>
              <w:rPr>
                <w:rFonts w:ascii="Arial" w:eastAsia="Times New Roman" w:hAnsi="Arial" w:cs="Arial"/>
                <w:b/>
                <w:color w:val="FFFFFF"/>
                <w:sz w:val="18"/>
                <w:szCs w:val="18"/>
              </w:rPr>
            </w:pPr>
            <w:r w:rsidRPr="00C4057E">
              <w:rPr>
                <w:rFonts w:ascii="Arial" w:eastAsia="Times New Roman" w:hAnsi="Arial" w:cs="Arial"/>
                <w:b/>
                <w:color w:val="FFFFFF"/>
                <w:sz w:val="18"/>
                <w:szCs w:val="18"/>
              </w:rPr>
              <w:t>2017</w:t>
            </w:r>
          </w:p>
        </w:tc>
      </w:tr>
      <w:tr w:rsidR="002E6BC4" w:rsidRPr="00C4057E" w14:paraId="4AB48A0E" w14:textId="77777777" w:rsidTr="000C0479">
        <w:trPr>
          <w:trHeight w:val="20"/>
          <w:jc w:val="center"/>
        </w:trPr>
        <w:tc>
          <w:tcPr>
            <w:tcW w:w="871" w:type="dxa"/>
            <w:vMerge/>
            <w:tcBorders>
              <w:top w:val="nil"/>
              <w:left w:val="single" w:sz="18" w:space="0" w:color="auto"/>
              <w:bottom w:val="nil"/>
              <w:right w:val="single" w:sz="18" w:space="0" w:color="auto"/>
            </w:tcBorders>
            <w:shd w:val="clear" w:color="auto" w:fill="auto"/>
            <w:noWrap/>
            <w:vAlign w:val="bottom"/>
            <w:hideMark/>
          </w:tcPr>
          <w:p w14:paraId="0011E32B" w14:textId="77777777" w:rsidR="00C4057E" w:rsidRPr="00C4057E" w:rsidRDefault="00C4057E" w:rsidP="00C4057E">
            <w:pPr>
              <w:spacing w:after="0" w:line="240" w:lineRule="auto"/>
              <w:rPr>
                <w:rFonts w:ascii="Arial" w:eastAsia="Times New Roman" w:hAnsi="Arial" w:cs="Arial"/>
                <w:color w:val="000000"/>
                <w:sz w:val="18"/>
                <w:szCs w:val="18"/>
              </w:rPr>
            </w:pPr>
          </w:p>
        </w:tc>
        <w:tc>
          <w:tcPr>
            <w:tcW w:w="1260" w:type="dxa"/>
            <w:tcBorders>
              <w:top w:val="single" w:sz="18" w:space="0" w:color="auto"/>
              <w:left w:val="single" w:sz="18" w:space="0" w:color="auto"/>
              <w:bottom w:val="single" w:sz="18" w:space="0" w:color="auto"/>
              <w:right w:val="single" w:sz="2" w:space="0" w:color="auto"/>
            </w:tcBorders>
            <w:shd w:val="clear" w:color="000000" w:fill="C00000"/>
            <w:noWrap/>
            <w:vAlign w:val="bottom"/>
            <w:hideMark/>
          </w:tcPr>
          <w:p w14:paraId="49449C2C" w14:textId="77777777" w:rsidR="00C4057E" w:rsidRPr="00C4057E" w:rsidRDefault="00C4057E" w:rsidP="00C4057E">
            <w:pPr>
              <w:spacing w:after="0" w:line="240" w:lineRule="auto"/>
              <w:jc w:val="center"/>
              <w:rPr>
                <w:rFonts w:ascii="Arial" w:eastAsia="Times New Roman" w:hAnsi="Arial" w:cs="Arial"/>
                <w:color w:val="FFFFFF"/>
                <w:sz w:val="18"/>
                <w:szCs w:val="18"/>
              </w:rPr>
            </w:pPr>
            <w:r w:rsidRPr="00C4057E">
              <w:rPr>
                <w:rFonts w:ascii="Arial" w:eastAsia="Times New Roman" w:hAnsi="Arial" w:cs="Arial"/>
                <w:color w:val="FFFFFF"/>
                <w:sz w:val="18"/>
                <w:szCs w:val="18"/>
              </w:rPr>
              <w:t>No. of Departments Exceeding 15% Overtime</w:t>
            </w:r>
          </w:p>
        </w:tc>
        <w:tc>
          <w:tcPr>
            <w:tcW w:w="1260" w:type="dxa"/>
            <w:tcBorders>
              <w:top w:val="single" w:sz="18" w:space="0" w:color="auto"/>
              <w:left w:val="single" w:sz="2" w:space="0" w:color="auto"/>
              <w:bottom w:val="single" w:sz="18" w:space="0" w:color="auto"/>
              <w:right w:val="single" w:sz="18" w:space="0" w:color="auto"/>
            </w:tcBorders>
            <w:shd w:val="clear" w:color="000000" w:fill="C00000"/>
            <w:noWrap/>
            <w:vAlign w:val="bottom"/>
            <w:hideMark/>
          </w:tcPr>
          <w:p w14:paraId="68281CA0" w14:textId="77777777" w:rsidR="00C4057E" w:rsidRPr="00C4057E" w:rsidRDefault="00C4057E" w:rsidP="00C4057E">
            <w:pPr>
              <w:spacing w:after="0" w:line="240" w:lineRule="auto"/>
              <w:jc w:val="center"/>
              <w:rPr>
                <w:rFonts w:ascii="Arial" w:eastAsia="Times New Roman" w:hAnsi="Arial" w:cs="Arial"/>
                <w:color w:val="FFFFFF"/>
                <w:sz w:val="18"/>
                <w:szCs w:val="18"/>
              </w:rPr>
            </w:pPr>
            <w:r w:rsidRPr="00C4057E">
              <w:rPr>
                <w:rFonts w:ascii="Arial" w:eastAsia="Times New Roman" w:hAnsi="Arial" w:cs="Arial"/>
                <w:color w:val="FFFFFF"/>
                <w:sz w:val="18"/>
                <w:szCs w:val="18"/>
              </w:rPr>
              <w:t>Maximum Overtime Level Experienced by a Department</w:t>
            </w:r>
          </w:p>
        </w:tc>
        <w:tc>
          <w:tcPr>
            <w:tcW w:w="1260" w:type="dxa"/>
            <w:tcBorders>
              <w:top w:val="single" w:sz="18" w:space="0" w:color="auto"/>
              <w:left w:val="single" w:sz="18" w:space="0" w:color="auto"/>
              <w:bottom w:val="single" w:sz="18" w:space="0" w:color="auto"/>
              <w:right w:val="single" w:sz="2" w:space="0" w:color="auto"/>
            </w:tcBorders>
            <w:shd w:val="clear" w:color="000000" w:fill="C00000"/>
            <w:noWrap/>
            <w:vAlign w:val="bottom"/>
            <w:hideMark/>
          </w:tcPr>
          <w:p w14:paraId="65DF0907" w14:textId="77777777" w:rsidR="00C4057E" w:rsidRPr="00C4057E" w:rsidRDefault="00C4057E" w:rsidP="00C4057E">
            <w:pPr>
              <w:spacing w:after="0" w:line="240" w:lineRule="auto"/>
              <w:jc w:val="center"/>
              <w:rPr>
                <w:rFonts w:ascii="Arial" w:eastAsia="Times New Roman" w:hAnsi="Arial" w:cs="Arial"/>
                <w:color w:val="FFFFFF"/>
                <w:sz w:val="18"/>
                <w:szCs w:val="18"/>
              </w:rPr>
            </w:pPr>
            <w:r w:rsidRPr="00C4057E">
              <w:rPr>
                <w:rFonts w:ascii="Arial" w:eastAsia="Times New Roman" w:hAnsi="Arial" w:cs="Arial"/>
                <w:color w:val="FFFFFF"/>
                <w:sz w:val="18"/>
                <w:szCs w:val="18"/>
              </w:rPr>
              <w:t>No. of Departments Exceeding 15% Overtime</w:t>
            </w:r>
          </w:p>
        </w:tc>
        <w:tc>
          <w:tcPr>
            <w:tcW w:w="1222" w:type="dxa"/>
            <w:tcBorders>
              <w:top w:val="single" w:sz="18" w:space="0" w:color="auto"/>
              <w:left w:val="single" w:sz="2" w:space="0" w:color="auto"/>
              <w:bottom w:val="single" w:sz="18" w:space="0" w:color="auto"/>
              <w:right w:val="single" w:sz="18" w:space="0" w:color="auto"/>
            </w:tcBorders>
            <w:shd w:val="clear" w:color="000000" w:fill="C00000"/>
            <w:noWrap/>
            <w:vAlign w:val="bottom"/>
            <w:hideMark/>
          </w:tcPr>
          <w:p w14:paraId="386A48C1" w14:textId="77777777" w:rsidR="00C4057E" w:rsidRPr="00C4057E" w:rsidRDefault="00C4057E" w:rsidP="00C4057E">
            <w:pPr>
              <w:spacing w:after="0" w:line="240" w:lineRule="auto"/>
              <w:jc w:val="center"/>
              <w:rPr>
                <w:rFonts w:ascii="Arial" w:eastAsia="Times New Roman" w:hAnsi="Arial" w:cs="Arial"/>
                <w:color w:val="FFFFFF"/>
                <w:sz w:val="18"/>
                <w:szCs w:val="18"/>
              </w:rPr>
            </w:pPr>
            <w:r w:rsidRPr="00C4057E">
              <w:rPr>
                <w:rFonts w:ascii="Arial" w:eastAsia="Times New Roman" w:hAnsi="Arial" w:cs="Arial"/>
                <w:color w:val="FFFFFF"/>
                <w:sz w:val="18"/>
                <w:szCs w:val="18"/>
              </w:rPr>
              <w:t>Maximum Overtime Level Experienced by a Department</w:t>
            </w:r>
          </w:p>
        </w:tc>
        <w:tc>
          <w:tcPr>
            <w:tcW w:w="1298" w:type="dxa"/>
            <w:tcBorders>
              <w:top w:val="single" w:sz="18" w:space="0" w:color="auto"/>
              <w:left w:val="single" w:sz="18" w:space="0" w:color="auto"/>
              <w:bottom w:val="single" w:sz="18" w:space="0" w:color="auto"/>
              <w:right w:val="single" w:sz="2" w:space="0" w:color="auto"/>
            </w:tcBorders>
            <w:shd w:val="clear" w:color="000000" w:fill="C00000"/>
            <w:noWrap/>
            <w:vAlign w:val="bottom"/>
            <w:hideMark/>
          </w:tcPr>
          <w:p w14:paraId="6075ED93" w14:textId="77777777" w:rsidR="00C4057E" w:rsidRPr="00C4057E" w:rsidRDefault="00C4057E" w:rsidP="00C4057E">
            <w:pPr>
              <w:spacing w:after="0" w:line="240" w:lineRule="auto"/>
              <w:jc w:val="center"/>
              <w:rPr>
                <w:rFonts w:ascii="Arial" w:eastAsia="Times New Roman" w:hAnsi="Arial" w:cs="Arial"/>
                <w:color w:val="FFFFFF"/>
                <w:sz w:val="18"/>
                <w:szCs w:val="18"/>
              </w:rPr>
            </w:pPr>
            <w:r w:rsidRPr="00C4057E">
              <w:rPr>
                <w:rFonts w:ascii="Arial" w:eastAsia="Times New Roman" w:hAnsi="Arial" w:cs="Arial"/>
                <w:color w:val="FFFFFF"/>
                <w:sz w:val="18"/>
                <w:szCs w:val="18"/>
              </w:rPr>
              <w:t>No. of Departments Exceeding 15% Overtime</w:t>
            </w:r>
          </w:p>
        </w:tc>
        <w:tc>
          <w:tcPr>
            <w:tcW w:w="1260" w:type="dxa"/>
            <w:tcBorders>
              <w:top w:val="single" w:sz="18" w:space="0" w:color="auto"/>
              <w:left w:val="single" w:sz="2" w:space="0" w:color="auto"/>
              <w:bottom w:val="single" w:sz="18" w:space="0" w:color="auto"/>
              <w:right w:val="single" w:sz="18" w:space="0" w:color="auto"/>
            </w:tcBorders>
            <w:shd w:val="clear" w:color="000000" w:fill="C00000"/>
            <w:noWrap/>
            <w:vAlign w:val="bottom"/>
            <w:hideMark/>
          </w:tcPr>
          <w:p w14:paraId="27281BF6" w14:textId="77777777" w:rsidR="00C4057E" w:rsidRPr="00C4057E" w:rsidRDefault="00C4057E" w:rsidP="00C4057E">
            <w:pPr>
              <w:spacing w:after="0" w:line="240" w:lineRule="auto"/>
              <w:jc w:val="center"/>
              <w:rPr>
                <w:rFonts w:ascii="Arial" w:eastAsia="Times New Roman" w:hAnsi="Arial" w:cs="Arial"/>
                <w:color w:val="FFFFFF"/>
                <w:sz w:val="18"/>
                <w:szCs w:val="18"/>
              </w:rPr>
            </w:pPr>
            <w:r w:rsidRPr="00C4057E">
              <w:rPr>
                <w:rFonts w:ascii="Arial" w:eastAsia="Times New Roman" w:hAnsi="Arial" w:cs="Arial"/>
                <w:color w:val="FFFFFF"/>
                <w:sz w:val="18"/>
                <w:szCs w:val="18"/>
              </w:rPr>
              <w:t>Maximum Overtime Level Experienced by a Department</w:t>
            </w:r>
          </w:p>
        </w:tc>
        <w:tc>
          <w:tcPr>
            <w:tcW w:w="1260" w:type="dxa"/>
            <w:tcBorders>
              <w:top w:val="single" w:sz="18" w:space="0" w:color="auto"/>
              <w:left w:val="single" w:sz="18" w:space="0" w:color="auto"/>
              <w:bottom w:val="single" w:sz="18" w:space="0" w:color="auto"/>
              <w:right w:val="single" w:sz="2" w:space="0" w:color="auto"/>
            </w:tcBorders>
            <w:shd w:val="clear" w:color="000000" w:fill="C00000"/>
            <w:noWrap/>
            <w:vAlign w:val="bottom"/>
            <w:hideMark/>
          </w:tcPr>
          <w:p w14:paraId="48C57400" w14:textId="77777777" w:rsidR="00C4057E" w:rsidRPr="00C4057E" w:rsidRDefault="00C4057E" w:rsidP="00C4057E">
            <w:pPr>
              <w:spacing w:after="0" w:line="240" w:lineRule="auto"/>
              <w:jc w:val="center"/>
              <w:rPr>
                <w:rFonts w:ascii="Arial" w:eastAsia="Times New Roman" w:hAnsi="Arial" w:cs="Arial"/>
                <w:color w:val="FFFFFF"/>
                <w:sz w:val="18"/>
                <w:szCs w:val="18"/>
              </w:rPr>
            </w:pPr>
            <w:r w:rsidRPr="00C4057E">
              <w:rPr>
                <w:rFonts w:ascii="Arial" w:eastAsia="Times New Roman" w:hAnsi="Arial" w:cs="Arial"/>
                <w:color w:val="FFFFFF"/>
                <w:sz w:val="18"/>
                <w:szCs w:val="18"/>
              </w:rPr>
              <w:t>No. of Departments Exceeding 15% Overtime</w:t>
            </w:r>
          </w:p>
        </w:tc>
        <w:tc>
          <w:tcPr>
            <w:tcW w:w="1260" w:type="dxa"/>
            <w:tcBorders>
              <w:top w:val="single" w:sz="18" w:space="0" w:color="auto"/>
              <w:left w:val="single" w:sz="2" w:space="0" w:color="auto"/>
              <w:bottom w:val="single" w:sz="18" w:space="0" w:color="auto"/>
              <w:right w:val="single" w:sz="18" w:space="0" w:color="auto"/>
            </w:tcBorders>
            <w:shd w:val="clear" w:color="000000" w:fill="C00000"/>
            <w:noWrap/>
            <w:vAlign w:val="bottom"/>
            <w:hideMark/>
          </w:tcPr>
          <w:p w14:paraId="59FFF05A" w14:textId="77777777" w:rsidR="00C4057E" w:rsidRPr="00C4057E" w:rsidRDefault="00C4057E" w:rsidP="00C4057E">
            <w:pPr>
              <w:spacing w:after="0" w:line="240" w:lineRule="auto"/>
              <w:jc w:val="center"/>
              <w:rPr>
                <w:rFonts w:ascii="Arial" w:eastAsia="Times New Roman" w:hAnsi="Arial" w:cs="Arial"/>
                <w:color w:val="FFFFFF"/>
                <w:sz w:val="18"/>
                <w:szCs w:val="18"/>
              </w:rPr>
            </w:pPr>
            <w:r w:rsidRPr="00C4057E">
              <w:rPr>
                <w:rFonts w:ascii="Arial" w:eastAsia="Times New Roman" w:hAnsi="Arial" w:cs="Arial"/>
                <w:color w:val="FFFFFF"/>
                <w:sz w:val="18"/>
                <w:szCs w:val="18"/>
              </w:rPr>
              <w:t>Maximum Overtime Level Experienced by a Department</w:t>
            </w:r>
          </w:p>
        </w:tc>
      </w:tr>
      <w:tr w:rsidR="00C4057E" w:rsidRPr="00C4057E" w14:paraId="5F27DB51" w14:textId="77777777" w:rsidTr="000C0479">
        <w:trPr>
          <w:trHeight w:val="576"/>
          <w:jc w:val="center"/>
        </w:trPr>
        <w:tc>
          <w:tcPr>
            <w:tcW w:w="871" w:type="dxa"/>
            <w:tcBorders>
              <w:top w:val="nil"/>
              <w:left w:val="single" w:sz="18" w:space="0" w:color="auto"/>
              <w:bottom w:val="nil"/>
              <w:right w:val="single" w:sz="18" w:space="0" w:color="auto"/>
            </w:tcBorders>
            <w:shd w:val="clear" w:color="auto" w:fill="auto"/>
            <w:noWrap/>
            <w:vAlign w:val="center"/>
            <w:hideMark/>
          </w:tcPr>
          <w:p w14:paraId="0B21215E" w14:textId="77777777" w:rsidR="000C0479" w:rsidRPr="00C4057E" w:rsidRDefault="00C4057E" w:rsidP="000C0479">
            <w:pPr>
              <w:spacing w:after="0" w:line="240" w:lineRule="auto"/>
              <w:rPr>
                <w:rFonts w:ascii="Arial" w:eastAsia="Times New Roman" w:hAnsi="Arial" w:cs="Arial"/>
                <w:sz w:val="18"/>
                <w:szCs w:val="18"/>
              </w:rPr>
            </w:pPr>
            <w:r w:rsidRPr="00C4057E">
              <w:rPr>
                <w:rFonts w:ascii="Arial" w:eastAsia="Times New Roman" w:hAnsi="Arial" w:cs="Arial"/>
                <w:sz w:val="18"/>
                <w:szCs w:val="18"/>
              </w:rPr>
              <w:t>Met-Ed</w:t>
            </w:r>
          </w:p>
        </w:tc>
        <w:tc>
          <w:tcPr>
            <w:tcW w:w="1260" w:type="dxa"/>
            <w:tcBorders>
              <w:top w:val="single" w:sz="18" w:space="0" w:color="auto"/>
              <w:left w:val="single" w:sz="18" w:space="0" w:color="auto"/>
              <w:bottom w:val="nil"/>
              <w:right w:val="single" w:sz="2" w:space="0" w:color="auto"/>
            </w:tcBorders>
            <w:shd w:val="clear" w:color="auto" w:fill="auto"/>
            <w:noWrap/>
            <w:vAlign w:val="center"/>
            <w:hideMark/>
          </w:tcPr>
          <w:p w14:paraId="1109C44E" w14:textId="77777777" w:rsidR="00C4057E" w:rsidRPr="00C4057E" w:rsidRDefault="00C4057E" w:rsidP="000C0479">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8</w:t>
            </w:r>
          </w:p>
        </w:tc>
        <w:tc>
          <w:tcPr>
            <w:tcW w:w="1260" w:type="dxa"/>
            <w:tcBorders>
              <w:top w:val="single" w:sz="18" w:space="0" w:color="auto"/>
              <w:left w:val="single" w:sz="2" w:space="0" w:color="auto"/>
              <w:bottom w:val="nil"/>
              <w:right w:val="single" w:sz="18" w:space="0" w:color="auto"/>
            </w:tcBorders>
            <w:shd w:val="clear" w:color="auto" w:fill="auto"/>
            <w:noWrap/>
            <w:vAlign w:val="center"/>
            <w:hideMark/>
          </w:tcPr>
          <w:p w14:paraId="3EBC9DCE" w14:textId="77777777" w:rsidR="00C4057E" w:rsidRPr="00C4057E" w:rsidRDefault="00C4057E" w:rsidP="000C0479">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36.8%</w:t>
            </w:r>
          </w:p>
        </w:tc>
        <w:tc>
          <w:tcPr>
            <w:tcW w:w="1260" w:type="dxa"/>
            <w:tcBorders>
              <w:top w:val="single" w:sz="18" w:space="0" w:color="auto"/>
              <w:left w:val="single" w:sz="18" w:space="0" w:color="auto"/>
              <w:bottom w:val="nil"/>
              <w:right w:val="single" w:sz="2" w:space="0" w:color="auto"/>
            </w:tcBorders>
            <w:shd w:val="clear" w:color="auto" w:fill="auto"/>
            <w:noWrap/>
            <w:vAlign w:val="center"/>
            <w:hideMark/>
          </w:tcPr>
          <w:p w14:paraId="64FECDE3" w14:textId="77777777" w:rsidR="00C4057E" w:rsidRPr="00C4057E" w:rsidRDefault="00C4057E" w:rsidP="000C0479">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8</w:t>
            </w:r>
          </w:p>
        </w:tc>
        <w:tc>
          <w:tcPr>
            <w:tcW w:w="1222" w:type="dxa"/>
            <w:tcBorders>
              <w:top w:val="single" w:sz="18" w:space="0" w:color="auto"/>
              <w:left w:val="single" w:sz="2" w:space="0" w:color="auto"/>
              <w:bottom w:val="nil"/>
              <w:right w:val="single" w:sz="18" w:space="0" w:color="auto"/>
            </w:tcBorders>
            <w:shd w:val="clear" w:color="auto" w:fill="auto"/>
            <w:noWrap/>
            <w:vAlign w:val="center"/>
            <w:hideMark/>
          </w:tcPr>
          <w:p w14:paraId="1E2D6671" w14:textId="77777777" w:rsidR="00C4057E" w:rsidRPr="00C4057E" w:rsidRDefault="00C4057E" w:rsidP="000C0479">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32.7%</w:t>
            </w:r>
          </w:p>
        </w:tc>
        <w:tc>
          <w:tcPr>
            <w:tcW w:w="1298" w:type="dxa"/>
            <w:tcBorders>
              <w:top w:val="single" w:sz="18" w:space="0" w:color="auto"/>
              <w:left w:val="single" w:sz="18" w:space="0" w:color="auto"/>
              <w:bottom w:val="nil"/>
              <w:right w:val="single" w:sz="2" w:space="0" w:color="auto"/>
            </w:tcBorders>
            <w:shd w:val="clear" w:color="auto" w:fill="auto"/>
            <w:noWrap/>
            <w:vAlign w:val="center"/>
            <w:hideMark/>
          </w:tcPr>
          <w:p w14:paraId="4EBFC2E2" w14:textId="77777777" w:rsidR="00C4057E" w:rsidRPr="00C4057E" w:rsidRDefault="00C4057E" w:rsidP="000C0479">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11</w:t>
            </w:r>
          </w:p>
        </w:tc>
        <w:tc>
          <w:tcPr>
            <w:tcW w:w="1260" w:type="dxa"/>
            <w:tcBorders>
              <w:top w:val="single" w:sz="18" w:space="0" w:color="auto"/>
              <w:left w:val="single" w:sz="2" w:space="0" w:color="auto"/>
              <w:bottom w:val="nil"/>
              <w:right w:val="single" w:sz="18" w:space="0" w:color="auto"/>
            </w:tcBorders>
            <w:shd w:val="clear" w:color="auto" w:fill="auto"/>
            <w:noWrap/>
            <w:vAlign w:val="center"/>
            <w:hideMark/>
          </w:tcPr>
          <w:p w14:paraId="2DA43D08" w14:textId="77777777" w:rsidR="00C4057E" w:rsidRPr="00C4057E" w:rsidRDefault="00C4057E" w:rsidP="000C0479">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32.5%</w:t>
            </w:r>
          </w:p>
        </w:tc>
        <w:tc>
          <w:tcPr>
            <w:tcW w:w="1260" w:type="dxa"/>
            <w:tcBorders>
              <w:top w:val="single" w:sz="18" w:space="0" w:color="auto"/>
              <w:left w:val="single" w:sz="18" w:space="0" w:color="auto"/>
              <w:bottom w:val="nil"/>
              <w:right w:val="single" w:sz="2" w:space="0" w:color="auto"/>
            </w:tcBorders>
            <w:shd w:val="clear" w:color="auto" w:fill="auto"/>
            <w:noWrap/>
            <w:vAlign w:val="center"/>
            <w:hideMark/>
          </w:tcPr>
          <w:p w14:paraId="10C62916" w14:textId="77777777" w:rsidR="00C4057E" w:rsidRPr="00C4057E" w:rsidRDefault="00C4057E" w:rsidP="000C0479">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12</w:t>
            </w:r>
          </w:p>
        </w:tc>
        <w:tc>
          <w:tcPr>
            <w:tcW w:w="1260" w:type="dxa"/>
            <w:tcBorders>
              <w:top w:val="single" w:sz="18" w:space="0" w:color="auto"/>
              <w:left w:val="single" w:sz="2" w:space="0" w:color="auto"/>
              <w:bottom w:val="nil"/>
              <w:right w:val="single" w:sz="18" w:space="0" w:color="auto"/>
            </w:tcBorders>
            <w:shd w:val="clear" w:color="auto" w:fill="auto"/>
            <w:noWrap/>
            <w:vAlign w:val="center"/>
            <w:hideMark/>
          </w:tcPr>
          <w:p w14:paraId="1D22E7EB" w14:textId="77777777" w:rsidR="00C4057E" w:rsidRPr="00C4057E" w:rsidRDefault="00C4057E" w:rsidP="000C0479">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34.9%</w:t>
            </w:r>
          </w:p>
        </w:tc>
      </w:tr>
      <w:tr w:rsidR="00C4057E" w:rsidRPr="00C4057E" w14:paraId="67B9C72D" w14:textId="77777777" w:rsidTr="000C0479">
        <w:trPr>
          <w:trHeight w:val="576"/>
          <w:jc w:val="center"/>
        </w:trPr>
        <w:tc>
          <w:tcPr>
            <w:tcW w:w="871" w:type="dxa"/>
            <w:tcBorders>
              <w:top w:val="nil"/>
              <w:left w:val="single" w:sz="18" w:space="0" w:color="auto"/>
              <w:bottom w:val="nil"/>
              <w:right w:val="single" w:sz="18" w:space="0" w:color="auto"/>
            </w:tcBorders>
            <w:shd w:val="clear" w:color="auto" w:fill="auto"/>
            <w:noWrap/>
            <w:vAlign w:val="center"/>
            <w:hideMark/>
          </w:tcPr>
          <w:p w14:paraId="17158E11" w14:textId="77777777" w:rsidR="000C0479" w:rsidRPr="00C4057E" w:rsidRDefault="00C4057E" w:rsidP="000C0479">
            <w:pPr>
              <w:spacing w:after="0" w:line="240" w:lineRule="auto"/>
              <w:rPr>
                <w:rFonts w:ascii="Arial" w:eastAsia="Times New Roman" w:hAnsi="Arial" w:cs="Arial"/>
                <w:sz w:val="18"/>
                <w:szCs w:val="18"/>
              </w:rPr>
            </w:pPr>
            <w:r w:rsidRPr="00C4057E">
              <w:rPr>
                <w:rFonts w:ascii="Arial" w:eastAsia="Times New Roman" w:hAnsi="Arial" w:cs="Arial"/>
                <w:sz w:val="18"/>
                <w:szCs w:val="18"/>
              </w:rPr>
              <w:t>Penelec</w:t>
            </w:r>
          </w:p>
        </w:tc>
        <w:tc>
          <w:tcPr>
            <w:tcW w:w="1260" w:type="dxa"/>
            <w:tcBorders>
              <w:top w:val="nil"/>
              <w:left w:val="single" w:sz="18" w:space="0" w:color="auto"/>
              <w:bottom w:val="nil"/>
              <w:right w:val="single" w:sz="2" w:space="0" w:color="auto"/>
            </w:tcBorders>
            <w:shd w:val="clear" w:color="auto" w:fill="auto"/>
            <w:noWrap/>
            <w:vAlign w:val="center"/>
            <w:hideMark/>
          </w:tcPr>
          <w:p w14:paraId="30F7DB46" w14:textId="77777777" w:rsidR="00C4057E" w:rsidRPr="00C4057E" w:rsidRDefault="00C4057E" w:rsidP="000C0479">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23</w:t>
            </w:r>
          </w:p>
        </w:tc>
        <w:tc>
          <w:tcPr>
            <w:tcW w:w="1260" w:type="dxa"/>
            <w:tcBorders>
              <w:top w:val="nil"/>
              <w:left w:val="single" w:sz="2" w:space="0" w:color="auto"/>
              <w:bottom w:val="nil"/>
              <w:right w:val="single" w:sz="18" w:space="0" w:color="auto"/>
            </w:tcBorders>
            <w:shd w:val="clear" w:color="auto" w:fill="auto"/>
            <w:noWrap/>
            <w:vAlign w:val="center"/>
            <w:hideMark/>
          </w:tcPr>
          <w:p w14:paraId="2FA3CFA4" w14:textId="77777777" w:rsidR="00C4057E" w:rsidRPr="00C4057E" w:rsidRDefault="00C4057E" w:rsidP="000C0479">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39.3%</w:t>
            </w:r>
          </w:p>
        </w:tc>
        <w:tc>
          <w:tcPr>
            <w:tcW w:w="1260" w:type="dxa"/>
            <w:tcBorders>
              <w:top w:val="nil"/>
              <w:left w:val="single" w:sz="18" w:space="0" w:color="auto"/>
              <w:bottom w:val="nil"/>
              <w:right w:val="single" w:sz="2" w:space="0" w:color="auto"/>
            </w:tcBorders>
            <w:shd w:val="clear" w:color="auto" w:fill="auto"/>
            <w:noWrap/>
            <w:vAlign w:val="center"/>
            <w:hideMark/>
          </w:tcPr>
          <w:p w14:paraId="3A619DCC" w14:textId="77777777" w:rsidR="00C4057E" w:rsidRPr="00C4057E" w:rsidRDefault="00C4057E" w:rsidP="000C0479">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17</w:t>
            </w:r>
          </w:p>
        </w:tc>
        <w:tc>
          <w:tcPr>
            <w:tcW w:w="1222" w:type="dxa"/>
            <w:tcBorders>
              <w:top w:val="nil"/>
              <w:left w:val="single" w:sz="2" w:space="0" w:color="auto"/>
              <w:bottom w:val="nil"/>
              <w:right w:val="single" w:sz="18" w:space="0" w:color="auto"/>
            </w:tcBorders>
            <w:shd w:val="clear" w:color="auto" w:fill="auto"/>
            <w:noWrap/>
            <w:vAlign w:val="center"/>
            <w:hideMark/>
          </w:tcPr>
          <w:p w14:paraId="4DEF5F12" w14:textId="77777777" w:rsidR="00C4057E" w:rsidRPr="00C4057E" w:rsidRDefault="00C4057E" w:rsidP="000C0479">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32.5%</w:t>
            </w:r>
          </w:p>
        </w:tc>
        <w:tc>
          <w:tcPr>
            <w:tcW w:w="1298" w:type="dxa"/>
            <w:tcBorders>
              <w:top w:val="nil"/>
              <w:left w:val="single" w:sz="18" w:space="0" w:color="auto"/>
              <w:bottom w:val="nil"/>
              <w:right w:val="single" w:sz="2" w:space="0" w:color="auto"/>
            </w:tcBorders>
            <w:shd w:val="clear" w:color="auto" w:fill="auto"/>
            <w:noWrap/>
            <w:vAlign w:val="center"/>
            <w:hideMark/>
          </w:tcPr>
          <w:p w14:paraId="731F05B6" w14:textId="77777777" w:rsidR="00C4057E" w:rsidRPr="00C4057E" w:rsidRDefault="00C4057E" w:rsidP="000C0479">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22</w:t>
            </w:r>
          </w:p>
        </w:tc>
        <w:tc>
          <w:tcPr>
            <w:tcW w:w="1260" w:type="dxa"/>
            <w:tcBorders>
              <w:top w:val="nil"/>
              <w:left w:val="single" w:sz="2" w:space="0" w:color="auto"/>
              <w:bottom w:val="nil"/>
              <w:right w:val="single" w:sz="18" w:space="0" w:color="auto"/>
            </w:tcBorders>
            <w:shd w:val="clear" w:color="auto" w:fill="auto"/>
            <w:noWrap/>
            <w:vAlign w:val="center"/>
            <w:hideMark/>
          </w:tcPr>
          <w:p w14:paraId="082AFE99" w14:textId="77777777" w:rsidR="00C4057E" w:rsidRPr="00C4057E" w:rsidRDefault="00C4057E" w:rsidP="000C0479">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36.0%</w:t>
            </w:r>
          </w:p>
        </w:tc>
        <w:tc>
          <w:tcPr>
            <w:tcW w:w="1260" w:type="dxa"/>
            <w:tcBorders>
              <w:top w:val="nil"/>
              <w:left w:val="single" w:sz="18" w:space="0" w:color="auto"/>
              <w:bottom w:val="nil"/>
              <w:right w:val="single" w:sz="2" w:space="0" w:color="auto"/>
            </w:tcBorders>
            <w:shd w:val="clear" w:color="auto" w:fill="auto"/>
            <w:noWrap/>
            <w:vAlign w:val="center"/>
            <w:hideMark/>
          </w:tcPr>
          <w:p w14:paraId="7475E136" w14:textId="77777777" w:rsidR="00C4057E" w:rsidRPr="00C4057E" w:rsidRDefault="00C4057E" w:rsidP="000C0479">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22</w:t>
            </w:r>
          </w:p>
        </w:tc>
        <w:tc>
          <w:tcPr>
            <w:tcW w:w="1260" w:type="dxa"/>
            <w:tcBorders>
              <w:top w:val="nil"/>
              <w:left w:val="single" w:sz="2" w:space="0" w:color="auto"/>
              <w:bottom w:val="nil"/>
              <w:right w:val="single" w:sz="18" w:space="0" w:color="auto"/>
            </w:tcBorders>
            <w:shd w:val="clear" w:color="auto" w:fill="auto"/>
            <w:noWrap/>
            <w:vAlign w:val="center"/>
            <w:hideMark/>
          </w:tcPr>
          <w:p w14:paraId="694DC635" w14:textId="77777777" w:rsidR="00C4057E" w:rsidRPr="00C4057E" w:rsidRDefault="00C4057E" w:rsidP="000C0479">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19.3%</w:t>
            </w:r>
          </w:p>
        </w:tc>
      </w:tr>
      <w:tr w:rsidR="00C4057E" w:rsidRPr="00C4057E" w14:paraId="0A775AD7" w14:textId="77777777" w:rsidTr="000C0479">
        <w:trPr>
          <w:trHeight w:val="576"/>
          <w:jc w:val="center"/>
        </w:trPr>
        <w:tc>
          <w:tcPr>
            <w:tcW w:w="871" w:type="dxa"/>
            <w:tcBorders>
              <w:top w:val="nil"/>
              <w:left w:val="single" w:sz="18" w:space="0" w:color="auto"/>
              <w:bottom w:val="nil"/>
              <w:right w:val="single" w:sz="18" w:space="0" w:color="auto"/>
            </w:tcBorders>
            <w:shd w:val="clear" w:color="auto" w:fill="auto"/>
            <w:noWrap/>
            <w:vAlign w:val="center"/>
            <w:hideMark/>
          </w:tcPr>
          <w:p w14:paraId="5D1B0713" w14:textId="77777777" w:rsidR="000C0479" w:rsidRPr="00C4057E" w:rsidRDefault="00C4057E" w:rsidP="000C0479">
            <w:pPr>
              <w:spacing w:after="0" w:line="240" w:lineRule="auto"/>
              <w:rPr>
                <w:rFonts w:ascii="Arial" w:eastAsia="Times New Roman" w:hAnsi="Arial" w:cs="Arial"/>
                <w:sz w:val="18"/>
                <w:szCs w:val="18"/>
              </w:rPr>
            </w:pPr>
            <w:r w:rsidRPr="00C4057E">
              <w:rPr>
                <w:rFonts w:ascii="Arial" w:eastAsia="Times New Roman" w:hAnsi="Arial" w:cs="Arial"/>
                <w:sz w:val="18"/>
                <w:szCs w:val="18"/>
              </w:rPr>
              <w:t>Penn Power</w:t>
            </w:r>
          </w:p>
        </w:tc>
        <w:tc>
          <w:tcPr>
            <w:tcW w:w="1260" w:type="dxa"/>
            <w:tcBorders>
              <w:top w:val="nil"/>
              <w:left w:val="single" w:sz="18" w:space="0" w:color="auto"/>
              <w:bottom w:val="nil"/>
              <w:right w:val="single" w:sz="2" w:space="0" w:color="auto"/>
            </w:tcBorders>
            <w:shd w:val="clear" w:color="auto" w:fill="auto"/>
            <w:noWrap/>
            <w:vAlign w:val="center"/>
            <w:hideMark/>
          </w:tcPr>
          <w:p w14:paraId="70EB5C29" w14:textId="77777777" w:rsidR="00C4057E" w:rsidRPr="00C4057E" w:rsidRDefault="00C4057E" w:rsidP="000C0479">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5</w:t>
            </w:r>
          </w:p>
        </w:tc>
        <w:tc>
          <w:tcPr>
            <w:tcW w:w="1260" w:type="dxa"/>
            <w:tcBorders>
              <w:top w:val="nil"/>
              <w:left w:val="single" w:sz="2" w:space="0" w:color="auto"/>
              <w:bottom w:val="nil"/>
              <w:right w:val="single" w:sz="18" w:space="0" w:color="auto"/>
            </w:tcBorders>
            <w:shd w:val="clear" w:color="auto" w:fill="auto"/>
            <w:noWrap/>
            <w:vAlign w:val="center"/>
            <w:hideMark/>
          </w:tcPr>
          <w:p w14:paraId="103B7F31" w14:textId="77777777" w:rsidR="00C4057E" w:rsidRPr="00C4057E" w:rsidRDefault="00C4057E" w:rsidP="000C0479">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25.1%</w:t>
            </w:r>
          </w:p>
        </w:tc>
        <w:tc>
          <w:tcPr>
            <w:tcW w:w="1260" w:type="dxa"/>
            <w:tcBorders>
              <w:top w:val="nil"/>
              <w:left w:val="single" w:sz="18" w:space="0" w:color="auto"/>
              <w:bottom w:val="nil"/>
              <w:right w:val="single" w:sz="2" w:space="0" w:color="auto"/>
            </w:tcBorders>
            <w:shd w:val="clear" w:color="auto" w:fill="auto"/>
            <w:noWrap/>
            <w:vAlign w:val="center"/>
            <w:hideMark/>
          </w:tcPr>
          <w:p w14:paraId="558B3CA9" w14:textId="77777777" w:rsidR="00C4057E" w:rsidRPr="00C4057E" w:rsidRDefault="00C4057E" w:rsidP="000C0479">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3</w:t>
            </w:r>
          </w:p>
        </w:tc>
        <w:tc>
          <w:tcPr>
            <w:tcW w:w="1222" w:type="dxa"/>
            <w:tcBorders>
              <w:top w:val="nil"/>
              <w:left w:val="single" w:sz="2" w:space="0" w:color="auto"/>
              <w:bottom w:val="nil"/>
              <w:right w:val="single" w:sz="18" w:space="0" w:color="auto"/>
            </w:tcBorders>
            <w:shd w:val="clear" w:color="auto" w:fill="auto"/>
            <w:noWrap/>
            <w:vAlign w:val="center"/>
            <w:hideMark/>
          </w:tcPr>
          <w:p w14:paraId="59A312A2" w14:textId="77777777" w:rsidR="00C4057E" w:rsidRPr="00C4057E" w:rsidRDefault="00C4057E" w:rsidP="000C0479">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23.5%</w:t>
            </w:r>
          </w:p>
        </w:tc>
        <w:tc>
          <w:tcPr>
            <w:tcW w:w="1298" w:type="dxa"/>
            <w:tcBorders>
              <w:top w:val="nil"/>
              <w:left w:val="single" w:sz="18" w:space="0" w:color="auto"/>
              <w:bottom w:val="nil"/>
              <w:right w:val="single" w:sz="2" w:space="0" w:color="auto"/>
            </w:tcBorders>
            <w:shd w:val="clear" w:color="auto" w:fill="auto"/>
            <w:noWrap/>
            <w:vAlign w:val="center"/>
            <w:hideMark/>
          </w:tcPr>
          <w:p w14:paraId="600EB8A0" w14:textId="77777777" w:rsidR="00C4057E" w:rsidRPr="00C4057E" w:rsidRDefault="00C4057E" w:rsidP="000C0479">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5</w:t>
            </w:r>
          </w:p>
        </w:tc>
        <w:tc>
          <w:tcPr>
            <w:tcW w:w="1260" w:type="dxa"/>
            <w:tcBorders>
              <w:top w:val="nil"/>
              <w:left w:val="single" w:sz="2" w:space="0" w:color="auto"/>
              <w:bottom w:val="nil"/>
              <w:right w:val="single" w:sz="18" w:space="0" w:color="auto"/>
            </w:tcBorders>
            <w:shd w:val="clear" w:color="auto" w:fill="auto"/>
            <w:noWrap/>
            <w:vAlign w:val="center"/>
            <w:hideMark/>
          </w:tcPr>
          <w:p w14:paraId="2FCDC1EB" w14:textId="77777777" w:rsidR="00C4057E" w:rsidRPr="00C4057E" w:rsidRDefault="00C4057E" w:rsidP="000C0479">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28.1%</w:t>
            </w:r>
          </w:p>
        </w:tc>
        <w:tc>
          <w:tcPr>
            <w:tcW w:w="1260" w:type="dxa"/>
            <w:tcBorders>
              <w:top w:val="nil"/>
              <w:left w:val="single" w:sz="18" w:space="0" w:color="auto"/>
              <w:bottom w:val="nil"/>
              <w:right w:val="single" w:sz="2" w:space="0" w:color="auto"/>
            </w:tcBorders>
            <w:shd w:val="clear" w:color="auto" w:fill="auto"/>
            <w:noWrap/>
            <w:vAlign w:val="center"/>
            <w:hideMark/>
          </w:tcPr>
          <w:p w14:paraId="03952E84" w14:textId="77777777" w:rsidR="00C4057E" w:rsidRPr="00C4057E" w:rsidRDefault="00C4057E" w:rsidP="000C0479">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4</w:t>
            </w:r>
          </w:p>
        </w:tc>
        <w:tc>
          <w:tcPr>
            <w:tcW w:w="1260" w:type="dxa"/>
            <w:tcBorders>
              <w:top w:val="nil"/>
              <w:left w:val="single" w:sz="2" w:space="0" w:color="auto"/>
              <w:bottom w:val="nil"/>
              <w:right w:val="single" w:sz="18" w:space="0" w:color="auto"/>
            </w:tcBorders>
            <w:shd w:val="clear" w:color="auto" w:fill="auto"/>
            <w:noWrap/>
            <w:vAlign w:val="center"/>
            <w:hideMark/>
          </w:tcPr>
          <w:p w14:paraId="0D261EC6" w14:textId="77777777" w:rsidR="00C4057E" w:rsidRPr="00C4057E" w:rsidRDefault="00C4057E" w:rsidP="000C0479">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29.8%</w:t>
            </w:r>
          </w:p>
        </w:tc>
      </w:tr>
      <w:tr w:rsidR="00C4057E" w:rsidRPr="00C4057E" w14:paraId="7FF42D27" w14:textId="77777777" w:rsidTr="000C0479">
        <w:trPr>
          <w:trHeight w:val="576"/>
          <w:jc w:val="center"/>
        </w:trPr>
        <w:tc>
          <w:tcPr>
            <w:tcW w:w="871" w:type="dxa"/>
            <w:tcBorders>
              <w:top w:val="nil"/>
              <w:left w:val="single" w:sz="18" w:space="0" w:color="auto"/>
              <w:bottom w:val="nil"/>
              <w:right w:val="single" w:sz="18" w:space="0" w:color="auto"/>
            </w:tcBorders>
            <w:shd w:val="clear" w:color="auto" w:fill="auto"/>
            <w:noWrap/>
            <w:vAlign w:val="center"/>
            <w:hideMark/>
          </w:tcPr>
          <w:p w14:paraId="1FE49378" w14:textId="77777777" w:rsidR="00C4057E" w:rsidRPr="00C4057E" w:rsidRDefault="00C4057E" w:rsidP="000C0479">
            <w:pPr>
              <w:spacing w:after="0" w:line="240" w:lineRule="auto"/>
              <w:rPr>
                <w:rFonts w:ascii="Arial" w:eastAsia="Times New Roman" w:hAnsi="Arial" w:cs="Arial"/>
                <w:sz w:val="18"/>
                <w:szCs w:val="18"/>
              </w:rPr>
            </w:pPr>
            <w:r w:rsidRPr="00C4057E">
              <w:rPr>
                <w:rFonts w:ascii="Arial" w:eastAsia="Times New Roman" w:hAnsi="Arial" w:cs="Arial"/>
                <w:sz w:val="18"/>
                <w:szCs w:val="18"/>
              </w:rPr>
              <w:t>West Penn Power</w:t>
            </w:r>
          </w:p>
        </w:tc>
        <w:tc>
          <w:tcPr>
            <w:tcW w:w="1260" w:type="dxa"/>
            <w:tcBorders>
              <w:top w:val="nil"/>
              <w:left w:val="single" w:sz="18" w:space="0" w:color="auto"/>
              <w:bottom w:val="nil"/>
              <w:right w:val="single" w:sz="2" w:space="0" w:color="auto"/>
            </w:tcBorders>
            <w:shd w:val="clear" w:color="auto" w:fill="auto"/>
            <w:noWrap/>
            <w:vAlign w:val="center"/>
            <w:hideMark/>
          </w:tcPr>
          <w:p w14:paraId="1EFA2043" w14:textId="77777777" w:rsidR="00C4057E" w:rsidRPr="00C4057E" w:rsidRDefault="00C4057E" w:rsidP="000C0479">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20</w:t>
            </w:r>
          </w:p>
        </w:tc>
        <w:tc>
          <w:tcPr>
            <w:tcW w:w="1260" w:type="dxa"/>
            <w:tcBorders>
              <w:top w:val="nil"/>
              <w:left w:val="single" w:sz="2" w:space="0" w:color="auto"/>
              <w:bottom w:val="nil"/>
              <w:right w:val="single" w:sz="18" w:space="0" w:color="auto"/>
            </w:tcBorders>
            <w:shd w:val="clear" w:color="auto" w:fill="auto"/>
            <w:noWrap/>
            <w:vAlign w:val="center"/>
            <w:hideMark/>
          </w:tcPr>
          <w:p w14:paraId="7CB4709F" w14:textId="77777777" w:rsidR="00C4057E" w:rsidRPr="00C4057E" w:rsidRDefault="00C4057E" w:rsidP="000C0479">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26.0%</w:t>
            </w:r>
          </w:p>
        </w:tc>
        <w:tc>
          <w:tcPr>
            <w:tcW w:w="1260" w:type="dxa"/>
            <w:tcBorders>
              <w:top w:val="nil"/>
              <w:left w:val="single" w:sz="18" w:space="0" w:color="auto"/>
              <w:bottom w:val="nil"/>
              <w:right w:val="single" w:sz="2" w:space="0" w:color="auto"/>
            </w:tcBorders>
            <w:shd w:val="clear" w:color="auto" w:fill="auto"/>
            <w:noWrap/>
            <w:vAlign w:val="center"/>
            <w:hideMark/>
          </w:tcPr>
          <w:p w14:paraId="31516C23" w14:textId="77777777" w:rsidR="00C4057E" w:rsidRPr="00C4057E" w:rsidRDefault="00C4057E" w:rsidP="000C0479">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18</w:t>
            </w:r>
          </w:p>
        </w:tc>
        <w:tc>
          <w:tcPr>
            <w:tcW w:w="1222" w:type="dxa"/>
            <w:tcBorders>
              <w:top w:val="nil"/>
              <w:left w:val="single" w:sz="2" w:space="0" w:color="auto"/>
              <w:bottom w:val="nil"/>
              <w:right w:val="single" w:sz="18" w:space="0" w:color="auto"/>
            </w:tcBorders>
            <w:shd w:val="clear" w:color="auto" w:fill="auto"/>
            <w:noWrap/>
            <w:vAlign w:val="center"/>
            <w:hideMark/>
          </w:tcPr>
          <w:p w14:paraId="1BAE559B" w14:textId="77777777" w:rsidR="00C4057E" w:rsidRPr="00C4057E" w:rsidRDefault="00C4057E" w:rsidP="000C0479">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28.4%</w:t>
            </w:r>
          </w:p>
        </w:tc>
        <w:tc>
          <w:tcPr>
            <w:tcW w:w="1298" w:type="dxa"/>
            <w:tcBorders>
              <w:top w:val="nil"/>
              <w:left w:val="single" w:sz="18" w:space="0" w:color="auto"/>
              <w:bottom w:val="nil"/>
              <w:right w:val="single" w:sz="2" w:space="0" w:color="auto"/>
            </w:tcBorders>
            <w:shd w:val="clear" w:color="auto" w:fill="auto"/>
            <w:noWrap/>
            <w:vAlign w:val="center"/>
            <w:hideMark/>
          </w:tcPr>
          <w:p w14:paraId="0A16DB73" w14:textId="77777777" w:rsidR="00C4057E" w:rsidRPr="00C4057E" w:rsidRDefault="00C4057E" w:rsidP="000C0479">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18</w:t>
            </w:r>
          </w:p>
        </w:tc>
        <w:tc>
          <w:tcPr>
            <w:tcW w:w="1260" w:type="dxa"/>
            <w:tcBorders>
              <w:top w:val="nil"/>
              <w:left w:val="single" w:sz="2" w:space="0" w:color="auto"/>
              <w:bottom w:val="nil"/>
              <w:right w:val="single" w:sz="18" w:space="0" w:color="auto"/>
            </w:tcBorders>
            <w:shd w:val="clear" w:color="auto" w:fill="auto"/>
            <w:noWrap/>
            <w:vAlign w:val="center"/>
            <w:hideMark/>
          </w:tcPr>
          <w:p w14:paraId="29ED90D6" w14:textId="77777777" w:rsidR="00C4057E" w:rsidRPr="00C4057E" w:rsidRDefault="00C4057E" w:rsidP="000C0479">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36.7%</w:t>
            </w:r>
          </w:p>
        </w:tc>
        <w:tc>
          <w:tcPr>
            <w:tcW w:w="1260" w:type="dxa"/>
            <w:tcBorders>
              <w:top w:val="nil"/>
              <w:left w:val="single" w:sz="18" w:space="0" w:color="auto"/>
              <w:bottom w:val="nil"/>
              <w:right w:val="single" w:sz="2" w:space="0" w:color="auto"/>
            </w:tcBorders>
            <w:shd w:val="clear" w:color="auto" w:fill="auto"/>
            <w:noWrap/>
            <w:vAlign w:val="center"/>
            <w:hideMark/>
          </w:tcPr>
          <w:p w14:paraId="19DA3537" w14:textId="77777777" w:rsidR="00C4057E" w:rsidRPr="00C4057E" w:rsidRDefault="00C4057E" w:rsidP="000C0479">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16</w:t>
            </w:r>
          </w:p>
        </w:tc>
        <w:tc>
          <w:tcPr>
            <w:tcW w:w="1260" w:type="dxa"/>
            <w:tcBorders>
              <w:top w:val="nil"/>
              <w:left w:val="single" w:sz="2" w:space="0" w:color="auto"/>
              <w:bottom w:val="nil"/>
              <w:right w:val="single" w:sz="18" w:space="0" w:color="auto"/>
            </w:tcBorders>
            <w:shd w:val="clear" w:color="auto" w:fill="auto"/>
            <w:noWrap/>
            <w:vAlign w:val="center"/>
            <w:hideMark/>
          </w:tcPr>
          <w:p w14:paraId="63383FCB" w14:textId="77777777" w:rsidR="00C4057E" w:rsidRPr="00C4057E" w:rsidRDefault="00C4057E" w:rsidP="000C0479">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25.5%</w:t>
            </w:r>
          </w:p>
        </w:tc>
      </w:tr>
      <w:tr w:rsidR="00C4057E" w:rsidRPr="00C4057E" w14:paraId="5CF76D88" w14:textId="77777777" w:rsidTr="000C0479">
        <w:trPr>
          <w:trHeight w:val="20"/>
          <w:jc w:val="center"/>
        </w:trPr>
        <w:tc>
          <w:tcPr>
            <w:tcW w:w="871" w:type="dxa"/>
            <w:tcBorders>
              <w:top w:val="nil"/>
              <w:left w:val="single" w:sz="18" w:space="0" w:color="auto"/>
              <w:bottom w:val="single" w:sz="18" w:space="0" w:color="auto"/>
              <w:right w:val="single" w:sz="18" w:space="0" w:color="auto"/>
            </w:tcBorders>
            <w:shd w:val="clear" w:color="000000" w:fill="D9D9D9"/>
            <w:noWrap/>
            <w:vAlign w:val="bottom"/>
            <w:hideMark/>
          </w:tcPr>
          <w:p w14:paraId="55752C46" w14:textId="77777777" w:rsidR="00C4057E" w:rsidRPr="00C4057E" w:rsidRDefault="00C4057E" w:rsidP="00C4057E">
            <w:pPr>
              <w:spacing w:after="0" w:line="240" w:lineRule="auto"/>
              <w:jc w:val="right"/>
              <w:rPr>
                <w:rFonts w:ascii="Arial" w:eastAsia="Times New Roman" w:hAnsi="Arial" w:cs="Arial"/>
                <w:color w:val="000000"/>
                <w:sz w:val="18"/>
                <w:szCs w:val="18"/>
              </w:rPr>
            </w:pPr>
            <w:r w:rsidRPr="00C4057E">
              <w:rPr>
                <w:rFonts w:ascii="Arial" w:eastAsia="Times New Roman" w:hAnsi="Arial" w:cs="Arial"/>
                <w:color w:val="000000"/>
                <w:sz w:val="18"/>
                <w:szCs w:val="18"/>
              </w:rPr>
              <w:t>Total</w:t>
            </w:r>
          </w:p>
        </w:tc>
        <w:tc>
          <w:tcPr>
            <w:tcW w:w="1260" w:type="dxa"/>
            <w:tcBorders>
              <w:top w:val="nil"/>
              <w:left w:val="single" w:sz="18" w:space="0" w:color="auto"/>
              <w:bottom w:val="single" w:sz="18" w:space="0" w:color="auto"/>
              <w:right w:val="single" w:sz="2" w:space="0" w:color="auto"/>
            </w:tcBorders>
            <w:shd w:val="clear" w:color="000000" w:fill="D9D9D9"/>
            <w:noWrap/>
            <w:vAlign w:val="bottom"/>
            <w:hideMark/>
          </w:tcPr>
          <w:p w14:paraId="0B30640E" w14:textId="77777777" w:rsidR="00C4057E" w:rsidRPr="00C4057E" w:rsidRDefault="00C4057E" w:rsidP="00C4057E">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56</w:t>
            </w:r>
          </w:p>
        </w:tc>
        <w:tc>
          <w:tcPr>
            <w:tcW w:w="1260" w:type="dxa"/>
            <w:tcBorders>
              <w:top w:val="nil"/>
              <w:left w:val="single" w:sz="2" w:space="0" w:color="auto"/>
              <w:bottom w:val="single" w:sz="18" w:space="0" w:color="auto"/>
              <w:right w:val="single" w:sz="18" w:space="0" w:color="auto"/>
            </w:tcBorders>
            <w:shd w:val="clear" w:color="000000" w:fill="D9D9D9"/>
            <w:noWrap/>
            <w:vAlign w:val="bottom"/>
            <w:hideMark/>
          </w:tcPr>
          <w:p w14:paraId="5A7B32C5" w14:textId="77777777" w:rsidR="00C4057E" w:rsidRPr="00C4057E" w:rsidRDefault="00C4057E" w:rsidP="00C4057E">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39.3%</w:t>
            </w:r>
          </w:p>
        </w:tc>
        <w:tc>
          <w:tcPr>
            <w:tcW w:w="1260" w:type="dxa"/>
            <w:tcBorders>
              <w:top w:val="nil"/>
              <w:left w:val="single" w:sz="18" w:space="0" w:color="auto"/>
              <w:bottom w:val="single" w:sz="18" w:space="0" w:color="auto"/>
              <w:right w:val="single" w:sz="2" w:space="0" w:color="auto"/>
            </w:tcBorders>
            <w:shd w:val="clear" w:color="000000" w:fill="D9D9D9"/>
            <w:noWrap/>
            <w:vAlign w:val="bottom"/>
            <w:hideMark/>
          </w:tcPr>
          <w:p w14:paraId="4357868F" w14:textId="77777777" w:rsidR="00C4057E" w:rsidRPr="00C4057E" w:rsidRDefault="00C4057E" w:rsidP="00C4057E">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46</w:t>
            </w:r>
          </w:p>
        </w:tc>
        <w:tc>
          <w:tcPr>
            <w:tcW w:w="1222" w:type="dxa"/>
            <w:tcBorders>
              <w:top w:val="nil"/>
              <w:left w:val="single" w:sz="2" w:space="0" w:color="auto"/>
              <w:bottom w:val="single" w:sz="18" w:space="0" w:color="auto"/>
              <w:right w:val="single" w:sz="18" w:space="0" w:color="auto"/>
            </w:tcBorders>
            <w:shd w:val="clear" w:color="000000" w:fill="D9D9D9"/>
            <w:noWrap/>
            <w:vAlign w:val="bottom"/>
            <w:hideMark/>
          </w:tcPr>
          <w:p w14:paraId="0FD1F15F" w14:textId="77777777" w:rsidR="00C4057E" w:rsidRPr="00C4057E" w:rsidRDefault="00C4057E" w:rsidP="00C4057E">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32.7%</w:t>
            </w:r>
          </w:p>
        </w:tc>
        <w:tc>
          <w:tcPr>
            <w:tcW w:w="1298" w:type="dxa"/>
            <w:tcBorders>
              <w:top w:val="nil"/>
              <w:left w:val="single" w:sz="18" w:space="0" w:color="auto"/>
              <w:bottom w:val="single" w:sz="18" w:space="0" w:color="auto"/>
              <w:right w:val="single" w:sz="2" w:space="0" w:color="auto"/>
            </w:tcBorders>
            <w:shd w:val="clear" w:color="000000" w:fill="D9D9D9"/>
            <w:noWrap/>
            <w:vAlign w:val="bottom"/>
            <w:hideMark/>
          </w:tcPr>
          <w:p w14:paraId="04257FB0" w14:textId="77777777" w:rsidR="00C4057E" w:rsidRPr="00C4057E" w:rsidRDefault="00C4057E" w:rsidP="00C4057E">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56</w:t>
            </w:r>
          </w:p>
        </w:tc>
        <w:tc>
          <w:tcPr>
            <w:tcW w:w="1260" w:type="dxa"/>
            <w:tcBorders>
              <w:top w:val="nil"/>
              <w:left w:val="single" w:sz="2" w:space="0" w:color="auto"/>
              <w:bottom w:val="single" w:sz="18" w:space="0" w:color="auto"/>
              <w:right w:val="single" w:sz="18" w:space="0" w:color="auto"/>
            </w:tcBorders>
            <w:shd w:val="clear" w:color="000000" w:fill="D9D9D9"/>
            <w:noWrap/>
            <w:vAlign w:val="bottom"/>
            <w:hideMark/>
          </w:tcPr>
          <w:p w14:paraId="2DA042ED" w14:textId="77777777" w:rsidR="00C4057E" w:rsidRPr="00C4057E" w:rsidRDefault="00C4057E" w:rsidP="00C4057E">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36.7%</w:t>
            </w:r>
          </w:p>
        </w:tc>
        <w:tc>
          <w:tcPr>
            <w:tcW w:w="1260" w:type="dxa"/>
            <w:tcBorders>
              <w:top w:val="nil"/>
              <w:left w:val="single" w:sz="18" w:space="0" w:color="auto"/>
              <w:bottom w:val="single" w:sz="18" w:space="0" w:color="auto"/>
              <w:right w:val="single" w:sz="2" w:space="0" w:color="auto"/>
            </w:tcBorders>
            <w:shd w:val="clear" w:color="000000" w:fill="D9D9D9"/>
            <w:noWrap/>
            <w:vAlign w:val="bottom"/>
            <w:hideMark/>
          </w:tcPr>
          <w:p w14:paraId="78345C94" w14:textId="77777777" w:rsidR="00C4057E" w:rsidRPr="00C4057E" w:rsidRDefault="00C4057E" w:rsidP="00C4057E">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54</w:t>
            </w:r>
          </w:p>
        </w:tc>
        <w:tc>
          <w:tcPr>
            <w:tcW w:w="1260" w:type="dxa"/>
            <w:tcBorders>
              <w:top w:val="nil"/>
              <w:left w:val="single" w:sz="2" w:space="0" w:color="auto"/>
              <w:bottom w:val="single" w:sz="18" w:space="0" w:color="auto"/>
              <w:right w:val="single" w:sz="18" w:space="0" w:color="auto"/>
            </w:tcBorders>
            <w:shd w:val="clear" w:color="000000" w:fill="D9D9D9"/>
            <w:noWrap/>
            <w:vAlign w:val="bottom"/>
            <w:hideMark/>
          </w:tcPr>
          <w:p w14:paraId="0BD09BD8" w14:textId="77777777" w:rsidR="00C4057E" w:rsidRPr="00C4057E" w:rsidRDefault="00C4057E" w:rsidP="00C4057E">
            <w:pPr>
              <w:spacing w:after="0" w:line="240" w:lineRule="auto"/>
              <w:jc w:val="center"/>
              <w:rPr>
                <w:rFonts w:ascii="Arial" w:eastAsia="Times New Roman" w:hAnsi="Arial" w:cs="Arial"/>
                <w:color w:val="000000"/>
                <w:sz w:val="18"/>
                <w:szCs w:val="18"/>
              </w:rPr>
            </w:pPr>
            <w:r w:rsidRPr="00C4057E">
              <w:rPr>
                <w:rFonts w:ascii="Arial" w:eastAsia="Times New Roman" w:hAnsi="Arial" w:cs="Arial"/>
                <w:color w:val="000000"/>
                <w:sz w:val="18"/>
                <w:szCs w:val="18"/>
              </w:rPr>
              <w:t>34.9%</w:t>
            </w:r>
          </w:p>
        </w:tc>
      </w:tr>
    </w:tbl>
    <w:p w14:paraId="1B31DFDD" w14:textId="77777777" w:rsidR="00C4057E" w:rsidRPr="00C4057E" w:rsidRDefault="00C4057E" w:rsidP="000C0479">
      <w:pPr>
        <w:spacing w:after="0" w:line="240" w:lineRule="auto"/>
        <w:ind w:left="-810"/>
        <w:contextualSpacing/>
        <w:rPr>
          <w:rFonts w:ascii="Arial" w:hAnsi="Arial" w:cs="Arial"/>
          <w:sz w:val="18"/>
          <w:szCs w:val="18"/>
        </w:rPr>
      </w:pPr>
      <w:bookmarkStart w:id="18" w:name="_Hlk512255392"/>
      <w:r w:rsidRPr="00C4057E">
        <w:rPr>
          <w:rFonts w:ascii="Arial" w:hAnsi="Arial" w:cs="Arial"/>
          <w:sz w:val="18"/>
          <w:szCs w:val="18"/>
        </w:rPr>
        <w:t>Source: Data Request TD-4, TD-14, and Auditor Analysis.</w:t>
      </w:r>
    </w:p>
    <w:bookmarkEnd w:id="18"/>
    <w:p w14:paraId="6365D283" w14:textId="77777777" w:rsidR="00C4057E" w:rsidRPr="00C4057E" w:rsidRDefault="00C4057E" w:rsidP="00C4057E">
      <w:pPr>
        <w:spacing w:after="0" w:line="240" w:lineRule="auto"/>
        <w:contextualSpacing/>
        <w:rPr>
          <w:rFonts w:ascii="Arial" w:hAnsi="Arial" w:cs="Arial"/>
          <w:sz w:val="24"/>
          <w:szCs w:val="24"/>
        </w:rPr>
      </w:pPr>
    </w:p>
    <w:p w14:paraId="5449D264" w14:textId="77777777" w:rsidR="00C4057E" w:rsidRPr="00C4057E" w:rsidRDefault="00C4057E" w:rsidP="00C4057E">
      <w:pPr>
        <w:spacing w:after="0" w:line="240" w:lineRule="auto"/>
        <w:rPr>
          <w:rFonts w:ascii="Arial" w:hAnsi="Arial" w:cs="Arial"/>
          <w:b/>
          <w:sz w:val="24"/>
          <w:szCs w:val="24"/>
        </w:rPr>
      </w:pPr>
    </w:p>
    <w:p w14:paraId="2F192843" w14:textId="77777777" w:rsidR="00C4057E" w:rsidRPr="00C4057E" w:rsidRDefault="00C4057E" w:rsidP="00C4057E">
      <w:pPr>
        <w:spacing w:after="0" w:line="240" w:lineRule="auto"/>
        <w:ind w:firstLine="720"/>
        <w:rPr>
          <w:rFonts w:ascii="Arial" w:hAnsi="Arial" w:cs="Arial"/>
          <w:sz w:val="24"/>
          <w:szCs w:val="24"/>
        </w:rPr>
      </w:pPr>
      <w:r w:rsidRPr="00C4057E">
        <w:rPr>
          <w:rFonts w:ascii="Arial" w:hAnsi="Arial" w:cs="Arial"/>
          <w:sz w:val="24"/>
          <w:szCs w:val="24"/>
        </w:rPr>
        <w:t xml:space="preserve">Although the number of departments with high overtime levels has not significantly changed, the number of employees eligible for retirement currently or in the next five years has </w:t>
      </w:r>
      <w:r w:rsidR="005676E2">
        <w:rPr>
          <w:rFonts w:ascii="Arial" w:hAnsi="Arial" w:cs="Arial"/>
          <w:sz w:val="24"/>
          <w:szCs w:val="24"/>
        </w:rPr>
        <w:t>decreased</w:t>
      </w:r>
      <w:r w:rsidR="005676E2" w:rsidRPr="00C4057E">
        <w:rPr>
          <w:rFonts w:ascii="Arial" w:hAnsi="Arial" w:cs="Arial"/>
          <w:sz w:val="24"/>
          <w:szCs w:val="24"/>
        </w:rPr>
        <w:t xml:space="preserve"> </w:t>
      </w:r>
      <w:r w:rsidRPr="00C4057E">
        <w:rPr>
          <w:rFonts w:ascii="Arial" w:hAnsi="Arial" w:cs="Arial"/>
          <w:sz w:val="24"/>
          <w:szCs w:val="24"/>
        </w:rPr>
        <w:t xml:space="preserve">since the management audit.  Met-Ed has the highest percentage of employees eligible for retirement currently or in the next five years </w:t>
      </w:r>
      <w:r w:rsidR="0007766C">
        <w:rPr>
          <w:rFonts w:ascii="Arial" w:hAnsi="Arial" w:cs="Arial"/>
          <w:sz w:val="24"/>
          <w:szCs w:val="24"/>
        </w:rPr>
        <w:t>at</w:t>
      </w:r>
      <w:r w:rsidR="0007766C" w:rsidRPr="00C4057E">
        <w:rPr>
          <w:rFonts w:ascii="Arial" w:hAnsi="Arial" w:cs="Arial"/>
          <w:sz w:val="24"/>
          <w:szCs w:val="24"/>
        </w:rPr>
        <w:t xml:space="preserve"> </w:t>
      </w:r>
      <w:r w:rsidRPr="00C4057E">
        <w:rPr>
          <w:rFonts w:ascii="Arial" w:hAnsi="Arial" w:cs="Arial"/>
          <w:sz w:val="24"/>
          <w:szCs w:val="24"/>
        </w:rPr>
        <w:t>approximately 34%, which is higher than Penelec’s, Penn Power’s, and West Penn Power’s percentage of employees eligible of approximately 25%.</w:t>
      </w:r>
    </w:p>
    <w:p w14:paraId="732A5553" w14:textId="77777777" w:rsidR="00C4057E" w:rsidRPr="00C4057E" w:rsidRDefault="00C4057E" w:rsidP="00C4057E">
      <w:pPr>
        <w:spacing w:after="0" w:line="240" w:lineRule="auto"/>
        <w:ind w:firstLine="720"/>
        <w:rPr>
          <w:rFonts w:ascii="Arial" w:hAnsi="Arial" w:cs="Arial"/>
          <w:sz w:val="24"/>
          <w:szCs w:val="24"/>
        </w:rPr>
      </w:pPr>
    </w:p>
    <w:p w14:paraId="3A1839D4" w14:textId="462569D9" w:rsidR="00C4057E" w:rsidRPr="00C4057E" w:rsidRDefault="00C4057E" w:rsidP="00C4057E">
      <w:pPr>
        <w:spacing w:after="0" w:line="240" w:lineRule="auto"/>
        <w:ind w:firstLine="720"/>
        <w:contextualSpacing/>
        <w:rPr>
          <w:rFonts w:ascii="Arial" w:hAnsi="Arial" w:cs="Arial"/>
          <w:sz w:val="24"/>
          <w:szCs w:val="24"/>
        </w:rPr>
      </w:pPr>
      <w:r w:rsidRPr="00C4057E">
        <w:rPr>
          <w:rFonts w:ascii="Arial" w:hAnsi="Arial" w:cs="Arial"/>
          <w:sz w:val="24"/>
          <w:szCs w:val="24"/>
        </w:rPr>
        <w:t xml:space="preserve">To </w:t>
      </w:r>
      <w:r w:rsidR="0007766C">
        <w:rPr>
          <w:rFonts w:ascii="Arial" w:hAnsi="Arial" w:cs="Arial"/>
          <w:sz w:val="24"/>
          <w:szCs w:val="24"/>
        </w:rPr>
        <w:t xml:space="preserve">properly </w:t>
      </w:r>
      <w:r w:rsidRPr="00C4057E">
        <w:rPr>
          <w:rFonts w:ascii="Arial" w:hAnsi="Arial" w:cs="Arial"/>
          <w:sz w:val="24"/>
          <w:szCs w:val="24"/>
        </w:rPr>
        <w:t xml:space="preserve">address workforce planning, the auditors believe enhanced analysis should be conducted </w:t>
      </w:r>
      <w:r w:rsidR="0007766C">
        <w:rPr>
          <w:rFonts w:ascii="Arial" w:hAnsi="Arial" w:cs="Arial"/>
          <w:sz w:val="24"/>
          <w:szCs w:val="24"/>
        </w:rPr>
        <w:t>routinely</w:t>
      </w:r>
      <w:r w:rsidRPr="00C4057E">
        <w:rPr>
          <w:rFonts w:ascii="Arial" w:hAnsi="Arial" w:cs="Arial"/>
          <w:sz w:val="24"/>
          <w:szCs w:val="24"/>
        </w:rPr>
        <w:t xml:space="preserve">.  </w:t>
      </w:r>
      <w:r w:rsidR="0007766C">
        <w:rPr>
          <w:rFonts w:ascii="Arial" w:hAnsi="Arial" w:cs="Arial"/>
          <w:sz w:val="24"/>
          <w:szCs w:val="24"/>
        </w:rPr>
        <w:t>P</w:t>
      </w:r>
      <w:r w:rsidRPr="00C4057E">
        <w:rPr>
          <w:rFonts w:ascii="Arial" w:hAnsi="Arial" w:cs="Arial"/>
          <w:sz w:val="24"/>
          <w:szCs w:val="24"/>
        </w:rPr>
        <w:t xml:space="preserve">lanning should be based on a dedicated overtime allowance of 15% for craftworkers rather than the </w:t>
      </w:r>
      <w:r w:rsidR="0007766C">
        <w:rPr>
          <w:rFonts w:ascii="Arial" w:hAnsi="Arial" w:cs="Arial"/>
          <w:sz w:val="24"/>
          <w:szCs w:val="24"/>
        </w:rPr>
        <w:t xml:space="preserve">current practice </w:t>
      </w:r>
      <w:r w:rsidRPr="00C4057E">
        <w:rPr>
          <w:rFonts w:ascii="Arial" w:hAnsi="Arial" w:cs="Arial"/>
          <w:sz w:val="24"/>
          <w:szCs w:val="24"/>
        </w:rPr>
        <w:t>of reallocating available overtime budgeted hours from other departments</w:t>
      </w:r>
      <w:r w:rsidR="0007766C">
        <w:rPr>
          <w:rFonts w:ascii="Arial" w:hAnsi="Arial" w:cs="Arial"/>
          <w:sz w:val="24"/>
          <w:szCs w:val="24"/>
        </w:rPr>
        <w:t xml:space="preserve">. </w:t>
      </w:r>
      <w:r w:rsidRPr="00C4057E">
        <w:rPr>
          <w:rFonts w:ascii="Arial" w:hAnsi="Arial" w:cs="Arial"/>
          <w:sz w:val="24"/>
          <w:szCs w:val="24"/>
        </w:rPr>
        <w:t xml:space="preserve"> </w:t>
      </w:r>
      <w:r w:rsidR="00571D75">
        <w:rPr>
          <w:rFonts w:ascii="Arial" w:hAnsi="Arial" w:cs="Arial"/>
          <w:sz w:val="24"/>
          <w:szCs w:val="24"/>
        </w:rPr>
        <w:t xml:space="preserve">The companies </w:t>
      </w:r>
      <w:r w:rsidR="005676E2">
        <w:rPr>
          <w:rFonts w:ascii="Arial" w:hAnsi="Arial" w:cs="Arial"/>
          <w:sz w:val="24"/>
          <w:szCs w:val="24"/>
        </w:rPr>
        <w:t>should continue</w:t>
      </w:r>
      <w:r w:rsidRPr="00C4057E">
        <w:rPr>
          <w:rFonts w:ascii="Arial" w:hAnsi="Arial" w:cs="Arial"/>
          <w:sz w:val="24"/>
          <w:szCs w:val="24"/>
        </w:rPr>
        <w:t xml:space="preserve"> 20% contractor use as a maximum.  Additionally, ten years of historic storm data should be used as the basis for projected storm activity for the upcoming year with all storms included in the analysis except for </w:t>
      </w:r>
      <w:r w:rsidR="00210E87">
        <w:rPr>
          <w:rFonts w:ascii="Arial" w:hAnsi="Arial" w:cs="Arial"/>
          <w:sz w:val="24"/>
          <w:szCs w:val="24"/>
        </w:rPr>
        <w:t>those</w:t>
      </w:r>
      <w:r w:rsidR="00210E87" w:rsidRPr="00C4057E">
        <w:rPr>
          <w:rFonts w:ascii="Arial" w:hAnsi="Arial" w:cs="Arial"/>
          <w:sz w:val="24"/>
          <w:szCs w:val="24"/>
        </w:rPr>
        <w:t xml:space="preserve"> </w:t>
      </w:r>
      <w:r w:rsidRPr="00C4057E">
        <w:rPr>
          <w:rFonts w:ascii="Arial" w:hAnsi="Arial" w:cs="Arial"/>
          <w:sz w:val="24"/>
          <w:szCs w:val="24"/>
        </w:rPr>
        <w:t xml:space="preserve">that can be excluded </w:t>
      </w:r>
      <w:r w:rsidR="00210E87">
        <w:rPr>
          <w:rFonts w:ascii="Arial" w:hAnsi="Arial" w:cs="Arial"/>
          <w:sz w:val="24"/>
          <w:szCs w:val="24"/>
        </w:rPr>
        <w:t>per</w:t>
      </w:r>
      <w:r w:rsidRPr="00C4057E">
        <w:rPr>
          <w:rFonts w:ascii="Arial" w:hAnsi="Arial" w:cs="Arial"/>
          <w:sz w:val="24"/>
          <w:szCs w:val="24"/>
        </w:rPr>
        <w:t xml:space="preserve"> 52 Pa. Code § 57.192.  Finally, this analysis should be done for every service center at each of the </w:t>
      </w:r>
      <w:r w:rsidR="00DC3D9B">
        <w:rPr>
          <w:rFonts w:ascii="Arial" w:hAnsi="Arial" w:cs="Arial"/>
          <w:sz w:val="24"/>
          <w:szCs w:val="24"/>
        </w:rPr>
        <w:t>FE-PA companies</w:t>
      </w:r>
      <w:r w:rsidRPr="00C4057E">
        <w:rPr>
          <w:rFonts w:ascii="Arial" w:hAnsi="Arial" w:cs="Arial"/>
          <w:sz w:val="24"/>
          <w:szCs w:val="24"/>
        </w:rPr>
        <w:t xml:space="preserve">.  </w:t>
      </w:r>
      <w:r w:rsidR="00210E87">
        <w:rPr>
          <w:rFonts w:ascii="Arial" w:hAnsi="Arial" w:cs="Arial"/>
          <w:sz w:val="24"/>
          <w:szCs w:val="24"/>
        </w:rPr>
        <w:t>It</w:t>
      </w:r>
      <w:r w:rsidRPr="00C4057E">
        <w:rPr>
          <w:rFonts w:ascii="Arial" w:hAnsi="Arial" w:cs="Arial"/>
          <w:sz w:val="24"/>
          <w:szCs w:val="24"/>
        </w:rPr>
        <w:t xml:space="preserve"> should include all aspects of annual planning for field operations such as emergency restoration, inspection and maintenance work, capital work, training, leave usage and administrative/nonproductive time.  The difference between the needed man-hours for expected work and the man</w:t>
      </w:r>
      <w:r w:rsidRPr="00C4057E">
        <w:rPr>
          <w:rFonts w:ascii="Arial" w:hAnsi="Arial" w:cs="Arial"/>
          <w:sz w:val="24"/>
          <w:szCs w:val="24"/>
        </w:rPr>
        <w:noBreakHyphen/>
        <w:t xml:space="preserve">hours available should be calculated for each service center.  This will </w:t>
      </w:r>
      <w:r w:rsidR="00210E87">
        <w:rPr>
          <w:rFonts w:ascii="Arial" w:hAnsi="Arial" w:cs="Arial"/>
          <w:sz w:val="24"/>
          <w:szCs w:val="24"/>
        </w:rPr>
        <w:t xml:space="preserve">help </w:t>
      </w:r>
      <w:r w:rsidRPr="00C4057E">
        <w:rPr>
          <w:rFonts w:ascii="Arial" w:hAnsi="Arial" w:cs="Arial"/>
          <w:sz w:val="24"/>
          <w:szCs w:val="24"/>
        </w:rPr>
        <w:t>determine if additional field operations personnel should be hired (i.e., if understaffed) or temporarily reassigned from other service centers (i.e., if overstaffed).</w:t>
      </w:r>
    </w:p>
    <w:p w14:paraId="4E6F4A6A" w14:textId="77777777" w:rsidR="00C4057E" w:rsidRPr="00C4057E" w:rsidRDefault="00C4057E" w:rsidP="00C4057E">
      <w:pPr>
        <w:spacing w:after="0" w:line="240" w:lineRule="auto"/>
        <w:ind w:firstLine="720"/>
        <w:contextualSpacing/>
        <w:rPr>
          <w:rFonts w:ascii="Arial" w:hAnsi="Arial" w:cs="Arial"/>
          <w:sz w:val="24"/>
          <w:szCs w:val="24"/>
        </w:rPr>
      </w:pPr>
    </w:p>
    <w:p w14:paraId="1E869A87" w14:textId="77777777" w:rsidR="00C4057E" w:rsidRPr="00C4057E" w:rsidRDefault="00C4057E" w:rsidP="00C4057E">
      <w:pPr>
        <w:spacing w:after="0" w:line="240" w:lineRule="auto"/>
        <w:ind w:firstLine="720"/>
        <w:contextualSpacing/>
        <w:rPr>
          <w:rFonts w:ascii="Arial" w:hAnsi="Arial" w:cs="Arial"/>
          <w:sz w:val="24"/>
          <w:szCs w:val="24"/>
        </w:rPr>
      </w:pPr>
      <w:r w:rsidRPr="00C4057E">
        <w:rPr>
          <w:rFonts w:ascii="Arial" w:hAnsi="Arial" w:cs="Arial"/>
          <w:sz w:val="24"/>
          <w:szCs w:val="24"/>
        </w:rPr>
        <w:t xml:space="preserve">Due to the sensitive nature of the electric industry, field operations employees should not work excessive overtime.  Excessive overtime for field operations employees creates </w:t>
      </w:r>
      <w:r w:rsidR="00210E87">
        <w:rPr>
          <w:rFonts w:ascii="Arial" w:hAnsi="Arial" w:cs="Arial"/>
          <w:sz w:val="24"/>
          <w:szCs w:val="24"/>
        </w:rPr>
        <w:t>increased</w:t>
      </w:r>
      <w:r w:rsidRPr="00C4057E">
        <w:rPr>
          <w:rFonts w:ascii="Arial" w:hAnsi="Arial" w:cs="Arial"/>
          <w:sz w:val="24"/>
          <w:szCs w:val="24"/>
        </w:rPr>
        <w:t xml:space="preserve"> potential </w:t>
      </w:r>
      <w:r w:rsidR="00210E87">
        <w:rPr>
          <w:rFonts w:ascii="Arial" w:hAnsi="Arial" w:cs="Arial"/>
          <w:sz w:val="24"/>
          <w:szCs w:val="24"/>
        </w:rPr>
        <w:t>for</w:t>
      </w:r>
      <w:r w:rsidR="00210E87" w:rsidRPr="00C4057E">
        <w:rPr>
          <w:rFonts w:ascii="Arial" w:hAnsi="Arial" w:cs="Arial"/>
          <w:sz w:val="24"/>
          <w:szCs w:val="24"/>
        </w:rPr>
        <w:t xml:space="preserve"> </w:t>
      </w:r>
      <w:r w:rsidRPr="00C4057E">
        <w:rPr>
          <w:rFonts w:ascii="Arial" w:hAnsi="Arial" w:cs="Arial"/>
          <w:sz w:val="24"/>
          <w:szCs w:val="24"/>
        </w:rPr>
        <w:t xml:space="preserve">accidents and reduced work effectiveness.  The </w:t>
      </w:r>
      <w:r w:rsidR="00DC3D9B">
        <w:rPr>
          <w:rFonts w:ascii="Arial" w:hAnsi="Arial" w:cs="Arial"/>
          <w:sz w:val="24"/>
          <w:szCs w:val="24"/>
        </w:rPr>
        <w:t>FE-PA companies</w:t>
      </w:r>
      <w:r w:rsidRPr="00C4057E">
        <w:rPr>
          <w:rFonts w:ascii="Arial" w:hAnsi="Arial" w:cs="Arial"/>
          <w:sz w:val="24"/>
          <w:szCs w:val="24"/>
        </w:rPr>
        <w:t xml:space="preserve"> should conduct enhanced annual workforce planning with monthly monitoring and variance reporting and periodically submit the results of this monitoring to the Commission’s Bureau of Technical Utility Services for appraisement and coordination.  </w:t>
      </w:r>
    </w:p>
    <w:p w14:paraId="2CE2F49A" w14:textId="77777777" w:rsidR="00C4057E" w:rsidRPr="00C4057E" w:rsidRDefault="00C4057E" w:rsidP="00C4057E">
      <w:pPr>
        <w:spacing w:after="0" w:line="240" w:lineRule="auto"/>
        <w:contextualSpacing/>
        <w:rPr>
          <w:rFonts w:ascii="Arial" w:hAnsi="Arial" w:cs="Arial"/>
          <w:sz w:val="24"/>
          <w:szCs w:val="24"/>
        </w:rPr>
      </w:pPr>
    </w:p>
    <w:p w14:paraId="19CE7D55" w14:textId="77777777" w:rsidR="00C4057E" w:rsidRPr="00C4057E" w:rsidRDefault="00C4057E" w:rsidP="00C4057E">
      <w:pPr>
        <w:spacing w:after="0" w:line="240" w:lineRule="auto"/>
        <w:contextualSpacing/>
        <w:rPr>
          <w:rFonts w:ascii="Arial" w:hAnsi="Arial" w:cs="Arial"/>
          <w:sz w:val="24"/>
          <w:szCs w:val="24"/>
        </w:rPr>
      </w:pPr>
      <w:r w:rsidRPr="00C4057E">
        <w:rPr>
          <w:rFonts w:ascii="Arial" w:eastAsia="Times New Roman" w:hAnsi="Arial" w:cs="Arial"/>
          <w:b/>
          <w:snapToGrid w:val="0"/>
          <w:sz w:val="24"/>
          <w:szCs w:val="20"/>
          <w:u w:val="single"/>
        </w:rPr>
        <w:t xml:space="preserve">Follow-up </w:t>
      </w:r>
      <w:r w:rsidRPr="00C4057E">
        <w:rPr>
          <w:rFonts w:ascii="Arial" w:hAnsi="Arial" w:cs="Arial"/>
          <w:b/>
          <w:bCs/>
          <w:color w:val="000000"/>
          <w:sz w:val="24"/>
          <w:szCs w:val="24"/>
          <w:u w:val="single"/>
        </w:rPr>
        <w:t>Recommendation</w:t>
      </w:r>
      <w:r w:rsidRPr="00C4057E">
        <w:rPr>
          <w:rFonts w:ascii="Arial" w:hAnsi="Arial" w:cs="Arial"/>
          <w:b/>
          <w:bCs/>
          <w:color w:val="000000"/>
          <w:sz w:val="24"/>
          <w:szCs w:val="24"/>
        </w:rPr>
        <w:t xml:space="preserve"> </w:t>
      </w:r>
      <w:r w:rsidRPr="00C4057E">
        <w:rPr>
          <w:rFonts w:ascii="Arial" w:hAnsi="Arial" w:cs="Arial"/>
          <w:bCs/>
          <w:color w:val="000000"/>
          <w:sz w:val="24"/>
          <w:szCs w:val="24"/>
        </w:rPr>
        <w:t>–</w:t>
      </w:r>
      <w:r w:rsidRPr="00C4057E">
        <w:rPr>
          <w:rFonts w:ascii="Arial" w:hAnsi="Arial" w:cs="Arial"/>
          <w:b/>
          <w:bCs/>
          <w:color w:val="000000"/>
          <w:sz w:val="24"/>
          <w:szCs w:val="24"/>
        </w:rPr>
        <w:t xml:space="preserve"> Enhance workforce planning and reporting to ensure adequate staffing and periodically report on staffing reviews with the </w:t>
      </w:r>
      <w:bookmarkStart w:id="19" w:name="_Hlk512523240"/>
      <w:r w:rsidRPr="00C4057E">
        <w:rPr>
          <w:rFonts w:ascii="Arial" w:hAnsi="Arial" w:cs="Arial"/>
          <w:b/>
          <w:bCs/>
          <w:color w:val="000000"/>
          <w:sz w:val="24"/>
          <w:szCs w:val="24"/>
        </w:rPr>
        <w:t>PUC’s Bureau of Technical Utility Services.</w:t>
      </w:r>
      <w:bookmarkEnd w:id="19"/>
    </w:p>
    <w:p w14:paraId="21AAE100" w14:textId="77777777" w:rsidR="00C4057E" w:rsidRPr="00C4057E" w:rsidRDefault="00C4057E" w:rsidP="00C4057E">
      <w:pPr>
        <w:spacing w:after="0" w:line="240" w:lineRule="auto"/>
        <w:rPr>
          <w:rFonts w:ascii="Arial" w:hAnsi="Arial" w:cs="Arial"/>
          <w:sz w:val="24"/>
          <w:szCs w:val="24"/>
        </w:rPr>
      </w:pPr>
    </w:p>
    <w:p w14:paraId="33867C8A" w14:textId="77777777" w:rsidR="00C4057E" w:rsidRPr="00C4057E" w:rsidRDefault="00C4057E" w:rsidP="00C4057E">
      <w:pPr>
        <w:spacing w:after="0" w:line="240" w:lineRule="auto"/>
        <w:rPr>
          <w:rFonts w:ascii="Arial" w:hAnsi="Arial" w:cs="Arial"/>
          <w:sz w:val="24"/>
          <w:szCs w:val="24"/>
        </w:rPr>
      </w:pPr>
    </w:p>
    <w:p w14:paraId="4964952C" w14:textId="77777777" w:rsidR="00C4057E" w:rsidRPr="00C4057E" w:rsidRDefault="00C4057E" w:rsidP="00C4057E">
      <w:pPr>
        <w:spacing w:after="0" w:line="240" w:lineRule="auto"/>
        <w:rPr>
          <w:rFonts w:ascii="Arial" w:hAnsi="Arial" w:cs="Arial"/>
          <w:sz w:val="24"/>
          <w:szCs w:val="24"/>
        </w:rPr>
      </w:pPr>
    </w:p>
    <w:p w14:paraId="32BB8710" w14:textId="77777777" w:rsidR="00C4057E" w:rsidRPr="00C4057E" w:rsidRDefault="00C4057E" w:rsidP="00C4057E">
      <w:pPr>
        <w:rPr>
          <w:rFonts w:ascii="Arial" w:hAnsi="Arial" w:cs="Arial"/>
          <w:b/>
          <w:sz w:val="24"/>
          <w:szCs w:val="24"/>
          <w:u w:val="single"/>
        </w:rPr>
      </w:pPr>
      <w:bookmarkStart w:id="20" w:name="_Hlk512261749"/>
      <w:r w:rsidRPr="00C4057E">
        <w:rPr>
          <w:rFonts w:ascii="Arial" w:hAnsi="Arial" w:cs="Arial"/>
          <w:b/>
          <w:sz w:val="24"/>
          <w:szCs w:val="24"/>
          <w:u w:val="single"/>
        </w:rPr>
        <w:br w:type="page"/>
      </w:r>
    </w:p>
    <w:p w14:paraId="5F392EA0" w14:textId="77777777" w:rsidR="00C4057E" w:rsidRPr="00C4057E" w:rsidRDefault="00C4057E" w:rsidP="00C4057E">
      <w:pPr>
        <w:spacing w:after="0" w:line="240" w:lineRule="auto"/>
        <w:jc w:val="center"/>
        <w:rPr>
          <w:rFonts w:ascii="Arial" w:hAnsi="Arial" w:cs="Arial"/>
          <w:b/>
          <w:sz w:val="24"/>
          <w:szCs w:val="24"/>
          <w:u w:val="single"/>
        </w:rPr>
      </w:pPr>
      <w:r w:rsidRPr="00C4057E">
        <w:rPr>
          <w:rFonts w:ascii="Arial" w:hAnsi="Arial" w:cs="Arial"/>
          <w:b/>
          <w:sz w:val="24"/>
          <w:szCs w:val="24"/>
          <w:u w:val="single"/>
        </w:rPr>
        <w:t>Finding No. VII-3</w:t>
      </w:r>
    </w:p>
    <w:p w14:paraId="2FBEAAB6" w14:textId="77777777" w:rsidR="00C4057E" w:rsidRPr="00C4057E" w:rsidRDefault="00C4057E" w:rsidP="00C4057E">
      <w:pPr>
        <w:spacing w:after="0" w:line="240" w:lineRule="auto"/>
        <w:rPr>
          <w:rFonts w:ascii="Arial" w:hAnsi="Arial" w:cs="Arial"/>
          <w:b/>
          <w:sz w:val="24"/>
          <w:szCs w:val="24"/>
          <w:u w:val="single"/>
        </w:rPr>
      </w:pPr>
    </w:p>
    <w:p w14:paraId="40A7C1E3" w14:textId="77777777" w:rsidR="00C4057E" w:rsidRPr="00C4057E" w:rsidRDefault="00C4057E" w:rsidP="00C4057E">
      <w:pPr>
        <w:spacing w:after="0" w:line="240" w:lineRule="auto"/>
        <w:rPr>
          <w:rFonts w:ascii="Arial" w:hAnsi="Arial" w:cs="Arial"/>
          <w:sz w:val="24"/>
          <w:szCs w:val="24"/>
        </w:rPr>
      </w:pPr>
      <w:bookmarkStart w:id="21" w:name="_Hlk512263065"/>
      <w:bookmarkEnd w:id="20"/>
      <w:r w:rsidRPr="00C4057E">
        <w:rPr>
          <w:rFonts w:ascii="Arial" w:hAnsi="Arial" w:cs="Arial"/>
          <w:b/>
          <w:sz w:val="24"/>
          <w:szCs w:val="24"/>
          <w:u w:val="single"/>
        </w:rPr>
        <w:t>Prior Situation</w:t>
      </w:r>
      <w:r w:rsidRPr="00C4057E">
        <w:rPr>
          <w:rFonts w:ascii="Arial" w:hAnsi="Arial" w:cs="Arial"/>
          <w:sz w:val="24"/>
          <w:szCs w:val="24"/>
        </w:rPr>
        <w:t xml:space="preserve"> – In addition </w:t>
      </w:r>
      <w:bookmarkEnd w:id="21"/>
      <w:r w:rsidRPr="00C4057E">
        <w:rPr>
          <w:rFonts w:ascii="Arial" w:hAnsi="Arial" w:cs="Arial"/>
          <w:sz w:val="24"/>
          <w:szCs w:val="24"/>
        </w:rPr>
        <w:t>to the high overtime as discussed in Follow</w:t>
      </w:r>
      <w:r w:rsidRPr="00C4057E">
        <w:rPr>
          <w:rFonts w:ascii="Arial" w:hAnsi="Arial" w:cs="Arial"/>
          <w:sz w:val="24"/>
          <w:szCs w:val="24"/>
        </w:rPr>
        <w:noBreakHyphen/>
        <w:t xml:space="preserve">up Finding and Conclusion No. VII-2, the auditors observed that the </w:t>
      </w:r>
      <w:r w:rsidR="00DC3D9B">
        <w:rPr>
          <w:rFonts w:ascii="Arial" w:hAnsi="Arial" w:cs="Arial"/>
          <w:sz w:val="24"/>
          <w:szCs w:val="24"/>
        </w:rPr>
        <w:t>FE-PA companies</w:t>
      </w:r>
      <w:r w:rsidRPr="00C4057E">
        <w:rPr>
          <w:rFonts w:ascii="Arial" w:hAnsi="Arial" w:cs="Arial"/>
          <w:sz w:val="24"/>
          <w:szCs w:val="24"/>
        </w:rPr>
        <w:t xml:space="preserve"> typically did not have equal distribution of overtime levels among their employees during emergency responses largely due to low call-out acceptance rates for the emergency responders.  From 2009 to 2013, the call-out acceptance rates in some districts were consistently as low as 18% to 27%.  Consequently, numerous employees frequently incurred very high overtime levels.  </w:t>
      </w:r>
      <w:r w:rsidR="007A0520">
        <w:rPr>
          <w:rFonts w:ascii="Arial" w:hAnsi="Arial" w:cs="Arial"/>
          <w:sz w:val="24"/>
          <w:szCs w:val="24"/>
        </w:rPr>
        <w:t>During</w:t>
      </w:r>
      <w:r w:rsidR="007A0520" w:rsidRPr="00C4057E">
        <w:rPr>
          <w:rFonts w:ascii="Arial" w:hAnsi="Arial" w:cs="Arial"/>
          <w:sz w:val="24"/>
          <w:szCs w:val="24"/>
        </w:rPr>
        <w:t xml:space="preserve"> </w:t>
      </w:r>
      <w:r w:rsidRPr="00C4057E">
        <w:rPr>
          <w:rFonts w:ascii="Arial" w:hAnsi="Arial" w:cs="Arial"/>
          <w:sz w:val="24"/>
          <w:szCs w:val="24"/>
        </w:rPr>
        <w:t xml:space="preserve">this timeframe, overtime levels peaked in 2012 in which 1,021 employees incurred overtime levels over 15%; 414 of those had overtime levels over 25%; 36 of those had overtime levels over 50%; five of those had overtime levels over 75% and of those one had </w:t>
      </w:r>
      <w:r w:rsidR="007A0520">
        <w:rPr>
          <w:rFonts w:ascii="Arial" w:hAnsi="Arial" w:cs="Arial"/>
          <w:sz w:val="24"/>
          <w:szCs w:val="24"/>
        </w:rPr>
        <w:t xml:space="preserve">an </w:t>
      </w:r>
      <w:r w:rsidRPr="00C4057E">
        <w:rPr>
          <w:rFonts w:ascii="Arial" w:hAnsi="Arial" w:cs="Arial"/>
          <w:sz w:val="24"/>
          <w:szCs w:val="24"/>
        </w:rPr>
        <w:t>overtime level</w:t>
      </w:r>
      <w:r w:rsidR="007A0520">
        <w:rPr>
          <w:rFonts w:ascii="Arial" w:hAnsi="Arial" w:cs="Arial"/>
          <w:sz w:val="24"/>
          <w:szCs w:val="24"/>
        </w:rPr>
        <w:t xml:space="preserve"> of </w:t>
      </w:r>
      <w:r w:rsidRPr="00C4057E">
        <w:rPr>
          <w:rFonts w:ascii="Arial" w:hAnsi="Arial" w:cs="Arial"/>
          <w:sz w:val="24"/>
          <w:szCs w:val="24"/>
        </w:rPr>
        <w:t xml:space="preserve">103%.  Although the call-out procedures were different at each of the </w:t>
      </w:r>
      <w:r w:rsidR="00DC3D9B">
        <w:rPr>
          <w:rFonts w:ascii="Arial" w:hAnsi="Arial" w:cs="Arial"/>
          <w:sz w:val="24"/>
          <w:szCs w:val="24"/>
        </w:rPr>
        <w:t>FE-PA companies</w:t>
      </w:r>
      <w:r w:rsidRPr="00C4057E">
        <w:rPr>
          <w:rFonts w:ascii="Arial" w:hAnsi="Arial" w:cs="Arial"/>
          <w:sz w:val="24"/>
          <w:szCs w:val="24"/>
        </w:rPr>
        <w:t>, each of the union contracts had language that stated employees must respond to call</w:t>
      </w:r>
      <w:r w:rsidR="00AC6689">
        <w:rPr>
          <w:rFonts w:ascii="Arial" w:hAnsi="Arial" w:cs="Arial"/>
          <w:sz w:val="24"/>
          <w:szCs w:val="24"/>
        </w:rPr>
        <w:t>-</w:t>
      </w:r>
      <w:r w:rsidRPr="00C4057E">
        <w:rPr>
          <w:rFonts w:ascii="Arial" w:hAnsi="Arial" w:cs="Arial"/>
          <w:sz w:val="24"/>
          <w:szCs w:val="24"/>
        </w:rPr>
        <w:t xml:space="preserve">outs when requested.  </w:t>
      </w:r>
    </w:p>
    <w:p w14:paraId="7EC5FD06" w14:textId="77777777" w:rsidR="00C4057E" w:rsidRPr="00C4057E" w:rsidRDefault="00C4057E" w:rsidP="00C4057E">
      <w:pPr>
        <w:spacing w:after="0" w:line="240" w:lineRule="auto"/>
        <w:rPr>
          <w:rFonts w:ascii="Arial" w:hAnsi="Arial" w:cs="Arial"/>
          <w:b/>
          <w:sz w:val="24"/>
          <w:szCs w:val="24"/>
          <w:u w:val="single"/>
        </w:rPr>
      </w:pPr>
      <w:bookmarkStart w:id="22" w:name="_Hlk512319857"/>
    </w:p>
    <w:p w14:paraId="0C88CE09" w14:textId="77777777" w:rsidR="00C4057E" w:rsidRPr="00C4057E" w:rsidRDefault="00C4057E" w:rsidP="00C4057E">
      <w:pPr>
        <w:spacing w:after="0" w:line="240" w:lineRule="auto"/>
        <w:rPr>
          <w:rFonts w:ascii="Arial" w:hAnsi="Arial" w:cs="Arial"/>
          <w:sz w:val="24"/>
          <w:szCs w:val="24"/>
        </w:rPr>
      </w:pPr>
      <w:r w:rsidRPr="00C4057E">
        <w:rPr>
          <w:rFonts w:ascii="Arial" w:hAnsi="Arial" w:cs="Arial"/>
          <w:b/>
          <w:sz w:val="24"/>
          <w:szCs w:val="24"/>
          <w:u w:val="single"/>
        </w:rPr>
        <w:t xml:space="preserve">Prior Recommendation </w:t>
      </w:r>
      <w:r w:rsidRPr="00C4057E">
        <w:rPr>
          <w:rFonts w:ascii="Arial" w:hAnsi="Arial" w:cs="Arial"/>
          <w:sz w:val="24"/>
          <w:szCs w:val="24"/>
        </w:rPr>
        <w:t>– Initiate policies to enforce union contract provisions which require craft worker acceptance of emergency call outs.</w:t>
      </w:r>
    </w:p>
    <w:p w14:paraId="7754F6AC" w14:textId="77777777" w:rsidR="00C4057E" w:rsidRPr="00C4057E" w:rsidRDefault="00C4057E" w:rsidP="00C4057E">
      <w:pPr>
        <w:spacing w:after="0" w:line="240" w:lineRule="auto"/>
        <w:rPr>
          <w:rFonts w:ascii="Arial" w:hAnsi="Arial" w:cs="Arial"/>
          <w:sz w:val="24"/>
          <w:szCs w:val="24"/>
        </w:rPr>
      </w:pPr>
    </w:p>
    <w:p w14:paraId="118828A9" w14:textId="77777777" w:rsidR="00C4057E" w:rsidRPr="00C4057E" w:rsidRDefault="00C4057E" w:rsidP="00C4057E">
      <w:pPr>
        <w:spacing w:after="0" w:line="240" w:lineRule="auto"/>
        <w:rPr>
          <w:rFonts w:ascii="Arial" w:hAnsi="Arial" w:cs="Arial"/>
          <w:b/>
          <w:sz w:val="24"/>
          <w:szCs w:val="24"/>
        </w:rPr>
      </w:pPr>
      <w:r w:rsidRPr="00C4057E">
        <w:rPr>
          <w:rFonts w:ascii="Arial" w:hAnsi="Arial" w:cs="Arial"/>
          <w:b/>
          <w:sz w:val="24"/>
          <w:szCs w:val="24"/>
          <w:u w:val="single"/>
        </w:rPr>
        <w:t>Follow-up Finding and Conclusion</w:t>
      </w:r>
      <w:r w:rsidR="00F65A25" w:rsidRPr="00F65A25">
        <w:rPr>
          <w:rFonts w:ascii="Arial" w:eastAsia="Times New Roman" w:hAnsi="Arial" w:cs="Times New Roman"/>
          <w:b/>
          <w:sz w:val="24"/>
          <w:szCs w:val="24"/>
          <w:u w:val="single"/>
        </w:rPr>
        <w:t xml:space="preserve"> </w:t>
      </w:r>
      <w:r w:rsidR="00F65A25">
        <w:rPr>
          <w:rFonts w:ascii="Arial" w:eastAsia="Times New Roman" w:hAnsi="Arial" w:cs="Times New Roman"/>
          <w:b/>
          <w:sz w:val="24"/>
          <w:szCs w:val="24"/>
          <w:u w:val="single"/>
        </w:rPr>
        <w:t>No. VII</w:t>
      </w:r>
      <w:r w:rsidR="00F65A25" w:rsidRPr="00B146D6">
        <w:rPr>
          <w:rFonts w:ascii="Arial" w:eastAsia="Times New Roman" w:hAnsi="Arial" w:cs="Times New Roman"/>
          <w:b/>
          <w:sz w:val="24"/>
          <w:szCs w:val="24"/>
          <w:u w:val="single"/>
        </w:rPr>
        <w:t>-</w:t>
      </w:r>
      <w:r w:rsidR="00F65A25">
        <w:rPr>
          <w:rFonts w:ascii="Arial" w:eastAsia="Times New Roman" w:hAnsi="Arial" w:cs="Times New Roman"/>
          <w:b/>
          <w:sz w:val="24"/>
          <w:szCs w:val="24"/>
          <w:u w:val="single"/>
        </w:rPr>
        <w:t>3</w:t>
      </w:r>
      <w:r w:rsidRPr="00C4057E">
        <w:rPr>
          <w:rFonts w:ascii="Arial" w:hAnsi="Arial" w:cs="Arial"/>
          <w:b/>
          <w:sz w:val="24"/>
          <w:szCs w:val="24"/>
        </w:rPr>
        <w:t xml:space="preserve"> </w:t>
      </w:r>
      <w:r w:rsidRPr="00C4057E">
        <w:rPr>
          <w:rFonts w:ascii="Arial" w:hAnsi="Arial" w:cs="Arial"/>
          <w:sz w:val="24"/>
          <w:szCs w:val="24"/>
        </w:rPr>
        <w:t>–</w:t>
      </w:r>
      <w:r w:rsidRPr="00C4057E">
        <w:rPr>
          <w:rFonts w:ascii="Arial" w:hAnsi="Arial" w:cs="Arial"/>
          <w:b/>
          <w:sz w:val="24"/>
          <w:szCs w:val="24"/>
        </w:rPr>
        <w:t xml:space="preserve"> Although </w:t>
      </w:r>
      <w:bookmarkEnd w:id="22"/>
      <w:r w:rsidRPr="00C4057E">
        <w:rPr>
          <w:rFonts w:ascii="Arial" w:hAnsi="Arial" w:cs="Arial"/>
          <w:b/>
          <w:sz w:val="24"/>
          <w:szCs w:val="24"/>
        </w:rPr>
        <w:t>some improvements have been achieved, service centers are still experiencing low call-out acceptance rates and high individual overtime levels.</w:t>
      </w:r>
    </w:p>
    <w:p w14:paraId="2F8C9EC2" w14:textId="77777777" w:rsidR="00C4057E" w:rsidRPr="00C4057E" w:rsidRDefault="00C4057E" w:rsidP="00C4057E">
      <w:pPr>
        <w:spacing w:after="0" w:line="240" w:lineRule="auto"/>
        <w:rPr>
          <w:rFonts w:ascii="Arial" w:hAnsi="Arial" w:cs="Arial"/>
          <w:b/>
          <w:sz w:val="24"/>
          <w:szCs w:val="24"/>
        </w:rPr>
      </w:pPr>
    </w:p>
    <w:p w14:paraId="40B33744" w14:textId="77777777" w:rsidR="00D62C8D" w:rsidRDefault="00C4057E" w:rsidP="00C4057E">
      <w:pPr>
        <w:spacing w:after="0" w:line="240" w:lineRule="auto"/>
        <w:ind w:firstLine="720"/>
        <w:rPr>
          <w:rFonts w:ascii="Arial" w:hAnsi="Arial" w:cs="Arial"/>
          <w:sz w:val="24"/>
          <w:szCs w:val="24"/>
        </w:rPr>
      </w:pPr>
      <w:r w:rsidRPr="00C4057E">
        <w:rPr>
          <w:rFonts w:ascii="Arial" w:hAnsi="Arial" w:cs="Arial"/>
          <w:b/>
          <w:u w:val="single"/>
        </w:rPr>
        <w:t>Current Review</w:t>
      </w:r>
      <w:r w:rsidRPr="00C4057E">
        <w:rPr>
          <w:rFonts w:ascii="Arial" w:hAnsi="Arial" w:cs="Arial"/>
        </w:rPr>
        <w:t xml:space="preserve"> – </w:t>
      </w:r>
      <w:r w:rsidRPr="00C4057E">
        <w:rPr>
          <w:rFonts w:ascii="Arial" w:hAnsi="Arial" w:cs="Arial"/>
          <w:sz w:val="24"/>
          <w:szCs w:val="24"/>
        </w:rPr>
        <w:t xml:space="preserve">In May 2015, </w:t>
      </w:r>
      <w:r w:rsidR="00642D8C">
        <w:rPr>
          <w:rFonts w:ascii="Arial" w:hAnsi="Arial" w:cs="Arial"/>
          <w:sz w:val="24"/>
          <w:szCs w:val="24"/>
        </w:rPr>
        <w:t>management</w:t>
      </w:r>
      <w:r w:rsidRPr="00C4057E">
        <w:rPr>
          <w:rFonts w:ascii="Arial" w:hAnsi="Arial" w:cs="Arial"/>
          <w:sz w:val="24"/>
          <w:szCs w:val="24"/>
        </w:rPr>
        <w:t xml:space="preserve"> at each of the </w:t>
      </w:r>
      <w:r w:rsidR="00DC3D9B">
        <w:rPr>
          <w:rFonts w:ascii="Arial" w:hAnsi="Arial" w:cs="Arial"/>
          <w:sz w:val="24"/>
          <w:szCs w:val="24"/>
        </w:rPr>
        <w:t>FE-PA companies</w:t>
      </w:r>
      <w:r w:rsidRPr="00C4057E">
        <w:rPr>
          <w:rFonts w:ascii="Arial" w:hAnsi="Arial" w:cs="Arial"/>
          <w:sz w:val="24"/>
          <w:szCs w:val="24"/>
        </w:rPr>
        <w:t xml:space="preserve"> initiated discussions with local union leadership to evaluate and discuss strategies and processes to streamline and improve call-out responses.  Moreover, the parties planned to periodically review progress and enhance communications of expectations as needed.  Although there were examples of this strategy being effective, this was not the case in all </w:t>
      </w:r>
      <w:r w:rsidR="00D62C8D">
        <w:rPr>
          <w:rFonts w:ascii="Arial" w:hAnsi="Arial" w:cs="Arial"/>
          <w:sz w:val="24"/>
          <w:szCs w:val="24"/>
        </w:rPr>
        <w:t>service centers</w:t>
      </w:r>
      <w:r w:rsidRPr="00C4057E">
        <w:rPr>
          <w:rFonts w:ascii="Arial" w:hAnsi="Arial" w:cs="Arial"/>
          <w:sz w:val="24"/>
          <w:szCs w:val="24"/>
        </w:rPr>
        <w:t xml:space="preserve">.  Exhibit VII-5 displays the overall call-out acceptance rates by each of the </w:t>
      </w:r>
      <w:r w:rsidR="00DC3D9B">
        <w:rPr>
          <w:rFonts w:ascii="Arial" w:hAnsi="Arial" w:cs="Arial"/>
          <w:sz w:val="24"/>
          <w:szCs w:val="24"/>
        </w:rPr>
        <w:t>FE-PA companies</w:t>
      </w:r>
      <w:r w:rsidRPr="00C4057E">
        <w:rPr>
          <w:rFonts w:ascii="Arial" w:hAnsi="Arial" w:cs="Arial"/>
          <w:sz w:val="24"/>
          <w:szCs w:val="24"/>
        </w:rPr>
        <w:t xml:space="preserve"> from 2014 to 2017</w:t>
      </w:r>
      <w:r w:rsidR="00AC6689">
        <w:rPr>
          <w:rFonts w:ascii="Arial" w:hAnsi="Arial" w:cs="Arial"/>
          <w:sz w:val="24"/>
          <w:szCs w:val="24"/>
        </w:rPr>
        <w:t xml:space="preserve">.  </w:t>
      </w:r>
      <w:r w:rsidRPr="00C4057E">
        <w:rPr>
          <w:rFonts w:ascii="Arial" w:hAnsi="Arial" w:cs="Arial"/>
          <w:sz w:val="24"/>
          <w:szCs w:val="24"/>
        </w:rPr>
        <w:t xml:space="preserve"> </w:t>
      </w:r>
    </w:p>
    <w:p w14:paraId="365C0DC9" w14:textId="77777777" w:rsidR="00D62C8D" w:rsidRDefault="00D62C8D" w:rsidP="00C4057E">
      <w:pPr>
        <w:spacing w:after="0" w:line="240" w:lineRule="auto"/>
        <w:ind w:firstLine="720"/>
        <w:rPr>
          <w:rFonts w:ascii="Arial" w:hAnsi="Arial" w:cs="Arial"/>
          <w:sz w:val="24"/>
          <w:szCs w:val="24"/>
        </w:rPr>
      </w:pPr>
    </w:p>
    <w:p w14:paraId="0489A8F2" w14:textId="77777777" w:rsidR="00D62C8D" w:rsidRDefault="00D62C8D" w:rsidP="00C4057E">
      <w:pPr>
        <w:spacing w:after="0" w:line="240" w:lineRule="auto"/>
        <w:ind w:firstLine="720"/>
        <w:rPr>
          <w:rFonts w:ascii="Arial" w:hAnsi="Arial" w:cs="Arial"/>
          <w:sz w:val="24"/>
          <w:szCs w:val="24"/>
        </w:rPr>
      </w:pPr>
    </w:p>
    <w:p w14:paraId="302305FC" w14:textId="77777777" w:rsidR="00D62C8D" w:rsidRPr="00C4057E" w:rsidRDefault="00D62C8D" w:rsidP="00D62C8D">
      <w:pPr>
        <w:widowControl w:val="0"/>
        <w:spacing w:after="0" w:line="240" w:lineRule="auto"/>
        <w:jc w:val="center"/>
        <w:rPr>
          <w:rFonts w:ascii="Arial" w:hAnsi="Arial" w:cs="Arial"/>
          <w:b/>
          <w:sz w:val="24"/>
          <w:szCs w:val="24"/>
        </w:rPr>
      </w:pPr>
      <w:r w:rsidRPr="00C4057E">
        <w:rPr>
          <w:rFonts w:ascii="Arial" w:hAnsi="Arial" w:cs="Arial"/>
          <w:b/>
          <w:sz w:val="24"/>
          <w:szCs w:val="24"/>
        </w:rPr>
        <w:t>Exhibit VII – 5</w:t>
      </w:r>
    </w:p>
    <w:p w14:paraId="4AA9659E" w14:textId="77777777" w:rsidR="00D62C8D" w:rsidRPr="00C4057E" w:rsidRDefault="00D62C8D" w:rsidP="00D62C8D">
      <w:pPr>
        <w:widowControl w:val="0"/>
        <w:spacing w:after="0" w:line="240" w:lineRule="auto"/>
        <w:jc w:val="center"/>
        <w:rPr>
          <w:rFonts w:ascii="Arial" w:hAnsi="Arial" w:cs="Arial"/>
          <w:b/>
          <w:sz w:val="24"/>
          <w:szCs w:val="24"/>
        </w:rPr>
      </w:pPr>
      <w:r w:rsidRPr="00C4057E">
        <w:rPr>
          <w:rFonts w:ascii="Arial" w:hAnsi="Arial" w:cs="Arial"/>
          <w:b/>
          <w:sz w:val="24"/>
          <w:szCs w:val="24"/>
        </w:rPr>
        <w:t>FirstEnergy Pennsylvania Companies</w:t>
      </w:r>
    </w:p>
    <w:p w14:paraId="5FAC4CC4" w14:textId="77777777" w:rsidR="00D62C8D" w:rsidRPr="00C4057E" w:rsidRDefault="00D62C8D" w:rsidP="00D62C8D">
      <w:pPr>
        <w:widowControl w:val="0"/>
        <w:spacing w:after="0" w:line="240" w:lineRule="auto"/>
        <w:jc w:val="center"/>
        <w:rPr>
          <w:rFonts w:ascii="Arial" w:hAnsi="Arial" w:cs="Arial"/>
          <w:b/>
          <w:sz w:val="24"/>
          <w:szCs w:val="24"/>
        </w:rPr>
      </w:pPr>
      <w:r w:rsidRPr="00C4057E">
        <w:rPr>
          <w:rFonts w:ascii="Arial" w:hAnsi="Arial" w:cs="Arial"/>
          <w:b/>
          <w:sz w:val="24"/>
          <w:szCs w:val="24"/>
        </w:rPr>
        <w:t>Average Call-Out Acceptance Rates</w:t>
      </w:r>
    </w:p>
    <w:p w14:paraId="7009EA65" w14:textId="77777777" w:rsidR="00D62C8D" w:rsidRPr="00C4057E" w:rsidRDefault="00D62C8D" w:rsidP="00D62C8D">
      <w:pPr>
        <w:spacing w:after="0" w:line="240" w:lineRule="auto"/>
        <w:jc w:val="center"/>
        <w:rPr>
          <w:rFonts w:ascii="Arial" w:hAnsi="Arial" w:cs="Arial"/>
          <w:sz w:val="24"/>
          <w:szCs w:val="24"/>
        </w:rPr>
      </w:pPr>
      <w:r w:rsidRPr="00C4057E">
        <w:rPr>
          <w:rFonts w:ascii="Arial" w:hAnsi="Arial" w:cs="Arial"/>
          <w:b/>
          <w:sz w:val="24"/>
          <w:szCs w:val="24"/>
        </w:rPr>
        <w:t>For the Years 2014 through 2017</w:t>
      </w:r>
    </w:p>
    <w:p w14:paraId="477213CF" w14:textId="77777777" w:rsidR="00D62C8D" w:rsidRPr="00C4057E" w:rsidRDefault="00D62C8D" w:rsidP="00D62C8D">
      <w:pPr>
        <w:spacing w:after="0" w:line="240" w:lineRule="auto"/>
        <w:rPr>
          <w:rFonts w:ascii="Arial" w:hAnsi="Arial" w:cs="Arial"/>
          <w:sz w:val="8"/>
          <w:szCs w:val="8"/>
        </w:rPr>
      </w:pPr>
    </w:p>
    <w:tbl>
      <w:tblPr>
        <w:tblW w:w="0" w:type="auto"/>
        <w:jc w:val="center"/>
        <w:tblLayout w:type="fixed"/>
        <w:tblCellMar>
          <w:left w:w="30" w:type="dxa"/>
          <w:right w:w="30" w:type="dxa"/>
        </w:tblCellMar>
        <w:tblLook w:val="0000" w:firstRow="0" w:lastRow="0" w:firstColumn="0" w:lastColumn="0" w:noHBand="0" w:noVBand="0"/>
      </w:tblPr>
      <w:tblGrid>
        <w:gridCol w:w="1687"/>
        <w:gridCol w:w="1105"/>
        <w:gridCol w:w="1106"/>
        <w:gridCol w:w="1106"/>
        <w:gridCol w:w="1106"/>
      </w:tblGrid>
      <w:tr w:rsidR="00D62C8D" w:rsidRPr="00C4057E" w14:paraId="29B5DC99" w14:textId="77777777" w:rsidTr="00D62C8D">
        <w:trPr>
          <w:trHeight w:val="290"/>
          <w:jc w:val="center"/>
        </w:trPr>
        <w:tc>
          <w:tcPr>
            <w:tcW w:w="1687" w:type="dxa"/>
            <w:tcBorders>
              <w:top w:val="single" w:sz="6" w:space="0" w:color="auto"/>
              <w:left w:val="single" w:sz="18" w:space="0" w:color="auto"/>
              <w:bottom w:val="single" w:sz="6" w:space="0" w:color="auto"/>
              <w:right w:val="single" w:sz="6" w:space="0" w:color="auto"/>
            </w:tcBorders>
            <w:shd w:val="solid" w:color="993300" w:fill="auto"/>
          </w:tcPr>
          <w:p w14:paraId="7E6ED46C" w14:textId="77777777" w:rsidR="00D62C8D" w:rsidRPr="00C4057E" w:rsidRDefault="00D62C8D" w:rsidP="00D62C8D">
            <w:pPr>
              <w:autoSpaceDE w:val="0"/>
              <w:autoSpaceDN w:val="0"/>
              <w:adjustRightInd w:val="0"/>
              <w:spacing w:after="0" w:line="240" w:lineRule="auto"/>
              <w:jc w:val="center"/>
              <w:rPr>
                <w:rFonts w:ascii="Calibri" w:hAnsi="Calibri" w:cs="Calibri"/>
                <w:color w:val="000000"/>
              </w:rPr>
            </w:pPr>
          </w:p>
        </w:tc>
        <w:tc>
          <w:tcPr>
            <w:tcW w:w="1105" w:type="dxa"/>
            <w:tcBorders>
              <w:top w:val="single" w:sz="6" w:space="0" w:color="auto"/>
              <w:left w:val="single" w:sz="6" w:space="0" w:color="auto"/>
              <w:bottom w:val="single" w:sz="6" w:space="0" w:color="auto"/>
              <w:right w:val="single" w:sz="6" w:space="0" w:color="auto"/>
            </w:tcBorders>
            <w:shd w:val="solid" w:color="993300" w:fill="auto"/>
          </w:tcPr>
          <w:p w14:paraId="7CD82679" w14:textId="77777777" w:rsidR="00D62C8D" w:rsidRPr="00C4057E" w:rsidRDefault="00D62C8D" w:rsidP="00D62C8D">
            <w:pPr>
              <w:autoSpaceDE w:val="0"/>
              <w:autoSpaceDN w:val="0"/>
              <w:adjustRightInd w:val="0"/>
              <w:spacing w:after="0" w:line="240" w:lineRule="auto"/>
              <w:jc w:val="center"/>
              <w:rPr>
                <w:rFonts w:ascii="Calibri" w:hAnsi="Calibri" w:cs="Calibri"/>
                <w:color w:val="FFFFFF" w:themeColor="background1"/>
              </w:rPr>
            </w:pPr>
            <w:r w:rsidRPr="00C4057E">
              <w:rPr>
                <w:rFonts w:ascii="Calibri" w:hAnsi="Calibri" w:cs="Calibri"/>
                <w:color w:val="FFFFFF" w:themeColor="background1"/>
              </w:rPr>
              <w:t>2014</w:t>
            </w:r>
          </w:p>
        </w:tc>
        <w:tc>
          <w:tcPr>
            <w:tcW w:w="1106" w:type="dxa"/>
            <w:tcBorders>
              <w:top w:val="single" w:sz="6" w:space="0" w:color="auto"/>
              <w:left w:val="single" w:sz="6" w:space="0" w:color="auto"/>
              <w:bottom w:val="single" w:sz="6" w:space="0" w:color="auto"/>
              <w:right w:val="single" w:sz="6" w:space="0" w:color="auto"/>
            </w:tcBorders>
            <w:shd w:val="solid" w:color="993300" w:fill="auto"/>
          </w:tcPr>
          <w:p w14:paraId="0B48D7E3" w14:textId="77777777" w:rsidR="00D62C8D" w:rsidRPr="00C4057E" w:rsidRDefault="00D62C8D" w:rsidP="00D62C8D">
            <w:pPr>
              <w:autoSpaceDE w:val="0"/>
              <w:autoSpaceDN w:val="0"/>
              <w:adjustRightInd w:val="0"/>
              <w:spacing w:after="0" w:line="240" w:lineRule="auto"/>
              <w:jc w:val="center"/>
              <w:rPr>
                <w:rFonts w:ascii="Calibri" w:hAnsi="Calibri" w:cs="Calibri"/>
                <w:color w:val="FFFFFF" w:themeColor="background1"/>
              </w:rPr>
            </w:pPr>
            <w:r w:rsidRPr="00C4057E">
              <w:rPr>
                <w:rFonts w:ascii="Calibri" w:hAnsi="Calibri" w:cs="Calibri"/>
                <w:color w:val="FFFFFF" w:themeColor="background1"/>
              </w:rPr>
              <w:t>2015</w:t>
            </w:r>
          </w:p>
        </w:tc>
        <w:tc>
          <w:tcPr>
            <w:tcW w:w="1106" w:type="dxa"/>
            <w:tcBorders>
              <w:top w:val="single" w:sz="6" w:space="0" w:color="auto"/>
              <w:left w:val="single" w:sz="6" w:space="0" w:color="auto"/>
              <w:bottom w:val="single" w:sz="6" w:space="0" w:color="auto"/>
              <w:right w:val="single" w:sz="6" w:space="0" w:color="auto"/>
            </w:tcBorders>
            <w:shd w:val="solid" w:color="993300" w:fill="auto"/>
          </w:tcPr>
          <w:p w14:paraId="048ED08C" w14:textId="77777777" w:rsidR="00D62C8D" w:rsidRPr="00C4057E" w:rsidRDefault="00D62C8D" w:rsidP="00D62C8D">
            <w:pPr>
              <w:autoSpaceDE w:val="0"/>
              <w:autoSpaceDN w:val="0"/>
              <w:adjustRightInd w:val="0"/>
              <w:spacing w:after="0" w:line="240" w:lineRule="auto"/>
              <w:jc w:val="center"/>
              <w:rPr>
                <w:rFonts w:ascii="Calibri" w:hAnsi="Calibri" w:cs="Calibri"/>
                <w:color w:val="FFFFFF" w:themeColor="background1"/>
              </w:rPr>
            </w:pPr>
            <w:r w:rsidRPr="00C4057E">
              <w:rPr>
                <w:rFonts w:ascii="Calibri" w:hAnsi="Calibri" w:cs="Calibri"/>
                <w:color w:val="FFFFFF" w:themeColor="background1"/>
              </w:rPr>
              <w:t>2016</w:t>
            </w:r>
          </w:p>
        </w:tc>
        <w:tc>
          <w:tcPr>
            <w:tcW w:w="1106" w:type="dxa"/>
            <w:tcBorders>
              <w:top w:val="single" w:sz="6" w:space="0" w:color="auto"/>
              <w:left w:val="single" w:sz="6" w:space="0" w:color="auto"/>
              <w:bottom w:val="single" w:sz="6" w:space="0" w:color="auto"/>
              <w:right w:val="single" w:sz="18" w:space="0" w:color="auto"/>
            </w:tcBorders>
            <w:shd w:val="solid" w:color="993300" w:fill="auto"/>
          </w:tcPr>
          <w:p w14:paraId="75E33D5C" w14:textId="77777777" w:rsidR="00D62C8D" w:rsidRPr="00C4057E" w:rsidRDefault="00D62C8D" w:rsidP="00D62C8D">
            <w:pPr>
              <w:autoSpaceDE w:val="0"/>
              <w:autoSpaceDN w:val="0"/>
              <w:adjustRightInd w:val="0"/>
              <w:spacing w:after="0" w:line="240" w:lineRule="auto"/>
              <w:jc w:val="center"/>
              <w:rPr>
                <w:rFonts w:ascii="Calibri" w:hAnsi="Calibri" w:cs="Calibri"/>
                <w:color w:val="FFFFFF" w:themeColor="background1"/>
              </w:rPr>
            </w:pPr>
            <w:r w:rsidRPr="00C4057E">
              <w:rPr>
                <w:rFonts w:ascii="Calibri" w:hAnsi="Calibri" w:cs="Calibri"/>
                <w:color w:val="FFFFFF" w:themeColor="background1"/>
              </w:rPr>
              <w:t>2017</w:t>
            </w:r>
          </w:p>
        </w:tc>
      </w:tr>
      <w:tr w:rsidR="00D62C8D" w:rsidRPr="00C4057E" w14:paraId="0F710F30" w14:textId="77777777" w:rsidTr="00D62C8D">
        <w:trPr>
          <w:trHeight w:val="290"/>
          <w:jc w:val="center"/>
        </w:trPr>
        <w:tc>
          <w:tcPr>
            <w:tcW w:w="1687" w:type="dxa"/>
            <w:tcBorders>
              <w:top w:val="single" w:sz="6" w:space="0" w:color="auto"/>
              <w:left w:val="single" w:sz="18" w:space="0" w:color="auto"/>
              <w:bottom w:val="single" w:sz="6" w:space="0" w:color="auto"/>
              <w:right w:val="single" w:sz="6" w:space="0" w:color="auto"/>
            </w:tcBorders>
          </w:tcPr>
          <w:p w14:paraId="40DC9BE5" w14:textId="77777777" w:rsidR="00D62C8D" w:rsidRPr="00C4057E" w:rsidRDefault="00D62C8D" w:rsidP="00D62C8D">
            <w:pPr>
              <w:autoSpaceDE w:val="0"/>
              <w:autoSpaceDN w:val="0"/>
              <w:adjustRightInd w:val="0"/>
              <w:spacing w:after="0" w:line="240" w:lineRule="auto"/>
              <w:rPr>
                <w:rFonts w:ascii="Calibri" w:hAnsi="Calibri" w:cs="Calibri"/>
                <w:color w:val="000000"/>
              </w:rPr>
            </w:pPr>
            <w:r w:rsidRPr="00C4057E">
              <w:rPr>
                <w:rFonts w:ascii="Calibri" w:hAnsi="Calibri" w:cs="Calibri"/>
                <w:color w:val="000000"/>
              </w:rPr>
              <w:t>Met-Ed</w:t>
            </w:r>
          </w:p>
        </w:tc>
        <w:tc>
          <w:tcPr>
            <w:tcW w:w="1105" w:type="dxa"/>
            <w:tcBorders>
              <w:top w:val="single" w:sz="6" w:space="0" w:color="auto"/>
              <w:left w:val="single" w:sz="6" w:space="0" w:color="auto"/>
              <w:bottom w:val="single" w:sz="6" w:space="0" w:color="auto"/>
              <w:right w:val="single" w:sz="6" w:space="0" w:color="auto"/>
            </w:tcBorders>
          </w:tcPr>
          <w:p w14:paraId="6A557083" w14:textId="77777777" w:rsidR="00D62C8D" w:rsidRPr="00C4057E" w:rsidRDefault="00D62C8D" w:rsidP="00D62C8D">
            <w:pPr>
              <w:autoSpaceDE w:val="0"/>
              <w:autoSpaceDN w:val="0"/>
              <w:adjustRightInd w:val="0"/>
              <w:spacing w:after="0" w:line="240" w:lineRule="auto"/>
              <w:jc w:val="center"/>
              <w:rPr>
                <w:rFonts w:ascii="Calibri" w:hAnsi="Calibri" w:cs="Calibri"/>
                <w:color w:val="000000"/>
              </w:rPr>
            </w:pPr>
            <w:r w:rsidRPr="00C4057E">
              <w:rPr>
                <w:rFonts w:ascii="Calibri" w:hAnsi="Calibri" w:cs="Calibri"/>
                <w:color w:val="000000"/>
              </w:rPr>
              <w:t>44%</w:t>
            </w:r>
          </w:p>
        </w:tc>
        <w:tc>
          <w:tcPr>
            <w:tcW w:w="1106" w:type="dxa"/>
            <w:tcBorders>
              <w:top w:val="single" w:sz="6" w:space="0" w:color="auto"/>
              <w:left w:val="single" w:sz="6" w:space="0" w:color="auto"/>
              <w:bottom w:val="single" w:sz="6" w:space="0" w:color="auto"/>
              <w:right w:val="single" w:sz="6" w:space="0" w:color="auto"/>
            </w:tcBorders>
          </w:tcPr>
          <w:p w14:paraId="6ACA4700" w14:textId="77777777" w:rsidR="00D62C8D" w:rsidRPr="00C4057E" w:rsidRDefault="00D62C8D" w:rsidP="00D62C8D">
            <w:pPr>
              <w:autoSpaceDE w:val="0"/>
              <w:autoSpaceDN w:val="0"/>
              <w:adjustRightInd w:val="0"/>
              <w:spacing w:after="0" w:line="240" w:lineRule="auto"/>
              <w:jc w:val="center"/>
              <w:rPr>
                <w:rFonts w:ascii="Calibri" w:hAnsi="Calibri" w:cs="Calibri"/>
                <w:color w:val="000000"/>
              </w:rPr>
            </w:pPr>
            <w:r w:rsidRPr="00C4057E">
              <w:rPr>
                <w:rFonts w:ascii="Calibri" w:hAnsi="Calibri" w:cs="Calibri"/>
                <w:color w:val="000000"/>
              </w:rPr>
              <w:t>37%</w:t>
            </w:r>
          </w:p>
        </w:tc>
        <w:tc>
          <w:tcPr>
            <w:tcW w:w="1106" w:type="dxa"/>
            <w:tcBorders>
              <w:top w:val="single" w:sz="6" w:space="0" w:color="auto"/>
              <w:left w:val="single" w:sz="6" w:space="0" w:color="auto"/>
              <w:bottom w:val="single" w:sz="6" w:space="0" w:color="auto"/>
              <w:right w:val="single" w:sz="6" w:space="0" w:color="auto"/>
            </w:tcBorders>
          </w:tcPr>
          <w:p w14:paraId="6D12BD0A" w14:textId="77777777" w:rsidR="00D62C8D" w:rsidRPr="00C4057E" w:rsidRDefault="00D62C8D" w:rsidP="00D62C8D">
            <w:pPr>
              <w:autoSpaceDE w:val="0"/>
              <w:autoSpaceDN w:val="0"/>
              <w:adjustRightInd w:val="0"/>
              <w:spacing w:after="0" w:line="240" w:lineRule="auto"/>
              <w:jc w:val="center"/>
              <w:rPr>
                <w:rFonts w:ascii="Calibri" w:hAnsi="Calibri" w:cs="Calibri"/>
                <w:color w:val="000000"/>
              </w:rPr>
            </w:pPr>
            <w:r w:rsidRPr="00C4057E">
              <w:rPr>
                <w:rFonts w:ascii="Calibri" w:hAnsi="Calibri" w:cs="Calibri"/>
                <w:color w:val="000000"/>
              </w:rPr>
              <w:t>41%</w:t>
            </w:r>
          </w:p>
        </w:tc>
        <w:tc>
          <w:tcPr>
            <w:tcW w:w="1106" w:type="dxa"/>
            <w:tcBorders>
              <w:top w:val="single" w:sz="6" w:space="0" w:color="auto"/>
              <w:left w:val="single" w:sz="6" w:space="0" w:color="auto"/>
              <w:bottom w:val="single" w:sz="6" w:space="0" w:color="auto"/>
              <w:right w:val="single" w:sz="18" w:space="0" w:color="auto"/>
            </w:tcBorders>
          </w:tcPr>
          <w:p w14:paraId="02EB1429" w14:textId="77777777" w:rsidR="00D62C8D" w:rsidRPr="00C4057E" w:rsidRDefault="00D62C8D" w:rsidP="00D62C8D">
            <w:pPr>
              <w:autoSpaceDE w:val="0"/>
              <w:autoSpaceDN w:val="0"/>
              <w:adjustRightInd w:val="0"/>
              <w:spacing w:after="0" w:line="240" w:lineRule="auto"/>
              <w:jc w:val="center"/>
              <w:rPr>
                <w:rFonts w:ascii="Calibri" w:hAnsi="Calibri" w:cs="Calibri"/>
                <w:color w:val="000000"/>
              </w:rPr>
            </w:pPr>
            <w:r w:rsidRPr="00C4057E">
              <w:rPr>
                <w:rFonts w:ascii="Calibri" w:hAnsi="Calibri" w:cs="Calibri"/>
                <w:color w:val="000000"/>
              </w:rPr>
              <w:t>40%</w:t>
            </w:r>
          </w:p>
        </w:tc>
      </w:tr>
      <w:tr w:rsidR="00D62C8D" w:rsidRPr="00C4057E" w14:paraId="5AE5289E" w14:textId="77777777" w:rsidTr="00D62C8D">
        <w:trPr>
          <w:trHeight w:val="290"/>
          <w:jc w:val="center"/>
        </w:trPr>
        <w:tc>
          <w:tcPr>
            <w:tcW w:w="1687" w:type="dxa"/>
            <w:tcBorders>
              <w:top w:val="single" w:sz="6" w:space="0" w:color="auto"/>
              <w:left w:val="single" w:sz="18" w:space="0" w:color="auto"/>
              <w:bottom w:val="single" w:sz="6" w:space="0" w:color="auto"/>
              <w:right w:val="single" w:sz="6" w:space="0" w:color="auto"/>
            </w:tcBorders>
          </w:tcPr>
          <w:p w14:paraId="7F6050F2" w14:textId="77777777" w:rsidR="00D62C8D" w:rsidRPr="00C4057E" w:rsidRDefault="00D62C8D" w:rsidP="00D62C8D">
            <w:pPr>
              <w:autoSpaceDE w:val="0"/>
              <w:autoSpaceDN w:val="0"/>
              <w:adjustRightInd w:val="0"/>
              <w:spacing w:after="0" w:line="240" w:lineRule="auto"/>
              <w:rPr>
                <w:rFonts w:ascii="Calibri" w:hAnsi="Calibri" w:cs="Calibri"/>
                <w:color w:val="000000"/>
              </w:rPr>
            </w:pPr>
            <w:r w:rsidRPr="00C4057E">
              <w:rPr>
                <w:rFonts w:ascii="Calibri" w:hAnsi="Calibri" w:cs="Calibri"/>
                <w:color w:val="000000"/>
              </w:rPr>
              <w:t>Penelec</w:t>
            </w:r>
          </w:p>
        </w:tc>
        <w:tc>
          <w:tcPr>
            <w:tcW w:w="1105" w:type="dxa"/>
            <w:tcBorders>
              <w:top w:val="single" w:sz="6" w:space="0" w:color="auto"/>
              <w:left w:val="single" w:sz="6" w:space="0" w:color="auto"/>
              <w:bottom w:val="single" w:sz="6" w:space="0" w:color="auto"/>
              <w:right w:val="single" w:sz="6" w:space="0" w:color="auto"/>
            </w:tcBorders>
          </w:tcPr>
          <w:p w14:paraId="2D0E40B6" w14:textId="77777777" w:rsidR="00D62C8D" w:rsidRPr="00C4057E" w:rsidRDefault="00D62C8D" w:rsidP="00D62C8D">
            <w:pPr>
              <w:autoSpaceDE w:val="0"/>
              <w:autoSpaceDN w:val="0"/>
              <w:adjustRightInd w:val="0"/>
              <w:spacing w:after="0" w:line="240" w:lineRule="auto"/>
              <w:jc w:val="center"/>
              <w:rPr>
                <w:rFonts w:ascii="Calibri" w:hAnsi="Calibri" w:cs="Calibri"/>
                <w:color w:val="000000"/>
              </w:rPr>
            </w:pPr>
            <w:r w:rsidRPr="00C4057E">
              <w:rPr>
                <w:rFonts w:ascii="Calibri" w:hAnsi="Calibri" w:cs="Calibri"/>
                <w:color w:val="000000"/>
              </w:rPr>
              <w:t>52%</w:t>
            </w:r>
          </w:p>
        </w:tc>
        <w:tc>
          <w:tcPr>
            <w:tcW w:w="1106" w:type="dxa"/>
            <w:tcBorders>
              <w:top w:val="single" w:sz="6" w:space="0" w:color="auto"/>
              <w:left w:val="single" w:sz="6" w:space="0" w:color="auto"/>
              <w:bottom w:val="single" w:sz="6" w:space="0" w:color="auto"/>
              <w:right w:val="single" w:sz="6" w:space="0" w:color="auto"/>
            </w:tcBorders>
          </w:tcPr>
          <w:p w14:paraId="16D55612" w14:textId="77777777" w:rsidR="00D62C8D" w:rsidRPr="00C4057E" w:rsidRDefault="00D62C8D" w:rsidP="00D62C8D">
            <w:pPr>
              <w:autoSpaceDE w:val="0"/>
              <w:autoSpaceDN w:val="0"/>
              <w:adjustRightInd w:val="0"/>
              <w:spacing w:after="0" w:line="240" w:lineRule="auto"/>
              <w:jc w:val="center"/>
              <w:rPr>
                <w:rFonts w:ascii="Calibri" w:hAnsi="Calibri" w:cs="Calibri"/>
                <w:color w:val="000000"/>
              </w:rPr>
            </w:pPr>
            <w:r w:rsidRPr="00C4057E">
              <w:rPr>
                <w:rFonts w:ascii="Calibri" w:hAnsi="Calibri" w:cs="Calibri"/>
                <w:color w:val="000000"/>
              </w:rPr>
              <w:t>48%</w:t>
            </w:r>
          </w:p>
        </w:tc>
        <w:tc>
          <w:tcPr>
            <w:tcW w:w="1106" w:type="dxa"/>
            <w:tcBorders>
              <w:top w:val="single" w:sz="6" w:space="0" w:color="auto"/>
              <w:left w:val="single" w:sz="6" w:space="0" w:color="auto"/>
              <w:bottom w:val="single" w:sz="6" w:space="0" w:color="auto"/>
              <w:right w:val="single" w:sz="6" w:space="0" w:color="auto"/>
            </w:tcBorders>
          </w:tcPr>
          <w:p w14:paraId="11539CC0" w14:textId="77777777" w:rsidR="00D62C8D" w:rsidRPr="00C4057E" w:rsidRDefault="00D62C8D" w:rsidP="00D62C8D">
            <w:pPr>
              <w:autoSpaceDE w:val="0"/>
              <w:autoSpaceDN w:val="0"/>
              <w:adjustRightInd w:val="0"/>
              <w:spacing w:after="0" w:line="240" w:lineRule="auto"/>
              <w:jc w:val="center"/>
              <w:rPr>
                <w:rFonts w:ascii="Calibri" w:hAnsi="Calibri" w:cs="Calibri"/>
                <w:color w:val="000000"/>
              </w:rPr>
            </w:pPr>
            <w:r w:rsidRPr="00C4057E">
              <w:rPr>
                <w:rFonts w:ascii="Calibri" w:hAnsi="Calibri" w:cs="Calibri"/>
                <w:color w:val="000000"/>
              </w:rPr>
              <w:t>50%</w:t>
            </w:r>
          </w:p>
        </w:tc>
        <w:tc>
          <w:tcPr>
            <w:tcW w:w="1106" w:type="dxa"/>
            <w:tcBorders>
              <w:top w:val="single" w:sz="6" w:space="0" w:color="auto"/>
              <w:left w:val="single" w:sz="6" w:space="0" w:color="auto"/>
              <w:bottom w:val="single" w:sz="6" w:space="0" w:color="auto"/>
              <w:right w:val="single" w:sz="18" w:space="0" w:color="auto"/>
            </w:tcBorders>
          </w:tcPr>
          <w:p w14:paraId="4FB12BAB" w14:textId="77777777" w:rsidR="00D62C8D" w:rsidRPr="00C4057E" w:rsidRDefault="00D62C8D" w:rsidP="00D62C8D">
            <w:pPr>
              <w:autoSpaceDE w:val="0"/>
              <w:autoSpaceDN w:val="0"/>
              <w:adjustRightInd w:val="0"/>
              <w:spacing w:after="0" w:line="240" w:lineRule="auto"/>
              <w:jc w:val="center"/>
              <w:rPr>
                <w:rFonts w:ascii="Calibri" w:hAnsi="Calibri" w:cs="Calibri"/>
                <w:color w:val="000000"/>
              </w:rPr>
            </w:pPr>
            <w:r w:rsidRPr="00C4057E">
              <w:rPr>
                <w:rFonts w:ascii="Calibri" w:hAnsi="Calibri" w:cs="Calibri"/>
                <w:color w:val="000000"/>
              </w:rPr>
              <w:t>49%</w:t>
            </w:r>
          </w:p>
        </w:tc>
      </w:tr>
      <w:tr w:rsidR="00D62C8D" w:rsidRPr="00C4057E" w14:paraId="2C39388D" w14:textId="77777777" w:rsidTr="00D62C8D">
        <w:trPr>
          <w:trHeight w:val="290"/>
          <w:jc w:val="center"/>
        </w:trPr>
        <w:tc>
          <w:tcPr>
            <w:tcW w:w="1687" w:type="dxa"/>
            <w:tcBorders>
              <w:top w:val="single" w:sz="6" w:space="0" w:color="auto"/>
              <w:left w:val="single" w:sz="18" w:space="0" w:color="auto"/>
              <w:bottom w:val="single" w:sz="6" w:space="0" w:color="auto"/>
              <w:right w:val="single" w:sz="6" w:space="0" w:color="auto"/>
            </w:tcBorders>
          </w:tcPr>
          <w:p w14:paraId="24542C03" w14:textId="77777777" w:rsidR="00D62C8D" w:rsidRPr="00C4057E" w:rsidRDefault="00D62C8D" w:rsidP="00D62C8D">
            <w:pPr>
              <w:autoSpaceDE w:val="0"/>
              <w:autoSpaceDN w:val="0"/>
              <w:adjustRightInd w:val="0"/>
              <w:spacing w:after="0" w:line="240" w:lineRule="auto"/>
              <w:rPr>
                <w:rFonts w:ascii="Calibri" w:hAnsi="Calibri" w:cs="Calibri"/>
                <w:color w:val="000000"/>
              </w:rPr>
            </w:pPr>
            <w:r w:rsidRPr="00C4057E">
              <w:rPr>
                <w:rFonts w:ascii="Calibri" w:hAnsi="Calibri" w:cs="Calibri"/>
                <w:color w:val="000000"/>
              </w:rPr>
              <w:t>Penn Power</w:t>
            </w:r>
          </w:p>
        </w:tc>
        <w:tc>
          <w:tcPr>
            <w:tcW w:w="1105" w:type="dxa"/>
            <w:tcBorders>
              <w:top w:val="single" w:sz="6" w:space="0" w:color="auto"/>
              <w:left w:val="single" w:sz="6" w:space="0" w:color="auto"/>
              <w:bottom w:val="single" w:sz="6" w:space="0" w:color="auto"/>
              <w:right w:val="single" w:sz="6" w:space="0" w:color="auto"/>
            </w:tcBorders>
          </w:tcPr>
          <w:p w14:paraId="4C29372C" w14:textId="77777777" w:rsidR="00D62C8D" w:rsidRPr="00C4057E" w:rsidRDefault="00D62C8D" w:rsidP="00D62C8D">
            <w:pPr>
              <w:autoSpaceDE w:val="0"/>
              <w:autoSpaceDN w:val="0"/>
              <w:adjustRightInd w:val="0"/>
              <w:spacing w:after="0" w:line="240" w:lineRule="auto"/>
              <w:jc w:val="center"/>
              <w:rPr>
                <w:rFonts w:ascii="Calibri" w:hAnsi="Calibri" w:cs="Calibri"/>
                <w:color w:val="000000"/>
              </w:rPr>
            </w:pPr>
            <w:r w:rsidRPr="00C4057E">
              <w:rPr>
                <w:rFonts w:ascii="Calibri" w:hAnsi="Calibri" w:cs="Calibri"/>
                <w:color w:val="000000"/>
              </w:rPr>
              <w:t>52%</w:t>
            </w:r>
          </w:p>
        </w:tc>
        <w:tc>
          <w:tcPr>
            <w:tcW w:w="1106" w:type="dxa"/>
            <w:tcBorders>
              <w:top w:val="single" w:sz="6" w:space="0" w:color="auto"/>
              <w:left w:val="single" w:sz="6" w:space="0" w:color="auto"/>
              <w:bottom w:val="single" w:sz="6" w:space="0" w:color="auto"/>
              <w:right w:val="single" w:sz="6" w:space="0" w:color="auto"/>
            </w:tcBorders>
          </w:tcPr>
          <w:p w14:paraId="643662C8" w14:textId="77777777" w:rsidR="00D62C8D" w:rsidRPr="00C4057E" w:rsidRDefault="00D62C8D" w:rsidP="00D62C8D">
            <w:pPr>
              <w:autoSpaceDE w:val="0"/>
              <w:autoSpaceDN w:val="0"/>
              <w:adjustRightInd w:val="0"/>
              <w:spacing w:after="0" w:line="240" w:lineRule="auto"/>
              <w:jc w:val="center"/>
              <w:rPr>
                <w:rFonts w:ascii="Calibri" w:hAnsi="Calibri" w:cs="Calibri"/>
                <w:color w:val="000000"/>
              </w:rPr>
            </w:pPr>
            <w:r w:rsidRPr="00C4057E">
              <w:rPr>
                <w:rFonts w:ascii="Calibri" w:hAnsi="Calibri" w:cs="Calibri"/>
                <w:color w:val="000000"/>
              </w:rPr>
              <w:t>52%</w:t>
            </w:r>
          </w:p>
        </w:tc>
        <w:tc>
          <w:tcPr>
            <w:tcW w:w="1106" w:type="dxa"/>
            <w:tcBorders>
              <w:top w:val="single" w:sz="6" w:space="0" w:color="auto"/>
              <w:left w:val="single" w:sz="6" w:space="0" w:color="auto"/>
              <w:bottom w:val="single" w:sz="6" w:space="0" w:color="auto"/>
              <w:right w:val="single" w:sz="6" w:space="0" w:color="auto"/>
            </w:tcBorders>
          </w:tcPr>
          <w:p w14:paraId="15787DA8" w14:textId="77777777" w:rsidR="00D62C8D" w:rsidRPr="00C4057E" w:rsidRDefault="00D62C8D" w:rsidP="00D62C8D">
            <w:pPr>
              <w:autoSpaceDE w:val="0"/>
              <w:autoSpaceDN w:val="0"/>
              <w:adjustRightInd w:val="0"/>
              <w:spacing w:after="0" w:line="240" w:lineRule="auto"/>
              <w:jc w:val="center"/>
              <w:rPr>
                <w:rFonts w:ascii="Calibri" w:hAnsi="Calibri" w:cs="Calibri"/>
                <w:color w:val="000000"/>
              </w:rPr>
            </w:pPr>
            <w:r w:rsidRPr="00C4057E">
              <w:rPr>
                <w:rFonts w:ascii="Calibri" w:hAnsi="Calibri" w:cs="Calibri"/>
                <w:color w:val="000000"/>
              </w:rPr>
              <w:t>49%</w:t>
            </w:r>
          </w:p>
        </w:tc>
        <w:tc>
          <w:tcPr>
            <w:tcW w:w="1106" w:type="dxa"/>
            <w:tcBorders>
              <w:top w:val="single" w:sz="6" w:space="0" w:color="auto"/>
              <w:left w:val="single" w:sz="6" w:space="0" w:color="auto"/>
              <w:bottom w:val="single" w:sz="6" w:space="0" w:color="auto"/>
              <w:right w:val="single" w:sz="18" w:space="0" w:color="auto"/>
            </w:tcBorders>
          </w:tcPr>
          <w:p w14:paraId="4A795831" w14:textId="77777777" w:rsidR="00D62C8D" w:rsidRPr="00C4057E" w:rsidRDefault="00D62C8D" w:rsidP="00D62C8D">
            <w:pPr>
              <w:autoSpaceDE w:val="0"/>
              <w:autoSpaceDN w:val="0"/>
              <w:adjustRightInd w:val="0"/>
              <w:spacing w:after="0" w:line="240" w:lineRule="auto"/>
              <w:jc w:val="center"/>
              <w:rPr>
                <w:rFonts w:ascii="Calibri" w:hAnsi="Calibri" w:cs="Calibri"/>
                <w:color w:val="000000"/>
              </w:rPr>
            </w:pPr>
            <w:r w:rsidRPr="00C4057E">
              <w:rPr>
                <w:rFonts w:ascii="Calibri" w:hAnsi="Calibri" w:cs="Calibri"/>
                <w:color w:val="000000"/>
              </w:rPr>
              <w:t>59%</w:t>
            </w:r>
          </w:p>
        </w:tc>
      </w:tr>
      <w:tr w:rsidR="00D62C8D" w:rsidRPr="00C4057E" w14:paraId="6E9877BD" w14:textId="77777777" w:rsidTr="00D62C8D">
        <w:trPr>
          <w:trHeight w:val="305"/>
          <w:jc w:val="center"/>
        </w:trPr>
        <w:tc>
          <w:tcPr>
            <w:tcW w:w="1687" w:type="dxa"/>
            <w:tcBorders>
              <w:top w:val="single" w:sz="6" w:space="0" w:color="auto"/>
              <w:left w:val="single" w:sz="18" w:space="0" w:color="auto"/>
              <w:bottom w:val="single" w:sz="18" w:space="0" w:color="auto"/>
              <w:right w:val="single" w:sz="6" w:space="0" w:color="auto"/>
            </w:tcBorders>
          </w:tcPr>
          <w:p w14:paraId="2A3B5084" w14:textId="77777777" w:rsidR="00D62C8D" w:rsidRPr="00C4057E" w:rsidRDefault="00D62C8D" w:rsidP="00D62C8D">
            <w:pPr>
              <w:autoSpaceDE w:val="0"/>
              <w:autoSpaceDN w:val="0"/>
              <w:adjustRightInd w:val="0"/>
              <w:spacing w:after="0" w:line="240" w:lineRule="auto"/>
              <w:rPr>
                <w:rFonts w:ascii="Calibri" w:hAnsi="Calibri" w:cs="Calibri"/>
                <w:color w:val="000000"/>
              </w:rPr>
            </w:pPr>
            <w:r w:rsidRPr="00C4057E">
              <w:rPr>
                <w:rFonts w:ascii="Calibri" w:hAnsi="Calibri" w:cs="Calibri"/>
                <w:color w:val="000000"/>
              </w:rPr>
              <w:t>West Penn Power</w:t>
            </w:r>
          </w:p>
        </w:tc>
        <w:tc>
          <w:tcPr>
            <w:tcW w:w="1105" w:type="dxa"/>
            <w:tcBorders>
              <w:top w:val="single" w:sz="6" w:space="0" w:color="auto"/>
              <w:left w:val="single" w:sz="6" w:space="0" w:color="auto"/>
              <w:bottom w:val="single" w:sz="18" w:space="0" w:color="auto"/>
              <w:right w:val="single" w:sz="6" w:space="0" w:color="auto"/>
            </w:tcBorders>
          </w:tcPr>
          <w:p w14:paraId="408CA2E2" w14:textId="77777777" w:rsidR="00D62C8D" w:rsidRPr="00C4057E" w:rsidRDefault="00D62C8D" w:rsidP="00D62C8D">
            <w:pPr>
              <w:autoSpaceDE w:val="0"/>
              <w:autoSpaceDN w:val="0"/>
              <w:adjustRightInd w:val="0"/>
              <w:spacing w:after="0" w:line="240" w:lineRule="auto"/>
              <w:jc w:val="center"/>
              <w:rPr>
                <w:rFonts w:ascii="Calibri" w:hAnsi="Calibri" w:cs="Calibri"/>
                <w:color w:val="000000"/>
              </w:rPr>
            </w:pPr>
            <w:r w:rsidRPr="00C4057E">
              <w:rPr>
                <w:rFonts w:ascii="Calibri" w:hAnsi="Calibri" w:cs="Calibri"/>
                <w:color w:val="000000"/>
              </w:rPr>
              <w:t>23%</w:t>
            </w:r>
          </w:p>
        </w:tc>
        <w:tc>
          <w:tcPr>
            <w:tcW w:w="1106" w:type="dxa"/>
            <w:tcBorders>
              <w:top w:val="single" w:sz="6" w:space="0" w:color="auto"/>
              <w:left w:val="single" w:sz="6" w:space="0" w:color="auto"/>
              <w:bottom w:val="single" w:sz="18" w:space="0" w:color="auto"/>
              <w:right w:val="single" w:sz="6" w:space="0" w:color="auto"/>
            </w:tcBorders>
          </w:tcPr>
          <w:p w14:paraId="6E518427" w14:textId="77777777" w:rsidR="00D62C8D" w:rsidRPr="00C4057E" w:rsidRDefault="00D62C8D" w:rsidP="00D62C8D">
            <w:pPr>
              <w:autoSpaceDE w:val="0"/>
              <w:autoSpaceDN w:val="0"/>
              <w:adjustRightInd w:val="0"/>
              <w:spacing w:after="0" w:line="240" w:lineRule="auto"/>
              <w:jc w:val="center"/>
              <w:rPr>
                <w:rFonts w:ascii="Calibri" w:hAnsi="Calibri" w:cs="Calibri"/>
                <w:color w:val="000000"/>
              </w:rPr>
            </w:pPr>
            <w:r w:rsidRPr="00C4057E">
              <w:rPr>
                <w:rFonts w:ascii="Calibri" w:hAnsi="Calibri" w:cs="Calibri"/>
                <w:color w:val="000000"/>
              </w:rPr>
              <w:t>20%</w:t>
            </w:r>
          </w:p>
        </w:tc>
        <w:tc>
          <w:tcPr>
            <w:tcW w:w="1106" w:type="dxa"/>
            <w:tcBorders>
              <w:top w:val="single" w:sz="6" w:space="0" w:color="auto"/>
              <w:left w:val="single" w:sz="6" w:space="0" w:color="auto"/>
              <w:bottom w:val="single" w:sz="18" w:space="0" w:color="auto"/>
              <w:right w:val="single" w:sz="6" w:space="0" w:color="auto"/>
            </w:tcBorders>
          </w:tcPr>
          <w:p w14:paraId="4847B405" w14:textId="77777777" w:rsidR="00D62C8D" w:rsidRPr="00C4057E" w:rsidRDefault="00D62C8D" w:rsidP="00D62C8D">
            <w:pPr>
              <w:autoSpaceDE w:val="0"/>
              <w:autoSpaceDN w:val="0"/>
              <w:adjustRightInd w:val="0"/>
              <w:spacing w:after="0" w:line="240" w:lineRule="auto"/>
              <w:jc w:val="center"/>
              <w:rPr>
                <w:rFonts w:ascii="Calibri" w:hAnsi="Calibri" w:cs="Calibri"/>
                <w:color w:val="000000"/>
              </w:rPr>
            </w:pPr>
            <w:r w:rsidRPr="00C4057E">
              <w:rPr>
                <w:rFonts w:ascii="Calibri" w:hAnsi="Calibri" w:cs="Calibri"/>
                <w:color w:val="000000"/>
              </w:rPr>
              <w:t>18%</w:t>
            </w:r>
          </w:p>
        </w:tc>
        <w:tc>
          <w:tcPr>
            <w:tcW w:w="1106" w:type="dxa"/>
            <w:tcBorders>
              <w:top w:val="single" w:sz="6" w:space="0" w:color="auto"/>
              <w:left w:val="single" w:sz="6" w:space="0" w:color="auto"/>
              <w:bottom w:val="single" w:sz="18" w:space="0" w:color="auto"/>
              <w:right w:val="single" w:sz="18" w:space="0" w:color="auto"/>
            </w:tcBorders>
          </w:tcPr>
          <w:p w14:paraId="01D1F45E" w14:textId="77777777" w:rsidR="00D62C8D" w:rsidRPr="00C4057E" w:rsidRDefault="00D62C8D" w:rsidP="00D62C8D">
            <w:pPr>
              <w:autoSpaceDE w:val="0"/>
              <w:autoSpaceDN w:val="0"/>
              <w:adjustRightInd w:val="0"/>
              <w:spacing w:after="0" w:line="240" w:lineRule="auto"/>
              <w:jc w:val="center"/>
              <w:rPr>
                <w:rFonts w:ascii="Calibri" w:hAnsi="Calibri" w:cs="Calibri"/>
                <w:color w:val="000000"/>
              </w:rPr>
            </w:pPr>
            <w:r w:rsidRPr="00C4057E">
              <w:rPr>
                <w:rFonts w:ascii="Calibri" w:hAnsi="Calibri" w:cs="Calibri"/>
                <w:color w:val="000000"/>
              </w:rPr>
              <w:t>17%</w:t>
            </w:r>
          </w:p>
        </w:tc>
      </w:tr>
    </w:tbl>
    <w:p w14:paraId="6A367357" w14:textId="77777777" w:rsidR="00D62C8D" w:rsidRPr="00C4057E" w:rsidRDefault="00D62C8D" w:rsidP="00D62C8D">
      <w:pPr>
        <w:spacing w:after="0" w:line="240" w:lineRule="auto"/>
        <w:ind w:left="1620"/>
        <w:contextualSpacing/>
        <w:rPr>
          <w:rFonts w:ascii="Arial" w:hAnsi="Arial" w:cs="Arial"/>
          <w:sz w:val="18"/>
          <w:szCs w:val="18"/>
        </w:rPr>
      </w:pPr>
      <w:r w:rsidRPr="00C4057E">
        <w:rPr>
          <w:rFonts w:ascii="Arial" w:hAnsi="Arial" w:cs="Arial"/>
          <w:sz w:val="18"/>
          <w:szCs w:val="18"/>
        </w:rPr>
        <w:t>Source: Data Request TD-7, TD-15, and Auditor Analysis.</w:t>
      </w:r>
    </w:p>
    <w:p w14:paraId="45F3ADBE" w14:textId="77777777" w:rsidR="00D62C8D" w:rsidRPr="00C4057E" w:rsidRDefault="00D62C8D" w:rsidP="00D62C8D">
      <w:pPr>
        <w:spacing w:after="0" w:line="240" w:lineRule="auto"/>
        <w:rPr>
          <w:rFonts w:ascii="Arial" w:hAnsi="Arial" w:cs="Arial"/>
          <w:sz w:val="24"/>
          <w:szCs w:val="24"/>
        </w:rPr>
      </w:pPr>
    </w:p>
    <w:p w14:paraId="305D2366" w14:textId="77777777" w:rsidR="00D62C8D" w:rsidRPr="00C4057E" w:rsidRDefault="00D62C8D" w:rsidP="00D62C8D">
      <w:pPr>
        <w:spacing w:after="0" w:line="240" w:lineRule="auto"/>
        <w:rPr>
          <w:rFonts w:ascii="Arial" w:hAnsi="Arial" w:cs="Arial"/>
          <w:sz w:val="24"/>
          <w:szCs w:val="24"/>
        </w:rPr>
      </w:pPr>
    </w:p>
    <w:p w14:paraId="0023BD93" w14:textId="77777777" w:rsidR="00C4057E" w:rsidRPr="00C4057E" w:rsidRDefault="00C4057E" w:rsidP="00C4057E">
      <w:pPr>
        <w:spacing w:after="0" w:line="240" w:lineRule="auto"/>
        <w:ind w:firstLine="720"/>
        <w:rPr>
          <w:rFonts w:ascii="Arial" w:hAnsi="Arial" w:cs="Arial"/>
          <w:sz w:val="24"/>
          <w:szCs w:val="24"/>
        </w:rPr>
      </w:pPr>
      <w:r w:rsidRPr="00C4057E">
        <w:rPr>
          <w:rFonts w:ascii="Arial" w:hAnsi="Arial" w:cs="Arial"/>
          <w:sz w:val="24"/>
          <w:szCs w:val="24"/>
        </w:rPr>
        <w:t xml:space="preserve">Exhibit VII-6 displays the three worst call-out acceptance rates by service center for each of the </w:t>
      </w:r>
      <w:r w:rsidR="00DC3D9B">
        <w:rPr>
          <w:rFonts w:ascii="Arial" w:hAnsi="Arial" w:cs="Arial"/>
          <w:sz w:val="24"/>
          <w:szCs w:val="24"/>
        </w:rPr>
        <w:t>FE-PA companies</w:t>
      </w:r>
      <w:r w:rsidRPr="00C4057E">
        <w:rPr>
          <w:rFonts w:ascii="Arial" w:hAnsi="Arial" w:cs="Arial"/>
          <w:sz w:val="24"/>
          <w:szCs w:val="24"/>
        </w:rPr>
        <w:t xml:space="preserve">.  Penn Power consistently has the best call-out acceptance performance among the </w:t>
      </w:r>
      <w:r w:rsidR="00DC3D9B">
        <w:rPr>
          <w:rFonts w:ascii="Arial" w:hAnsi="Arial" w:cs="Arial"/>
          <w:sz w:val="24"/>
          <w:szCs w:val="24"/>
        </w:rPr>
        <w:t>FE-PA companies</w:t>
      </w:r>
      <w:r w:rsidRPr="00C4057E">
        <w:rPr>
          <w:rFonts w:ascii="Arial" w:hAnsi="Arial" w:cs="Arial"/>
          <w:sz w:val="24"/>
          <w:szCs w:val="24"/>
        </w:rPr>
        <w:t xml:space="preserve">.  At Penn Power, the Clark Service Center had the lowest call-out acceptance rates that ranged from 39% to 44% from 2014 to 2016.  Within each of the </w:t>
      </w:r>
      <w:r w:rsidR="00DC3D9B">
        <w:rPr>
          <w:rFonts w:ascii="Arial" w:hAnsi="Arial" w:cs="Arial"/>
          <w:sz w:val="24"/>
          <w:szCs w:val="24"/>
        </w:rPr>
        <w:t>FE-PA companies</w:t>
      </w:r>
      <w:r w:rsidRPr="00C4057E">
        <w:rPr>
          <w:rFonts w:ascii="Arial" w:hAnsi="Arial" w:cs="Arial"/>
          <w:sz w:val="24"/>
          <w:szCs w:val="24"/>
        </w:rPr>
        <w:t>, each service center can choose how emergency calls are offered to craft workers (e.g., by seniority, rotating list, lowest overtime, etc.).  Because the Clark Service Center had lower call-out performance than the other two service centers (Penn Power only has three service centers), management focused on raising the Clark Service Center’s call-out acceptance rate</w:t>
      </w:r>
      <w:r w:rsidR="00AC6689">
        <w:rPr>
          <w:rFonts w:ascii="Arial" w:hAnsi="Arial" w:cs="Arial"/>
          <w:sz w:val="24"/>
          <w:szCs w:val="24"/>
        </w:rPr>
        <w:t>,</w:t>
      </w:r>
      <w:r w:rsidRPr="00C4057E">
        <w:rPr>
          <w:rFonts w:ascii="Arial" w:hAnsi="Arial" w:cs="Arial"/>
          <w:sz w:val="24"/>
          <w:szCs w:val="24"/>
        </w:rPr>
        <w:t xml:space="preserve"> achieving 52% in 2017.  This was accomplished by establishing a local call-out agreement in 2016</w:t>
      </w:r>
      <w:r w:rsidR="00043569">
        <w:rPr>
          <w:rFonts w:ascii="Arial" w:hAnsi="Arial" w:cs="Arial"/>
          <w:sz w:val="24"/>
          <w:szCs w:val="24"/>
        </w:rPr>
        <w:t xml:space="preserve"> for the Clark Service Center</w:t>
      </w:r>
      <w:r w:rsidRPr="00C4057E">
        <w:rPr>
          <w:rFonts w:ascii="Arial" w:hAnsi="Arial" w:cs="Arial"/>
          <w:sz w:val="24"/>
          <w:szCs w:val="24"/>
        </w:rPr>
        <w:t xml:space="preserve"> which permitted Penn Power to counsel employees with 20% acceptance rates or lower.  Additionally, under this agreement, a </w:t>
      </w:r>
      <w:r w:rsidR="00043569">
        <w:rPr>
          <w:rFonts w:ascii="Arial" w:hAnsi="Arial" w:cs="Arial"/>
          <w:sz w:val="24"/>
          <w:szCs w:val="24"/>
        </w:rPr>
        <w:t xml:space="preserve">rotating </w:t>
      </w:r>
      <w:r w:rsidRPr="00C4057E">
        <w:rPr>
          <w:rFonts w:ascii="Arial" w:hAnsi="Arial" w:cs="Arial"/>
          <w:sz w:val="24"/>
          <w:szCs w:val="24"/>
        </w:rPr>
        <w:t xml:space="preserve">call-out crew of three people was required </w:t>
      </w:r>
      <w:r w:rsidR="00BC2848">
        <w:rPr>
          <w:rFonts w:ascii="Arial" w:hAnsi="Arial" w:cs="Arial"/>
          <w:sz w:val="24"/>
          <w:szCs w:val="24"/>
        </w:rPr>
        <w:t xml:space="preserve">to respond to emergency call outs.  This approach reduced the number of emergency call-outs requiring management to attempt to get craft workers to respond to a call.   As a result, </w:t>
      </w:r>
      <w:r w:rsidR="00D83F2D">
        <w:rPr>
          <w:rFonts w:ascii="Arial" w:hAnsi="Arial" w:cs="Arial"/>
          <w:sz w:val="24"/>
          <w:szCs w:val="24"/>
        </w:rPr>
        <w:t xml:space="preserve">this </w:t>
      </w:r>
      <w:r w:rsidR="00BC2848">
        <w:rPr>
          <w:rFonts w:ascii="Arial" w:hAnsi="Arial" w:cs="Arial"/>
          <w:sz w:val="24"/>
          <w:szCs w:val="24"/>
        </w:rPr>
        <w:t xml:space="preserve">reduces the number of call-outs that could be rejected and therefore </w:t>
      </w:r>
      <w:r w:rsidRPr="00C4057E">
        <w:rPr>
          <w:rFonts w:ascii="Arial" w:hAnsi="Arial" w:cs="Arial"/>
          <w:sz w:val="24"/>
          <w:szCs w:val="24"/>
        </w:rPr>
        <w:t>increase</w:t>
      </w:r>
      <w:r w:rsidR="00BC2848">
        <w:rPr>
          <w:rFonts w:ascii="Arial" w:hAnsi="Arial" w:cs="Arial"/>
          <w:sz w:val="24"/>
          <w:szCs w:val="24"/>
        </w:rPr>
        <w:t>s</w:t>
      </w:r>
      <w:r w:rsidRPr="00C4057E">
        <w:rPr>
          <w:rFonts w:ascii="Arial" w:hAnsi="Arial" w:cs="Arial"/>
          <w:sz w:val="24"/>
          <w:szCs w:val="24"/>
        </w:rPr>
        <w:t xml:space="preserve"> response rates.  Through negotiations and cooperation with the union in the service center most in need of improved response, Penn Power was able to raise this call-out rate within a year.  Even though the Clark </w:t>
      </w:r>
      <w:r w:rsidR="00D62C8D">
        <w:rPr>
          <w:rFonts w:ascii="Arial" w:hAnsi="Arial" w:cs="Arial"/>
          <w:sz w:val="24"/>
          <w:szCs w:val="24"/>
        </w:rPr>
        <w:t>Service Center</w:t>
      </w:r>
      <w:r w:rsidRPr="00C4057E">
        <w:rPr>
          <w:rFonts w:ascii="Arial" w:hAnsi="Arial" w:cs="Arial"/>
          <w:sz w:val="24"/>
          <w:szCs w:val="24"/>
        </w:rPr>
        <w:t xml:space="preserve"> tends to have the lowest call</w:t>
      </w:r>
      <w:r w:rsidR="00D62C8D">
        <w:rPr>
          <w:rFonts w:ascii="Arial" w:hAnsi="Arial" w:cs="Arial"/>
          <w:sz w:val="24"/>
          <w:szCs w:val="24"/>
        </w:rPr>
        <w:noBreakHyphen/>
      </w:r>
      <w:r w:rsidRPr="00C4057E">
        <w:rPr>
          <w:rFonts w:ascii="Arial" w:hAnsi="Arial" w:cs="Arial"/>
          <w:sz w:val="24"/>
          <w:szCs w:val="24"/>
        </w:rPr>
        <w:t>out acceptance rate at Penn Power, this service center still had a higher response rate than the average response rate at Met-Ed, Penelec, or West Penn Power for 2017.</w:t>
      </w:r>
    </w:p>
    <w:p w14:paraId="762C68BF" w14:textId="77777777" w:rsidR="00C4057E" w:rsidRPr="00C4057E" w:rsidRDefault="00C4057E" w:rsidP="00C4057E">
      <w:pPr>
        <w:spacing w:after="0" w:line="240" w:lineRule="auto"/>
        <w:rPr>
          <w:rFonts w:ascii="Arial" w:hAnsi="Arial" w:cs="Arial"/>
          <w:sz w:val="24"/>
          <w:szCs w:val="24"/>
        </w:rPr>
      </w:pPr>
    </w:p>
    <w:p w14:paraId="20BB5802" w14:textId="77777777" w:rsidR="00C4057E" w:rsidRPr="00C4057E" w:rsidRDefault="00C4057E" w:rsidP="00C4057E">
      <w:pPr>
        <w:spacing w:after="0" w:line="240" w:lineRule="auto"/>
        <w:rPr>
          <w:rFonts w:ascii="Arial" w:hAnsi="Arial" w:cs="Arial"/>
          <w:sz w:val="24"/>
          <w:szCs w:val="24"/>
        </w:rPr>
      </w:pPr>
    </w:p>
    <w:p w14:paraId="4E2C06E3"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Exhibit VII – 6</w:t>
      </w:r>
    </w:p>
    <w:p w14:paraId="0A111B38"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FirstEnergy Pennsylvania Companies</w:t>
      </w:r>
    </w:p>
    <w:p w14:paraId="4D4DE445"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Lowest Call-Out Acceptance Rates by Service Center</w:t>
      </w:r>
    </w:p>
    <w:p w14:paraId="403B1C5C" w14:textId="77777777" w:rsidR="00C4057E" w:rsidRPr="00C4057E" w:rsidRDefault="00C4057E" w:rsidP="00C4057E">
      <w:pPr>
        <w:spacing w:after="0" w:line="240" w:lineRule="auto"/>
        <w:jc w:val="center"/>
        <w:rPr>
          <w:rFonts w:ascii="Arial" w:hAnsi="Arial" w:cs="Arial"/>
          <w:b/>
          <w:sz w:val="24"/>
          <w:szCs w:val="24"/>
        </w:rPr>
      </w:pPr>
      <w:r w:rsidRPr="00C4057E">
        <w:rPr>
          <w:rFonts w:ascii="Arial" w:hAnsi="Arial" w:cs="Arial"/>
          <w:b/>
          <w:sz w:val="24"/>
          <w:szCs w:val="24"/>
        </w:rPr>
        <w:t>For the Years 2014 through 2017</w:t>
      </w:r>
    </w:p>
    <w:p w14:paraId="36BBC17A" w14:textId="77777777" w:rsidR="00C4057E" w:rsidRPr="00C4057E" w:rsidRDefault="00C4057E" w:rsidP="00C4057E">
      <w:pPr>
        <w:spacing w:after="0" w:line="240" w:lineRule="auto"/>
        <w:jc w:val="center"/>
        <w:rPr>
          <w:rFonts w:ascii="Arial" w:hAnsi="Arial" w:cs="Arial"/>
          <w:sz w:val="8"/>
          <w:szCs w:val="8"/>
        </w:rPr>
      </w:pPr>
    </w:p>
    <w:tbl>
      <w:tblPr>
        <w:tblW w:w="10934" w:type="dxa"/>
        <w:jc w:val="center"/>
        <w:tblLook w:val="04A0" w:firstRow="1" w:lastRow="0" w:firstColumn="1" w:lastColumn="0" w:noHBand="0" w:noVBand="1"/>
      </w:tblPr>
      <w:tblGrid>
        <w:gridCol w:w="442"/>
        <w:gridCol w:w="595"/>
        <w:gridCol w:w="332"/>
        <w:gridCol w:w="568"/>
        <w:gridCol w:w="1041"/>
        <w:gridCol w:w="129"/>
        <w:gridCol w:w="990"/>
        <w:gridCol w:w="1221"/>
        <w:gridCol w:w="129"/>
        <w:gridCol w:w="990"/>
        <w:gridCol w:w="1227"/>
        <w:gridCol w:w="411"/>
        <w:gridCol w:w="579"/>
        <w:gridCol w:w="1227"/>
        <w:gridCol w:w="864"/>
        <w:gridCol w:w="126"/>
        <w:gridCol w:w="110"/>
      </w:tblGrid>
      <w:tr w:rsidR="005B5972" w:rsidRPr="00C4057E" w14:paraId="358F50CB" w14:textId="77777777" w:rsidTr="005B5972">
        <w:trPr>
          <w:gridAfter w:val="1"/>
          <w:wAfter w:w="110" w:type="dxa"/>
          <w:trHeight w:val="20"/>
          <w:jc w:val="center"/>
        </w:trPr>
        <w:tc>
          <w:tcPr>
            <w:tcW w:w="990" w:type="dxa"/>
            <w:gridSpan w:val="2"/>
            <w:tcBorders>
              <w:top w:val="single" w:sz="12" w:space="0" w:color="auto"/>
              <w:left w:val="single" w:sz="12" w:space="0" w:color="auto"/>
              <w:bottom w:val="single" w:sz="12" w:space="0" w:color="auto"/>
              <w:right w:val="nil"/>
            </w:tcBorders>
            <w:shd w:val="clear" w:color="auto" w:fill="auto"/>
            <w:noWrap/>
            <w:vAlign w:val="bottom"/>
            <w:hideMark/>
          </w:tcPr>
          <w:p w14:paraId="5BFA26CE" w14:textId="77777777" w:rsidR="00C4057E" w:rsidRPr="00C4057E" w:rsidRDefault="00C4057E" w:rsidP="00C4057E">
            <w:pPr>
              <w:spacing w:after="0" w:line="240" w:lineRule="auto"/>
              <w:rPr>
                <w:rFonts w:ascii="Arial" w:eastAsia="Times New Roman" w:hAnsi="Arial" w:cs="Arial"/>
                <w:sz w:val="18"/>
                <w:szCs w:val="18"/>
              </w:rPr>
            </w:pPr>
            <w:r w:rsidRPr="00C4057E">
              <w:rPr>
                <w:rFonts w:ascii="Arial" w:eastAsia="Times New Roman" w:hAnsi="Arial" w:cs="Arial"/>
                <w:sz w:val="18"/>
                <w:szCs w:val="18"/>
              </w:rPr>
              <w:t> </w:t>
            </w:r>
          </w:p>
        </w:tc>
        <w:tc>
          <w:tcPr>
            <w:tcW w:w="900" w:type="dxa"/>
            <w:gridSpan w:val="2"/>
            <w:tcBorders>
              <w:top w:val="single" w:sz="12" w:space="0" w:color="auto"/>
              <w:left w:val="nil"/>
              <w:bottom w:val="single" w:sz="12" w:space="0" w:color="auto"/>
              <w:right w:val="single" w:sz="12" w:space="0" w:color="auto"/>
            </w:tcBorders>
            <w:shd w:val="clear" w:color="auto" w:fill="auto"/>
            <w:noWrap/>
            <w:vAlign w:val="bottom"/>
            <w:hideMark/>
          </w:tcPr>
          <w:p w14:paraId="26AFA399" w14:textId="77777777" w:rsidR="00C4057E" w:rsidRPr="00C4057E" w:rsidRDefault="00C4057E" w:rsidP="00C4057E">
            <w:pPr>
              <w:spacing w:after="0" w:line="240" w:lineRule="auto"/>
              <w:rPr>
                <w:rFonts w:ascii="Arial" w:eastAsia="Times New Roman" w:hAnsi="Arial" w:cs="Arial"/>
                <w:sz w:val="18"/>
                <w:szCs w:val="18"/>
              </w:rPr>
            </w:pPr>
            <w:r w:rsidRPr="00C4057E">
              <w:rPr>
                <w:rFonts w:ascii="Arial" w:eastAsia="Times New Roman" w:hAnsi="Arial" w:cs="Arial"/>
                <w:sz w:val="18"/>
                <w:szCs w:val="18"/>
              </w:rPr>
              <w:t> </w:t>
            </w:r>
          </w:p>
        </w:tc>
        <w:tc>
          <w:tcPr>
            <w:tcW w:w="2160" w:type="dxa"/>
            <w:gridSpan w:val="3"/>
            <w:tcBorders>
              <w:top w:val="single" w:sz="12" w:space="0" w:color="auto"/>
              <w:left w:val="nil"/>
              <w:bottom w:val="nil"/>
              <w:right w:val="single" w:sz="12" w:space="0" w:color="000000"/>
            </w:tcBorders>
            <w:shd w:val="clear" w:color="000000" w:fill="C00000"/>
            <w:noWrap/>
            <w:vAlign w:val="bottom"/>
            <w:hideMark/>
          </w:tcPr>
          <w:p w14:paraId="3B23FA9A" w14:textId="77777777" w:rsidR="00C4057E" w:rsidRPr="00C4057E" w:rsidRDefault="00C4057E" w:rsidP="00C4057E">
            <w:pPr>
              <w:spacing w:after="0" w:line="240" w:lineRule="auto"/>
              <w:jc w:val="center"/>
              <w:rPr>
                <w:rFonts w:ascii="Arial" w:eastAsia="Times New Roman" w:hAnsi="Arial" w:cs="Arial"/>
                <w:b/>
                <w:color w:val="FFFFFF"/>
                <w:sz w:val="18"/>
                <w:szCs w:val="18"/>
              </w:rPr>
            </w:pPr>
            <w:r w:rsidRPr="00C4057E">
              <w:rPr>
                <w:rFonts w:ascii="Arial" w:eastAsia="Times New Roman" w:hAnsi="Arial" w:cs="Arial"/>
                <w:b/>
                <w:color w:val="FFFFFF"/>
                <w:sz w:val="18"/>
                <w:szCs w:val="18"/>
              </w:rPr>
              <w:t>2014</w:t>
            </w:r>
          </w:p>
        </w:tc>
        <w:tc>
          <w:tcPr>
            <w:tcW w:w="2340" w:type="dxa"/>
            <w:gridSpan w:val="3"/>
            <w:tcBorders>
              <w:top w:val="single" w:sz="4" w:space="0" w:color="auto"/>
              <w:left w:val="nil"/>
              <w:bottom w:val="nil"/>
              <w:right w:val="single" w:sz="4" w:space="0" w:color="auto"/>
            </w:tcBorders>
            <w:shd w:val="clear" w:color="000000" w:fill="C00000"/>
            <w:noWrap/>
            <w:vAlign w:val="bottom"/>
            <w:hideMark/>
          </w:tcPr>
          <w:p w14:paraId="6E51AD80" w14:textId="77777777" w:rsidR="00C4057E" w:rsidRPr="00C4057E" w:rsidRDefault="00C4057E" w:rsidP="00C4057E">
            <w:pPr>
              <w:spacing w:after="0" w:line="240" w:lineRule="auto"/>
              <w:jc w:val="center"/>
              <w:rPr>
                <w:rFonts w:ascii="Arial" w:eastAsia="Times New Roman" w:hAnsi="Arial" w:cs="Arial"/>
                <w:b/>
                <w:color w:val="FFFFFF"/>
                <w:sz w:val="18"/>
                <w:szCs w:val="18"/>
              </w:rPr>
            </w:pPr>
            <w:r w:rsidRPr="00C4057E">
              <w:rPr>
                <w:rFonts w:ascii="Arial" w:eastAsia="Times New Roman" w:hAnsi="Arial" w:cs="Arial"/>
                <w:b/>
                <w:color w:val="FFFFFF"/>
                <w:sz w:val="18"/>
                <w:szCs w:val="18"/>
              </w:rPr>
              <w:t>2015</w:t>
            </w:r>
          </w:p>
        </w:tc>
        <w:tc>
          <w:tcPr>
            <w:tcW w:w="2217" w:type="dxa"/>
            <w:gridSpan w:val="3"/>
            <w:tcBorders>
              <w:top w:val="single" w:sz="12" w:space="0" w:color="auto"/>
              <w:left w:val="single" w:sz="12" w:space="0" w:color="auto"/>
              <w:bottom w:val="nil"/>
              <w:right w:val="single" w:sz="12" w:space="0" w:color="000000"/>
            </w:tcBorders>
            <w:shd w:val="clear" w:color="000000" w:fill="C00000"/>
            <w:noWrap/>
            <w:vAlign w:val="bottom"/>
            <w:hideMark/>
          </w:tcPr>
          <w:p w14:paraId="4E79F33F" w14:textId="77777777" w:rsidR="00C4057E" w:rsidRPr="00C4057E" w:rsidRDefault="00C4057E" w:rsidP="00C4057E">
            <w:pPr>
              <w:spacing w:after="0" w:line="240" w:lineRule="auto"/>
              <w:jc w:val="center"/>
              <w:rPr>
                <w:rFonts w:ascii="Arial" w:eastAsia="Times New Roman" w:hAnsi="Arial" w:cs="Arial"/>
                <w:b/>
                <w:color w:val="FFFFFF"/>
                <w:sz w:val="18"/>
                <w:szCs w:val="18"/>
              </w:rPr>
            </w:pPr>
            <w:r w:rsidRPr="00C4057E">
              <w:rPr>
                <w:rFonts w:ascii="Arial" w:eastAsia="Times New Roman" w:hAnsi="Arial" w:cs="Arial"/>
                <w:b/>
                <w:color w:val="FFFFFF"/>
                <w:sz w:val="18"/>
                <w:szCs w:val="18"/>
              </w:rPr>
              <w:t>2016</w:t>
            </w:r>
          </w:p>
        </w:tc>
        <w:tc>
          <w:tcPr>
            <w:tcW w:w="2217" w:type="dxa"/>
            <w:gridSpan w:val="3"/>
            <w:tcBorders>
              <w:top w:val="single" w:sz="4" w:space="0" w:color="auto"/>
              <w:left w:val="nil"/>
              <w:bottom w:val="nil"/>
              <w:right w:val="single" w:sz="12" w:space="0" w:color="000000"/>
            </w:tcBorders>
            <w:shd w:val="clear" w:color="000000" w:fill="C00000"/>
            <w:noWrap/>
            <w:vAlign w:val="bottom"/>
            <w:hideMark/>
          </w:tcPr>
          <w:p w14:paraId="37759985" w14:textId="77777777" w:rsidR="00C4057E" w:rsidRPr="00C4057E" w:rsidRDefault="00C4057E" w:rsidP="00C4057E">
            <w:pPr>
              <w:spacing w:after="0" w:line="240" w:lineRule="auto"/>
              <w:jc w:val="center"/>
              <w:rPr>
                <w:rFonts w:ascii="Arial" w:eastAsia="Times New Roman" w:hAnsi="Arial" w:cs="Arial"/>
                <w:b/>
                <w:color w:val="FFFFFF"/>
                <w:sz w:val="18"/>
                <w:szCs w:val="18"/>
              </w:rPr>
            </w:pPr>
            <w:r w:rsidRPr="00C4057E">
              <w:rPr>
                <w:rFonts w:ascii="Arial" w:eastAsia="Times New Roman" w:hAnsi="Arial" w:cs="Arial"/>
                <w:b/>
                <w:color w:val="FFFFFF"/>
                <w:sz w:val="18"/>
                <w:szCs w:val="18"/>
              </w:rPr>
              <w:t>2017</w:t>
            </w:r>
          </w:p>
        </w:tc>
      </w:tr>
      <w:tr w:rsidR="005B5972" w:rsidRPr="00C4057E" w14:paraId="115BC5B5" w14:textId="77777777" w:rsidTr="005B5972">
        <w:trPr>
          <w:gridAfter w:val="1"/>
          <w:wAfter w:w="110" w:type="dxa"/>
          <w:trHeight w:val="20"/>
          <w:jc w:val="center"/>
        </w:trPr>
        <w:tc>
          <w:tcPr>
            <w:tcW w:w="990" w:type="dxa"/>
            <w:gridSpan w:val="2"/>
            <w:tcBorders>
              <w:top w:val="nil"/>
              <w:left w:val="single" w:sz="12" w:space="0" w:color="auto"/>
              <w:bottom w:val="nil"/>
              <w:right w:val="single" w:sz="4" w:space="0" w:color="auto"/>
            </w:tcBorders>
            <w:shd w:val="clear" w:color="auto" w:fill="auto"/>
            <w:vAlign w:val="bottom"/>
            <w:hideMark/>
          </w:tcPr>
          <w:p w14:paraId="561B4E8A" w14:textId="77777777" w:rsidR="00C4057E" w:rsidRPr="00C4057E" w:rsidRDefault="00C4057E" w:rsidP="00C4057E">
            <w:pPr>
              <w:spacing w:after="0" w:line="240" w:lineRule="auto"/>
              <w:jc w:val="center"/>
              <w:rPr>
                <w:rFonts w:ascii="Arial" w:eastAsia="Times New Roman" w:hAnsi="Arial" w:cs="Arial"/>
                <w:b/>
                <w:bCs/>
                <w:sz w:val="18"/>
                <w:szCs w:val="18"/>
              </w:rPr>
            </w:pPr>
            <w:r w:rsidRPr="00C4057E">
              <w:rPr>
                <w:rFonts w:ascii="Arial" w:eastAsia="Times New Roman" w:hAnsi="Arial" w:cs="Arial"/>
                <w:b/>
                <w:bCs/>
                <w:sz w:val="18"/>
                <w:szCs w:val="18"/>
              </w:rPr>
              <w:t>Company</w:t>
            </w:r>
          </w:p>
        </w:tc>
        <w:tc>
          <w:tcPr>
            <w:tcW w:w="900" w:type="dxa"/>
            <w:gridSpan w:val="2"/>
            <w:tcBorders>
              <w:top w:val="nil"/>
              <w:left w:val="nil"/>
              <w:bottom w:val="nil"/>
              <w:right w:val="nil"/>
            </w:tcBorders>
            <w:shd w:val="clear" w:color="auto" w:fill="auto"/>
            <w:vAlign w:val="bottom"/>
            <w:hideMark/>
          </w:tcPr>
          <w:p w14:paraId="70A0F951" w14:textId="77777777" w:rsidR="00C4057E" w:rsidRPr="00C4057E" w:rsidRDefault="00C4057E" w:rsidP="005B5972">
            <w:pPr>
              <w:spacing w:after="0" w:line="240" w:lineRule="auto"/>
              <w:jc w:val="center"/>
              <w:rPr>
                <w:rFonts w:ascii="Arial" w:eastAsia="Times New Roman" w:hAnsi="Arial" w:cs="Arial"/>
                <w:b/>
                <w:bCs/>
                <w:sz w:val="18"/>
                <w:szCs w:val="18"/>
              </w:rPr>
            </w:pPr>
            <w:r w:rsidRPr="00C4057E">
              <w:rPr>
                <w:rFonts w:ascii="Arial" w:eastAsia="Times New Roman" w:hAnsi="Arial" w:cs="Arial"/>
                <w:b/>
                <w:bCs/>
                <w:sz w:val="18"/>
                <w:szCs w:val="18"/>
              </w:rPr>
              <w:t>Rank</w:t>
            </w:r>
          </w:p>
        </w:tc>
        <w:tc>
          <w:tcPr>
            <w:tcW w:w="1170" w:type="dxa"/>
            <w:gridSpan w:val="2"/>
            <w:tcBorders>
              <w:top w:val="single" w:sz="12" w:space="0" w:color="auto"/>
              <w:left w:val="single" w:sz="12" w:space="0" w:color="auto"/>
              <w:bottom w:val="nil"/>
              <w:right w:val="single" w:sz="4" w:space="0" w:color="auto"/>
            </w:tcBorders>
            <w:shd w:val="clear" w:color="auto" w:fill="auto"/>
            <w:vAlign w:val="bottom"/>
            <w:hideMark/>
          </w:tcPr>
          <w:p w14:paraId="6A899BEC" w14:textId="77777777" w:rsidR="00C4057E" w:rsidRPr="00C4057E" w:rsidRDefault="00C4057E" w:rsidP="00C4057E">
            <w:pPr>
              <w:spacing w:after="0" w:line="240" w:lineRule="auto"/>
              <w:jc w:val="center"/>
              <w:rPr>
                <w:rFonts w:ascii="Arial" w:eastAsia="Times New Roman" w:hAnsi="Arial" w:cs="Arial"/>
                <w:b/>
                <w:bCs/>
                <w:sz w:val="18"/>
                <w:szCs w:val="18"/>
              </w:rPr>
            </w:pPr>
            <w:r w:rsidRPr="00C4057E">
              <w:rPr>
                <w:rFonts w:ascii="Arial" w:eastAsia="Times New Roman" w:hAnsi="Arial" w:cs="Arial"/>
                <w:b/>
                <w:bCs/>
                <w:sz w:val="18"/>
                <w:szCs w:val="18"/>
              </w:rPr>
              <w:t>Service Center</w:t>
            </w:r>
          </w:p>
        </w:tc>
        <w:tc>
          <w:tcPr>
            <w:tcW w:w="990" w:type="dxa"/>
            <w:tcBorders>
              <w:top w:val="single" w:sz="12" w:space="0" w:color="auto"/>
              <w:left w:val="nil"/>
              <w:bottom w:val="nil"/>
              <w:right w:val="single" w:sz="12" w:space="0" w:color="auto"/>
            </w:tcBorders>
            <w:shd w:val="clear" w:color="auto" w:fill="auto"/>
            <w:vAlign w:val="bottom"/>
            <w:hideMark/>
          </w:tcPr>
          <w:p w14:paraId="3C2FA48C" w14:textId="77777777" w:rsidR="00C4057E" w:rsidRPr="00C4057E" w:rsidRDefault="00C4057E" w:rsidP="00C4057E">
            <w:pPr>
              <w:spacing w:after="0" w:line="240" w:lineRule="auto"/>
              <w:jc w:val="center"/>
              <w:rPr>
                <w:rFonts w:ascii="Arial" w:eastAsia="Times New Roman" w:hAnsi="Arial" w:cs="Arial"/>
                <w:b/>
                <w:bCs/>
                <w:sz w:val="18"/>
                <w:szCs w:val="18"/>
              </w:rPr>
            </w:pPr>
            <w:r w:rsidRPr="00C4057E">
              <w:rPr>
                <w:rFonts w:ascii="Arial" w:eastAsia="Times New Roman" w:hAnsi="Arial" w:cs="Arial"/>
                <w:b/>
                <w:bCs/>
                <w:sz w:val="18"/>
                <w:szCs w:val="18"/>
              </w:rPr>
              <w:t>Call-Out Rate</w:t>
            </w:r>
          </w:p>
        </w:tc>
        <w:tc>
          <w:tcPr>
            <w:tcW w:w="1350" w:type="dxa"/>
            <w:gridSpan w:val="2"/>
            <w:tcBorders>
              <w:top w:val="single" w:sz="12" w:space="0" w:color="auto"/>
              <w:left w:val="nil"/>
              <w:bottom w:val="nil"/>
              <w:right w:val="single" w:sz="4" w:space="0" w:color="auto"/>
            </w:tcBorders>
            <w:shd w:val="clear" w:color="auto" w:fill="auto"/>
            <w:vAlign w:val="bottom"/>
            <w:hideMark/>
          </w:tcPr>
          <w:p w14:paraId="0AC85359" w14:textId="77777777" w:rsidR="00C4057E" w:rsidRPr="00C4057E" w:rsidRDefault="00C4057E" w:rsidP="00C4057E">
            <w:pPr>
              <w:spacing w:after="0" w:line="240" w:lineRule="auto"/>
              <w:jc w:val="center"/>
              <w:rPr>
                <w:rFonts w:ascii="Arial" w:eastAsia="Times New Roman" w:hAnsi="Arial" w:cs="Arial"/>
                <w:b/>
                <w:bCs/>
                <w:sz w:val="18"/>
                <w:szCs w:val="18"/>
              </w:rPr>
            </w:pPr>
            <w:r w:rsidRPr="00C4057E">
              <w:rPr>
                <w:rFonts w:ascii="Arial" w:eastAsia="Times New Roman" w:hAnsi="Arial" w:cs="Arial"/>
                <w:b/>
                <w:bCs/>
                <w:sz w:val="18"/>
                <w:szCs w:val="18"/>
              </w:rPr>
              <w:t>Service Center</w:t>
            </w:r>
          </w:p>
        </w:tc>
        <w:tc>
          <w:tcPr>
            <w:tcW w:w="990" w:type="dxa"/>
            <w:tcBorders>
              <w:top w:val="single" w:sz="12" w:space="0" w:color="auto"/>
              <w:left w:val="nil"/>
              <w:bottom w:val="nil"/>
              <w:right w:val="nil"/>
            </w:tcBorders>
            <w:shd w:val="clear" w:color="auto" w:fill="auto"/>
            <w:vAlign w:val="bottom"/>
            <w:hideMark/>
          </w:tcPr>
          <w:p w14:paraId="4232318F" w14:textId="77777777" w:rsidR="00C4057E" w:rsidRPr="00C4057E" w:rsidRDefault="00C4057E" w:rsidP="00C4057E">
            <w:pPr>
              <w:spacing w:after="0" w:line="240" w:lineRule="auto"/>
              <w:jc w:val="center"/>
              <w:rPr>
                <w:rFonts w:ascii="Arial" w:eastAsia="Times New Roman" w:hAnsi="Arial" w:cs="Arial"/>
                <w:b/>
                <w:bCs/>
                <w:sz w:val="18"/>
                <w:szCs w:val="18"/>
              </w:rPr>
            </w:pPr>
            <w:r w:rsidRPr="00C4057E">
              <w:rPr>
                <w:rFonts w:ascii="Arial" w:eastAsia="Times New Roman" w:hAnsi="Arial" w:cs="Arial"/>
                <w:b/>
                <w:bCs/>
                <w:sz w:val="18"/>
                <w:szCs w:val="18"/>
              </w:rPr>
              <w:t>Call-Out Rate</w:t>
            </w:r>
          </w:p>
        </w:tc>
        <w:tc>
          <w:tcPr>
            <w:tcW w:w="1227" w:type="dxa"/>
            <w:tcBorders>
              <w:top w:val="single" w:sz="12" w:space="0" w:color="auto"/>
              <w:left w:val="single" w:sz="12" w:space="0" w:color="auto"/>
              <w:bottom w:val="nil"/>
              <w:right w:val="single" w:sz="4" w:space="0" w:color="auto"/>
            </w:tcBorders>
            <w:shd w:val="clear" w:color="auto" w:fill="auto"/>
            <w:vAlign w:val="bottom"/>
            <w:hideMark/>
          </w:tcPr>
          <w:p w14:paraId="1AA40595" w14:textId="77777777" w:rsidR="00C4057E" w:rsidRPr="00C4057E" w:rsidRDefault="00C4057E" w:rsidP="00C4057E">
            <w:pPr>
              <w:spacing w:after="0" w:line="240" w:lineRule="auto"/>
              <w:jc w:val="center"/>
              <w:rPr>
                <w:rFonts w:ascii="Arial" w:eastAsia="Times New Roman" w:hAnsi="Arial" w:cs="Arial"/>
                <w:b/>
                <w:bCs/>
                <w:sz w:val="18"/>
                <w:szCs w:val="18"/>
              </w:rPr>
            </w:pPr>
            <w:r w:rsidRPr="00C4057E">
              <w:rPr>
                <w:rFonts w:ascii="Arial" w:eastAsia="Times New Roman" w:hAnsi="Arial" w:cs="Arial"/>
                <w:b/>
                <w:bCs/>
                <w:sz w:val="18"/>
                <w:szCs w:val="18"/>
              </w:rPr>
              <w:t>Service Center</w:t>
            </w:r>
          </w:p>
        </w:tc>
        <w:tc>
          <w:tcPr>
            <w:tcW w:w="990" w:type="dxa"/>
            <w:gridSpan w:val="2"/>
            <w:tcBorders>
              <w:top w:val="single" w:sz="12" w:space="0" w:color="auto"/>
              <w:left w:val="nil"/>
              <w:bottom w:val="nil"/>
              <w:right w:val="single" w:sz="12" w:space="0" w:color="auto"/>
            </w:tcBorders>
            <w:shd w:val="clear" w:color="auto" w:fill="auto"/>
            <w:vAlign w:val="bottom"/>
            <w:hideMark/>
          </w:tcPr>
          <w:p w14:paraId="2176D54F" w14:textId="77777777" w:rsidR="00C4057E" w:rsidRPr="00C4057E" w:rsidRDefault="00C4057E" w:rsidP="00C4057E">
            <w:pPr>
              <w:spacing w:after="0" w:line="240" w:lineRule="auto"/>
              <w:jc w:val="center"/>
              <w:rPr>
                <w:rFonts w:ascii="Arial" w:eastAsia="Times New Roman" w:hAnsi="Arial" w:cs="Arial"/>
                <w:b/>
                <w:bCs/>
                <w:sz w:val="18"/>
                <w:szCs w:val="18"/>
              </w:rPr>
            </w:pPr>
            <w:r w:rsidRPr="00C4057E">
              <w:rPr>
                <w:rFonts w:ascii="Arial" w:eastAsia="Times New Roman" w:hAnsi="Arial" w:cs="Arial"/>
                <w:b/>
                <w:bCs/>
                <w:sz w:val="18"/>
                <w:szCs w:val="18"/>
              </w:rPr>
              <w:t>Call-Out Rate</w:t>
            </w:r>
          </w:p>
        </w:tc>
        <w:tc>
          <w:tcPr>
            <w:tcW w:w="1227" w:type="dxa"/>
            <w:tcBorders>
              <w:top w:val="single" w:sz="12" w:space="0" w:color="auto"/>
              <w:left w:val="nil"/>
              <w:bottom w:val="nil"/>
              <w:right w:val="single" w:sz="4" w:space="0" w:color="auto"/>
            </w:tcBorders>
            <w:shd w:val="clear" w:color="auto" w:fill="auto"/>
            <w:vAlign w:val="bottom"/>
            <w:hideMark/>
          </w:tcPr>
          <w:p w14:paraId="66E209AB" w14:textId="77777777" w:rsidR="00C4057E" w:rsidRPr="00C4057E" w:rsidRDefault="00C4057E" w:rsidP="00C4057E">
            <w:pPr>
              <w:spacing w:after="0" w:line="240" w:lineRule="auto"/>
              <w:jc w:val="center"/>
              <w:rPr>
                <w:rFonts w:ascii="Arial" w:eastAsia="Times New Roman" w:hAnsi="Arial" w:cs="Arial"/>
                <w:b/>
                <w:bCs/>
                <w:sz w:val="18"/>
                <w:szCs w:val="18"/>
              </w:rPr>
            </w:pPr>
            <w:r w:rsidRPr="00C4057E">
              <w:rPr>
                <w:rFonts w:ascii="Arial" w:eastAsia="Times New Roman" w:hAnsi="Arial" w:cs="Arial"/>
                <w:b/>
                <w:bCs/>
                <w:sz w:val="18"/>
                <w:szCs w:val="18"/>
              </w:rPr>
              <w:t>Service Center</w:t>
            </w:r>
          </w:p>
        </w:tc>
        <w:tc>
          <w:tcPr>
            <w:tcW w:w="990" w:type="dxa"/>
            <w:gridSpan w:val="2"/>
            <w:tcBorders>
              <w:top w:val="single" w:sz="12" w:space="0" w:color="auto"/>
              <w:left w:val="nil"/>
              <w:bottom w:val="nil"/>
              <w:right w:val="single" w:sz="12" w:space="0" w:color="auto"/>
            </w:tcBorders>
            <w:shd w:val="clear" w:color="auto" w:fill="auto"/>
            <w:vAlign w:val="bottom"/>
            <w:hideMark/>
          </w:tcPr>
          <w:p w14:paraId="0899DA63" w14:textId="77777777" w:rsidR="00C4057E" w:rsidRPr="00C4057E" w:rsidRDefault="00C4057E" w:rsidP="00C4057E">
            <w:pPr>
              <w:spacing w:after="0" w:line="240" w:lineRule="auto"/>
              <w:jc w:val="center"/>
              <w:rPr>
                <w:rFonts w:ascii="Arial" w:eastAsia="Times New Roman" w:hAnsi="Arial" w:cs="Arial"/>
                <w:b/>
                <w:bCs/>
                <w:sz w:val="18"/>
                <w:szCs w:val="18"/>
              </w:rPr>
            </w:pPr>
            <w:r w:rsidRPr="00C4057E">
              <w:rPr>
                <w:rFonts w:ascii="Arial" w:eastAsia="Times New Roman" w:hAnsi="Arial" w:cs="Arial"/>
                <w:b/>
                <w:bCs/>
                <w:sz w:val="18"/>
                <w:szCs w:val="18"/>
              </w:rPr>
              <w:t>Call-Out Rate</w:t>
            </w:r>
          </w:p>
        </w:tc>
      </w:tr>
      <w:tr w:rsidR="005B5972" w:rsidRPr="00C4057E" w14:paraId="6A7A450D" w14:textId="77777777" w:rsidTr="001C3A0E">
        <w:trPr>
          <w:gridAfter w:val="1"/>
          <w:wAfter w:w="110" w:type="dxa"/>
          <w:trHeight w:val="288"/>
          <w:jc w:val="center"/>
        </w:trPr>
        <w:tc>
          <w:tcPr>
            <w:tcW w:w="990" w:type="dxa"/>
            <w:gridSpan w:val="2"/>
            <w:vMerge w:val="restart"/>
            <w:tcBorders>
              <w:top w:val="single" w:sz="12" w:space="0" w:color="auto"/>
              <w:left w:val="single" w:sz="12" w:space="0" w:color="auto"/>
              <w:bottom w:val="single" w:sz="12" w:space="0" w:color="000000"/>
              <w:right w:val="single" w:sz="4" w:space="0" w:color="auto"/>
            </w:tcBorders>
            <w:shd w:val="clear" w:color="000000" w:fill="C00000"/>
            <w:noWrap/>
            <w:vAlign w:val="center"/>
            <w:hideMark/>
          </w:tcPr>
          <w:p w14:paraId="08BC7E02" w14:textId="77777777" w:rsidR="00C4057E" w:rsidRPr="00C4057E" w:rsidRDefault="00C4057E" w:rsidP="00C4057E">
            <w:pPr>
              <w:spacing w:after="0" w:line="240" w:lineRule="auto"/>
              <w:jc w:val="center"/>
              <w:rPr>
                <w:rFonts w:ascii="Arial" w:eastAsia="Times New Roman" w:hAnsi="Arial" w:cs="Arial"/>
                <w:color w:val="FFFFFF"/>
                <w:sz w:val="18"/>
                <w:szCs w:val="18"/>
              </w:rPr>
            </w:pPr>
            <w:r w:rsidRPr="00C4057E">
              <w:rPr>
                <w:rFonts w:ascii="Arial" w:eastAsia="Times New Roman" w:hAnsi="Arial" w:cs="Arial"/>
                <w:color w:val="FFFFFF"/>
                <w:sz w:val="18"/>
                <w:szCs w:val="18"/>
              </w:rPr>
              <w:t>Met-Ed</w:t>
            </w:r>
          </w:p>
        </w:tc>
        <w:tc>
          <w:tcPr>
            <w:tcW w:w="900" w:type="dxa"/>
            <w:gridSpan w:val="2"/>
            <w:tcBorders>
              <w:top w:val="single" w:sz="12" w:space="0" w:color="auto"/>
              <w:left w:val="nil"/>
              <w:bottom w:val="single" w:sz="4" w:space="0" w:color="auto"/>
              <w:right w:val="nil"/>
            </w:tcBorders>
            <w:shd w:val="clear" w:color="auto" w:fill="auto"/>
            <w:noWrap/>
            <w:vAlign w:val="center"/>
            <w:hideMark/>
          </w:tcPr>
          <w:p w14:paraId="423AD09E"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3rd Low</w:t>
            </w:r>
          </w:p>
        </w:tc>
        <w:tc>
          <w:tcPr>
            <w:tcW w:w="1170" w:type="dxa"/>
            <w:gridSpan w:val="2"/>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5621896"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Boyertown</w:t>
            </w:r>
          </w:p>
        </w:tc>
        <w:tc>
          <w:tcPr>
            <w:tcW w:w="990" w:type="dxa"/>
            <w:tcBorders>
              <w:top w:val="single" w:sz="12" w:space="0" w:color="auto"/>
              <w:left w:val="nil"/>
              <w:bottom w:val="single" w:sz="4" w:space="0" w:color="auto"/>
              <w:right w:val="single" w:sz="12" w:space="0" w:color="auto"/>
            </w:tcBorders>
            <w:shd w:val="clear" w:color="auto" w:fill="auto"/>
            <w:noWrap/>
            <w:vAlign w:val="center"/>
            <w:hideMark/>
          </w:tcPr>
          <w:p w14:paraId="7F560E80"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34%</w:t>
            </w:r>
          </w:p>
        </w:tc>
        <w:tc>
          <w:tcPr>
            <w:tcW w:w="1350" w:type="dxa"/>
            <w:gridSpan w:val="2"/>
            <w:tcBorders>
              <w:top w:val="single" w:sz="12" w:space="0" w:color="auto"/>
              <w:left w:val="nil"/>
              <w:bottom w:val="single" w:sz="4" w:space="0" w:color="auto"/>
              <w:right w:val="single" w:sz="4" w:space="0" w:color="auto"/>
            </w:tcBorders>
            <w:shd w:val="clear" w:color="auto" w:fill="auto"/>
            <w:noWrap/>
            <w:vAlign w:val="center"/>
            <w:hideMark/>
          </w:tcPr>
          <w:p w14:paraId="237746CD"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Reading</w:t>
            </w:r>
          </w:p>
        </w:tc>
        <w:tc>
          <w:tcPr>
            <w:tcW w:w="990" w:type="dxa"/>
            <w:tcBorders>
              <w:top w:val="single" w:sz="12" w:space="0" w:color="auto"/>
              <w:left w:val="nil"/>
              <w:bottom w:val="single" w:sz="4" w:space="0" w:color="auto"/>
              <w:right w:val="nil"/>
            </w:tcBorders>
            <w:shd w:val="clear" w:color="auto" w:fill="auto"/>
            <w:noWrap/>
            <w:vAlign w:val="center"/>
            <w:hideMark/>
          </w:tcPr>
          <w:p w14:paraId="31E3FB84"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31%</w:t>
            </w:r>
          </w:p>
        </w:tc>
        <w:tc>
          <w:tcPr>
            <w:tcW w:w="1227"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1234D704"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Stroudsburg</w:t>
            </w:r>
          </w:p>
        </w:tc>
        <w:tc>
          <w:tcPr>
            <w:tcW w:w="990"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102962B0"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35%</w:t>
            </w:r>
          </w:p>
        </w:tc>
        <w:tc>
          <w:tcPr>
            <w:tcW w:w="1227" w:type="dxa"/>
            <w:tcBorders>
              <w:top w:val="single" w:sz="12" w:space="0" w:color="auto"/>
              <w:left w:val="nil"/>
              <w:bottom w:val="single" w:sz="4" w:space="0" w:color="auto"/>
              <w:right w:val="single" w:sz="4" w:space="0" w:color="auto"/>
            </w:tcBorders>
            <w:shd w:val="clear" w:color="auto" w:fill="auto"/>
            <w:noWrap/>
            <w:vAlign w:val="center"/>
            <w:hideMark/>
          </w:tcPr>
          <w:p w14:paraId="1EBBB030"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Reading</w:t>
            </w:r>
          </w:p>
        </w:tc>
        <w:tc>
          <w:tcPr>
            <w:tcW w:w="990"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2162E866"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35%</w:t>
            </w:r>
          </w:p>
        </w:tc>
      </w:tr>
      <w:tr w:rsidR="005B5972" w:rsidRPr="00C4057E" w14:paraId="3F5AE1CD" w14:textId="77777777" w:rsidTr="001C3A0E">
        <w:trPr>
          <w:gridAfter w:val="1"/>
          <w:wAfter w:w="110" w:type="dxa"/>
          <w:trHeight w:val="288"/>
          <w:jc w:val="center"/>
        </w:trPr>
        <w:tc>
          <w:tcPr>
            <w:tcW w:w="990" w:type="dxa"/>
            <w:gridSpan w:val="2"/>
            <w:vMerge/>
            <w:tcBorders>
              <w:top w:val="single" w:sz="12" w:space="0" w:color="auto"/>
              <w:left w:val="single" w:sz="12" w:space="0" w:color="auto"/>
              <w:bottom w:val="single" w:sz="12" w:space="0" w:color="000000"/>
              <w:right w:val="single" w:sz="4" w:space="0" w:color="auto"/>
            </w:tcBorders>
            <w:vAlign w:val="center"/>
            <w:hideMark/>
          </w:tcPr>
          <w:p w14:paraId="6FB8062C" w14:textId="77777777" w:rsidR="00C4057E" w:rsidRPr="00C4057E" w:rsidRDefault="00C4057E" w:rsidP="00C4057E">
            <w:pPr>
              <w:spacing w:after="0" w:line="240" w:lineRule="auto"/>
              <w:rPr>
                <w:rFonts w:ascii="Arial" w:eastAsia="Times New Roman" w:hAnsi="Arial" w:cs="Arial"/>
                <w:color w:val="FFFFFF"/>
                <w:sz w:val="18"/>
                <w:szCs w:val="18"/>
              </w:rPr>
            </w:pPr>
          </w:p>
        </w:tc>
        <w:tc>
          <w:tcPr>
            <w:tcW w:w="900" w:type="dxa"/>
            <w:gridSpan w:val="2"/>
            <w:tcBorders>
              <w:top w:val="nil"/>
              <w:left w:val="nil"/>
              <w:bottom w:val="single" w:sz="4" w:space="0" w:color="auto"/>
              <w:right w:val="nil"/>
            </w:tcBorders>
            <w:shd w:val="clear" w:color="auto" w:fill="auto"/>
            <w:noWrap/>
            <w:vAlign w:val="center"/>
            <w:hideMark/>
          </w:tcPr>
          <w:p w14:paraId="01D1A8E5"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2nd Low</w:t>
            </w:r>
          </w:p>
        </w:tc>
        <w:tc>
          <w:tcPr>
            <w:tcW w:w="1170" w:type="dxa"/>
            <w:gridSpan w:val="2"/>
            <w:tcBorders>
              <w:top w:val="nil"/>
              <w:left w:val="single" w:sz="12" w:space="0" w:color="auto"/>
              <w:bottom w:val="single" w:sz="4" w:space="0" w:color="auto"/>
              <w:right w:val="single" w:sz="4" w:space="0" w:color="auto"/>
            </w:tcBorders>
            <w:shd w:val="clear" w:color="auto" w:fill="auto"/>
            <w:noWrap/>
            <w:vAlign w:val="center"/>
            <w:hideMark/>
          </w:tcPr>
          <w:p w14:paraId="634903AD"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Gettysburg</w:t>
            </w:r>
          </w:p>
        </w:tc>
        <w:tc>
          <w:tcPr>
            <w:tcW w:w="990" w:type="dxa"/>
            <w:tcBorders>
              <w:top w:val="nil"/>
              <w:left w:val="nil"/>
              <w:bottom w:val="single" w:sz="4" w:space="0" w:color="auto"/>
              <w:right w:val="single" w:sz="12" w:space="0" w:color="auto"/>
            </w:tcBorders>
            <w:shd w:val="clear" w:color="auto" w:fill="auto"/>
            <w:noWrap/>
            <w:vAlign w:val="center"/>
            <w:hideMark/>
          </w:tcPr>
          <w:p w14:paraId="031EDD52"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33%</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521D3242"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Gettysburg</w:t>
            </w:r>
          </w:p>
        </w:tc>
        <w:tc>
          <w:tcPr>
            <w:tcW w:w="990" w:type="dxa"/>
            <w:tcBorders>
              <w:top w:val="nil"/>
              <w:left w:val="nil"/>
              <w:bottom w:val="single" w:sz="4" w:space="0" w:color="auto"/>
              <w:right w:val="nil"/>
            </w:tcBorders>
            <w:shd w:val="clear" w:color="auto" w:fill="auto"/>
            <w:noWrap/>
            <w:vAlign w:val="center"/>
            <w:hideMark/>
          </w:tcPr>
          <w:p w14:paraId="451DF2E8"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26%</w:t>
            </w:r>
          </w:p>
        </w:tc>
        <w:tc>
          <w:tcPr>
            <w:tcW w:w="1227" w:type="dxa"/>
            <w:tcBorders>
              <w:top w:val="nil"/>
              <w:left w:val="single" w:sz="12" w:space="0" w:color="auto"/>
              <w:bottom w:val="single" w:sz="4" w:space="0" w:color="auto"/>
              <w:right w:val="single" w:sz="4" w:space="0" w:color="auto"/>
            </w:tcBorders>
            <w:shd w:val="clear" w:color="auto" w:fill="auto"/>
            <w:noWrap/>
            <w:vAlign w:val="center"/>
            <w:hideMark/>
          </w:tcPr>
          <w:p w14:paraId="28FC9276"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Hamburg</w:t>
            </w:r>
          </w:p>
        </w:tc>
        <w:tc>
          <w:tcPr>
            <w:tcW w:w="990" w:type="dxa"/>
            <w:gridSpan w:val="2"/>
            <w:tcBorders>
              <w:top w:val="nil"/>
              <w:left w:val="nil"/>
              <w:bottom w:val="single" w:sz="4" w:space="0" w:color="auto"/>
              <w:right w:val="single" w:sz="12" w:space="0" w:color="auto"/>
            </w:tcBorders>
            <w:shd w:val="clear" w:color="auto" w:fill="auto"/>
            <w:noWrap/>
            <w:vAlign w:val="center"/>
            <w:hideMark/>
          </w:tcPr>
          <w:p w14:paraId="7C8B8D15"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34%</w:t>
            </w:r>
          </w:p>
        </w:tc>
        <w:tc>
          <w:tcPr>
            <w:tcW w:w="1227" w:type="dxa"/>
            <w:tcBorders>
              <w:top w:val="nil"/>
              <w:left w:val="nil"/>
              <w:bottom w:val="single" w:sz="4" w:space="0" w:color="auto"/>
              <w:right w:val="single" w:sz="4" w:space="0" w:color="auto"/>
            </w:tcBorders>
            <w:shd w:val="clear" w:color="auto" w:fill="auto"/>
            <w:noWrap/>
            <w:vAlign w:val="center"/>
            <w:hideMark/>
          </w:tcPr>
          <w:p w14:paraId="10B06521"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Dillsburg</w:t>
            </w:r>
          </w:p>
        </w:tc>
        <w:tc>
          <w:tcPr>
            <w:tcW w:w="990" w:type="dxa"/>
            <w:gridSpan w:val="2"/>
            <w:tcBorders>
              <w:top w:val="nil"/>
              <w:left w:val="nil"/>
              <w:bottom w:val="single" w:sz="4" w:space="0" w:color="auto"/>
              <w:right w:val="single" w:sz="12" w:space="0" w:color="auto"/>
            </w:tcBorders>
            <w:shd w:val="clear" w:color="auto" w:fill="auto"/>
            <w:noWrap/>
            <w:vAlign w:val="center"/>
            <w:hideMark/>
          </w:tcPr>
          <w:p w14:paraId="5A245843"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31%</w:t>
            </w:r>
          </w:p>
        </w:tc>
      </w:tr>
      <w:tr w:rsidR="005B5972" w:rsidRPr="00C4057E" w14:paraId="5916C2CB" w14:textId="77777777" w:rsidTr="001C3A0E">
        <w:trPr>
          <w:gridAfter w:val="1"/>
          <w:wAfter w:w="110" w:type="dxa"/>
          <w:trHeight w:val="288"/>
          <w:jc w:val="center"/>
        </w:trPr>
        <w:tc>
          <w:tcPr>
            <w:tcW w:w="990" w:type="dxa"/>
            <w:gridSpan w:val="2"/>
            <w:vMerge/>
            <w:tcBorders>
              <w:top w:val="single" w:sz="12" w:space="0" w:color="auto"/>
              <w:left w:val="single" w:sz="12" w:space="0" w:color="auto"/>
              <w:bottom w:val="single" w:sz="12" w:space="0" w:color="000000"/>
              <w:right w:val="single" w:sz="4" w:space="0" w:color="auto"/>
            </w:tcBorders>
            <w:vAlign w:val="center"/>
            <w:hideMark/>
          </w:tcPr>
          <w:p w14:paraId="1C9538B0" w14:textId="77777777" w:rsidR="00C4057E" w:rsidRPr="00C4057E" w:rsidRDefault="00C4057E" w:rsidP="00C4057E">
            <w:pPr>
              <w:spacing w:after="0" w:line="240" w:lineRule="auto"/>
              <w:rPr>
                <w:rFonts w:ascii="Arial" w:eastAsia="Times New Roman" w:hAnsi="Arial" w:cs="Arial"/>
                <w:color w:val="FFFFFF"/>
                <w:sz w:val="18"/>
                <w:szCs w:val="18"/>
              </w:rPr>
            </w:pPr>
          </w:p>
        </w:tc>
        <w:tc>
          <w:tcPr>
            <w:tcW w:w="900" w:type="dxa"/>
            <w:gridSpan w:val="2"/>
            <w:tcBorders>
              <w:top w:val="nil"/>
              <w:left w:val="nil"/>
              <w:bottom w:val="single" w:sz="12" w:space="0" w:color="auto"/>
              <w:right w:val="nil"/>
            </w:tcBorders>
            <w:shd w:val="clear" w:color="auto" w:fill="auto"/>
            <w:noWrap/>
            <w:vAlign w:val="center"/>
            <w:hideMark/>
          </w:tcPr>
          <w:p w14:paraId="23AC68CB"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1st Low</w:t>
            </w:r>
          </w:p>
        </w:tc>
        <w:tc>
          <w:tcPr>
            <w:tcW w:w="1170" w:type="dxa"/>
            <w:gridSpan w:val="2"/>
            <w:tcBorders>
              <w:top w:val="nil"/>
              <w:left w:val="single" w:sz="12" w:space="0" w:color="auto"/>
              <w:bottom w:val="single" w:sz="12" w:space="0" w:color="auto"/>
              <w:right w:val="single" w:sz="4" w:space="0" w:color="auto"/>
            </w:tcBorders>
            <w:shd w:val="clear" w:color="auto" w:fill="auto"/>
            <w:noWrap/>
            <w:vAlign w:val="center"/>
            <w:hideMark/>
          </w:tcPr>
          <w:p w14:paraId="283CF7B5"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Hamburg</w:t>
            </w:r>
          </w:p>
        </w:tc>
        <w:tc>
          <w:tcPr>
            <w:tcW w:w="990" w:type="dxa"/>
            <w:tcBorders>
              <w:top w:val="nil"/>
              <w:left w:val="nil"/>
              <w:bottom w:val="single" w:sz="12" w:space="0" w:color="auto"/>
              <w:right w:val="single" w:sz="12" w:space="0" w:color="auto"/>
            </w:tcBorders>
            <w:shd w:val="clear" w:color="auto" w:fill="auto"/>
            <w:noWrap/>
            <w:vAlign w:val="center"/>
            <w:hideMark/>
          </w:tcPr>
          <w:p w14:paraId="45F7AAED"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27%</w:t>
            </w:r>
          </w:p>
        </w:tc>
        <w:tc>
          <w:tcPr>
            <w:tcW w:w="1350" w:type="dxa"/>
            <w:gridSpan w:val="2"/>
            <w:tcBorders>
              <w:top w:val="nil"/>
              <w:left w:val="nil"/>
              <w:bottom w:val="single" w:sz="12" w:space="0" w:color="auto"/>
              <w:right w:val="single" w:sz="4" w:space="0" w:color="auto"/>
            </w:tcBorders>
            <w:shd w:val="clear" w:color="auto" w:fill="auto"/>
            <w:noWrap/>
            <w:vAlign w:val="center"/>
            <w:hideMark/>
          </w:tcPr>
          <w:p w14:paraId="49652D93"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Stroudsburg</w:t>
            </w:r>
          </w:p>
        </w:tc>
        <w:tc>
          <w:tcPr>
            <w:tcW w:w="990" w:type="dxa"/>
            <w:tcBorders>
              <w:top w:val="nil"/>
              <w:left w:val="nil"/>
              <w:bottom w:val="single" w:sz="12" w:space="0" w:color="auto"/>
              <w:right w:val="nil"/>
            </w:tcBorders>
            <w:shd w:val="clear" w:color="auto" w:fill="auto"/>
            <w:noWrap/>
            <w:vAlign w:val="center"/>
            <w:hideMark/>
          </w:tcPr>
          <w:p w14:paraId="49923452"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25%</w:t>
            </w:r>
          </w:p>
        </w:tc>
        <w:tc>
          <w:tcPr>
            <w:tcW w:w="1227" w:type="dxa"/>
            <w:tcBorders>
              <w:top w:val="nil"/>
              <w:left w:val="single" w:sz="12" w:space="0" w:color="auto"/>
              <w:bottom w:val="single" w:sz="12" w:space="0" w:color="auto"/>
              <w:right w:val="single" w:sz="4" w:space="0" w:color="auto"/>
            </w:tcBorders>
            <w:shd w:val="clear" w:color="auto" w:fill="auto"/>
            <w:noWrap/>
            <w:vAlign w:val="center"/>
            <w:hideMark/>
          </w:tcPr>
          <w:p w14:paraId="08EE186A"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Gettysburg</w:t>
            </w:r>
          </w:p>
        </w:tc>
        <w:tc>
          <w:tcPr>
            <w:tcW w:w="990" w:type="dxa"/>
            <w:gridSpan w:val="2"/>
            <w:tcBorders>
              <w:top w:val="nil"/>
              <w:left w:val="nil"/>
              <w:bottom w:val="single" w:sz="12" w:space="0" w:color="auto"/>
              <w:right w:val="single" w:sz="12" w:space="0" w:color="auto"/>
            </w:tcBorders>
            <w:shd w:val="clear" w:color="auto" w:fill="auto"/>
            <w:noWrap/>
            <w:vAlign w:val="center"/>
            <w:hideMark/>
          </w:tcPr>
          <w:p w14:paraId="312B6031"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29%</w:t>
            </w:r>
          </w:p>
        </w:tc>
        <w:tc>
          <w:tcPr>
            <w:tcW w:w="1227" w:type="dxa"/>
            <w:tcBorders>
              <w:top w:val="nil"/>
              <w:left w:val="nil"/>
              <w:bottom w:val="single" w:sz="12" w:space="0" w:color="auto"/>
              <w:right w:val="single" w:sz="4" w:space="0" w:color="auto"/>
            </w:tcBorders>
            <w:shd w:val="clear" w:color="auto" w:fill="auto"/>
            <w:noWrap/>
            <w:vAlign w:val="center"/>
            <w:hideMark/>
          </w:tcPr>
          <w:p w14:paraId="68160ECA"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Gettysburg</w:t>
            </w:r>
          </w:p>
        </w:tc>
        <w:tc>
          <w:tcPr>
            <w:tcW w:w="990" w:type="dxa"/>
            <w:gridSpan w:val="2"/>
            <w:tcBorders>
              <w:top w:val="nil"/>
              <w:left w:val="nil"/>
              <w:bottom w:val="single" w:sz="12" w:space="0" w:color="auto"/>
              <w:right w:val="single" w:sz="12" w:space="0" w:color="auto"/>
            </w:tcBorders>
            <w:shd w:val="clear" w:color="auto" w:fill="auto"/>
            <w:noWrap/>
            <w:vAlign w:val="center"/>
            <w:hideMark/>
          </w:tcPr>
          <w:p w14:paraId="3142572A"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23%</w:t>
            </w:r>
          </w:p>
        </w:tc>
      </w:tr>
      <w:tr w:rsidR="005B5972" w:rsidRPr="00C4057E" w14:paraId="3A8F5163" w14:textId="77777777" w:rsidTr="001C3A0E">
        <w:trPr>
          <w:gridAfter w:val="1"/>
          <w:wAfter w:w="110" w:type="dxa"/>
          <w:trHeight w:val="288"/>
          <w:jc w:val="center"/>
        </w:trPr>
        <w:tc>
          <w:tcPr>
            <w:tcW w:w="990" w:type="dxa"/>
            <w:gridSpan w:val="2"/>
            <w:tcBorders>
              <w:top w:val="nil"/>
              <w:left w:val="single" w:sz="12" w:space="0" w:color="auto"/>
              <w:bottom w:val="single" w:sz="4" w:space="0" w:color="auto"/>
              <w:right w:val="nil"/>
            </w:tcBorders>
            <w:shd w:val="clear" w:color="000000" w:fill="D9D9D9"/>
            <w:noWrap/>
            <w:vAlign w:val="center"/>
            <w:hideMark/>
          </w:tcPr>
          <w:p w14:paraId="593BCC19" w14:textId="77777777" w:rsidR="00C4057E" w:rsidRPr="00C4057E" w:rsidRDefault="00C4057E" w:rsidP="00C4057E">
            <w:pPr>
              <w:spacing w:after="0" w:line="240" w:lineRule="auto"/>
              <w:jc w:val="center"/>
              <w:rPr>
                <w:rFonts w:ascii="Arial" w:eastAsia="Times New Roman" w:hAnsi="Arial" w:cs="Arial"/>
                <w:color w:val="FFFFFF"/>
                <w:sz w:val="18"/>
                <w:szCs w:val="18"/>
              </w:rPr>
            </w:pPr>
            <w:r w:rsidRPr="00C4057E">
              <w:rPr>
                <w:rFonts w:ascii="Arial" w:eastAsia="Times New Roman" w:hAnsi="Arial" w:cs="Arial"/>
                <w:color w:val="FFFFFF"/>
                <w:sz w:val="18"/>
                <w:szCs w:val="18"/>
              </w:rPr>
              <w:t> </w:t>
            </w:r>
          </w:p>
        </w:tc>
        <w:tc>
          <w:tcPr>
            <w:tcW w:w="900" w:type="dxa"/>
            <w:gridSpan w:val="2"/>
            <w:tcBorders>
              <w:top w:val="nil"/>
              <w:left w:val="nil"/>
              <w:bottom w:val="single" w:sz="4" w:space="0" w:color="auto"/>
              <w:right w:val="nil"/>
            </w:tcBorders>
            <w:shd w:val="clear" w:color="000000" w:fill="D9D9D9"/>
            <w:noWrap/>
            <w:vAlign w:val="center"/>
            <w:hideMark/>
          </w:tcPr>
          <w:p w14:paraId="6611B991"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 </w:t>
            </w:r>
          </w:p>
        </w:tc>
        <w:tc>
          <w:tcPr>
            <w:tcW w:w="1170" w:type="dxa"/>
            <w:gridSpan w:val="2"/>
            <w:tcBorders>
              <w:top w:val="nil"/>
              <w:left w:val="single" w:sz="12" w:space="0" w:color="auto"/>
              <w:bottom w:val="single" w:sz="4" w:space="0" w:color="auto"/>
              <w:right w:val="nil"/>
            </w:tcBorders>
            <w:shd w:val="clear" w:color="000000" w:fill="D9D9D9"/>
            <w:noWrap/>
            <w:vAlign w:val="center"/>
            <w:hideMark/>
          </w:tcPr>
          <w:p w14:paraId="5108CB63"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 </w:t>
            </w:r>
          </w:p>
        </w:tc>
        <w:tc>
          <w:tcPr>
            <w:tcW w:w="990" w:type="dxa"/>
            <w:tcBorders>
              <w:top w:val="nil"/>
              <w:left w:val="nil"/>
              <w:bottom w:val="single" w:sz="4" w:space="0" w:color="auto"/>
              <w:right w:val="single" w:sz="12" w:space="0" w:color="auto"/>
            </w:tcBorders>
            <w:shd w:val="clear" w:color="000000" w:fill="D9D9D9"/>
            <w:noWrap/>
            <w:vAlign w:val="center"/>
            <w:hideMark/>
          </w:tcPr>
          <w:p w14:paraId="596F7B64" w14:textId="77777777" w:rsidR="00C4057E" w:rsidRPr="00C4057E" w:rsidRDefault="00C4057E" w:rsidP="001C3A0E">
            <w:pPr>
              <w:spacing w:after="0" w:line="240" w:lineRule="auto"/>
              <w:jc w:val="center"/>
              <w:rPr>
                <w:rFonts w:ascii="Arial" w:eastAsia="Times New Roman" w:hAnsi="Arial" w:cs="Arial"/>
                <w:sz w:val="18"/>
                <w:szCs w:val="18"/>
              </w:rPr>
            </w:pPr>
          </w:p>
        </w:tc>
        <w:tc>
          <w:tcPr>
            <w:tcW w:w="1350" w:type="dxa"/>
            <w:gridSpan w:val="2"/>
            <w:tcBorders>
              <w:top w:val="nil"/>
              <w:left w:val="nil"/>
              <w:bottom w:val="single" w:sz="4" w:space="0" w:color="auto"/>
              <w:right w:val="nil"/>
            </w:tcBorders>
            <w:shd w:val="clear" w:color="000000" w:fill="D9D9D9"/>
            <w:noWrap/>
            <w:vAlign w:val="center"/>
            <w:hideMark/>
          </w:tcPr>
          <w:p w14:paraId="24DD90C8"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 </w:t>
            </w:r>
          </w:p>
        </w:tc>
        <w:tc>
          <w:tcPr>
            <w:tcW w:w="990" w:type="dxa"/>
            <w:tcBorders>
              <w:top w:val="nil"/>
              <w:left w:val="nil"/>
              <w:bottom w:val="single" w:sz="4" w:space="0" w:color="auto"/>
              <w:right w:val="nil"/>
            </w:tcBorders>
            <w:shd w:val="clear" w:color="000000" w:fill="D9D9D9"/>
            <w:noWrap/>
            <w:vAlign w:val="center"/>
            <w:hideMark/>
          </w:tcPr>
          <w:p w14:paraId="6308203F" w14:textId="77777777" w:rsidR="00C4057E" w:rsidRPr="00C4057E" w:rsidRDefault="00C4057E" w:rsidP="001C3A0E">
            <w:pPr>
              <w:spacing w:after="0" w:line="240" w:lineRule="auto"/>
              <w:jc w:val="center"/>
              <w:rPr>
                <w:rFonts w:ascii="Arial" w:eastAsia="Times New Roman" w:hAnsi="Arial" w:cs="Arial"/>
                <w:sz w:val="18"/>
                <w:szCs w:val="18"/>
              </w:rPr>
            </w:pPr>
          </w:p>
        </w:tc>
        <w:tc>
          <w:tcPr>
            <w:tcW w:w="1227" w:type="dxa"/>
            <w:tcBorders>
              <w:top w:val="nil"/>
              <w:left w:val="single" w:sz="12" w:space="0" w:color="auto"/>
              <w:bottom w:val="single" w:sz="4" w:space="0" w:color="auto"/>
              <w:right w:val="nil"/>
            </w:tcBorders>
            <w:shd w:val="clear" w:color="000000" w:fill="D9D9D9"/>
            <w:noWrap/>
            <w:vAlign w:val="center"/>
            <w:hideMark/>
          </w:tcPr>
          <w:p w14:paraId="49C9F7B0"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 </w:t>
            </w:r>
          </w:p>
        </w:tc>
        <w:tc>
          <w:tcPr>
            <w:tcW w:w="990" w:type="dxa"/>
            <w:gridSpan w:val="2"/>
            <w:tcBorders>
              <w:top w:val="nil"/>
              <w:left w:val="nil"/>
              <w:bottom w:val="single" w:sz="4" w:space="0" w:color="auto"/>
              <w:right w:val="single" w:sz="12" w:space="0" w:color="auto"/>
            </w:tcBorders>
            <w:shd w:val="clear" w:color="000000" w:fill="D9D9D9"/>
            <w:noWrap/>
            <w:vAlign w:val="center"/>
            <w:hideMark/>
          </w:tcPr>
          <w:p w14:paraId="642FFCDE" w14:textId="77777777" w:rsidR="00C4057E" w:rsidRPr="00C4057E" w:rsidRDefault="00C4057E" w:rsidP="001C3A0E">
            <w:pPr>
              <w:spacing w:after="0" w:line="240" w:lineRule="auto"/>
              <w:jc w:val="center"/>
              <w:rPr>
                <w:rFonts w:ascii="Arial" w:eastAsia="Times New Roman" w:hAnsi="Arial" w:cs="Arial"/>
                <w:sz w:val="18"/>
                <w:szCs w:val="18"/>
              </w:rPr>
            </w:pPr>
          </w:p>
        </w:tc>
        <w:tc>
          <w:tcPr>
            <w:tcW w:w="1227" w:type="dxa"/>
            <w:tcBorders>
              <w:top w:val="nil"/>
              <w:left w:val="nil"/>
              <w:bottom w:val="single" w:sz="4" w:space="0" w:color="auto"/>
              <w:right w:val="nil"/>
            </w:tcBorders>
            <w:shd w:val="clear" w:color="000000" w:fill="D9D9D9"/>
            <w:noWrap/>
            <w:vAlign w:val="center"/>
            <w:hideMark/>
          </w:tcPr>
          <w:p w14:paraId="2004BA00"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 </w:t>
            </w:r>
          </w:p>
        </w:tc>
        <w:tc>
          <w:tcPr>
            <w:tcW w:w="990" w:type="dxa"/>
            <w:gridSpan w:val="2"/>
            <w:tcBorders>
              <w:top w:val="nil"/>
              <w:left w:val="nil"/>
              <w:bottom w:val="single" w:sz="4" w:space="0" w:color="auto"/>
              <w:right w:val="single" w:sz="12" w:space="0" w:color="auto"/>
            </w:tcBorders>
            <w:shd w:val="clear" w:color="000000" w:fill="D9D9D9"/>
            <w:noWrap/>
            <w:vAlign w:val="center"/>
            <w:hideMark/>
          </w:tcPr>
          <w:p w14:paraId="7060544F" w14:textId="77777777" w:rsidR="00C4057E" w:rsidRPr="00C4057E" w:rsidRDefault="00C4057E" w:rsidP="001C3A0E">
            <w:pPr>
              <w:spacing w:after="0" w:line="240" w:lineRule="auto"/>
              <w:jc w:val="center"/>
              <w:rPr>
                <w:rFonts w:ascii="Arial" w:eastAsia="Times New Roman" w:hAnsi="Arial" w:cs="Arial"/>
                <w:sz w:val="18"/>
                <w:szCs w:val="18"/>
              </w:rPr>
            </w:pPr>
          </w:p>
        </w:tc>
      </w:tr>
      <w:tr w:rsidR="005B5972" w:rsidRPr="00C4057E" w14:paraId="50F69472" w14:textId="77777777" w:rsidTr="001C3A0E">
        <w:trPr>
          <w:gridAfter w:val="1"/>
          <w:wAfter w:w="110" w:type="dxa"/>
          <w:trHeight w:val="288"/>
          <w:jc w:val="center"/>
        </w:trPr>
        <w:tc>
          <w:tcPr>
            <w:tcW w:w="990" w:type="dxa"/>
            <w:gridSpan w:val="2"/>
            <w:vMerge w:val="restart"/>
            <w:tcBorders>
              <w:top w:val="single" w:sz="12" w:space="0" w:color="auto"/>
              <w:left w:val="single" w:sz="12" w:space="0" w:color="auto"/>
              <w:bottom w:val="single" w:sz="12" w:space="0" w:color="000000"/>
              <w:right w:val="single" w:sz="4" w:space="0" w:color="auto"/>
            </w:tcBorders>
            <w:shd w:val="clear" w:color="000000" w:fill="C00000"/>
            <w:noWrap/>
            <w:vAlign w:val="center"/>
            <w:hideMark/>
          </w:tcPr>
          <w:p w14:paraId="27321204" w14:textId="77777777" w:rsidR="00C4057E" w:rsidRPr="00C4057E" w:rsidRDefault="00C4057E" w:rsidP="00C4057E">
            <w:pPr>
              <w:spacing w:after="0" w:line="240" w:lineRule="auto"/>
              <w:jc w:val="center"/>
              <w:rPr>
                <w:rFonts w:ascii="Arial" w:eastAsia="Times New Roman" w:hAnsi="Arial" w:cs="Arial"/>
                <w:color w:val="FFFFFF"/>
                <w:sz w:val="18"/>
                <w:szCs w:val="18"/>
              </w:rPr>
            </w:pPr>
            <w:r w:rsidRPr="00C4057E">
              <w:rPr>
                <w:rFonts w:ascii="Arial" w:eastAsia="Times New Roman" w:hAnsi="Arial" w:cs="Arial"/>
                <w:color w:val="FFFFFF"/>
                <w:sz w:val="18"/>
                <w:szCs w:val="18"/>
              </w:rPr>
              <w:t>Penelec</w:t>
            </w:r>
          </w:p>
        </w:tc>
        <w:tc>
          <w:tcPr>
            <w:tcW w:w="900" w:type="dxa"/>
            <w:gridSpan w:val="2"/>
            <w:tcBorders>
              <w:top w:val="single" w:sz="12" w:space="0" w:color="auto"/>
              <w:left w:val="nil"/>
              <w:bottom w:val="single" w:sz="4" w:space="0" w:color="auto"/>
              <w:right w:val="nil"/>
            </w:tcBorders>
            <w:shd w:val="clear" w:color="auto" w:fill="auto"/>
            <w:noWrap/>
            <w:vAlign w:val="center"/>
            <w:hideMark/>
          </w:tcPr>
          <w:p w14:paraId="46E9EF21"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3rd Low</w:t>
            </w:r>
          </w:p>
        </w:tc>
        <w:tc>
          <w:tcPr>
            <w:tcW w:w="1170" w:type="dxa"/>
            <w:gridSpan w:val="2"/>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1787B05D"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Erie</w:t>
            </w:r>
          </w:p>
        </w:tc>
        <w:tc>
          <w:tcPr>
            <w:tcW w:w="990" w:type="dxa"/>
            <w:tcBorders>
              <w:top w:val="single" w:sz="12" w:space="0" w:color="auto"/>
              <w:left w:val="nil"/>
              <w:bottom w:val="single" w:sz="4" w:space="0" w:color="auto"/>
              <w:right w:val="single" w:sz="12" w:space="0" w:color="auto"/>
            </w:tcBorders>
            <w:shd w:val="clear" w:color="auto" w:fill="auto"/>
            <w:noWrap/>
            <w:vAlign w:val="center"/>
            <w:hideMark/>
          </w:tcPr>
          <w:p w14:paraId="4B859E6D"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38%</w:t>
            </w:r>
          </w:p>
        </w:tc>
        <w:tc>
          <w:tcPr>
            <w:tcW w:w="1350" w:type="dxa"/>
            <w:gridSpan w:val="2"/>
            <w:tcBorders>
              <w:top w:val="single" w:sz="12" w:space="0" w:color="auto"/>
              <w:left w:val="nil"/>
              <w:bottom w:val="single" w:sz="4" w:space="0" w:color="auto"/>
              <w:right w:val="single" w:sz="4" w:space="0" w:color="auto"/>
            </w:tcBorders>
            <w:shd w:val="clear" w:color="auto" w:fill="auto"/>
            <w:noWrap/>
            <w:vAlign w:val="center"/>
            <w:hideMark/>
          </w:tcPr>
          <w:p w14:paraId="601B8FBE"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Tie - Altoona &amp; Philipsburg</w:t>
            </w:r>
          </w:p>
        </w:tc>
        <w:tc>
          <w:tcPr>
            <w:tcW w:w="990" w:type="dxa"/>
            <w:tcBorders>
              <w:top w:val="single" w:sz="12" w:space="0" w:color="auto"/>
              <w:left w:val="nil"/>
              <w:bottom w:val="single" w:sz="4" w:space="0" w:color="auto"/>
              <w:right w:val="nil"/>
            </w:tcBorders>
            <w:shd w:val="clear" w:color="auto" w:fill="auto"/>
            <w:noWrap/>
            <w:vAlign w:val="center"/>
            <w:hideMark/>
          </w:tcPr>
          <w:p w14:paraId="1C664531"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36%</w:t>
            </w:r>
          </w:p>
        </w:tc>
        <w:tc>
          <w:tcPr>
            <w:tcW w:w="1227"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1A792220"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Erie</w:t>
            </w:r>
          </w:p>
        </w:tc>
        <w:tc>
          <w:tcPr>
            <w:tcW w:w="990"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341ED761"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36%</w:t>
            </w:r>
          </w:p>
        </w:tc>
        <w:tc>
          <w:tcPr>
            <w:tcW w:w="1227" w:type="dxa"/>
            <w:tcBorders>
              <w:top w:val="single" w:sz="12" w:space="0" w:color="auto"/>
              <w:left w:val="nil"/>
              <w:bottom w:val="single" w:sz="4" w:space="0" w:color="auto"/>
              <w:right w:val="single" w:sz="4" w:space="0" w:color="auto"/>
            </w:tcBorders>
            <w:shd w:val="clear" w:color="auto" w:fill="auto"/>
            <w:noWrap/>
            <w:vAlign w:val="center"/>
            <w:hideMark/>
          </w:tcPr>
          <w:p w14:paraId="1E396F18"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Erie</w:t>
            </w:r>
          </w:p>
        </w:tc>
        <w:tc>
          <w:tcPr>
            <w:tcW w:w="990"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1C67B0CE"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35%</w:t>
            </w:r>
          </w:p>
        </w:tc>
      </w:tr>
      <w:tr w:rsidR="005B5972" w:rsidRPr="00C4057E" w14:paraId="71D55189" w14:textId="77777777" w:rsidTr="001C3A0E">
        <w:trPr>
          <w:gridAfter w:val="1"/>
          <w:wAfter w:w="110" w:type="dxa"/>
          <w:trHeight w:val="288"/>
          <w:jc w:val="center"/>
        </w:trPr>
        <w:tc>
          <w:tcPr>
            <w:tcW w:w="990" w:type="dxa"/>
            <w:gridSpan w:val="2"/>
            <w:vMerge/>
            <w:tcBorders>
              <w:top w:val="single" w:sz="12" w:space="0" w:color="auto"/>
              <w:left w:val="single" w:sz="12" w:space="0" w:color="auto"/>
              <w:bottom w:val="single" w:sz="12" w:space="0" w:color="000000"/>
              <w:right w:val="single" w:sz="4" w:space="0" w:color="auto"/>
            </w:tcBorders>
            <w:vAlign w:val="center"/>
            <w:hideMark/>
          </w:tcPr>
          <w:p w14:paraId="1EA9A971" w14:textId="77777777" w:rsidR="00C4057E" w:rsidRPr="00C4057E" w:rsidRDefault="00C4057E" w:rsidP="00C4057E">
            <w:pPr>
              <w:spacing w:after="0" w:line="240" w:lineRule="auto"/>
              <w:rPr>
                <w:rFonts w:ascii="Arial" w:eastAsia="Times New Roman" w:hAnsi="Arial" w:cs="Arial"/>
                <w:color w:val="FFFFFF"/>
                <w:sz w:val="18"/>
                <w:szCs w:val="18"/>
              </w:rPr>
            </w:pPr>
          </w:p>
        </w:tc>
        <w:tc>
          <w:tcPr>
            <w:tcW w:w="900" w:type="dxa"/>
            <w:gridSpan w:val="2"/>
            <w:tcBorders>
              <w:top w:val="nil"/>
              <w:left w:val="nil"/>
              <w:bottom w:val="single" w:sz="4" w:space="0" w:color="auto"/>
              <w:right w:val="nil"/>
            </w:tcBorders>
            <w:shd w:val="clear" w:color="auto" w:fill="auto"/>
            <w:noWrap/>
            <w:vAlign w:val="center"/>
            <w:hideMark/>
          </w:tcPr>
          <w:p w14:paraId="6DD60739"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2nd Low</w:t>
            </w:r>
          </w:p>
        </w:tc>
        <w:tc>
          <w:tcPr>
            <w:tcW w:w="1170" w:type="dxa"/>
            <w:gridSpan w:val="2"/>
            <w:tcBorders>
              <w:top w:val="nil"/>
              <w:left w:val="single" w:sz="12" w:space="0" w:color="auto"/>
              <w:bottom w:val="single" w:sz="4" w:space="0" w:color="auto"/>
              <w:right w:val="single" w:sz="4" w:space="0" w:color="auto"/>
            </w:tcBorders>
            <w:shd w:val="clear" w:color="auto" w:fill="auto"/>
            <w:noWrap/>
            <w:vAlign w:val="center"/>
            <w:hideMark/>
          </w:tcPr>
          <w:p w14:paraId="46E0183B"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Montrose</w:t>
            </w:r>
          </w:p>
        </w:tc>
        <w:tc>
          <w:tcPr>
            <w:tcW w:w="990" w:type="dxa"/>
            <w:tcBorders>
              <w:top w:val="nil"/>
              <w:left w:val="nil"/>
              <w:bottom w:val="single" w:sz="4" w:space="0" w:color="auto"/>
              <w:right w:val="single" w:sz="12" w:space="0" w:color="auto"/>
            </w:tcBorders>
            <w:shd w:val="clear" w:color="auto" w:fill="auto"/>
            <w:noWrap/>
            <w:vAlign w:val="center"/>
            <w:hideMark/>
          </w:tcPr>
          <w:p w14:paraId="1E0E7976"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36%</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2C56582B"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Erie</w:t>
            </w:r>
          </w:p>
        </w:tc>
        <w:tc>
          <w:tcPr>
            <w:tcW w:w="990" w:type="dxa"/>
            <w:tcBorders>
              <w:top w:val="nil"/>
              <w:left w:val="nil"/>
              <w:bottom w:val="single" w:sz="4" w:space="0" w:color="auto"/>
              <w:right w:val="nil"/>
            </w:tcBorders>
            <w:shd w:val="clear" w:color="auto" w:fill="auto"/>
            <w:noWrap/>
            <w:vAlign w:val="center"/>
            <w:hideMark/>
          </w:tcPr>
          <w:p w14:paraId="07813B39"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35%</w:t>
            </w:r>
          </w:p>
        </w:tc>
        <w:tc>
          <w:tcPr>
            <w:tcW w:w="1227" w:type="dxa"/>
            <w:tcBorders>
              <w:top w:val="nil"/>
              <w:left w:val="single" w:sz="12" w:space="0" w:color="auto"/>
              <w:bottom w:val="single" w:sz="4" w:space="0" w:color="auto"/>
              <w:right w:val="single" w:sz="4" w:space="0" w:color="auto"/>
            </w:tcBorders>
            <w:shd w:val="clear" w:color="auto" w:fill="auto"/>
            <w:noWrap/>
            <w:vAlign w:val="center"/>
            <w:hideMark/>
          </w:tcPr>
          <w:p w14:paraId="03C9A5C5"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Philipsburg</w:t>
            </w:r>
          </w:p>
        </w:tc>
        <w:tc>
          <w:tcPr>
            <w:tcW w:w="990" w:type="dxa"/>
            <w:gridSpan w:val="2"/>
            <w:tcBorders>
              <w:top w:val="nil"/>
              <w:left w:val="nil"/>
              <w:bottom w:val="single" w:sz="4" w:space="0" w:color="auto"/>
              <w:right w:val="single" w:sz="12" w:space="0" w:color="auto"/>
            </w:tcBorders>
            <w:shd w:val="clear" w:color="auto" w:fill="auto"/>
            <w:noWrap/>
            <w:vAlign w:val="center"/>
            <w:hideMark/>
          </w:tcPr>
          <w:p w14:paraId="69E9228C"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34%</w:t>
            </w:r>
          </w:p>
        </w:tc>
        <w:tc>
          <w:tcPr>
            <w:tcW w:w="1227" w:type="dxa"/>
            <w:tcBorders>
              <w:top w:val="nil"/>
              <w:left w:val="nil"/>
              <w:bottom w:val="single" w:sz="4" w:space="0" w:color="auto"/>
              <w:right w:val="single" w:sz="4" w:space="0" w:color="auto"/>
            </w:tcBorders>
            <w:shd w:val="clear" w:color="auto" w:fill="auto"/>
            <w:noWrap/>
            <w:vAlign w:val="center"/>
            <w:hideMark/>
          </w:tcPr>
          <w:p w14:paraId="2FDF469A"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Altoona</w:t>
            </w:r>
          </w:p>
        </w:tc>
        <w:tc>
          <w:tcPr>
            <w:tcW w:w="990" w:type="dxa"/>
            <w:gridSpan w:val="2"/>
            <w:tcBorders>
              <w:top w:val="nil"/>
              <w:left w:val="nil"/>
              <w:bottom w:val="single" w:sz="4" w:space="0" w:color="auto"/>
              <w:right w:val="single" w:sz="12" w:space="0" w:color="auto"/>
            </w:tcBorders>
            <w:shd w:val="clear" w:color="auto" w:fill="auto"/>
            <w:noWrap/>
            <w:vAlign w:val="center"/>
            <w:hideMark/>
          </w:tcPr>
          <w:p w14:paraId="23A45172"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33%</w:t>
            </w:r>
          </w:p>
        </w:tc>
      </w:tr>
      <w:tr w:rsidR="005B5972" w:rsidRPr="00C4057E" w14:paraId="3DC44C02" w14:textId="77777777" w:rsidTr="001C3A0E">
        <w:trPr>
          <w:gridAfter w:val="1"/>
          <w:wAfter w:w="110" w:type="dxa"/>
          <w:trHeight w:val="288"/>
          <w:jc w:val="center"/>
        </w:trPr>
        <w:tc>
          <w:tcPr>
            <w:tcW w:w="990" w:type="dxa"/>
            <w:gridSpan w:val="2"/>
            <w:vMerge/>
            <w:tcBorders>
              <w:top w:val="single" w:sz="12" w:space="0" w:color="auto"/>
              <w:left w:val="single" w:sz="12" w:space="0" w:color="auto"/>
              <w:bottom w:val="single" w:sz="12" w:space="0" w:color="000000"/>
              <w:right w:val="single" w:sz="4" w:space="0" w:color="auto"/>
            </w:tcBorders>
            <w:vAlign w:val="center"/>
            <w:hideMark/>
          </w:tcPr>
          <w:p w14:paraId="1FA5EDC8" w14:textId="77777777" w:rsidR="00C4057E" w:rsidRPr="00C4057E" w:rsidRDefault="00C4057E" w:rsidP="00C4057E">
            <w:pPr>
              <w:spacing w:after="0" w:line="240" w:lineRule="auto"/>
              <w:rPr>
                <w:rFonts w:ascii="Arial" w:eastAsia="Times New Roman" w:hAnsi="Arial" w:cs="Arial"/>
                <w:color w:val="FFFFFF"/>
                <w:sz w:val="18"/>
                <w:szCs w:val="18"/>
              </w:rPr>
            </w:pPr>
          </w:p>
        </w:tc>
        <w:tc>
          <w:tcPr>
            <w:tcW w:w="900" w:type="dxa"/>
            <w:gridSpan w:val="2"/>
            <w:tcBorders>
              <w:top w:val="nil"/>
              <w:left w:val="nil"/>
              <w:bottom w:val="single" w:sz="12" w:space="0" w:color="auto"/>
              <w:right w:val="nil"/>
            </w:tcBorders>
            <w:shd w:val="clear" w:color="auto" w:fill="auto"/>
            <w:noWrap/>
            <w:vAlign w:val="center"/>
            <w:hideMark/>
          </w:tcPr>
          <w:p w14:paraId="3B9FD29F"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1st Low</w:t>
            </w:r>
          </w:p>
        </w:tc>
        <w:tc>
          <w:tcPr>
            <w:tcW w:w="1170" w:type="dxa"/>
            <w:gridSpan w:val="2"/>
            <w:tcBorders>
              <w:top w:val="nil"/>
              <w:left w:val="single" w:sz="12" w:space="0" w:color="auto"/>
              <w:bottom w:val="single" w:sz="12" w:space="0" w:color="auto"/>
              <w:right w:val="single" w:sz="4" w:space="0" w:color="auto"/>
            </w:tcBorders>
            <w:shd w:val="clear" w:color="auto" w:fill="auto"/>
            <w:noWrap/>
            <w:vAlign w:val="center"/>
            <w:hideMark/>
          </w:tcPr>
          <w:p w14:paraId="7D5FE3BE"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Altoona</w:t>
            </w:r>
          </w:p>
        </w:tc>
        <w:tc>
          <w:tcPr>
            <w:tcW w:w="990" w:type="dxa"/>
            <w:tcBorders>
              <w:top w:val="nil"/>
              <w:left w:val="nil"/>
              <w:bottom w:val="single" w:sz="12" w:space="0" w:color="auto"/>
              <w:right w:val="single" w:sz="12" w:space="0" w:color="auto"/>
            </w:tcBorders>
            <w:shd w:val="clear" w:color="auto" w:fill="auto"/>
            <w:noWrap/>
            <w:vAlign w:val="center"/>
            <w:hideMark/>
          </w:tcPr>
          <w:p w14:paraId="62B0E2E3"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34%</w:t>
            </w:r>
          </w:p>
        </w:tc>
        <w:tc>
          <w:tcPr>
            <w:tcW w:w="1350" w:type="dxa"/>
            <w:gridSpan w:val="2"/>
            <w:tcBorders>
              <w:top w:val="nil"/>
              <w:left w:val="nil"/>
              <w:bottom w:val="single" w:sz="12" w:space="0" w:color="auto"/>
              <w:right w:val="single" w:sz="4" w:space="0" w:color="auto"/>
            </w:tcBorders>
            <w:shd w:val="clear" w:color="auto" w:fill="auto"/>
            <w:noWrap/>
            <w:vAlign w:val="center"/>
            <w:hideMark/>
          </w:tcPr>
          <w:p w14:paraId="36FD09D7"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Montrose</w:t>
            </w:r>
          </w:p>
        </w:tc>
        <w:tc>
          <w:tcPr>
            <w:tcW w:w="990" w:type="dxa"/>
            <w:tcBorders>
              <w:top w:val="nil"/>
              <w:left w:val="nil"/>
              <w:bottom w:val="single" w:sz="12" w:space="0" w:color="auto"/>
              <w:right w:val="nil"/>
            </w:tcBorders>
            <w:shd w:val="clear" w:color="auto" w:fill="auto"/>
            <w:noWrap/>
            <w:vAlign w:val="center"/>
            <w:hideMark/>
          </w:tcPr>
          <w:p w14:paraId="246F3BBF"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30%</w:t>
            </w:r>
          </w:p>
        </w:tc>
        <w:tc>
          <w:tcPr>
            <w:tcW w:w="1227" w:type="dxa"/>
            <w:tcBorders>
              <w:top w:val="nil"/>
              <w:left w:val="single" w:sz="12" w:space="0" w:color="auto"/>
              <w:bottom w:val="single" w:sz="12" w:space="0" w:color="auto"/>
              <w:right w:val="single" w:sz="4" w:space="0" w:color="auto"/>
            </w:tcBorders>
            <w:shd w:val="clear" w:color="auto" w:fill="auto"/>
            <w:noWrap/>
            <w:vAlign w:val="center"/>
            <w:hideMark/>
          </w:tcPr>
          <w:p w14:paraId="5A53E288"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Montrose</w:t>
            </w:r>
          </w:p>
        </w:tc>
        <w:tc>
          <w:tcPr>
            <w:tcW w:w="990" w:type="dxa"/>
            <w:gridSpan w:val="2"/>
            <w:tcBorders>
              <w:top w:val="nil"/>
              <w:left w:val="nil"/>
              <w:bottom w:val="single" w:sz="12" w:space="0" w:color="auto"/>
              <w:right w:val="single" w:sz="12" w:space="0" w:color="auto"/>
            </w:tcBorders>
            <w:shd w:val="clear" w:color="auto" w:fill="auto"/>
            <w:noWrap/>
            <w:vAlign w:val="center"/>
            <w:hideMark/>
          </w:tcPr>
          <w:p w14:paraId="5F265492"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26%</w:t>
            </w:r>
          </w:p>
        </w:tc>
        <w:tc>
          <w:tcPr>
            <w:tcW w:w="1227" w:type="dxa"/>
            <w:tcBorders>
              <w:top w:val="nil"/>
              <w:left w:val="nil"/>
              <w:bottom w:val="single" w:sz="12" w:space="0" w:color="auto"/>
              <w:right w:val="single" w:sz="4" w:space="0" w:color="auto"/>
            </w:tcBorders>
            <w:shd w:val="clear" w:color="auto" w:fill="auto"/>
            <w:noWrap/>
            <w:vAlign w:val="center"/>
            <w:hideMark/>
          </w:tcPr>
          <w:p w14:paraId="5C8744B9"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Montrose</w:t>
            </w:r>
          </w:p>
        </w:tc>
        <w:tc>
          <w:tcPr>
            <w:tcW w:w="990" w:type="dxa"/>
            <w:gridSpan w:val="2"/>
            <w:tcBorders>
              <w:top w:val="nil"/>
              <w:left w:val="nil"/>
              <w:bottom w:val="single" w:sz="12" w:space="0" w:color="auto"/>
              <w:right w:val="single" w:sz="12" w:space="0" w:color="auto"/>
            </w:tcBorders>
            <w:shd w:val="clear" w:color="auto" w:fill="auto"/>
            <w:noWrap/>
            <w:vAlign w:val="center"/>
            <w:hideMark/>
          </w:tcPr>
          <w:p w14:paraId="4C644553"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31%</w:t>
            </w:r>
          </w:p>
        </w:tc>
      </w:tr>
      <w:tr w:rsidR="005B5972" w:rsidRPr="00C4057E" w14:paraId="256F6C9C" w14:textId="77777777" w:rsidTr="001C3A0E">
        <w:trPr>
          <w:gridAfter w:val="1"/>
          <w:wAfter w:w="110" w:type="dxa"/>
          <w:trHeight w:val="288"/>
          <w:jc w:val="center"/>
        </w:trPr>
        <w:tc>
          <w:tcPr>
            <w:tcW w:w="990" w:type="dxa"/>
            <w:gridSpan w:val="2"/>
            <w:tcBorders>
              <w:top w:val="single" w:sz="4" w:space="0" w:color="auto"/>
              <w:left w:val="single" w:sz="12" w:space="0" w:color="auto"/>
              <w:bottom w:val="single" w:sz="4" w:space="0" w:color="auto"/>
              <w:right w:val="nil"/>
            </w:tcBorders>
            <w:shd w:val="clear" w:color="000000" w:fill="D9D9D9"/>
            <w:noWrap/>
            <w:vAlign w:val="center"/>
            <w:hideMark/>
          </w:tcPr>
          <w:p w14:paraId="2EA4ADD0" w14:textId="77777777" w:rsidR="00C4057E" w:rsidRPr="00C4057E" w:rsidRDefault="00C4057E" w:rsidP="00C4057E">
            <w:pPr>
              <w:spacing w:after="0" w:line="240" w:lineRule="auto"/>
              <w:jc w:val="center"/>
              <w:rPr>
                <w:rFonts w:ascii="Arial" w:eastAsia="Times New Roman" w:hAnsi="Arial" w:cs="Arial"/>
                <w:color w:val="FFFFFF"/>
                <w:sz w:val="18"/>
                <w:szCs w:val="18"/>
              </w:rPr>
            </w:pPr>
            <w:r w:rsidRPr="00C4057E">
              <w:rPr>
                <w:rFonts w:ascii="Arial" w:eastAsia="Times New Roman" w:hAnsi="Arial" w:cs="Arial"/>
                <w:color w:val="FFFFFF"/>
                <w:sz w:val="18"/>
                <w:szCs w:val="18"/>
              </w:rPr>
              <w:t> </w:t>
            </w:r>
          </w:p>
        </w:tc>
        <w:tc>
          <w:tcPr>
            <w:tcW w:w="900" w:type="dxa"/>
            <w:gridSpan w:val="2"/>
            <w:tcBorders>
              <w:top w:val="single" w:sz="4" w:space="0" w:color="auto"/>
              <w:left w:val="nil"/>
              <w:bottom w:val="single" w:sz="4" w:space="0" w:color="auto"/>
              <w:right w:val="nil"/>
            </w:tcBorders>
            <w:shd w:val="clear" w:color="000000" w:fill="D9D9D9"/>
            <w:noWrap/>
            <w:vAlign w:val="center"/>
            <w:hideMark/>
          </w:tcPr>
          <w:p w14:paraId="7EACCA2B"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 </w:t>
            </w:r>
          </w:p>
        </w:tc>
        <w:tc>
          <w:tcPr>
            <w:tcW w:w="1170" w:type="dxa"/>
            <w:gridSpan w:val="2"/>
            <w:tcBorders>
              <w:top w:val="single" w:sz="4" w:space="0" w:color="auto"/>
              <w:left w:val="single" w:sz="12" w:space="0" w:color="auto"/>
              <w:bottom w:val="single" w:sz="4" w:space="0" w:color="auto"/>
              <w:right w:val="nil"/>
            </w:tcBorders>
            <w:shd w:val="clear" w:color="000000" w:fill="D9D9D9"/>
            <w:noWrap/>
            <w:vAlign w:val="center"/>
            <w:hideMark/>
          </w:tcPr>
          <w:p w14:paraId="45D4CA02"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 </w:t>
            </w:r>
          </w:p>
        </w:tc>
        <w:tc>
          <w:tcPr>
            <w:tcW w:w="990" w:type="dxa"/>
            <w:tcBorders>
              <w:top w:val="single" w:sz="4" w:space="0" w:color="auto"/>
              <w:left w:val="nil"/>
              <w:bottom w:val="single" w:sz="4" w:space="0" w:color="auto"/>
              <w:right w:val="single" w:sz="12" w:space="0" w:color="auto"/>
            </w:tcBorders>
            <w:shd w:val="clear" w:color="000000" w:fill="D9D9D9"/>
            <w:noWrap/>
            <w:vAlign w:val="center"/>
            <w:hideMark/>
          </w:tcPr>
          <w:p w14:paraId="0F568845" w14:textId="77777777" w:rsidR="00C4057E" w:rsidRPr="00C4057E" w:rsidRDefault="00C4057E" w:rsidP="001C3A0E">
            <w:pPr>
              <w:spacing w:after="0" w:line="240" w:lineRule="auto"/>
              <w:jc w:val="center"/>
              <w:rPr>
                <w:rFonts w:ascii="Arial" w:eastAsia="Times New Roman" w:hAnsi="Arial" w:cs="Arial"/>
                <w:sz w:val="18"/>
                <w:szCs w:val="18"/>
              </w:rPr>
            </w:pPr>
          </w:p>
        </w:tc>
        <w:tc>
          <w:tcPr>
            <w:tcW w:w="1350" w:type="dxa"/>
            <w:gridSpan w:val="2"/>
            <w:tcBorders>
              <w:top w:val="single" w:sz="4" w:space="0" w:color="auto"/>
              <w:left w:val="nil"/>
              <w:bottom w:val="single" w:sz="4" w:space="0" w:color="auto"/>
              <w:right w:val="nil"/>
            </w:tcBorders>
            <w:shd w:val="clear" w:color="000000" w:fill="D9D9D9"/>
            <w:noWrap/>
            <w:vAlign w:val="center"/>
            <w:hideMark/>
          </w:tcPr>
          <w:p w14:paraId="05B674DE"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 </w:t>
            </w:r>
          </w:p>
        </w:tc>
        <w:tc>
          <w:tcPr>
            <w:tcW w:w="990" w:type="dxa"/>
            <w:tcBorders>
              <w:top w:val="single" w:sz="4" w:space="0" w:color="auto"/>
              <w:left w:val="nil"/>
              <w:bottom w:val="single" w:sz="4" w:space="0" w:color="auto"/>
              <w:right w:val="nil"/>
            </w:tcBorders>
            <w:shd w:val="clear" w:color="000000" w:fill="D9D9D9"/>
            <w:noWrap/>
            <w:vAlign w:val="center"/>
            <w:hideMark/>
          </w:tcPr>
          <w:p w14:paraId="43AE2C29" w14:textId="77777777" w:rsidR="00C4057E" w:rsidRPr="00C4057E" w:rsidRDefault="00C4057E" w:rsidP="001C3A0E">
            <w:pPr>
              <w:spacing w:after="0" w:line="240" w:lineRule="auto"/>
              <w:jc w:val="center"/>
              <w:rPr>
                <w:rFonts w:ascii="Arial" w:eastAsia="Times New Roman" w:hAnsi="Arial" w:cs="Arial"/>
                <w:sz w:val="18"/>
                <w:szCs w:val="18"/>
              </w:rPr>
            </w:pPr>
          </w:p>
        </w:tc>
        <w:tc>
          <w:tcPr>
            <w:tcW w:w="1227" w:type="dxa"/>
            <w:tcBorders>
              <w:top w:val="single" w:sz="4" w:space="0" w:color="auto"/>
              <w:left w:val="single" w:sz="12" w:space="0" w:color="auto"/>
              <w:bottom w:val="single" w:sz="4" w:space="0" w:color="auto"/>
              <w:right w:val="nil"/>
            </w:tcBorders>
            <w:shd w:val="clear" w:color="000000" w:fill="D9D9D9"/>
            <w:noWrap/>
            <w:vAlign w:val="center"/>
            <w:hideMark/>
          </w:tcPr>
          <w:p w14:paraId="0BE0EDA0"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 </w:t>
            </w:r>
          </w:p>
        </w:tc>
        <w:tc>
          <w:tcPr>
            <w:tcW w:w="990" w:type="dxa"/>
            <w:gridSpan w:val="2"/>
            <w:tcBorders>
              <w:top w:val="single" w:sz="4" w:space="0" w:color="auto"/>
              <w:left w:val="nil"/>
              <w:bottom w:val="single" w:sz="4" w:space="0" w:color="auto"/>
              <w:right w:val="single" w:sz="12" w:space="0" w:color="auto"/>
            </w:tcBorders>
            <w:shd w:val="clear" w:color="000000" w:fill="D9D9D9"/>
            <w:noWrap/>
            <w:vAlign w:val="center"/>
            <w:hideMark/>
          </w:tcPr>
          <w:p w14:paraId="4F08C69A" w14:textId="77777777" w:rsidR="00C4057E" w:rsidRPr="00C4057E" w:rsidRDefault="00C4057E" w:rsidP="001C3A0E">
            <w:pPr>
              <w:spacing w:after="0" w:line="240" w:lineRule="auto"/>
              <w:jc w:val="center"/>
              <w:rPr>
                <w:rFonts w:ascii="Arial" w:eastAsia="Times New Roman" w:hAnsi="Arial" w:cs="Arial"/>
                <w:sz w:val="18"/>
                <w:szCs w:val="18"/>
              </w:rPr>
            </w:pPr>
          </w:p>
        </w:tc>
        <w:tc>
          <w:tcPr>
            <w:tcW w:w="1227" w:type="dxa"/>
            <w:tcBorders>
              <w:top w:val="single" w:sz="4" w:space="0" w:color="auto"/>
              <w:left w:val="nil"/>
              <w:bottom w:val="single" w:sz="4" w:space="0" w:color="auto"/>
              <w:right w:val="nil"/>
            </w:tcBorders>
            <w:shd w:val="clear" w:color="000000" w:fill="D9D9D9"/>
            <w:noWrap/>
            <w:vAlign w:val="center"/>
            <w:hideMark/>
          </w:tcPr>
          <w:p w14:paraId="1EB7D39F"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 </w:t>
            </w:r>
          </w:p>
        </w:tc>
        <w:tc>
          <w:tcPr>
            <w:tcW w:w="990" w:type="dxa"/>
            <w:gridSpan w:val="2"/>
            <w:tcBorders>
              <w:top w:val="single" w:sz="4" w:space="0" w:color="auto"/>
              <w:left w:val="nil"/>
              <w:bottom w:val="single" w:sz="4" w:space="0" w:color="auto"/>
              <w:right w:val="single" w:sz="12" w:space="0" w:color="auto"/>
            </w:tcBorders>
            <w:shd w:val="clear" w:color="000000" w:fill="D9D9D9"/>
            <w:noWrap/>
            <w:vAlign w:val="center"/>
            <w:hideMark/>
          </w:tcPr>
          <w:p w14:paraId="0D3E2DCB" w14:textId="77777777" w:rsidR="00C4057E" w:rsidRPr="00C4057E" w:rsidRDefault="00C4057E" w:rsidP="001C3A0E">
            <w:pPr>
              <w:spacing w:after="0" w:line="240" w:lineRule="auto"/>
              <w:jc w:val="center"/>
              <w:rPr>
                <w:rFonts w:ascii="Arial" w:eastAsia="Times New Roman" w:hAnsi="Arial" w:cs="Arial"/>
                <w:sz w:val="18"/>
                <w:szCs w:val="18"/>
              </w:rPr>
            </w:pPr>
          </w:p>
        </w:tc>
      </w:tr>
      <w:tr w:rsidR="005B5972" w:rsidRPr="00C4057E" w14:paraId="3D62E870" w14:textId="77777777" w:rsidTr="001C3A0E">
        <w:trPr>
          <w:gridAfter w:val="1"/>
          <w:wAfter w:w="110" w:type="dxa"/>
          <w:trHeight w:val="288"/>
          <w:jc w:val="center"/>
        </w:trPr>
        <w:tc>
          <w:tcPr>
            <w:tcW w:w="990" w:type="dxa"/>
            <w:gridSpan w:val="2"/>
            <w:vMerge w:val="restart"/>
            <w:tcBorders>
              <w:top w:val="single" w:sz="12" w:space="0" w:color="auto"/>
              <w:left w:val="single" w:sz="12" w:space="0" w:color="auto"/>
              <w:bottom w:val="single" w:sz="12" w:space="0" w:color="000000"/>
              <w:right w:val="single" w:sz="4" w:space="0" w:color="auto"/>
            </w:tcBorders>
            <w:shd w:val="clear" w:color="000000" w:fill="C00000"/>
            <w:noWrap/>
            <w:vAlign w:val="center"/>
            <w:hideMark/>
          </w:tcPr>
          <w:p w14:paraId="3EA6686D" w14:textId="77777777" w:rsidR="00C4057E" w:rsidRPr="00C4057E" w:rsidRDefault="00C4057E" w:rsidP="00C4057E">
            <w:pPr>
              <w:spacing w:after="0" w:line="240" w:lineRule="auto"/>
              <w:jc w:val="center"/>
              <w:rPr>
                <w:rFonts w:ascii="Arial" w:eastAsia="Times New Roman" w:hAnsi="Arial" w:cs="Arial"/>
                <w:color w:val="FFFFFF"/>
                <w:sz w:val="18"/>
                <w:szCs w:val="18"/>
              </w:rPr>
            </w:pPr>
            <w:r w:rsidRPr="00C4057E">
              <w:rPr>
                <w:rFonts w:ascii="Arial" w:eastAsia="Times New Roman" w:hAnsi="Arial" w:cs="Arial"/>
                <w:color w:val="FFFFFF"/>
                <w:sz w:val="18"/>
                <w:szCs w:val="18"/>
              </w:rPr>
              <w:t>Penn Power*</w:t>
            </w:r>
          </w:p>
        </w:tc>
        <w:tc>
          <w:tcPr>
            <w:tcW w:w="900" w:type="dxa"/>
            <w:gridSpan w:val="2"/>
            <w:tcBorders>
              <w:top w:val="single" w:sz="12" w:space="0" w:color="auto"/>
              <w:left w:val="nil"/>
              <w:bottom w:val="single" w:sz="4" w:space="0" w:color="auto"/>
              <w:right w:val="nil"/>
            </w:tcBorders>
            <w:shd w:val="clear" w:color="auto" w:fill="auto"/>
            <w:noWrap/>
            <w:vAlign w:val="center"/>
            <w:hideMark/>
          </w:tcPr>
          <w:p w14:paraId="1100E994"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3rd Low</w:t>
            </w:r>
          </w:p>
        </w:tc>
        <w:tc>
          <w:tcPr>
            <w:tcW w:w="1170" w:type="dxa"/>
            <w:gridSpan w:val="2"/>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B0D8D48"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New Castle</w:t>
            </w:r>
          </w:p>
        </w:tc>
        <w:tc>
          <w:tcPr>
            <w:tcW w:w="990" w:type="dxa"/>
            <w:tcBorders>
              <w:top w:val="single" w:sz="12" w:space="0" w:color="auto"/>
              <w:left w:val="nil"/>
              <w:bottom w:val="single" w:sz="4" w:space="0" w:color="auto"/>
              <w:right w:val="single" w:sz="12" w:space="0" w:color="auto"/>
            </w:tcBorders>
            <w:shd w:val="clear" w:color="auto" w:fill="auto"/>
            <w:noWrap/>
            <w:vAlign w:val="center"/>
            <w:hideMark/>
          </w:tcPr>
          <w:p w14:paraId="01F1FE0B"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63%</w:t>
            </w:r>
          </w:p>
        </w:tc>
        <w:tc>
          <w:tcPr>
            <w:tcW w:w="1350" w:type="dxa"/>
            <w:gridSpan w:val="2"/>
            <w:tcBorders>
              <w:top w:val="single" w:sz="12" w:space="0" w:color="auto"/>
              <w:left w:val="nil"/>
              <w:bottom w:val="single" w:sz="4" w:space="0" w:color="auto"/>
              <w:right w:val="single" w:sz="4" w:space="0" w:color="auto"/>
            </w:tcBorders>
            <w:shd w:val="clear" w:color="auto" w:fill="auto"/>
            <w:noWrap/>
            <w:vAlign w:val="center"/>
            <w:hideMark/>
          </w:tcPr>
          <w:p w14:paraId="3BAB9B47"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New Castle</w:t>
            </w:r>
          </w:p>
        </w:tc>
        <w:tc>
          <w:tcPr>
            <w:tcW w:w="990" w:type="dxa"/>
            <w:tcBorders>
              <w:top w:val="single" w:sz="12" w:space="0" w:color="auto"/>
              <w:left w:val="nil"/>
              <w:bottom w:val="single" w:sz="4" w:space="0" w:color="auto"/>
              <w:right w:val="nil"/>
            </w:tcBorders>
            <w:shd w:val="clear" w:color="auto" w:fill="auto"/>
            <w:noWrap/>
            <w:vAlign w:val="center"/>
            <w:hideMark/>
          </w:tcPr>
          <w:p w14:paraId="4170BDE0"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64%</w:t>
            </w:r>
          </w:p>
        </w:tc>
        <w:tc>
          <w:tcPr>
            <w:tcW w:w="1227"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1D310502"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New Castle</w:t>
            </w:r>
          </w:p>
        </w:tc>
        <w:tc>
          <w:tcPr>
            <w:tcW w:w="990"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7C99CDE7"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65%</w:t>
            </w:r>
          </w:p>
        </w:tc>
        <w:tc>
          <w:tcPr>
            <w:tcW w:w="1227" w:type="dxa"/>
            <w:tcBorders>
              <w:top w:val="single" w:sz="12" w:space="0" w:color="auto"/>
              <w:left w:val="nil"/>
              <w:bottom w:val="single" w:sz="4" w:space="0" w:color="auto"/>
              <w:right w:val="single" w:sz="4" w:space="0" w:color="auto"/>
            </w:tcBorders>
            <w:shd w:val="clear" w:color="auto" w:fill="auto"/>
            <w:noWrap/>
            <w:vAlign w:val="center"/>
            <w:hideMark/>
          </w:tcPr>
          <w:p w14:paraId="337D0F41"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New Castle</w:t>
            </w:r>
          </w:p>
        </w:tc>
        <w:tc>
          <w:tcPr>
            <w:tcW w:w="990"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5FBEFFA9"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67%</w:t>
            </w:r>
          </w:p>
        </w:tc>
      </w:tr>
      <w:tr w:rsidR="005B5972" w:rsidRPr="00C4057E" w14:paraId="6479F980" w14:textId="77777777" w:rsidTr="001C3A0E">
        <w:trPr>
          <w:gridAfter w:val="1"/>
          <w:wAfter w:w="110" w:type="dxa"/>
          <w:trHeight w:val="288"/>
          <w:jc w:val="center"/>
        </w:trPr>
        <w:tc>
          <w:tcPr>
            <w:tcW w:w="990" w:type="dxa"/>
            <w:gridSpan w:val="2"/>
            <w:vMerge/>
            <w:tcBorders>
              <w:top w:val="single" w:sz="12" w:space="0" w:color="auto"/>
              <w:left w:val="single" w:sz="12" w:space="0" w:color="auto"/>
              <w:bottom w:val="single" w:sz="12" w:space="0" w:color="000000"/>
              <w:right w:val="single" w:sz="4" w:space="0" w:color="auto"/>
            </w:tcBorders>
            <w:vAlign w:val="center"/>
            <w:hideMark/>
          </w:tcPr>
          <w:p w14:paraId="167BD5B3" w14:textId="77777777" w:rsidR="00C4057E" w:rsidRPr="00C4057E" w:rsidRDefault="00C4057E" w:rsidP="00C4057E">
            <w:pPr>
              <w:spacing w:after="0" w:line="240" w:lineRule="auto"/>
              <w:rPr>
                <w:rFonts w:ascii="Arial" w:eastAsia="Times New Roman" w:hAnsi="Arial" w:cs="Arial"/>
                <w:color w:val="FFFFFF"/>
                <w:sz w:val="18"/>
                <w:szCs w:val="18"/>
              </w:rPr>
            </w:pPr>
          </w:p>
        </w:tc>
        <w:tc>
          <w:tcPr>
            <w:tcW w:w="900" w:type="dxa"/>
            <w:gridSpan w:val="2"/>
            <w:tcBorders>
              <w:top w:val="nil"/>
              <w:left w:val="nil"/>
              <w:bottom w:val="single" w:sz="4" w:space="0" w:color="auto"/>
              <w:right w:val="nil"/>
            </w:tcBorders>
            <w:shd w:val="clear" w:color="auto" w:fill="auto"/>
            <w:noWrap/>
            <w:vAlign w:val="center"/>
            <w:hideMark/>
          </w:tcPr>
          <w:p w14:paraId="27C1F2AB"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2nd Low</w:t>
            </w:r>
          </w:p>
        </w:tc>
        <w:tc>
          <w:tcPr>
            <w:tcW w:w="1170" w:type="dxa"/>
            <w:gridSpan w:val="2"/>
            <w:tcBorders>
              <w:top w:val="nil"/>
              <w:left w:val="single" w:sz="12" w:space="0" w:color="auto"/>
              <w:bottom w:val="single" w:sz="4" w:space="0" w:color="auto"/>
              <w:right w:val="single" w:sz="4" w:space="0" w:color="auto"/>
            </w:tcBorders>
            <w:shd w:val="clear" w:color="auto" w:fill="auto"/>
            <w:noWrap/>
            <w:vAlign w:val="center"/>
            <w:hideMark/>
          </w:tcPr>
          <w:p w14:paraId="56875E44"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Cranberry</w:t>
            </w:r>
          </w:p>
        </w:tc>
        <w:tc>
          <w:tcPr>
            <w:tcW w:w="990" w:type="dxa"/>
            <w:tcBorders>
              <w:top w:val="nil"/>
              <w:left w:val="nil"/>
              <w:bottom w:val="single" w:sz="4" w:space="0" w:color="auto"/>
              <w:right w:val="single" w:sz="12" w:space="0" w:color="auto"/>
            </w:tcBorders>
            <w:shd w:val="clear" w:color="auto" w:fill="auto"/>
            <w:noWrap/>
            <w:vAlign w:val="center"/>
            <w:hideMark/>
          </w:tcPr>
          <w:p w14:paraId="22382FDF"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62%</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60913755"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Cranberry</w:t>
            </w:r>
          </w:p>
        </w:tc>
        <w:tc>
          <w:tcPr>
            <w:tcW w:w="990" w:type="dxa"/>
            <w:tcBorders>
              <w:top w:val="nil"/>
              <w:left w:val="nil"/>
              <w:bottom w:val="single" w:sz="4" w:space="0" w:color="auto"/>
              <w:right w:val="nil"/>
            </w:tcBorders>
            <w:shd w:val="clear" w:color="auto" w:fill="auto"/>
            <w:noWrap/>
            <w:vAlign w:val="center"/>
            <w:hideMark/>
          </w:tcPr>
          <w:p w14:paraId="3E048FFF"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56%</w:t>
            </w:r>
          </w:p>
        </w:tc>
        <w:tc>
          <w:tcPr>
            <w:tcW w:w="1227" w:type="dxa"/>
            <w:tcBorders>
              <w:top w:val="nil"/>
              <w:left w:val="single" w:sz="12" w:space="0" w:color="auto"/>
              <w:bottom w:val="single" w:sz="4" w:space="0" w:color="auto"/>
              <w:right w:val="single" w:sz="4" w:space="0" w:color="auto"/>
            </w:tcBorders>
            <w:shd w:val="clear" w:color="auto" w:fill="auto"/>
            <w:noWrap/>
            <w:vAlign w:val="center"/>
            <w:hideMark/>
          </w:tcPr>
          <w:p w14:paraId="5014F47D"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Cranberry</w:t>
            </w:r>
          </w:p>
        </w:tc>
        <w:tc>
          <w:tcPr>
            <w:tcW w:w="990" w:type="dxa"/>
            <w:gridSpan w:val="2"/>
            <w:tcBorders>
              <w:top w:val="nil"/>
              <w:left w:val="nil"/>
              <w:bottom w:val="single" w:sz="4" w:space="0" w:color="auto"/>
              <w:right w:val="single" w:sz="12" w:space="0" w:color="auto"/>
            </w:tcBorders>
            <w:shd w:val="clear" w:color="auto" w:fill="auto"/>
            <w:noWrap/>
            <w:vAlign w:val="center"/>
            <w:hideMark/>
          </w:tcPr>
          <w:p w14:paraId="4EF44ADB"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53%</w:t>
            </w:r>
          </w:p>
        </w:tc>
        <w:tc>
          <w:tcPr>
            <w:tcW w:w="1227" w:type="dxa"/>
            <w:tcBorders>
              <w:top w:val="nil"/>
              <w:left w:val="nil"/>
              <w:bottom w:val="single" w:sz="4" w:space="0" w:color="auto"/>
              <w:right w:val="single" w:sz="4" w:space="0" w:color="auto"/>
            </w:tcBorders>
            <w:shd w:val="clear" w:color="auto" w:fill="auto"/>
            <w:noWrap/>
            <w:vAlign w:val="center"/>
            <w:hideMark/>
          </w:tcPr>
          <w:p w14:paraId="0CE89F89"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Cranberry</w:t>
            </w:r>
          </w:p>
        </w:tc>
        <w:tc>
          <w:tcPr>
            <w:tcW w:w="990" w:type="dxa"/>
            <w:gridSpan w:val="2"/>
            <w:tcBorders>
              <w:top w:val="nil"/>
              <w:left w:val="nil"/>
              <w:bottom w:val="single" w:sz="4" w:space="0" w:color="auto"/>
              <w:right w:val="single" w:sz="12" w:space="0" w:color="auto"/>
            </w:tcBorders>
            <w:shd w:val="clear" w:color="auto" w:fill="auto"/>
            <w:noWrap/>
            <w:vAlign w:val="center"/>
            <w:hideMark/>
          </w:tcPr>
          <w:p w14:paraId="533CF46E"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63%</w:t>
            </w:r>
          </w:p>
        </w:tc>
      </w:tr>
      <w:tr w:rsidR="005B5972" w:rsidRPr="00C4057E" w14:paraId="6EE99585" w14:textId="77777777" w:rsidTr="001C3A0E">
        <w:trPr>
          <w:gridAfter w:val="1"/>
          <w:wAfter w:w="110" w:type="dxa"/>
          <w:trHeight w:val="288"/>
          <w:jc w:val="center"/>
        </w:trPr>
        <w:tc>
          <w:tcPr>
            <w:tcW w:w="990" w:type="dxa"/>
            <w:gridSpan w:val="2"/>
            <w:vMerge/>
            <w:tcBorders>
              <w:top w:val="single" w:sz="12" w:space="0" w:color="auto"/>
              <w:left w:val="single" w:sz="12" w:space="0" w:color="auto"/>
              <w:bottom w:val="single" w:sz="12" w:space="0" w:color="000000"/>
              <w:right w:val="single" w:sz="4" w:space="0" w:color="auto"/>
            </w:tcBorders>
            <w:vAlign w:val="center"/>
            <w:hideMark/>
          </w:tcPr>
          <w:p w14:paraId="36657FAA" w14:textId="77777777" w:rsidR="00C4057E" w:rsidRPr="00C4057E" w:rsidRDefault="00C4057E" w:rsidP="00C4057E">
            <w:pPr>
              <w:spacing w:after="0" w:line="240" w:lineRule="auto"/>
              <w:rPr>
                <w:rFonts w:ascii="Arial" w:eastAsia="Times New Roman" w:hAnsi="Arial" w:cs="Arial"/>
                <w:color w:val="FFFFFF"/>
                <w:sz w:val="18"/>
                <w:szCs w:val="18"/>
              </w:rPr>
            </w:pPr>
          </w:p>
        </w:tc>
        <w:tc>
          <w:tcPr>
            <w:tcW w:w="900" w:type="dxa"/>
            <w:gridSpan w:val="2"/>
            <w:tcBorders>
              <w:top w:val="nil"/>
              <w:left w:val="nil"/>
              <w:bottom w:val="single" w:sz="12" w:space="0" w:color="auto"/>
              <w:right w:val="nil"/>
            </w:tcBorders>
            <w:shd w:val="clear" w:color="auto" w:fill="auto"/>
            <w:noWrap/>
            <w:vAlign w:val="center"/>
            <w:hideMark/>
          </w:tcPr>
          <w:p w14:paraId="6EDF6044"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1st Low</w:t>
            </w:r>
          </w:p>
        </w:tc>
        <w:tc>
          <w:tcPr>
            <w:tcW w:w="1170" w:type="dxa"/>
            <w:gridSpan w:val="2"/>
            <w:tcBorders>
              <w:top w:val="nil"/>
              <w:left w:val="single" w:sz="12" w:space="0" w:color="auto"/>
              <w:bottom w:val="single" w:sz="12" w:space="0" w:color="auto"/>
              <w:right w:val="single" w:sz="4" w:space="0" w:color="auto"/>
            </w:tcBorders>
            <w:shd w:val="clear" w:color="auto" w:fill="auto"/>
            <w:noWrap/>
            <w:vAlign w:val="center"/>
            <w:hideMark/>
          </w:tcPr>
          <w:p w14:paraId="0A7D03CC"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Clark</w:t>
            </w:r>
          </w:p>
        </w:tc>
        <w:tc>
          <w:tcPr>
            <w:tcW w:w="990" w:type="dxa"/>
            <w:tcBorders>
              <w:top w:val="nil"/>
              <w:left w:val="nil"/>
              <w:bottom w:val="single" w:sz="12" w:space="0" w:color="auto"/>
              <w:right w:val="single" w:sz="12" w:space="0" w:color="auto"/>
            </w:tcBorders>
            <w:shd w:val="clear" w:color="auto" w:fill="auto"/>
            <w:noWrap/>
            <w:vAlign w:val="center"/>
            <w:hideMark/>
          </w:tcPr>
          <w:p w14:paraId="79075C95"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41%</w:t>
            </w:r>
          </w:p>
        </w:tc>
        <w:tc>
          <w:tcPr>
            <w:tcW w:w="1350" w:type="dxa"/>
            <w:gridSpan w:val="2"/>
            <w:tcBorders>
              <w:top w:val="nil"/>
              <w:left w:val="nil"/>
              <w:bottom w:val="single" w:sz="12" w:space="0" w:color="auto"/>
              <w:right w:val="single" w:sz="4" w:space="0" w:color="auto"/>
            </w:tcBorders>
            <w:shd w:val="clear" w:color="auto" w:fill="auto"/>
            <w:noWrap/>
            <w:vAlign w:val="center"/>
            <w:hideMark/>
          </w:tcPr>
          <w:p w14:paraId="2A77B82A"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Clark</w:t>
            </w:r>
          </w:p>
        </w:tc>
        <w:tc>
          <w:tcPr>
            <w:tcW w:w="990" w:type="dxa"/>
            <w:tcBorders>
              <w:top w:val="nil"/>
              <w:left w:val="nil"/>
              <w:bottom w:val="single" w:sz="12" w:space="0" w:color="auto"/>
              <w:right w:val="nil"/>
            </w:tcBorders>
            <w:shd w:val="clear" w:color="auto" w:fill="auto"/>
            <w:noWrap/>
            <w:vAlign w:val="center"/>
            <w:hideMark/>
          </w:tcPr>
          <w:p w14:paraId="4DE0FCCC"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44%</w:t>
            </w:r>
          </w:p>
        </w:tc>
        <w:tc>
          <w:tcPr>
            <w:tcW w:w="1227" w:type="dxa"/>
            <w:tcBorders>
              <w:top w:val="nil"/>
              <w:left w:val="single" w:sz="12" w:space="0" w:color="auto"/>
              <w:bottom w:val="single" w:sz="12" w:space="0" w:color="auto"/>
              <w:right w:val="single" w:sz="4" w:space="0" w:color="auto"/>
            </w:tcBorders>
            <w:shd w:val="clear" w:color="auto" w:fill="auto"/>
            <w:noWrap/>
            <w:vAlign w:val="center"/>
            <w:hideMark/>
          </w:tcPr>
          <w:p w14:paraId="4B4EFA45"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Clark</w:t>
            </w:r>
          </w:p>
        </w:tc>
        <w:tc>
          <w:tcPr>
            <w:tcW w:w="990" w:type="dxa"/>
            <w:gridSpan w:val="2"/>
            <w:tcBorders>
              <w:top w:val="nil"/>
              <w:left w:val="nil"/>
              <w:bottom w:val="single" w:sz="12" w:space="0" w:color="auto"/>
              <w:right w:val="single" w:sz="12" w:space="0" w:color="auto"/>
            </w:tcBorders>
            <w:shd w:val="clear" w:color="auto" w:fill="auto"/>
            <w:noWrap/>
            <w:vAlign w:val="center"/>
            <w:hideMark/>
          </w:tcPr>
          <w:p w14:paraId="2FE412F1"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39%</w:t>
            </w:r>
          </w:p>
        </w:tc>
        <w:tc>
          <w:tcPr>
            <w:tcW w:w="1227" w:type="dxa"/>
            <w:tcBorders>
              <w:top w:val="nil"/>
              <w:left w:val="nil"/>
              <w:bottom w:val="single" w:sz="12" w:space="0" w:color="auto"/>
              <w:right w:val="single" w:sz="4" w:space="0" w:color="auto"/>
            </w:tcBorders>
            <w:shd w:val="clear" w:color="auto" w:fill="auto"/>
            <w:noWrap/>
            <w:vAlign w:val="center"/>
            <w:hideMark/>
          </w:tcPr>
          <w:p w14:paraId="5BB77447"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Clark</w:t>
            </w:r>
          </w:p>
        </w:tc>
        <w:tc>
          <w:tcPr>
            <w:tcW w:w="990" w:type="dxa"/>
            <w:gridSpan w:val="2"/>
            <w:tcBorders>
              <w:top w:val="nil"/>
              <w:left w:val="nil"/>
              <w:bottom w:val="single" w:sz="12" w:space="0" w:color="auto"/>
              <w:right w:val="single" w:sz="12" w:space="0" w:color="auto"/>
            </w:tcBorders>
            <w:shd w:val="clear" w:color="auto" w:fill="auto"/>
            <w:noWrap/>
            <w:vAlign w:val="center"/>
            <w:hideMark/>
          </w:tcPr>
          <w:p w14:paraId="27F4A1A2"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52%</w:t>
            </w:r>
          </w:p>
        </w:tc>
      </w:tr>
      <w:tr w:rsidR="005B5972" w:rsidRPr="00C4057E" w14:paraId="197B23A4" w14:textId="77777777" w:rsidTr="001C3A0E">
        <w:trPr>
          <w:gridAfter w:val="1"/>
          <w:wAfter w:w="110" w:type="dxa"/>
          <w:trHeight w:val="288"/>
          <w:jc w:val="center"/>
        </w:trPr>
        <w:tc>
          <w:tcPr>
            <w:tcW w:w="990" w:type="dxa"/>
            <w:gridSpan w:val="2"/>
            <w:tcBorders>
              <w:top w:val="single" w:sz="4" w:space="0" w:color="auto"/>
              <w:left w:val="single" w:sz="12" w:space="0" w:color="auto"/>
              <w:bottom w:val="single" w:sz="4" w:space="0" w:color="auto"/>
              <w:right w:val="nil"/>
            </w:tcBorders>
            <w:shd w:val="clear" w:color="000000" w:fill="D9D9D9"/>
            <w:noWrap/>
            <w:vAlign w:val="center"/>
            <w:hideMark/>
          </w:tcPr>
          <w:p w14:paraId="121A0F13" w14:textId="77777777" w:rsidR="00C4057E" w:rsidRPr="00C4057E" w:rsidRDefault="00C4057E" w:rsidP="00C4057E">
            <w:pPr>
              <w:spacing w:after="0" w:line="240" w:lineRule="auto"/>
              <w:jc w:val="center"/>
              <w:rPr>
                <w:rFonts w:ascii="Arial" w:eastAsia="Times New Roman" w:hAnsi="Arial" w:cs="Arial"/>
                <w:color w:val="FFFFFF"/>
                <w:sz w:val="18"/>
                <w:szCs w:val="18"/>
              </w:rPr>
            </w:pPr>
            <w:r w:rsidRPr="00C4057E">
              <w:rPr>
                <w:rFonts w:ascii="Arial" w:eastAsia="Times New Roman" w:hAnsi="Arial" w:cs="Arial"/>
                <w:color w:val="FFFFFF"/>
                <w:sz w:val="18"/>
                <w:szCs w:val="18"/>
              </w:rPr>
              <w:t> </w:t>
            </w:r>
          </w:p>
        </w:tc>
        <w:tc>
          <w:tcPr>
            <w:tcW w:w="900" w:type="dxa"/>
            <w:gridSpan w:val="2"/>
            <w:tcBorders>
              <w:top w:val="single" w:sz="4" w:space="0" w:color="auto"/>
              <w:left w:val="nil"/>
              <w:bottom w:val="single" w:sz="4" w:space="0" w:color="auto"/>
              <w:right w:val="nil"/>
            </w:tcBorders>
            <w:shd w:val="clear" w:color="000000" w:fill="D9D9D9"/>
            <w:noWrap/>
            <w:vAlign w:val="center"/>
            <w:hideMark/>
          </w:tcPr>
          <w:p w14:paraId="0CC0F3D8"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 </w:t>
            </w:r>
          </w:p>
        </w:tc>
        <w:tc>
          <w:tcPr>
            <w:tcW w:w="1170" w:type="dxa"/>
            <w:gridSpan w:val="2"/>
            <w:tcBorders>
              <w:top w:val="single" w:sz="4" w:space="0" w:color="auto"/>
              <w:left w:val="single" w:sz="12" w:space="0" w:color="auto"/>
              <w:bottom w:val="single" w:sz="4" w:space="0" w:color="auto"/>
              <w:right w:val="nil"/>
            </w:tcBorders>
            <w:shd w:val="clear" w:color="000000" w:fill="D9D9D9"/>
            <w:noWrap/>
            <w:vAlign w:val="center"/>
            <w:hideMark/>
          </w:tcPr>
          <w:p w14:paraId="615751D3"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 </w:t>
            </w:r>
          </w:p>
        </w:tc>
        <w:tc>
          <w:tcPr>
            <w:tcW w:w="990" w:type="dxa"/>
            <w:tcBorders>
              <w:top w:val="single" w:sz="4" w:space="0" w:color="auto"/>
              <w:left w:val="nil"/>
              <w:bottom w:val="single" w:sz="4" w:space="0" w:color="auto"/>
              <w:right w:val="single" w:sz="12" w:space="0" w:color="auto"/>
            </w:tcBorders>
            <w:shd w:val="clear" w:color="000000" w:fill="D9D9D9"/>
            <w:noWrap/>
            <w:vAlign w:val="center"/>
            <w:hideMark/>
          </w:tcPr>
          <w:p w14:paraId="6DEAF9DF" w14:textId="77777777" w:rsidR="00C4057E" w:rsidRPr="00C4057E" w:rsidRDefault="00C4057E" w:rsidP="001C3A0E">
            <w:pPr>
              <w:spacing w:after="0" w:line="240" w:lineRule="auto"/>
              <w:jc w:val="center"/>
              <w:rPr>
                <w:rFonts w:ascii="Arial" w:eastAsia="Times New Roman" w:hAnsi="Arial" w:cs="Arial"/>
                <w:sz w:val="18"/>
                <w:szCs w:val="18"/>
              </w:rPr>
            </w:pPr>
          </w:p>
        </w:tc>
        <w:tc>
          <w:tcPr>
            <w:tcW w:w="1350" w:type="dxa"/>
            <w:gridSpan w:val="2"/>
            <w:tcBorders>
              <w:top w:val="single" w:sz="4" w:space="0" w:color="auto"/>
              <w:left w:val="nil"/>
              <w:bottom w:val="single" w:sz="4" w:space="0" w:color="auto"/>
              <w:right w:val="nil"/>
            </w:tcBorders>
            <w:shd w:val="clear" w:color="000000" w:fill="D9D9D9"/>
            <w:noWrap/>
            <w:vAlign w:val="center"/>
            <w:hideMark/>
          </w:tcPr>
          <w:p w14:paraId="6A80C144"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 </w:t>
            </w:r>
          </w:p>
        </w:tc>
        <w:tc>
          <w:tcPr>
            <w:tcW w:w="990" w:type="dxa"/>
            <w:tcBorders>
              <w:top w:val="single" w:sz="4" w:space="0" w:color="auto"/>
              <w:left w:val="nil"/>
              <w:bottom w:val="single" w:sz="4" w:space="0" w:color="auto"/>
              <w:right w:val="nil"/>
            </w:tcBorders>
            <w:shd w:val="clear" w:color="000000" w:fill="D9D9D9"/>
            <w:noWrap/>
            <w:vAlign w:val="center"/>
            <w:hideMark/>
          </w:tcPr>
          <w:p w14:paraId="68834536" w14:textId="77777777" w:rsidR="00C4057E" w:rsidRPr="00C4057E" w:rsidRDefault="00C4057E" w:rsidP="001C3A0E">
            <w:pPr>
              <w:spacing w:after="0" w:line="240" w:lineRule="auto"/>
              <w:jc w:val="center"/>
              <w:rPr>
                <w:rFonts w:ascii="Arial" w:eastAsia="Times New Roman" w:hAnsi="Arial" w:cs="Arial"/>
                <w:sz w:val="18"/>
                <w:szCs w:val="18"/>
              </w:rPr>
            </w:pPr>
          </w:p>
        </w:tc>
        <w:tc>
          <w:tcPr>
            <w:tcW w:w="1227" w:type="dxa"/>
            <w:tcBorders>
              <w:top w:val="single" w:sz="4" w:space="0" w:color="auto"/>
              <w:left w:val="single" w:sz="12" w:space="0" w:color="auto"/>
              <w:bottom w:val="single" w:sz="4" w:space="0" w:color="auto"/>
              <w:right w:val="nil"/>
            </w:tcBorders>
            <w:shd w:val="clear" w:color="000000" w:fill="D9D9D9"/>
            <w:noWrap/>
            <w:vAlign w:val="center"/>
            <w:hideMark/>
          </w:tcPr>
          <w:p w14:paraId="0F031DF5"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 </w:t>
            </w:r>
          </w:p>
        </w:tc>
        <w:tc>
          <w:tcPr>
            <w:tcW w:w="990" w:type="dxa"/>
            <w:gridSpan w:val="2"/>
            <w:tcBorders>
              <w:top w:val="single" w:sz="4" w:space="0" w:color="auto"/>
              <w:left w:val="nil"/>
              <w:bottom w:val="single" w:sz="4" w:space="0" w:color="auto"/>
              <w:right w:val="single" w:sz="12" w:space="0" w:color="auto"/>
            </w:tcBorders>
            <w:shd w:val="clear" w:color="000000" w:fill="D9D9D9"/>
            <w:noWrap/>
            <w:vAlign w:val="center"/>
            <w:hideMark/>
          </w:tcPr>
          <w:p w14:paraId="05A104B8" w14:textId="77777777" w:rsidR="00C4057E" w:rsidRPr="00C4057E" w:rsidRDefault="00C4057E" w:rsidP="001C3A0E">
            <w:pPr>
              <w:spacing w:after="0" w:line="240" w:lineRule="auto"/>
              <w:jc w:val="center"/>
              <w:rPr>
                <w:rFonts w:ascii="Arial" w:eastAsia="Times New Roman" w:hAnsi="Arial" w:cs="Arial"/>
                <w:sz w:val="18"/>
                <w:szCs w:val="18"/>
              </w:rPr>
            </w:pPr>
          </w:p>
        </w:tc>
        <w:tc>
          <w:tcPr>
            <w:tcW w:w="1227" w:type="dxa"/>
            <w:tcBorders>
              <w:top w:val="single" w:sz="4" w:space="0" w:color="auto"/>
              <w:left w:val="nil"/>
              <w:bottom w:val="single" w:sz="4" w:space="0" w:color="auto"/>
              <w:right w:val="nil"/>
            </w:tcBorders>
            <w:shd w:val="clear" w:color="000000" w:fill="D9D9D9"/>
            <w:noWrap/>
            <w:vAlign w:val="center"/>
            <w:hideMark/>
          </w:tcPr>
          <w:p w14:paraId="0D3EA99D"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 </w:t>
            </w:r>
          </w:p>
        </w:tc>
        <w:tc>
          <w:tcPr>
            <w:tcW w:w="990" w:type="dxa"/>
            <w:gridSpan w:val="2"/>
            <w:tcBorders>
              <w:top w:val="single" w:sz="4" w:space="0" w:color="auto"/>
              <w:left w:val="nil"/>
              <w:bottom w:val="single" w:sz="4" w:space="0" w:color="auto"/>
              <w:right w:val="single" w:sz="12" w:space="0" w:color="auto"/>
            </w:tcBorders>
            <w:shd w:val="clear" w:color="000000" w:fill="D9D9D9"/>
            <w:noWrap/>
            <w:vAlign w:val="center"/>
            <w:hideMark/>
          </w:tcPr>
          <w:p w14:paraId="37FDAA4D" w14:textId="77777777" w:rsidR="00C4057E" w:rsidRPr="00C4057E" w:rsidRDefault="00C4057E" w:rsidP="001C3A0E">
            <w:pPr>
              <w:spacing w:after="0" w:line="240" w:lineRule="auto"/>
              <w:jc w:val="center"/>
              <w:rPr>
                <w:rFonts w:ascii="Arial" w:eastAsia="Times New Roman" w:hAnsi="Arial" w:cs="Arial"/>
                <w:sz w:val="18"/>
                <w:szCs w:val="18"/>
              </w:rPr>
            </w:pPr>
          </w:p>
        </w:tc>
      </w:tr>
      <w:tr w:rsidR="005B5972" w:rsidRPr="00C4057E" w14:paraId="45422428" w14:textId="77777777" w:rsidTr="001C3A0E">
        <w:trPr>
          <w:gridAfter w:val="1"/>
          <w:wAfter w:w="110" w:type="dxa"/>
          <w:trHeight w:val="288"/>
          <w:jc w:val="center"/>
        </w:trPr>
        <w:tc>
          <w:tcPr>
            <w:tcW w:w="990" w:type="dxa"/>
            <w:gridSpan w:val="2"/>
            <w:vMerge w:val="restart"/>
            <w:tcBorders>
              <w:top w:val="single" w:sz="12" w:space="0" w:color="auto"/>
              <w:left w:val="single" w:sz="12" w:space="0" w:color="auto"/>
              <w:bottom w:val="single" w:sz="12" w:space="0" w:color="000000"/>
              <w:right w:val="single" w:sz="4" w:space="0" w:color="auto"/>
            </w:tcBorders>
            <w:shd w:val="clear" w:color="000000" w:fill="C00000"/>
            <w:noWrap/>
            <w:vAlign w:val="center"/>
            <w:hideMark/>
          </w:tcPr>
          <w:p w14:paraId="241311FD" w14:textId="77777777" w:rsidR="00C4057E" w:rsidRPr="00C4057E" w:rsidRDefault="00C4057E" w:rsidP="00C4057E">
            <w:pPr>
              <w:spacing w:after="0" w:line="240" w:lineRule="auto"/>
              <w:jc w:val="center"/>
              <w:rPr>
                <w:rFonts w:ascii="Arial" w:eastAsia="Times New Roman" w:hAnsi="Arial" w:cs="Arial"/>
                <w:color w:val="FFFFFF"/>
                <w:sz w:val="18"/>
                <w:szCs w:val="18"/>
              </w:rPr>
            </w:pPr>
            <w:r w:rsidRPr="00C4057E">
              <w:rPr>
                <w:rFonts w:ascii="Arial" w:eastAsia="Times New Roman" w:hAnsi="Arial" w:cs="Arial"/>
                <w:color w:val="FFFFFF"/>
                <w:sz w:val="18"/>
                <w:szCs w:val="18"/>
              </w:rPr>
              <w:t>West Penn Power</w:t>
            </w:r>
          </w:p>
        </w:tc>
        <w:tc>
          <w:tcPr>
            <w:tcW w:w="900" w:type="dxa"/>
            <w:gridSpan w:val="2"/>
            <w:tcBorders>
              <w:top w:val="single" w:sz="12" w:space="0" w:color="auto"/>
              <w:left w:val="nil"/>
              <w:bottom w:val="single" w:sz="4" w:space="0" w:color="auto"/>
              <w:right w:val="nil"/>
            </w:tcBorders>
            <w:shd w:val="clear" w:color="auto" w:fill="auto"/>
            <w:noWrap/>
            <w:vAlign w:val="center"/>
            <w:hideMark/>
          </w:tcPr>
          <w:p w14:paraId="0AA5CE5C"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3rd Low</w:t>
            </w:r>
          </w:p>
        </w:tc>
        <w:tc>
          <w:tcPr>
            <w:tcW w:w="1170" w:type="dxa"/>
            <w:gridSpan w:val="2"/>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15EA62C9"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St Marys</w:t>
            </w:r>
          </w:p>
        </w:tc>
        <w:tc>
          <w:tcPr>
            <w:tcW w:w="990" w:type="dxa"/>
            <w:tcBorders>
              <w:top w:val="single" w:sz="12" w:space="0" w:color="auto"/>
              <w:left w:val="nil"/>
              <w:bottom w:val="single" w:sz="4" w:space="0" w:color="auto"/>
              <w:right w:val="single" w:sz="12" w:space="0" w:color="auto"/>
            </w:tcBorders>
            <w:shd w:val="clear" w:color="auto" w:fill="auto"/>
            <w:noWrap/>
            <w:vAlign w:val="center"/>
            <w:hideMark/>
          </w:tcPr>
          <w:p w14:paraId="5BDC77CF"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17%</w:t>
            </w:r>
          </w:p>
        </w:tc>
        <w:tc>
          <w:tcPr>
            <w:tcW w:w="1350" w:type="dxa"/>
            <w:gridSpan w:val="2"/>
            <w:tcBorders>
              <w:top w:val="single" w:sz="12" w:space="0" w:color="auto"/>
              <w:left w:val="nil"/>
              <w:bottom w:val="single" w:sz="4" w:space="0" w:color="auto"/>
              <w:right w:val="single" w:sz="4" w:space="0" w:color="auto"/>
            </w:tcBorders>
            <w:shd w:val="clear" w:color="auto" w:fill="auto"/>
            <w:noWrap/>
            <w:vAlign w:val="center"/>
            <w:hideMark/>
          </w:tcPr>
          <w:p w14:paraId="33ED2248"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Waynesboro</w:t>
            </w:r>
          </w:p>
        </w:tc>
        <w:tc>
          <w:tcPr>
            <w:tcW w:w="990" w:type="dxa"/>
            <w:tcBorders>
              <w:top w:val="single" w:sz="12" w:space="0" w:color="auto"/>
              <w:left w:val="nil"/>
              <w:bottom w:val="single" w:sz="4" w:space="0" w:color="auto"/>
              <w:right w:val="nil"/>
            </w:tcBorders>
            <w:shd w:val="clear" w:color="auto" w:fill="auto"/>
            <w:noWrap/>
            <w:vAlign w:val="center"/>
            <w:hideMark/>
          </w:tcPr>
          <w:p w14:paraId="2B48F515"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17%</w:t>
            </w:r>
          </w:p>
        </w:tc>
        <w:tc>
          <w:tcPr>
            <w:tcW w:w="1227"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8EEE0B3"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Washington</w:t>
            </w:r>
          </w:p>
        </w:tc>
        <w:tc>
          <w:tcPr>
            <w:tcW w:w="990"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6F2F0419"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15%</w:t>
            </w:r>
          </w:p>
        </w:tc>
        <w:tc>
          <w:tcPr>
            <w:tcW w:w="1227" w:type="dxa"/>
            <w:tcBorders>
              <w:top w:val="single" w:sz="12" w:space="0" w:color="auto"/>
              <w:left w:val="nil"/>
              <w:bottom w:val="single" w:sz="4" w:space="0" w:color="auto"/>
              <w:right w:val="single" w:sz="4" w:space="0" w:color="auto"/>
            </w:tcBorders>
            <w:shd w:val="clear" w:color="auto" w:fill="auto"/>
            <w:noWrap/>
            <w:vAlign w:val="center"/>
            <w:hideMark/>
          </w:tcPr>
          <w:p w14:paraId="79BD2173"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Charleroi</w:t>
            </w:r>
          </w:p>
        </w:tc>
        <w:tc>
          <w:tcPr>
            <w:tcW w:w="990"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67B9280B"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14%</w:t>
            </w:r>
          </w:p>
        </w:tc>
      </w:tr>
      <w:tr w:rsidR="005B5972" w:rsidRPr="00C4057E" w14:paraId="12F11382" w14:textId="77777777" w:rsidTr="001C3A0E">
        <w:trPr>
          <w:gridAfter w:val="1"/>
          <w:wAfter w:w="110" w:type="dxa"/>
          <w:trHeight w:val="288"/>
          <w:jc w:val="center"/>
        </w:trPr>
        <w:tc>
          <w:tcPr>
            <w:tcW w:w="990" w:type="dxa"/>
            <w:gridSpan w:val="2"/>
            <w:vMerge/>
            <w:tcBorders>
              <w:top w:val="single" w:sz="12" w:space="0" w:color="auto"/>
              <w:left w:val="single" w:sz="12" w:space="0" w:color="auto"/>
              <w:bottom w:val="single" w:sz="12" w:space="0" w:color="000000"/>
              <w:right w:val="single" w:sz="4" w:space="0" w:color="auto"/>
            </w:tcBorders>
            <w:vAlign w:val="center"/>
            <w:hideMark/>
          </w:tcPr>
          <w:p w14:paraId="1571FD88" w14:textId="77777777" w:rsidR="00C4057E" w:rsidRPr="00C4057E" w:rsidRDefault="00C4057E" w:rsidP="00C4057E">
            <w:pPr>
              <w:spacing w:after="0" w:line="240" w:lineRule="auto"/>
              <w:rPr>
                <w:rFonts w:ascii="Arial" w:eastAsia="Times New Roman" w:hAnsi="Arial" w:cs="Arial"/>
                <w:color w:val="FFFFFF"/>
                <w:sz w:val="18"/>
                <w:szCs w:val="18"/>
              </w:rPr>
            </w:pPr>
          </w:p>
        </w:tc>
        <w:tc>
          <w:tcPr>
            <w:tcW w:w="900" w:type="dxa"/>
            <w:gridSpan w:val="2"/>
            <w:tcBorders>
              <w:top w:val="nil"/>
              <w:left w:val="nil"/>
              <w:bottom w:val="single" w:sz="4" w:space="0" w:color="auto"/>
              <w:right w:val="nil"/>
            </w:tcBorders>
            <w:shd w:val="clear" w:color="auto" w:fill="auto"/>
            <w:noWrap/>
            <w:vAlign w:val="center"/>
            <w:hideMark/>
          </w:tcPr>
          <w:p w14:paraId="51180C91"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2nd Low</w:t>
            </w:r>
          </w:p>
        </w:tc>
        <w:tc>
          <w:tcPr>
            <w:tcW w:w="1170" w:type="dxa"/>
            <w:gridSpan w:val="2"/>
            <w:tcBorders>
              <w:top w:val="nil"/>
              <w:left w:val="single" w:sz="12" w:space="0" w:color="auto"/>
              <w:bottom w:val="single" w:sz="4" w:space="0" w:color="auto"/>
              <w:right w:val="single" w:sz="4" w:space="0" w:color="auto"/>
            </w:tcBorders>
            <w:shd w:val="clear" w:color="auto" w:fill="auto"/>
            <w:noWrap/>
            <w:vAlign w:val="center"/>
            <w:hideMark/>
          </w:tcPr>
          <w:p w14:paraId="22A6FF6D"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Jeannette</w:t>
            </w:r>
          </w:p>
        </w:tc>
        <w:tc>
          <w:tcPr>
            <w:tcW w:w="990" w:type="dxa"/>
            <w:tcBorders>
              <w:top w:val="nil"/>
              <w:left w:val="nil"/>
              <w:bottom w:val="single" w:sz="4" w:space="0" w:color="auto"/>
              <w:right w:val="single" w:sz="12" w:space="0" w:color="auto"/>
            </w:tcBorders>
            <w:shd w:val="clear" w:color="auto" w:fill="auto"/>
            <w:noWrap/>
            <w:vAlign w:val="center"/>
            <w:hideMark/>
          </w:tcPr>
          <w:p w14:paraId="7BA1CFE3"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15%</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09B128C3"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Jeannette</w:t>
            </w:r>
          </w:p>
        </w:tc>
        <w:tc>
          <w:tcPr>
            <w:tcW w:w="990" w:type="dxa"/>
            <w:tcBorders>
              <w:top w:val="nil"/>
              <w:left w:val="nil"/>
              <w:bottom w:val="single" w:sz="4" w:space="0" w:color="auto"/>
              <w:right w:val="nil"/>
            </w:tcBorders>
            <w:shd w:val="clear" w:color="auto" w:fill="auto"/>
            <w:noWrap/>
            <w:vAlign w:val="center"/>
            <w:hideMark/>
          </w:tcPr>
          <w:p w14:paraId="6C756687"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16%</w:t>
            </w:r>
          </w:p>
        </w:tc>
        <w:tc>
          <w:tcPr>
            <w:tcW w:w="1227" w:type="dxa"/>
            <w:tcBorders>
              <w:top w:val="nil"/>
              <w:left w:val="single" w:sz="12" w:space="0" w:color="auto"/>
              <w:bottom w:val="single" w:sz="4" w:space="0" w:color="auto"/>
              <w:right w:val="single" w:sz="4" w:space="0" w:color="auto"/>
            </w:tcBorders>
            <w:shd w:val="clear" w:color="auto" w:fill="auto"/>
            <w:noWrap/>
            <w:vAlign w:val="center"/>
            <w:hideMark/>
          </w:tcPr>
          <w:p w14:paraId="6EEB30E4"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Jefferson</w:t>
            </w:r>
          </w:p>
        </w:tc>
        <w:tc>
          <w:tcPr>
            <w:tcW w:w="990" w:type="dxa"/>
            <w:gridSpan w:val="2"/>
            <w:tcBorders>
              <w:top w:val="nil"/>
              <w:left w:val="nil"/>
              <w:bottom w:val="single" w:sz="4" w:space="0" w:color="auto"/>
              <w:right w:val="single" w:sz="12" w:space="0" w:color="auto"/>
            </w:tcBorders>
            <w:shd w:val="clear" w:color="auto" w:fill="auto"/>
            <w:noWrap/>
            <w:vAlign w:val="center"/>
            <w:hideMark/>
          </w:tcPr>
          <w:p w14:paraId="4FBF91BD"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14%</w:t>
            </w:r>
          </w:p>
        </w:tc>
        <w:tc>
          <w:tcPr>
            <w:tcW w:w="1227" w:type="dxa"/>
            <w:tcBorders>
              <w:top w:val="nil"/>
              <w:left w:val="nil"/>
              <w:bottom w:val="single" w:sz="4" w:space="0" w:color="auto"/>
              <w:right w:val="single" w:sz="4" w:space="0" w:color="auto"/>
            </w:tcBorders>
            <w:shd w:val="clear" w:color="auto" w:fill="auto"/>
            <w:noWrap/>
            <w:vAlign w:val="center"/>
            <w:hideMark/>
          </w:tcPr>
          <w:p w14:paraId="0346E3B2"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Jefferson</w:t>
            </w:r>
          </w:p>
        </w:tc>
        <w:tc>
          <w:tcPr>
            <w:tcW w:w="990" w:type="dxa"/>
            <w:gridSpan w:val="2"/>
            <w:tcBorders>
              <w:top w:val="nil"/>
              <w:left w:val="nil"/>
              <w:bottom w:val="single" w:sz="4" w:space="0" w:color="auto"/>
              <w:right w:val="single" w:sz="12" w:space="0" w:color="auto"/>
            </w:tcBorders>
            <w:shd w:val="clear" w:color="auto" w:fill="auto"/>
            <w:noWrap/>
            <w:vAlign w:val="center"/>
            <w:hideMark/>
          </w:tcPr>
          <w:p w14:paraId="5199C395"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13%</w:t>
            </w:r>
          </w:p>
        </w:tc>
      </w:tr>
      <w:tr w:rsidR="005B5972" w:rsidRPr="00C4057E" w14:paraId="364E2F80" w14:textId="77777777" w:rsidTr="001C3A0E">
        <w:trPr>
          <w:gridAfter w:val="1"/>
          <w:wAfter w:w="110" w:type="dxa"/>
          <w:trHeight w:val="288"/>
          <w:jc w:val="center"/>
        </w:trPr>
        <w:tc>
          <w:tcPr>
            <w:tcW w:w="990" w:type="dxa"/>
            <w:gridSpan w:val="2"/>
            <w:vMerge/>
            <w:tcBorders>
              <w:top w:val="single" w:sz="12" w:space="0" w:color="auto"/>
              <w:left w:val="single" w:sz="12" w:space="0" w:color="auto"/>
              <w:bottom w:val="single" w:sz="12" w:space="0" w:color="000000"/>
              <w:right w:val="single" w:sz="4" w:space="0" w:color="auto"/>
            </w:tcBorders>
            <w:vAlign w:val="center"/>
            <w:hideMark/>
          </w:tcPr>
          <w:p w14:paraId="45862DAE" w14:textId="77777777" w:rsidR="00C4057E" w:rsidRPr="00C4057E" w:rsidRDefault="00C4057E" w:rsidP="00C4057E">
            <w:pPr>
              <w:spacing w:after="0" w:line="240" w:lineRule="auto"/>
              <w:rPr>
                <w:rFonts w:ascii="Arial" w:eastAsia="Times New Roman" w:hAnsi="Arial" w:cs="Arial"/>
                <w:color w:val="FFFFFF"/>
                <w:sz w:val="18"/>
                <w:szCs w:val="18"/>
              </w:rPr>
            </w:pPr>
          </w:p>
        </w:tc>
        <w:tc>
          <w:tcPr>
            <w:tcW w:w="900" w:type="dxa"/>
            <w:gridSpan w:val="2"/>
            <w:tcBorders>
              <w:top w:val="nil"/>
              <w:left w:val="nil"/>
              <w:bottom w:val="single" w:sz="12" w:space="0" w:color="auto"/>
              <w:right w:val="nil"/>
            </w:tcBorders>
            <w:shd w:val="clear" w:color="auto" w:fill="auto"/>
            <w:noWrap/>
            <w:vAlign w:val="center"/>
            <w:hideMark/>
          </w:tcPr>
          <w:p w14:paraId="479342AE"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1st Low</w:t>
            </w:r>
          </w:p>
        </w:tc>
        <w:tc>
          <w:tcPr>
            <w:tcW w:w="1170" w:type="dxa"/>
            <w:gridSpan w:val="2"/>
            <w:tcBorders>
              <w:top w:val="nil"/>
              <w:left w:val="single" w:sz="12" w:space="0" w:color="auto"/>
              <w:bottom w:val="single" w:sz="12" w:space="0" w:color="auto"/>
              <w:right w:val="single" w:sz="4" w:space="0" w:color="auto"/>
            </w:tcBorders>
            <w:shd w:val="clear" w:color="auto" w:fill="auto"/>
            <w:noWrap/>
            <w:vAlign w:val="center"/>
            <w:hideMark/>
          </w:tcPr>
          <w:p w14:paraId="7771D836"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Washington</w:t>
            </w:r>
          </w:p>
        </w:tc>
        <w:tc>
          <w:tcPr>
            <w:tcW w:w="990" w:type="dxa"/>
            <w:tcBorders>
              <w:top w:val="nil"/>
              <w:left w:val="nil"/>
              <w:bottom w:val="single" w:sz="12" w:space="0" w:color="auto"/>
              <w:right w:val="single" w:sz="12" w:space="0" w:color="auto"/>
            </w:tcBorders>
            <w:shd w:val="clear" w:color="auto" w:fill="auto"/>
            <w:noWrap/>
            <w:vAlign w:val="center"/>
            <w:hideMark/>
          </w:tcPr>
          <w:p w14:paraId="65808900"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15%</w:t>
            </w:r>
          </w:p>
        </w:tc>
        <w:tc>
          <w:tcPr>
            <w:tcW w:w="1350" w:type="dxa"/>
            <w:gridSpan w:val="2"/>
            <w:tcBorders>
              <w:top w:val="nil"/>
              <w:left w:val="nil"/>
              <w:bottom w:val="single" w:sz="12" w:space="0" w:color="auto"/>
              <w:right w:val="single" w:sz="4" w:space="0" w:color="auto"/>
            </w:tcBorders>
            <w:shd w:val="clear" w:color="auto" w:fill="auto"/>
            <w:noWrap/>
            <w:vAlign w:val="center"/>
            <w:hideMark/>
          </w:tcPr>
          <w:p w14:paraId="0F14A8BC"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Washington</w:t>
            </w:r>
          </w:p>
        </w:tc>
        <w:tc>
          <w:tcPr>
            <w:tcW w:w="990" w:type="dxa"/>
            <w:tcBorders>
              <w:top w:val="nil"/>
              <w:left w:val="nil"/>
              <w:bottom w:val="single" w:sz="12" w:space="0" w:color="auto"/>
              <w:right w:val="nil"/>
            </w:tcBorders>
            <w:shd w:val="clear" w:color="auto" w:fill="auto"/>
            <w:noWrap/>
            <w:vAlign w:val="center"/>
            <w:hideMark/>
          </w:tcPr>
          <w:p w14:paraId="2699DEB5"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16%</w:t>
            </w:r>
          </w:p>
        </w:tc>
        <w:tc>
          <w:tcPr>
            <w:tcW w:w="1227" w:type="dxa"/>
            <w:tcBorders>
              <w:top w:val="nil"/>
              <w:left w:val="single" w:sz="12" w:space="0" w:color="auto"/>
              <w:bottom w:val="single" w:sz="12" w:space="0" w:color="auto"/>
              <w:right w:val="single" w:sz="4" w:space="0" w:color="auto"/>
            </w:tcBorders>
            <w:shd w:val="clear" w:color="auto" w:fill="auto"/>
            <w:noWrap/>
            <w:vAlign w:val="center"/>
            <w:hideMark/>
          </w:tcPr>
          <w:p w14:paraId="7801983F"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Waynesboro</w:t>
            </w:r>
          </w:p>
        </w:tc>
        <w:tc>
          <w:tcPr>
            <w:tcW w:w="990" w:type="dxa"/>
            <w:gridSpan w:val="2"/>
            <w:tcBorders>
              <w:top w:val="nil"/>
              <w:left w:val="nil"/>
              <w:bottom w:val="single" w:sz="12" w:space="0" w:color="auto"/>
              <w:right w:val="single" w:sz="12" w:space="0" w:color="auto"/>
            </w:tcBorders>
            <w:shd w:val="clear" w:color="auto" w:fill="auto"/>
            <w:noWrap/>
            <w:vAlign w:val="center"/>
            <w:hideMark/>
          </w:tcPr>
          <w:p w14:paraId="703AA890"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14%</w:t>
            </w:r>
          </w:p>
        </w:tc>
        <w:tc>
          <w:tcPr>
            <w:tcW w:w="1227" w:type="dxa"/>
            <w:tcBorders>
              <w:top w:val="nil"/>
              <w:left w:val="nil"/>
              <w:bottom w:val="single" w:sz="12" w:space="0" w:color="auto"/>
              <w:right w:val="single" w:sz="4" w:space="0" w:color="auto"/>
            </w:tcBorders>
            <w:shd w:val="clear" w:color="auto" w:fill="auto"/>
            <w:noWrap/>
            <w:vAlign w:val="center"/>
            <w:hideMark/>
          </w:tcPr>
          <w:p w14:paraId="156189EF" w14:textId="77777777" w:rsidR="00C4057E" w:rsidRPr="00C4057E" w:rsidRDefault="00C4057E" w:rsidP="001C3A0E">
            <w:pPr>
              <w:spacing w:after="0" w:line="240" w:lineRule="auto"/>
              <w:rPr>
                <w:rFonts w:ascii="Arial" w:eastAsia="Times New Roman" w:hAnsi="Arial" w:cs="Arial"/>
                <w:sz w:val="18"/>
                <w:szCs w:val="18"/>
              </w:rPr>
            </w:pPr>
            <w:r w:rsidRPr="00C4057E">
              <w:rPr>
                <w:rFonts w:ascii="Arial" w:eastAsia="Times New Roman" w:hAnsi="Arial" w:cs="Arial"/>
                <w:sz w:val="18"/>
                <w:szCs w:val="18"/>
              </w:rPr>
              <w:t>Waynesboro</w:t>
            </w:r>
          </w:p>
        </w:tc>
        <w:tc>
          <w:tcPr>
            <w:tcW w:w="990" w:type="dxa"/>
            <w:gridSpan w:val="2"/>
            <w:tcBorders>
              <w:top w:val="nil"/>
              <w:left w:val="nil"/>
              <w:bottom w:val="single" w:sz="12" w:space="0" w:color="auto"/>
              <w:right w:val="single" w:sz="12" w:space="0" w:color="auto"/>
            </w:tcBorders>
            <w:shd w:val="clear" w:color="auto" w:fill="auto"/>
            <w:noWrap/>
            <w:vAlign w:val="center"/>
            <w:hideMark/>
          </w:tcPr>
          <w:p w14:paraId="59F565C5" w14:textId="77777777" w:rsidR="00C4057E" w:rsidRPr="00C4057E" w:rsidRDefault="00C4057E" w:rsidP="001C3A0E">
            <w:pPr>
              <w:spacing w:after="0" w:line="240" w:lineRule="auto"/>
              <w:jc w:val="center"/>
              <w:rPr>
                <w:rFonts w:ascii="Arial" w:eastAsia="Times New Roman" w:hAnsi="Arial" w:cs="Arial"/>
                <w:sz w:val="18"/>
                <w:szCs w:val="18"/>
              </w:rPr>
            </w:pPr>
            <w:r w:rsidRPr="00C4057E">
              <w:rPr>
                <w:rFonts w:ascii="Arial" w:eastAsia="Times New Roman" w:hAnsi="Arial" w:cs="Arial"/>
                <w:sz w:val="18"/>
                <w:szCs w:val="18"/>
              </w:rPr>
              <w:t>13%</w:t>
            </w:r>
          </w:p>
        </w:tc>
      </w:tr>
      <w:tr w:rsidR="00C4057E" w:rsidRPr="00C4057E" w14:paraId="02FFD0D5" w14:textId="77777777" w:rsidTr="005B5972">
        <w:trPr>
          <w:trHeight w:val="20"/>
          <w:jc w:val="center"/>
        </w:trPr>
        <w:tc>
          <w:tcPr>
            <w:tcW w:w="422" w:type="dxa"/>
            <w:tcBorders>
              <w:top w:val="nil"/>
              <w:left w:val="nil"/>
              <w:bottom w:val="nil"/>
              <w:right w:val="nil"/>
            </w:tcBorders>
            <w:shd w:val="clear" w:color="auto" w:fill="auto"/>
            <w:noWrap/>
            <w:vAlign w:val="bottom"/>
            <w:hideMark/>
          </w:tcPr>
          <w:p w14:paraId="708121C8" w14:textId="77777777" w:rsidR="00C4057E" w:rsidRPr="00C4057E" w:rsidRDefault="00C4057E" w:rsidP="00C4057E">
            <w:pPr>
              <w:spacing w:after="0" w:line="240" w:lineRule="auto"/>
              <w:jc w:val="right"/>
              <w:rPr>
                <w:rFonts w:ascii="Arial" w:eastAsia="Times New Roman" w:hAnsi="Arial" w:cs="Arial"/>
                <w:sz w:val="18"/>
                <w:szCs w:val="18"/>
              </w:rPr>
            </w:pPr>
          </w:p>
        </w:tc>
        <w:tc>
          <w:tcPr>
            <w:tcW w:w="900" w:type="dxa"/>
            <w:gridSpan w:val="2"/>
            <w:tcBorders>
              <w:top w:val="nil"/>
              <w:left w:val="nil"/>
              <w:bottom w:val="nil"/>
              <w:right w:val="nil"/>
            </w:tcBorders>
            <w:shd w:val="clear" w:color="auto" w:fill="auto"/>
            <w:noWrap/>
            <w:vAlign w:val="bottom"/>
            <w:hideMark/>
          </w:tcPr>
          <w:p w14:paraId="24F9DF28" w14:textId="77777777" w:rsidR="00C4057E" w:rsidRPr="00C4057E" w:rsidRDefault="00C4057E" w:rsidP="00C4057E">
            <w:pPr>
              <w:spacing w:after="0" w:line="240" w:lineRule="auto"/>
              <w:rPr>
                <w:rFonts w:ascii="Times New Roman" w:eastAsia="Times New Roman" w:hAnsi="Times New Roman" w:cs="Times New Roman"/>
                <w:sz w:val="18"/>
                <w:szCs w:val="18"/>
              </w:rPr>
            </w:pPr>
          </w:p>
        </w:tc>
        <w:tc>
          <w:tcPr>
            <w:tcW w:w="1609" w:type="dxa"/>
            <w:gridSpan w:val="2"/>
            <w:tcBorders>
              <w:top w:val="nil"/>
              <w:left w:val="nil"/>
              <w:bottom w:val="nil"/>
              <w:right w:val="nil"/>
            </w:tcBorders>
            <w:shd w:val="clear" w:color="auto" w:fill="auto"/>
            <w:noWrap/>
            <w:vAlign w:val="bottom"/>
            <w:hideMark/>
          </w:tcPr>
          <w:p w14:paraId="20F2D1C8" w14:textId="77777777" w:rsidR="00C4057E" w:rsidRPr="00C4057E" w:rsidRDefault="00C4057E" w:rsidP="00C4057E">
            <w:pPr>
              <w:spacing w:after="0" w:line="240" w:lineRule="auto"/>
              <w:rPr>
                <w:rFonts w:ascii="Times New Roman" w:eastAsia="Times New Roman" w:hAnsi="Times New Roman" w:cs="Times New Roman"/>
                <w:sz w:val="18"/>
                <w:szCs w:val="18"/>
              </w:rPr>
            </w:pPr>
          </w:p>
        </w:tc>
        <w:tc>
          <w:tcPr>
            <w:tcW w:w="1119" w:type="dxa"/>
            <w:gridSpan w:val="2"/>
            <w:tcBorders>
              <w:top w:val="nil"/>
              <w:left w:val="nil"/>
              <w:bottom w:val="nil"/>
              <w:right w:val="nil"/>
            </w:tcBorders>
            <w:shd w:val="clear" w:color="auto" w:fill="auto"/>
            <w:noWrap/>
            <w:vAlign w:val="bottom"/>
            <w:hideMark/>
          </w:tcPr>
          <w:p w14:paraId="1E66ADBD" w14:textId="77777777" w:rsidR="00C4057E" w:rsidRPr="00C4057E" w:rsidRDefault="00C4057E" w:rsidP="00C4057E">
            <w:pPr>
              <w:spacing w:after="0" w:line="240" w:lineRule="auto"/>
              <w:rPr>
                <w:rFonts w:ascii="Times New Roman" w:eastAsia="Times New Roman" w:hAnsi="Times New Roman" w:cs="Times New Roman"/>
                <w:sz w:val="18"/>
                <w:szCs w:val="18"/>
              </w:rPr>
            </w:pPr>
          </w:p>
        </w:tc>
        <w:tc>
          <w:tcPr>
            <w:tcW w:w="1221" w:type="dxa"/>
            <w:tcBorders>
              <w:top w:val="nil"/>
              <w:left w:val="nil"/>
              <w:bottom w:val="nil"/>
              <w:right w:val="nil"/>
            </w:tcBorders>
            <w:shd w:val="clear" w:color="auto" w:fill="auto"/>
            <w:noWrap/>
            <w:vAlign w:val="bottom"/>
            <w:hideMark/>
          </w:tcPr>
          <w:p w14:paraId="6423FB75" w14:textId="77777777" w:rsidR="00C4057E" w:rsidRPr="00C4057E" w:rsidRDefault="00C4057E" w:rsidP="00C4057E">
            <w:pPr>
              <w:spacing w:after="0" w:line="240" w:lineRule="auto"/>
              <w:rPr>
                <w:rFonts w:ascii="Times New Roman" w:eastAsia="Times New Roman" w:hAnsi="Times New Roman" w:cs="Times New Roman"/>
                <w:sz w:val="18"/>
                <w:szCs w:val="18"/>
              </w:rPr>
            </w:pPr>
          </w:p>
        </w:tc>
        <w:tc>
          <w:tcPr>
            <w:tcW w:w="1119" w:type="dxa"/>
            <w:gridSpan w:val="2"/>
            <w:tcBorders>
              <w:top w:val="nil"/>
              <w:left w:val="nil"/>
              <w:bottom w:val="nil"/>
              <w:right w:val="nil"/>
            </w:tcBorders>
            <w:shd w:val="clear" w:color="auto" w:fill="auto"/>
            <w:noWrap/>
            <w:vAlign w:val="bottom"/>
            <w:hideMark/>
          </w:tcPr>
          <w:p w14:paraId="5372A280" w14:textId="77777777" w:rsidR="00C4057E" w:rsidRPr="00C4057E" w:rsidRDefault="00C4057E" w:rsidP="00C4057E">
            <w:pPr>
              <w:spacing w:after="0" w:line="240" w:lineRule="auto"/>
              <w:rPr>
                <w:rFonts w:ascii="Times New Roman" w:eastAsia="Times New Roman" w:hAnsi="Times New Roman" w:cs="Times New Roman"/>
                <w:sz w:val="18"/>
                <w:szCs w:val="18"/>
              </w:rPr>
            </w:pPr>
          </w:p>
        </w:tc>
        <w:tc>
          <w:tcPr>
            <w:tcW w:w="1638" w:type="dxa"/>
            <w:gridSpan w:val="2"/>
            <w:tcBorders>
              <w:top w:val="nil"/>
              <w:left w:val="nil"/>
              <w:bottom w:val="nil"/>
              <w:right w:val="nil"/>
            </w:tcBorders>
            <w:shd w:val="clear" w:color="auto" w:fill="auto"/>
            <w:noWrap/>
            <w:vAlign w:val="bottom"/>
            <w:hideMark/>
          </w:tcPr>
          <w:p w14:paraId="6FD0F106" w14:textId="77777777" w:rsidR="00C4057E" w:rsidRPr="00C4057E" w:rsidRDefault="00C4057E" w:rsidP="00C4057E">
            <w:pPr>
              <w:spacing w:after="0" w:line="240" w:lineRule="auto"/>
              <w:rPr>
                <w:rFonts w:ascii="Times New Roman" w:eastAsia="Times New Roman" w:hAnsi="Times New Roman" w:cs="Times New Roman"/>
                <w:sz w:val="18"/>
                <w:szCs w:val="18"/>
              </w:rPr>
            </w:pPr>
          </w:p>
        </w:tc>
        <w:tc>
          <w:tcPr>
            <w:tcW w:w="579" w:type="dxa"/>
            <w:tcBorders>
              <w:top w:val="nil"/>
              <w:left w:val="nil"/>
              <w:bottom w:val="nil"/>
              <w:right w:val="nil"/>
            </w:tcBorders>
            <w:shd w:val="clear" w:color="auto" w:fill="auto"/>
            <w:noWrap/>
            <w:vAlign w:val="bottom"/>
            <w:hideMark/>
          </w:tcPr>
          <w:p w14:paraId="3DBB5BEE" w14:textId="77777777" w:rsidR="00C4057E" w:rsidRPr="00C4057E" w:rsidRDefault="00C4057E" w:rsidP="00C4057E">
            <w:pPr>
              <w:spacing w:after="0" w:line="240" w:lineRule="auto"/>
              <w:rPr>
                <w:rFonts w:ascii="Times New Roman" w:eastAsia="Times New Roman" w:hAnsi="Times New Roman" w:cs="Times New Roman"/>
                <w:sz w:val="18"/>
                <w:szCs w:val="18"/>
              </w:rPr>
            </w:pPr>
          </w:p>
        </w:tc>
        <w:tc>
          <w:tcPr>
            <w:tcW w:w="2091" w:type="dxa"/>
            <w:gridSpan w:val="2"/>
            <w:tcBorders>
              <w:top w:val="nil"/>
              <w:left w:val="nil"/>
              <w:bottom w:val="nil"/>
              <w:right w:val="nil"/>
            </w:tcBorders>
            <w:shd w:val="clear" w:color="auto" w:fill="auto"/>
            <w:noWrap/>
            <w:vAlign w:val="bottom"/>
            <w:hideMark/>
          </w:tcPr>
          <w:p w14:paraId="57C290E7" w14:textId="77777777" w:rsidR="00C4057E" w:rsidRPr="00C4057E" w:rsidRDefault="00C4057E" w:rsidP="00C4057E">
            <w:pPr>
              <w:spacing w:after="0" w:line="240" w:lineRule="auto"/>
              <w:rPr>
                <w:rFonts w:ascii="Times New Roman" w:eastAsia="Times New Roman" w:hAnsi="Times New Roman" w:cs="Times New Roman"/>
                <w:sz w:val="18"/>
                <w:szCs w:val="18"/>
              </w:rPr>
            </w:pPr>
          </w:p>
        </w:tc>
        <w:tc>
          <w:tcPr>
            <w:tcW w:w="236" w:type="dxa"/>
            <w:gridSpan w:val="2"/>
            <w:tcBorders>
              <w:top w:val="nil"/>
              <w:left w:val="nil"/>
              <w:bottom w:val="nil"/>
              <w:right w:val="nil"/>
            </w:tcBorders>
            <w:shd w:val="clear" w:color="auto" w:fill="auto"/>
            <w:noWrap/>
            <w:vAlign w:val="bottom"/>
            <w:hideMark/>
          </w:tcPr>
          <w:p w14:paraId="5E3DC6C8" w14:textId="77777777" w:rsidR="00C4057E" w:rsidRPr="00C4057E" w:rsidRDefault="00C4057E" w:rsidP="00C4057E">
            <w:pPr>
              <w:spacing w:after="0" w:line="240" w:lineRule="auto"/>
              <w:rPr>
                <w:rFonts w:ascii="Times New Roman" w:eastAsia="Times New Roman" w:hAnsi="Times New Roman" w:cs="Times New Roman"/>
                <w:sz w:val="18"/>
                <w:szCs w:val="18"/>
              </w:rPr>
            </w:pPr>
          </w:p>
        </w:tc>
      </w:tr>
      <w:tr w:rsidR="00C4057E" w:rsidRPr="00C4057E" w14:paraId="7A0DB07D" w14:textId="77777777" w:rsidTr="005B5972">
        <w:trPr>
          <w:trHeight w:val="20"/>
          <w:jc w:val="center"/>
        </w:trPr>
        <w:tc>
          <w:tcPr>
            <w:tcW w:w="5271" w:type="dxa"/>
            <w:gridSpan w:val="8"/>
            <w:tcBorders>
              <w:top w:val="nil"/>
              <w:left w:val="nil"/>
              <w:bottom w:val="nil"/>
              <w:right w:val="nil"/>
            </w:tcBorders>
            <w:shd w:val="clear" w:color="auto" w:fill="auto"/>
            <w:noWrap/>
            <w:vAlign w:val="bottom"/>
            <w:hideMark/>
          </w:tcPr>
          <w:p w14:paraId="2AFB3D9E" w14:textId="77777777" w:rsidR="00C4057E" w:rsidRPr="00C4057E" w:rsidRDefault="00C4057E" w:rsidP="00C4057E">
            <w:pPr>
              <w:spacing w:after="0" w:line="240" w:lineRule="auto"/>
              <w:rPr>
                <w:rFonts w:ascii="Arial" w:eastAsia="Times New Roman" w:hAnsi="Arial" w:cs="Arial"/>
                <w:color w:val="000000"/>
                <w:sz w:val="18"/>
                <w:szCs w:val="18"/>
              </w:rPr>
            </w:pPr>
            <w:r w:rsidRPr="00C4057E">
              <w:rPr>
                <w:rFonts w:ascii="Arial" w:eastAsia="Times New Roman" w:hAnsi="Arial" w:cs="Arial"/>
                <w:color w:val="000000"/>
                <w:sz w:val="18"/>
                <w:szCs w:val="18"/>
              </w:rPr>
              <w:t>* There are only three service centers in Penn Power's territory</w:t>
            </w:r>
          </w:p>
        </w:tc>
        <w:tc>
          <w:tcPr>
            <w:tcW w:w="1119" w:type="dxa"/>
            <w:gridSpan w:val="2"/>
            <w:tcBorders>
              <w:top w:val="nil"/>
              <w:left w:val="nil"/>
              <w:bottom w:val="nil"/>
              <w:right w:val="nil"/>
            </w:tcBorders>
            <w:shd w:val="clear" w:color="auto" w:fill="auto"/>
            <w:noWrap/>
            <w:vAlign w:val="bottom"/>
            <w:hideMark/>
          </w:tcPr>
          <w:p w14:paraId="03779FC2" w14:textId="77777777" w:rsidR="00C4057E" w:rsidRPr="00C4057E" w:rsidRDefault="00C4057E" w:rsidP="00C4057E">
            <w:pPr>
              <w:spacing w:after="0" w:line="240" w:lineRule="auto"/>
              <w:rPr>
                <w:rFonts w:ascii="Times New Roman" w:eastAsia="Times New Roman" w:hAnsi="Times New Roman" w:cs="Times New Roman"/>
                <w:sz w:val="18"/>
                <w:szCs w:val="18"/>
              </w:rPr>
            </w:pPr>
          </w:p>
        </w:tc>
        <w:tc>
          <w:tcPr>
            <w:tcW w:w="1638" w:type="dxa"/>
            <w:gridSpan w:val="2"/>
            <w:tcBorders>
              <w:top w:val="nil"/>
              <w:left w:val="nil"/>
              <w:bottom w:val="nil"/>
              <w:right w:val="nil"/>
            </w:tcBorders>
            <w:shd w:val="clear" w:color="auto" w:fill="auto"/>
            <w:noWrap/>
            <w:vAlign w:val="bottom"/>
            <w:hideMark/>
          </w:tcPr>
          <w:p w14:paraId="1F38994A" w14:textId="77777777" w:rsidR="00C4057E" w:rsidRPr="00C4057E" w:rsidRDefault="00C4057E" w:rsidP="00C4057E">
            <w:pPr>
              <w:spacing w:after="0" w:line="240" w:lineRule="auto"/>
              <w:rPr>
                <w:rFonts w:ascii="Times New Roman" w:eastAsia="Times New Roman" w:hAnsi="Times New Roman" w:cs="Times New Roman"/>
                <w:sz w:val="18"/>
                <w:szCs w:val="18"/>
              </w:rPr>
            </w:pPr>
          </w:p>
        </w:tc>
        <w:tc>
          <w:tcPr>
            <w:tcW w:w="579" w:type="dxa"/>
            <w:tcBorders>
              <w:top w:val="nil"/>
              <w:left w:val="nil"/>
              <w:bottom w:val="nil"/>
              <w:right w:val="nil"/>
            </w:tcBorders>
            <w:shd w:val="clear" w:color="auto" w:fill="auto"/>
            <w:noWrap/>
            <w:vAlign w:val="bottom"/>
            <w:hideMark/>
          </w:tcPr>
          <w:p w14:paraId="595D6E1E" w14:textId="77777777" w:rsidR="00C4057E" w:rsidRPr="00C4057E" w:rsidRDefault="00C4057E" w:rsidP="00C4057E">
            <w:pPr>
              <w:spacing w:after="0" w:line="240" w:lineRule="auto"/>
              <w:rPr>
                <w:rFonts w:ascii="Times New Roman" w:eastAsia="Times New Roman" w:hAnsi="Times New Roman" w:cs="Times New Roman"/>
                <w:sz w:val="18"/>
                <w:szCs w:val="18"/>
              </w:rPr>
            </w:pPr>
          </w:p>
        </w:tc>
        <w:tc>
          <w:tcPr>
            <w:tcW w:w="2091" w:type="dxa"/>
            <w:gridSpan w:val="2"/>
            <w:tcBorders>
              <w:top w:val="nil"/>
              <w:left w:val="nil"/>
              <w:bottom w:val="nil"/>
              <w:right w:val="nil"/>
            </w:tcBorders>
            <w:shd w:val="clear" w:color="auto" w:fill="auto"/>
            <w:noWrap/>
            <w:vAlign w:val="bottom"/>
            <w:hideMark/>
          </w:tcPr>
          <w:p w14:paraId="7056649D" w14:textId="77777777" w:rsidR="00C4057E" w:rsidRPr="00C4057E" w:rsidRDefault="00C4057E" w:rsidP="00C4057E">
            <w:pPr>
              <w:spacing w:after="0" w:line="240" w:lineRule="auto"/>
              <w:rPr>
                <w:rFonts w:ascii="Times New Roman" w:eastAsia="Times New Roman" w:hAnsi="Times New Roman" w:cs="Times New Roman"/>
                <w:sz w:val="18"/>
                <w:szCs w:val="18"/>
              </w:rPr>
            </w:pPr>
          </w:p>
        </w:tc>
        <w:tc>
          <w:tcPr>
            <w:tcW w:w="236" w:type="dxa"/>
            <w:gridSpan w:val="2"/>
            <w:tcBorders>
              <w:top w:val="nil"/>
              <w:left w:val="nil"/>
              <w:bottom w:val="nil"/>
              <w:right w:val="nil"/>
            </w:tcBorders>
            <w:shd w:val="clear" w:color="auto" w:fill="auto"/>
            <w:noWrap/>
            <w:vAlign w:val="bottom"/>
            <w:hideMark/>
          </w:tcPr>
          <w:p w14:paraId="3D5ED492" w14:textId="77777777" w:rsidR="00C4057E" w:rsidRPr="00C4057E" w:rsidRDefault="00C4057E" w:rsidP="00C4057E">
            <w:pPr>
              <w:spacing w:after="0" w:line="240" w:lineRule="auto"/>
              <w:rPr>
                <w:rFonts w:ascii="Times New Roman" w:eastAsia="Times New Roman" w:hAnsi="Times New Roman" w:cs="Times New Roman"/>
                <w:sz w:val="18"/>
                <w:szCs w:val="18"/>
              </w:rPr>
            </w:pPr>
          </w:p>
        </w:tc>
      </w:tr>
    </w:tbl>
    <w:p w14:paraId="7A38A83D" w14:textId="77777777" w:rsidR="00C4057E" w:rsidRPr="00C4057E" w:rsidRDefault="00C4057E" w:rsidP="00C4057E">
      <w:pPr>
        <w:spacing w:after="0" w:line="240" w:lineRule="auto"/>
        <w:ind w:left="-990"/>
        <w:rPr>
          <w:rFonts w:ascii="Arial" w:hAnsi="Arial" w:cs="Arial"/>
          <w:sz w:val="8"/>
          <w:szCs w:val="8"/>
        </w:rPr>
      </w:pPr>
    </w:p>
    <w:p w14:paraId="6A9B1DAD" w14:textId="77777777" w:rsidR="00C4057E" w:rsidRPr="00C4057E" w:rsidRDefault="00C4057E" w:rsidP="005B5972">
      <w:pPr>
        <w:spacing w:after="0" w:line="240" w:lineRule="auto"/>
        <w:ind w:left="-810"/>
        <w:rPr>
          <w:rFonts w:ascii="Arial" w:hAnsi="Arial" w:cs="Arial"/>
          <w:sz w:val="18"/>
          <w:szCs w:val="18"/>
        </w:rPr>
      </w:pPr>
      <w:r w:rsidRPr="00C4057E">
        <w:rPr>
          <w:rFonts w:ascii="Arial" w:hAnsi="Arial" w:cs="Arial"/>
          <w:sz w:val="18"/>
          <w:szCs w:val="18"/>
        </w:rPr>
        <w:t>Source: Data Request TD-7, TD-15, and Auditor Analysis.</w:t>
      </w:r>
      <w:r w:rsidRPr="00C4057E">
        <w:rPr>
          <w:rFonts w:ascii="Arial" w:hAnsi="Arial" w:cs="Arial"/>
          <w:sz w:val="18"/>
          <w:szCs w:val="18"/>
        </w:rPr>
        <w:br w:type="page"/>
      </w:r>
    </w:p>
    <w:p w14:paraId="5BCE56E1" w14:textId="77777777" w:rsidR="00C4057E" w:rsidRPr="00C4057E" w:rsidRDefault="00C4057E" w:rsidP="00C4057E">
      <w:pPr>
        <w:spacing w:after="0" w:line="240" w:lineRule="auto"/>
        <w:ind w:firstLine="720"/>
        <w:rPr>
          <w:rFonts w:ascii="Arial" w:hAnsi="Arial" w:cs="Arial"/>
          <w:sz w:val="24"/>
          <w:szCs w:val="24"/>
        </w:rPr>
      </w:pPr>
      <w:r w:rsidRPr="00C4057E">
        <w:rPr>
          <w:rFonts w:ascii="Arial" w:hAnsi="Arial" w:cs="Arial"/>
          <w:sz w:val="24"/>
          <w:szCs w:val="24"/>
        </w:rPr>
        <w:t xml:space="preserve">Ultimately, even though call-out acceptance rates can </w:t>
      </w:r>
      <w:r w:rsidR="00875D30">
        <w:rPr>
          <w:rFonts w:ascii="Arial" w:hAnsi="Arial" w:cs="Arial"/>
          <w:sz w:val="24"/>
          <w:szCs w:val="24"/>
        </w:rPr>
        <w:t>affect</w:t>
      </w:r>
      <w:r w:rsidR="00875D30" w:rsidRPr="00C4057E">
        <w:rPr>
          <w:rFonts w:ascii="Arial" w:hAnsi="Arial" w:cs="Arial"/>
          <w:sz w:val="24"/>
          <w:szCs w:val="24"/>
        </w:rPr>
        <w:t xml:space="preserve"> </w:t>
      </w:r>
      <w:r w:rsidRPr="00C4057E">
        <w:rPr>
          <w:rFonts w:ascii="Arial" w:hAnsi="Arial" w:cs="Arial"/>
          <w:sz w:val="24"/>
          <w:szCs w:val="24"/>
        </w:rPr>
        <w:t>reliability performance (namely CAIDI), the auditors are most concerned about safety.  There is a high potential for mental or physical exhaustion at higher overtime rates which is exacerbated by the high-risk nature of working around live electric circuits.  As can be seen from Exhibits VII-7 through VII-10, there are still many occurrences of high individual overtime levels.  Between 2014 and 2017</w:t>
      </w:r>
      <w:r w:rsidR="00974B06">
        <w:rPr>
          <w:rFonts w:ascii="Arial" w:hAnsi="Arial" w:cs="Arial"/>
          <w:sz w:val="24"/>
          <w:szCs w:val="24"/>
        </w:rPr>
        <w:t>,</w:t>
      </w:r>
      <w:r w:rsidRPr="00C4057E">
        <w:rPr>
          <w:rFonts w:ascii="Arial" w:hAnsi="Arial" w:cs="Arial"/>
          <w:sz w:val="24"/>
          <w:szCs w:val="24"/>
        </w:rPr>
        <w:t xml:space="preserve"> there were six occurrences of employees that had over 100% overtime.  Of note, since 2015, Penelec has had only one employee over 50% overtime whereas Met-Ed and West Penn Power’s top ten overtimes since 2015 have all been greater than 50%. </w:t>
      </w:r>
    </w:p>
    <w:p w14:paraId="15E7D832" w14:textId="77777777" w:rsidR="00C4057E" w:rsidRPr="00C4057E" w:rsidRDefault="00C4057E" w:rsidP="00C4057E">
      <w:pPr>
        <w:spacing w:after="0" w:line="240" w:lineRule="auto"/>
        <w:jc w:val="center"/>
        <w:rPr>
          <w:rFonts w:ascii="Arial" w:hAnsi="Arial" w:cs="Arial"/>
          <w:sz w:val="24"/>
          <w:szCs w:val="24"/>
        </w:rPr>
      </w:pPr>
    </w:p>
    <w:p w14:paraId="7A5DC390" w14:textId="77777777" w:rsidR="00C4057E" w:rsidRPr="00C4057E" w:rsidRDefault="00C4057E" w:rsidP="00C4057E">
      <w:pPr>
        <w:spacing w:after="0" w:line="240" w:lineRule="auto"/>
        <w:jc w:val="center"/>
        <w:rPr>
          <w:rFonts w:ascii="Arial" w:hAnsi="Arial" w:cs="Arial"/>
          <w:sz w:val="24"/>
          <w:szCs w:val="24"/>
        </w:rPr>
      </w:pPr>
    </w:p>
    <w:p w14:paraId="7A245D80"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Exhibit VII – 7</w:t>
      </w:r>
    </w:p>
    <w:p w14:paraId="6023F0CF"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Metropolitan Edison Company</w:t>
      </w:r>
    </w:p>
    <w:p w14:paraId="5DDA1209"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Individual Overtime Levels</w:t>
      </w:r>
    </w:p>
    <w:p w14:paraId="11F2BF22" w14:textId="77777777" w:rsidR="00C4057E" w:rsidRPr="00C4057E" w:rsidRDefault="00C4057E" w:rsidP="00C4057E">
      <w:pPr>
        <w:spacing w:after="0" w:line="240" w:lineRule="auto"/>
        <w:jc w:val="center"/>
        <w:rPr>
          <w:rFonts w:ascii="Arial" w:hAnsi="Arial" w:cs="Arial"/>
          <w:b/>
          <w:sz w:val="24"/>
          <w:szCs w:val="24"/>
        </w:rPr>
      </w:pPr>
      <w:r w:rsidRPr="00C4057E">
        <w:rPr>
          <w:rFonts w:ascii="Arial" w:hAnsi="Arial" w:cs="Arial"/>
          <w:b/>
          <w:sz w:val="24"/>
          <w:szCs w:val="24"/>
        </w:rPr>
        <w:t>For the Years 2014 through 2017</w:t>
      </w:r>
    </w:p>
    <w:p w14:paraId="289B495B" w14:textId="77777777" w:rsidR="00C4057E" w:rsidRPr="00C4057E" w:rsidRDefault="00C4057E" w:rsidP="00C4057E">
      <w:pPr>
        <w:spacing w:after="0" w:line="240" w:lineRule="auto"/>
        <w:rPr>
          <w:rFonts w:ascii="Arial" w:hAnsi="Arial" w:cs="Arial"/>
          <w:sz w:val="8"/>
          <w:szCs w:val="8"/>
        </w:rPr>
      </w:pPr>
    </w:p>
    <w:bookmarkStart w:id="23" w:name="_MON_1586844527"/>
    <w:bookmarkEnd w:id="23"/>
    <w:p w14:paraId="6859DEE7" w14:textId="77777777" w:rsidR="00C4057E" w:rsidRPr="00C4057E" w:rsidRDefault="00C4057E" w:rsidP="00C4057E">
      <w:pPr>
        <w:spacing w:after="0" w:line="240" w:lineRule="auto"/>
        <w:jc w:val="center"/>
        <w:rPr>
          <w:rFonts w:ascii="Arial" w:hAnsi="Arial" w:cs="Arial"/>
          <w:sz w:val="24"/>
          <w:szCs w:val="24"/>
        </w:rPr>
      </w:pPr>
      <w:r w:rsidRPr="00C4057E">
        <w:rPr>
          <w:rFonts w:ascii="Arial" w:hAnsi="Arial" w:cs="Arial"/>
          <w:sz w:val="24"/>
          <w:szCs w:val="24"/>
        </w:rPr>
        <w:object w:dxaOrig="7260" w:dyaOrig="4672" w14:anchorId="06C90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85pt;height:222.65pt" o:ole="">
            <v:imagedata r:id="rId44" o:title=""/>
          </v:shape>
          <o:OLEObject Type="Embed" ProgID="Excel.Sheet.12" ShapeID="_x0000_i1025" DrawAspect="Content" ObjectID="_1599049575" r:id="rId45"/>
        </w:object>
      </w:r>
    </w:p>
    <w:p w14:paraId="5AC9429F" w14:textId="77777777" w:rsidR="00C4057E" w:rsidRPr="00C4057E" w:rsidRDefault="00C4057E" w:rsidP="00C4057E">
      <w:pPr>
        <w:spacing w:after="0" w:line="240" w:lineRule="auto"/>
        <w:ind w:left="1260"/>
        <w:contextualSpacing/>
        <w:rPr>
          <w:rFonts w:ascii="Arial" w:hAnsi="Arial" w:cs="Arial"/>
          <w:sz w:val="18"/>
          <w:szCs w:val="18"/>
        </w:rPr>
      </w:pPr>
      <w:r w:rsidRPr="00C4057E">
        <w:rPr>
          <w:rFonts w:ascii="Arial" w:hAnsi="Arial" w:cs="Arial"/>
          <w:sz w:val="18"/>
          <w:szCs w:val="18"/>
        </w:rPr>
        <w:t>Source: Data Request TD-4, TD-14, and Auditor Analysis.</w:t>
      </w:r>
    </w:p>
    <w:p w14:paraId="760DAD84" w14:textId="77777777" w:rsidR="00C4057E" w:rsidRPr="00C4057E" w:rsidRDefault="00C4057E" w:rsidP="00C4057E">
      <w:pPr>
        <w:spacing w:after="0" w:line="240" w:lineRule="auto"/>
        <w:jc w:val="center"/>
        <w:rPr>
          <w:rFonts w:ascii="Arial" w:hAnsi="Arial" w:cs="Arial"/>
          <w:sz w:val="24"/>
          <w:szCs w:val="24"/>
        </w:rPr>
      </w:pPr>
    </w:p>
    <w:p w14:paraId="05C6A667" w14:textId="77777777" w:rsidR="00C4057E" w:rsidRPr="00C4057E" w:rsidRDefault="00C4057E" w:rsidP="00C4057E">
      <w:pPr>
        <w:spacing w:after="0" w:line="240" w:lineRule="auto"/>
        <w:jc w:val="center"/>
        <w:rPr>
          <w:rFonts w:ascii="Arial" w:hAnsi="Arial" w:cs="Arial"/>
          <w:sz w:val="24"/>
          <w:szCs w:val="24"/>
        </w:rPr>
      </w:pPr>
    </w:p>
    <w:p w14:paraId="30EA843A" w14:textId="77777777" w:rsidR="00C4057E" w:rsidRPr="00C4057E" w:rsidRDefault="00C4057E" w:rsidP="00C4057E">
      <w:pPr>
        <w:spacing w:after="0" w:line="240" w:lineRule="auto"/>
        <w:ind w:firstLine="720"/>
        <w:rPr>
          <w:rFonts w:ascii="Arial" w:hAnsi="Arial" w:cs="Arial"/>
          <w:sz w:val="24"/>
          <w:szCs w:val="24"/>
        </w:rPr>
      </w:pPr>
      <w:r w:rsidRPr="00C4057E">
        <w:rPr>
          <w:rFonts w:ascii="Arial" w:hAnsi="Arial" w:cs="Arial"/>
          <w:sz w:val="24"/>
          <w:szCs w:val="24"/>
        </w:rPr>
        <w:t xml:space="preserve">Although it is understandable that creating mandatory response rates can be difficult as some employees have extenuating circumstances (e.g., sick family members, child care, etc.), the </w:t>
      </w:r>
      <w:r w:rsidR="00DC3D9B">
        <w:rPr>
          <w:rFonts w:ascii="Arial" w:hAnsi="Arial" w:cs="Arial"/>
          <w:sz w:val="24"/>
          <w:szCs w:val="24"/>
        </w:rPr>
        <w:t>FE-PA companies</w:t>
      </w:r>
      <w:r w:rsidRPr="00C4057E">
        <w:rPr>
          <w:rFonts w:ascii="Arial" w:hAnsi="Arial" w:cs="Arial"/>
          <w:sz w:val="24"/>
          <w:szCs w:val="24"/>
        </w:rPr>
        <w:t xml:space="preserve"> should investigate all potential improvements including response agreements to the extent possible with the union (e.g., the 2016 agreement at Penn Power’s Clark service center), a best practices review, and additional shift work.  </w:t>
      </w:r>
      <w:bookmarkStart w:id="24" w:name="_Hlk520440919"/>
      <w:r w:rsidRPr="00C4057E">
        <w:rPr>
          <w:rFonts w:ascii="Arial" w:hAnsi="Arial" w:cs="Arial"/>
          <w:sz w:val="24"/>
          <w:szCs w:val="24"/>
        </w:rPr>
        <w:t xml:space="preserve">For example, the other </w:t>
      </w:r>
      <w:r w:rsidR="00DC3D9B">
        <w:rPr>
          <w:rFonts w:ascii="Arial" w:hAnsi="Arial" w:cs="Arial"/>
          <w:sz w:val="24"/>
          <w:szCs w:val="24"/>
        </w:rPr>
        <w:t>FE-PA companies</w:t>
      </w:r>
      <w:r w:rsidRPr="00C4057E">
        <w:rPr>
          <w:rFonts w:ascii="Arial" w:hAnsi="Arial" w:cs="Arial"/>
          <w:sz w:val="24"/>
          <w:szCs w:val="24"/>
        </w:rPr>
        <w:t xml:space="preserve"> should institute best practices from Penn Power to raise their respective service center and individual call-out acceptance rates and best practices from Penelec to lower individual overtime.  </w:t>
      </w:r>
      <w:r w:rsidR="00974B06" w:rsidRPr="00C4057E">
        <w:rPr>
          <w:rFonts w:ascii="Arial" w:hAnsi="Arial" w:cs="Arial"/>
          <w:sz w:val="24"/>
          <w:szCs w:val="24"/>
        </w:rPr>
        <w:t>These</w:t>
      </w:r>
      <w:r w:rsidRPr="00C4057E">
        <w:rPr>
          <w:rFonts w:ascii="Arial" w:hAnsi="Arial" w:cs="Arial"/>
          <w:sz w:val="24"/>
          <w:szCs w:val="24"/>
        </w:rPr>
        <w:t xml:space="preserve"> successful call-out acceptance rates and lower individual overtime levels are likely a combination of call-out acceptance practices, staffing levels, and shift work strategies.  The auditors advise that the </w:t>
      </w:r>
      <w:r w:rsidR="00DC3D9B">
        <w:rPr>
          <w:rFonts w:ascii="Arial" w:hAnsi="Arial" w:cs="Arial"/>
          <w:sz w:val="24"/>
          <w:szCs w:val="24"/>
        </w:rPr>
        <w:t>companies</w:t>
      </w:r>
      <w:r w:rsidRPr="00C4057E">
        <w:rPr>
          <w:rFonts w:ascii="Arial" w:hAnsi="Arial" w:cs="Arial"/>
          <w:sz w:val="24"/>
          <w:szCs w:val="24"/>
        </w:rPr>
        <w:t xml:space="preserve"> conduct a cost/benefit analysis on additional shifts which should both reduce overtime and improve call-out response</w:t>
      </w:r>
      <w:bookmarkEnd w:id="24"/>
      <w:r w:rsidRPr="00C4057E">
        <w:rPr>
          <w:rFonts w:ascii="Arial" w:hAnsi="Arial" w:cs="Arial"/>
          <w:sz w:val="24"/>
          <w:szCs w:val="24"/>
        </w:rPr>
        <w:t xml:space="preserve">. </w:t>
      </w:r>
      <w:r w:rsidRPr="00C4057E">
        <w:rPr>
          <w:rFonts w:ascii="Arial" w:hAnsi="Arial" w:cs="Arial"/>
          <w:sz w:val="24"/>
          <w:szCs w:val="24"/>
        </w:rPr>
        <w:br w:type="page"/>
      </w:r>
    </w:p>
    <w:p w14:paraId="2FDF7180"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Exhibit VII – 8</w:t>
      </w:r>
    </w:p>
    <w:p w14:paraId="2A11F978"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Pennsylvania Electric Company</w:t>
      </w:r>
    </w:p>
    <w:p w14:paraId="0E9C2C64"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Individual Overtime Levels</w:t>
      </w:r>
    </w:p>
    <w:p w14:paraId="185FA9DC" w14:textId="77777777" w:rsidR="00C4057E" w:rsidRPr="00C4057E" w:rsidRDefault="00C4057E" w:rsidP="00C4057E">
      <w:pPr>
        <w:spacing w:after="0" w:line="240" w:lineRule="auto"/>
        <w:jc w:val="center"/>
        <w:rPr>
          <w:rFonts w:ascii="Arial" w:hAnsi="Arial" w:cs="Arial"/>
          <w:b/>
          <w:sz w:val="24"/>
          <w:szCs w:val="24"/>
        </w:rPr>
      </w:pPr>
      <w:r w:rsidRPr="00C4057E">
        <w:rPr>
          <w:rFonts w:ascii="Arial" w:hAnsi="Arial" w:cs="Arial"/>
          <w:b/>
          <w:sz w:val="24"/>
          <w:szCs w:val="24"/>
        </w:rPr>
        <w:t>For the Years 2014 through 2017</w:t>
      </w:r>
    </w:p>
    <w:p w14:paraId="290412DF" w14:textId="77777777" w:rsidR="00C4057E" w:rsidRPr="00C4057E" w:rsidRDefault="00C4057E" w:rsidP="00C4057E">
      <w:pPr>
        <w:spacing w:after="0" w:line="240" w:lineRule="auto"/>
        <w:jc w:val="center"/>
        <w:rPr>
          <w:rFonts w:ascii="Arial" w:hAnsi="Arial" w:cs="Arial"/>
          <w:b/>
          <w:sz w:val="8"/>
          <w:szCs w:val="8"/>
        </w:rPr>
      </w:pPr>
    </w:p>
    <w:bookmarkStart w:id="25" w:name="_MON_1586844600"/>
    <w:bookmarkEnd w:id="25"/>
    <w:p w14:paraId="1C54C676" w14:textId="77777777" w:rsidR="00C4057E" w:rsidRPr="00C4057E" w:rsidRDefault="00C4057E" w:rsidP="00C4057E">
      <w:pPr>
        <w:spacing w:after="0" w:line="240" w:lineRule="auto"/>
        <w:jc w:val="center"/>
        <w:rPr>
          <w:rFonts w:ascii="Arial" w:hAnsi="Arial" w:cs="Arial"/>
          <w:sz w:val="24"/>
          <w:szCs w:val="24"/>
        </w:rPr>
      </w:pPr>
      <w:r w:rsidRPr="00C4057E">
        <w:rPr>
          <w:rFonts w:ascii="Arial" w:hAnsi="Arial" w:cs="Arial"/>
          <w:sz w:val="24"/>
          <w:szCs w:val="24"/>
        </w:rPr>
        <w:object w:dxaOrig="7260" w:dyaOrig="4672" w14:anchorId="69608FF3">
          <v:shape id="_x0000_i1026" type="#_x0000_t75" style="width:337.85pt;height:222.65pt" o:ole="">
            <v:imagedata r:id="rId46" o:title=""/>
          </v:shape>
          <o:OLEObject Type="Embed" ProgID="Excel.Sheet.12" ShapeID="_x0000_i1026" DrawAspect="Content" ObjectID="_1599049576" r:id="rId47"/>
        </w:object>
      </w:r>
    </w:p>
    <w:p w14:paraId="7B4E6159" w14:textId="77777777" w:rsidR="00C4057E" w:rsidRPr="00C4057E" w:rsidRDefault="00C4057E" w:rsidP="00C4057E">
      <w:pPr>
        <w:spacing w:after="0" w:line="240" w:lineRule="auto"/>
        <w:ind w:left="1260"/>
        <w:contextualSpacing/>
        <w:rPr>
          <w:rFonts w:ascii="Arial" w:hAnsi="Arial" w:cs="Arial"/>
          <w:sz w:val="18"/>
          <w:szCs w:val="18"/>
        </w:rPr>
      </w:pPr>
      <w:bookmarkStart w:id="26" w:name="_Hlk512261473"/>
      <w:r w:rsidRPr="00C4057E">
        <w:rPr>
          <w:rFonts w:ascii="Arial" w:hAnsi="Arial" w:cs="Arial"/>
          <w:sz w:val="18"/>
          <w:szCs w:val="18"/>
        </w:rPr>
        <w:t>Source: Data Request TD-4, TD-14, and Auditor Analysis.</w:t>
      </w:r>
    </w:p>
    <w:p w14:paraId="08F9944A" w14:textId="77777777" w:rsidR="00C4057E" w:rsidRPr="00C4057E" w:rsidRDefault="00C4057E" w:rsidP="00C4057E">
      <w:pPr>
        <w:spacing w:after="0"/>
        <w:rPr>
          <w:rFonts w:ascii="Arial" w:hAnsi="Arial" w:cs="Arial"/>
          <w:sz w:val="24"/>
          <w:szCs w:val="24"/>
        </w:rPr>
      </w:pPr>
    </w:p>
    <w:bookmarkEnd w:id="26"/>
    <w:p w14:paraId="69BA7F39" w14:textId="77777777" w:rsidR="00C4057E" w:rsidRPr="00C4057E" w:rsidRDefault="00C4057E" w:rsidP="00C4057E">
      <w:pPr>
        <w:widowControl w:val="0"/>
        <w:spacing w:after="0" w:line="240" w:lineRule="auto"/>
        <w:jc w:val="center"/>
        <w:rPr>
          <w:rFonts w:ascii="Arial" w:hAnsi="Arial" w:cs="Arial"/>
          <w:b/>
          <w:sz w:val="24"/>
          <w:szCs w:val="24"/>
        </w:rPr>
      </w:pPr>
    </w:p>
    <w:p w14:paraId="32AF8B38"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Exhibit VII – 9</w:t>
      </w:r>
    </w:p>
    <w:p w14:paraId="137CB133"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Pennsylvania Power Company</w:t>
      </w:r>
    </w:p>
    <w:p w14:paraId="31A69A70"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Individual Overtime Levels</w:t>
      </w:r>
    </w:p>
    <w:p w14:paraId="5F7F9B45" w14:textId="77777777" w:rsidR="00C4057E" w:rsidRPr="00C4057E" w:rsidRDefault="00C4057E" w:rsidP="00C4057E">
      <w:pPr>
        <w:spacing w:after="0" w:line="240" w:lineRule="auto"/>
        <w:jc w:val="center"/>
        <w:rPr>
          <w:rFonts w:ascii="Arial" w:hAnsi="Arial" w:cs="Arial"/>
          <w:b/>
          <w:sz w:val="24"/>
          <w:szCs w:val="24"/>
        </w:rPr>
      </w:pPr>
      <w:r w:rsidRPr="00C4057E">
        <w:rPr>
          <w:rFonts w:ascii="Arial" w:hAnsi="Arial" w:cs="Arial"/>
          <w:b/>
          <w:sz w:val="24"/>
          <w:szCs w:val="24"/>
        </w:rPr>
        <w:t>For the Years 2014 through 2017</w:t>
      </w:r>
    </w:p>
    <w:p w14:paraId="3D748513" w14:textId="77777777" w:rsidR="00C4057E" w:rsidRPr="00C4057E" w:rsidRDefault="00C4057E" w:rsidP="00C4057E">
      <w:pPr>
        <w:spacing w:after="0" w:line="240" w:lineRule="auto"/>
        <w:rPr>
          <w:rFonts w:ascii="Arial" w:hAnsi="Arial" w:cs="Arial"/>
          <w:sz w:val="8"/>
          <w:szCs w:val="8"/>
        </w:rPr>
      </w:pPr>
    </w:p>
    <w:bookmarkStart w:id="27" w:name="_MON_1586844611"/>
    <w:bookmarkEnd w:id="27"/>
    <w:p w14:paraId="3A221008" w14:textId="77777777" w:rsidR="00C4057E" w:rsidRPr="00C4057E" w:rsidRDefault="00C4057E" w:rsidP="00C4057E">
      <w:pPr>
        <w:spacing w:after="0" w:line="240" w:lineRule="auto"/>
        <w:jc w:val="center"/>
        <w:rPr>
          <w:rFonts w:ascii="Arial" w:hAnsi="Arial" w:cs="Arial"/>
          <w:sz w:val="24"/>
          <w:szCs w:val="24"/>
        </w:rPr>
      </w:pPr>
      <w:r w:rsidRPr="00C4057E">
        <w:rPr>
          <w:rFonts w:ascii="Arial" w:hAnsi="Arial" w:cs="Arial"/>
          <w:sz w:val="24"/>
          <w:szCs w:val="24"/>
        </w:rPr>
        <w:object w:dxaOrig="7260" w:dyaOrig="4672" w14:anchorId="387F48F3">
          <v:shape id="_x0000_i1027" type="#_x0000_t75" style="width:337.85pt;height:222.65pt" o:ole="">
            <v:imagedata r:id="rId48" o:title=""/>
          </v:shape>
          <o:OLEObject Type="Embed" ProgID="Excel.Sheet.12" ShapeID="_x0000_i1027" DrawAspect="Content" ObjectID="_1599049577" r:id="rId49"/>
        </w:object>
      </w:r>
    </w:p>
    <w:p w14:paraId="47CDCC7C" w14:textId="77777777" w:rsidR="00C4057E" w:rsidRPr="00C4057E" w:rsidRDefault="00C4057E" w:rsidP="00C4057E">
      <w:pPr>
        <w:spacing w:after="0" w:line="240" w:lineRule="auto"/>
        <w:ind w:left="1260"/>
        <w:contextualSpacing/>
        <w:rPr>
          <w:rFonts w:ascii="Arial" w:hAnsi="Arial" w:cs="Arial"/>
          <w:i/>
          <w:sz w:val="20"/>
          <w:szCs w:val="20"/>
        </w:rPr>
      </w:pPr>
      <w:r w:rsidRPr="00C4057E">
        <w:rPr>
          <w:rFonts w:ascii="Arial" w:hAnsi="Arial" w:cs="Arial"/>
          <w:sz w:val="18"/>
          <w:szCs w:val="18"/>
        </w:rPr>
        <w:t>Source: Data Request TD-4, TD-14, and Auditor Analysis</w:t>
      </w:r>
      <w:r w:rsidRPr="00C4057E">
        <w:rPr>
          <w:rFonts w:ascii="Arial" w:hAnsi="Arial" w:cs="Arial"/>
          <w:i/>
          <w:sz w:val="20"/>
          <w:szCs w:val="20"/>
        </w:rPr>
        <w:t>.</w:t>
      </w:r>
    </w:p>
    <w:p w14:paraId="3D2A991F" w14:textId="77777777" w:rsidR="00C4057E" w:rsidRPr="00C4057E" w:rsidRDefault="00C4057E" w:rsidP="00C4057E">
      <w:pPr>
        <w:rPr>
          <w:rFonts w:ascii="Arial" w:hAnsi="Arial" w:cs="Arial"/>
          <w:sz w:val="24"/>
          <w:szCs w:val="24"/>
        </w:rPr>
      </w:pPr>
      <w:r w:rsidRPr="00C4057E">
        <w:rPr>
          <w:rFonts w:ascii="Arial" w:hAnsi="Arial" w:cs="Arial"/>
          <w:sz w:val="24"/>
          <w:szCs w:val="24"/>
        </w:rPr>
        <w:br w:type="page"/>
      </w:r>
    </w:p>
    <w:p w14:paraId="26411F91"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Exhibit VII – 10</w:t>
      </w:r>
    </w:p>
    <w:p w14:paraId="2B64C755"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West Penn Power Company</w:t>
      </w:r>
    </w:p>
    <w:p w14:paraId="543FD08F"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Individual Overtime Levels</w:t>
      </w:r>
    </w:p>
    <w:p w14:paraId="2F30DF22" w14:textId="77777777" w:rsidR="00C4057E" w:rsidRPr="00C4057E" w:rsidRDefault="00C4057E" w:rsidP="00C4057E">
      <w:pPr>
        <w:spacing w:after="0" w:line="240" w:lineRule="auto"/>
        <w:jc w:val="center"/>
        <w:rPr>
          <w:rFonts w:ascii="Arial" w:hAnsi="Arial" w:cs="Arial"/>
          <w:b/>
          <w:sz w:val="24"/>
          <w:szCs w:val="24"/>
        </w:rPr>
      </w:pPr>
      <w:r w:rsidRPr="00C4057E">
        <w:rPr>
          <w:rFonts w:ascii="Arial" w:hAnsi="Arial" w:cs="Arial"/>
          <w:b/>
          <w:sz w:val="24"/>
          <w:szCs w:val="24"/>
        </w:rPr>
        <w:t>For the Years 2014 through 2017</w:t>
      </w:r>
    </w:p>
    <w:p w14:paraId="00ECE563" w14:textId="77777777" w:rsidR="00C4057E" w:rsidRPr="00C4057E" w:rsidRDefault="00C4057E" w:rsidP="00C4057E">
      <w:pPr>
        <w:spacing w:after="0" w:line="240" w:lineRule="auto"/>
        <w:rPr>
          <w:rFonts w:ascii="Arial" w:hAnsi="Arial" w:cs="Arial"/>
          <w:sz w:val="8"/>
          <w:szCs w:val="8"/>
        </w:rPr>
      </w:pPr>
    </w:p>
    <w:bookmarkStart w:id="28" w:name="_MON_1586844620"/>
    <w:bookmarkEnd w:id="28"/>
    <w:p w14:paraId="1B28A5C3" w14:textId="77777777" w:rsidR="00C4057E" w:rsidRPr="00C4057E" w:rsidRDefault="00C4057E" w:rsidP="00C4057E">
      <w:pPr>
        <w:spacing w:after="0" w:line="240" w:lineRule="auto"/>
        <w:jc w:val="center"/>
        <w:rPr>
          <w:rFonts w:ascii="Arial" w:hAnsi="Arial" w:cs="Arial"/>
          <w:sz w:val="24"/>
          <w:szCs w:val="24"/>
        </w:rPr>
      </w:pPr>
      <w:r w:rsidRPr="00C4057E">
        <w:rPr>
          <w:rFonts w:ascii="Arial" w:hAnsi="Arial" w:cs="Arial"/>
          <w:sz w:val="24"/>
          <w:szCs w:val="24"/>
        </w:rPr>
        <w:object w:dxaOrig="7260" w:dyaOrig="4672" w14:anchorId="061E6CCB">
          <v:shape id="_x0000_i1028" type="#_x0000_t75" style="width:337.85pt;height:222.65pt" o:ole="">
            <v:imagedata r:id="rId50" o:title=""/>
          </v:shape>
          <o:OLEObject Type="Embed" ProgID="Excel.Sheet.12" ShapeID="_x0000_i1028" DrawAspect="Content" ObjectID="_1599049578" r:id="rId51"/>
        </w:object>
      </w:r>
    </w:p>
    <w:p w14:paraId="016BF66C" w14:textId="77777777" w:rsidR="00C4057E" w:rsidRPr="00C4057E" w:rsidRDefault="00C4057E" w:rsidP="00C4057E">
      <w:pPr>
        <w:spacing w:after="0" w:line="240" w:lineRule="auto"/>
        <w:ind w:left="1260"/>
        <w:contextualSpacing/>
        <w:rPr>
          <w:rFonts w:ascii="Arial" w:hAnsi="Arial" w:cs="Arial"/>
          <w:sz w:val="18"/>
          <w:szCs w:val="18"/>
        </w:rPr>
      </w:pPr>
      <w:r w:rsidRPr="00C4057E">
        <w:rPr>
          <w:rFonts w:ascii="Arial" w:hAnsi="Arial" w:cs="Arial"/>
          <w:sz w:val="18"/>
          <w:szCs w:val="18"/>
        </w:rPr>
        <w:t>Source: Data Request TD-4, TD-14, and Auditor Analysis.</w:t>
      </w:r>
    </w:p>
    <w:p w14:paraId="25D93E47" w14:textId="77777777" w:rsidR="00C4057E" w:rsidRPr="00C4057E" w:rsidRDefault="00C4057E" w:rsidP="00C4057E">
      <w:pPr>
        <w:spacing w:after="0" w:line="240" w:lineRule="auto"/>
        <w:rPr>
          <w:rFonts w:ascii="Arial" w:hAnsi="Arial" w:cs="Arial"/>
          <w:sz w:val="24"/>
          <w:szCs w:val="24"/>
        </w:rPr>
      </w:pPr>
    </w:p>
    <w:p w14:paraId="1A36EBFF" w14:textId="77777777" w:rsidR="00C4057E" w:rsidRPr="00C4057E" w:rsidRDefault="00C4057E" w:rsidP="00C4057E">
      <w:pPr>
        <w:spacing w:after="0" w:line="240" w:lineRule="auto"/>
        <w:rPr>
          <w:rFonts w:ascii="Arial" w:hAnsi="Arial" w:cs="Arial"/>
          <w:sz w:val="24"/>
          <w:szCs w:val="24"/>
        </w:rPr>
      </w:pPr>
    </w:p>
    <w:p w14:paraId="480853D4" w14:textId="77777777" w:rsidR="00C4057E" w:rsidRPr="00C4057E" w:rsidRDefault="00C4057E" w:rsidP="00C4057E">
      <w:pPr>
        <w:spacing w:after="0" w:line="240" w:lineRule="auto"/>
        <w:rPr>
          <w:rFonts w:ascii="Arial" w:hAnsi="Arial" w:cs="Arial"/>
          <w:b/>
          <w:sz w:val="24"/>
          <w:szCs w:val="24"/>
        </w:rPr>
      </w:pPr>
      <w:bookmarkStart w:id="29" w:name="_Hlk512329237"/>
      <w:r w:rsidRPr="00C4057E">
        <w:rPr>
          <w:rFonts w:ascii="Arial" w:eastAsia="Times New Roman" w:hAnsi="Arial" w:cs="Arial"/>
          <w:b/>
          <w:snapToGrid w:val="0"/>
          <w:sz w:val="24"/>
          <w:szCs w:val="20"/>
          <w:u w:val="single"/>
        </w:rPr>
        <w:t xml:space="preserve">Follow-up </w:t>
      </w:r>
      <w:r w:rsidRPr="00C4057E">
        <w:rPr>
          <w:rFonts w:ascii="Arial" w:hAnsi="Arial" w:cs="Arial"/>
          <w:b/>
          <w:bCs/>
          <w:color w:val="000000"/>
          <w:sz w:val="24"/>
          <w:szCs w:val="24"/>
          <w:u w:val="single"/>
        </w:rPr>
        <w:t>Recommendation</w:t>
      </w:r>
      <w:r w:rsidRPr="00C4057E">
        <w:rPr>
          <w:rFonts w:ascii="Arial" w:hAnsi="Arial" w:cs="Arial"/>
          <w:b/>
          <w:bCs/>
          <w:color w:val="000000"/>
          <w:sz w:val="24"/>
          <w:szCs w:val="24"/>
        </w:rPr>
        <w:t xml:space="preserve"> – </w:t>
      </w:r>
      <w:r w:rsidRPr="00C4057E">
        <w:rPr>
          <w:rFonts w:ascii="Arial" w:hAnsi="Arial" w:cs="Arial"/>
          <w:b/>
          <w:sz w:val="24"/>
          <w:szCs w:val="24"/>
        </w:rPr>
        <w:t xml:space="preserve">Conduct a best practice review of the </w:t>
      </w:r>
      <w:r w:rsidR="00DC3D9B">
        <w:rPr>
          <w:rFonts w:ascii="Arial" w:hAnsi="Arial" w:cs="Arial"/>
          <w:b/>
          <w:sz w:val="24"/>
          <w:szCs w:val="24"/>
        </w:rPr>
        <w:t>FE-PA companies</w:t>
      </w:r>
      <w:r w:rsidRPr="00C4057E">
        <w:rPr>
          <w:rFonts w:ascii="Arial" w:hAnsi="Arial" w:cs="Arial"/>
          <w:b/>
          <w:sz w:val="24"/>
          <w:szCs w:val="24"/>
        </w:rPr>
        <w:t xml:space="preserve"> </w:t>
      </w:r>
      <w:r w:rsidR="00080DC0" w:rsidRPr="00C4057E">
        <w:rPr>
          <w:rFonts w:ascii="Arial" w:hAnsi="Arial" w:cs="Arial"/>
          <w:b/>
          <w:sz w:val="24"/>
          <w:szCs w:val="24"/>
        </w:rPr>
        <w:t>on</w:t>
      </w:r>
      <w:r w:rsidRPr="00C4057E">
        <w:rPr>
          <w:rFonts w:ascii="Arial" w:hAnsi="Arial" w:cs="Arial"/>
          <w:b/>
          <w:sz w:val="24"/>
          <w:szCs w:val="24"/>
        </w:rPr>
        <w:t xml:space="preserve"> staffing, call-out acceptance, and shift work strategies, as well as an analysis </w:t>
      </w:r>
      <w:r w:rsidR="00974B06">
        <w:rPr>
          <w:rFonts w:ascii="Arial" w:hAnsi="Arial" w:cs="Arial"/>
          <w:b/>
          <w:sz w:val="24"/>
          <w:szCs w:val="24"/>
        </w:rPr>
        <w:t>of</w:t>
      </w:r>
      <w:r w:rsidR="00974B06" w:rsidRPr="00C4057E">
        <w:rPr>
          <w:rFonts w:ascii="Arial" w:hAnsi="Arial" w:cs="Arial"/>
          <w:b/>
          <w:sz w:val="24"/>
          <w:szCs w:val="24"/>
        </w:rPr>
        <w:t xml:space="preserve"> </w:t>
      </w:r>
      <w:r w:rsidRPr="00C4057E">
        <w:rPr>
          <w:rFonts w:ascii="Arial" w:hAnsi="Arial" w:cs="Arial"/>
          <w:b/>
          <w:sz w:val="24"/>
          <w:szCs w:val="24"/>
        </w:rPr>
        <w:t>additional shifts for each service center and report on the findings to the PUC’s Bureau of Technical Utility Services.</w:t>
      </w:r>
    </w:p>
    <w:bookmarkEnd w:id="29"/>
    <w:p w14:paraId="0284BCB8" w14:textId="77777777" w:rsidR="00C4057E" w:rsidRPr="00C4057E" w:rsidRDefault="00C4057E" w:rsidP="00C4057E">
      <w:pPr>
        <w:spacing w:after="0" w:line="240" w:lineRule="auto"/>
        <w:rPr>
          <w:rFonts w:ascii="Arial" w:hAnsi="Arial" w:cs="Arial"/>
          <w:sz w:val="24"/>
          <w:szCs w:val="24"/>
        </w:rPr>
      </w:pPr>
    </w:p>
    <w:p w14:paraId="39488402" w14:textId="77777777" w:rsidR="00C4057E" w:rsidRPr="00C4057E" w:rsidRDefault="00C4057E" w:rsidP="00C4057E">
      <w:pPr>
        <w:rPr>
          <w:rFonts w:ascii="Arial" w:hAnsi="Arial" w:cs="Arial"/>
          <w:sz w:val="24"/>
          <w:szCs w:val="24"/>
        </w:rPr>
      </w:pPr>
      <w:r w:rsidRPr="00C4057E">
        <w:rPr>
          <w:rFonts w:ascii="Arial" w:hAnsi="Arial" w:cs="Arial"/>
          <w:sz w:val="24"/>
          <w:szCs w:val="24"/>
        </w:rPr>
        <w:br w:type="page"/>
      </w:r>
    </w:p>
    <w:p w14:paraId="2DFD1E2A" w14:textId="77777777" w:rsidR="00C4057E" w:rsidRPr="00C4057E" w:rsidRDefault="00C4057E" w:rsidP="00C4057E">
      <w:pPr>
        <w:spacing w:after="0" w:line="240" w:lineRule="auto"/>
        <w:jc w:val="center"/>
        <w:rPr>
          <w:rFonts w:ascii="Arial" w:hAnsi="Arial" w:cs="Arial"/>
          <w:b/>
          <w:sz w:val="24"/>
          <w:szCs w:val="24"/>
          <w:u w:val="single"/>
        </w:rPr>
      </w:pPr>
      <w:r w:rsidRPr="00C4057E">
        <w:rPr>
          <w:rFonts w:ascii="Arial" w:hAnsi="Arial" w:cs="Arial"/>
          <w:b/>
          <w:sz w:val="24"/>
          <w:szCs w:val="24"/>
          <w:u w:val="single"/>
        </w:rPr>
        <w:t>Finding No. VII-4</w:t>
      </w:r>
    </w:p>
    <w:p w14:paraId="627B0F24" w14:textId="77777777" w:rsidR="00C4057E" w:rsidRPr="00C4057E" w:rsidRDefault="00C4057E" w:rsidP="00C4057E">
      <w:pPr>
        <w:spacing w:after="0" w:line="240" w:lineRule="auto"/>
        <w:rPr>
          <w:rFonts w:ascii="Arial" w:hAnsi="Arial" w:cs="Arial"/>
          <w:sz w:val="24"/>
          <w:szCs w:val="24"/>
        </w:rPr>
      </w:pPr>
    </w:p>
    <w:p w14:paraId="2600C8C6" w14:textId="77777777" w:rsidR="0091553E" w:rsidRDefault="00C4057E" w:rsidP="00C4057E">
      <w:pPr>
        <w:spacing w:after="0" w:line="240" w:lineRule="auto"/>
        <w:rPr>
          <w:rFonts w:ascii="Arial" w:hAnsi="Arial" w:cs="Arial"/>
          <w:sz w:val="24"/>
          <w:szCs w:val="24"/>
        </w:rPr>
      </w:pPr>
      <w:bookmarkStart w:id="30" w:name="_Hlk512338443"/>
      <w:r w:rsidRPr="00C4057E">
        <w:rPr>
          <w:rFonts w:ascii="Arial" w:hAnsi="Arial" w:cs="Arial"/>
          <w:b/>
          <w:sz w:val="24"/>
          <w:szCs w:val="24"/>
          <w:u w:val="single"/>
        </w:rPr>
        <w:t>Prior Situation</w:t>
      </w:r>
      <w:r w:rsidRPr="00C4057E">
        <w:rPr>
          <w:rFonts w:ascii="Arial" w:hAnsi="Arial" w:cs="Arial"/>
          <w:sz w:val="24"/>
          <w:szCs w:val="24"/>
        </w:rPr>
        <w:t xml:space="preserve"> – As previously </w:t>
      </w:r>
      <w:bookmarkEnd w:id="30"/>
      <w:r w:rsidRPr="00C4057E">
        <w:rPr>
          <w:rFonts w:ascii="Arial" w:hAnsi="Arial" w:cs="Arial"/>
          <w:sz w:val="24"/>
          <w:szCs w:val="24"/>
        </w:rPr>
        <w:t xml:space="preserve">identified during both the 2007 management audit and subsequent 2011 management efficiency investigation, the </w:t>
      </w:r>
      <w:r w:rsidR="00DC3D9B">
        <w:rPr>
          <w:rFonts w:ascii="Arial" w:hAnsi="Arial" w:cs="Arial"/>
          <w:sz w:val="24"/>
          <w:szCs w:val="24"/>
        </w:rPr>
        <w:t>FE-PA companies</w:t>
      </w:r>
      <w:r w:rsidRPr="00C4057E">
        <w:rPr>
          <w:rFonts w:ascii="Arial" w:hAnsi="Arial" w:cs="Arial"/>
          <w:sz w:val="24"/>
          <w:szCs w:val="24"/>
        </w:rPr>
        <w:t xml:space="preserve"> were ineffective in remediating some of its most problematic circuits resulting in certain circuits repeatedly appearing on the worst performing circuit (WPC) list during the 2013 management audit.  The WPC list is produced to identify and remediate circuits for corrective action and is comprised of the 5% worst performing circuits.  </w:t>
      </w:r>
    </w:p>
    <w:p w14:paraId="07230E9A" w14:textId="77777777" w:rsidR="0091553E" w:rsidRDefault="0091553E" w:rsidP="00C4057E">
      <w:pPr>
        <w:spacing w:after="0" w:line="240" w:lineRule="auto"/>
        <w:rPr>
          <w:rFonts w:ascii="Arial" w:hAnsi="Arial" w:cs="Arial"/>
          <w:sz w:val="24"/>
          <w:szCs w:val="24"/>
        </w:rPr>
      </w:pPr>
    </w:p>
    <w:p w14:paraId="66F3E609" w14:textId="77777777" w:rsidR="0091553E" w:rsidRDefault="00C4057E" w:rsidP="0091553E">
      <w:pPr>
        <w:spacing w:after="0" w:line="240" w:lineRule="auto"/>
        <w:ind w:firstLine="720"/>
        <w:rPr>
          <w:rFonts w:ascii="Arial" w:hAnsi="Arial" w:cs="Arial"/>
          <w:sz w:val="24"/>
          <w:szCs w:val="24"/>
        </w:rPr>
      </w:pPr>
      <w:r w:rsidRPr="00C4057E">
        <w:rPr>
          <w:rFonts w:ascii="Arial" w:hAnsi="Arial" w:cs="Arial"/>
          <w:sz w:val="24"/>
          <w:szCs w:val="24"/>
        </w:rPr>
        <w:t xml:space="preserve">The auditors believed that an effective remediation program should prevent circuits from frequently appearing on the WPC list.  Upon a circuit appearing on the WPC list, it may be reasonable to expect it to appear again the next year as there has not been sufficient time to address all issues to remove this circuit from the WPC list.  However, once addressed, this circuit should not </w:t>
      </w:r>
      <w:r w:rsidR="0091553E">
        <w:rPr>
          <w:rFonts w:ascii="Arial" w:hAnsi="Arial" w:cs="Arial"/>
          <w:sz w:val="24"/>
          <w:szCs w:val="24"/>
        </w:rPr>
        <w:t>reappear</w:t>
      </w:r>
      <w:r w:rsidR="0091553E" w:rsidRPr="00C4057E">
        <w:rPr>
          <w:rFonts w:ascii="Arial" w:hAnsi="Arial" w:cs="Arial"/>
          <w:sz w:val="24"/>
          <w:szCs w:val="24"/>
        </w:rPr>
        <w:t xml:space="preserve"> </w:t>
      </w:r>
      <w:r w:rsidRPr="00C4057E">
        <w:rPr>
          <w:rFonts w:ascii="Arial" w:hAnsi="Arial" w:cs="Arial"/>
          <w:sz w:val="24"/>
          <w:szCs w:val="24"/>
        </w:rPr>
        <w:t xml:space="preserve">frequently on the WPC list.  </w:t>
      </w:r>
    </w:p>
    <w:p w14:paraId="35CCDB09" w14:textId="77777777" w:rsidR="0091553E" w:rsidRDefault="0091553E" w:rsidP="0091553E">
      <w:pPr>
        <w:spacing w:after="0" w:line="240" w:lineRule="auto"/>
        <w:ind w:firstLine="720"/>
        <w:rPr>
          <w:rFonts w:ascii="Arial" w:hAnsi="Arial" w:cs="Arial"/>
          <w:sz w:val="24"/>
          <w:szCs w:val="24"/>
        </w:rPr>
      </w:pPr>
    </w:p>
    <w:p w14:paraId="0EFBB41A" w14:textId="77777777" w:rsidR="00C4057E" w:rsidRPr="00C4057E" w:rsidRDefault="00C4057E" w:rsidP="006A2552">
      <w:pPr>
        <w:spacing w:after="0" w:line="240" w:lineRule="auto"/>
        <w:ind w:firstLine="720"/>
        <w:rPr>
          <w:rFonts w:ascii="Arial" w:hAnsi="Arial" w:cs="Arial"/>
          <w:sz w:val="24"/>
          <w:szCs w:val="24"/>
        </w:rPr>
      </w:pPr>
      <w:r w:rsidRPr="00C4057E">
        <w:rPr>
          <w:rFonts w:ascii="Arial" w:hAnsi="Arial" w:cs="Arial"/>
          <w:sz w:val="24"/>
          <w:szCs w:val="24"/>
        </w:rPr>
        <w:t xml:space="preserve">Upon examination of the WPC lists, the auditors noted a total of 57 circuits among the </w:t>
      </w:r>
      <w:r w:rsidR="00DC3D9B">
        <w:rPr>
          <w:rFonts w:ascii="Arial" w:hAnsi="Arial" w:cs="Arial"/>
          <w:sz w:val="24"/>
          <w:szCs w:val="24"/>
        </w:rPr>
        <w:t>FE-PA companies</w:t>
      </w:r>
      <w:r w:rsidRPr="00C4057E">
        <w:rPr>
          <w:rFonts w:ascii="Arial" w:hAnsi="Arial" w:cs="Arial"/>
          <w:sz w:val="24"/>
          <w:szCs w:val="24"/>
        </w:rPr>
        <w:t xml:space="preserve"> were on the WPC list for three or more of the five years for the period 2009 to 2013.  The auditors suggested that the </w:t>
      </w:r>
      <w:r w:rsidR="00DC3D9B">
        <w:rPr>
          <w:rFonts w:ascii="Arial" w:hAnsi="Arial" w:cs="Arial"/>
          <w:sz w:val="24"/>
          <w:szCs w:val="24"/>
        </w:rPr>
        <w:t>companies</w:t>
      </w:r>
      <w:r w:rsidRPr="00C4057E">
        <w:rPr>
          <w:rFonts w:ascii="Arial" w:hAnsi="Arial" w:cs="Arial"/>
          <w:sz w:val="24"/>
          <w:szCs w:val="24"/>
        </w:rPr>
        <w:t xml:space="preserve"> take the appropriate steps to ensure that circuits are not repeatedly appearing on the WPC list by taking corrective action in a timely and complete manner.  </w:t>
      </w:r>
    </w:p>
    <w:p w14:paraId="6938F607" w14:textId="77777777" w:rsidR="00C4057E" w:rsidRPr="00C4057E" w:rsidRDefault="00C4057E" w:rsidP="00C4057E">
      <w:pPr>
        <w:spacing w:after="0" w:line="240" w:lineRule="auto"/>
        <w:rPr>
          <w:rFonts w:ascii="Arial" w:hAnsi="Arial" w:cs="Arial"/>
          <w:sz w:val="24"/>
          <w:szCs w:val="24"/>
        </w:rPr>
      </w:pPr>
    </w:p>
    <w:p w14:paraId="4943474E" w14:textId="77777777" w:rsidR="00C4057E" w:rsidRPr="00C4057E" w:rsidRDefault="00C4057E" w:rsidP="00C4057E">
      <w:pPr>
        <w:spacing w:after="0" w:line="240" w:lineRule="auto"/>
        <w:rPr>
          <w:rFonts w:ascii="Arial" w:hAnsi="Arial" w:cs="Arial"/>
          <w:sz w:val="24"/>
          <w:szCs w:val="24"/>
        </w:rPr>
      </w:pPr>
      <w:bookmarkStart w:id="31" w:name="_Hlk512339216"/>
      <w:r w:rsidRPr="00C4057E">
        <w:rPr>
          <w:rFonts w:ascii="Arial" w:hAnsi="Arial" w:cs="Arial"/>
          <w:b/>
          <w:sz w:val="24"/>
          <w:szCs w:val="24"/>
          <w:u w:val="single"/>
        </w:rPr>
        <w:t xml:space="preserve">Prior Recommendation </w:t>
      </w:r>
      <w:r w:rsidRPr="00C4057E">
        <w:rPr>
          <w:rFonts w:ascii="Arial" w:hAnsi="Arial" w:cs="Arial"/>
          <w:sz w:val="24"/>
          <w:szCs w:val="24"/>
        </w:rPr>
        <w:t>– Develop and implement remedial actions that effectively correct the deficiencies of circuits found on the worst performing circuits list such that the circuits do not re-appear on the list for several years.</w:t>
      </w:r>
    </w:p>
    <w:p w14:paraId="3513503B" w14:textId="77777777" w:rsidR="00C4057E" w:rsidRPr="00C4057E" w:rsidRDefault="00C4057E" w:rsidP="00C4057E">
      <w:pPr>
        <w:spacing w:after="0" w:line="240" w:lineRule="auto"/>
        <w:rPr>
          <w:rFonts w:ascii="Arial" w:hAnsi="Arial" w:cs="Arial"/>
          <w:sz w:val="24"/>
          <w:szCs w:val="24"/>
        </w:rPr>
      </w:pPr>
    </w:p>
    <w:p w14:paraId="40F9B98E" w14:textId="77777777" w:rsidR="00C4057E" w:rsidRPr="00C4057E" w:rsidRDefault="00C4057E" w:rsidP="00C4057E">
      <w:pPr>
        <w:spacing w:after="0" w:line="240" w:lineRule="auto"/>
        <w:rPr>
          <w:rFonts w:ascii="Arial" w:hAnsi="Arial" w:cs="Arial"/>
          <w:b/>
          <w:sz w:val="24"/>
          <w:szCs w:val="24"/>
        </w:rPr>
      </w:pPr>
      <w:r w:rsidRPr="00C4057E">
        <w:rPr>
          <w:rFonts w:ascii="Arial" w:hAnsi="Arial" w:cs="Arial"/>
          <w:b/>
          <w:sz w:val="24"/>
          <w:szCs w:val="24"/>
          <w:u w:val="single"/>
        </w:rPr>
        <w:t>Follow-up Finding and Conclusion</w:t>
      </w:r>
      <w:r w:rsidR="00F65A25" w:rsidRPr="00F65A25">
        <w:rPr>
          <w:rFonts w:ascii="Arial" w:eastAsia="Times New Roman" w:hAnsi="Arial" w:cs="Times New Roman"/>
          <w:b/>
          <w:sz w:val="24"/>
          <w:szCs w:val="24"/>
          <w:u w:val="single"/>
        </w:rPr>
        <w:t xml:space="preserve"> </w:t>
      </w:r>
      <w:r w:rsidR="00F65A25">
        <w:rPr>
          <w:rFonts w:ascii="Arial" w:eastAsia="Times New Roman" w:hAnsi="Arial" w:cs="Times New Roman"/>
          <w:b/>
          <w:sz w:val="24"/>
          <w:szCs w:val="24"/>
          <w:u w:val="single"/>
        </w:rPr>
        <w:t>No. VII</w:t>
      </w:r>
      <w:r w:rsidR="00F65A25" w:rsidRPr="00B146D6">
        <w:rPr>
          <w:rFonts w:ascii="Arial" w:eastAsia="Times New Roman" w:hAnsi="Arial" w:cs="Times New Roman"/>
          <w:b/>
          <w:sz w:val="24"/>
          <w:szCs w:val="24"/>
          <w:u w:val="single"/>
        </w:rPr>
        <w:t>-</w:t>
      </w:r>
      <w:r w:rsidR="00F65A25">
        <w:rPr>
          <w:rFonts w:ascii="Arial" w:eastAsia="Times New Roman" w:hAnsi="Arial" w:cs="Times New Roman"/>
          <w:b/>
          <w:sz w:val="24"/>
          <w:szCs w:val="24"/>
          <w:u w:val="single"/>
        </w:rPr>
        <w:t>4</w:t>
      </w:r>
      <w:r w:rsidR="00F65A25" w:rsidRPr="00F65A25">
        <w:rPr>
          <w:rFonts w:ascii="Arial" w:eastAsia="Times New Roman" w:hAnsi="Arial" w:cs="Times New Roman"/>
          <w:b/>
          <w:sz w:val="24"/>
          <w:szCs w:val="24"/>
        </w:rPr>
        <w:t xml:space="preserve"> </w:t>
      </w:r>
      <w:r w:rsidRPr="00C4057E">
        <w:rPr>
          <w:rFonts w:ascii="Arial" w:hAnsi="Arial" w:cs="Arial"/>
          <w:sz w:val="24"/>
          <w:szCs w:val="24"/>
        </w:rPr>
        <w:t>–</w:t>
      </w:r>
      <w:r w:rsidRPr="00C4057E">
        <w:rPr>
          <w:rFonts w:ascii="Arial" w:hAnsi="Arial" w:cs="Arial"/>
          <w:b/>
          <w:sz w:val="24"/>
          <w:szCs w:val="24"/>
        </w:rPr>
        <w:t xml:space="preserve"> </w:t>
      </w:r>
      <w:bookmarkEnd w:id="31"/>
      <w:r w:rsidRPr="00C4057E">
        <w:rPr>
          <w:rFonts w:ascii="Arial" w:hAnsi="Arial" w:cs="Arial"/>
          <w:b/>
          <w:sz w:val="24"/>
          <w:szCs w:val="24"/>
        </w:rPr>
        <w:t>Several circuits continue to appear on the worst performing circuits list for Met-Ed, Penelec and West Penn Power.</w:t>
      </w:r>
    </w:p>
    <w:p w14:paraId="4750596C" w14:textId="77777777" w:rsidR="00C4057E" w:rsidRPr="00C4057E" w:rsidRDefault="00C4057E" w:rsidP="00C4057E">
      <w:pPr>
        <w:spacing w:after="0" w:line="240" w:lineRule="auto"/>
        <w:rPr>
          <w:rFonts w:ascii="Arial" w:hAnsi="Arial" w:cs="Arial"/>
          <w:b/>
        </w:rPr>
      </w:pPr>
    </w:p>
    <w:p w14:paraId="70836018" w14:textId="77777777" w:rsidR="00C4057E" w:rsidRPr="00C4057E" w:rsidRDefault="00C4057E" w:rsidP="00C4057E">
      <w:pPr>
        <w:spacing w:after="0" w:line="240" w:lineRule="auto"/>
        <w:rPr>
          <w:rFonts w:ascii="Arial" w:hAnsi="Arial" w:cs="Arial"/>
          <w:sz w:val="24"/>
          <w:szCs w:val="24"/>
        </w:rPr>
      </w:pPr>
      <w:r w:rsidRPr="00C4057E">
        <w:rPr>
          <w:rFonts w:ascii="Arial" w:hAnsi="Arial" w:cs="Arial"/>
          <w:b/>
          <w:u w:val="single"/>
        </w:rPr>
        <w:t>Current Review</w:t>
      </w:r>
      <w:r w:rsidRPr="00C4057E">
        <w:rPr>
          <w:rFonts w:ascii="Arial" w:hAnsi="Arial" w:cs="Arial"/>
        </w:rPr>
        <w:t xml:space="preserve"> – </w:t>
      </w:r>
      <w:r w:rsidRPr="00C4057E">
        <w:rPr>
          <w:rFonts w:ascii="Arial" w:hAnsi="Arial" w:cs="Arial"/>
          <w:sz w:val="24"/>
          <w:szCs w:val="24"/>
        </w:rPr>
        <w:t xml:space="preserve">In addition to the auditors’ recommendations regarding WPC improvements, the previously mentioned Order also </w:t>
      </w:r>
      <w:r w:rsidR="006A2552">
        <w:rPr>
          <w:rFonts w:ascii="Arial" w:hAnsi="Arial" w:cs="Arial"/>
          <w:sz w:val="24"/>
          <w:szCs w:val="24"/>
        </w:rPr>
        <w:t>directed</w:t>
      </w:r>
      <w:r w:rsidR="006A2552" w:rsidRPr="00C4057E">
        <w:rPr>
          <w:rFonts w:ascii="Arial" w:hAnsi="Arial" w:cs="Arial"/>
          <w:sz w:val="24"/>
          <w:szCs w:val="24"/>
        </w:rPr>
        <w:t xml:space="preserve"> </w:t>
      </w:r>
      <w:r w:rsidRPr="00C4057E">
        <w:rPr>
          <w:rFonts w:ascii="Arial" w:hAnsi="Arial" w:cs="Arial"/>
          <w:sz w:val="24"/>
          <w:szCs w:val="24"/>
        </w:rPr>
        <w:t xml:space="preserve">additional enhanced reporting of WPC improvements.  As part of this enhanced reporting, the </w:t>
      </w:r>
      <w:r w:rsidR="00DC3D9B">
        <w:rPr>
          <w:rFonts w:ascii="Arial" w:hAnsi="Arial" w:cs="Arial"/>
          <w:sz w:val="24"/>
          <w:szCs w:val="24"/>
        </w:rPr>
        <w:t>FE-PA companies</w:t>
      </w:r>
      <w:r w:rsidRPr="00C4057E">
        <w:rPr>
          <w:rFonts w:ascii="Arial" w:hAnsi="Arial" w:cs="Arial"/>
          <w:sz w:val="24"/>
          <w:szCs w:val="24"/>
        </w:rPr>
        <w:t xml:space="preserve"> provided additional capital and maintenance remediation work details and timelines for the circuits which qualified as WPCs to TUS.  During the MEI, the </w:t>
      </w:r>
      <w:r w:rsidR="00DC3D9B">
        <w:rPr>
          <w:rFonts w:ascii="Arial" w:hAnsi="Arial" w:cs="Arial"/>
          <w:sz w:val="24"/>
          <w:szCs w:val="24"/>
        </w:rPr>
        <w:t>FE-PA companies</w:t>
      </w:r>
      <w:r w:rsidRPr="00C4057E">
        <w:rPr>
          <w:rFonts w:ascii="Arial" w:hAnsi="Arial" w:cs="Arial"/>
          <w:sz w:val="24"/>
          <w:szCs w:val="24"/>
        </w:rPr>
        <w:t xml:space="preserve"> provided the auditors with details on the WPCs that have appeared on the quarterly reliability report for all four quarters of a calendar year.  The WPCs from 2017 which appeared on all four quarterly reliability reports for a calendar year were reviewed along with recent WPC list history.  This is displayed in Exhibit VII-11.  Many of the current WPCs for Met-Ed and Penelec were also discussed in the 2013 management audit; </w:t>
      </w:r>
      <w:r w:rsidR="00FC7859">
        <w:rPr>
          <w:rFonts w:ascii="Arial" w:hAnsi="Arial" w:cs="Arial"/>
          <w:sz w:val="24"/>
          <w:szCs w:val="24"/>
        </w:rPr>
        <w:t>notably</w:t>
      </w:r>
      <w:r w:rsidRPr="00C4057E">
        <w:rPr>
          <w:rFonts w:ascii="Arial" w:hAnsi="Arial" w:cs="Arial"/>
          <w:sz w:val="24"/>
          <w:szCs w:val="24"/>
        </w:rPr>
        <w:t>, the Shawnee Substation Circuit 00895-3 from Met-Ed and the Warren South Substation Circuit 00220-41 from Penelec have annually appeared as a WPC every year from 2009 to 2017.  Of note, Penn Power did not have any circuits that were frequently repeating on the WPC.</w:t>
      </w:r>
    </w:p>
    <w:p w14:paraId="7B0A6D14" w14:textId="77777777" w:rsidR="00C4057E" w:rsidRPr="00C4057E" w:rsidRDefault="00C4057E" w:rsidP="00C4057E">
      <w:pPr>
        <w:spacing w:after="0" w:line="240" w:lineRule="auto"/>
        <w:rPr>
          <w:rFonts w:ascii="Arial" w:hAnsi="Arial" w:cs="Arial"/>
          <w:sz w:val="24"/>
          <w:szCs w:val="24"/>
        </w:rPr>
      </w:pPr>
    </w:p>
    <w:p w14:paraId="5A079BEA" w14:textId="018D8FE4" w:rsidR="00C4057E" w:rsidRPr="00C4057E" w:rsidRDefault="00C4057E" w:rsidP="00C4057E">
      <w:pPr>
        <w:spacing w:line="240" w:lineRule="auto"/>
        <w:ind w:firstLine="720"/>
        <w:rPr>
          <w:rFonts w:ascii="Arial" w:hAnsi="Arial" w:cs="Arial"/>
          <w:sz w:val="24"/>
          <w:szCs w:val="24"/>
        </w:rPr>
      </w:pPr>
      <w:r w:rsidRPr="00C4057E">
        <w:rPr>
          <w:rFonts w:ascii="Arial" w:hAnsi="Arial" w:cs="Arial"/>
          <w:sz w:val="24"/>
          <w:szCs w:val="24"/>
        </w:rPr>
        <w:t xml:space="preserve">The customers on the repeating WPCs are consistently receiving the poorest reliability in the system.  Many reliability </w:t>
      </w:r>
      <w:r w:rsidR="00FC7859">
        <w:rPr>
          <w:rFonts w:ascii="Arial" w:hAnsi="Arial" w:cs="Arial"/>
          <w:sz w:val="24"/>
          <w:szCs w:val="24"/>
        </w:rPr>
        <w:t>measures</w:t>
      </w:r>
      <w:r w:rsidR="00FC7859" w:rsidRPr="00C4057E">
        <w:rPr>
          <w:rFonts w:ascii="Arial" w:hAnsi="Arial" w:cs="Arial"/>
          <w:sz w:val="24"/>
          <w:szCs w:val="24"/>
        </w:rPr>
        <w:t xml:space="preserve"> </w:t>
      </w:r>
      <w:r w:rsidRPr="00C4057E">
        <w:rPr>
          <w:rFonts w:ascii="Arial" w:hAnsi="Arial" w:cs="Arial"/>
          <w:sz w:val="24"/>
          <w:szCs w:val="24"/>
        </w:rPr>
        <w:t xml:space="preserve">have not been met in the past several years, and specifically more recently in 2017.  Problem areas, such as the WPCs </w:t>
      </w:r>
      <w:r w:rsidR="008A75D3">
        <w:rPr>
          <w:rFonts w:ascii="Arial" w:hAnsi="Arial" w:cs="Arial"/>
          <w:sz w:val="24"/>
          <w:szCs w:val="24"/>
        </w:rPr>
        <w:t>could</w:t>
      </w:r>
      <w:r w:rsidR="008A75D3" w:rsidRPr="00C4057E">
        <w:rPr>
          <w:rFonts w:ascii="Arial" w:hAnsi="Arial" w:cs="Arial"/>
          <w:sz w:val="24"/>
          <w:szCs w:val="24"/>
        </w:rPr>
        <w:t xml:space="preserve"> </w:t>
      </w:r>
      <w:r w:rsidRPr="00C4057E">
        <w:rPr>
          <w:rFonts w:ascii="Arial" w:hAnsi="Arial" w:cs="Arial"/>
          <w:sz w:val="24"/>
          <w:szCs w:val="24"/>
        </w:rPr>
        <w:t xml:space="preserve">contribute to higher reliability indices (see Follow-Up Finding and Conclusion No. VII-1).  To eliminate repeating WPCs, the </w:t>
      </w:r>
      <w:r w:rsidR="00DC3D9B">
        <w:rPr>
          <w:rFonts w:ascii="Arial" w:hAnsi="Arial" w:cs="Arial"/>
          <w:sz w:val="24"/>
          <w:szCs w:val="24"/>
        </w:rPr>
        <w:t>FE-PA companies</w:t>
      </w:r>
      <w:r w:rsidRPr="00C4057E">
        <w:rPr>
          <w:rFonts w:ascii="Arial" w:hAnsi="Arial" w:cs="Arial"/>
          <w:sz w:val="24"/>
          <w:szCs w:val="24"/>
        </w:rPr>
        <w:t xml:space="preserve"> should determine and utilize best practices from Penn Power for eliminating WPCs and should additionally continue to provide enhanced planning and reporting to TUS for review and acceptance of plans.</w:t>
      </w:r>
    </w:p>
    <w:p w14:paraId="70F53F64"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Exhibit VII – 11</w:t>
      </w:r>
    </w:p>
    <w:p w14:paraId="0B8DC1F0"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FirstEnergy Pennsylvania Companies</w:t>
      </w:r>
    </w:p>
    <w:p w14:paraId="5855C929"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 xml:space="preserve">Circuits Appearing on the Quarterly Worst Performing Circuit List </w:t>
      </w:r>
    </w:p>
    <w:p w14:paraId="6E1313D7"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for an Entire Year (Appearing All Four Times in a Year)</w:t>
      </w:r>
    </w:p>
    <w:p w14:paraId="6CED1929" w14:textId="77777777" w:rsidR="00C4057E" w:rsidRPr="00C4057E" w:rsidRDefault="00C4057E" w:rsidP="00C4057E">
      <w:pPr>
        <w:spacing w:after="0" w:line="240" w:lineRule="auto"/>
        <w:jc w:val="center"/>
        <w:rPr>
          <w:rFonts w:ascii="Arial" w:hAnsi="Arial" w:cs="Arial"/>
          <w:b/>
          <w:sz w:val="24"/>
          <w:szCs w:val="24"/>
        </w:rPr>
      </w:pPr>
      <w:r w:rsidRPr="00C4057E">
        <w:rPr>
          <w:rFonts w:ascii="Arial" w:hAnsi="Arial" w:cs="Arial"/>
          <w:b/>
          <w:sz w:val="24"/>
          <w:szCs w:val="24"/>
        </w:rPr>
        <w:t>For the Years 2015 through 2017</w:t>
      </w:r>
    </w:p>
    <w:p w14:paraId="5EEB360D" w14:textId="77777777" w:rsidR="00C4057E" w:rsidRPr="00C4057E" w:rsidRDefault="00C4057E" w:rsidP="00C4057E">
      <w:pPr>
        <w:spacing w:after="0" w:line="240" w:lineRule="auto"/>
        <w:rPr>
          <w:rFonts w:ascii="Arial" w:hAnsi="Arial" w:cs="Arial"/>
          <w:sz w:val="8"/>
          <w:szCs w:val="8"/>
        </w:rPr>
      </w:pPr>
    </w:p>
    <w:tbl>
      <w:tblPr>
        <w:tblW w:w="5835"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59"/>
        <w:gridCol w:w="1626"/>
        <w:gridCol w:w="810"/>
        <w:gridCol w:w="720"/>
        <w:gridCol w:w="720"/>
      </w:tblGrid>
      <w:tr w:rsidR="00C4057E" w:rsidRPr="00C4057E" w14:paraId="40F16508" w14:textId="77777777" w:rsidTr="007B0B28">
        <w:trPr>
          <w:trHeight w:val="20"/>
          <w:jc w:val="center"/>
        </w:trPr>
        <w:tc>
          <w:tcPr>
            <w:tcW w:w="3585" w:type="dxa"/>
            <w:gridSpan w:val="2"/>
            <w:tcBorders>
              <w:top w:val="single" w:sz="12" w:space="0" w:color="auto"/>
              <w:bottom w:val="single" w:sz="12" w:space="0" w:color="auto"/>
              <w:right w:val="single" w:sz="12" w:space="0" w:color="auto"/>
            </w:tcBorders>
            <w:shd w:val="clear" w:color="000000" w:fill="C00000"/>
            <w:noWrap/>
            <w:vAlign w:val="bottom"/>
            <w:hideMark/>
          </w:tcPr>
          <w:p w14:paraId="008569D1" w14:textId="77777777" w:rsidR="00C4057E" w:rsidRPr="00C4057E" w:rsidRDefault="00C4057E" w:rsidP="00C4057E">
            <w:pPr>
              <w:spacing w:after="0" w:line="240" w:lineRule="auto"/>
              <w:jc w:val="center"/>
              <w:rPr>
                <w:rFonts w:ascii="Calibri" w:eastAsia="Times New Roman" w:hAnsi="Calibri" w:cs="Calibri"/>
                <w:b/>
                <w:color w:val="FFFFFF"/>
              </w:rPr>
            </w:pPr>
            <w:r w:rsidRPr="00C4057E">
              <w:rPr>
                <w:rFonts w:ascii="Calibri" w:eastAsia="Times New Roman" w:hAnsi="Calibri" w:cs="Calibri"/>
                <w:b/>
                <w:color w:val="FFFFFF"/>
              </w:rPr>
              <w:t>Met-Ed </w:t>
            </w:r>
          </w:p>
        </w:tc>
        <w:tc>
          <w:tcPr>
            <w:tcW w:w="2250" w:type="dxa"/>
            <w:gridSpan w:val="3"/>
            <w:tcBorders>
              <w:top w:val="single" w:sz="12" w:space="0" w:color="auto"/>
              <w:left w:val="single" w:sz="12" w:space="0" w:color="auto"/>
              <w:bottom w:val="single" w:sz="12" w:space="0" w:color="auto"/>
            </w:tcBorders>
            <w:shd w:val="clear" w:color="000000" w:fill="C00000"/>
            <w:noWrap/>
            <w:vAlign w:val="bottom"/>
            <w:hideMark/>
          </w:tcPr>
          <w:p w14:paraId="19392948" w14:textId="77777777" w:rsidR="00C4057E" w:rsidRPr="00C4057E" w:rsidRDefault="00C4057E" w:rsidP="00C4057E">
            <w:pPr>
              <w:spacing w:after="0" w:line="240" w:lineRule="auto"/>
              <w:jc w:val="center"/>
              <w:rPr>
                <w:rFonts w:ascii="Calibri" w:eastAsia="Times New Roman" w:hAnsi="Calibri" w:cs="Calibri"/>
                <w:b/>
                <w:color w:val="FFFFFF"/>
              </w:rPr>
            </w:pPr>
            <w:r w:rsidRPr="00C4057E">
              <w:rPr>
                <w:rFonts w:ascii="Calibri" w:eastAsia="Times New Roman" w:hAnsi="Calibri" w:cs="Calibri"/>
                <w:b/>
                <w:color w:val="FFFFFF"/>
              </w:rPr>
              <w:t>Year</w:t>
            </w:r>
          </w:p>
        </w:tc>
      </w:tr>
      <w:tr w:rsidR="00C4057E" w:rsidRPr="00C4057E" w14:paraId="424C018A" w14:textId="77777777" w:rsidTr="007B0B28">
        <w:trPr>
          <w:trHeight w:val="20"/>
          <w:jc w:val="center"/>
        </w:trPr>
        <w:tc>
          <w:tcPr>
            <w:tcW w:w="1959" w:type="dxa"/>
            <w:tcBorders>
              <w:top w:val="single" w:sz="12" w:space="0" w:color="auto"/>
              <w:bottom w:val="single" w:sz="12" w:space="0" w:color="auto"/>
              <w:right w:val="single" w:sz="12" w:space="0" w:color="auto"/>
            </w:tcBorders>
            <w:shd w:val="clear" w:color="auto" w:fill="C00000"/>
            <w:noWrap/>
            <w:vAlign w:val="bottom"/>
            <w:hideMark/>
          </w:tcPr>
          <w:p w14:paraId="07BDB9E4" w14:textId="77777777" w:rsidR="00C4057E" w:rsidRPr="00C4057E" w:rsidRDefault="00C4057E" w:rsidP="00C4057E">
            <w:pPr>
              <w:spacing w:after="0" w:line="240" w:lineRule="auto"/>
              <w:jc w:val="center"/>
              <w:rPr>
                <w:rFonts w:ascii="Calibri" w:eastAsia="Times New Roman" w:hAnsi="Calibri" w:cs="Calibri"/>
                <w:b/>
                <w:color w:val="FFFFFF" w:themeColor="background1"/>
              </w:rPr>
            </w:pPr>
            <w:r w:rsidRPr="00C4057E">
              <w:rPr>
                <w:rFonts w:ascii="Calibri" w:eastAsia="Times New Roman" w:hAnsi="Calibri" w:cs="Calibri"/>
                <w:b/>
                <w:color w:val="FFFFFF" w:themeColor="background1"/>
              </w:rPr>
              <w:t>Substation</w:t>
            </w:r>
          </w:p>
        </w:tc>
        <w:tc>
          <w:tcPr>
            <w:tcW w:w="1626" w:type="dxa"/>
            <w:tcBorders>
              <w:top w:val="single" w:sz="12" w:space="0" w:color="auto"/>
              <w:left w:val="single" w:sz="12" w:space="0" w:color="auto"/>
              <w:bottom w:val="single" w:sz="12" w:space="0" w:color="auto"/>
              <w:right w:val="single" w:sz="12" w:space="0" w:color="auto"/>
            </w:tcBorders>
            <w:shd w:val="clear" w:color="auto" w:fill="C00000"/>
            <w:noWrap/>
            <w:vAlign w:val="bottom"/>
            <w:hideMark/>
          </w:tcPr>
          <w:p w14:paraId="149110AF" w14:textId="77777777" w:rsidR="00C4057E" w:rsidRPr="00C4057E" w:rsidRDefault="00C4057E" w:rsidP="00C4057E">
            <w:pPr>
              <w:spacing w:after="0" w:line="240" w:lineRule="auto"/>
              <w:jc w:val="center"/>
              <w:rPr>
                <w:rFonts w:ascii="Calibri" w:eastAsia="Times New Roman" w:hAnsi="Calibri" w:cs="Calibri"/>
                <w:b/>
                <w:color w:val="FFFFFF" w:themeColor="background1"/>
              </w:rPr>
            </w:pPr>
            <w:r w:rsidRPr="00C4057E">
              <w:rPr>
                <w:rFonts w:ascii="Calibri" w:eastAsia="Times New Roman" w:hAnsi="Calibri" w:cs="Calibri"/>
                <w:b/>
                <w:color w:val="FFFFFF" w:themeColor="background1"/>
              </w:rPr>
              <w:t>Circuit</w:t>
            </w:r>
          </w:p>
        </w:tc>
        <w:tc>
          <w:tcPr>
            <w:tcW w:w="810" w:type="dxa"/>
            <w:tcBorders>
              <w:top w:val="single" w:sz="12" w:space="0" w:color="auto"/>
              <w:left w:val="single" w:sz="12" w:space="0" w:color="auto"/>
              <w:bottom w:val="single" w:sz="12" w:space="0" w:color="auto"/>
              <w:right w:val="single" w:sz="12" w:space="0" w:color="auto"/>
            </w:tcBorders>
            <w:shd w:val="clear" w:color="auto" w:fill="C00000"/>
            <w:noWrap/>
            <w:vAlign w:val="bottom"/>
            <w:hideMark/>
          </w:tcPr>
          <w:p w14:paraId="1C39CD89" w14:textId="77777777" w:rsidR="00C4057E" w:rsidRPr="00C4057E" w:rsidRDefault="00C4057E" w:rsidP="00C4057E">
            <w:pPr>
              <w:spacing w:after="0" w:line="240" w:lineRule="auto"/>
              <w:jc w:val="center"/>
              <w:rPr>
                <w:rFonts w:ascii="Calibri" w:eastAsia="Times New Roman" w:hAnsi="Calibri" w:cs="Calibri"/>
                <w:b/>
                <w:color w:val="FFFFFF" w:themeColor="background1"/>
              </w:rPr>
            </w:pPr>
            <w:r w:rsidRPr="00C4057E">
              <w:rPr>
                <w:rFonts w:ascii="Calibri" w:eastAsia="Times New Roman" w:hAnsi="Calibri" w:cs="Calibri"/>
                <w:b/>
                <w:color w:val="FFFFFF" w:themeColor="background1"/>
              </w:rPr>
              <w:t>2015</w:t>
            </w:r>
          </w:p>
        </w:tc>
        <w:tc>
          <w:tcPr>
            <w:tcW w:w="720" w:type="dxa"/>
            <w:tcBorders>
              <w:top w:val="single" w:sz="12" w:space="0" w:color="auto"/>
              <w:left w:val="single" w:sz="12" w:space="0" w:color="auto"/>
              <w:bottom w:val="single" w:sz="12" w:space="0" w:color="auto"/>
              <w:right w:val="single" w:sz="12" w:space="0" w:color="auto"/>
            </w:tcBorders>
            <w:shd w:val="clear" w:color="auto" w:fill="C00000"/>
            <w:noWrap/>
            <w:vAlign w:val="bottom"/>
            <w:hideMark/>
          </w:tcPr>
          <w:p w14:paraId="708ED0F1" w14:textId="77777777" w:rsidR="00C4057E" w:rsidRPr="00C4057E" w:rsidRDefault="00C4057E" w:rsidP="00C4057E">
            <w:pPr>
              <w:spacing w:after="0" w:line="240" w:lineRule="auto"/>
              <w:jc w:val="center"/>
              <w:rPr>
                <w:rFonts w:ascii="Calibri" w:eastAsia="Times New Roman" w:hAnsi="Calibri" w:cs="Calibri"/>
                <w:b/>
                <w:color w:val="FFFFFF" w:themeColor="background1"/>
              </w:rPr>
            </w:pPr>
            <w:r w:rsidRPr="00C4057E">
              <w:rPr>
                <w:rFonts w:ascii="Calibri" w:eastAsia="Times New Roman" w:hAnsi="Calibri" w:cs="Calibri"/>
                <w:b/>
                <w:color w:val="FFFFFF" w:themeColor="background1"/>
              </w:rPr>
              <w:t>2016</w:t>
            </w:r>
          </w:p>
        </w:tc>
        <w:tc>
          <w:tcPr>
            <w:tcW w:w="720" w:type="dxa"/>
            <w:tcBorders>
              <w:top w:val="single" w:sz="12" w:space="0" w:color="auto"/>
              <w:left w:val="single" w:sz="12" w:space="0" w:color="auto"/>
              <w:bottom w:val="single" w:sz="12" w:space="0" w:color="auto"/>
            </w:tcBorders>
            <w:shd w:val="clear" w:color="auto" w:fill="C00000"/>
            <w:noWrap/>
            <w:vAlign w:val="bottom"/>
            <w:hideMark/>
          </w:tcPr>
          <w:p w14:paraId="31F29507" w14:textId="77777777" w:rsidR="00C4057E" w:rsidRPr="00C4057E" w:rsidRDefault="00C4057E" w:rsidP="00C4057E">
            <w:pPr>
              <w:spacing w:after="0" w:line="240" w:lineRule="auto"/>
              <w:jc w:val="center"/>
              <w:rPr>
                <w:rFonts w:ascii="Calibri" w:eastAsia="Times New Roman" w:hAnsi="Calibri" w:cs="Calibri"/>
                <w:b/>
                <w:color w:val="FFFFFF" w:themeColor="background1"/>
              </w:rPr>
            </w:pPr>
            <w:r w:rsidRPr="00C4057E">
              <w:rPr>
                <w:rFonts w:ascii="Calibri" w:eastAsia="Times New Roman" w:hAnsi="Calibri" w:cs="Calibri"/>
                <w:b/>
                <w:color w:val="FFFFFF" w:themeColor="background1"/>
              </w:rPr>
              <w:t>2017</w:t>
            </w:r>
          </w:p>
        </w:tc>
      </w:tr>
      <w:tr w:rsidR="00C4057E" w:rsidRPr="00C4057E" w14:paraId="5C2324F8" w14:textId="77777777" w:rsidTr="007B0B28">
        <w:trPr>
          <w:trHeight w:val="20"/>
          <w:jc w:val="center"/>
        </w:trPr>
        <w:tc>
          <w:tcPr>
            <w:tcW w:w="1959" w:type="dxa"/>
            <w:tcBorders>
              <w:top w:val="single" w:sz="12" w:space="0" w:color="auto"/>
              <w:bottom w:val="single" w:sz="12" w:space="0" w:color="auto"/>
              <w:right w:val="single" w:sz="12" w:space="0" w:color="auto"/>
            </w:tcBorders>
            <w:shd w:val="clear" w:color="auto" w:fill="auto"/>
            <w:noWrap/>
            <w:vAlign w:val="bottom"/>
            <w:hideMark/>
          </w:tcPr>
          <w:p w14:paraId="78E3D65C"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South Nazareth</w:t>
            </w:r>
          </w:p>
        </w:tc>
        <w:tc>
          <w:tcPr>
            <w:tcW w:w="162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7A36F59"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00809-3</w:t>
            </w:r>
          </w:p>
        </w:tc>
        <w:tc>
          <w:tcPr>
            <w:tcW w:w="81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3F380C6" w14:textId="77777777" w:rsidR="00C4057E" w:rsidRPr="00C4057E" w:rsidRDefault="00C4057E" w:rsidP="00C4057E">
            <w:pPr>
              <w:spacing w:after="0" w:line="240" w:lineRule="auto"/>
              <w:rPr>
                <w:rFonts w:ascii="Calibri" w:eastAsia="Times New Roman" w:hAnsi="Calibri" w:cs="Calibri"/>
                <w:color w:val="000000"/>
              </w:rPr>
            </w:pPr>
            <w:r w:rsidRPr="00C4057E">
              <w:rPr>
                <w:rFonts w:ascii="Calibri" w:eastAsia="Times New Roman" w:hAnsi="Calibri" w:cs="Calibri"/>
                <w:color w:val="000000"/>
              </w:rPr>
              <w:t> </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FA004CC"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c>
          <w:tcPr>
            <w:tcW w:w="720" w:type="dxa"/>
            <w:tcBorders>
              <w:top w:val="single" w:sz="12" w:space="0" w:color="auto"/>
              <w:left w:val="single" w:sz="12" w:space="0" w:color="auto"/>
              <w:bottom w:val="single" w:sz="12" w:space="0" w:color="auto"/>
            </w:tcBorders>
            <w:shd w:val="clear" w:color="auto" w:fill="auto"/>
            <w:noWrap/>
            <w:vAlign w:val="bottom"/>
            <w:hideMark/>
          </w:tcPr>
          <w:p w14:paraId="58E4C9EB"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r>
      <w:tr w:rsidR="00C4057E" w:rsidRPr="00C4057E" w14:paraId="7651F1F2" w14:textId="77777777" w:rsidTr="007B0B28">
        <w:trPr>
          <w:trHeight w:val="20"/>
          <w:jc w:val="center"/>
        </w:trPr>
        <w:tc>
          <w:tcPr>
            <w:tcW w:w="1959" w:type="dxa"/>
            <w:tcBorders>
              <w:top w:val="single" w:sz="12" w:space="0" w:color="auto"/>
              <w:bottom w:val="single" w:sz="12" w:space="0" w:color="auto"/>
              <w:right w:val="single" w:sz="12" w:space="0" w:color="auto"/>
            </w:tcBorders>
            <w:shd w:val="clear" w:color="auto" w:fill="auto"/>
            <w:noWrap/>
            <w:vAlign w:val="bottom"/>
            <w:hideMark/>
          </w:tcPr>
          <w:p w14:paraId="4B4E2DD0"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Bath</w:t>
            </w:r>
          </w:p>
        </w:tc>
        <w:tc>
          <w:tcPr>
            <w:tcW w:w="162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14057BC"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00873-3</w:t>
            </w:r>
          </w:p>
        </w:tc>
        <w:tc>
          <w:tcPr>
            <w:tcW w:w="81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C729299" w14:textId="77777777" w:rsidR="00C4057E" w:rsidRPr="00C4057E" w:rsidRDefault="00C4057E" w:rsidP="00C4057E">
            <w:pPr>
              <w:spacing w:after="0" w:line="240" w:lineRule="auto"/>
              <w:rPr>
                <w:rFonts w:ascii="Calibri" w:eastAsia="Times New Roman" w:hAnsi="Calibri" w:cs="Calibri"/>
                <w:color w:val="000000"/>
              </w:rPr>
            </w:pPr>
            <w:r w:rsidRPr="00C4057E">
              <w:rPr>
                <w:rFonts w:ascii="Calibri" w:eastAsia="Times New Roman" w:hAnsi="Calibri" w:cs="Calibri"/>
                <w:color w:val="000000"/>
              </w:rPr>
              <w:t> </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26EE67B"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c>
          <w:tcPr>
            <w:tcW w:w="720" w:type="dxa"/>
            <w:tcBorders>
              <w:top w:val="single" w:sz="12" w:space="0" w:color="auto"/>
              <w:left w:val="single" w:sz="12" w:space="0" w:color="auto"/>
              <w:bottom w:val="single" w:sz="12" w:space="0" w:color="auto"/>
            </w:tcBorders>
            <w:shd w:val="clear" w:color="auto" w:fill="auto"/>
            <w:noWrap/>
            <w:vAlign w:val="bottom"/>
            <w:hideMark/>
          </w:tcPr>
          <w:p w14:paraId="738CA990"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r>
      <w:tr w:rsidR="00C4057E" w:rsidRPr="00C4057E" w14:paraId="3A54F94D" w14:textId="77777777" w:rsidTr="007B0B28">
        <w:trPr>
          <w:trHeight w:val="20"/>
          <w:jc w:val="center"/>
        </w:trPr>
        <w:tc>
          <w:tcPr>
            <w:tcW w:w="1959" w:type="dxa"/>
            <w:tcBorders>
              <w:top w:val="single" w:sz="12" w:space="0" w:color="auto"/>
              <w:bottom w:val="single" w:sz="12" w:space="0" w:color="auto"/>
              <w:right w:val="single" w:sz="12" w:space="0" w:color="auto"/>
            </w:tcBorders>
            <w:shd w:val="clear" w:color="auto" w:fill="auto"/>
            <w:noWrap/>
            <w:vAlign w:val="bottom"/>
            <w:hideMark/>
          </w:tcPr>
          <w:p w14:paraId="40BBD2C4"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Mountain</w:t>
            </w:r>
          </w:p>
        </w:tc>
        <w:tc>
          <w:tcPr>
            <w:tcW w:w="162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0917ACE"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00744-4</w:t>
            </w:r>
          </w:p>
        </w:tc>
        <w:tc>
          <w:tcPr>
            <w:tcW w:w="81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820DCE4"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FC70F8A" w14:textId="77777777" w:rsidR="00C4057E" w:rsidRPr="00C4057E" w:rsidRDefault="00C4057E" w:rsidP="00C4057E">
            <w:pPr>
              <w:spacing w:after="0" w:line="240" w:lineRule="auto"/>
              <w:rPr>
                <w:rFonts w:ascii="Calibri" w:eastAsia="Times New Roman" w:hAnsi="Calibri" w:cs="Calibri"/>
                <w:color w:val="000000"/>
              </w:rPr>
            </w:pPr>
            <w:r w:rsidRPr="00C4057E">
              <w:rPr>
                <w:rFonts w:ascii="Calibri" w:eastAsia="Times New Roman" w:hAnsi="Calibri" w:cs="Calibri"/>
                <w:color w:val="000000"/>
              </w:rPr>
              <w:t> </w:t>
            </w:r>
          </w:p>
        </w:tc>
        <w:tc>
          <w:tcPr>
            <w:tcW w:w="720" w:type="dxa"/>
            <w:tcBorders>
              <w:top w:val="single" w:sz="12" w:space="0" w:color="auto"/>
              <w:left w:val="single" w:sz="12" w:space="0" w:color="auto"/>
              <w:bottom w:val="single" w:sz="12" w:space="0" w:color="auto"/>
            </w:tcBorders>
            <w:shd w:val="clear" w:color="auto" w:fill="auto"/>
            <w:noWrap/>
            <w:vAlign w:val="bottom"/>
            <w:hideMark/>
          </w:tcPr>
          <w:p w14:paraId="22ABF7FA"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r>
      <w:tr w:rsidR="00C4057E" w:rsidRPr="00C4057E" w14:paraId="678B95E8" w14:textId="77777777" w:rsidTr="007B0B28">
        <w:trPr>
          <w:trHeight w:val="20"/>
          <w:jc w:val="center"/>
        </w:trPr>
        <w:tc>
          <w:tcPr>
            <w:tcW w:w="1959" w:type="dxa"/>
            <w:tcBorders>
              <w:top w:val="single" w:sz="12" w:space="0" w:color="auto"/>
              <w:bottom w:val="single" w:sz="12" w:space="0" w:color="auto"/>
              <w:right w:val="single" w:sz="12" w:space="0" w:color="auto"/>
            </w:tcBorders>
            <w:shd w:val="clear" w:color="auto" w:fill="auto"/>
            <w:noWrap/>
            <w:vAlign w:val="bottom"/>
            <w:hideMark/>
          </w:tcPr>
          <w:p w14:paraId="68ECE3C0"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Birdsboro</w:t>
            </w:r>
          </w:p>
        </w:tc>
        <w:tc>
          <w:tcPr>
            <w:tcW w:w="162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2EA225A"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00757-1</w:t>
            </w:r>
          </w:p>
        </w:tc>
        <w:tc>
          <w:tcPr>
            <w:tcW w:w="81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B34BC39"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125B544" w14:textId="77777777" w:rsidR="00C4057E" w:rsidRPr="00C4057E" w:rsidRDefault="00C4057E" w:rsidP="00C4057E">
            <w:pPr>
              <w:spacing w:after="0" w:line="240" w:lineRule="auto"/>
              <w:rPr>
                <w:rFonts w:ascii="Calibri" w:eastAsia="Times New Roman" w:hAnsi="Calibri" w:cs="Calibri"/>
                <w:color w:val="000000"/>
              </w:rPr>
            </w:pPr>
            <w:r w:rsidRPr="00C4057E">
              <w:rPr>
                <w:rFonts w:ascii="Calibri" w:eastAsia="Times New Roman" w:hAnsi="Calibri" w:cs="Calibri"/>
                <w:color w:val="000000"/>
              </w:rPr>
              <w:t> </w:t>
            </w:r>
          </w:p>
        </w:tc>
        <w:tc>
          <w:tcPr>
            <w:tcW w:w="720" w:type="dxa"/>
            <w:tcBorders>
              <w:top w:val="single" w:sz="12" w:space="0" w:color="auto"/>
              <w:left w:val="single" w:sz="12" w:space="0" w:color="auto"/>
              <w:bottom w:val="single" w:sz="12" w:space="0" w:color="auto"/>
            </w:tcBorders>
            <w:shd w:val="clear" w:color="auto" w:fill="auto"/>
            <w:noWrap/>
            <w:vAlign w:val="bottom"/>
            <w:hideMark/>
          </w:tcPr>
          <w:p w14:paraId="5EA7D462"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r>
      <w:tr w:rsidR="00C4057E" w:rsidRPr="00C4057E" w14:paraId="0DD61A25" w14:textId="77777777" w:rsidTr="007B0B28">
        <w:trPr>
          <w:trHeight w:val="20"/>
          <w:jc w:val="center"/>
        </w:trPr>
        <w:tc>
          <w:tcPr>
            <w:tcW w:w="1959" w:type="dxa"/>
            <w:tcBorders>
              <w:top w:val="single" w:sz="12" w:space="0" w:color="auto"/>
              <w:bottom w:val="single" w:sz="12" w:space="0" w:color="auto"/>
              <w:right w:val="single" w:sz="12" w:space="0" w:color="auto"/>
            </w:tcBorders>
            <w:shd w:val="clear" w:color="auto" w:fill="auto"/>
            <w:noWrap/>
            <w:vAlign w:val="bottom"/>
            <w:hideMark/>
          </w:tcPr>
          <w:p w14:paraId="7102CB1B"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Birchwood</w:t>
            </w:r>
          </w:p>
        </w:tc>
        <w:tc>
          <w:tcPr>
            <w:tcW w:w="162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336C53F"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00624-3</w:t>
            </w:r>
          </w:p>
        </w:tc>
        <w:tc>
          <w:tcPr>
            <w:tcW w:w="81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739ADDF" w14:textId="77777777" w:rsidR="00C4057E" w:rsidRPr="00C4057E" w:rsidRDefault="00C4057E" w:rsidP="00C4057E">
            <w:pPr>
              <w:spacing w:after="0" w:line="240" w:lineRule="auto"/>
              <w:rPr>
                <w:rFonts w:ascii="Calibri" w:eastAsia="Times New Roman" w:hAnsi="Calibri" w:cs="Calibri"/>
                <w:color w:val="000000"/>
              </w:rPr>
            </w:pPr>
            <w:r w:rsidRPr="00C4057E">
              <w:rPr>
                <w:rFonts w:ascii="Calibri" w:eastAsia="Times New Roman" w:hAnsi="Calibri" w:cs="Calibri"/>
                <w:color w:val="000000"/>
              </w:rPr>
              <w:t> </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AD00F64"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c>
          <w:tcPr>
            <w:tcW w:w="720" w:type="dxa"/>
            <w:tcBorders>
              <w:top w:val="single" w:sz="12" w:space="0" w:color="auto"/>
              <w:left w:val="single" w:sz="12" w:space="0" w:color="auto"/>
              <w:bottom w:val="single" w:sz="12" w:space="0" w:color="auto"/>
            </w:tcBorders>
            <w:shd w:val="clear" w:color="auto" w:fill="auto"/>
            <w:noWrap/>
            <w:vAlign w:val="bottom"/>
            <w:hideMark/>
          </w:tcPr>
          <w:p w14:paraId="5AEB3ED3"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r>
      <w:tr w:rsidR="00C4057E" w:rsidRPr="00C4057E" w14:paraId="5B24A56F" w14:textId="77777777" w:rsidTr="007B0B28">
        <w:trPr>
          <w:trHeight w:val="20"/>
          <w:jc w:val="center"/>
        </w:trPr>
        <w:tc>
          <w:tcPr>
            <w:tcW w:w="1959" w:type="dxa"/>
            <w:tcBorders>
              <w:top w:val="single" w:sz="12" w:space="0" w:color="auto"/>
              <w:bottom w:val="single" w:sz="12" w:space="0" w:color="auto"/>
              <w:right w:val="single" w:sz="12" w:space="0" w:color="auto"/>
            </w:tcBorders>
            <w:shd w:val="clear" w:color="auto" w:fill="auto"/>
            <w:noWrap/>
            <w:vAlign w:val="bottom"/>
            <w:hideMark/>
          </w:tcPr>
          <w:p w14:paraId="69B5A9B9"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Swatara Hill</w:t>
            </w:r>
          </w:p>
        </w:tc>
        <w:tc>
          <w:tcPr>
            <w:tcW w:w="162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93D0574"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00764-2</w:t>
            </w:r>
          </w:p>
        </w:tc>
        <w:tc>
          <w:tcPr>
            <w:tcW w:w="81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5073EE2"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20434CC" w14:textId="77777777" w:rsidR="00C4057E" w:rsidRPr="00C4057E" w:rsidRDefault="00C4057E" w:rsidP="00C4057E">
            <w:pPr>
              <w:spacing w:after="0" w:line="240" w:lineRule="auto"/>
              <w:rPr>
                <w:rFonts w:ascii="Calibri" w:eastAsia="Times New Roman" w:hAnsi="Calibri" w:cs="Calibri"/>
                <w:color w:val="000000"/>
              </w:rPr>
            </w:pPr>
            <w:r w:rsidRPr="00C4057E">
              <w:rPr>
                <w:rFonts w:ascii="Calibri" w:eastAsia="Times New Roman" w:hAnsi="Calibri" w:cs="Calibri"/>
                <w:color w:val="000000"/>
              </w:rPr>
              <w:t> </w:t>
            </w:r>
          </w:p>
        </w:tc>
        <w:tc>
          <w:tcPr>
            <w:tcW w:w="720" w:type="dxa"/>
            <w:tcBorders>
              <w:top w:val="single" w:sz="12" w:space="0" w:color="auto"/>
              <w:left w:val="single" w:sz="12" w:space="0" w:color="auto"/>
              <w:bottom w:val="single" w:sz="12" w:space="0" w:color="auto"/>
            </w:tcBorders>
            <w:shd w:val="clear" w:color="auto" w:fill="auto"/>
            <w:noWrap/>
            <w:vAlign w:val="bottom"/>
            <w:hideMark/>
          </w:tcPr>
          <w:p w14:paraId="266A6801"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r>
      <w:tr w:rsidR="00C4057E" w:rsidRPr="00C4057E" w14:paraId="527C8DA8" w14:textId="77777777" w:rsidTr="007B0B28">
        <w:trPr>
          <w:trHeight w:val="20"/>
          <w:jc w:val="center"/>
        </w:trPr>
        <w:tc>
          <w:tcPr>
            <w:tcW w:w="1959" w:type="dxa"/>
            <w:tcBorders>
              <w:top w:val="single" w:sz="12" w:space="0" w:color="auto"/>
              <w:bottom w:val="single" w:sz="12" w:space="0" w:color="auto"/>
              <w:right w:val="single" w:sz="12" w:space="0" w:color="auto"/>
            </w:tcBorders>
            <w:shd w:val="clear" w:color="auto" w:fill="auto"/>
            <w:noWrap/>
            <w:vAlign w:val="bottom"/>
            <w:hideMark/>
          </w:tcPr>
          <w:p w14:paraId="27EB8092"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Shawnee</w:t>
            </w:r>
          </w:p>
        </w:tc>
        <w:tc>
          <w:tcPr>
            <w:tcW w:w="162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0B03470"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00895-3</w:t>
            </w:r>
          </w:p>
        </w:tc>
        <w:tc>
          <w:tcPr>
            <w:tcW w:w="81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2D86688"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2E251F0"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c>
          <w:tcPr>
            <w:tcW w:w="720" w:type="dxa"/>
            <w:tcBorders>
              <w:top w:val="single" w:sz="12" w:space="0" w:color="auto"/>
              <w:left w:val="single" w:sz="12" w:space="0" w:color="auto"/>
              <w:bottom w:val="single" w:sz="12" w:space="0" w:color="auto"/>
            </w:tcBorders>
            <w:shd w:val="clear" w:color="auto" w:fill="auto"/>
            <w:noWrap/>
            <w:vAlign w:val="bottom"/>
            <w:hideMark/>
          </w:tcPr>
          <w:p w14:paraId="4F6E388E"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r>
      <w:tr w:rsidR="00C4057E" w:rsidRPr="00C4057E" w14:paraId="1E271D99" w14:textId="77777777" w:rsidTr="007B0B28">
        <w:trPr>
          <w:trHeight w:val="20"/>
          <w:jc w:val="center"/>
        </w:trPr>
        <w:tc>
          <w:tcPr>
            <w:tcW w:w="1959" w:type="dxa"/>
            <w:tcBorders>
              <w:top w:val="single" w:sz="12" w:space="0" w:color="auto"/>
              <w:bottom w:val="single" w:sz="12" w:space="0" w:color="auto"/>
            </w:tcBorders>
            <w:shd w:val="clear" w:color="auto" w:fill="auto"/>
            <w:noWrap/>
            <w:vAlign w:val="bottom"/>
            <w:hideMark/>
          </w:tcPr>
          <w:p w14:paraId="0F53395B" w14:textId="77777777" w:rsidR="00C4057E" w:rsidRPr="00C4057E" w:rsidRDefault="00C4057E" w:rsidP="00C4057E">
            <w:pPr>
              <w:spacing w:after="0" w:line="240" w:lineRule="auto"/>
              <w:jc w:val="center"/>
              <w:rPr>
                <w:rFonts w:ascii="Calibri" w:eastAsia="Times New Roman" w:hAnsi="Calibri" w:cs="Calibri"/>
                <w:color w:val="000000"/>
                <w:sz w:val="8"/>
                <w:szCs w:val="8"/>
              </w:rPr>
            </w:pPr>
            <w:r w:rsidRPr="00C4057E">
              <w:rPr>
                <w:rFonts w:ascii="Calibri" w:eastAsia="Times New Roman" w:hAnsi="Calibri" w:cs="Calibri"/>
                <w:color w:val="000000"/>
                <w:sz w:val="8"/>
                <w:szCs w:val="8"/>
              </w:rPr>
              <w:t> </w:t>
            </w:r>
          </w:p>
        </w:tc>
        <w:tc>
          <w:tcPr>
            <w:tcW w:w="1626" w:type="dxa"/>
            <w:tcBorders>
              <w:top w:val="single" w:sz="12" w:space="0" w:color="auto"/>
              <w:bottom w:val="single" w:sz="12" w:space="0" w:color="auto"/>
              <w:right w:val="single" w:sz="12" w:space="0" w:color="auto"/>
            </w:tcBorders>
            <w:shd w:val="clear" w:color="auto" w:fill="auto"/>
            <w:noWrap/>
            <w:vAlign w:val="bottom"/>
            <w:hideMark/>
          </w:tcPr>
          <w:p w14:paraId="06CC0AF0" w14:textId="77777777" w:rsidR="00C4057E" w:rsidRPr="00C4057E" w:rsidRDefault="00C4057E" w:rsidP="00C4057E">
            <w:pPr>
              <w:spacing w:after="0" w:line="240" w:lineRule="auto"/>
              <w:jc w:val="center"/>
              <w:rPr>
                <w:rFonts w:ascii="Calibri" w:eastAsia="Times New Roman" w:hAnsi="Calibri" w:cs="Calibri"/>
                <w:color w:val="000000"/>
                <w:sz w:val="8"/>
                <w:szCs w:val="8"/>
              </w:rPr>
            </w:pPr>
          </w:p>
        </w:tc>
        <w:tc>
          <w:tcPr>
            <w:tcW w:w="810" w:type="dxa"/>
            <w:tcBorders>
              <w:top w:val="single" w:sz="12" w:space="0" w:color="auto"/>
              <w:left w:val="single" w:sz="12" w:space="0" w:color="auto"/>
              <w:bottom w:val="single" w:sz="12" w:space="0" w:color="auto"/>
            </w:tcBorders>
            <w:shd w:val="clear" w:color="auto" w:fill="auto"/>
            <w:noWrap/>
            <w:vAlign w:val="bottom"/>
            <w:hideMark/>
          </w:tcPr>
          <w:p w14:paraId="5CCC5979" w14:textId="77777777" w:rsidR="00C4057E" w:rsidRPr="00C4057E" w:rsidRDefault="00C4057E" w:rsidP="00C4057E">
            <w:pPr>
              <w:spacing w:after="0" w:line="240" w:lineRule="auto"/>
              <w:jc w:val="center"/>
              <w:rPr>
                <w:rFonts w:ascii="Times New Roman" w:eastAsia="Times New Roman" w:hAnsi="Times New Roman" w:cs="Times New Roman"/>
                <w:sz w:val="8"/>
                <w:szCs w:val="8"/>
              </w:rPr>
            </w:pPr>
          </w:p>
        </w:tc>
        <w:tc>
          <w:tcPr>
            <w:tcW w:w="720" w:type="dxa"/>
            <w:tcBorders>
              <w:top w:val="single" w:sz="12" w:space="0" w:color="auto"/>
              <w:bottom w:val="single" w:sz="12" w:space="0" w:color="auto"/>
            </w:tcBorders>
            <w:shd w:val="clear" w:color="auto" w:fill="auto"/>
            <w:noWrap/>
            <w:vAlign w:val="bottom"/>
            <w:hideMark/>
          </w:tcPr>
          <w:p w14:paraId="26917151" w14:textId="77777777" w:rsidR="00C4057E" w:rsidRPr="00C4057E" w:rsidRDefault="00C4057E" w:rsidP="00C4057E">
            <w:pPr>
              <w:spacing w:after="0" w:line="240" w:lineRule="auto"/>
              <w:jc w:val="center"/>
              <w:rPr>
                <w:rFonts w:ascii="Times New Roman" w:eastAsia="Times New Roman" w:hAnsi="Times New Roman" w:cs="Times New Roman"/>
                <w:sz w:val="8"/>
                <w:szCs w:val="8"/>
              </w:rPr>
            </w:pPr>
          </w:p>
        </w:tc>
        <w:tc>
          <w:tcPr>
            <w:tcW w:w="720" w:type="dxa"/>
            <w:tcBorders>
              <w:top w:val="single" w:sz="12" w:space="0" w:color="auto"/>
              <w:bottom w:val="single" w:sz="12" w:space="0" w:color="auto"/>
            </w:tcBorders>
            <w:shd w:val="clear" w:color="auto" w:fill="auto"/>
            <w:noWrap/>
            <w:vAlign w:val="bottom"/>
            <w:hideMark/>
          </w:tcPr>
          <w:p w14:paraId="34B4FBA8" w14:textId="77777777" w:rsidR="00C4057E" w:rsidRPr="00C4057E" w:rsidRDefault="00C4057E" w:rsidP="00C4057E">
            <w:pPr>
              <w:spacing w:after="0" w:line="240" w:lineRule="auto"/>
              <w:jc w:val="center"/>
              <w:rPr>
                <w:rFonts w:ascii="Wingdings" w:eastAsia="Times New Roman" w:hAnsi="Wingdings" w:cs="Calibri"/>
                <w:color w:val="000000"/>
                <w:sz w:val="8"/>
                <w:szCs w:val="8"/>
              </w:rPr>
            </w:pPr>
            <w:r w:rsidRPr="00C4057E">
              <w:rPr>
                <w:rFonts w:ascii="Wingdings" w:eastAsia="Times New Roman" w:hAnsi="Times New Roman" w:cs="Calibri"/>
                <w:color w:val="000000"/>
                <w:sz w:val="8"/>
                <w:szCs w:val="8"/>
              </w:rPr>
              <w:t></w:t>
            </w:r>
          </w:p>
        </w:tc>
      </w:tr>
      <w:tr w:rsidR="00C4057E" w:rsidRPr="00C4057E" w14:paraId="3D3EFF43" w14:textId="77777777" w:rsidTr="007B0B28">
        <w:trPr>
          <w:trHeight w:val="20"/>
          <w:jc w:val="center"/>
        </w:trPr>
        <w:tc>
          <w:tcPr>
            <w:tcW w:w="3585" w:type="dxa"/>
            <w:gridSpan w:val="2"/>
            <w:tcBorders>
              <w:top w:val="single" w:sz="12" w:space="0" w:color="auto"/>
              <w:bottom w:val="single" w:sz="12" w:space="0" w:color="auto"/>
              <w:right w:val="single" w:sz="12" w:space="0" w:color="auto"/>
            </w:tcBorders>
            <w:shd w:val="clear" w:color="000000" w:fill="C00000"/>
            <w:noWrap/>
            <w:vAlign w:val="bottom"/>
            <w:hideMark/>
          </w:tcPr>
          <w:p w14:paraId="5DA72795" w14:textId="77777777" w:rsidR="00C4057E" w:rsidRPr="00C4057E" w:rsidRDefault="00C4057E" w:rsidP="00C4057E">
            <w:pPr>
              <w:spacing w:after="0" w:line="240" w:lineRule="auto"/>
              <w:jc w:val="center"/>
              <w:rPr>
                <w:rFonts w:ascii="Calibri" w:eastAsia="Times New Roman" w:hAnsi="Calibri" w:cs="Calibri"/>
                <w:b/>
                <w:color w:val="FFFFFF"/>
              </w:rPr>
            </w:pPr>
            <w:r w:rsidRPr="00C4057E">
              <w:rPr>
                <w:rFonts w:ascii="Calibri" w:eastAsia="Times New Roman" w:hAnsi="Calibri" w:cs="Calibri"/>
                <w:b/>
                <w:color w:val="FFFFFF"/>
              </w:rPr>
              <w:t>Penelec </w:t>
            </w:r>
          </w:p>
        </w:tc>
        <w:tc>
          <w:tcPr>
            <w:tcW w:w="2250" w:type="dxa"/>
            <w:gridSpan w:val="3"/>
            <w:tcBorders>
              <w:top w:val="single" w:sz="12" w:space="0" w:color="auto"/>
              <w:left w:val="single" w:sz="12" w:space="0" w:color="auto"/>
              <w:bottom w:val="single" w:sz="12" w:space="0" w:color="auto"/>
            </w:tcBorders>
            <w:shd w:val="clear" w:color="000000" w:fill="C00000"/>
            <w:noWrap/>
            <w:vAlign w:val="bottom"/>
            <w:hideMark/>
          </w:tcPr>
          <w:p w14:paraId="70A67763" w14:textId="77777777" w:rsidR="00C4057E" w:rsidRPr="00C4057E" w:rsidRDefault="00C4057E" w:rsidP="00C4057E">
            <w:pPr>
              <w:spacing w:after="0" w:line="240" w:lineRule="auto"/>
              <w:jc w:val="center"/>
              <w:rPr>
                <w:rFonts w:ascii="Calibri" w:eastAsia="Times New Roman" w:hAnsi="Calibri" w:cs="Calibri"/>
                <w:b/>
                <w:color w:val="FFFFFF"/>
              </w:rPr>
            </w:pPr>
            <w:r w:rsidRPr="00C4057E">
              <w:rPr>
                <w:rFonts w:ascii="Calibri" w:eastAsia="Times New Roman" w:hAnsi="Calibri" w:cs="Calibri"/>
                <w:b/>
                <w:color w:val="FFFFFF"/>
              </w:rPr>
              <w:t>Year</w:t>
            </w:r>
          </w:p>
        </w:tc>
      </w:tr>
      <w:tr w:rsidR="00C4057E" w:rsidRPr="00C4057E" w14:paraId="2BE64088" w14:textId="77777777" w:rsidTr="007B0B28">
        <w:trPr>
          <w:trHeight w:val="20"/>
          <w:jc w:val="center"/>
        </w:trPr>
        <w:tc>
          <w:tcPr>
            <w:tcW w:w="1959" w:type="dxa"/>
            <w:tcBorders>
              <w:top w:val="single" w:sz="12" w:space="0" w:color="auto"/>
              <w:bottom w:val="single" w:sz="12" w:space="0" w:color="auto"/>
              <w:right w:val="single" w:sz="12" w:space="0" w:color="auto"/>
            </w:tcBorders>
            <w:shd w:val="clear" w:color="auto" w:fill="C00000"/>
            <w:noWrap/>
            <w:vAlign w:val="bottom"/>
            <w:hideMark/>
          </w:tcPr>
          <w:p w14:paraId="34D36F34" w14:textId="77777777" w:rsidR="00C4057E" w:rsidRPr="00C4057E" w:rsidRDefault="00C4057E" w:rsidP="00C4057E">
            <w:pPr>
              <w:spacing w:after="0" w:line="240" w:lineRule="auto"/>
              <w:jc w:val="center"/>
              <w:rPr>
                <w:rFonts w:ascii="Calibri" w:eastAsia="Times New Roman" w:hAnsi="Calibri" w:cs="Calibri"/>
                <w:b/>
                <w:color w:val="FFFFFF" w:themeColor="background1"/>
              </w:rPr>
            </w:pPr>
            <w:r w:rsidRPr="00C4057E">
              <w:rPr>
                <w:rFonts w:ascii="Calibri" w:eastAsia="Times New Roman" w:hAnsi="Calibri" w:cs="Calibri"/>
                <w:b/>
                <w:color w:val="FFFFFF" w:themeColor="background1"/>
              </w:rPr>
              <w:t>Substation</w:t>
            </w:r>
          </w:p>
        </w:tc>
        <w:tc>
          <w:tcPr>
            <w:tcW w:w="1626" w:type="dxa"/>
            <w:tcBorders>
              <w:top w:val="single" w:sz="12" w:space="0" w:color="auto"/>
              <w:left w:val="single" w:sz="12" w:space="0" w:color="auto"/>
              <w:bottom w:val="single" w:sz="12" w:space="0" w:color="auto"/>
              <w:right w:val="single" w:sz="12" w:space="0" w:color="auto"/>
            </w:tcBorders>
            <w:shd w:val="clear" w:color="auto" w:fill="C00000"/>
            <w:noWrap/>
            <w:vAlign w:val="bottom"/>
            <w:hideMark/>
          </w:tcPr>
          <w:p w14:paraId="2E5DEAC5" w14:textId="77777777" w:rsidR="00C4057E" w:rsidRPr="00C4057E" w:rsidRDefault="00C4057E" w:rsidP="00C4057E">
            <w:pPr>
              <w:spacing w:after="0" w:line="240" w:lineRule="auto"/>
              <w:jc w:val="center"/>
              <w:rPr>
                <w:rFonts w:ascii="Calibri" w:eastAsia="Times New Roman" w:hAnsi="Calibri" w:cs="Calibri"/>
                <w:b/>
                <w:color w:val="FFFFFF" w:themeColor="background1"/>
              </w:rPr>
            </w:pPr>
            <w:r w:rsidRPr="00C4057E">
              <w:rPr>
                <w:rFonts w:ascii="Calibri" w:eastAsia="Times New Roman" w:hAnsi="Calibri" w:cs="Calibri"/>
                <w:b/>
                <w:color w:val="FFFFFF" w:themeColor="background1"/>
              </w:rPr>
              <w:t>Circuit</w:t>
            </w:r>
          </w:p>
        </w:tc>
        <w:tc>
          <w:tcPr>
            <w:tcW w:w="810" w:type="dxa"/>
            <w:tcBorders>
              <w:top w:val="single" w:sz="12" w:space="0" w:color="auto"/>
              <w:left w:val="single" w:sz="12" w:space="0" w:color="auto"/>
              <w:bottom w:val="single" w:sz="12" w:space="0" w:color="auto"/>
              <w:right w:val="single" w:sz="12" w:space="0" w:color="auto"/>
            </w:tcBorders>
            <w:shd w:val="clear" w:color="auto" w:fill="C00000"/>
            <w:noWrap/>
            <w:vAlign w:val="bottom"/>
            <w:hideMark/>
          </w:tcPr>
          <w:p w14:paraId="640448FA" w14:textId="77777777" w:rsidR="00C4057E" w:rsidRPr="00C4057E" w:rsidRDefault="00C4057E" w:rsidP="00C4057E">
            <w:pPr>
              <w:spacing w:after="0" w:line="240" w:lineRule="auto"/>
              <w:jc w:val="center"/>
              <w:rPr>
                <w:rFonts w:ascii="Calibri" w:eastAsia="Times New Roman" w:hAnsi="Calibri" w:cs="Calibri"/>
                <w:b/>
                <w:color w:val="FFFFFF" w:themeColor="background1"/>
              </w:rPr>
            </w:pPr>
            <w:r w:rsidRPr="00C4057E">
              <w:rPr>
                <w:rFonts w:ascii="Calibri" w:eastAsia="Times New Roman" w:hAnsi="Calibri" w:cs="Calibri"/>
                <w:b/>
                <w:color w:val="FFFFFF" w:themeColor="background1"/>
              </w:rPr>
              <w:t>2015</w:t>
            </w:r>
          </w:p>
        </w:tc>
        <w:tc>
          <w:tcPr>
            <w:tcW w:w="720" w:type="dxa"/>
            <w:tcBorders>
              <w:top w:val="single" w:sz="12" w:space="0" w:color="auto"/>
              <w:left w:val="single" w:sz="12" w:space="0" w:color="auto"/>
              <w:bottom w:val="single" w:sz="12" w:space="0" w:color="auto"/>
              <w:right w:val="single" w:sz="12" w:space="0" w:color="auto"/>
            </w:tcBorders>
            <w:shd w:val="clear" w:color="auto" w:fill="C00000"/>
            <w:noWrap/>
            <w:vAlign w:val="bottom"/>
            <w:hideMark/>
          </w:tcPr>
          <w:p w14:paraId="13708E9E" w14:textId="77777777" w:rsidR="00C4057E" w:rsidRPr="00C4057E" w:rsidRDefault="00C4057E" w:rsidP="00C4057E">
            <w:pPr>
              <w:spacing w:after="0" w:line="240" w:lineRule="auto"/>
              <w:jc w:val="center"/>
              <w:rPr>
                <w:rFonts w:ascii="Calibri" w:eastAsia="Times New Roman" w:hAnsi="Calibri" w:cs="Calibri"/>
                <w:b/>
                <w:color w:val="FFFFFF" w:themeColor="background1"/>
              </w:rPr>
            </w:pPr>
            <w:r w:rsidRPr="00C4057E">
              <w:rPr>
                <w:rFonts w:ascii="Calibri" w:eastAsia="Times New Roman" w:hAnsi="Calibri" w:cs="Calibri"/>
                <w:b/>
                <w:color w:val="FFFFFF" w:themeColor="background1"/>
              </w:rPr>
              <w:t>2016</w:t>
            </w:r>
          </w:p>
        </w:tc>
        <w:tc>
          <w:tcPr>
            <w:tcW w:w="720" w:type="dxa"/>
            <w:tcBorders>
              <w:top w:val="single" w:sz="12" w:space="0" w:color="auto"/>
              <w:left w:val="single" w:sz="12" w:space="0" w:color="auto"/>
              <w:bottom w:val="single" w:sz="12" w:space="0" w:color="auto"/>
            </w:tcBorders>
            <w:shd w:val="clear" w:color="auto" w:fill="C00000"/>
            <w:noWrap/>
            <w:vAlign w:val="bottom"/>
            <w:hideMark/>
          </w:tcPr>
          <w:p w14:paraId="601BF72C" w14:textId="77777777" w:rsidR="00C4057E" w:rsidRPr="00C4057E" w:rsidRDefault="00C4057E" w:rsidP="00C4057E">
            <w:pPr>
              <w:spacing w:after="0" w:line="240" w:lineRule="auto"/>
              <w:jc w:val="center"/>
              <w:rPr>
                <w:rFonts w:ascii="Calibri" w:eastAsia="Times New Roman" w:hAnsi="Calibri" w:cs="Calibri"/>
                <w:b/>
                <w:color w:val="FFFFFF" w:themeColor="background1"/>
              </w:rPr>
            </w:pPr>
            <w:r w:rsidRPr="00C4057E">
              <w:rPr>
                <w:rFonts w:ascii="Calibri" w:eastAsia="Times New Roman" w:hAnsi="Calibri" w:cs="Calibri"/>
                <w:b/>
                <w:color w:val="FFFFFF" w:themeColor="background1"/>
              </w:rPr>
              <w:t>2017</w:t>
            </w:r>
          </w:p>
        </w:tc>
      </w:tr>
      <w:tr w:rsidR="00C4057E" w:rsidRPr="00C4057E" w14:paraId="59A94179" w14:textId="77777777" w:rsidTr="007B0B28">
        <w:trPr>
          <w:trHeight w:val="20"/>
          <w:jc w:val="center"/>
        </w:trPr>
        <w:tc>
          <w:tcPr>
            <w:tcW w:w="1959" w:type="dxa"/>
            <w:tcBorders>
              <w:top w:val="single" w:sz="12" w:space="0" w:color="auto"/>
              <w:bottom w:val="single" w:sz="12" w:space="0" w:color="auto"/>
              <w:right w:val="single" w:sz="12" w:space="0" w:color="auto"/>
            </w:tcBorders>
            <w:shd w:val="clear" w:color="auto" w:fill="auto"/>
            <w:noWrap/>
            <w:vAlign w:val="bottom"/>
            <w:hideMark/>
          </w:tcPr>
          <w:p w14:paraId="3B466A50"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Warren South</w:t>
            </w:r>
          </w:p>
        </w:tc>
        <w:tc>
          <w:tcPr>
            <w:tcW w:w="162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7694ECA"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00220-41</w:t>
            </w:r>
          </w:p>
        </w:tc>
        <w:tc>
          <w:tcPr>
            <w:tcW w:w="81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E00590D"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2E650E02"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c>
          <w:tcPr>
            <w:tcW w:w="720" w:type="dxa"/>
            <w:tcBorders>
              <w:top w:val="single" w:sz="12" w:space="0" w:color="auto"/>
              <w:left w:val="single" w:sz="12" w:space="0" w:color="auto"/>
              <w:bottom w:val="single" w:sz="12" w:space="0" w:color="auto"/>
            </w:tcBorders>
            <w:shd w:val="clear" w:color="auto" w:fill="auto"/>
            <w:noWrap/>
            <w:vAlign w:val="bottom"/>
            <w:hideMark/>
          </w:tcPr>
          <w:p w14:paraId="75D724BC"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r>
      <w:tr w:rsidR="00C4057E" w:rsidRPr="00C4057E" w14:paraId="345016C1" w14:textId="77777777" w:rsidTr="007B0B28">
        <w:trPr>
          <w:trHeight w:val="20"/>
          <w:jc w:val="center"/>
        </w:trPr>
        <w:tc>
          <w:tcPr>
            <w:tcW w:w="1959" w:type="dxa"/>
            <w:tcBorders>
              <w:top w:val="single" w:sz="12" w:space="0" w:color="auto"/>
              <w:bottom w:val="single" w:sz="12" w:space="0" w:color="auto"/>
              <w:right w:val="single" w:sz="12" w:space="0" w:color="auto"/>
            </w:tcBorders>
            <w:shd w:val="clear" w:color="auto" w:fill="auto"/>
            <w:noWrap/>
            <w:vAlign w:val="bottom"/>
            <w:hideMark/>
          </w:tcPr>
          <w:p w14:paraId="4D419E7D"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Union City</w:t>
            </w:r>
          </w:p>
        </w:tc>
        <w:tc>
          <w:tcPr>
            <w:tcW w:w="162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96A11F3"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00206-43</w:t>
            </w:r>
          </w:p>
        </w:tc>
        <w:tc>
          <w:tcPr>
            <w:tcW w:w="81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253F90BD"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2A066FF" w14:textId="77777777" w:rsidR="00C4057E" w:rsidRPr="00C4057E" w:rsidRDefault="00C4057E" w:rsidP="00C4057E">
            <w:pPr>
              <w:spacing w:after="0" w:line="240" w:lineRule="auto"/>
              <w:rPr>
                <w:rFonts w:ascii="Calibri" w:eastAsia="Times New Roman" w:hAnsi="Calibri" w:cs="Calibri"/>
                <w:color w:val="000000"/>
              </w:rPr>
            </w:pPr>
            <w:r w:rsidRPr="00C4057E">
              <w:rPr>
                <w:rFonts w:ascii="Calibri" w:eastAsia="Times New Roman" w:hAnsi="Calibri" w:cs="Calibri"/>
                <w:color w:val="000000"/>
              </w:rPr>
              <w:t> </w:t>
            </w:r>
          </w:p>
        </w:tc>
        <w:tc>
          <w:tcPr>
            <w:tcW w:w="720" w:type="dxa"/>
            <w:tcBorders>
              <w:top w:val="single" w:sz="12" w:space="0" w:color="auto"/>
              <w:left w:val="single" w:sz="12" w:space="0" w:color="auto"/>
              <w:bottom w:val="single" w:sz="12" w:space="0" w:color="auto"/>
            </w:tcBorders>
            <w:shd w:val="clear" w:color="auto" w:fill="auto"/>
            <w:noWrap/>
            <w:vAlign w:val="bottom"/>
            <w:hideMark/>
          </w:tcPr>
          <w:p w14:paraId="2E9C114A"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r>
      <w:tr w:rsidR="00C4057E" w:rsidRPr="00C4057E" w14:paraId="066530B1" w14:textId="77777777" w:rsidTr="007B0B28">
        <w:trPr>
          <w:trHeight w:val="20"/>
          <w:jc w:val="center"/>
        </w:trPr>
        <w:tc>
          <w:tcPr>
            <w:tcW w:w="1959" w:type="dxa"/>
            <w:tcBorders>
              <w:top w:val="single" w:sz="12" w:space="0" w:color="auto"/>
              <w:bottom w:val="single" w:sz="12" w:space="0" w:color="auto"/>
              <w:right w:val="single" w:sz="12" w:space="0" w:color="auto"/>
            </w:tcBorders>
            <w:shd w:val="clear" w:color="auto" w:fill="auto"/>
            <w:noWrap/>
            <w:vAlign w:val="bottom"/>
            <w:hideMark/>
          </w:tcPr>
          <w:p w14:paraId="7F85BFE7"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DuBois</w:t>
            </w:r>
          </w:p>
        </w:tc>
        <w:tc>
          <w:tcPr>
            <w:tcW w:w="162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920004C"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00137-23</w:t>
            </w:r>
          </w:p>
        </w:tc>
        <w:tc>
          <w:tcPr>
            <w:tcW w:w="81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BB8355B"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4E3C46B"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c>
          <w:tcPr>
            <w:tcW w:w="720" w:type="dxa"/>
            <w:tcBorders>
              <w:top w:val="single" w:sz="12" w:space="0" w:color="auto"/>
              <w:left w:val="single" w:sz="12" w:space="0" w:color="auto"/>
              <w:bottom w:val="single" w:sz="12" w:space="0" w:color="auto"/>
            </w:tcBorders>
            <w:shd w:val="clear" w:color="auto" w:fill="auto"/>
            <w:noWrap/>
            <w:vAlign w:val="bottom"/>
            <w:hideMark/>
          </w:tcPr>
          <w:p w14:paraId="00F30721"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r>
      <w:tr w:rsidR="00C4057E" w:rsidRPr="00C4057E" w14:paraId="4835A313" w14:textId="77777777" w:rsidTr="007B0B28">
        <w:trPr>
          <w:trHeight w:val="20"/>
          <w:jc w:val="center"/>
        </w:trPr>
        <w:tc>
          <w:tcPr>
            <w:tcW w:w="1959" w:type="dxa"/>
            <w:tcBorders>
              <w:top w:val="single" w:sz="12" w:space="0" w:color="auto"/>
              <w:bottom w:val="single" w:sz="12" w:space="0" w:color="auto"/>
              <w:right w:val="single" w:sz="12" w:space="0" w:color="auto"/>
            </w:tcBorders>
            <w:shd w:val="clear" w:color="auto" w:fill="auto"/>
            <w:noWrap/>
            <w:vAlign w:val="bottom"/>
            <w:hideMark/>
          </w:tcPr>
          <w:p w14:paraId="7309B683"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Tunkhannock</w:t>
            </w:r>
          </w:p>
        </w:tc>
        <w:tc>
          <w:tcPr>
            <w:tcW w:w="162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6ABBE7A"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00533-65</w:t>
            </w:r>
          </w:p>
        </w:tc>
        <w:tc>
          <w:tcPr>
            <w:tcW w:w="81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5B724B7" w14:textId="77777777" w:rsidR="00C4057E" w:rsidRPr="00C4057E" w:rsidRDefault="00C4057E" w:rsidP="00C4057E">
            <w:pPr>
              <w:spacing w:after="0" w:line="240" w:lineRule="auto"/>
              <w:rPr>
                <w:rFonts w:ascii="Calibri" w:eastAsia="Times New Roman" w:hAnsi="Calibri" w:cs="Calibri"/>
                <w:color w:val="000000"/>
              </w:rPr>
            </w:pPr>
            <w:r w:rsidRPr="00C4057E">
              <w:rPr>
                <w:rFonts w:ascii="Calibri" w:eastAsia="Times New Roman" w:hAnsi="Calibri" w:cs="Calibri"/>
                <w:color w:val="000000"/>
              </w:rPr>
              <w:t> </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2E084484"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c>
          <w:tcPr>
            <w:tcW w:w="720" w:type="dxa"/>
            <w:tcBorders>
              <w:top w:val="single" w:sz="12" w:space="0" w:color="auto"/>
              <w:left w:val="single" w:sz="12" w:space="0" w:color="auto"/>
              <w:bottom w:val="single" w:sz="12" w:space="0" w:color="auto"/>
            </w:tcBorders>
            <w:shd w:val="clear" w:color="auto" w:fill="auto"/>
            <w:noWrap/>
            <w:vAlign w:val="bottom"/>
            <w:hideMark/>
          </w:tcPr>
          <w:p w14:paraId="0E395319"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r>
      <w:tr w:rsidR="00C4057E" w:rsidRPr="00C4057E" w14:paraId="10698AD4" w14:textId="77777777" w:rsidTr="007B0B28">
        <w:trPr>
          <w:trHeight w:val="20"/>
          <w:jc w:val="center"/>
        </w:trPr>
        <w:tc>
          <w:tcPr>
            <w:tcW w:w="1959" w:type="dxa"/>
            <w:tcBorders>
              <w:top w:val="single" w:sz="12" w:space="0" w:color="auto"/>
              <w:bottom w:val="single" w:sz="12" w:space="0" w:color="auto"/>
              <w:right w:val="single" w:sz="12" w:space="0" w:color="auto"/>
            </w:tcBorders>
            <w:shd w:val="clear" w:color="auto" w:fill="auto"/>
            <w:noWrap/>
            <w:vAlign w:val="bottom"/>
            <w:hideMark/>
          </w:tcPr>
          <w:p w14:paraId="4CBDE432"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Philipsburg</w:t>
            </w:r>
          </w:p>
        </w:tc>
        <w:tc>
          <w:tcPr>
            <w:tcW w:w="162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2BE83944"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00164-22</w:t>
            </w:r>
          </w:p>
        </w:tc>
        <w:tc>
          <w:tcPr>
            <w:tcW w:w="81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6E9BD26" w14:textId="77777777" w:rsidR="00C4057E" w:rsidRPr="00C4057E" w:rsidRDefault="00C4057E" w:rsidP="00C4057E">
            <w:pPr>
              <w:spacing w:after="0" w:line="240" w:lineRule="auto"/>
              <w:rPr>
                <w:rFonts w:ascii="Calibri" w:eastAsia="Times New Roman" w:hAnsi="Calibri" w:cs="Calibri"/>
                <w:color w:val="000000"/>
              </w:rPr>
            </w:pPr>
            <w:r w:rsidRPr="00C4057E">
              <w:rPr>
                <w:rFonts w:ascii="Calibri" w:eastAsia="Times New Roman" w:hAnsi="Calibri" w:cs="Calibri"/>
                <w:color w:val="000000"/>
              </w:rPr>
              <w:t> </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00A0D4E"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c>
          <w:tcPr>
            <w:tcW w:w="720" w:type="dxa"/>
            <w:tcBorders>
              <w:top w:val="single" w:sz="12" w:space="0" w:color="auto"/>
              <w:left w:val="single" w:sz="12" w:space="0" w:color="auto"/>
              <w:bottom w:val="single" w:sz="12" w:space="0" w:color="auto"/>
            </w:tcBorders>
            <w:shd w:val="clear" w:color="auto" w:fill="auto"/>
            <w:noWrap/>
            <w:vAlign w:val="bottom"/>
            <w:hideMark/>
          </w:tcPr>
          <w:p w14:paraId="2CAD5383"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r>
      <w:tr w:rsidR="00C4057E" w:rsidRPr="00C4057E" w14:paraId="32BAD456" w14:textId="77777777" w:rsidTr="007B0B28">
        <w:trPr>
          <w:trHeight w:val="20"/>
          <w:jc w:val="center"/>
        </w:trPr>
        <w:tc>
          <w:tcPr>
            <w:tcW w:w="1959" w:type="dxa"/>
            <w:tcBorders>
              <w:top w:val="single" w:sz="12" w:space="0" w:color="auto"/>
              <w:bottom w:val="single" w:sz="12" w:space="0" w:color="auto"/>
              <w:right w:val="single" w:sz="12" w:space="0" w:color="auto"/>
            </w:tcBorders>
            <w:shd w:val="clear" w:color="auto" w:fill="auto"/>
            <w:noWrap/>
            <w:vAlign w:val="bottom"/>
            <w:hideMark/>
          </w:tcPr>
          <w:p w14:paraId="3BFFB05F"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Marienville</w:t>
            </w:r>
          </w:p>
        </w:tc>
        <w:tc>
          <w:tcPr>
            <w:tcW w:w="162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B1DFFAE"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00328-51</w:t>
            </w:r>
          </w:p>
        </w:tc>
        <w:tc>
          <w:tcPr>
            <w:tcW w:w="81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28E6A7E1"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3C32B45"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c>
          <w:tcPr>
            <w:tcW w:w="720" w:type="dxa"/>
            <w:tcBorders>
              <w:top w:val="single" w:sz="12" w:space="0" w:color="auto"/>
              <w:left w:val="single" w:sz="12" w:space="0" w:color="auto"/>
              <w:bottom w:val="single" w:sz="12" w:space="0" w:color="auto"/>
            </w:tcBorders>
            <w:shd w:val="clear" w:color="auto" w:fill="auto"/>
            <w:noWrap/>
            <w:vAlign w:val="bottom"/>
            <w:hideMark/>
          </w:tcPr>
          <w:p w14:paraId="615FC94F"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r>
      <w:tr w:rsidR="00C4057E" w:rsidRPr="00C4057E" w14:paraId="36916234" w14:textId="77777777" w:rsidTr="007B0B28">
        <w:trPr>
          <w:trHeight w:val="20"/>
          <w:jc w:val="center"/>
        </w:trPr>
        <w:tc>
          <w:tcPr>
            <w:tcW w:w="1959" w:type="dxa"/>
            <w:tcBorders>
              <w:top w:val="single" w:sz="12" w:space="0" w:color="auto"/>
              <w:bottom w:val="single" w:sz="12" w:space="0" w:color="auto"/>
              <w:right w:val="single" w:sz="12" w:space="0" w:color="auto"/>
            </w:tcBorders>
            <w:shd w:val="clear" w:color="auto" w:fill="auto"/>
            <w:noWrap/>
            <w:vAlign w:val="bottom"/>
            <w:hideMark/>
          </w:tcPr>
          <w:p w14:paraId="4470ABA7"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Erie East</w:t>
            </w:r>
          </w:p>
        </w:tc>
        <w:tc>
          <w:tcPr>
            <w:tcW w:w="162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175F94A"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00234-31</w:t>
            </w:r>
          </w:p>
        </w:tc>
        <w:tc>
          <w:tcPr>
            <w:tcW w:w="81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5E95AA3" w14:textId="77777777" w:rsidR="00C4057E" w:rsidRPr="00C4057E" w:rsidRDefault="00C4057E" w:rsidP="00C4057E">
            <w:pPr>
              <w:spacing w:after="0" w:line="240" w:lineRule="auto"/>
              <w:rPr>
                <w:rFonts w:ascii="Calibri" w:eastAsia="Times New Roman" w:hAnsi="Calibri" w:cs="Calibri"/>
                <w:color w:val="000000"/>
              </w:rPr>
            </w:pPr>
            <w:r w:rsidRPr="00C4057E">
              <w:rPr>
                <w:rFonts w:ascii="Calibri" w:eastAsia="Times New Roman" w:hAnsi="Calibri" w:cs="Calibri"/>
                <w:color w:val="000000"/>
              </w:rPr>
              <w:t> </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446CF05"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c>
          <w:tcPr>
            <w:tcW w:w="720" w:type="dxa"/>
            <w:tcBorders>
              <w:top w:val="single" w:sz="12" w:space="0" w:color="auto"/>
              <w:left w:val="single" w:sz="12" w:space="0" w:color="auto"/>
              <w:bottom w:val="single" w:sz="12" w:space="0" w:color="auto"/>
            </w:tcBorders>
            <w:shd w:val="clear" w:color="auto" w:fill="auto"/>
            <w:noWrap/>
            <w:vAlign w:val="bottom"/>
            <w:hideMark/>
          </w:tcPr>
          <w:p w14:paraId="1B80C850"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r>
      <w:tr w:rsidR="00C4057E" w:rsidRPr="00C4057E" w14:paraId="538C9E14" w14:textId="77777777" w:rsidTr="007B0B28">
        <w:trPr>
          <w:trHeight w:val="20"/>
          <w:jc w:val="center"/>
        </w:trPr>
        <w:tc>
          <w:tcPr>
            <w:tcW w:w="1959" w:type="dxa"/>
            <w:tcBorders>
              <w:top w:val="single" w:sz="12" w:space="0" w:color="auto"/>
              <w:bottom w:val="single" w:sz="12" w:space="0" w:color="auto"/>
              <w:right w:val="single" w:sz="12" w:space="0" w:color="auto"/>
            </w:tcBorders>
            <w:shd w:val="clear" w:color="auto" w:fill="auto"/>
            <w:noWrap/>
            <w:vAlign w:val="bottom"/>
            <w:hideMark/>
          </w:tcPr>
          <w:p w14:paraId="02714720"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Bradford South</w:t>
            </w:r>
          </w:p>
        </w:tc>
        <w:tc>
          <w:tcPr>
            <w:tcW w:w="162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EC24F1F"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00106-42</w:t>
            </w:r>
          </w:p>
        </w:tc>
        <w:tc>
          <w:tcPr>
            <w:tcW w:w="81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F623075" w14:textId="77777777" w:rsidR="00C4057E" w:rsidRPr="00C4057E" w:rsidRDefault="00C4057E" w:rsidP="00C4057E">
            <w:pPr>
              <w:spacing w:after="0" w:line="240" w:lineRule="auto"/>
              <w:rPr>
                <w:rFonts w:ascii="Calibri" w:eastAsia="Times New Roman" w:hAnsi="Calibri" w:cs="Calibri"/>
                <w:color w:val="000000"/>
              </w:rPr>
            </w:pPr>
            <w:r w:rsidRPr="00C4057E">
              <w:rPr>
                <w:rFonts w:ascii="Calibri" w:eastAsia="Times New Roman" w:hAnsi="Calibri" w:cs="Calibri"/>
                <w:color w:val="000000"/>
              </w:rPr>
              <w:t> </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4E9BAF7"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c>
          <w:tcPr>
            <w:tcW w:w="720" w:type="dxa"/>
            <w:tcBorders>
              <w:top w:val="single" w:sz="12" w:space="0" w:color="auto"/>
              <w:left w:val="single" w:sz="12" w:space="0" w:color="auto"/>
              <w:bottom w:val="single" w:sz="12" w:space="0" w:color="auto"/>
            </w:tcBorders>
            <w:shd w:val="clear" w:color="auto" w:fill="auto"/>
            <w:noWrap/>
            <w:vAlign w:val="bottom"/>
            <w:hideMark/>
          </w:tcPr>
          <w:p w14:paraId="55B673FD"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r>
      <w:tr w:rsidR="00C4057E" w:rsidRPr="00C4057E" w14:paraId="25F51CB8" w14:textId="77777777" w:rsidTr="007B0B28">
        <w:trPr>
          <w:trHeight w:val="20"/>
          <w:jc w:val="center"/>
        </w:trPr>
        <w:tc>
          <w:tcPr>
            <w:tcW w:w="1959" w:type="dxa"/>
            <w:tcBorders>
              <w:top w:val="single" w:sz="12" w:space="0" w:color="auto"/>
              <w:bottom w:val="single" w:sz="12" w:space="0" w:color="auto"/>
              <w:right w:val="single" w:sz="12" w:space="0" w:color="auto"/>
            </w:tcBorders>
            <w:shd w:val="clear" w:color="auto" w:fill="auto"/>
            <w:noWrap/>
            <w:vAlign w:val="bottom"/>
            <w:hideMark/>
          </w:tcPr>
          <w:p w14:paraId="5499580E"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Tionesta Jct Sw Sta</w:t>
            </w:r>
          </w:p>
        </w:tc>
        <w:tc>
          <w:tcPr>
            <w:tcW w:w="162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9D3F56B"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00498-51</w:t>
            </w:r>
          </w:p>
        </w:tc>
        <w:tc>
          <w:tcPr>
            <w:tcW w:w="81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37AC5A9"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7FDE2A6"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c>
          <w:tcPr>
            <w:tcW w:w="720" w:type="dxa"/>
            <w:tcBorders>
              <w:top w:val="single" w:sz="12" w:space="0" w:color="auto"/>
              <w:left w:val="single" w:sz="12" w:space="0" w:color="auto"/>
              <w:bottom w:val="single" w:sz="12" w:space="0" w:color="auto"/>
            </w:tcBorders>
            <w:shd w:val="clear" w:color="auto" w:fill="auto"/>
            <w:noWrap/>
            <w:vAlign w:val="bottom"/>
            <w:hideMark/>
          </w:tcPr>
          <w:p w14:paraId="71ECD6B0"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r>
      <w:tr w:rsidR="00C4057E" w:rsidRPr="00C4057E" w14:paraId="3F69F6E7" w14:textId="77777777" w:rsidTr="007B0B28">
        <w:trPr>
          <w:trHeight w:val="20"/>
          <w:jc w:val="center"/>
        </w:trPr>
        <w:tc>
          <w:tcPr>
            <w:tcW w:w="1959" w:type="dxa"/>
            <w:tcBorders>
              <w:top w:val="single" w:sz="12" w:space="0" w:color="auto"/>
              <w:bottom w:val="single" w:sz="12" w:space="0" w:color="auto"/>
              <w:right w:val="single" w:sz="12" w:space="0" w:color="auto"/>
            </w:tcBorders>
            <w:shd w:val="clear" w:color="auto" w:fill="auto"/>
            <w:noWrap/>
            <w:vAlign w:val="bottom"/>
            <w:hideMark/>
          </w:tcPr>
          <w:p w14:paraId="475B7F35"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Blairsville East</w:t>
            </w:r>
          </w:p>
        </w:tc>
        <w:tc>
          <w:tcPr>
            <w:tcW w:w="162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C2BEF38"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00081-13</w:t>
            </w:r>
          </w:p>
        </w:tc>
        <w:tc>
          <w:tcPr>
            <w:tcW w:w="81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C84FE73" w14:textId="77777777" w:rsidR="00C4057E" w:rsidRPr="00C4057E" w:rsidRDefault="00C4057E" w:rsidP="00C4057E">
            <w:pPr>
              <w:spacing w:after="0" w:line="240" w:lineRule="auto"/>
              <w:rPr>
                <w:rFonts w:ascii="Calibri" w:eastAsia="Times New Roman" w:hAnsi="Calibri" w:cs="Calibri"/>
                <w:color w:val="000000"/>
              </w:rPr>
            </w:pPr>
            <w:r w:rsidRPr="00C4057E">
              <w:rPr>
                <w:rFonts w:ascii="Calibri" w:eastAsia="Times New Roman" w:hAnsi="Calibri" w:cs="Calibri"/>
                <w:color w:val="000000"/>
              </w:rPr>
              <w:t> </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5226A13"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c>
          <w:tcPr>
            <w:tcW w:w="720" w:type="dxa"/>
            <w:tcBorders>
              <w:top w:val="single" w:sz="12" w:space="0" w:color="auto"/>
              <w:left w:val="single" w:sz="12" w:space="0" w:color="auto"/>
              <w:bottom w:val="single" w:sz="12" w:space="0" w:color="auto"/>
            </w:tcBorders>
            <w:shd w:val="clear" w:color="auto" w:fill="auto"/>
            <w:noWrap/>
            <w:vAlign w:val="bottom"/>
            <w:hideMark/>
          </w:tcPr>
          <w:p w14:paraId="444C551C"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r>
      <w:tr w:rsidR="00C4057E" w:rsidRPr="00C4057E" w14:paraId="6AFFB1ED" w14:textId="77777777" w:rsidTr="007B0B28">
        <w:trPr>
          <w:trHeight w:val="20"/>
          <w:jc w:val="center"/>
        </w:trPr>
        <w:tc>
          <w:tcPr>
            <w:tcW w:w="1959" w:type="dxa"/>
            <w:tcBorders>
              <w:top w:val="single" w:sz="12" w:space="0" w:color="auto"/>
              <w:bottom w:val="single" w:sz="12" w:space="0" w:color="auto"/>
            </w:tcBorders>
            <w:shd w:val="clear" w:color="auto" w:fill="auto"/>
            <w:noWrap/>
            <w:vAlign w:val="bottom"/>
            <w:hideMark/>
          </w:tcPr>
          <w:p w14:paraId="5F31CCB0" w14:textId="77777777" w:rsidR="00C4057E" w:rsidRPr="00C4057E" w:rsidRDefault="00C4057E" w:rsidP="00C4057E">
            <w:pPr>
              <w:spacing w:after="0" w:line="240" w:lineRule="auto"/>
              <w:rPr>
                <w:rFonts w:ascii="Calibri" w:eastAsia="Times New Roman" w:hAnsi="Calibri" w:cs="Calibri"/>
                <w:color w:val="000000"/>
                <w:sz w:val="8"/>
                <w:szCs w:val="8"/>
              </w:rPr>
            </w:pPr>
            <w:r w:rsidRPr="00C4057E">
              <w:rPr>
                <w:rFonts w:ascii="Calibri" w:eastAsia="Times New Roman" w:hAnsi="Calibri" w:cs="Calibri"/>
                <w:color w:val="000000"/>
                <w:sz w:val="8"/>
                <w:szCs w:val="8"/>
              </w:rPr>
              <w:t> </w:t>
            </w:r>
          </w:p>
        </w:tc>
        <w:tc>
          <w:tcPr>
            <w:tcW w:w="1626" w:type="dxa"/>
            <w:tcBorders>
              <w:top w:val="single" w:sz="12" w:space="0" w:color="auto"/>
              <w:bottom w:val="single" w:sz="12" w:space="0" w:color="auto"/>
              <w:right w:val="single" w:sz="12" w:space="0" w:color="auto"/>
            </w:tcBorders>
            <w:shd w:val="clear" w:color="auto" w:fill="auto"/>
            <w:noWrap/>
            <w:vAlign w:val="bottom"/>
            <w:hideMark/>
          </w:tcPr>
          <w:p w14:paraId="148674CD" w14:textId="77777777" w:rsidR="00C4057E" w:rsidRPr="00C4057E" w:rsidRDefault="00C4057E" w:rsidP="00C4057E">
            <w:pPr>
              <w:spacing w:after="0" w:line="240" w:lineRule="auto"/>
              <w:rPr>
                <w:rFonts w:ascii="Calibri" w:eastAsia="Times New Roman" w:hAnsi="Calibri" w:cs="Calibri"/>
                <w:color w:val="000000"/>
                <w:sz w:val="8"/>
                <w:szCs w:val="8"/>
              </w:rPr>
            </w:pPr>
          </w:p>
        </w:tc>
        <w:tc>
          <w:tcPr>
            <w:tcW w:w="810" w:type="dxa"/>
            <w:tcBorders>
              <w:top w:val="single" w:sz="12" w:space="0" w:color="auto"/>
              <w:left w:val="single" w:sz="12" w:space="0" w:color="auto"/>
              <w:bottom w:val="single" w:sz="12" w:space="0" w:color="auto"/>
            </w:tcBorders>
            <w:shd w:val="clear" w:color="auto" w:fill="auto"/>
            <w:noWrap/>
            <w:vAlign w:val="bottom"/>
            <w:hideMark/>
          </w:tcPr>
          <w:p w14:paraId="053B8F6E" w14:textId="77777777" w:rsidR="00C4057E" w:rsidRPr="00C4057E" w:rsidRDefault="00C4057E" w:rsidP="00C4057E">
            <w:pPr>
              <w:spacing w:after="0" w:line="240" w:lineRule="auto"/>
              <w:rPr>
                <w:rFonts w:ascii="Times New Roman" w:eastAsia="Times New Roman" w:hAnsi="Times New Roman" w:cs="Times New Roman"/>
                <w:sz w:val="8"/>
                <w:szCs w:val="8"/>
              </w:rPr>
            </w:pPr>
          </w:p>
        </w:tc>
        <w:tc>
          <w:tcPr>
            <w:tcW w:w="720" w:type="dxa"/>
            <w:tcBorders>
              <w:top w:val="single" w:sz="12" w:space="0" w:color="auto"/>
              <w:bottom w:val="single" w:sz="12" w:space="0" w:color="auto"/>
            </w:tcBorders>
            <w:shd w:val="clear" w:color="auto" w:fill="auto"/>
            <w:noWrap/>
            <w:vAlign w:val="bottom"/>
            <w:hideMark/>
          </w:tcPr>
          <w:p w14:paraId="58FA0FDA" w14:textId="77777777" w:rsidR="00C4057E" w:rsidRPr="00C4057E" w:rsidRDefault="00C4057E" w:rsidP="00C4057E">
            <w:pPr>
              <w:spacing w:after="0" w:line="240" w:lineRule="auto"/>
              <w:rPr>
                <w:rFonts w:ascii="Times New Roman" w:eastAsia="Times New Roman" w:hAnsi="Times New Roman" w:cs="Times New Roman"/>
                <w:sz w:val="8"/>
                <w:szCs w:val="8"/>
              </w:rPr>
            </w:pPr>
          </w:p>
        </w:tc>
        <w:tc>
          <w:tcPr>
            <w:tcW w:w="720" w:type="dxa"/>
            <w:tcBorders>
              <w:top w:val="single" w:sz="12" w:space="0" w:color="auto"/>
              <w:bottom w:val="single" w:sz="12" w:space="0" w:color="auto"/>
            </w:tcBorders>
            <w:shd w:val="clear" w:color="auto" w:fill="auto"/>
            <w:noWrap/>
            <w:vAlign w:val="bottom"/>
            <w:hideMark/>
          </w:tcPr>
          <w:p w14:paraId="0C3F1470" w14:textId="77777777" w:rsidR="00C4057E" w:rsidRPr="00C4057E" w:rsidRDefault="00C4057E" w:rsidP="00C4057E">
            <w:pPr>
              <w:spacing w:after="0" w:line="240" w:lineRule="auto"/>
              <w:rPr>
                <w:rFonts w:ascii="Calibri" w:eastAsia="Times New Roman" w:hAnsi="Calibri" w:cs="Calibri"/>
                <w:color w:val="000000"/>
                <w:sz w:val="8"/>
                <w:szCs w:val="8"/>
              </w:rPr>
            </w:pPr>
            <w:r w:rsidRPr="00C4057E">
              <w:rPr>
                <w:rFonts w:ascii="Calibri" w:eastAsia="Times New Roman" w:hAnsi="Calibri" w:cs="Calibri"/>
                <w:color w:val="000000"/>
                <w:sz w:val="8"/>
                <w:szCs w:val="8"/>
              </w:rPr>
              <w:t> </w:t>
            </w:r>
          </w:p>
        </w:tc>
      </w:tr>
      <w:tr w:rsidR="00C4057E" w:rsidRPr="00C4057E" w14:paraId="234745F9" w14:textId="77777777" w:rsidTr="007B0B28">
        <w:trPr>
          <w:trHeight w:val="20"/>
          <w:jc w:val="center"/>
        </w:trPr>
        <w:tc>
          <w:tcPr>
            <w:tcW w:w="3585" w:type="dxa"/>
            <w:gridSpan w:val="2"/>
            <w:tcBorders>
              <w:top w:val="single" w:sz="12" w:space="0" w:color="auto"/>
              <w:bottom w:val="single" w:sz="12" w:space="0" w:color="auto"/>
              <w:right w:val="single" w:sz="12" w:space="0" w:color="auto"/>
            </w:tcBorders>
            <w:shd w:val="clear" w:color="000000" w:fill="C00000"/>
            <w:noWrap/>
            <w:vAlign w:val="bottom"/>
            <w:hideMark/>
          </w:tcPr>
          <w:p w14:paraId="6E59B580" w14:textId="77777777" w:rsidR="00C4057E" w:rsidRPr="00C4057E" w:rsidRDefault="00C4057E" w:rsidP="00C4057E">
            <w:pPr>
              <w:spacing w:after="0" w:line="240" w:lineRule="auto"/>
              <w:jc w:val="center"/>
              <w:rPr>
                <w:rFonts w:ascii="Calibri" w:eastAsia="Times New Roman" w:hAnsi="Calibri" w:cs="Calibri"/>
                <w:b/>
                <w:color w:val="FFFFFF"/>
              </w:rPr>
            </w:pPr>
            <w:r w:rsidRPr="00C4057E">
              <w:rPr>
                <w:rFonts w:ascii="Calibri" w:eastAsia="Times New Roman" w:hAnsi="Calibri" w:cs="Calibri"/>
                <w:b/>
                <w:color w:val="FFFFFF"/>
              </w:rPr>
              <w:t>West Penn Power </w:t>
            </w:r>
          </w:p>
        </w:tc>
        <w:tc>
          <w:tcPr>
            <w:tcW w:w="2250" w:type="dxa"/>
            <w:gridSpan w:val="3"/>
            <w:tcBorders>
              <w:top w:val="single" w:sz="12" w:space="0" w:color="auto"/>
              <w:left w:val="single" w:sz="12" w:space="0" w:color="auto"/>
              <w:bottom w:val="single" w:sz="12" w:space="0" w:color="auto"/>
            </w:tcBorders>
            <w:shd w:val="clear" w:color="000000" w:fill="C00000"/>
            <w:noWrap/>
            <w:vAlign w:val="bottom"/>
            <w:hideMark/>
          </w:tcPr>
          <w:p w14:paraId="0294D8A1" w14:textId="77777777" w:rsidR="00C4057E" w:rsidRPr="00C4057E" w:rsidRDefault="00C4057E" w:rsidP="00C4057E">
            <w:pPr>
              <w:spacing w:after="0" w:line="240" w:lineRule="auto"/>
              <w:jc w:val="center"/>
              <w:rPr>
                <w:rFonts w:ascii="Calibri" w:eastAsia="Times New Roman" w:hAnsi="Calibri" w:cs="Calibri"/>
                <w:b/>
                <w:color w:val="FFFFFF"/>
              </w:rPr>
            </w:pPr>
            <w:r w:rsidRPr="00C4057E">
              <w:rPr>
                <w:rFonts w:ascii="Calibri" w:eastAsia="Times New Roman" w:hAnsi="Calibri" w:cs="Calibri"/>
                <w:b/>
                <w:color w:val="FFFFFF"/>
              </w:rPr>
              <w:t>Year</w:t>
            </w:r>
          </w:p>
        </w:tc>
      </w:tr>
      <w:tr w:rsidR="00C4057E" w:rsidRPr="00C4057E" w14:paraId="080AC861" w14:textId="77777777" w:rsidTr="007B0B28">
        <w:trPr>
          <w:trHeight w:val="20"/>
          <w:jc w:val="center"/>
        </w:trPr>
        <w:tc>
          <w:tcPr>
            <w:tcW w:w="1959" w:type="dxa"/>
            <w:tcBorders>
              <w:top w:val="single" w:sz="12" w:space="0" w:color="auto"/>
              <w:bottom w:val="single" w:sz="12" w:space="0" w:color="auto"/>
              <w:right w:val="single" w:sz="12" w:space="0" w:color="auto"/>
            </w:tcBorders>
            <w:shd w:val="clear" w:color="auto" w:fill="C00000"/>
            <w:noWrap/>
            <w:vAlign w:val="bottom"/>
            <w:hideMark/>
          </w:tcPr>
          <w:p w14:paraId="00541EC1" w14:textId="77777777" w:rsidR="00C4057E" w:rsidRPr="00C4057E" w:rsidRDefault="00C4057E" w:rsidP="00C4057E">
            <w:pPr>
              <w:spacing w:after="0" w:line="240" w:lineRule="auto"/>
              <w:jc w:val="center"/>
              <w:rPr>
                <w:rFonts w:ascii="Calibri" w:eastAsia="Times New Roman" w:hAnsi="Calibri" w:cs="Calibri"/>
                <w:b/>
                <w:color w:val="FFFFFF" w:themeColor="background1"/>
              </w:rPr>
            </w:pPr>
            <w:r w:rsidRPr="00C4057E">
              <w:rPr>
                <w:rFonts w:ascii="Calibri" w:eastAsia="Times New Roman" w:hAnsi="Calibri" w:cs="Calibri"/>
                <w:b/>
                <w:color w:val="FFFFFF" w:themeColor="background1"/>
              </w:rPr>
              <w:t>Substation</w:t>
            </w:r>
          </w:p>
        </w:tc>
        <w:tc>
          <w:tcPr>
            <w:tcW w:w="1626" w:type="dxa"/>
            <w:tcBorders>
              <w:top w:val="single" w:sz="12" w:space="0" w:color="auto"/>
              <w:left w:val="single" w:sz="12" w:space="0" w:color="auto"/>
              <w:bottom w:val="single" w:sz="12" w:space="0" w:color="auto"/>
              <w:right w:val="single" w:sz="12" w:space="0" w:color="auto"/>
            </w:tcBorders>
            <w:shd w:val="clear" w:color="auto" w:fill="C00000"/>
            <w:noWrap/>
            <w:vAlign w:val="bottom"/>
            <w:hideMark/>
          </w:tcPr>
          <w:p w14:paraId="362C8C8F" w14:textId="77777777" w:rsidR="00C4057E" w:rsidRPr="00C4057E" w:rsidRDefault="00C4057E" w:rsidP="00C4057E">
            <w:pPr>
              <w:spacing w:after="0" w:line="240" w:lineRule="auto"/>
              <w:jc w:val="center"/>
              <w:rPr>
                <w:rFonts w:ascii="Calibri" w:eastAsia="Times New Roman" w:hAnsi="Calibri" w:cs="Calibri"/>
                <w:b/>
                <w:color w:val="FFFFFF" w:themeColor="background1"/>
              </w:rPr>
            </w:pPr>
            <w:r w:rsidRPr="00C4057E">
              <w:rPr>
                <w:rFonts w:ascii="Calibri" w:eastAsia="Times New Roman" w:hAnsi="Calibri" w:cs="Calibri"/>
                <w:b/>
                <w:color w:val="FFFFFF" w:themeColor="background1"/>
              </w:rPr>
              <w:t>Circuit</w:t>
            </w:r>
          </w:p>
        </w:tc>
        <w:tc>
          <w:tcPr>
            <w:tcW w:w="810" w:type="dxa"/>
            <w:tcBorders>
              <w:top w:val="single" w:sz="12" w:space="0" w:color="auto"/>
              <w:left w:val="single" w:sz="12" w:space="0" w:color="auto"/>
              <w:bottom w:val="single" w:sz="12" w:space="0" w:color="auto"/>
              <w:right w:val="single" w:sz="12" w:space="0" w:color="auto"/>
            </w:tcBorders>
            <w:shd w:val="clear" w:color="auto" w:fill="C00000"/>
            <w:noWrap/>
            <w:vAlign w:val="bottom"/>
            <w:hideMark/>
          </w:tcPr>
          <w:p w14:paraId="66191780" w14:textId="77777777" w:rsidR="00C4057E" w:rsidRPr="00C4057E" w:rsidRDefault="00C4057E" w:rsidP="00C4057E">
            <w:pPr>
              <w:spacing w:after="0" w:line="240" w:lineRule="auto"/>
              <w:jc w:val="center"/>
              <w:rPr>
                <w:rFonts w:ascii="Calibri" w:eastAsia="Times New Roman" w:hAnsi="Calibri" w:cs="Calibri"/>
                <w:b/>
                <w:color w:val="FFFFFF" w:themeColor="background1"/>
              </w:rPr>
            </w:pPr>
            <w:r w:rsidRPr="00C4057E">
              <w:rPr>
                <w:rFonts w:ascii="Calibri" w:eastAsia="Times New Roman" w:hAnsi="Calibri" w:cs="Calibri"/>
                <w:b/>
                <w:color w:val="FFFFFF" w:themeColor="background1"/>
              </w:rPr>
              <w:t>2015</w:t>
            </w:r>
          </w:p>
        </w:tc>
        <w:tc>
          <w:tcPr>
            <w:tcW w:w="720" w:type="dxa"/>
            <w:tcBorders>
              <w:top w:val="single" w:sz="12" w:space="0" w:color="auto"/>
              <w:left w:val="single" w:sz="12" w:space="0" w:color="auto"/>
              <w:bottom w:val="single" w:sz="12" w:space="0" w:color="auto"/>
              <w:right w:val="single" w:sz="12" w:space="0" w:color="auto"/>
            </w:tcBorders>
            <w:shd w:val="clear" w:color="auto" w:fill="C00000"/>
            <w:noWrap/>
            <w:vAlign w:val="bottom"/>
            <w:hideMark/>
          </w:tcPr>
          <w:p w14:paraId="6BA771A6" w14:textId="77777777" w:rsidR="00C4057E" w:rsidRPr="00C4057E" w:rsidRDefault="00C4057E" w:rsidP="00C4057E">
            <w:pPr>
              <w:spacing w:after="0" w:line="240" w:lineRule="auto"/>
              <w:jc w:val="center"/>
              <w:rPr>
                <w:rFonts w:ascii="Calibri" w:eastAsia="Times New Roman" w:hAnsi="Calibri" w:cs="Calibri"/>
                <w:b/>
                <w:color w:val="FFFFFF" w:themeColor="background1"/>
              </w:rPr>
            </w:pPr>
            <w:r w:rsidRPr="00C4057E">
              <w:rPr>
                <w:rFonts w:ascii="Calibri" w:eastAsia="Times New Roman" w:hAnsi="Calibri" w:cs="Calibri"/>
                <w:b/>
                <w:color w:val="FFFFFF" w:themeColor="background1"/>
              </w:rPr>
              <w:t>2016</w:t>
            </w:r>
          </w:p>
        </w:tc>
        <w:tc>
          <w:tcPr>
            <w:tcW w:w="720" w:type="dxa"/>
            <w:tcBorders>
              <w:top w:val="single" w:sz="12" w:space="0" w:color="auto"/>
              <w:left w:val="single" w:sz="12" w:space="0" w:color="auto"/>
              <w:bottom w:val="single" w:sz="12" w:space="0" w:color="auto"/>
            </w:tcBorders>
            <w:shd w:val="clear" w:color="auto" w:fill="C00000"/>
            <w:noWrap/>
            <w:vAlign w:val="bottom"/>
            <w:hideMark/>
          </w:tcPr>
          <w:p w14:paraId="11BFD994" w14:textId="77777777" w:rsidR="00C4057E" w:rsidRPr="00C4057E" w:rsidRDefault="00C4057E" w:rsidP="00C4057E">
            <w:pPr>
              <w:spacing w:after="0" w:line="240" w:lineRule="auto"/>
              <w:jc w:val="center"/>
              <w:rPr>
                <w:rFonts w:ascii="Calibri" w:eastAsia="Times New Roman" w:hAnsi="Calibri" w:cs="Calibri"/>
                <w:b/>
                <w:color w:val="FFFFFF" w:themeColor="background1"/>
              </w:rPr>
            </w:pPr>
            <w:r w:rsidRPr="00C4057E">
              <w:rPr>
                <w:rFonts w:ascii="Calibri" w:eastAsia="Times New Roman" w:hAnsi="Calibri" w:cs="Calibri"/>
                <w:b/>
                <w:color w:val="FFFFFF" w:themeColor="background1"/>
              </w:rPr>
              <w:t>2017</w:t>
            </w:r>
          </w:p>
        </w:tc>
      </w:tr>
      <w:tr w:rsidR="00C4057E" w:rsidRPr="00C4057E" w14:paraId="7551AD9B" w14:textId="77777777" w:rsidTr="007B0B28">
        <w:trPr>
          <w:trHeight w:val="20"/>
          <w:jc w:val="center"/>
        </w:trPr>
        <w:tc>
          <w:tcPr>
            <w:tcW w:w="1959" w:type="dxa"/>
            <w:tcBorders>
              <w:top w:val="single" w:sz="12" w:space="0" w:color="auto"/>
              <w:bottom w:val="single" w:sz="12" w:space="0" w:color="auto"/>
              <w:right w:val="single" w:sz="12" w:space="0" w:color="auto"/>
            </w:tcBorders>
            <w:shd w:val="clear" w:color="auto" w:fill="auto"/>
            <w:noWrap/>
            <w:vAlign w:val="bottom"/>
            <w:hideMark/>
          </w:tcPr>
          <w:p w14:paraId="20B5DAE7"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Smith</w:t>
            </w:r>
          </w:p>
        </w:tc>
        <w:tc>
          <w:tcPr>
            <w:tcW w:w="162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B9B8317"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Florence</w:t>
            </w:r>
          </w:p>
        </w:tc>
        <w:tc>
          <w:tcPr>
            <w:tcW w:w="81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8010BE2" w14:textId="77777777" w:rsidR="00C4057E" w:rsidRPr="00C4057E" w:rsidRDefault="00C4057E" w:rsidP="00C4057E">
            <w:pPr>
              <w:spacing w:after="0" w:line="240" w:lineRule="auto"/>
              <w:rPr>
                <w:rFonts w:ascii="Calibri" w:eastAsia="Times New Roman" w:hAnsi="Calibri" w:cs="Calibri"/>
                <w:color w:val="000000"/>
              </w:rPr>
            </w:pPr>
            <w:r w:rsidRPr="00C4057E">
              <w:rPr>
                <w:rFonts w:ascii="Calibri" w:eastAsia="Times New Roman" w:hAnsi="Calibri" w:cs="Calibri"/>
                <w:color w:val="000000"/>
              </w:rPr>
              <w:t> </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B31A0C2"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c>
          <w:tcPr>
            <w:tcW w:w="720" w:type="dxa"/>
            <w:tcBorders>
              <w:top w:val="single" w:sz="12" w:space="0" w:color="auto"/>
              <w:left w:val="single" w:sz="12" w:space="0" w:color="auto"/>
              <w:bottom w:val="single" w:sz="12" w:space="0" w:color="auto"/>
            </w:tcBorders>
            <w:shd w:val="clear" w:color="auto" w:fill="auto"/>
            <w:noWrap/>
            <w:vAlign w:val="bottom"/>
            <w:hideMark/>
          </w:tcPr>
          <w:p w14:paraId="39F13381"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r>
      <w:tr w:rsidR="00C4057E" w:rsidRPr="00C4057E" w14:paraId="7B74A4E1" w14:textId="77777777" w:rsidTr="007B0B28">
        <w:trPr>
          <w:trHeight w:val="20"/>
          <w:jc w:val="center"/>
        </w:trPr>
        <w:tc>
          <w:tcPr>
            <w:tcW w:w="1959" w:type="dxa"/>
            <w:tcBorders>
              <w:top w:val="single" w:sz="12" w:space="0" w:color="auto"/>
              <w:bottom w:val="single" w:sz="12" w:space="0" w:color="auto"/>
              <w:right w:val="single" w:sz="12" w:space="0" w:color="auto"/>
            </w:tcBorders>
            <w:shd w:val="clear" w:color="auto" w:fill="auto"/>
            <w:noWrap/>
            <w:vAlign w:val="bottom"/>
            <w:hideMark/>
          </w:tcPr>
          <w:p w14:paraId="597E1A07"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Piney Fork</w:t>
            </w:r>
          </w:p>
        </w:tc>
        <w:tc>
          <w:tcPr>
            <w:tcW w:w="162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5B96F29"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Stoltz</w:t>
            </w:r>
          </w:p>
        </w:tc>
        <w:tc>
          <w:tcPr>
            <w:tcW w:w="81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5EA51F5" w14:textId="77777777" w:rsidR="00C4057E" w:rsidRPr="00C4057E" w:rsidRDefault="00C4057E" w:rsidP="00C4057E">
            <w:pPr>
              <w:spacing w:after="0" w:line="240" w:lineRule="auto"/>
              <w:rPr>
                <w:rFonts w:ascii="Calibri" w:eastAsia="Times New Roman" w:hAnsi="Calibri" w:cs="Calibri"/>
                <w:color w:val="000000"/>
              </w:rPr>
            </w:pPr>
            <w:r w:rsidRPr="00C4057E">
              <w:rPr>
                <w:rFonts w:ascii="Calibri" w:eastAsia="Times New Roman" w:hAnsi="Calibri" w:cs="Calibri"/>
                <w:color w:val="000000"/>
              </w:rPr>
              <w:t> </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9570A95"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c>
          <w:tcPr>
            <w:tcW w:w="720" w:type="dxa"/>
            <w:tcBorders>
              <w:top w:val="single" w:sz="12" w:space="0" w:color="auto"/>
              <w:left w:val="single" w:sz="12" w:space="0" w:color="auto"/>
              <w:bottom w:val="single" w:sz="12" w:space="0" w:color="auto"/>
            </w:tcBorders>
            <w:shd w:val="clear" w:color="auto" w:fill="auto"/>
            <w:noWrap/>
            <w:vAlign w:val="bottom"/>
            <w:hideMark/>
          </w:tcPr>
          <w:p w14:paraId="2B3DC328"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r>
      <w:tr w:rsidR="00C4057E" w:rsidRPr="00C4057E" w14:paraId="16F8F1A4" w14:textId="77777777" w:rsidTr="007B0B28">
        <w:trPr>
          <w:trHeight w:val="20"/>
          <w:jc w:val="center"/>
        </w:trPr>
        <w:tc>
          <w:tcPr>
            <w:tcW w:w="1959" w:type="dxa"/>
            <w:tcBorders>
              <w:top w:val="single" w:sz="12" w:space="0" w:color="auto"/>
              <w:bottom w:val="single" w:sz="12" w:space="0" w:color="auto"/>
              <w:right w:val="single" w:sz="12" w:space="0" w:color="auto"/>
            </w:tcBorders>
            <w:shd w:val="clear" w:color="auto" w:fill="auto"/>
            <w:noWrap/>
            <w:vAlign w:val="bottom"/>
            <w:hideMark/>
          </w:tcPr>
          <w:p w14:paraId="44E6334A"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Westraver</w:t>
            </w:r>
          </w:p>
        </w:tc>
        <w:tc>
          <w:tcPr>
            <w:tcW w:w="162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E4A78EC" w14:textId="77777777" w:rsidR="00C4057E" w:rsidRPr="00C4057E" w:rsidRDefault="00C4057E" w:rsidP="00C4057E">
            <w:pPr>
              <w:spacing w:after="0" w:line="240" w:lineRule="auto"/>
              <w:jc w:val="center"/>
              <w:rPr>
                <w:rFonts w:ascii="Calibri" w:eastAsia="Times New Roman" w:hAnsi="Calibri" w:cs="Calibri"/>
                <w:color w:val="000000"/>
              </w:rPr>
            </w:pPr>
            <w:r w:rsidRPr="00C4057E">
              <w:rPr>
                <w:rFonts w:ascii="Calibri" w:eastAsia="Times New Roman" w:hAnsi="Calibri" w:cs="Calibri"/>
                <w:color w:val="000000"/>
              </w:rPr>
              <w:t>Pittsburgh Coal</w:t>
            </w:r>
          </w:p>
        </w:tc>
        <w:tc>
          <w:tcPr>
            <w:tcW w:w="81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A0DC3D0"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D1DC061" w14:textId="77777777" w:rsidR="00C4057E" w:rsidRPr="00C4057E" w:rsidRDefault="00C4057E" w:rsidP="00C4057E">
            <w:pPr>
              <w:spacing w:after="0" w:line="240" w:lineRule="auto"/>
              <w:rPr>
                <w:rFonts w:ascii="Calibri" w:eastAsia="Times New Roman" w:hAnsi="Calibri" w:cs="Calibri"/>
                <w:color w:val="000000"/>
              </w:rPr>
            </w:pPr>
            <w:r w:rsidRPr="00C4057E">
              <w:rPr>
                <w:rFonts w:ascii="Calibri" w:eastAsia="Times New Roman" w:hAnsi="Calibri" w:cs="Calibri"/>
                <w:color w:val="000000"/>
              </w:rPr>
              <w:t> </w:t>
            </w:r>
          </w:p>
        </w:tc>
        <w:tc>
          <w:tcPr>
            <w:tcW w:w="720" w:type="dxa"/>
            <w:tcBorders>
              <w:top w:val="single" w:sz="12" w:space="0" w:color="auto"/>
              <w:left w:val="single" w:sz="12" w:space="0" w:color="auto"/>
              <w:bottom w:val="single" w:sz="12" w:space="0" w:color="auto"/>
            </w:tcBorders>
            <w:shd w:val="clear" w:color="auto" w:fill="auto"/>
            <w:noWrap/>
            <w:vAlign w:val="bottom"/>
            <w:hideMark/>
          </w:tcPr>
          <w:p w14:paraId="196A1D76" w14:textId="77777777" w:rsidR="00C4057E" w:rsidRPr="00C4057E" w:rsidRDefault="00C4057E" w:rsidP="00C4057E">
            <w:pPr>
              <w:spacing w:after="0" w:line="240" w:lineRule="auto"/>
              <w:jc w:val="center"/>
              <w:rPr>
                <w:rFonts w:ascii="Wingdings" w:eastAsia="Times New Roman" w:hAnsi="Wingdings" w:cs="Calibri"/>
                <w:color w:val="000000"/>
              </w:rPr>
            </w:pPr>
            <w:r w:rsidRPr="00C4057E">
              <w:rPr>
                <w:rFonts w:ascii="Wingdings" w:eastAsia="Times New Roman" w:hAnsi="Wingdings" w:cs="Calibri"/>
                <w:color w:val="000000"/>
              </w:rPr>
              <w:t></w:t>
            </w:r>
          </w:p>
        </w:tc>
      </w:tr>
    </w:tbl>
    <w:p w14:paraId="675AD5C6" w14:textId="77777777" w:rsidR="00C4057E" w:rsidRPr="00C4057E" w:rsidRDefault="00C4057E" w:rsidP="00C4057E">
      <w:pPr>
        <w:spacing w:after="0" w:line="240" w:lineRule="auto"/>
        <w:ind w:left="2520" w:right="1710" w:hanging="720"/>
        <w:contextualSpacing/>
        <w:rPr>
          <w:rFonts w:ascii="Arial" w:hAnsi="Arial" w:cs="Arial"/>
          <w:sz w:val="18"/>
          <w:szCs w:val="18"/>
        </w:rPr>
      </w:pPr>
      <w:r w:rsidRPr="00C4057E">
        <w:rPr>
          <w:rFonts w:ascii="Arial" w:hAnsi="Arial" w:cs="Arial"/>
          <w:sz w:val="18"/>
          <w:szCs w:val="18"/>
        </w:rPr>
        <w:t>Source:  Quarterly Reliability Reports, Data Request TD-24, and Auditor Analysis</w:t>
      </w:r>
    </w:p>
    <w:p w14:paraId="22C80BC9" w14:textId="77777777" w:rsidR="00C4057E" w:rsidRPr="00C4057E" w:rsidRDefault="00C4057E" w:rsidP="00C4057E">
      <w:pPr>
        <w:spacing w:after="0" w:line="240" w:lineRule="auto"/>
        <w:ind w:firstLine="720"/>
        <w:rPr>
          <w:rFonts w:ascii="Arial" w:hAnsi="Arial" w:cs="Arial"/>
          <w:sz w:val="24"/>
          <w:szCs w:val="24"/>
        </w:rPr>
      </w:pPr>
    </w:p>
    <w:p w14:paraId="6F78E559" w14:textId="77777777" w:rsidR="00C4057E" w:rsidRPr="00C4057E" w:rsidRDefault="00C4057E" w:rsidP="00C4057E">
      <w:pPr>
        <w:spacing w:after="0" w:line="240" w:lineRule="auto"/>
        <w:rPr>
          <w:rFonts w:ascii="Arial" w:hAnsi="Arial" w:cs="Arial"/>
          <w:sz w:val="24"/>
          <w:szCs w:val="24"/>
        </w:rPr>
      </w:pPr>
      <w:r w:rsidRPr="00C4057E">
        <w:rPr>
          <w:rFonts w:ascii="Arial" w:eastAsia="Times New Roman" w:hAnsi="Arial" w:cs="Arial"/>
          <w:b/>
          <w:snapToGrid w:val="0"/>
          <w:sz w:val="24"/>
          <w:szCs w:val="20"/>
          <w:u w:val="single"/>
        </w:rPr>
        <w:t xml:space="preserve">Follow-up </w:t>
      </w:r>
      <w:r w:rsidRPr="00C4057E">
        <w:rPr>
          <w:rFonts w:ascii="Arial" w:hAnsi="Arial" w:cs="Arial"/>
          <w:b/>
          <w:bCs/>
          <w:color w:val="000000"/>
          <w:sz w:val="24"/>
          <w:szCs w:val="24"/>
          <w:u w:val="single"/>
        </w:rPr>
        <w:t>Recommendation</w:t>
      </w:r>
      <w:r w:rsidRPr="00C4057E">
        <w:rPr>
          <w:rFonts w:ascii="Arial" w:hAnsi="Arial" w:cs="Arial"/>
          <w:b/>
          <w:bCs/>
          <w:color w:val="000000"/>
          <w:sz w:val="24"/>
          <w:szCs w:val="24"/>
        </w:rPr>
        <w:t xml:space="preserve"> – </w:t>
      </w:r>
      <w:r w:rsidRPr="00C4057E">
        <w:rPr>
          <w:rFonts w:ascii="Arial" w:hAnsi="Arial" w:cs="Arial"/>
          <w:b/>
          <w:sz w:val="24"/>
          <w:szCs w:val="24"/>
        </w:rPr>
        <w:t>Conduct a best practice review of Penn Power’s worst performing circuit rehabilitation strategy; implement changes across the FE-PA company footprint based on the review; and continue to coordinate with the PUC’s Bureau of Technical Utility Services.</w:t>
      </w:r>
    </w:p>
    <w:p w14:paraId="0C03848A" w14:textId="77777777" w:rsidR="00C4057E" w:rsidRPr="00C4057E" w:rsidRDefault="00C4057E" w:rsidP="00C4057E">
      <w:pPr>
        <w:spacing w:after="0" w:line="240" w:lineRule="auto"/>
        <w:rPr>
          <w:rFonts w:ascii="Arial" w:hAnsi="Arial" w:cs="Arial"/>
          <w:sz w:val="24"/>
          <w:szCs w:val="24"/>
        </w:rPr>
      </w:pPr>
    </w:p>
    <w:p w14:paraId="7E0069B0" w14:textId="77777777" w:rsidR="00C4057E" w:rsidRPr="00C4057E" w:rsidRDefault="00C4057E" w:rsidP="00C4057E">
      <w:pPr>
        <w:rPr>
          <w:rFonts w:ascii="Arial" w:hAnsi="Arial" w:cs="Arial"/>
          <w:b/>
          <w:sz w:val="24"/>
          <w:szCs w:val="24"/>
        </w:rPr>
      </w:pPr>
      <w:bookmarkStart w:id="32" w:name="_Hlk512342649"/>
      <w:r w:rsidRPr="00C4057E">
        <w:rPr>
          <w:rFonts w:ascii="Arial" w:hAnsi="Arial" w:cs="Arial"/>
          <w:b/>
          <w:sz w:val="24"/>
          <w:szCs w:val="24"/>
        </w:rPr>
        <w:br w:type="page"/>
      </w:r>
    </w:p>
    <w:bookmarkEnd w:id="32"/>
    <w:p w14:paraId="70E370AF" w14:textId="77777777" w:rsidR="00C4057E" w:rsidRPr="00C4057E" w:rsidRDefault="00C4057E" w:rsidP="00C4057E">
      <w:pPr>
        <w:spacing w:after="0" w:line="240" w:lineRule="auto"/>
        <w:jc w:val="center"/>
        <w:rPr>
          <w:rFonts w:ascii="Arial" w:hAnsi="Arial" w:cs="Arial"/>
          <w:b/>
          <w:sz w:val="24"/>
          <w:szCs w:val="24"/>
          <w:u w:val="single"/>
        </w:rPr>
      </w:pPr>
      <w:r w:rsidRPr="00C4057E">
        <w:rPr>
          <w:rFonts w:ascii="Arial" w:hAnsi="Arial" w:cs="Arial"/>
          <w:b/>
          <w:sz w:val="24"/>
          <w:szCs w:val="24"/>
          <w:u w:val="single"/>
        </w:rPr>
        <w:t>Finding No. VII-5</w:t>
      </w:r>
    </w:p>
    <w:p w14:paraId="6066CB34" w14:textId="77777777" w:rsidR="00C4057E" w:rsidRPr="00C4057E" w:rsidRDefault="00C4057E" w:rsidP="00C4057E">
      <w:pPr>
        <w:spacing w:after="0" w:line="240" w:lineRule="auto"/>
        <w:rPr>
          <w:rFonts w:ascii="Arial" w:hAnsi="Arial" w:cs="Arial"/>
          <w:sz w:val="24"/>
          <w:szCs w:val="24"/>
        </w:rPr>
      </w:pPr>
    </w:p>
    <w:p w14:paraId="628E7DCE" w14:textId="77777777" w:rsidR="00C4057E" w:rsidRPr="00C4057E" w:rsidRDefault="00C4057E" w:rsidP="00C4057E">
      <w:pPr>
        <w:spacing w:after="0" w:line="240" w:lineRule="auto"/>
        <w:rPr>
          <w:rFonts w:ascii="Arial" w:hAnsi="Arial" w:cs="Arial"/>
          <w:sz w:val="24"/>
          <w:szCs w:val="24"/>
        </w:rPr>
      </w:pPr>
      <w:bookmarkStart w:id="33" w:name="_Hlk512342068"/>
      <w:r w:rsidRPr="00C4057E">
        <w:rPr>
          <w:rFonts w:ascii="Arial" w:hAnsi="Arial" w:cs="Arial"/>
          <w:b/>
          <w:sz w:val="24"/>
          <w:szCs w:val="24"/>
          <w:u w:val="single"/>
        </w:rPr>
        <w:t>Prior Situation</w:t>
      </w:r>
      <w:r w:rsidRPr="00C4057E">
        <w:rPr>
          <w:rFonts w:ascii="Arial" w:hAnsi="Arial" w:cs="Arial"/>
          <w:sz w:val="24"/>
          <w:szCs w:val="24"/>
        </w:rPr>
        <w:t xml:space="preserve"> – </w:t>
      </w:r>
      <w:r w:rsidR="008831B7">
        <w:rPr>
          <w:rFonts w:ascii="Arial" w:hAnsi="Arial" w:cs="Arial"/>
          <w:sz w:val="24"/>
          <w:szCs w:val="24"/>
        </w:rPr>
        <w:t>As of 2013, a</w:t>
      </w:r>
      <w:r w:rsidRPr="00C4057E">
        <w:rPr>
          <w:rFonts w:ascii="Arial" w:hAnsi="Arial" w:cs="Arial"/>
          <w:sz w:val="24"/>
          <w:szCs w:val="24"/>
        </w:rPr>
        <w:t xml:space="preserve">ll damage </w:t>
      </w:r>
      <w:bookmarkEnd w:id="33"/>
      <w:r w:rsidRPr="00C4057E">
        <w:rPr>
          <w:rFonts w:ascii="Arial" w:hAnsi="Arial" w:cs="Arial"/>
          <w:sz w:val="24"/>
          <w:szCs w:val="24"/>
        </w:rPr>
        <w:t xml:space="preserve">related activities for the </w:t>
      </w:r>
      <w:r w:rsidR="00DC3D9B">
        <w:rPr>
          <w:rFonts w:ascii="Arial" w:hAnsi="Arial" w:cs="Arial"/>
          <w:sz w:val="24"/>
          <w:szCs w:val="24"/>
        </w:rPr>
        <w:t>FE-PA companies</w:t>
      </w:r>
      <w:r w:rsidRPr="00C4057E">
        <w:rPr>
          <w:rFonts w:ascii="Arial" w:hAnsi="Arial" w:cs="Arial"/>
          <w:sz w:val="24"/>
          <w:szCs w:val="24"/>
        </w:rPr>
        <w:t xml:space="preserve">, once discovered and reported by the distribution companies, were transferred to FirstEnergy’s Corporate and Energy Delivery Claims Management Department (Claims Department).  The </w:t>
      </w:r>
      <w:r w:rsidR="00DC3D9B">
        <w:rPr>
          <w:rFonts w:ascii="Arial" w:hAnsi="Arial" w:cs="Arial"/>
          <w:sz w:val="24"/>
          <w:szCs w:val="24"/>
        </w:rPr>
        <w:t>FE-PA companies</w:t>
      </w:r>
      <w:r w:rsidRPr="00C4057E">
        <w:rPr>
          <w:rFonts w:ascii="Arial" w:hAnsi="Arial" w:cs="Arial"/>
          <w:sz w:val="24"/>
          <w:szCs w:val="24"/>
        </w:rPr>
        <w:t xml:space="preserve"> had various aspects of a damage prevention plan in practice but did not have a formal comprehensive damage prevention program with detailed recordkeeping to properly measure the effectiveness of its efforts.  For example, the Claims Department was able to provide the number of damages to facilities by year but were unable to provide the cause of the damages for 91% of the hits.  Furthermore, although the Claims Department demanded financial restoration for these damages, the collections activity was unable to be accumulated in total, only on a case by case basis.  The auditors stated that a formal Damage Prevention Plan should be developed in compliance with Pennsylvania One Call Act 287 – Underground Utility Line Protection Law.  </w:t>
      </w:r>
    </w:p>
    <w:p w14:paraId="0F7D219A" w14:textId="77777777" w:rsidR="00C4057E" w:rsidRPr="00C4057E" w:rsidRDefault="00C4057E" w:rsidP="00C4057E">
      <w:pPr>
        <w:spacing w:after="0" w:line="240" w:lineRule="auto"/>
        <w:rPr>
          <w:rFonts w:ascii="Arial" w:hAnsi="Arial" w:cs="Arial"/>
          <w:b/>
          <w:sz w:val="24"/>
          <w:szCs w:val="24"/>
          <w:u w:val="single"/>
        </w:rPr>
      </w:pPr>
    </w:p>
    <w:p w14:paraId="4E7EDBA6" w14:textId="77777777" w:rsidR="00C4057E" w:rsidRPr="00C4057E" w:rsidRDefault="00C4057E" w:rsidP="00C4057E">
      <w:pPr>
        <w:spacing w:after="0" w:line="240" w:lineRule="auto"/>
        <w:rPr>
          <w:rFonts w:ascii="Arial" w:hAnsi="Arial" w:cs="Arial"/>
          <w:sz w:val="24"/>
          <w:szCs w:val="24"/>
        </w:rPr>
      </w:pPr>
      <w:r w:rsidRPr="00C4057E">
        <w:rPr>
          <w:rFonts w:ascii="Arial" w:hAnsi="Arial" w:cs="Arial"/>
          <w:b/>
          <w:sz w:val="24"/>
          <w:szCs w:val="24"/>
          <w:u w:val="single"/>
        </w:rPr>
        <w:t xml:space="preserve">Prior Recommendation </w:t>
      </w:r>
      <w:r w:rsidRPr="00C4057E">
        <w:rPr>
          <w:rFonts w:ascii="Arial" w:hAnsi="Arial" w:cs="Arial"/>
          <w:sz w:val="24"/>
          <w:szCs w:val="24"/>
        </w:rPr>
        <w:t>– Establish a documented Damage Prevention Program to track and measure line hit incidents; recover damages for all line hit incidents; and to take proactive measures to mitigate future line hits.</w:t>
      </w:r>
    </w:p>
    <w:p w14:paraId="73BD4CD0" w14:textId="77777777" w:rsidR="00C4057E" w:rsidRPr="00C4057E" w:rsidRDefault="00C4057E" w:rsidP="00C4057E">
      <w:pPr>
        <w:spacing w:after="0" w:line="240" w:lineRule="auto"/>
        <w:rPr>
          <w:rFonts w:ascii="Arial" w:hAnsi="Arial" w:cs="Arial"/>
          <w:sz w:val="24"/>
          <w:szCs w:val="24"/>
        </w:rPr>
      </w:pPr>
    </w:p>
    <w:p w14:paraId="4038BBC7" w14:textId="77777777" w:rsidR="00C4057E" w:rsidRPr="00C4057E" w:rsidRDefault="00C4057E" w:rsidP="00C4057E">
      <w:pPr>
        <w:spacing w:after="0" w:line="240" w:lineRule="auto"/>
        <w:rPr>
          <w:rFonts w:ascii="Arial" w:hAnsi="Arial" w:cs="Arial"/>
          <w:sz w:val="24"/>
          <w:szCs w:val="24"/>
        </w:rPr>
      </w:pPr>
      <w:bookmarkStart w:id="34" w:name="_Hlk512342399"/>
      <w:r w:rsidRPr="00C4057E">
        <w:rPr>
          <w:rFonts w:ascii="Arial" w:hAnsi="Arial" w:cs="Arial"/>
          <w:b/>
          <w:sz w:val="24"/>
          <w:szCs w:val="24"/>
          <w:u w:val="single"/>
        </w:rPr>
        <w:t>Follow-up Finding and Conclusion</w:t>
      </w:r>
      <w:r w:rsidR="00F65A25" w:rsidRPr="00F65A25">
        <w:rPr>
          <w:rFonts w:ascii="Arial" w:eastAsia="Times New Roman" w:hAnsi="Arial" w:cs="Times New Roman"/>
          <w:b/>
          <w:sz w:val="24"/>
          <w:szCs w:val="24"/>
          <w:u w:val="single"/>
        </w:rPr>
        <w:t xml:space="preserve"> </w:t>
      </w:r>
      <w:r w:rsidR="00F65A25">
        <w:rPr>
          <w:rFonts w:ascii="Arial" w:eastAsia="Times New Roman" w:hAnsi="Arial" w:cs="Times New Roman"/>
          <w:b/>
          <w:sz w:val="24"/>
          <w:szCs w:val="24"/>
          <w:u w:val="single"/>
        </w:rPr>
        <w:t>No. VII</w:t>
      </w:r>
      <w:r w:rsidR="00F65A25" w:rsidRPr="00B146D6">
        <w:rPr>
          <w:rFonts w:ascii="Arial" w:eastAsia="Times New Roman" w:hAnsi="Arial" w:cs="Times New Roman"/>
          <w:b/>
          <w:sz w:val="24"/>
          <w:szCs w:val="24"/>
          <w:u w:val="single"/>
        </w:rPr>
        <w:t>-</w:t>
      </w:r>
      <w:r w:rsidR="00F65A25">
        <w:rPr>
          <w:rFonts w:ascii="Arial" w:eastAsia="Times New Roman" w:hAnsi="Arial" w:cs="Times New Roman"/>
          <w:b/>
          <w:sz w:val="24"/>
          <w:szCs w:val="24"/>
          <w:u w:val="single"/>
        </w:rPr>
        <w:t>5</w:t>
      </w:r>
      <w:r w:rsidRPr="00C4057E">
        <w:rPr>
          <w:rFonts w:ascii="Arial" w:hAnsi="Arial" w:cs="Arial"/>
          <w:b/>
          <w:sz w:val="24"/>
          <w:szCs w:val="24"/>
        </w:rPr>
        <w:t xml:space="preserve"> </w:t>
      </w:r>
      <w:r w:rsidRPr="00C4057E">
        <w:rPr>
          <w:rFonts w:ascii="Arial" w:hAnsi="Arial" w:cs="Arial"/>
          <w:sz w:val="24"/>
          <w:szCs w:val="24"/>
        </w:rPr>
        <w:t>–</w:t>
      </w:r>
      <w:r w:rsidRPr="00C4057E">
        <w:rPr>
          <w:rFonts w:ascii="Arial" w:hAnsi="Arial" w:cs="Arial"/>
          <w:b/>
          <w:sz w:val="24"/>
          <w:szCs w:val="24"/>
        </w:rPr>
        <w:t xml:space="preserve"> FirstEnergy </w:t>
      </w:r>
      <w:bookmarkEnd w:id="34"/>
      <w:r w:rsidRPr="00C4057E">
        <w:rPr>
          <w:rFonts w:ascii="Arial" w:hAnsi="Arial" w:cs="Arial"/>
          <w:b/>
          <w:sz w:val="24"/>
          <w:szCs w:val="24"/>
        </w:rPr>
        <w:t>has developed a damage prevention plan but should take additional steps to make the plan more comprehensive.</w:t>
      </w:r>
    </w:p>
    <w:p w14:paraId="5B8890A4" w14:textId="77777777" w:rsidR="00C4057E" w:rsidRPr="00C4057E" w:rsidRDefault="00C4057E" w:rsidP="00C4057E">
      <w:pPr>
        <w:spacing w:after="0" w:line="240" w:lineRule="auto"/>
        <w:rPr>
          <w:rFonts w:ascii="Arial" w:hAnsi="Arial" w:cs="Arial"/>
          <w:sz w:val="24"/>
          <w:szCs w:val="24"/>
        </w:rPr>
      </w:pPr>
    </w:p>
    <w:p w14:paraId="2121CB22" w14:textId="77777777" w:rsidR="00C4057E" w:rsidRPr="00C4057E" w:rsidRDefault="00C4057E" w:rsidP="00C4057E">
      <w:pPr>
        <w:spacing w:after="0" w:line="240" w:lineRule="auto"/>
        <w:rPr>
          <w:rFonts w:ascii="Arial" w:hAnsi="Arial" w:cs="Arial"/>
          <w:sz w:val="24"/>
          <w:szCs w:val="24"/>
        </w:rPr>
      </w:pPr>
      <w:r w:rsidRPr="00C4057E">
        <w:rPr>
          <w:rFonts w:ascii="Arial" w:hAnsi="Arial" w:cs="Arial"/>
          <w:b/>
          <w:u w:val="single"/>
        </w:rPr>
        <w:t>Current Review</w:t>
      </w:r>
      <w:r w:rsidRPr="00C4057E">
        <w:rPr>
          <w:rFonts w:ascii="Arial" w:hAnsi="Arial" w:cs="Arial"/>
        </w:rPr>
        <w:t xml:space="preserve"> – </w:t>
      </w:r>
      <w:r w:rsidRPr="00C4057E">
        <w:rPr>
          <w:rFonts w:ascii="Arial" w:hAnsi="Arial" w:cs="Arial"/>
          <w:sz w:val="24"/>
          <w:szCs w:val="24"/>
        </w:rPr>
        <w:t xml:space="preserve">In August 2015, a Damage Prevention Plan was completed by the Claims Department which the </w:t>
      </w:r>
      <w:r w:rsidR="00DC3D9B">
        <w:rPr>
          <w:rFonts w:ascii="Arial" w:hAnsi="Arial" w:cs="Arial"/>
          <w:sz w:val="24"/>
          <w:szCs w:val="24"/>
        </w:rPr>
        <w:t>FE-PA companies</w:t>
      </w:r>
      <w:r w:rsidRPr="00C4057E">
        <w:rPr>
          <w:rFonts w:ascii="Arial" w:hAnsi="Arial" w:cs="Arial"/>
          <w:sz w:val="24"/>
          <w:szCs w:val="24"/>
        </w:rPr>
        <w:t xml:space="preserve"> utilize.  A summary of the details of the plan is as follows:</w:t>
      </w:r>
    </w:p>
    <w:p w14:paraId="287A8BE1" w14:textId="77777777" w:rsidR="00C4057E" w:rsidRPr="00C4057E" w:rsidRDefault="00C4057E" w:rsidP="00C4057E">
      <w:pPr>
        <w:spacing w:after="0" w:line="240" w:lineRule="auto"/>
        <w:rPr>
          <w:rFonts w:ascii="Arial" w:hAnsi="Arial" w:cs="Arial"/>
          <w:sz w:val="24"/>
          <w:szCs w:val="24"/>
        </w:rPr>
      </w:pPr>
    </w:p>
    <w:p w14:paraId="0054F6E2" w14:textId="77777777" w:rsidR="00C4057E" w:rsidRPr="00C4057E" w:rsidRDefault="00C4057E" w:rsidP="00C4057E">
      <w:pPr>
        <w:widowControl w:val="0"/>
        <w:numPr>
          <w:ilvl w:val="0"/>
          <w:numId w:val="12"/>
        </w:numPr>
        <w:spacing w:after="0" w:line="240" w:lineRule="auto"/>
        <w:ind w:left="1080"/>
        <w:contextualSpacing/>
        <w:rPr>
          <w:rFonts w:ascii="Arial" w:hAnsi="Arial" w:cs="Arial"/>
          <w:sz w:val="24"/>
          <w:szCs w:val="24"/>
        </w:rPr>
      </w:pPr>
      <w:r w:rsidRPr="00C4057E">
        <w:rPr>
          <w:rFonts w:ascii="Arial" w:hAnsi="Arial" w:cs="Arial"/>
          <w:sz w:val="24"/>
          <w:szCs w:val="24"/>
        </w:rPr>
        <w:t>Best practices were established with other utilities, agencies, and stakeholders to the PA One Call System (POCS) Board of Directors in July 2015.</w:t>
      </w:r>
    </w:p>
    <w:p w14:paraId="568FDBCC" w14:textId="77777777" w:rsidR="00C4057E" w:rsidRPr="00C4057E" w:rsidRDefault="00C4057E" w:rsidP="00C4057E">
      <w:pPr>
        <w:widowControl w:val="0"/>
        <w:numPr>
          <w:ilvl w:val="0"/>
          <w:numId w:val="12"/>
        </w:numPr>
        <w:spacing w:after="0" w:line="240" w:lineRule="auto"/>
        <w:ind w:left="1080"/>
        <w:contextualSpacing/>
        <w:rPr>
          <w:rFonts w:ascii="Arial" w:hAnsi="Arial" w:cs="Arial"/>
          <w:sz w:val="24"/>
          <w:szCs w:val="24"/>
        </w:rPr>
      </w:pPr>
      <w:r w:rsidRPr="00C4057E">
        <w:rPr>
          <w:rFonts w:ascii="Arial" w:hAnsi="Arial" w:cs="Arial"/>
          <w:sz w:val="24"/>
          <w:szCs w:val="24"/>
        </w:rPr>
        <w:t>A data collection and retention system for damage prevention (STARS system) was implemented in March 2016.</w:t>
      </w:r>
    </w:p>
    <w:p w14:paraId="67EFF494" w14:textId="77777777" w:rsidR="00C4057E" w:rsidRPr="00C4057E" w:rsidRDefault="00C4057E" w:rsidP="00C4057E">
      <w:pPr>
        <w:widowControl w:val="0"/>
        <w:numPr>
          <w:ilvl w:val="0"/>
          <w:numId w:val="12"/>
        </w:numPr>
        <w:spacing w:after="0" w:line="240" w:lineRule="auto"/>
        <w:ind w:left="1080"/>
        <w:contextualSpacing/>
        <w:rPr>
          <w:rFonts w:ascii="Arial" w:hAnsi="Arial" w:cs="Arial"/>
          <w:sz w:val="24"/>
          <w:szCs w:val="24"/>
        </w:rPr>
      </w:pPr>
      <w:r w:rsidRPr="00C4057E">
        <w:rPr>
          <w:rFonts w:ascii="Arial" w:hAnsi="Arial" w:cs="Arial"/>
          <w:sz w:val="24"/>
          <w:szCs w:val="24"/>
        </w:rPr>
        <w:t>The Damage Prevention Plan details the purpose of the plan as well as education and prevention criteria, web-based annual training for employees, and education and media communications for the public.</w:t>
      </w:r>
    </w:p>
    <w:p w14:paraId="7B86C753" w14:textId="77777777" w:rsidR="00C4057E" w:rsidRPr="00C4057E" w:rsidRDefault="00C4057E" w:rsidP="00C4057E">
      <w:pPr>
        <w:widowControl w:val="0"/>
        <w:numPr>
          <w:ilvl w:val="0"/>
          <w:numId w:val="12"/>
        </w:numPr>
        <w:spacing w:after="0" w:line="240" w:lineRule="auto"/>
        <w:ind w:left="1080"/>
        <w:contextualSpacing/>
        <w:rPr>
          <w:rFonts w:ascii="Arial" w:hAnsi="Arial" w:cs="Arial"/>
          <w:sz w:val="24"/>
          <w:szCs w:val="24"/>
        </w:rPr>
      </w:pPr>
      <w:r w:rsidRPr="00C4057E">
        <w:rPr>
          <w:rFonts w:ascii="Arial" w:hAnsi="Arial" w:cs="Arial"/>
          <w:sz w:val="24"/>
          <w:szCs w:val="24"/>
        </w:rPr>
        <w:t>The claims process is detailed via a reference to the Receivable Claims Processing Manual.  The Claims Department will conduct annual training for staff.</w:t>
      </w:r>
    </w:p>
    <w:p w14:paraId="7C99BB20" w14:textId="77777777" w:rsidR="00C4057E" w:rsidRPr="00C4057E" w:rsidRDefault="00C4057E" w:rsidP="00C4057E">
      <w:pPr>
        <w:widowControl w:val="0"/>
        <w:numPr>
          <w:ilvl w:val="0"/>
          <w:numId w:val="12"/>
        </w:numPr>
        <w:spacing w:after="0" w:line="240" w:lineRule="auto"/>
        <w:ind w:left="1080"/>
        <w:contextualSpacing/>
        <w:rPr>
          <w:rFonts w:ascii="Arial" w:hAnsi="Arial" w:cs="Arial"/>
          <w:sz w:val="24"/>
          <w:szCs w:val="24"/>
        </w:rPr>
      </w:pPr>
      <w:r w:rsidRPr="00C4057E">
        <w:rPr>
          <w:rFonts w:ascii="Arial" w:hAnsi="Arial" w:cs="Arial"/>
          <w:sz w:val="24"/>
          <w:szCs w:val="24"/>
        </w:rPr>
        <w:t>The ticket-screening software is detailed.</w:t>
      </w:r>
    </w:p>
    <w:p w14:paraId="30ACC41F" w14:textId="77777777" w:rsidR="00C4057E" w:rsidRPr="00C4057E" w:rsidRDefault="00C4057E" w:rsidP="00C4057E">
      <w:pPr>
        <w:widowControl w:val="0"/>
        <w:numPr>
          <w:ilvl w:val="0"/>
          <w:numId w:val="12"/>
        </w:numPr>
        <w:spacing w:after="0" w:line="240" w:lineRule="auto"/>
        <w:ind w:left="1080"/>
        <w:contextualSpacing/>
        <w:rPr>
          <w:rFonts w:ascii="Arial" w:hAnsi="Arial" w:cs="Arial"/>
          <w:sz w:val="24"/>
          <w:szCs w:val="24"/>
        </w:rPr>
      </w:pPr>
      <w:r w:rsidRPr="00C4057E">
        <w:rPr>
          <w:rFonts w:ascii="Arial" w:hAnsi="Arial" w:cs="Arial"/>
          <w:sz w:val="24"/>
          <w:szCs w:val="24"/>
        </w:rPr>
        <w:t>Inspection and maintenance procedures related to damage prevention are referenced.</w:t>
      </w:r>
    </w:p>
    <w:p w14:paraId="6EEC98B9" w14:textId="77777777" w:rsidR="00C4057E" w:rsidRPr="00C4057E" w:rsidRDefault="00C4057E" w:rsidP="00C4057E">
      <w:pPr>
        <w:widowControl w:val="0"/>
        <w:numPr>
          <w:ilvl w:val="0"/>
          <w:numId w:val="12"/>
        </w:numPr>
        <w:spacing w:after="0" w:line="240" w:lineRule="auto"/>
        <w:ind w:left="1080"/>
        <w:contextualSpacing/>
        <w:rPr>
          <w:rFonts w:ascii="Arial" w:hAnsi="Arial" w:cs="Arial"/>
          <w:sz w:val="24"/>
          <w:szCs w:val="24"/>
        </w:rPr>
      </w:pPr>
      <w:r w:rsidRPr="00C4057E">
        <w:rPr>
          <w:rFonts w:ascii="Arial" w:hAnsi="Arial" w:cs="Arial"/>
          <w:sz w:val="24"/>
          <w:szCs w:val="24"/>
        </w:rPr>
        <w:t>Data tracking and analysis is detailed such as total hits, hits by district, hits by contractor, hits by cause, etc.</w:t>
      </w:r>
    </w:p>
    <w:p w14:paraId="05ABEBA5" w14:textId="77777777" w:rsidR="00C4057E" w:rsidRPr="00C4057E" w:rsidRDefault="00C4057E" w:rsidP="00C4057E">
      <w:pPr>
        <w:widowControl w:val="0"/>
        <w:numPr>
          <w:ilvl w:val="0"/>
          <w:numId w:val="12"/>
        </w:numPr>
        <w:spacing w:after="0" w:line="240" w:lineRule="auto"/>
        <w:ind w:left="1080"/>
        <w:contextualSpacing/>
        <w:rPr>
          <w:rFonts w:ascii="Arial" w:hAnsi="Arial" w:cs="Arial"/>
          <w:sz w:val="24"/>
          <w:szCs w:val="24"/>
        </w:rPr>
      </w:pPr>
      <w:r w:rsidRPr="00C4057E">
        <w:rPr>
          <w:rFonts w:ascii="Arial" w:hAnsi="Arial" w:cs="Arial"/>
          <w:sz w:val="24"/>
          <w:szCs w:val="24"/>
        </w:rPr>
        <w:t>Damage reimbursement and recovery is detailed such as collections by year, collections by contractor, etc.</w:t>
      </w:r>
    </w:p>
    <w:p w14:paraId="2F7BC4ED" w14:textId="77777777" w:rsidR="00C4057E" w:rsidRPr="00C4057E" w:rsidRDefault="00C4057E" w:rsidP="00C4057E">
      <w:pPr>
        <w:spacing w:after="0" w:line="240" w:lineRule="auto"/>
        <w:rPr>
          <w:rFonts w:ascii="Arial" w:hAnsi="Arial" w:cs="Arial"/>
          <w:sz w:val="24"/>
          <w:szCs w:val="24"/>
        </w:rPr>
      </w:pPr>
    </w:p>
    <w:p w14:paraId="3A3E837A" w14:textId="77777777" w:rsidR="00C4057E" w:rsidRPr="00C4057E" w:rsidRDefault="00C4057E" w:rsidP="00C4057E">
      <w:pPr>
        <w:spacing w:after="0" w:line="240" w:lineRule="auto"/>
        <w:rPr>
          <w:rFonts w:ascii="Arial" w:hAnsi="Arial" w:cs="Arial"/>
          <w:sz w:val="24"/>
          <w:szCs w:val="24"/>
        </w:rPr>
      </w:pPr>
    </w:p>
    <w:p w14:paraId="0B46AED3" w14:textId="77777777" w:rsidR="00C4057E" w:rsidRPr="00C4057E" w:rsidRDefault="00C4057E" w:rsidP="00C4057E">
      <w:pPr>
        <w:spacing w:after="0" w:line="240" w:lineRule="auto"/>
        <w:ind w:firstLine="720"/>
        <w:rPr>
          <w:rFonts w:ascii="Arial" w:hAnsi="Arial" w:cs="Arial"/>
          <w:sz w:val="24"/>
          <w:szCs w:val="24"/>
        </w:rPr>
      </w:pPr>
      <w:r w:rsidRPr="00C4057E">
        <w:rPr>
          <w:rFonts w:ascii="Arial" w:hAnsi="Arial" w:cs="Arial"/>
          <w:sz w:val="24"/>
          <w:szCs w:val="24"/>
        </w:rPr>
        <w:t xml:space="preserve">The auditors believe that although a plan was developed, there should be additional details or practices in the plan that are not identified: </w:t>
      </w:r>
    </w:p>
    <w:p w14:paraId="31AD7D6A" w14:textId="77777777" w:rsidR="00C4057E" w:rsidRPr="00C4057E" w:rsidRDefault="00C4057E" w:rsidP="00C4057E">
      <w:pPr>
        <w:spacing w:after="0" w:line="240" w:lineRule="auto"/>
        <w:rPr>
          <w:rFonts w:ascii="Arial" w:hAnsi="Arial" w:cs="Arial"/>
          <w:sz w:val="24"/>
          <w:szCs w:val="24"/>
        </w:rPr>
      </w:pPr>
    </w:p>
    <w:p w14:paraId="67B11E27" w14:textId="77777777" w:rsidR="00C4057E" w:rsidRPr="00C4057E" w:rsidRDefault="00C4057E" w:rsidP="00C4057E">
      <w:pPr>
        <w:widowControl w:val="0"/>
        <w:numPr>
          <w:ilvl w:val="0"/>
          <w:numId w:val="12"/>
        </w:numPr>
        <w:spacing w:after="0" w:line="240" w:lineRule="auto"/>
        <w:ind w:left="1080"/>
        <w:contextualSpacing/>
        <w:rPr>
          <w:rFonts w:ascii="Arial" w:hAnsi="Arial" w:cs="Arial"/>
          <w:sz w:val="24"/>
          <w:szCs w:val="24"/>
        </w:rPr>
      </w:pPr>
      <w:r w:rsidRPr="00C4057E">
        <w:rPr>
          <w:rFonts w:ascii="Arial" w:hAnsi="Arial" w:cs="Arial"/>
          <w:sz w:val="24"/>
          <w:szCs w:val="24"/>
        </w:rPr>
        <w:t xml:space="preserve">The roles and responsibilities of the various employees involved in damage prevention </w:t>
      </w:r>
      <w:r w:rsidR="00AD6D1F">
        <w:rPr>
          <w:rFonts w:ascii="Arial" w:hAnsi="Arial" w:cs="Arial"/>
          <w:sz w:val="24"/>
          <w:szCs w:val="24"/>
        </w:rPr>
        <w:t>are</w:t>
      </w:r>
      <w:r w:rsidR="00AD6D1F" w:rsidRPr="00C4057E">
        <w:rPr>
          <w:rFonts w:ascii="Arial" w:hAnsi="Arial" w:cs="Arial"/>
          <w:sz w:val="24"/>
          <w:szCs w:val="24"/>
        </w:rPr>
        <w:t xml:space="preserve"> </w:t>
      </w:r>
      <w:r w:rsidRPr="00C4057E">
        <w:rPr>
          <w:rFonts w:ascii="Arial" w:hAnsi="Arial" w:cs="Arial"/>
          <w:sz w:val="24"/>
          <w:szCs w:val="24"/>
        </w:rPr>
        <w:t>not detailed in the Damage Prevention Plan</w:t>
      </w:r>
      <w:r w:rsidR="00AD6D1F">
        <w:rPr>
          <w:rFonts w:ascii="Arial" w:hAnsi="Arial" w:cs="Arial"/>
          <w:sz w:val="24"/>
          <w:szCs w:val="24"/>
        </w:rPr>
        <w:t>.</w:t>
      </w:r>
    </w:p>
    <w:p w14:paraId="10DEA56C" w14:textId="77777777" w:rsidR="00C4057E" w:rsidRPr="00C4057E" w:rsidRDefault="00C4057E" w:rsidP="00C4057E">
      <w:pPr>
        <w:widowControl w:val="0"/>
        <w:numPr>
          <w:ilvl w:val="0"/>
          <w:numId w:val="12"/>
        </w:numPr>
        <w:spacing w:after="0" w:line="240" w:lineRule="auto"/>
        <w:ind w:left="1080"/>
        <w:contextualSpacing/>
        <w:rPr>
          <w:rFonts w:ascii="Arial" w:hAnsi="Arial" w:cs="Arial"/>
          <w:sz w:val="24"/>
          <w:szCs w:val="24"/>
        </w:rPr>
      </w:pPr>
      <w:r w:rsidRPr="00C4057E">
        <w:rPr>
          <w:rFonts w:ascii="Arial" w:hAnsi="Arial" w:cs="Arial"/>
          <w:sz w:val="24"/>
          <w:szCs w:val="24"/>
        </w:rPr>
        <w:t>Engineering Practices (EP) 11-098 Locating Underground Electric Facilities &amp; One Call Guidelines exist, but there is no reference or hyperlink for these practices</w:t>
      </w:r>
      <w:r w:rsidR="00AD6D1F">
        <w:rPr>
          <w:rFonts w:ascii="Arial" w:hAnsi="Arial" w:cs="Arial"/>
          <w:sz w:val="24"/>
          <w:szCs w:val="24"/>
        </w:rPr>
        <w:t>.</w:t>
      </w:r>
    </w:p>
    <w:p w14:paraId="487CDF40" w14:textId="77777777" w:rsidR="00C4057E" w:rsidRPr="00C4057E" w:rsidRDefault="00C4057E" w:rsidP="00C4057E">
      <w:pPr>
        <w:widowControl w:val="0"/>
        <w:numPr>
          <w:ilvl w:val="0"/>
          <w:numId w:val="12"/>
        </w:numPr>
        <w:spacing w:after="0" w:line="240" w:lineRule="auto"/>
        <w:ind w:left="1080"/>
        <w:contextualSpacing/>
        <w:rPr>
          <w:rFonts w:ascii="Arial" w:hAnsi="Arial" w:cs="Arial"/>
          <w:sz w:val="24"/>
          <w:szCs w:val="24"/>
        </w:rPr>
      </w:pPr>
      <w:r w:rsidRPr="00C4057E">
        <w:rPr>
          <w:rFonts w:ascii="Arial" w:hAnsi="Arial" w:cs="Arial"/>
          <w:sz w:val="24"/>
          <w:szCs w:val="24"/>
        </w:rPr>
        <w:t>Various handouts for customer and contractor installation specifications exist but are not referenced or hyperlinked.  Several examples are EP11-150, Trenching &amp; Backfilling of Underground Primary &amp; Secondary; EP 11-200 Single-Phase Underground Residential Developments; EP 11-250 Three</w:t>
      </w:r>
      <w:r w:rsidRPr="00C4057E">
        <w:rPr>
          <w:rFonts w:ascii="Arial" w:hAnsi="Arial" w:cs="Arial"/>
          <w:sz w:val="24"/>
          <w:szCs w:val="24"/>
        </w:rPr>
        <w:noBreakHyphen/>
        <w:t>Phase Underground</w:t>
      </w:r>
      <w:r w:rsidR="00AD6D1F">
        <w:rPr>
          <w:rFonts w:ascii="Arial" w:hAnsi="Arial" w:cs="Arial"/>
          <w:sz w:val="24"/>
          <w:szCs w:val="24"/>
        </w:rPr>
        <w:t>.</w:t>
      </w:r>
    </w:p>
    <w:p w14:paraId="798D6ADF" w14:textId="77777777" w:rsidR="00C4057E" w:rsidRPr="00C4057E" w:rsidRDefault="00C4057E" w:rsidP="00C4057E">
      <w:pPr>
        <w:widowControl w:val="0"/>
        <w:numPr>
          <w:ilvl w:val="0"/>
          <w:numId w:val="12"/>
        </w:numPr>
        <w:spacing w:after="0" w:line="240" w:lineRule="auto"/>
        <w:ind w:left="1080"/>
        <w:contextualSpacing/>
        <w:rPr>
          <w:rFonts w:ascii="Arial" w:hAnsi="Arial" w:cs="Arial"/>
          <w:sz w:val="24"/>
          <w:szCs w:val="24"/>
        </w:rPr>
      </w:pPr>
      <w:r w:rsidRPr="00C4057E">
        <w:rPr>
          <w:rFonts w:ascii="Arial" w:hAnsi="Arial" w:cs="Arial"/>
          <w:sz w:val="24"/>
          <w:szCs w:val="24"/>
        </w:rPr>
        <w:t>The process for excavator identification and notification of repeat offenders was not detailed</w:t>
      </w:r>
      <w:r w:rsidR="00AD6D1F">
        <w:rPr>
          <w:rFonts w:ascii="Arial" w:hAnsi="Arial" w:cs="Arial"/>
          <w:sz w:val="24"/>
          <w:szCs w:val="24"/>
        </w:rPr>
        <w:t>.</w:t>
      </w:r>
    </w:p>
    <w:p w14:paraId="4149D7EF" w14:textId="77777777" w:rsidR="00C4057E" w:rsidRPr="00C4057E" w:rsidRDefault="00C4057E" w:rsidP="00C4057E">
      <w:pPr>
        <w:widowControl w:val="0"/>
        <w:numPr>
          <w:ilvl w:val="0"/>
          <w:numId w:val="12"/>
        </w:numPr>
        <w:spacing w:after="0" w:line="240" w:lineRule="auto"/>
        <w:ind w:left="1080"/>
        <w:contextualSpacing/>
        <w:rPr>
          <w:rFonts w:ascii="Arial" w:hAnsi="Arial" w:cs="Arial"/>
          <w:sz w:val="24"/>
          <w:szCs w:val="24"/>
        </w:rPr>
      </w:pPr>
      <w:r w:rsidRPr="00C4057E">
        <w:rPr>
          <w:rFonts w:ascii="Arial" w:hAnsi="Arial" w:cs="Arial"/>
          <w:sz w:val="24"/>
          <w:szCs w:val="24"/>
        </w:rPr>
        <w:t>There are no standards for mapping.  For security reasons, FirstEnergy may not want the full scope of all mapping capabilities or information detailed in the plan; however, a reference should be detailed with the individual responsible for this function.</w:t>
      </w:r>
    </w:p>
    <w:p w14:paraId="48EDCD75" w14:textId="77777777" w:rsidR="00C4057E" w:rsidRPr="00C4057E" w:rsidRDefault="00C4057E" w:rsidP="00C4057E">
      <w:pPr>
        <w:spacing w:after="0" w:line="240" w:lineRule="auto"/>
        <w:rPr>
          <w:rFonts w:ascii="Arial" w:hAnsi="Arial" w:cs="Arial"/>
          <w:b/>
        </w:rPr>
      </w:pPr>
    </w:p>
    <w:p w14:paraId="65EFCEFA" w14:textId="77777777" w:rsidR="00C4057E" w:rsidRPr="00C4057E" w:rsidRDefault="00C4057E" w:rsidP="00C4057E">
      <w:pPr>
        <w:spacing w:after="0" w:line="240" w:lineRule="auto"/>
        <w:rPr>
          <w:rFonts w:ascii="Arial" w:hAnsi="Arial" w:cs="Arial"/>
          <w:b/>
        </w:rPr>
      </w:pPr>
    </w:p>
    <w:p w14:paraId="3BE445FB" w14:textId="77777777" w:rsidR="00C4057E" w:rsidRPr="00C4057E" w:rsidRDefault="00C4057E" w:rsidP="00C4057E">
      <w:pPr>
        <w:spacing w:after="0" w:line="240" w:lineRule="auto"/>
        <w:ind w:firstLine="720"/>
        <w:rPr>
          <w:rFonts w:ascii="Arial" w:hAnsi="Arial" w:cs="Arial"/>
          <w:sz w:val="24"/>
          <w:szCs w:val="24"/>
        </w:rPr>
      </w:pPr>
      <w:r w:rsidRPr="00C4057E">
        <w:rPr>
          <w:rFonts w:ascii="Arial" w:hAnsi="Arial" w:cs="Arial"/>
          <w:sz w:val="24"/>
          <w:szCs w:val="24"/>
        </w:rPr>
        <w:t xml:space="preserve">With many operational practices </w:t>
      </w:r>
      <w:r w:rsidR="008831B7">
        <w:rPr>
          <w:rFonts w:ascii="Arial" w:hAnsi="Arial" w:cs="Arial"/>
          <w:sz w:val="24"/>
          <w:szCs w:val="24"/>
        </w:rPr>
        <w:t xml:space="preserve">addressed in separate manuals but </w:t>
      </w:r>
      <w:r w:rsidRPr="00C4057E">
        <w:rPr>
          <w:rFonts w:ascii="Arial" w:hAnsi="Arial" w:cs="Arial"/>
          <w:sz w:val="24"/>
          <w:szCs w:val="24"/>
        </w:rPr>
        <w:t xml:space="preserve">not fully referenced in the Damage Prevention Program, newer employees or employees who do not typically work with damage prevention would not be able to </w:t>
      </w:r>
      <w:r w:rsidR="004E3988">
        <w:rPr>
          <w:rFonts w:ascii="Arial" w:hAnsi="Arial" w:cs="Arial"/>
          <w:sz w:val="24"/>
          <w:szCs w:val="24"/>
        </w:rPr>
        <w:t>understand</w:t>
      </w:r>
      <w:r w:rsidR="004E3988" w:rsidRPr="00C4057E">
        <w:rPr>
          <w:rFonts w:ascii="Arial" w:hAnsi="Arial" w:cs="Arial"/>
          <w:sz w:val="24"/>
          <w:szCs w:val="24"/>
        </w:rPr>
        <w:t xml:space="preserve"> </w:t>
      </w:r>
      <w:r w:rsidRPr="00C4057E">
        <w:rPr>
          <w:rFonts w:ascii="Arial" w:hAnsi="Arial" w:cs="Arial"/>
          <w:sz w:val="24"/>
          <w:szCs w:val="24"/>
        </w:rPr>
        <w:t>the manual in its entirety, leading to the potential for delays or errors in line marking, facility mapping, knowing or understanding proper procedures, etc., and these could contribute to future line hits.</w:t>
      </w:r>
    </w:p>
    <w:p w14:paraId="3F5D7D02" w14:textId="77777777" w:rsidR="00C4057E" w:rsidRPr="00C4057E" w:rsidRDefault="00C4057E" w:rsidP="00C4057E">
      <w:pPr>
        <w:spacing w:after="0" w:line="240" w:lineRule="auto"/>
        <w:rPr>
          <w:rFonts w:ascii="Arial" w:hAnsi="Arial" w:cs="Arial"/>
          <w:b/>
        </w:rPr>
      </w:pPr>
    </w:p>
    <w:p w14:paraId="009192DE" w14:textId="77777777" w:rsidR="00C4057E" w:rsidRPr="00C4057E" w:rsidRDefault="00C4057E" w:rsidP="00C4057E">
      <w:pPr>
        <w:spacing w:after="0" w:line="240" w:lineRule="auto"/>
        <w:rPr>
          <w:rFonts w:ascii="Arial" w:hAnsi="Arial" w:cs="Arial"/>
          <w:b/>
        </w:rPr>
      </w:pPr>
      <w:bookmarkStart w:id="35" w:name="_Hlk512344086"/>
      <w:r w:rsidRPr="00C4057E">
        <w:rPr>
          <w:rFonts w:ascii="Arial" w:eastAsia="Times New Roman" w:hAnsi="Arial" w:cs="Arial"/>
          <w:b/>
          <w:snapToGrid w:val="0"/>
          <w:sz w:val="24"/>
          <w:szCs w:val="20"/>
          <w:u w:val="single"/>
        </w:rPr>
        <w:t xml:space="preserve">Follow-up </w:t>
      </w:r>
      <w:r w:rsidRPr="00C4057E">
        <w:rPr>
          <w:rFonts w:ascii="Arial" w:hAnsi="Arial" w:cs="Arial"/>
          <w:b/>
          <w:bCs/>
          <w:color w:val="000000"/>
          <w:sz w:val="24"/>
          <w:szCs w:val="24"/>
          <w:u w:val="single"/>
        </w:rPr>
        <w:t>Recommendation</w:t>
      </w:r>
      <w:r w:rsidRPr="00C4057E">
        <w:rPr>
          <w:rFonts w:ascii="Arial" w:hAnsi="Arial" w:cs="Arial"/>
          <w:b/>
          <w:bCs/>
          <w:color w:val="000000"/>
          <w:sz w:val="24"/>
          <w:szCs w:val="24"/>
        </w:rPr>
        <w:t xml:space="preserve"> – </w:t>
      </w:r>
      <w:r w:rsidRPr="00C4057E">
        <w:rPr>
          <w:rFonts w:ascii="Arial" w:hAnsi="Arial" w:cs="Arial"/>
          <w:b/>
          <w:sz w:val="24"/>
          <w:szCs w:val="24"/>
        </w:rPr>
        <w:t xml:space="preserve">Enhance </w:t>
      </w:r>
      <w:bookmarkEnd w:id="35"/>
      <w:r w:rsidRPr="00C4057E">
        <w:rPr>
          <w:rFonts w:ascii="Arial" w:hAnsi="Arial" w:cs="Arial"/>
          <w:b/>
          <w:sz w:val="24"/>
          <w:szCs w:val="24"/>
        </w:rPr>
        <w:t>the Damage Prevention Program by defining roles and responsibilities, developing mapping standards, and fully referencing all operational practices and manuals within the Damage Prevention Program.</w:t>
      </w:r>
    </w:p>
    <w:p w14:paraId="6BBBF9A8" w14:textId="77777777" w:rsidR="00C4057E" w:rsidRPr="00C4057E" w:rsidRDefault="00C4057E" w:rsidP="00C4057E">
      <w:pPr>
        <w:spacing w:after="0" w:line="240" w:lineRule="auto"/>
        <w:rPr>
          <w:rFonts w:ascii="Arial" w:hAnsi="Arial" w:cs="Arial"/>
          <w:b/>
        </w:rPr>
      </w:pPr>
    </w:p>
    <w:p w14:paraId="256585EA" w14:textId="77777777" w:rsidR="00C4057E" w:rsidRPr="00C4057E" w:rsidRDefault="00C4057E" w:rsidP="00C4057E">
      <w:pPr>
        <w:rPr>
          <w:rFonts w:ascii="Arial" w:hAnsi="Arial" w:cs="Arial"/>
          <w:b/>
        </w:rPr>
      </w:pPr>
      <w:r w:rsidRPr="00C4057E">
        <w:rPr>
          <w:rFonts w:ascii="Arial" w:hAnsi="Arial" w:cs="Arial"/>
          <w:b/>
        </w:rPr>
        <w:br w:type="page"/>
      </w:r>
    </w:p>
    <w:p w14:paraId="42CF25F8" w14:textId="77777777" w:rsidR="00C4057E" w:rsidRPr="00C4057E" w:rsidRDefault="00C4057E" w:rsidP="00C4057E">
      <w:pPr>
        <w:spacing w:after="0" w:line="240" w:lineRule="auto"/>
        <w:jc w:val="center"/>
        <w:rPr>
          <w:rFonts w:ascii="Arial" w:hAnsi="Arial" w:cs="Arial"/>
          <w:b/>
          <w:sz w:val="24"/>
          <w:szCs w:val="24"/>
          <w:u w:val="single"/>
        </w:rPr>
      </w:pPr>
      <w:r w:rsidRPr="00C4057E">
        <w:rPr>
          <w:rFonts w:ascii="Arial" w:hAnsi="Arial" w:cs="Arial"/>
          <w:b/>
          <w:sz w:val="24"/>
          <w:szCs w:val="24"/>
          <w:u w:val="single"/>
        </w:rPr>
        <w:t>Finding No. VII-6</w:t>
      </w:r>
    </w:p>
    <w:p w14:paraId="1FF06B45" w14:textId="77777777" w:rsidR="00C4057E" w:rsidRPr="00C4057E" w:rsidRDefault="00C4057E" w:rsidP="00C4057E">
      <w:pPr>
        <w:spacing w:after="0" w:line="240" w:lineRule="auto"/>
        <w:rPr>
          <w:rFonts w:ascii="Arial" w:hAnsi="Arial" w:cs="Arial"/>
          <w:b/>
        </w:rPr>
      </w:pPr>
    </w:p>
    <w:p w14:paraId="654FF72D" w14:textId="77777777" w:rsidR="00C4057E" w:rsidRPr="00C4057E" w:rsidRDefault="00C4057E" w:rsidP="00C4057E">
      <w:pPr>
        <w:spacing w:line="240" w:lineRule="auto"/>
        <w:rPr>
          <w:rFonts w:ascii="Arial" w:hAnsi="Arial" w:cs="Arial"/>
          <w:sz w:val="24"/>
        </w:rPr>
      </w:pPr>
      <w:r w:rsidRPr="00C4057E">
        <w:rPr>
          <w:rFonts w:ascii="Arial" w:hAnsi="Arial" w:cs="Arial"/>
          <w:b/>
          <w:sz w:val="24"/>
          <w:szCs w:val="24"/>
          <w:u w:val="single"/>
        </w:rPr>
        <w:t>Prior Situation</w:t>
      </w:r>
      <w:r w:rsidRPr="00C4057E">
        <w:rPr>
          <w:rFonts w:ascii="Arial" w:hAnsi="Arial" w:cs="Arial"/>
          <w:sz w:val="24"/>
          <w:szCs w:val="24"/>
        </w:rPr>
        <w:t xml:space="preserve"> – Priority 3 (P3) repairs are transmission repairs for defects that do not create an immediate risk of a line outage and normally repaired or re-inspected within 12 months to determine if the defect has deteriorated to a Priority 2.  (P2’s must be repaired within three months).  Met-Ed and Penelec had an excessive backlog of P3 repairs as of December 2013 (note that Penn Power and West Penn Power did not have backlog issues).  Met-Ed had a backlog of 581 P3 repairs while Penelec had a backlog of 1,985 P3 repairs.  When this backlog was considered with the number of open P3 repairs (repairs that had not yet become one year old) and the rate of repair, it appeared that neither company was going to be </w:t>
      </w:r>
      <w:r w:rsidR="00185A9A">
        <w:rPr>
          <w:rFonts w:ascii="Arial" w:hAnsi="Arial" w:cs="Arial"/>
          <w:sz w:val="24"/>
          <w:szCs w:val="24"/>
        </w:rPr>
        <w:t>able to overcome</w:t>
      </w:r>
      <w:r w:rsidRPr="00C4057E">
        <w:rPr>
          <w:rFonts w:ascii="Arial" w:hAnsi="Arial" w:cs="Arial"/>
          <w:sz w:val="24"/>
          <w:szCs w:val="24"/>
        </w:rPr>
        <w:t xml:space="preserve"> the backlog of P3 repairs that were needed without modifying their plans.  This was reflected in the Executive Leadership Team Reports which detailed the two companies’ maintenance repairs were not progressing according to the goals established.  In 2013, Met-Ed had a total of 1,363 P3 repairs that were either open or backlogged compared to a repair rate of 553.  Although Met-Ed was making progress in reducing its P3 backlog, the auditors noted that it needed to continue its efforts to eliminate its current backlog.  Penelec had a total of 4,471 P3 repairs that were either open or backlogged compared to a repair rate of 346.</w:t>
      </w:r>
      <w:r w:rsidRPr="00C4057E">
        <w:rPr>
          <w:rFonts w:ascii="Arial" w:hAnsi="Arial" w:cs="Arial"/>
          <w:sz w:val="24"/>
        </w:rPr>
        <w:t xml:space="preserve">  During most of the period examined, Penelec had only one internal transmission crew dedicated to working on the backlog.  </w:t>
      </w:r>
      <w:r w:rsidR="00080DC0" w:rsidRPr="00C4057E">
        <w:rPr>
          <w:rFonts w:ascii="Arial" w:hAnsi="Arial" w:cs="Arial"/>
          <w:sz w:val="24"/>
        </w:rPr>
        <w:t>To</w:t>
      </w:r>
      <w:r w:rsidRPr="00C4057E">
        <w:rPr>
          <w:rFonts w:ascii="Arial" w:hAnsi="Arial" w:cs="Arial"/>
          <w:sz w:val="24"/>
        </w:rPr>
        <w:t xml:space="preserve"> reverse its P3 backlog trend, the auditors stated that Penelec would need to devote additional resources to be consistent with corporate and regulatory expectations.</w:t>
      </w:r>
    </w:p>
    <w:p w14:paraId="47CA73A1" w14:textId="77777777" w:rsidR="00C4057E" w:rsidRPr="00C4057E" w:rsidRDefault="00C4057E" w:rsidP="00C4057E">
      <w:pPr>
        <w:spacing w:after="0" w:line="240" w:lineRule="auto"/>
        <w:rPr>
          <w:rFonts w:ascii="Arial" w:hAnsi="Arial" w:cs="Arial"/>
          <w:sz w:val="24"/>
          <w:szCs w:val="24"/>
        </w:rPr>
      </w:pPr>
      <w:r w:rsidRPr="00C4057E">
        <w:rPr>
          <w:rFonts w:ascii="Arial" w:hAnsi="Arial" w:cs="Arial"/>
          <w:b/>
          <w:sz w:val="24"/>
          <w:szCs w:val="24"/>
          <w:u w:val="single"/>
        </w:rPr>
        <w:t xml:space="preserve">Prior Recommendation </w:t>
      </w:r>
      <w:r w:rsidRPr="00C4057E">
        <w:rPr>
          <w:rFonts w:ascii="Arial" w:hAnsi="Arial" w:cs="Arial"/>
          <w:sz w:val="24"/>
          <w:szCs w:val="24"/>
        </w:rPr>
        <w:t>– Implement and/or modify backlog reduction plans for Met-Ed and Penelec in order to effectively and efficiently reduce the number of overdue Priority 3 conditions.</w:t>
      </w:r>
    </w:p>
    <w:p w14:paraId="3CC2D21D" w14:textId="77777777" w:rsidR="00C4057E" w:rsidRPr="00C4057E" w:rsidRDefault="00C4057E" w:rsidP="00C4057E">
      <w:pPr>
        <w:spacing w:after="0" w:line="240" w:lineRule="auto"/>
        <w:rPr>
          <w:rFonts w:ascii="Arial" w:hAnsi="Arial" w:cs="Arial"/>
          <w:sz w:val="24"/>
          <w:szCs w:val="24"/>
        </w:rPr>
      </w:pPr>
    </w:p>
    <w:p w14:paraId="19036839" w14:textId="77777777" w:rsidR="00C4057E" w:rsidRPr="00C4057E" w:rsidRDefault="00C4057E" w:rsidP="00C4057E">
      <w:pPr>
        <w:spacing w:after="0" w:line="240" w:lineRule="auto"/>
        <w:rPr>
          <w:rFonts w:ascii="Arial" w:hAnsi="Arial" w:cs="Arial"/>
          <w:b/>
        </w:rPr>
      </w:pPr>
      <w:r w:rsidRPr="00C4057E">
        <w:rPr>
          <w:rFonts w:ascii="Arial" w:hAnsi="Arial" w:cs="Arial"/>
          <w:b/>
          <w:sz w:val="24"/>
          <w:szCs w:val="24"/>
          <w:u w:val="single"/>
        </w:rPr>
        <w:t>Follow-up Finding and Conclusion</w:t>
      </w:r>
      <w:r w:rsidR="00F65A25" w:rsidRPr="00F65A25">
        <w:rPr>
          <w:rFonts w:ascii="Arial" w:eastAsia="Times New Roman" w:hAnsi="Arial" w:cs="Times New Roman"/>
          <w:b/>
          <w:sz w:val="24"/>
          <w:szCs w:val="24"/>
          <w:u w:val="single"/>
        </w:rPr>
        <w:t xml:space="preserve"> </w:t>
      </w:r>
      <w:r w:rsidR="00F65A25">
        <w:rPr>
          <w:rFonts w:ascii="Arial" w:eastAsia="Times New Roman" w:hAnsi="Arial" w:cs="Times New Roman"/>
          <w:b/>
          <w:sz w:val="24"/>
          <w:szCs w:val="24"/>
          <w:u w:val="single"/>
        </w:rPr>
        <w:t>No. VII</w:t>
      </w:r>
      <w:r w:rsidR="00F65A25" w:rsidRPr="00B146D6">
        <w:rPr>
          <w:rFonts w:ascii="Arial" w:eastAsia="Times New Roman" w:hAnsi="Arial" w:cs="Times New Roman"/>
          <w:b/>
          <w:sz w:val="24"/>
          <w:szCs w:val="24"/>
          <w:u w:val="single"/>
        </w:rPr>
        <w:t>-</w:t>
      </w:r>
      <w:r w:rsidR="00F65A25">
        <w:rPr>
          <w:rFonts w:ascii="Arial" w:eastAsia="Times New Roman" w:hAnsi="Arial" w:cs="Times New Roman"/>
          <w:b/>
          <w:sz w:val="24"/>
          <w:szCs w:val="24"/>
          <w:u w:val="single"/>
        </w:rPr>
        <w:t>6</w:t>
      </w:r>
      <w:r w:rsidRPr="00C4057E">
        <w:rPr>
          <w:rFonts w:ascii="Arial" w:hAnsi="Arial" w:cs="Arial"/>
          <w:b/>
          <w:sz w:val="24"/>
          <w:szCs w:val="24"/>
        </w:rPr>
        <w:t xml:space="preserve"> </w:t>
      </w:r>
      <w:r w:rsidRPr="00C4057E">
        <w:rPr>
          <w:rFonts w:ascii="Arial" w:hAnsi="Arial" w:cs="Arial"/>
          <w:sz w:val="24"/>
          <w:szCs w:val="24"/>
        </w:rPr>
        <w:t>–</w:t>
      </w:r>
      <w:r w:rsidRPr="00C4057E">
        <w:rPr>
          <w:rFonts w:ascii="Arial" w:hAnsi="Arial" w:cs="Arial"/>
          <w:b/>
          <w:sz w:val="24"/>
          <w:szCs w:val="24"/>
        </w:rPr>
        <w:t xml:space="preserve"> Met-Ed and Penelec are on pace to eliminate P3 backlogs by the end of 2019.</w:t>
      </w:r>
    </w:p>
    <w:p w14:paraId="32C20356" w14:textId="77777777" w:rsidR="00C4057E" w:rsidRPr="00C4057E" w:rsidRDefault="00C4057E" w:rsidP="00C4057E">
      <w:pPr>
        <w:spacing w:after="0" w:line="240" w:lineRule="auto"/>
        <w:rPr>
          <w:rFonts w:ascii="Arial" w:hAnsi="Arial" w:cs="Arial"/>
          <w:b/>
        </w:rPr>
      </w:pPr>
    </w:p>
    <w:p w14:paraId="5806CFA9" w14:textId="77777777" w:rsidR="00C4057E" w:rsidRPr="00C4057E" w:rsidRDefault="00C4057E" w:rsidP="00C4057E">
      <w:pPr>
        <w:spacing w:after="0" w:line="240" w:lineRule="auto"/>
        <w:rPr>
          <w:rFonts w:ascii="Arial" w:hAnsi="Arial" w:cs="Arial"/>
          <w:sz w:val="24"/>
          <w:szCs w:val="24"/>
        </w:rPr>
      </w:pPr>
      <w:r w:rsidRPr="00C4057E">
        <w:rPr>
          <w:rFonts w:ascii="Arial" w:hAnsi="Arial" w:cs="Arial"/>
          <w:b/>
          <w:u w:val="single"/>
        </w:rPr>
        <w:t>Current Review</w:t>
      </w:r>
      <w:r w:rsidRPr="00C4057E">
        <w:rPr>
          <w:rFonts w:ascii="Arial" w:hAnsi="Arial" w:cs="Arial"/>
        </w:rPr>
        <w:t xml:space="preserve"> – </w:t>
      </w:r>
      <w:r w:rsidRPr="00C4057E">
        <w:rPr>
          <w:rFonts w:ascii="Arial" w:hAnsi="Arial" w:cs="Arial"/>
          <w:sz w:val="24"/>
          <w:szCs w:val="24"/>
        </w:rPr>
        <w:t>Subsequent to the management audit, Met-Ed and Penelec developed five-year plans to address the P3 backlogs.  This plan consisted of reducing the backlog over the 2015 to 2019 period by 10%,10%, 25%, 25%, and 30% each year, respectively, through additional transmission staffing.  (Note that as time would pass</w:t>
      </w:r>
      <w:r w:rsidR="00C80388">
        <w:rPr>
          <w:rFonts w:ascii="Arial" w:hAnsi="Arial" w:cs="Arial"/>
          <w:sz w:val="24"/>
          <w:szCs w:val="24"/>
        </w:rPr>
        <w:t>,</w:t>
      </w:r>
      <w:r w:rsidRPr="00C4057E">
        <w:rPr>
          <w:rFonts w:ascii="Arial" w:hAnsi="Arial" w:cs="Arial"/>
          <w:sz w:val="24"/>
          <w:szCs w:val="24"/>
        </w:rPr>
        <w:t xml:space="preserve"> new P3 repairs would make the list and these would be addressed in addition to the backlog reduction plan).  With this plan, Met-Ed and Penelec specifically targeted the highest potential P3 repairs in the earlier stages of the five-year plan (as these repairs tend to be more involved and take more time and effort), which resulted in a lower percentage of P3 repairs planned in the early stages of the five-year plan.  At the end of field work for the MEI in April 2018, most of the backlogged repairs were minor in nature, but still within the P3 definition.  Both Met-Ed and Penelec expected to eliminate the P3 backlogs before the end of 2019.  Exhibits VII-12 and VII-13 detail the progress of P3 backlogged repairs against the original planned schedule as detailed in their Implementation Plan.  Both Met-Ed and Penelec are ahead of their planned repairs as of the end of 2017.</w:t>
      </w:r>
    </w:p>
    <w:p w14:paraId="185962EF" w14:textId="77777777" w:rsidR="00C4057E" w:rsidRPr="00C4057E" w:rsidRDefault="00C4057E" w:rsidP="00C4057E">
      <w:pPr>
        <w:spacing w:after="0" w:line="240" w:lineRule="auto"/>
        <w:rPr>
          <w:rFonts w:ascii="Arial" w:hAnsi="Arial" w:cs="Arial"/>
          <w:sz w:val="24"/>
          <w:szCs w:val="24"/>
        </w:rPr>
      </w:pPr>
    </w:p>
    <w:p w14:paraId="38352AD0" w14:textId="77777777" w:rsidR="00C4057E" w:rsidRPr="00C4057E" w:rsidRDefault="00C4057E" w:rsidP="00C4057E">
      <w:pPr>
        <w:rPr>
          <w:rFonts w:ascii="Arial" w:hAnsi="Arial" w:cs="Arial"/>
          <w:b/>
          <w:sz w:val="24"/>
          <w:szCs w:val="24"/>
        </w:rPr>
      </w:pPr>
    </w:p>
    <w:p w14:paraId="6AB84C0B" w14:textId="77777777" w:rsidR="0086784A" w:rsidRDefault="0086784A">
      <w:pPr>
        <w:rPr>
          <w:rFonts w:ascii="Arial" w:hAnsi="Arial" w:cs="Arial"/>
          <w:b/>
          <w:sz w:val="24"/>
          <w:szCs w:val="24"/>
        </w:rPr>
      </w:pPr>
      <w:r>
        <w:rPr>
          <w:rFonts w:ascii="Arial" w:hAnsi="Arial" w:cs="Arial"/>
          <w:b/>
          <w:sz w:val="24"/>
          <w:szCs w:val="24"/>
        </w:rPr>
        <w:br w:type="page"/>
      </w:r>
    </w:p>
    <w:p w14:paraId="3B4A4412"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Exhibit VII – 12</w:t>
      </w:r>
    </w:p>
    <w:p w14:paraId="2B224CF8"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Metropolitan Edison Company</w:t>
      </w:r>
    </w:p>
    <w:p w14:paraId="5DEF852F"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Priority 3 Repairs Compared to Implementation Plan Estimated End Dates</w:t>
      </w:r>
    </w:p>
    <w:p w14:paraId="48D533AA" w14:textId="77777777" w:rsidR="00C4057E" w:rsidRDefault="00C4057E" w:rsidP="00C4057E">
      <w:pPr>
        <w:spacing w:after="0" w:line="240" w:lineRule="auto"/>
        <w:jc w:val="center"/>
        <w:rPr>
          <w:rFonts w:ascii="Arial" w:hAnsi="Arial" w:cs="Arial"/>
          <w:b/>
          <w:sz w:val="24"/>
          <w:szCs w:val="24"/>
        </w:rPr>
      </w:pPr>
      <w:r w:rsidRPr="00C4057E">
        <w:rPr>
          <w:rFonts w:ascii="Arial" w:hAnsi="Arial" w:cs="Arial"/>
          <w:b/>
          <w:sz w:val="24"/>
          <w:szCs w:val="24"/>
        </w:rPr>
        <w:t>As of December 2017</w:t>
      </w:r>
    </w:p>
    <w:p w14:paraId="362BE78F" w14:textId="77777777" w:rsidR="005A2AFB" w:rsidRPr="005A2AFB" w:rsidRDefault="005A2AFB" w:rsidP="00C4057E">
      <w:pPr>
        <w:spacing w:after="0" w:line="240" w:lineRule="auto"/>
        <w:jc w:val="center"/>
        <w:rPr>
          <w:rFonts w:ascii="Arial" w:hAnsi="Arial" w:cs="Arial"/>
          <w:b/>
          <w:sz w:val="4"/>
          <w:szCs w:val="4"/>
        </w:rPr>
      </w:pPr>
    </w:p>
    <w:p w14:paraId="4D5F3AE1" w14:textId="77777777" w:rsidR="00C4057E" w:rsidRPr="00C4057E" w:rsidRDefault="00C4057E" w:rsidP="00C4057E">
      <w:pPr>
        <w:spacing w:after="0" w:line="240" w:lineRule="auto"/>
        <w:rPr>
          <w:rFonts w:ascii="Arial" w:hAnsi="Arial" w:cs="Arial"/>
          <w:b/>
        </w:rPr>
      </w:pPr>
      <w:r w:rsidRPr="00C4057E">
        <w:rPr>
          <w:rFonts w:ascii="Arial" w:hAnsi="Arial" w:cs="Arial"/>
          <w:b/>
        </w:rPr>
        <w:object w:dxaOrig="16536" w:dyaOrig="5145" w14:anchorId="58406B68">
          <v:shape id="_x0000_i1029" type="#_x0000_t75" style="width:511.2pt;height:209.35pt" o:ole="">
            <v:imagedata r:id="rId52" o:title=""/>
          </v:shape>
          <o:OLEObject Type="Embed" ProgID="Excel.Sheet.12" ShapeID="_x0000_i1029" DrawAspect="Content" ObjectID="_1599049579" r:id="rId53"/>
        </w:object>
      </w:r>
    </w:p>
    <w:p w14:paraId="5962B316" w14:textId="77777777" w:rsidR="00C4057E" w:rsidRPr="00C4057E" w:rsidRDefault="00C4057E" w:rsidP="00C4057E">
      <w:pPr>
        <w:spacing w:after="0" w:line="240" w:lineRule="auto"/>
        <w:rPr>
          <w:rFonts w:ascii="Arial" w:hAnsi="Arial" w:cs="Arial"/>
          <w:sz w:val="18"/>
          <w:szCs w:val="18"/>
        </w:rPr>
      </w:pPr>
      <w:r w:rsidRPr="00C4057E">
        <w:rPr>
          <w:rFonts w:ascii="Arial" w:hAnsi="Arial" w:cs="Arial"/>
          <w:sz w:val="18"/>
          <w:szCs w:val="18"/>
        </w:rPr>
        <w:t>Source: FirstEnergy 2015 Implementation Plan, Data Request TD-22, and Auditor Analysis</w:t>
      </w:r>
    </w:p>
    <w:p w14:paraId="3A7D3BAB" w14:textId="77777777" w:rsidR="00C4057E" w:rsidRPr="00C4057E" w:rsidRDefault="00C4057E" w:rsidP="00C4057E">
      <w:pPr>
        <w:spacing w:after="0" w:line="240" w:lineRule="auto"/>
        <w:rPr>
          <w:rFonts w:ascii="Arial" w:hAnsi="Arial" w:cs="Arial"/>
          <w:sz w:val="24"/>
          <w:szCs w:val="24"/>
        </w:rPr>
      </w:pPr>
    </w:p>
    <w:p w14:paraId="7166DF71" w14:textId="77777777" w:rsidR="00C4057E" w:rsidRPr="00C4057E" w:rsidRDefault="00C4057E" w:rsidP="00C4057E">
      <w:pPr>
        <w:spacing w:after="0" w:line="240" w:lineRule="auto"/>
        <w:rPr>
          <w:rFonts w:ascii="Arial" w:hAnsi="Arial" w:cs="Arial"/>
          <w:sz w:val="24"/>
          <w:szCs w:val="24"/>
        </w:rPr>
      </w:pPr>
    </w:p>
    <w:p w14:paraId="1296E777"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Exhibit VII – 13</w:t>
      </w:r>
    </w:p>
    <w:p w14:paraId="423A8BFC"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Pennsylvania Electric Company</w:t>
      </w:r>
    </w:p>
    <w:p w14:paraId="5B190E86" w14:textId="77777777" w:rsidR="00C4057E" w:rsidRPr="00C4057E" w:rsidRDefault="00C4057E" w:rsidP="00C4057E">
      <w:pPr>
        <w:widowControl w:val="0"/>
        <w:spacing w:after="0" w:line="240" w:lineRule="auto"/>
        <w:jc w:val="center"/>
        <w:rPr>
          <w:rFonts w:ascii="Arial" w:hAnsi="Arial" w:cs="Arial"/>
          <w:b/>
          <w:sz w:val="24"/>
          <w:szCs w:val="24"/>
        </w:rPr>
      </w:pPr>
      <w:r w:rsidRPr="00C4057E">
        <w:rPr>
          <w:rFonts w:ascii="Arial" w:hAnsi="Arial" w:cs="Arial"/>
          <w:b/>
          <w:sz w:val="24"/>
          <w:szCs w:val="24"/>
        </w:rPr>
        <w:t>Priority 3 Repairs Compared to Implementation Plan Estimated End Dates</w:t>
      </w:r>
    </w:p>
    <w:p w14:paraId="6B4F0B8F" w14:textId="77777777" w:rsidR="00C4057E" w:rsidRPr="00C4057E" w:rsidRDefault="00C4057E" w:rsidP="00C4057E">
      <w:pPr>
        <w:spacing w:after="0" w:line="240" w:lineRule="auto"/>
        <w:jc w:val="center"/>
        <w:rPr>
          <w:rFonts w:ascii="Arial" w:hAnsi="Arial" w:cs="Arial"/>
          <w:b/>
          <w:sz w:val="24"/>
          <w:szCs w:val="24"/>
        </w:rPr>
      </w:pPr>
      <w:r w:rsidRPr="00C4057E">
        <w:rPr>
          <w:rFonts w:ascii="Arial" w:hAnsi="Arial" w:cs="Arial"/>
          <w:b/>
          <w:sz w:val="24"/>
          <w:szCs w:val="24"/>
        </w:rPr>
        <w:t>As of December 2017</w:t>
      </w:r>
    </w:p>
    <w:p w14:paraId="527B67D5" w14:textId="77777777" w:rsidR="00C4057E" w:rsidRPr="005A2AFB" w:rsidRDefault="00C4057E" w:rsidP="00C4057E">
      <w:pPr>
        <w:spacing w:after="0" w:line="240" w:lineRule="auto"/>
        <w:rPr>
          <w:rFonts w:ascii="Arial" w:hAnsi="Arial" w:cs="Arial"/>
          <w:sz w:val="4"/>
          <w:szCs w:val="4"/>
        </w:rPr>
      </w:pPr>
    </w:p>
    <w:p w14:paraId="634B2C05" w14:textId="77777777" w:rsidR="00C4057E" w:rsidRPr="00C4057E" w:rsidRDefault="00C4057E" w:rsidP="00C4057E">
      <w:pPr>
        <w:spacing w:after="0" w:line="240" w:lineRule="auto"/>
        <w:rPr>
          <w:rFonts w:ascii="Arial" w:hAnsi="Arial" w:cs="Arial"/>
          <w:sz w:val="24"/>
          <w:szCs w:val="24"/>
        </w:rPr>
      </w:pPr>
      <w:r w:rsidRPr="00C4057E">
        <w:rPr>
          <w:rFonts w:ascii="Arial" w:hAnsi="Arial" w:cs="Arial"/>
          <w:sz w:val="24"/>
          <w:szCs w:val="24"/>
        </w:rPr>
        <w:object w:dxaOrig="16536" w:dyaOrig="5145" w14:anchorId="3A654F72">
          <v:shape id="_x0000_i1030" type="#_x0000_t75" style="width:511.2pt;height:201.6pt" o:ole="">
            <v:imagedata r:id="rId54" o:title=""/>
          </v:shape>
          <o:OLEObject Type="Embed" ProgID="Excel.Sheet.12" ShapeID="_x0000_i1030" DrawAspect="Content" ObjectID="_1599049580" r:id="rId55"/>
        </w:object>
      </w:r>
    </w:p>
    <w:p w14:paraId="55E4AD42" w14:textId="77777777" w:rsidR="00C4057E" w:rsidRPr="00C4057E" w:rsidRDefault="00C4057E" w:rsidP="00C4057E">
      <w:pPr>
        <w:spacing w:after="0" w:line="240" w:lineRule="auto"/>
        <w:rPr>
          <w:rFonts w:ascii="Arial" w:hAnsi="Arial" w:cs="Arial"/>
          <w:sz w:val="18"/>
          <w:szCs w:val="18"/>
        </w:rPr>
      </w:pPr>
      <w:r w:rsidRPr="00C4057E">
        <w:rPr>
          <w:rFonts w:ascii="Arial" w:hAnsi="Arial" w:cs="Arial"/>
          <w:sz w:val="18"/>
          <w:szCs w:val="18"/>
        </w:rPr>
        <w:t>Source: FirstEnergy 2015 Implementation Plan, Data Request TD-22, and Auditor Analysis</w:t>
      </w:r>
    </w:p>
    <w:p w14:paraId="40D796F7" w14:textId="77777777" w:rsidR="00C4057E" w:rsidRPr="00C4057E" w:rsidRDefault="00C4057E" w:rsidP="00C4057E">
      <w:pPr>
        <w:spacing w:after="0" w:line="240" w:lineRule="auto"/>
        <w:rPr>
          <w:rFonts w:ascii="Arial" w:hAnsi="Arial" w:cs="Arial"/>
          <w:sz w:val="24"/>
          <w:szCs w:val="24"/>
        </w:rPr>
      </w:pPr>
    </w:p>
    <w:p w14:paraId="29C76157" w14:textId="77777777" w:rsidR="00C4057E" w:rsidRPr="00C4057E" w:rsidRDefault="00C4057E" w:rsidP="00C4057E">
      <w:pPr>
        <w:spacing w:after="0" w:line="240" w:lineRule="auto"/>
        <w:rPr>
          <w:rFonts w:ascii="Arial" w:hAnsi="Arial" w:cs="Arial"/>
          <w:sz w:val="24"/>
          <w:szCs w:val="24"/>
        </w:rPr>
      </w:pPr>
    </w:p>
    <w:p w14:paraId="60EE17C0" w14:textId="77777777" w:rsidR="00C4057E" w:rsidRPr="00C4057E" w:rsidRDefault="00C4057E" w:rsidP="00C4057E">
      <w:pPr>
        <w:spacing w:after="0" w:line="240" w:lineRule="auto"/>
        <w:ind w:firstLine="720"/>
        <w:rPr>
          <w:rFonts w:ascii="Arial" w:hAnsi="Arial" w:cs="Arial"/>
          <w:sz w:val="24"/>
          <w:szCs w:val="24"/>
        </w:rPr>
      </w:pPr>
      <w:r w:rsidRPr="00C4057E">
        <w:rPr>
          <w:rFonts w:ascii="Arial" w:hAnsi="Arial" w:cs="Arial"/>
          <w:sz w:val="24"/>
          <w:szCs w:val="24"/>
        </w:rPr>
        <w:t xml:space="preserve">Both Met-Ed and Penelec hired additional transmission maintenance workers to reduce the P3 backlogs.  Once the backlogs have been reduced, the intent is to retain the same number of transmission maintenance workers to actively address transmission maintenance activities to prevent future backlog-related issues.  </w:t>
      </w:r>
    </w:p>
    <w:p w14:paraId="29121617" w14:textId="77777777" w:rsidR="00C4057E" w:rsidRPr="00C4057E" w:rsidRDefault="00C4057E" w:rsidP="00C4057E">
      <w:pPr>
        <w:spacing w:after="0" w:line="240" w:lineRule="auto"/>
        <w:rPr>
          <w:rFonts w:ascii="Arial" w:hAnsi="Arial" w:cs="Arial"/>
          <w:sz w:val="24"/>
          <w:szCs w:val="24"/>
        </w:rPr>
      </w:pPr>
    </w:p>
    <w:p w14:paraId="35E63511" w14:textId="77777777" w:rsidR="00C4057E" w:rsidRPr="00C4057E" w:rsidRDefault="00C4057E" w:rsidP="00C4057E">
      <w:pPr>
        <w:spacing w:after="0" w:line="240" w:lineRule="auto"/>
        <w:rPr>
          <w:rFonts w:ascii="Arial" w:hAnsi="Arial" w:cs="Arial"/>
          <w:sz w:val="24"/>
          <w:szCs w:val="24"/>
        </w:rPr>
      </w:pPr>
      <w:r w:rsidRPr="00C4057E">
        <w:rPr>
          <w:rFonts w:ascii="Arial" w:eastAsia="Times New Roman" w:hAnsi="Arial" w:cs="Arial"/>
          <w:b/>
          <w:snapToGrid w:val="0"/>
          <w:sz w:val="24"/>
          <w:szCs w:val="20"/>
          <w:u w:val="single"/>
        </w:rPr>
        <w:t xml:space="preserve">Follow-up </w:t>
      </w:r>
      <w:r w:rsidRPr="00C4057E">
        <w:rPr>
          <w:rFonts w:ascii="Arial" w:hAnsi="Arial" w:cs="Arial"/>
          <w:b/>
          <w:bCs/>
          <w:color w:val="000000"/>
          <w:sz w:val="24"/>
          <w:szCs w:val="24"/>
          <w:u w:val="single"/>
        </w:rPr>
        <w:t>Recommendation</w:t>
      </w:r>
      <w:r w:rsidRPr="00C4057E">
        <w:rPr>
          <w:rFonts w:ascii="Arial" w:hAnsi="Arial" w:cs="Arial"/>
          <w:b/>
          <w:bCs/>
          <w:color w:val="000000"/>
          <w:sz w:val="24"/>
          <w:szCs w:val="24"/>
        </w:rPr>
        <w:t xml:space="preserve"> </w:t>
      </w:r>
      <w:r w:rsidRPr="00C4057E">
        <w:rPr>
          <w:rFonts w:ascii="Arial" w:hAnsi="Arial" w:cs="Arial"/>
          <w:bCs/>
          <w:color w:val="000000"/>
          <w:sz w:val="24"/>
          <w:szCs w:val="24"/>
        </w:rPr>
        <w:t>–</w:t>
      </w:r>
      <w:r w:rsidRPr="00C4057E">
        <w:rPr>
          <w:rFonts w:ascii="Arial" w:hAnsi="Arial" w:cs="Arial"/>
          <w:b/>
          <w:bCs/>
          <w:color w:val="000000"/>
          <w:sz w:val="24"/>
          <w:szCs w:val="24"/>
        </w:rPr>
        <w:t xml:space="preserve"> </w:t>
      </w:r>
      <w:r w:rsidRPr="00C4057E">
        <w:rPr>
          <w:rFonts w:ascii="Arial" w:hAnsi="Arial" w:cs="Arial"/>
          <w:b/>
          <w:sz w:val="24"/>
          <w:szCs w:val="24"/>
        </w:rPr>
        <w:t>Complete the backlog reduction plan for Priority 3 repairs as scheduled and utilize the transmission group employees to continue to address future transmission repairs in a timely fashion.</w:t>
      </w:r>
    </w:p>
    <w:p w14:paraId="5B8E964E" w14:textId="77777777" w:rsidR="00C4057E" w:rsidRPr="00C4057E" w:rsidRDefault="00C4057E" w:rsidP="00C4057E">
      <w:pPr>
        <w:spacing w:after="0" w:line="240" w:lineRule="auto"/>
        <w:rPr>
          <w:rFonts w:ascii="Arial" w:hAnsi="Arial" w:cs="Arial"/>
          <w:sz w:val="24"/>
          <w:szCs w:val="24"/>
        </w:rPr>
      </w:pPr>
    </w:p>
    <w:p w14:paraId="082912F8" w14:textId="77777777" w:rsidR="00992B93" w:rsidRDefault="00992B93">
      <w:pPr>
        <w:rPr>
          <w:rFonts w:ascii="Arial" w:eastAsia="Times New Roman" w:hAnsi="Arial" w:cs="Arial"/>
          <w:b/>
          <w:snapToGrid w:val="0"/>
          <w:sz w:val="24"/>
          <w:szCs w:val="20"/>
        </w:rPr>
      </w:pPr>
      <w:r>
        <w:rPr>
          <w:rFonts w:ascii="Arial" w:eastAsia="Times New Roman" w:hAnsi="Arial" w:cs="Arial"/>
          <w:b/>
          <w:snapToGrid w:val="0"/>
          <w:sz w:val="24"/>
          <w:szCs w:val="20"/>
        </w:rPr>
        <w:br w:type="page"/>
      </w:r>
    </w:p>
    <w:p w14:paraId="2AC96566" w14:textId="77777777" w:rsidR="008064AC" w:rsidRPr="008064AC" w:rsidRDefault="008064AC" w:rsidP="008064AC">
      <w:pPr>
        <w:spacing w:after="0" w:line="240" w:lineRule="auto"/>
        <w:contextualSpacing/>
        <w:jc w:val="center"/>
        <w:rPr>
          <w:rFonts w:ascii="Arial" w:eastAsia="Times New Roman" w:hAnsi="Arial" w:cs="Arial"/>
          <w:b/>
          <w:sz w:val="26"/>
          <w:szCs w:val="26"/>
        </w:rPr>
      </w:pPr>
      <w:r w:rsidRPr="008064AC">
        <w:rPr>
          <w:rFonts w:ascii="Arial" w:eastAsia="Times New Roman" w:hAnsi="Arial" w:cs="Arial"/>
          <w:b/>
          <w:sz w:val="26"/>
          <w:szCs w:val="26"/>
        </w:rPr>
        <w:t>VIII. EMERGENCY PREPAREDNESS</w:t>
      </w:r>
    </w:p>
    <w:p w14:paraId="0B43C177" w14:textId="77777777" w:rsidR="008064AC" w:rsidRPr="008064AC" w:rsidRDefault="008064AC" w:rsidP="008064AC">
      <w:pPr>
        <w:spacing w:after="0" w:line="240" w:lineRule="auto"/>
        <w:contextualSpacing/>
        <w:rPr>
          <w:rFonts w:ascii="Arial" w:eastAsia="Times New Roman" w:hAnsi="Arial" w:cs="Arial"/>
          <w:b/>
          <w:sz w:val="24"/>
          <w:szCs w:val="24"/>
        </w:rPr>
      </w:pPr>
    </w:p>
    <w:p w14:paraId="4161A9AD" w14:textId="77777777" w:rsidR="008064AC" w:rsidRPr="008064AC" w:rsidRDefault="008064AC" w:rsidP="008064AC">
      <w:pPr>
        <w:spacing w:after="0" w:line="240" w:lineRule="auto"/>
        <w:contextualSpacing/>
        <w:rPr>
          <w:rFonts w:ascii="Arial" w:eastAsia="Times New Roman" w:hAnsi="Arial" w:cs="Arial"/>
          <w:b/>
          <w:sz w:val="24"/>
          <w:szCs w:val="24"/>
        </w:rPr>
      </w:pPr>
    </w:p>
    <w:p w14:paraId="5AB73B92" w14:textId="77777777" w:rsidR="008064AC" w:rsidRPr="008064AC" w:rsidRDefault="008064AC" w:rsidP="008064AC">
      <w:pPr>
        <w:autoSpaceDE w:val="0"/>
        <w:autoSpaceDN w:val="0"/>
        <w:adjustRightInd w:val="0"/>
        <w:spacing w:after="0" w:line="240" w:lineRule="auto"/>
        <w:contextualSpacing/>
        <w:rPr>
          <w:rFonts w:ascii="Arial" w:eastAsia="Times New Roman" w:hAnsi="Arial" w:cs="Arial"/>
          <w:sz w:val="24"/>
          <w:szCs w:val="24"/>
        </w:rPr>
      </w:pPr>
      <w:r w:rsidRPr="008064AC">
        <w:rPr>
          <w:rFonts w:ascii="Arial" w:eastAsia="Times New Roman" w:hAnsi="Arial" w:cs="Arial"/>
          <w:b/>
          <w:sz w:val="24"/>
          <w:szCs w:val="24"/>
          <w:u w:val="single"/>
        </w:rPr>
        <w:t>Background</w:t>
      </w:r>
      <w:r w:rsidRPr="008064AC">
        <w:rPr>
          <w:rFonts w:ascii="Arial" w:eastAsia="Times New Roman" w:hAnsi="Arial" w:cs="Arial"/>
          <w:sz w:val="24"/>
          <w:szCs w:val="24"/>
        </w:rPr>
        <w:t xml:space="preserve"> – </w:t>
      </w:r>
      <w:r w:rsidR="0081335C" w:rsidRPr="007C465E">
        <w:rPr>
          <w:rFonts w:ascii="Arial" w:eastAsia="Times New Roman" w:hAnsi="Arial" w:cs="Times New Roman"/>
          <w:sz w:val="24"/>
          <w:szCs w:val="24"/>
        </w:rPr>
        <w:t xml:space="preserve">The </w:t>
      </w:r>
      <w:r w:rsidR="0081335C">
        <w:rPr>
          <w:rFonts w:ascii="Arial" w:eastAsia="Times New Roman" w:hAnsi="Arial" w:cs="Times New Roman"/>
          <w:sz w:val="24"/>
          <w:szCs w:val="24"/>
        </w:rPr>
        <w:t xml:space="preserve">2014 </w:t>
      </w:r>
      <w:r w:rsidR="0081335C" w:rsidRPr="007C465E">
        <w:rPr>
          <w:rFonts w:ascii="Arial" w:eastAsia="Times New Roman" w:hAnsi="Arial" w:cs="Times New Roman"/>
          <w:sz w:val="24"/>
          <w:szCs w:val="24"/>
        </w:rPr>
        <w:t xml:space="preserve">Focused Management and Operations Audit of </w:t>
      </w:r>
      <w:r w:rsidR="0081335C">
        <w:rPr>
          <w:rFonts w:ascii="Arial" w:eastAsia="Times New Roman" w:hAnsi="Arial" w:cs="Times New Roman"/>
          <w:sz w:val="24"/>
          <w:szCs w:val="24"/>
        </w:rPr>
        <w:t xml:space="preserve">the </w:t>
      </w:r>
      <w:r w:rsidR="00DC3D9B">
        <w:rPr>
          <w:rFonts w:ascii="Arial" w:eastAsia="Times New Roman" w:hAnsi="Arial" w:cs="Times New Roman"/>
          <w:sz w:val="24"/>
          <w:szCs w:val="24"/>
        </w:rPr>
        <w:t>FE-PA companies</w:t>
      </w:r>
      <w:r w:rsidR="0081335C">
        <w:rPr>
          <w:rFonts w:ascii="Arial" w:eastAsia="Times New Roman" w:hAnsi="Arial" w:cs="Times New Roman"/>
          <w:sz w:val="24"/>
          <w:szCs w:val="24"/>
        </w:rPr>
        <w:t xml:space="preserve"> </w:t>
      </w:r>
      <w:r w:rsidRPr="008064AC">
        <w:rPr>
          <w:rFonts w:ascii="Arial" w:eastAsia="Times New Roman" w:hAnsi="Arial" w:cs="Arial"/>
          <w:sz w:val="24"/>
          <w:szCs w:val="20"/>
        </w:rPr>
        <w:t>did</w:t>
      </w:r>
      <w:r w:rsidRPr="008064AC">
        <w:rPr>
          <w:rFonts w:ascii="Arial" w:eastAsia="Times New Roman" w:hAnsi="Arial" w:cs="Arial"/>
          <w:sz w:val="24"/>
          <w:szCs w:val="24"/>
        </w:rPr>
        <w:t xml:space="preserve"> not contain any recommendations in the Emergency Preparedness chapter.  Although the </w:t>
      </w:r>
      <w:r w:rsidR="00581A23">
        <w:rPr>
          <w:rFonts w:ascii="Arial" w:eastAsia="Times New Roman" w:hAnsi="Arial" w:cs="Arial"/>
          <w:sz w:val="24"/>
          <w:szCs w:val="24"/>
        </w:rPr>
        <w:t xml:space="preserve">PUC </w:t>
      </w:r>
      <w:r w:rsidRPr="008064AC">
        <w:rPr>
          <w:rFonts w:ascii="Arial" w:eastAsia="Times New Roman" w:hAnsi="Arial" w:cs="Arial"/>
          <w:sz w:val="24"/>
          <w:szCs w:val="24"/>
        </w:rPr>
        <w:t>auditors rated this functional area as meet</w:t>
      </w:r>
      <w:r w:rsidR="00D121B5">
        <w:rPr>
          <w:rFonts w:ascii="Arial" w:eastAsia="Times New Roman" w:hAnsi="Arial" w:cs="Arial"/>
          <w:sz w:val="24"/>
          <w:szCs w:val="24"/>
        </w:rPr>
        <w:t>ing the</w:t>
      </w:r>
      <w:r w:rsidRPr="008064AC">
        <w:rPr>
          <w:rFonts w:ascii="Arial" w:eastAsia="Times New Roman" w:hAnsi="Arial" w:cs="Arial"/>
          <w:sz w:val="24"/>
          <w:szCs w:val="24"/>
        </w:rPr>
        <w:t xml:space="preserve"> expected performance level, it was deemed prudent to perform an updated review of </w:t>
      </w:r>
      <w:r w:rsidR="00DC3D9B">
        <w:rPr>
          <w:rFonts w:ascii="Arial" w:eastAsia="Times New Roman" w:hAnsi="Arial" w:cs="Arial"/>
          <w:sz w:val="24"/>
          <w:szCs w:val="24"/>
        </w:rPr>
        <w:t>FE-PA companies</w:t>
      </w:r>
      <w:r w:rsidRPr="008064AC">
        <w:rPr>
          <w:rFonts w:ascii="Arial" w:eastAsia="Times New Roman" w:hAnsi="Arial" w:cs="Arial"/>
          <w:sz w:val="24"/>
          <w:szCs w:val="24"/>
        </w:rPr>
        <w:t>’ compliance with PUC regulations at 52 Pa. Code §</w:t>
      </w:r>
      <w:r w:rsidR="00D121B5">
        <w:rPr>
          <w:rFonts w:ascii="Arial" w:eastAsia="Times New Roman" w:hAnsi="Arial" w:cs="Arial"/>
          <w:sz w:val="24"/>
          <w:szCs w:val="24"/>
        </w:rPr>
        <w:t xml:space="preserve"> </w:t>
      </w:r>
      <w:r w:rsidRPr="008064AC">
        <w:rPr>
          <w:rFonts w:ascii="Arial" w:eastAsia="Times New Roman" w:hAnsi="Arial" w:cs="Arial"/>
          <w:sz w:val="24"/>
          <w:szCs w:val="24"/>
        </w:rPr>
        <w:t>101 (Chapter 101) regarding physical security, cyber security, emergency response, and business continuity plans as part of this audit.  In this chapter, no additional findings or recommendations are present, but a summary of company practices and procedures are provided.</w:t>
      </w:r>
    </w:p>
    <w:p w14:paraId="42753531" w14:textId="77777777" w:rsidR="008064AC" w:rsidRPr="008064AC" w:rsidRDefault="008064AC" w:rsidP="008064AC">
      <w:pPr>
        <w:autoSpaceDE w:val="0"/>
        <w:autoSpaceDN w:val="0"/>
        <w:adjustRightInd w:val="0"/>
        <w:spacing w:after="0" w:line="240" w:lineRule="auto"/>
        <w:contextualSpacing/>
        <w:rPr>
          <w:rFonts w:ascii="Arial" w:eastAsia="Times New Roman" w:hAnsi="Arial" w:cs="Arial"/>
          <w:sz w:val="24"/>
          <w:szCs w:val="24"/>
        </w:rPr>
      </w:pPr>
    </w:p>
    <w:p w14:paraId="25867AE2" w14:textId="77777777" w:rsidR="008064AC" w:rsidRPr="008064AC" w:rsidRDefault="008064AC" w:rsidP="008064AC">
      <w:pPr>
        <w:autoSpaceDE w:val="0"/>
        <w:autoSpaceDN w:val="0"/>
        <w:adjustRightInd w:val="0"/>
        <w:spacing w:after="0" w:line="240" w:lineRule="auto"/>
        <w:ind w:firstLine="720"/>
        <w:contextualSpacing/>
        <w:rPr>
          <w:rFonts w:ascii="Arial" w:eastAsia="Times New Roman" w:hAnsi="Arial" w:cs="Arial"/>
          <w:sz w:val="24"/>
          <w:szCs w:val="24"/>
        </w:rPr>
      </w:pPr>
      <w:r w:rsidRPr="008064AC">
        <w:rPr>
          <w:rFonts w:ascii="Arial" w:eastAsia="Times New Roman" w:hAnsi="Arial" w:cs="Arial"/>
          <w:sz w:val="24"/>
          <w:szCs w:val="24"/>
        </w:rPr>
        <w:t xml:space="preserve">Effective June 2005, PUC Chapter 101 regulations require jurisdictional utilities to develop and maintain written physical security, cyber security, emergency response, and business continuity plans to protect infrastructure within the Commonwealth of Pennsylvania and ensure safe, continuous and reliable utility service.  </w:t>
      </w:r>
      <w:r w:rsidRPr="008064AC">
        <w:rPr>
          <w:rFonts w:ascii="Arial" w:eastAsia="Times New Roman" w:hAnsi="Arial" w:cs="Arial"/>
          <w:sz w:val="24"/>
          <w:szCs w:val="20"/>
        </w:rPr>
        <w:t xml:space="preserve">Along with the requirement to establish these “emergency preparedness” plans, a </w:t>
      </w:r>
      <w:r w:rsidRPr="008064AC">
        <w:rPr>
          <w:rFonts w:ascii="Arial" w:eastAsia="Times New Roman" w:hAnsi="Arial" w:cs="Arial"/>
          <w:sz w:val="24"/>
          <w:szCs w:val="24"/>
        </w:rPr>
        <w:t xml:space="preserve">jurisdictional </w:t>
      </w:r>
      <w:r w:rsidRPr="008064AC">
        <w:rPr>
          <w:rFonts w:ascii="Arial" w:eastAsia="Times New Roman" w:hAnsi="Arial" w:cs="Arial"/>
          <w:sz w:val="24"/>
          <w:szCs w:val="20"/>
        </w:rPr>
        <w:t xml:space="preserve">utility is required to annually file a Self Certification Form to the Commission documenting compliance with Chapter 101.  </w:t>
      </w:r>
      <w:r w:rsidRPr="008064AC">
        <w:rPr>
          <w:rFonts w:ascii="Arial" w:eastAsia="Times New Roman" w:hAnsi="Arial" w:cs="Arial"/>
          <w:sz w:val="24"/>
          <w:szCs w:val="24"/>
        </w:rPr>
        <w:t>This form, available on the PUC website, is comprised of 13 questions as shown in Exhibit VIII-1.</w:t>
      </w:r>
    </w:p>
    <w:p w14:paraId="33250106" w14:textId="77777777" w:rsidR="008064AC" w:rsidRPr="008064AC" w:rsidRDefault="008064AC" w:rsidP="008064AC">
      <w:pPr>
        <w:autoSpaceDE w:val="0"/>
        <w:autoSpaceDN w:val="0"/>
        <w:adjustRightInd w:val="0"/>
        <w:spacing w:after="0" w:line="240" w:lineRule="auto"/>
        <w:contextualSpacing/>
        <w:rPr>
          <w:rFonts w:ascii="Arial" w:eastAsia="Calibri" w:hAnsi="Arial" w:cs="Arial"/>
          <w:sz w:val="24"/>
          <w:szCs w:val="24"/>
        </w:rPr>
      </w:pPr>
    </w:p>
    <w:p w14:paraId="2DA5239D" w14:textId="77777777" w:rsidR="008064AC" w:rsidRPr="008064AC" w:rsidRDefault="008064AC" w:rsidP="008064AC">
      <w:pPr>
        <w:autoSpaceDE w:val="0"/>
        <w:autoSpaceDN w:val="0"/>
        <w:adjustRightInd w:val="0"/>
        <w:spacing w:after="0" w:line="240" w:lineRule="auto"/>
        <w:contextualSpacing/>
        <w:rPr>
          <w:rFonts w:ascii="Arial" w:eastAsia="Calibri" w:hAnsi="Arial" w:cs="Arial"/>
          <w:sz w:val="24"/>
          <w:szCs w:val="24"/>
        </w:rPr>
      </w:pPr>
    </w:p>
    <w:p w14:paraId="33540F1C" w14:textId="77777777" w:rsidR="008064AC" w:rsidRPr="008064AC" w:rsidRDefault="008064AC" w:rsidP="008064AC">
      <w:pPr>
        <w:spacing w:after="0" w:line="240" w:lineRule="auto"/>
        <w:contextualSpacing/>
        <w:jc w:val="center"/>
        <w:rPr>
          <w:rFonts w:ascii="Arial" w:eastAsia="Calibri" w:hAnsi="Arial" w:cs="Arial"/>
          <w:b/>
          <w:sz w:val="24"/>
          <w:szCs w:val="24"/>
        </w:rPr>
      </w:pPr>
      <w:r w:rsidRPr="008064AC">
        <w:rPr>
          <w:rFonts w:ascii="Arial" w:eastAsia="Calibri" w:hAnsi="Arial" w:cs="Arial"/>
          <w:b/>
          <w:sz w:val="24"/>
          <w:szCs w:val="24"/>
        </w:rPr>
        <w:t xml:space="preserve">Exhibit VIII – 1 </w:t>
      </w:r>
    </w:p>
    <w:p w14:paraId="3AD46D2E" w14:textId="77777777" w:rsidR="008064AC" w:rsidRPr="008064AC" w:rsidRDefault="008064AC" w:rsidP="008064AC">
      <w:pPr>
        <w:spacing w:after="0" w:line="240" w:lineRule="auto"/>
        <w:contextualSpacing/>
        <w:jc w:val="center"/>
        <w:rPr>
          <w:rFonts w:ascii="Arial" w:eastAsia="Calibri" w:hAnsi="Arial" w:cs="Arial"/>
          <w:b/>
          <w:sz w:val="24"/>
          <w:szCs w:val="24"/>
        </w:rPr>
      </w:pPr>
      <w:r w:rsidRPr="008064AC">
        <w:rPr>
          <w:rFonts w:ascii="Arial" w:eastAsia="Calibri" w:hAnsi="Arial" w:cs="Arial"/>
          <w:b/>
          <w:sz w:val="24"/>
          <w:szCs w:val="24"/>
        </w:rPr>
        <w:t>Pennsylvania Public Utility Commission</w:t>
      </w:r>
    </w:p>
    <w:p w14:paraId="026D468C" w14:textId="77777777" w:rsidR="008064AC" w:rsidRPr="008064AC" w:rsidRDefault="008064AC" w:rsidP="008064AC">
      <w:pPr>
        <w:spacing w:after="0" w:line="240" w:lineRule="auto"/>
        <w:contextualSpacing/>
        <w:jc w:val="center"/>
        <w:rPr>
          <w:rFonts w:ascii="Arial" w:eastAsia="Calibri" w:hAnsi="Arial" w:cs="Arial"/>
          <w:b/>
          <w:sz w:val="24"/>
          <w:szCs w:val="24"/>
        </w:rPr>
      </w:pPr>
      <w:r w:rsidRPr="008064AC">
        <w:rPr>
          <w:rFonts w:ascii="Arial" w:eastAsia="Calibri" w:hAnsi="Arial" w:cs="Arial"/>
          <w:b/>
          <w:sz w:val="24"/>
          <w:szCs w:val="24"/>
        </w:rPr>
        <w:t>Public Utility Security Planning and Readiness Self Certification Form</w:t>
      </w:r>
    </w:p>
    <w:p w14:paraId="35380B41" w14:textId="77777777" w:rsidR="008064AC" w:rsidRPr="008064AC" w:rsidRDefault="008064AC" w:rsidP="008064AC">
      <w:pPr>
        <w:spacing w:after="0" w:line="240" w:lineRule="auto"/>
        <w:contextualSpacing/>
        <w:jc w:val="center"/>
        <w:rPr>
          <w:rFonts w:ascii="Arial" w:eastAsia="Calibri" w:hAnsi="Arial" w:cs="Arial"/>
          <w:b/>
          <w:sz w:val="12"/>
          <w:szCs w:val="12"/>
        </w:rPr>
      </w:pPr>
    </w:p>
    <w:p w14:paraId="42147E67" w14:textId="77777777" w:rsidR="008064AC" w:rsidRPr="008064AC" w:rsidRDefault="008064AC" w:rsidP="008064AC">
      <w:pPr>
        <w:spacing w:after="0" w:line="240" w:lineRule="auto"/>
        <w:contextualSpacing/>
        <w:rPr>
          <w:rFonts w:ascii="Arial" w:eastAsia="Calibri" w:hAnsi="Arial" w:cs="Arial"/>
          <w:sz w:val="8"/>
          <w:szCs w:val="8"/>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7494"/>
        <w:gridCol w:w="1651"/>
      </w:tblGrid>
      <w:tr w:rsidR="008064AC" w:rsidRPr="008064AC" w14:paraId="71F54444" w14:textId="77777777" w:rsidTr="00347614">
        <w:trPr>
          <w:trHeight w:val="20"/>
          <w:jc w:val="center"/>
        </w:trPr>
        <w:tc>
          <w:tcPr>
            <w:tcW w:w="436" w:type="dxa"/>
            <w:shd w:val="clear" w:color="auto" w:fill="8DB3E2"/>
          </w:tcPr>
          <w:p w14:paraId="27421255" w14:textId="77777777" w:rsidR="008064AC" w:rsidRPr="008064AC" w:rsidRDefault="008064AC" w:rsidP="008064AC">
            <w:pPr>
              <w:tabs>
                <w:tab w:val="left" w:pos="-720"/>
              </w:tabs>
              <w:suppressAutoHyphens/>
              <w:spacing w:after="0" w:line="240" w:lineRule="auto"/>
              <w:contextualSpacing/>
              <w:jc w:val="center"/>
              <w:outlineLvl w:val="0"/>
              <w:rPr>
                <w:rFonts w:ascii="Arial" w:eastAsia="Calibri" w:hAnsi="Arial" w:cs="Arial"/>
                <w:b/>
                <w:spacing w:val="-3"/>
                <w:sz w:val="20"/>
              </w:rPr>
            </w:pPr>
            <w:r w:rsidRPr="008064AC">
              <w:rPr>
                <w:rFonts w:ascii="Arial" w:eastAsia="Calibri" w:hAnsi="Arial" w:cs="Arial"/>
                <w:b/>
                <w:spacing w:val="-3"/>
                <w:sz w:val="20"/>
              </w:rPr>
              <w:t>Item</w:t>
            </w:r>
          </w:p>
          <w:p w14:paraId="2CC60359" w14:textId="77777777" w:rsidR="008064AC" w:rsidRPr="008064AC" w:rsidRDefault="008064AC" w:rsidP="008064AC">
            <w:pPr>
              <w:tabs>
                <w:tab w:val="left" w:pos="-720"/>
              </w:tabs>
              <w:suppressAutoHyphens/>
              <w:spacing w:after="0" w:line="240" w:lineRule="auto"/>
              <w:contextualSpacing/>
              <w:jc w:val="center"/>
              <w:outlineLvl w:val="0"/>
              <w:rPr>
                <w:rFonts w:ascii="Arial" w:eastAsia="Calibri" w:hAnsi="Arial" w:cs="Arial"/>
                <w:b/>
                <w:spacing w:val="-3"/>
                <w:sz w:val="20"/>
              </w:rPr>
            </w:pPr>
            <w:r w:rsidRPr="008064AC">
              <w:rPr>
                <w:rFonts w:ascii="Arial" w:eastAsia="Calibri" w:hAnsi="Arial" w:cs="Arial"/>
                <w:b/>
                <w:spacing w:val="-3"/>
                <w:sz w:val="20"/>
              </w:rPr>
              <w:t>No.</w:t>
            </w:r>
          </w:p>
        </w:tc>
        <w:tc>
          <w:tcPr>
            <w:tcW w:w="7660" w:type="dxa"/>
            <w:shd w:val="clear" w:color="auto" w:fill="8DB3E2"/>
            <w:vAlign w:val="center"/>
          </w:tcPr>
          <w:p w14:paraId="437B3736" w14:textId="77777777" w:rsidR="008064AC" w:rsidRPr="008064AC" w:rsidRDefault="008064AC" w:rsidP="008064AC">
            <w:pPr>
              <w:tabs>
                <w:tab w:val="left" w:pos="-720"/>
              </w:tabs>
              <w:suppressAutoHyphens/>
              <w:spacing w:after="0" w:line="240" w:lineRule="auto"/>
              <w:contextualSpacing/>
              <w:jc w:val="center"/>
              <w:outlineLvl w:val="0"/>
              <w:rPr>
                <w:rFonts w:ascii="Arial" w:eastAsia="Calibri" w:hAnsi="Arial" w:cs="Arial"/>
                <w:b/>
                <w:spacing w:val="-3"/>
                <w:sz w:val="20"/>
              </w:rPr>
            </w:pPr>
            <w:r w:rsidRPr="008064AC">
              <w:rPr>
                <w:rFonts w:ascii="Arial" w:eastAsia="Calibri" w:hAnsi="Arial" w:cs="Arial"/>
                <w:b/>
                <w:spacing w:val="-3"/>
                <w:sz w:val="20"/>
              </w:rPr>
              <w:t>Classification</w:t>
            </w:r>
          </w:p>
        </w:tc>
        <w:tc>
          <w:tcPr>
            <w:tcW w:w="1665" w:type="dxa"/>
            <w:shd w:val="clear" w:color="auto" w:fill="8DB3E2"/>
          </w:tcPr>
          <w:p w14:paraId="6901F033" w14:textId="77777777" w:rsidR="008064AC" w:rsidRPr="008064AC" w:rsidRDefault="008064AC" w:rsidP="008064AC">
            <w:pPr>
              <w:tabs>
                <w:tab w:val="left" w:pos="-720"/>
              </w:tabs>
              <w:suppressAutoHyphens/>
              <w:spacing w:after="0" w:line="240" w:lineRule="auto"/>
              <w:contextualSpacing/>
              <w:jc w:val="center"/>
              <w:outlineLvl w:val="0"/>
              <w:rPr>
                <w:rFonts w:ascii="Arial" w:eastAsia="Calibri" w:hAnsi="Arial" w:cs="Arial"/>
                <w:b/>
                <w:spacing w:val="-3"/>
                <w:sz w:val="20"/>
              </w:rPr>
            </w:pPr>
            <w:r w:rsidRPr="008064AC">
              <w:rPr>
                <w:rFonts w:ascii="Arial" w:eastAsia="Calibri" w:hAnsi="Arial" w:cs="Arial"/>
                <w:b/>
                <w:spacing w:val="-3"/>
                <w:sz w:val="20"/>
              </w:rPr>
              <w:t>Response</w:t>
            </w:r>
          </w:p>
          <w:p w14:paraId="0A68CFB7" w14:textId="77777777" w:rsidR="008064AC" w:rsidRPr="008064AC" w:rsidRDefault="008064AC" w:rsidP="008064AC">
            <w:pPr>
              <w:tabs>
                <w:tab w:val="left" w:pos="-720"/>
              </w:tabs>
              <w:suppressAutoHyphens/>
              <w:spacing w:after="0" w:line="240" w:lineRule="auto"/>
              <w:contextualSpacing/>
              <w:jc w:val="center"/>
              <w:outlineLvl w:val="0"/>
              <w:rPr>
                <w:rFonts w:ascii="Arial" w:eastAsia="Calibri" w:hAnsi="Arial" w:cs="Arial"/>
                <w:b/>
                <w:spacing w:val="-3"/>
                <w:sz w:val="20"/>
              </w:rPr>
            </w:pPr>
            <w:r w:rsidRPr="008064AC">
              <w:rPr>
                <w:rFonts w:ascii="Arial" w:eastAsia="Calibri" w:hAnsi="Arial" w:cs="Arial"/>
                <w:b/>
                <w:spacing w:val="-3"/>
                <w:sz w:val="20"/>
              </w:rPr>
              <w:t>(Yes–No–N/A*)</w:t>
            </w:r>
          </w:p>
        </w:tc>
      </w:tr>
      <w:tr w:rsidR="008064AC" w:rsidRPr="008064AC" w14:paraId="78858B2C" w14:textId="77777777" w:rsidTr="00347614">
        <w:trPr>
          <w:trHeight w:val="20"/>
          <w:jc w:val="center"/>
        </w:trPr>
        <w:tc>
          <w:tcPr>
            <w:tcW w:w="436" w:type="dxa"/>
          </w:tcPr>
          <w:p w14:paraId="6948EC05" w14:textId="77777777" w:rsidR="008064AC" w:rsidRPr="008064AC" w:rsidRDefault="008064AC" w:rsidP="008064AC">
            <w:pPr>
              <w:tabs>
                <w:tab w:val="left" w:pos="-720"/>
              </w:tabs>
              <w:suppressAutoHyphens/>
              <w:spacing w:after="0" w:line="240" w:lineRule="auto"/>
              <w:contextualSpacing/>
              <w:jc w:val="center"/>
              <w:outlineLvl w:val="0"/>
              <w:rPr>
                <w:rFonts w:ascii="Arial" w:eastAsia="Calibri" w:hAnsi="Arial" w:cs="Arial"/>
                <w:spacing w:val="-3"/>
                <w:sz w:val="20"/>
              </w:rPr>
            </w:pPr>
            <w:r w:rsidRPr="008064AC">
              <w:rPr>
                <w:rFonts w:ascii="Arial" w:eastAsia="Calibri" w:hAnsi="Arial" w:cs="Arial"/>
                <w:spacing w:val="-3"/>
                <w:sz w:val="20"/>
              </w:rPr>
              <w:t>1</w:t>
            </w:r>
          </w:p>
        </w:tc>
        <w:tc>
          <w:tcPr>
            <w:tcW w:w="7660" w:type="dxa"/>
          </w:tcPr>
          <w:p w14:paraId="2D937DD2" w14:textId="77777777" w:rsidR="008064AC" w:rsidRPr="008064AC" w:rsidRDefault="008064AC" w:rsidP="008064AC">
            <w:pPr>
              <w:tabs>
                <w:tab w:val="left" w:pos="-720"/>
              </w:tabs>
              <w:suppressAutoHyphens/>
              <w:spacing w:after="0" w:line="240" w:lineRule="auto"/>
              <w:contextualSpacing/>
              <w:outlineLvl w:val="0"/>
              <w:rPr>
                <w:rFonts w:ascii="Arial" w:eastAsia="Calibri" w:hAnsi="Arial" w:cs="Arial"/>
                <w:spacing w:val="-3"/>
                <w:sz w:val="20"/>
              </w:rPr>
            </w:pPr>
            <w:r w:rsidRPr="008064AC">
              <w:rPr>
                <w:rFonts w:ascii="Arial" w:eastAsia="Calibri" w:hAnsi="Arial" w:cs="Arial"/>
                <w:spacing w:val="-3"/>
                <w:sz w:val="20"/>
              </w:rPr>
              <w:t>Does your company have a physical security plan?</w:t>
            </w:r>
          </w:p>
        </w:tc>
        <w:tc>
          <w:tcPr>
            <w:tcW w:w="1665" w:type="dxa"/>
          </w:tcPr>
          <w:p w14:paraId="0E4E9A63" w14:textId="77777777" w:rsidR="008064AC" w:rsidRPr="008064AC" w:rsidRDefault="008064AC" w:rsidP="008064AC">
            <w:pPr>
              <w:tabs>
                <w:tab w:val="left" w:pos="-720"/>
              </w:tabs>
              <w:suppressAutoHyphens/>
              <w:spacing w:after="0" w:line="240" w:lineRule="auto"/>
              <w:contextualSpacing/>
              <w:outlineLvl w:val="0"/>
              <w:rPr>
                <w:rFonts w:ascii="Arial" w:eastAsia="Calibri" w:hAnsi="Arial" w:cs="Arial"/>
                <w:spacing w:val="-3"/>
                <w:sz w:val="20"/>
              </w:rPr>
            </w:pPr>
            <w:r w:rsidRPr="008064AC">
              <w:rPr>
                <w:rFonts w:ascii="Arial" w:eastAsia="Calibri" w:hAnsi="Arial" w:cs="Arial"/>
                <w:spacing w:val="-3"/>
                <w:sz w:val="20"/>
              </w:rPr>
              <w:t>1.</w:t>
            </w:r>
          </w:p>
        </w:tc>
      </w:tr>
      <w:tr w:rsidR="008064AC" w:rsidRPr="008064AC" w14:paraId="68893870" w14:textId="77777777" w:rsidTr="00347614">
        <w:trPr>
          <w:trHeight w:val="20"/>
          <w:jc w:val="center"/>
        </w:trPr>
        <w:tc>
          <w:tcPr>
            <w:tcW w:w="436" w:type="dxa"/>
          </w:tcPr>
          <w:p w14:paraId="36391491" w14:textId="77777777" w:rsidR="008064AC" w:rsidRPr="008064AC" w:rsidRDefault="008064AC" w:rsidP="008064AC">
            <w:pPr>
              <w:tabs>
                <w:tab w:val="left" w:pos="-720"/>
              </w:tabs>
              <w:suppressAutoHyphens/>
              <w:spacing w:after="0" w:line="240" w:lineRule="auto"/>
              <w:contextualSpacing/>
              <w:jc w:val="center"/>
              <w:outlineLvl w:val="0"/>
              <w:rPr>
                <w:rFonts w:ascii="Arial" w:eastAsia="Calibri" w:hAnsi="Arial" w:cs="Arial"/>
                <w:spacing w:val="-3"/>
                <w:sz w:val="20"/>
              </w:rPr>
            </w:pPr>
            <w:r w:rsidRPr="008064AC">
              <w:rPr>
                <w:rFonts w:ascii="Arial" w:eastAsia="Calibri" w:hAnsi="Arial" w:cs="Arial"/>
                <w:spacing w:val="-3"/>
                <w:sz w:val="20"/>
              </w:rPr>
              <w:t>2</w:t>
            </w:r>
          </w:p>
        </w:tc>
        <w:tc>
          <w:tcPr>
            <w:tcW w:w="7660" w:type="dxa"/>
          </w:tcPr>
          <w:p w14:paraId="46D6C2A3" w14:textId="77777777" w:rsidR="008064AC" w:rsidRPr="008064AC" w:rsidRDefault="008064AC" w:rsidP="008064AC">
            <w:pPr>
              <w:tabs>
                <w:tab w:val="left" w:pos="-720"/>
              </w:tabs>
              <w:suppressAutoHyphens/>
              <w:spacing w:after="0" w:line="240" w:lineRule="auto"/>
              <w:contextualSpacing/>
              <w:outlineLvl w:val="0"/>
              <w:rPr>
                <w:rFonts w:ascii="Arial" w:eastAsia="Calibri" w:hAnsi="Arial" w:cs="Arial"/>
                <w:spacing w:val="-3"/>
                <w:sz w:val="20"/>
              </w:rPr>
            </w:pPr>
            <w:r w:rsidRPr="008064AC">
              <w:rPr>
                <w:rFonts w:ascii="Arial" w:eastAsia="Calibri" w:hAnsi="Arial" w:cs="Arial"/>
                <w:spacing w:val="-3"/>
                <w:sz w:val="20"/>
              </w:rPr>
              <w:t>Has your physical security plan been reviewed in the last year and updated as needed?</w:t>
            </w:r>
          </w:p>
        </w:tc>
        <w:tc>
          <w:tcPr>
            <w:tcW w:w="1665" w:type="dxa"/>
          </w:tcPr>
          <w:p w14:paraId="37F5B764" w14:textId="77777777" w:rsidR="008064AC" w:rsidRPr="008064AC" w:rsidRDefault="008064AC" w:rsidP="008064AC">
            <w:pPr>
              <w:tabs>
                <w:tab w:val="left" w:pos="-720"/>
              </w:tabs>
              <w:suppressAutoHyphens/>
              <w:spacing w:after="0" w:line="240" w:lineRule="auto"/>
              <w:contextualSpacing/>
              <w:outlineLvl w:val="0"/>
              <w:rPr>
                <w:rFonts w:ascii="Arial" w:eastAsia="Calibri" w:hAnsi="Arial" w:cs="Arial"/>
                <w:spacing w:val="-3"/>
                <w:sz w:val="20"/>
              </w:rPr>
            </w:pPr>
            <w:r w:rsidRPr="008064AC">
              <w:rPr>
                <w:rFonts w:ascii="Arial" w:eastAsia="Calibri" w:hAnsi="Arial" w:cs="Arial"/>
                <w:spacing w:val="-3"/>
                <w:sz w:val="20"/>
              </w:rPr>
              <w:t>2.</w:t>
            </w:r>
          </w:p>
        </w:tc>
      </w:tr>
      <w:tr w:rsidR="008064AC" w:rsidRPr="008064AC" w14:paraId="6FA51FE7" w14:textId="77777777" w:rsidTr="00347614">
        <w:trPr>
          <w:trHeight w:val="20"/>
          <w:jc w:val="center"/>
        </w:trPr>
        <w:tc>
          <w:tcPr>
            <w:tcW w:w="436" w:type="dxa"/>
          </w:tcPr>
          <w:p w14:paraId="73471AF8" w14:textId="77777777" w:rsidR="008064AC" w:rsidRPr="008064AC" w:rsidRDefault="008064AC" w:rsidP="008064AC">
            <w:pPr>
              <w:tabs>
                <w:tab w:val="left" w:pos="-720"/>
              </w:tabs>
              <w:suppressAutoHyphens/>
              <w:spacing w:after="0" w:line="240" w:lineRule="auto"/>
              <w:contextualSpacing/>
              <w:jc w:val="center"/>
              <w:outlineLvl w:val="0"/>
              <w:rPr>
                <w:rFonts w:ascii="Arial" w:eastAsia="Calibri" w:hAnsi="Arial" w:cs="Arial"/>
                <w:spacing w:val="-3"/>
                <w:sz w:val="20"/>
              </w:rPr>
            </w:pPr>
            <w:r w:rsidRPr="008064AC">
              <w:rPr>
                <w:rFonts w:ascii="Arial" w:eastAsia="Calibri" w:hAnsi="Arial" w:cs="Arial"/>
                <w:spacing w:val="-3"/>
                <w:sz w:val="20"/>
              </w:rPr>
              <w:t>3</w:t>
            </w:r>
          </w:p>
        </w:tc>
        <w:tc>
          <w:tcPr>
            <w:tcW w:w="7660" w:type="dxa"/>
          </w:tcPr>
          <w:p w14:paraId="09E286B8" w14:textId="77777777" w:rsidR="008064AC" w:rsidRPr="008064AC" w:rsidRDefault="008064AC" w:rsidP="008064AC">
            <w:pPr>
              <w:tabs>
                <w:tab w:val="left" w:pos="-720"/>
              </w:tabs>
              <w:suppressAutoHyphens/>
              <w:spacing w:after="0" w:line="240" w:lineRule="auto"/>
              <w:contextualSpacing/>
              <w:outlineLvl w:val="0"/>
              <w:rPr>
                <w:rFonts w:ascii="Arial" w:eastAsia="Calibri" w:hAnsi="Arial" w:cs="Arial"/>
                <w:spacing w:val="-3"/>
                <w:sz w:val="20"/>
              </w:rPr>
            </w:pPr>
            <w:r w:rsidRPr="008064AC">
              <w:rPr>
                <w:rFonts w:ascii="Arial" w:eastAsia="Calibri" w:hAnsi="Arial" w:cs="Arial"/>
                <w:spacing w:val="-3"/>
                <w:sz w:val="20"/>
              </w:rPr>
              <w:t>Is your physical security plan tested annually?</w:t>
            </w:r>
          </w:p>
        </w:tc>
        <w:tc>
          <w:tcPr>
            <w:tcW w:w="1665" w:type="dxa"/>
          </w:tcPr>
          <w:p w14:paraId="5257069A" w14:textId="77777777" w:rsidR="008064AC" w:rsidRPr="008064AC" w:rsidRDefault="008064AC" w:rsidP="008064AC">
            <w:pPr>
              <w:tabs>
                <w:tab w:val="left" w:pos="-720"/>
              </w:tabs>
              <w:suppressAutoHyphens/>
              <w:spacing w:after="0" w:line="240" w:lineRule="auto"/>
              <w:contextualSpacing/>
              <w:outlineLvl w:val="0"/>
              <w:rPr>
                <w:rFonts w:ascii="Arial" w:eastAsia="Calibri" w:hAnsi="Arial" w:cs="Arial"/>
                <w:spacing w:val="-3"/>
                <w:sz w:val="20"/>
              </w:rPr>
            </w:pPr>
            <w:r w:rsidRPr="008064AC">
              <w:rPr>
                <w:rFonts w:ascii="Arial" w:eastAsia="Calibri" w:hAnsi="Arial" w:cs="Arial"/>
                <w:spacing w:val="-3"/>
                <w:sz w:val="20"/>
              </w:rPr>
              <w:t>3.</w:t>
            </w:r>
          </w:p>
        </w:tc>
      </w:tr>
      <w:tr w:rsidR="008064AC" w:rsidRPr="008064AC" w14:paraId="44C28BFB" w14:textId="77777777" w:rsidTr="00347614">
        <w:trPr>
          <w:trHeight w:val="20"/>
          <w:jc w:val="center"/>
        </w:trPr>
        <w:tc>
          <w:tcPr>
            <w:tcW w:w="436" w:type="dxa"/>
          </w:tcPr>
          <w:p w14:paraId="2CC5D894" w14:textId="77777777" w:rsidR="008064AC" w:rsidRPr="008064AC" w:rsidRDefault="008064AC" w:rsidP="008064AC">
            <w:pPr>
              <w:tabs>
                <w:tab w:val="left" w:pos="-720"/>
              </w:tabs>
              <w:suppressAutoHyphens/>
              <w:spacing w:after="0" w:line="240" w:lineRule="auto"/>
              <w:contextualSpacing/>
              <w:jc w:val="center"/>
              <w:outlineLvl w:val="0"/>
              <w:rPr>
                <w:rFonts w:ascii="Arial" w:eastAsia="Calibri" w:hAnsi="Arial" w:cs="Arial"/>
                <w:spacing w:val="-3"/>
                <w:sz w:val="20"/>
              </w:rPr>
            </w:pPr>
            <w:r w:rsidRPr="008064AC">
              <w:rPr>
                <w:rFonts w:ascii="Arial" w:eastAsia="Calibri" w:hAnsi="Arial" w:cs="Arial"/>
                <w:spacing w:val="-3"/>
                <w:sz w:val="20"/>
              </w:rPr>
              <w:t>4</w:t>
            </w:r>
          </w:p>
        </w:tc>
        <w:tc>
          <w:tcPr>
            <w:tcW w:w="7660" w:type="dxa"/>
          </w:tcPr>
          <w:p w14:paraId="3D1282C1" w14:textId="77777777" w:rsidR="008064AC" w:rsidRPr="008064AC" w:rsidRDefault="008064AC" w:rsidP="008064AC">
            <w:pPr>
              <w:tabs>
                <w:tab w:val="left" w:pos="-720"/>
              </w:tabs>
              <w:suppressAutoHyphens/>
              <w:spacing w:after="0" w:line="240" w:lineRule="auto"/>
              <w:contextualSpacing/>
              <w:outlineLvl w:val="0"/>
              <w:rPr>
                <w:rFonts w:ascii="Arial" w:eastAsia="Calibri" w:hAnsi="Arial" w:cs="Arial"/>
                <w:spacing w:val="-3"/>
                <w:sz w:val="20"/>
              </w:rPr>
            </w:pPr>
            <w:r w:rsidRPr="008064AC">
              <w:rPr>
                <w:rFonts w:ascii="Arial" w:eastAsia="Calibri" w:hAnsi="Arial" w:cs="Arial"/>
                <w:spacing w:val="-3"/>
                <w:sz w:val="20"/>
              </w:rPr>
              <w:t>Does your company have a cyber security plan?</w:t>
            </w:r>
          </w:p>
        </w:tc>
        <w:tc>
          <w:tcPr>
            <w:tcW w:w="1665" w:type="dxa"/>
          </w:tcPr>
          <w:p w14:paraId="0A2EE98D" w14:textId="77777777" w:rsidR="008064AC" w:rsidRPr="008064AC" w:rsidRDefault="008064AC" w:rsidP="008064AC">
            <w:pPr>
              <w:tabs>
                <w:tab w:val="left" w:pos="-720"/>
              </w:tabs>
              <w:suppressAutoHyphens/>
              <w:spacing w:after="0" w:line="240" w:lineRule="auto"/>
              <w:contextualSpacing/>
              <w:outlineLvl w:val="0"/>
              <w:rPr>
                <w:rFonts w:ascii="Arial" w:eastAsia="Calibri" w:hAnsi="Arial" w:cs="Arial"/>
                <w:spacing w:val="-3"/>
                <w:sz w:val="20"/>
              </w:rPr>
            </w:pPr>
            <w:r w:rsidRPr="008064AC">
              <w:rPr>
                <w:rFonts w:ascii="Arial" w:eastAsia="Calibri" w:hAnsi="Arial" w:cs="Arial"/>
                <w:spacing w:val="-3"/>
                <w:sz w:val="20"/>
              </w:rPr>
              <w:t>4.</w:t>
            </w:r>
          </w:p>
        </w:tc>
      </w:tr>
      <w:tr w:rsidR="008064AC" w:rsidRPr="008064AC" w14:paraId="2B40D4BE" w14:textId="77777777" w:rsidTr="00347614">
        <w:trPr>
          <w:trHeight w:val="20"/>
          <w:jc w:val="center"/>
        </w:trPr>
        <w:tc>
          <w:tcPr>
            <w:tcW w:w="436" w:type="dxa"/>
          </w:tcPr>
          <w:p w14:paraId="7680FA24" w14:textId="77777777" w:rsidR="008064AC" w:rsidRPr="008064AC" w:rsidRDefault="008064AC" w:rsidP="008064AC">
            <w:pPr>
              <w:tabs>
                <w:tab w:val="left" w:pos="-720"/>
              </w:tabs>
              <w:suppressAutoHyphens/>
              <w:spacing w:after="0" w:line="240" w:lineRule="auto"/>
              <w:contextualSpacing/>
              <w:jc w:val="center"/>
              <w:outlineLvl w:val="0"/>
              <w:rPr>
                <w:rFonts w:ascii="Arial" w:eastAsia="Calibri" w:hAnsi="Arial" w:cs="Arial"/>
                <w:spacing w:val="-3"/>
                <w:sz w:val="20"/>
              </w:rPr>
            </w:pPr>
            <w:r w:rsidRPr="008064AC">
              <w:rPr>
                <w:rFonts w:ascii="Arial" w:eastAsia="Calibri" w:hAnsi="Arial" w:cs="Arial"/>
                <w:spacing w:val="-3"/>
                <w:sz w:val="20"/>
              </w:rPr>
              <w:t>5</w:t>
            </w:r>
          </w:p>
        </w:tc>
        <w:tc>
          <w:tcPr>
            <w:tcW w:w="7660" w:type="dxa"/>
          </w:tcPr>
          <w:p w14:paraId="4D092EBD" w14:textId="77777777" w:rsidR="008064AC" w:rsidRPr="008064AC" w:rsidRDefault="008064AC" w:rsidP="008064AC">
            <w:pPr>
              <w:tabs>
                <w:tab w:val="left" w:pos="-720"/>
              </w:tabs>
              <w:suppressAutoHyphens/>
              <w:spacing w:after="0" w:line="240" w:lineRule="auto"/>
              <w:contextualSpacing/>
              <w:outlineLvl w:val="0"/>
              <w:rPr>
                <w:rFonts w:ascii="Arial" w:eastAsia="Calibri" w:hAnsi="Arial" w:cs="Arial"/>
                <w:spacing w:val="-3"/>
                <w:sz w:val="20"/>
              </w:rPr>
            </w:pPr>
            <w:r w:rsidRPr="008064AC">
              <w:rPr>
                <w:rFonts w:ascii="Arial" w:eastAsia="Calibri" w:hAnsi="Arial" w:cs="Arial"/>
                <w:spacing w:val="-3"/>
                <w:sz w:val="20"/>
              </w:rPr>
              <w:t>Has your cyber security plan been reviewed in the last year and updated as needed?</w:t>
            </w:r>
          </w:p>
        </w:tc>
        <w:tc>
          <w:tcPr>
            <w:tcW w:w="1665" w:type="dxa"/>
          </w:tcPr>
          <w:p w14:paraId="7452E5A5" w14:textId="77777777" w:rsidR="008064AC" w:rsidRPr="008064AC" w:rsidRDefault="008064AC" w:rsidP="008064AC">
            <w:pPr>
              <w:tabs>
                <w:tab w:val="left" w:pos="-720"/>
              </w:tabs>
              <w:suppressAutoHyphens/>
              <w:spacing w:after="0" w:line="240" w:lineRule="auto"/>
              <w:contextualSpacing/>
              <w:outlineLvl w:val="0"/>
              <w:rPr>
                <w:rFonts w:ascii="Arial" w:eastAsia="Calibri" w:hAnsi="Arial" w:cs="Arial"/>
                <w:spacing w:val="-3"/>
                <w:sz w:val="20"/>
              </w:rPr>
            </w:pPr>
            <w:r w:rsidRPr="008064AC">
              <w:rPr>
                <w:rFonts w:ascii="Arial" w:eastAsia="Calibri" w:hAnsi="Arial" w:cs="Arial"/>
                <w:spacing w:val="-3"/>
                <w:sz w:val="20"/>
              </w:rPr>
              <w:t>5.</w:t>
            </w:r>
          </w:p>
        </w:tc>
      </w:tr>
      <w:tr w:rsidR="008064AC" w:rsidRPr="008064AC" w14:paraId="403A5F51" w14:textId="77777777" w:rsidTr="00347614">
        <w:trPr>
          <w:trHeight w:val="20"/>
          <w:jc w:val="center"/>
        </w:trPr>
        <w:tc>
          <w:tcPr>
            <w:tcW w:w="436" w:type="dxa"/>
          </w:tcPr>
          <w:p w14:paraId="712E42C7" w14:textId="77777777" w:rsidR="008064AC" w:rsidRPr="008064AC" w:rsidRDefault="008064AC" w:rsidP="008064AC">
            <w:pPr>
              <w:tabs>
                <w:tab w:val="left" w:pos="-720"/>
              </w:tabs>
              <w:suppressAutoHyphens/>
              <w:spacing w:after="0" w:line="240" w:lineRule="auto"/>
              <w:contextualSpacing/>
              <w:jc w:val="center"/>
              <w:outlineLvl w:val="0"/>
              <w:rPr>
                <w:rFonts w:ascii="Arial" w:eastAsia="Calibri" w:hAnsi="Arial" w:cs="Arial"/>
                <w:spacing w:val="-3"/>
                <w:sz w:val="20"/>
              </w:rPr>
            </w:pPr>
            <w:r w:rsidRPr="008064AC">
              <w:rPr>
                <w:rFonts w:ascii="Arial" w:eastAsia="Calibri" w:hAnsi="Arial" w:cs="Arial"/>
                <w:spacing w:val="-3"/>
                <w:sz w:val="20"/>
              </w:rPr>
              <w:t>6</w:t>
            </w:r>
          </w:p>
        </w:tc>
        <w:tc>
          <w:tcPr>
            <w:tcW w:w="7660" w:type="dxa"/>
          </w:tcPr>
          <w:p w14:paraId="16C4D09F" w14:textId="77777777" w:rsidR="008064AC" w:rsidRPr="008064AC" w:rsidRDefault="008064AC" w:rsidP="008064AC">
            <w:pPr>
              <w:tabs>
                <w:tab w:val="left" w:pos="-720"/>
              </w:tabs>
              <w:suppressAutoHyphens/>
              <w:spacing w:after="0" w:line="240" w:lineRule="auto"/>
              <w:contextualSpacing/>
              <w:outlineLvl w:val="0"/>
              <w:rPr>
                <w:rFonts w:ascii="Arial" w:eastAsia="Calibri" w:hAnsi="Arial" w:cs="Arial"/>
                <w:spacing w:val="-3"/>
                <w:sz w:val="20"/>
              </w:rPr>
            </w:pPr>
            <w:r w:rsidRPr="008064AC">
              <w:rPr>
                <w:rFonts w:ascii="Arial" w:eastAsia="Calibri" w:hAnsi="Arial" w:cs="Arial"/>
                <w:spacing w:val="-3"/>
                <w:sz w:val="20"/>
              </w:rPr>
              <w:t>Is your cyber security plan tested annually?</w:t>
            </w:r>
          </w:p>
        </w:tc>
        <w:tc>
          <w:tcPr>
            <w:tcW w:w="1665" w:type="dxa"/>
          </w:tcPr>
          <w:p w14:paraId="17840ED9" w14:textId="77777777" w:rsidR="008064AC" w:rsidRPr="008064AC" w:rsidRDefault="008064AC" w:rsidP="008064AC">
            <w:pPr>
              <w:tabs>
                <w:tab w:val="left" w:pos="-720"/>
              </w:tabs>
              <w:suppressAutoHyphens/>
              <w:spacing w:after="0" w:line="240" w:lineRule="auto"/>
              <w:contextualSpacing/>
              <w:outlineLvl w:val="0"/>
              <w:rPr>
                <w:rFonts w:ascii="Arial" w:eastAsia="Calibri" w:hAnsi="Arial" w:cs="Arial"/>
                <w:spacing w:val="-3"/>
                <w:sz w:val="20"/>
              </w:rPr>
            </w:pPr>
            <w:r w:rsidRPr="008064AC">
              <w:rPr>
                <w:rFonts w:ascii="Arial" w:eastAsia="Calibri" w:hAnsi="Arial" w:cs="Arial"/>
                <w:spacing w:val="-3"/>
                <w:sz w:val="20"/>
              </w:rPr>
              <w:t>6.</w:t>
            </w:r>
          </w:p>
        </w:tc>
      </w:tr>
      <w:tr w:rsidR="008064AC" w:rsidRPr="008064AC" w14:paraId="3F6EFEF5" w14:textId="77777777" w:rsidTr="00347614">
        <w:trPr>
          <w:trHeight w:val="20"/>
          <w:jc w:val="center"/>
        </w:trPr>
        <w:tc>
          <w:tcPr>
            <w:tcW w:w="436" w:type="dxa"/>
          </w:tcPr>
          <w:p w14:paraId="1A678104" w14:textId="77777777" w:rsidR="008064AC" w:rsidRPr="008064AC" w:rsidRDefault="008064AC" w:rsidP="008064AC">
            <w:pPr>
              <w:tabs>
                <w:tab w:val="left" w:pos="-720"/>
              </w:tabs>
              <w:suppressAutoHyphens/>
              <w:spacing w:after="0" w:line="240" w:lineRule="auto"/>
              <w:contextualSpacing/>
              <w:jc w:val="center"/>
              <w:outlineLvl w:val="0"/>
              <w:rPr>
                <w:rFonts w:ascii="Arial" w:eastAsia="Calibri" w:hAnsi="Arial" w:cs="Arial"/>
                <w:spacing w:val="-3"/>
                <w:sz w:val="20"/>
              </w:rPr>
            </w:pPr>
            <w:r w:rsidRPr="008064AC">
              <w:rPr>
                <w:rFonts w:ascii="Arial" w:eastAsia="Calibri" w:hAnsi="Arial" w:cs="Arial"/>
                <w:spacing w:val="-3"/>
                <w:sz w:val="20"/>
              </w:rPr>
              <w:t>7</w:t>
            </w:r>
          </w:p>
        </w:tc>
        <w:tc>
          <w:tcPr>
            <w:tcW w:w="7660" w:type="dxa"/>
          </w:tcPr>
          <w:p w14:paraId="0FCD4116" w14:textId="77777777" w:rsidR="008064AC" w:rsidRPr="008064AC" w:rsidRDefault="008064AC" w:rsidP="008064AC">
            <w:pPr>
              <w:tabs>
                <w:tab w:val="left" w:pos="-720"/>
              </w:tabs>
              <w:suppressAutoHyphens/>
              <w:spacing w:after="0" w:line="240" w:lineRule="auto"/>
              <w:contextualSpacing/>
              <w:outlineLvl w:val="0"/>
              <w:rPr>
                <w:rFonts w:ascii="Arial" w:eastAsia="Calibri" w:hAnsi="Arial" w:cs="Arial"/>
                <w:spacing w:val="-3"/>
                <w:sz w:val="20"/>
              </w:rPr>
            </w:pPr>
            <w:r w:rsidRPr="008064AC">
              <w:rPr>
                <w:rFonts w:ascii="Arial" w:eastAsia="Calibri" w:hAnsi="Arial" w:cs="Arial"/>
                <w:spacing w:val="-3"/>
                <w:sz w:val="20"/>
              </w:rPr>
              <w:t>Does your company have an emergency response plan?</w:t>
            </w:r>
          </w:p>
        </w:tc>
        <w:tc>
          <w:tcPr>
            <w:tcW w:w="1665" w:type="dxa"/>
          </w:tcPr>
          <w:p w14:paraId="5046992C" w14:textId="77777777" w:rsidR="008064AC" w:rsidRPr="008064AC" w:rsidRDefault="008064AC" w:rsidP="008064AC">
            <w:pPr>
              <w:tabs>
                <w:tab w:val="left" w:pos="-720"/>
              </w:tabs>
              <w:suppressAutoHyphens/>
              <w:spacing w:after="0" w:line="240" w:lineRule="auto"/>
              <w:contextualSpacing/>
              <w:outlineLvl w:val="0"/>
              <w:rPr>
                <w:rFonts w:ascii="Arial" w:eastAsia="Calibri" w:hAnsi="Arial" w:cs="Arial"/>
                <w:spacing w:val="-3"/>
                <w:sz w:val="20"/>
              </w:rPr>
            </w:pPr>
            <w:r w:rsidRPr="008064AC">
              <w:rPr>
                <w:rFonts w:ascii="Arial" w:eastAsia="Calibri" w:hAnsi="Arial" w:cs="Arial"/>
                <w:spacing w:val="-3"/>
                <w:sz w:val="20"/>
              </w:rPr>
              <w:t>7.</w:t>
            </w:r>
          </w:p>
        </w:tc>
      </w:tr>
      <w:tr w:rsidR="008064AC" w:rsidRPr="008064AC" w14:paraId="699F7036" w14:textId="77777777" w:rsidTr="00347614">
        <w:trPr>
          <w:trHeight w:val="20"/>
          <w:jc w:val="center"/>
        </w:trPr>
        <w:tc>
          <w:tcPr>
            <w:tcW w:w="436" w:type="dxa"/>
          </w:tcPr>
          <w:p w14:paraId="2037CBE8" w14:textId="77777777" w:rsidR="008064AC" w:rsidRPr="008064AC" w:rsidRDefault="008064AC" w:rsidP="008064AC">
            <w:pPr>
              <w:tabs>
                <w:tab w:val="left" w:pos="-720"/>
              </w:tabs>
              <w:suppressAutoHyphens/>
              <w:spacing w:after="0" w:line="240" w:lineRule="auto"/>
              <w:contextualSpacing/>
              <w:jc w:val="center"/>
              <w:outlineLvl w:val="0"/>
              <w:rPr>
                <w:rFonts w:ascii="Arial" w:eastAsia="Calibri" w:hAnsi="Arial" w:cs="Arial"/>
                <w:spacing w:val="-3"/>
                <w:sz w:val="20"/>
              </w:rPr>
            </w:pPr>
            <w:r w:rsidRPr="008064AC">
              <w:rPr>
                <w:rFonts w:ascii="Arial" w:eastAsia="Calibri" w:hAnsi="Arial" w:cs="Arial"/>
                <w:spacing w:val="-3"/>
                <w:sz w:val="20"/>
              </w:rPr>
              <w:t>8</w:t>
            </w:r>
          </w:p>
        </w:tc>
        <w:tc>
          <w:tcPr>
            <w:tcW w:w="7660" w:type="dxa"/>
          </w:tcPr>
          <w:p w14:paraId="17964106" w14:textId="77777777" w:rsidR="008064AC" w:rsidRPr="008064AC" w:rsidRDefault="008064AC" w:rsidP="008064AC">
            <w:pPr>
              <w:tabs>
                <w:tab w:val="left" w:pos="-720"/>
              </w:tabs>
              <w:suppressAutoHyphens/>
              <w:spacing w:after="0" w:line="240" w:lineRule="auto"/>
              <w:contextualSpacing/>
              <w:outlineLvl w:val="0"/>
              <w:rPr>
                <w:rFonts w:ascii="Arial" w:eastAsia="Calibri" w:hAnsi="Arial" w:cs="Arial"/>
                <w:spacing w:val="-3"/>
                <w:sz w:val="20"/>
              </w:rPr>
            </w:pPr>
            <w:r w:rsidRPr="008064AC">
              <w:rPr>
                <w:rFonts w:ascii="Arial" w:eastAsia="Calibri" w:hAnsi="Arial" w:cs="Arial"/>
                <w:spacing w:val="-3"/>
                <w:sz w:val="20"/>
              </w:rPr>
              <w:t>Has your emergency response plan been reviewed in the last year and updated as needed?</w:t>
            </w:r>
          </w:p>
        </w:tc>
        <w:tc>
          <w:tcPr>
            <w:tcW w:w="1665" w:type="dxa"/>
          </w:tcPr>
          <w:p w14:paraId="7A49506D" w14:textId="77777777" w:rsidR="008064AC" w:rsidRPr="008064AC" w:rsidRDefault="008064AC" w:rsidP="008064AC">
            <w:pPr>
              <w:tabs>
                <w:tab w:val="left" w:pos="-720"/>
              </w:tabs>
              <w:suppressAutoHyphens/>
              <w:spacing w:after="0" w:line="240" w:lineRule="auto"/>
              <w:contextualSpacing/>
              <w:outlineLvl w:val="0"/>
              <w:rPr>
                <w:rFonts w:ascii="Arial" w:eastAsia="Calibri" w:hAnsi="Arial" w:cs="Arial"/>
                <w:spacing w:val="-3"/>
                <w:sz w:val="20"/>
              </w:rPr>
            </w:pPr>
            <w:r w:rsidRPr="008064AC">
              <w:rPr>
                <w:rFonts w:ascii="Arial" w:eastAsia="Calibri" w:hAnsi="Arial" w:cs="Arial"/>
                <w:spacing w:val="-3"/>
                <w:sz w:val="20"/>
              </w:rPr>
              <w:t>8.</w:t>
            </w:r>
          </w:p>
        </w:tc>
      </w:tr>
      <w:tr w:rsidR="008064AC" w:rsidRPr="008064AC" w14:paraId="757976C1" w14:textId="77777777" w:rsidTr="00347614">
        <w:trPr>
          <w:trHeight w:val="20"/>
          <w:jc w:val="center"/>
        </w:trPr>
        <w:tc>
          <w:tcPr>
            <w:tcW w:w="436" w:type="dxa"/>
          </w:tcPr>
          <w:p w14:paraId="24A0C952" w14:textId="77777777" w:rsidR="008064AC" w:rsidRPr="008064AC" w:rsidRDefault="008064AC" w:rsidP="008064AC">
            <w:pPr>
              <w:tabs>
                <w:tab w:val="left" w:pos="-720"/>
              </w:tabs>
              <w:suppressAutoHyphens/>
              <w:spacing w:after="0" w:line="240" w:lineRule="auto"/>
              <w:contextualSpacing/>
              <w:jc w:val="center"/>
              <w:outlineLvl w:val="0"/>
              <w:rPr>
                <w:rFonts w:ascii="Arial" w:eastAsia="Calibri" w:hAnsi="Arial" w:cs="Arial"/>
                <w:spacing w:val="-3"/>
                <w:sz w:val="20"/>
              </w:rPr>
            </w:pPr>
            <w:r w:rsidRPr="008064AC">
              <w:rPr>
                <w:rFonts w:ascii="Arial" w:eastAsia="Calibri" w:hAnsi="Arial" w:cs="Arial"/>
                <w:spacing w:val="-3"/>
                <w:sz w:val="20"/>
              </w:rPr>
              <w:t>9</w:t>
            </w:r>
          </w:p>
        </w:tc>
        <w:tc>
          <w:tcPr>
            <w:tcW w:w="7660" w:type="dxa"/>
          </w:tcPr>
          <w:p w14:paraId="47581260" w14:textId="77777777" w:rsidR="008064AC" w:rsidRPr="008064AC" w:rsidRDefault="008064AC" w:rsidP="008064AC">
            <w:pPr>
              <w:tabs>
                <w:tab w:val="left" w:pos="-720"/>
              </w:tabs>
              <w:suppressAutoHyphens/>
              <w:spacing w:after="0" w:line="240" w:lineRule="auto"/>
              <w:contextualSpacing/>
              <w:outlineLvl w:val="0"/>
              <w:rPr>
                <w:rFonts w:ascii="Arial" w:eastAsia="Calibri" w:hAnsi="Arial" w:cs="Arial"/>
                <w:spacing w:val="-3"/>
                <w:sz w:val="20"/>
              </w:rPr>
            </w:pPr>
            <w:r w:rsidRPr="008064AC">
              <w:rPr>
                <w:rFonts w:ascii="Arial" w:eastAsia="Calibri" w:hAnsi="Arial" w:cs="Arial"/>
                <w:spacing w:val="-3"/>
                <w:sz w:val="20"/>
              </w:rPr>
              <w:t>Is your emergency response plan tested annually?</w:t>
            </w:r>
          </w:p>
        </w:tc>
        <w:tc>
          <w:tcPr>
            <w:tcW w:w="1665" w:type="dxa"/>
          </w:tcPr>
          <w:p w14:paraId="18C5C093" w14:textId="77777777" w:rsidR="008064AC" w:rsidRPr="008064AC" w:rsidRDefault="008064AC" w:rsidP="008064AC">
            <w:pPr>
              <w:tabs>
                <w:tab w:val="left" w:pos="-720"/>
              </w:tabs>
              <w:suppressAutoHyphens/>
              <w:spacing w:after="0" w:line="240" w:lineRule="auto"/>
              <w:contextualSpacing/>
              <w:outlineLvl w:val="0"/>
              <w:rPr>
                <w:rFonts w:ascii="Arial" w:eastAsia="Calibri" w:hAnsi="Arial" w:cs="Arial"/>
                <w:spacing w:val="-3"/>
                <w:sz w:val="20"/>
              </w:rPr>
            </w:pPr>
            <w:r w:rsidRPr="008064AC">
              <w:rPr>
                <w:rFonts w:ascii="Arial" w:eastAsia="Calibri" w:hAnsi="Arial" w:cs="Arial"/>
                <w:spacing w:val="-3"/>
                <w:sz w:val="20"/>
              </w:rPr>
              <w:t>9.</w:t>
            </w:r>
          </w:p>
        </w:tc>
      </w:tr>
      <w:tr w:rsidR="008064AC" w:rsidRPr="008064AC" w14:paraId="4F4A4BFC" w14:textId="77777777" w:rsidTr="00347614">
        <w:trPr>
          <w:trHeight w:val="20"/>
          <w:jc w:val="center"/>
        </w:trPr>
        <w:tc>
          <w:tcPr>
            <w:tcW w:w="436" w:type="dxa"/>
          </w:tcPr>
          <w:p w14:paraId="4FCDC286" w14:textId="77777777" w:rsidR="008064AC" w:rsidRPr="008064AC" w:rsidRDefault="008064AC" w:rsidP="008064AC">
            <w:pPr>
              <w:tabs>
                <w:tab w:val="left" w:pos="-720"/>
              </w:tabs>
              <w:suppressAutoHyphens/>
              <w:spacing w:after="0" w:line="240" w:lineRule="auto"/>
              <w:contextualSpacing/>
              <w:jc w:val="center"/>
              <w:outlineLvl w:val="0"/>
              <w:rPr>
                <w:rFonts w:ascii="Arial" w:eastAsia="Calibri" w:hAnsi="Arial" w:cs="Arial"/>
                <w:spacing w:val="-3"/>
                <w:sz w:val="20"/>
              </w:rPr>
            </w:pPr>
            <w:r w:rsidRPr="008064AC">
              <w:rPr>
                <w:rFonts w:ascii="Arial" w:eastAsia="Calibri" w:hAnsi="Arial" w:cs="Arial"/>
                <w:spacing w:val="-3"/>
                <w:sz w:val="20"/>
              </w:rPr>
              <w:t>10</w:t>
            </w:r>
          </w:p>
        </w:tc>
        <w:tc>
          <w:tcPr>
            <w:tcW w:w="7660" w:type="dxa"/>
          </w:tcPr>
          <w:p w14:paraId="23AC64A0" w14:textId="77777777" w:rsidR="008064AC" w:rsidRPr="008064AC" w:rsidRDefault="008064AC" w:rsidP="008064AC">
            <w:pPr>
              <w:tabs>
                <w:tab w:val="left" w:pos="-720"/>
              </w:tabs>
              <w:suppressAutoHyphens/>
              <w:spacing w:after="0" w:line="240" w:lineRule="auto"/>
              <w:contextualSpacing/>
              <w:outlineLvl w:val="0"/>
              <w:rPr>
                <w:rFonts w:ascii="Arial" w:eastAsia="Calibri" w:hAnsi="Arial" w:cs="Arial"/>
                <w:spacing w:val="-3"/>
                <w:sz w:val="20"/>
              </w:rPr>
            </w:pPr>
            <w:r w:rsidRPr="008064AC">
              <w:rPr>
                <w:rFonts w:ascii="Arial" w:eastAsia="Calibri" w:hAnsi="Arial" w:cs="Arial"/>
                <w:spacing w:val="-3"/>
                <w:sz w:val="20"/>
              </w:rPr>
              <w:t>Does your company have a business continuity plan?</w:t>
            </w:r>
          </w:p>
        </w:tc>
        <w:tc>
          <w:tcPr>
            <w:tcW w:w="1665" w:type="dxa"/>
          </w:tcPr>
          <w:p w14:paraId="279D0EB7" w14:textId="77777777" w:rsidR="008064AC" w:rsidRPr="008064AC" w:rsidRDefault="008064AC" w:rsidP="008064AC">
            <w:pPr>
              <w:tabs>
                <w:tab w:val="left" w:pos="-720"/>
              </w:tabs>
              <w:suppressAutoHyphens/>
              <w:spacing w:after="0" w:line="240" w:lineRule="auto"/>
              <w:contextualSpacing/>
              <w:outlineLvl w:val="0"/>
              <w:rPr>
                <w:rFonts w:ascii="Arial" w:eastAsia="Calibri" w:hAnsi="Arial" w:cs="Arial"/>
                <w:spacing w:val="-3"/>
                <w:sz w:val="20"/>
              </w:rPr>
            </w:pPr>
            <w:r w:rsidRPr="008064AC">
              <w:rPr>
                <w:rFonts w:ascii="Arial" w:eastAsia="Calibri" w:hAnsi="Arial" w:cs="Arial"/>
                <w:spacing w:val="-3"/>
                <w:sz w:val="20"/>
              </w:rPr>
              <w:t>10.</w:t>
            </w:r>
          </w:p>
        </w:tc>
      </w:tr>
      <w:tr w:rsidR="008064AC" w:rsidRPr="008064AC" w14:paraId="057A2514" w14:textId="77777777" w:rsidTr="00347614">
        <w:trPr>
          <w:trHeight w:val="20"/>
          <w:jc w:val="center"/>
        </w:trPr>
        <w:tc>
          <w:tcPr>
            <w:tcW w:w="436" w:type="dxa"/>
          </w:tcPr>
          <w:p w14:paraId="7051E3A7" w14:textId="77777777" w:rsidR="008064AC" w:rsidRPr="008064AC" w:rsidRDefault="008064AC" w:rsidP="008064AC">
            <w:pPr>
              <w:tabs>
                <w:tab w:val="left" w:pos="-720"/>
              </w:tabs>
              <w:suppressAutoHyphens/>
              <w:spacing w:after="0" w:line="240" w:lineRule="auto"/>
              <w:contextualSpacing/>
              <w:jc w:val="center"/>
              <w:outlineLvl w:val="0"/>
              <w:rPr>
                <w:rFonts w:ascii="Arial" w:eastAsia="Calibri" w:hAnsi="Arial" w:cs="Arial"/>
                <w:spacing w:val="-3"/>
                <w:sz w:val="20"/>
              </w:rPr>
            </w:pPr>
            <w:r w:rsidRPr="008064AC">
              <w:rPr>
                <w:rFonts w:ascii="Arial" w:eastAsia="Calibri" w:hAnsi="Arial" w:cs="Arial"/>
                <w:spacing w:val="-3"/>
                <w:sz w:val="20"/>
              </w:rPr>
              <w:t>11</w:t>
            </w:r>
          </w:p>
        </w:tc>
        <w:tc>
          <w:tcPr>
            <w:tcW w:w="7660" w:type="dxa"/>
          </w:tcPr>
          <w:p w14:paraId="10976718" w14:textId="77777777" w:rsidR="008064AC" w:rsidRPr="008064AC" w:rsidRDefault="008064AC" w:rsidP="008064AC">
            <w:pPr>
              <w:tabs>
                <w:tab w:val="left" w:pos="-720"/>
              </w:tabs>
              <w:suppressAutoHyphens/>
              <w:spacing w:after="0" w:line="240" w:lineRule="auto"/>
              <w:contextualSpacing/>
              <w:outlineLvl w:val="0"/>
              <w:rPr>
                <w:rFonts w:ascii="Arial" w:eastAsia="Calibri" w:hAnsi="Arial" w:cs="Arial"/>
                <w:spacing w:val="-3"/>
                <w:sz w:val="20"/>
              </w:rPr>
            </w:pPr>
            <w:r w:rsidRPr="008064AC">
              <w:rPr>
                <w:rFonts w:ascii="Arial" w:eastAsia="Calibri" w:hAnsi="Arial" w:cs="Arial"/>
                <w:spacing w:val="-3"/>
                <w:sz w:val="20"/>
              </w:rPr>
              <w:t xml:space="preserve">Does your business continuity plan have a section or annex addressing pandemics? </w:t>
            </w:r>
          </w:p>
        </w:tc>
        <w:tc>
          <w:tcPr>
            <w:tcW w:w="1665" w:type="dxa"/>
          </w:tcPr>
          <w:p w14:paraId="1B5ACD13" w14:textId="77777777" w:rsidR="008064AC" w:rsidRPr="008064AC" w:rsidRDefault="008064AC" w:rsidP="008064AC">
            <w:pPr>
              <w:tabs>
                <w:tab w:val="left" w:pos="-720"/>
              </w:tabs>
              <w:suppressAutoHyphens/>
              <w:spacing w:after="0" w:line="240" w:lineRule="auto"/>
              <w:contextualSpacing/>
              <w:outlineLvl w:val="0"/>
              <w:rPr>
                <w:rFonts w:ascii="Arial" w:eastAsia="Calibri" w:hAnsi="Arial" w:cs="Arial"/>
                <w:spacing w:val="-3"/>
                <w:sz w:val="20"/>
              </w:rPr>
            </w:pPr>
            <w:r w:rsidRPr="008064AC">
              <w:rPr>
                <w:rFonts w:ascii="Arial" w:eastAsia="Calibri" w:hAnsi="Arial" w:cs="Arial"/>
                <w:spacing w:val="-3"/>
                <w:sz w:val="20"/>
              </w:rPr>
              <w:t>11.</w:t>
            </w:r>
          </w:p>
        </w:tc>
      </w:tr>
      <w:tr w:rsidR="008064AC" w:rsidRPr="008064AC" w14:paraId="198096FA" w14:textId="77777777" w:rsidTr="00347614">
        <w:trPr>
          <w:trHeight w:val="20"/>
          <w:jc w:val="center"/>
        </w:trPr>
        <w:tc>
          <w:tcPr>
            <w:tcW w:w="436" w:type="dxa"/>
          </w:tcPr>
          <w:p w14:paraId="39ED1535" w14:textId="77777777" w:rsidR="008064AC" w:rsidRPr="008064AC" w:rsidRDefault="008064AC" w:rsidP="008064AC">
            <w:pPr>
              <w:tabs>
                <w:tab w:val="left" w:pos="-720"/>
              </w:tabs>
              <w:suppressAutoHyphens/>
              <w:spacing w:after="0" w:line="240" w:lineRule="auto"/>
              <w:contextualSpacing/>
              <w:jc w:val="center"/>
              <w:outlineLvl w:val="0"/>
              <w:rPr>
                <w:rFonts w:ascii="Arial" w:eastAsia="Calibri" w:hAnsi="Arial" w:cs="Arial"/>
                <w:spacing w:val="-3"/>
                <w:sz w:val="20"/>
              </w:rPr>
            </w:pPr>
            <w:r w:rsidRPr="008064AC">
              <w:rPr>
                <w:rFonts w:ascii="Arial" w:eastAsia="Calibri" w:hAnsi="Arial" w:cs="Arial"/>
                <w:spacing w:val="-3"/>
                <w:sz w:val="20"/>
              </w:rPr>
              <w:t>12</w:t>
            </w:r>
          </w:p>
        </w:tc>
        <w:tc>
          <w:tcPr>
            <w:tcW w:w="7660" w:type="dxa"/>
          </w:tcPr>
          <w:p w14:paraId="57535AC9" w14:textId="77777777" w:rsidR="008064AC" w:rsidRPr="008064AC" w:rsidRDefault="008064AC" w:rsidP="008064AC">
            <w:pPr>
              <w:tabs>
                <w:tab w:val="left" w:pos="-720"/>
              </w:tabs>
              <w:suppressAutoHyphens/>
              <w:spacing w:after="0" w:line="240" w:lineRule="auto"/>
              <w:contextualSpacing/>
              <w:outlineLvl w:val="0"/>
              <w:rPr>
                <w:rFonts w:ascii="Arial" w:eastAsia="Calibri" w:hAnsi="Arial" w:cs="Arial"/>
                <w:spacing w:val="-3"/>
                <w:sz w:val="20"/>
              </w:rPr>
            </w:pPr>
            <w:r w:rsidRPr="008064AC">
              <w:rPr>
                <w:rFonts w:ascii="Arial" w:eastAsia="Calibri" w:hAnsi="Arial" w:cs="Arial"/>
                <w:spacing w:val="-3"/>
                <w:sz w:val="20"/>
              </w:rPr>
              <w:t>Has your business continuity plan been reviewed in the last year and updated as needed?</w:t>
            </w:r>
          </w:p>
        </w:tc>
        <w:tc>
          <w:tcPr>
            <w:tcW w:w="1665" w:type="dxa"/>
          </w:tcPr>
          <w:p w14:paraId="33CEA444" w14:textId="77777777" w:rsidR="008064AC" w:rsidRPr="008064AC" w:rsidRDefault="008064AC" w:rsidP="008064AC">
            <w:pPr>
              <w:tabs>
                <w:tab w:val="left" w:pos="-720"/>
              </w:tabs>
              <w:suppressAutoHyphens/>
              <w:spacing w:after="0" w:line="240" w:lineRule="auto"/>
              <w:contextualSpacing/>
              <w:outlineLvl w:val="0"/>
              <w:rPr>
                <w:rFonts w:ascii="Arial" w:eastAsia="Calibri" w:hAnsi="Arial" w:cs="Arial"/>
                <w:spacing w:val="-3"/>
                <w:sz w:val="20"/>
              </w:rPr>
            </w:pPr>
            <w:r w:rsidRPr="008064AC">
              <w:rPr>
                <w:rFonts w:ascii="Arial" w:eastAsia="Calibri" w:hAnsi="Arial" w:cs="Arial"/>
                <w:spacing w:val="-3"/>
                <w:sz w:val="20"/>
              </w:rPr>
              <w:t>12.</w:t>
            </w:r>
          </w:p>
        </w:tc>
      </w:tr>
      <w:tr w:rsidR="008064AC" w:rsidRPr="008064AC" w14:paraId="338AB2E9" w14:textId="77777777" w:rsidTr="00347614">
        <w:trPr>
          <w:trHeight w:val="20"/>
          <w:jc w:val="center"/>
        </w:trPr>
        <w:tc>
          <w:tcPr>
            <w:tcW w:w="436" w:type="dxa"/>
          </w:tcPr>
          <w:p w14:paraId="752CB93A" w14:textId="77777777" w:rsidR="008064AC" w:rsidRPr="008064AC" w:rsidRDefault="008064AC" w:rsidP="008064AC">
            <w:pPr>
              <w:tabs>
                <w:tab w:val="left" w:pos="-720"/>
              </w:tabs>
              <w:suppressAutoHyphens/>
              <w:spacing w:after="0" w:line="240" w:lineRule="auto"/>
              <w:contextualSpacing/>
              <w:jc w:val="center"/>
              <w:outlineLvl w:val="0"/>
              <w:rPr>
                <w:rFonts w:ascii="Arial" w:eastAsia="Calibri" w:hAnsi="Arial" w:cs="Arial"/>
                <w:spacing w:val="-3"/>
                <w:sz w:val="20"/>
              </w:rPr>
            </w:pPr>
            <w:r w:rsidRPr="008064AC">
              <w:rPr>
                <w:rFonts w:ascii="Arial" w:eastAsia="Calibri" w:hAnsi="Arial" w:cs="Arial"/>
                <w:spacing w:val="-3"/>
                <w:sz w:val="20"/>
              </w:rPr>
              <w:t>13</w:t>
            </w:r>
          </w:p>
        </w:tc>
        <w:tc>
          <w:tcPr>
            <w:tcW w:w="7660" w:type="dxa"/>
          </w:tcPr>
          <w:p w14:paraId="4FCAE00E" w14:textId="77777777" w:rsidR="008064AC" w:rsidRPr="008064AC" w:rsidRDefault="008064AC" w:rsidP="008064AC">
            <w:pPr>
              <w:tabs>
                <w:tab w:val="left" w:pos="-720"/>
              </w:tabs>
              <w:suppressAutoHyphens/>
              <w:spacing w:after="0" w:line="240" w:lineRule="auto"/>
              <w:contextualSpacing/>
              <w:outlineLvl w:val="0"/>
              <w:rPr>
                <w:rFonts w:ascii="Arial" w:eastAsia="Calibri" w:hAnsi="Arial" w:cs="Arial"/>
                <w:spacing w:val="-3"/>
                <w:sz w:val="20"/>
              </w:rPr>
            </w:pPr>
            <w:r w:rsidRPr="008064AC">
              <w:rPr>
                <w:rFonts w:ascii="Arial" w:eastAsia="Calibri" w:hAnsi="Arial" w:cs="Arial"/>
                <w:spacing w:val="-3"/>
                <w:sz w:val="20"/>
              </w:rPr>
              <w:t>Is your business continuity plan tested annually?</w:t>
            </w:r>
          </w:p>
        </w:tc>
        <w:tc>
          <w:tcPr>
            <w:tcW w:w="1665" w:type="dxa"/>
          </w:tcPr>
          <w:p w14:paraId="350247D6" w14:textId="77777777" w:rsidR="008064AC" w:rsidRPr="008064AC" w:rsidRDefault="008064AC" w:rsidP="008064AC">
            <w:pPr>
              <w:tabs>
                <w:tab w:val="left" w:pos="-720"/>
              </w:tabs>
              <w:suppressAutoHyphens/>
              <w:spacing w:after="0" w:line="240" w:lineRule="auto"/>
              <w:contextualSpacing/>
              <w:outlineLvl w:val="0"/>
              <w:rPr>
                <w:rFonts w:ascii="Arial" w:eastAsia="Calibri" w:hAnsi="Arial" w:cs="Arial"/>
                <w:spacing w:val="-3"/>
                <w:sz w:val="20"/>
              </w:rPr>
            </w:pPr>
            <w:r w:rsidRPr="008064AC">
              <w:rPr>
                <w:rFonts w:ascii="Arial" w:eastAsia="Calibri" w:hAnsi="Arial" w:cs="Arial"/>
                <w:spacing w:val="-3"/>
                <w:sz w:val="20"/>
              </w:rPr>
              <w:t>13.</w:t>
            </w:r>
          </w:p>
        </w:tc>
      </w:tr>
    </w:tbl>
    <w:p w14:paraId="6AFE6A23" w14:textId="77777777" w:rsidR="008064AC" w:rsidRPr="008064AC" w:rsidRDefault="008064AC" w:rsidP="008064AC">
      <w:pPr>
        <w:spacing w:after="0" w:line="240" w:lineRule="auto"/>
        <w:contextualSpacing/>
        <w:rPr>
          <w:rFonts w:ascii="Arial" w:eastAsia="Calibri" w:hAnsi="Arial" w:cs="Arial"/>
          <w:sz w:val="18"/>
          <w:szCs w:val="18"/>
        </w:rPr>
      </w:pPr>
      <w:r w:rsidRPr="008064AC">
        <w:rPr>
          <w:rFonts w:ascii="Arial" w:eastAsia="Calibri" w:hAnsi="Arial" w:cs="Arial"/>
          <w:sz w:val="18"/>
          <w:szCs w:val="18"/>
        </w:rPr>
        <w:t>* Attach a sheet with a brief explanation if N/A is supplied as a response to a question.</w:t>
      </w:r>
    </w:p>
    <w:p w14:paraId="3D3AA438" w14:textId="77777777" w:rsidR="008064AC" w:rsidRPr="008064AC" w:rsidRDefault="008064AC" w:rsidP="008064AC">
      <w:pPr>
        <w:spacing w:after="0" w:line="240" w:lineRule="auto"/>
        <w:ind w:left="720" w:hanging="720"/>
        <w:contextualSpacing/>
        <w:rPr>
          <w:rFonts w:ascii="Arial" w:eastAsia="Calibri" w:hAnsi="Arial" w:cs="Arial"/>
          <w:sz w:val="18"/>
          <w:szCs w:val="18"/>
        </w:rPr>
      </w:pPr>
      <w:r w:rsidRPr="008064AC">
        <w:rPr>
          <w:rFonts w:ascii="Arial" w:eastAsia="Calibri" w:hAnsi="Arial" w:cs="Arial"/>
          <w:sz w:val="18"/>
          <w:szCs w:val="18"/>
        </w:rPr>
        <w:t xml:space="preserve">Source:  Public Utility Security Planning and Readiness Self-Certification Form, as available on the PUC website at </w:t>
      </w:r>
      <w:hyperlink r:id="rId56" w:history="1">
        <w:r w:rsidRPr="008064AC">
          <w:rPr>
            <w:rFonts w:ascii="Arial" w:eastAsia="Calibri" w:hAnsi="Arial" w:cs="Arial"/>
            <w:sz w:val="18"/>
            <w:szCs w:val="18"/>
          </w:rPr>
          <w:t>http://www.puc.state.pa.us/general/onlineforms/pdf/Physical_Cyber_Security_Form.pdf</w:t>
        </w:r>
      </w:hyperlink>
      <w:r w:rsidRPr="008064AC">
        <w:rPr>
          <w:rFonts w:ascii="Arial" w:eastAsia="Calibri" w:hAnsi="Arial" w:cs="Arial"/>
          <w:sz w:val="18"/>
          <w:szCs w:val="18"/>
        </w:rPr>
        <w:t>.</w:t>
      </w:r>
    </w:p>
    <w:p w14:paraId="0DBADA94" w14:textId="77777777" w:rsidR="008064AC" w:rsidRPr="008064AC" w:rsidRDefault="008064AC" w:rsidP="008064AC">
      <w:pPr>
        <w:spacing w:after="0" w:line="240" w:lineRule="auto"/>
        <w:ind w:firstLine="720"/>
        <w:contextualSpacing/>
        <w:rPr>
          <w:rFonts w:ascii="Arial" w:eastAsia="Calibri" w:hAnsi="Arial" w:cs="Arial"/>
          <w:sz w:val="24"/>
          <w:szCs w:val="24"/>
        </w:rPr>
      </w:pPr>
    </w:p>
    <w:p w14:paraId="54601843" w14:textId="77777777" w:rsidR="008064AC" w:rsidRPr="008064AC" w:rsidRDefault="00080DC0" w:rsidP="008064AC">
      <w:pPr>
        <w:spacing w:after="0" w:line="240" w:lineRule="auto"/>
        <w:ind w:firstLine="720"/>
        <w:contextualSpacing/>
        <w:rPr>
          <w:rFonts w:ascii="Arial" w:eastAsia="Calibri" w:hAnsi="Arial" w:cs="Arial"/>
          <w:sz w:val="24"/>
          <w:szCs w:val="24"/>
        </w:rPr>
      </w:pPr>
      <w:r w:rsidRPr="008064AC">
        <w:rPr>
          <w:rFonts w:ascii="Arial" w:eastAsia="Calibri" w:hAnsi="Arial" w:cs="Arial"/>
          <w:sz w:val="24"/>
          <w:szCs w:val="24"/>
        </w:rPr>
        <w:t>During</w:t>
      </w:r>
      <w:r w:rsidR="008064AC" w:rsidRPr="008064AC">
        <w:rPr>
          <w:rFonts w:ascii="Arial" w:eastAsia="Calibri" w:hAnsi="Arial" w:cs="Arial"/>
          <w:sz w:val="24"/>
          <w:szCs w:val="24"/>
        </w:rPr>
        <w:t xml:space="preserve"> our fieldwork, the auditors reviewed the most recent (i.e., 2016) Self Certification Forms submitted by FirstEnergy Corporation (FirstEnergy) on behalf of the </w:t>
      </w:r>
      <w:r w:rsidR="00DC3D9B">
        <w:rPr>
          <w:rFonts w:ascii="Arial" w:eastAsia="Calibri" w:hAnsi="Arial" w:cs="Arial"/>
          <w:sz w:val="24"/>
          <w:szCs w:val="24"/>
        </w:rPr>
        <w:t>FE-PA companies</w:t>
      </w:r>
      <w:r w:rsidR="008064AC" w:rsidRPr="008064AC">
        <w:rPr>
          <w:rFonts w:ascii="Arial" w:eastAsia="Calibri" w:hAnsi="Arial" w:cs="Arial"/>
          <w:sz w:val="24"/>
          <w:szCs w:val="24"/>
        </w:rPr>
        <w:t xml:space="preserve"> to determine the status of their responses.  As discussed in </w:t>
      </w:r>
      <w:r w:rsidR="004001F5">
        <w:rPr>
          <w:rFonts w:ascii="Arial" w:eastAsia="Calibri" w:hAnsi="Arial" w:cs="Arial"/>
          <w:sz w:val="24"/>
          <w:szCs w:val="24"/>
        </w:rPr>
        <w:t xml:space="preserve">the background section of </w:t>
      </w:r>
      <w:r w:rsidR="008064AC" w:rsidRPr="008064AC">
        <w:rPr>
          <w:rFonts w:ascii="Arial" w:eastAsia="Calibri" w:hAnsi="Arial" w:cs="Arial"/>
          <w:sz w:val="24"/>
          <w:szCs w:val="24"/>
        </w:rPr>
        <w:t xml:space="preserve">Chapter I – </w:t>
      </w:r>
      <w:r w:rsidR="004001F5">
        <w:rPr>
          <w:rFonts w:ascii="Arial" w:eastAsia="Calibri" w:hAnsi="Arial" w:cs="Arial"/>
          <w:sz w:val="24"/>
          <w:szCs w:val="24"/>
        </w:rPr>
        <w:t>Introduction</w:t>
      </w:r>
      <w:r w:rsidR="008064AC" w:rsidRPr="008064AC">
        <w:rPr>
          <w:rFonts w:ascii="Arial" w:eastAsia="Calibri" w:hAnsi="Arial" w:cs="Arial"/>
          <w:sz w:val="24"/>
          <w:szCs w:val="24"/>
        </w:rPr>
        <w:t>, FirstEnergy’s Regulated Distribution business segment distributes electricity through FirstEnergy’s ten utility operating companies, which is also referred to as FirstEnergy Utilities (FEU).  Met</w:t>
      </w:r>
      <w:r w:rsidR="004001F5">
        <w:rPr>
          <w:rFonts w:ascii="Arial" w:eastAsia="Calibri" w:hAnsi="Arial" w:cs="Arial"/>
          <w:sz w:val="24"/>
          <w:szCs w:val="24"/>
        </w:rPr>
        <w:noBreakHyphen/>
      </w:r>
      <w:r w:rsidR="008064AC" w:rsidRPr="008064AC">
        <w:rPr>
          <w:rFonts w:ascii="Arial" w:eastAsia="Calibri" w:hAnsi="Arial" w:cs="Arial"/>
          <w:sz w:val="24"/>
          <w:szCs w:val="24"/>
        </w:rPr>
        <w:t xml:space="preserve">Ed, Penelec, Penn Power, and West Penn Power are the Pennsylvania operating companies within FEU.  In addition, FirstEnergy Service Company (FESC) is a subsidiary of FirstEnergy that provides various corporate services to all affiliates, including the </w:t>
      </w:r>
      <w:r w:rsidR="00DC3D9B">
        <w:rPr>
          <w:rFonts w:ascii="Arial" w:eastAsia="Calibri" w:hAnsi="Arial" w:cs="Arial"/>
          <w:sz w:val="24"/>
          <w:szCs w:val="24"/>
        </w:rPr>
        <w:t>FE-PA companies</w:t>
      </w:r>
      <w:r w:rsidR="008064AC" w:rsidRPr="008064AC">
        <w:rPr>
          <w:rFonts w:ascii="Arial" w:eastAsia="Calibri" w:hAnsi="Arial" w:cs="Arial"/>
          <w:sz w:val="24"/>
          <w:szCs w:val="24"/>
        </w:rPr>
        <w:t xml:space="preserve">.  Our examination of the </w:t>
      </w:r>
      <w:r w:rsidR="00DC3D9B">
        <w:rPr>
          <w:rFonts w:ascii="Arial" w:eastAsia="Calibri" w:hAnsi="Arial" w:cs="Arial"/>
          <w:sz w:val="24"/>
          <w:szCs w:val="24"/>
        </w:rPr>
        <w:t>FE-PA companies</w:t>
      </w:r>
      <w:r w:rsidR="008064AC" w:rsidRPr="008064AC">
        <w:rPr>
          <w:rFonts w:ascii="Arial" w:eastAsia="Calibri" w:hAnsi="Arial" w:cs="Arial"/>
          <w:sz w:val="24"/>
          <w:szCs w:val="24"/>
        </w:rPr>
        <w:t xml:space="preserve">’ emergency preparedness included a review of physical security plans, cyber security plans, emergency response plans, business continuity plans, and associated security measures.  In addition, the auditors performed inspections at a sample of the </w:t>
      </w:r>
      <w:r w:rsidR="00DC3D9B">
        <w:rPr>
          <w:rFonts w:ascii="Arial" w:eastAsia="Calibri" w:hAnsi="Arial" w:cs="Arial"/>
          <w:sz w:val="24"/>
          <w:szCs w:val="24"/>
        </w:rPr>
        <w:t>FE-PA companies</w:t>
      </w:r>
      <w:r w:rsidR="008064AC" w:rsidRPr="008064AC">
        <w:rPr>
          <w:rFonts w:ascii="Arial" w:eastAsia="Calibri" w:hAnsi="Arial" w:cs="Arial"/>
          <w:sz w:val="24"/>
          <w:szCs w:val="24"/>
        </w:rPr>
        <w:t xml:space="preserve">’ facilities.  </w:t>
      </w:r>
    </w:p>
    <w:p w14:paraId="058F9A89" w14:textId="77777777" w:rsidR="008064AC" w:rsidRPr="008064AC" w:rsidRDefault="008064AC" w:rsidP="008064AC">
      <w:pPr>
        <w:autoSpaceDE w:val="0"/>
        <w:autoSpaceDN w:val="0"/>
        <w:adjustRightInd w:val="0"/>
        <w:spacing w:after="0" w:line="240" w:lineRule="auto"/>
        <w:contextualSpacing/>
        <w:rPr>
          <w:rFonts w:ascii="Arial" w:eastAsia="Calibri" w:hAnsi="Arial" w:cs="Arial"/>
          <w:sz w:val="24"/>
          <w:szCs w:val="24"/>
        </w:rPr>
      </w:pPr>
    </w:p>
    <w:p w14:paraId="7128253A" w14:textId="77777777" w:rsidR="008064AC" w:rsidRPr="008064AC" w:rsidRDefault="008064AC" w:rsidP="008064AC">
      <w:pPr>
        <w:spacing w:after="0" w:line="240" w:lineRule="auto"/>
        <w:ind w:firstLine="720"/>
        <w:contextualSpacing/>
        <w:rPr>
          <w:rFonts w:ascii="Arial" w:eastAsia="Calibri" w:hAnsi="Arial" w:cs="Arial"/>
          <w:sz w:val="24"/>
          <w:szCs w:val="24"/>
        </w:rPr>
      </w:pPr>
      <w:r w:rsidRPr="008064AC">
        <w:rPr>
          <w:rFonts w:ascii="Arial" w:eastAsia="Calibri" w:hAnsi="Arial" w:cs="Arial"/>
          <w:sz w:val="24"/>
          <w:szCs w:val="24"/>
        </w:rPr>
        <w:t xml:space="preserve">Each of the plans are overseen and managed by various FirstEnergy and FESC groups and individuals to provide overarching support to the </w:t>
      </w:r>
      <w:r w:rsidR="00DC3D9B">
        <w:rPr>
          <w:rFonts w:ascii="Arial" w:eastAsia="Calibri" w:hAnsi="Arial" w:cs="Arial"/>
          <w:sz w:val="24"/>
          <w:szCs w:val="24"/>
        </w:rPr>
        <w:t>FE-PA companies</w:t>
      </w:r>
      <w:r w:rsidRPr="008064AC">
        <w:rPr>
          <w:rFonts w:ascii="Arial" w:eastAsia="Calibri" w:hAnsi="Arial" w:cs="Arial"/>
          <w:sz w:val="24"/>
          <w:szCs w:val="24"/>
        </w:rPr>
        <w:t xml:space="preserve">.  These groups </w:t>
      </w:r>
      <w:r w:rsidR="00080DC0" w:rsidRPr="008064AC">
        <w:rPr>
          <w:rFonts w:ascii="Arial" w:eastAsia="Calibri" w:hAnsi="Arial" w:cs="Arial"/>
          <w:sz w:val="24"/>
          <w:szCs w:val="24"/>
        </w:rPr>
        <w:t>oversee</w:t>
      </w:r>
      <w:r w:rsidRPr="008064AC">
        <w:rPr>
          <w:rFonts w:ascii="Arial" w:eastAsia="Calibri" w:hAnsi="Arial" w:cs="Arial"/>
          <w:sz w:val="24"/>
          <w:szCs w:val="24"/>
        </w:rPr>
        <w:t xml:space="preserve"> testing, reviewing, and updating their respective plan(s).  The individuals and departments assigned to Physical Security, Emergency Response, Business Continuity, and Cyber Security plans are as follows:</w:t>
      </w:r>
    </w:p>
    <w:p w14:paraId="2C290966" w14:textId="77777777" w:rsidR="008064AC" w:rsidRPr="008064AC" w:rsidRDefault="008064AC" w:rsidP="008064AC">
      <w:pPr>
        <w:spacing w:after="0" w:line="240" w:lineRule="auto"/>
        <w:ind w:firstLine="720"/>
        <w:contextualSpacing/>
        <w:rPr>
          <w:rFonts w:ascii="Arial" w:eastAsia="Calibri" w:hAnsi="Arial" w:cs="Arial"/>
          <w:sz w:val="24"/>
          <w:szCs w:val="24"/>
        </w:rPr>
      </w:pPr>
    </w:p>
    <w:p w14:paraId="3D5A541D" w14:textId="77777777" w:rsidR="008064AC" w:rsidRPr="008064AC" w:rsidRDefault="008064AC" w:rsidP="00D94B11">
      <w:pPr>
        <w:numPr>
          <w:ilvl w:val="0"/>
          <w:numId w:val="15"/>
        </w:numPr>
        <w:spacing w:after="0" w:line="240" w:lineRule="auto"/>
        <w:ind w:left="1080"/>
        <w:contextualSpacing/>
        <w:rPr>
          <w:rFonts w:ascii="Arial" w:eastAsia="Calibri" w:hAnsi="Arial" w:cs="Arial"/>
          <w:sz w:val="24"/>
          <w:szCs w:val="24"/>
        </w:rPr>
      </w:pPr>
      <w:r w:rsidRPr="008064AC">
        <w:rPr>
          <w:rFonts w:ascii="Arial" w:eastAsia="Calibri" w:hAnsi="Arial" w:cs="Arial"/>
          <w:sz w:val="24"/>
          <w:szCs w:val="24"/>
        </w:rPr>
        <w:t>Physical Security Plan – Executive Director, Corporate Security (FESC) – implements security measure to protect personnel, FirstEnergy assets, visitors, property, facilities and equipment, and provide continuity of electric service.</w:t>
      </w:r>
    </w:p>
    <w:p w14:paraId="4D59B001" w14:textId="77777777" w:rsidR="008064AC" w:rsidRPr="008064AC" w:rsidRDefault="008064AC" w:rsidP="008064AC">
      <w:pPr>
        <w:spacing w:after="0" w:line="240" w:lineRule="auto"/>
        <w:ind w:left="1080" w:hanging="360"/>
        <w:contextualSpacing/>
        <w:rPr>
          <w:rFonts w:ascii="Arial" w:eastAsia="Calibri" w:hAnsi="Arial" w:cs="Arial"/>
          <w:szCs w:val="24"/>
        </w:rPr>
      </w:pPr>
    </w:p>
    <w:p w14:paraId="04C1FD8B" w14:textId="77777777" w:rsidR="008064AC" w:rsidRPr="008064AC" w:rsidRDefault="008064AC" w:rsidP="00D94B11">
      <w:pPr>
        <w:numPr>
          <w:ilvl w:val="0"/>
          <w:numId w:val="15"/>
        </w:numPr>
        <w:spacing w:after="0" w:line="240" w:lineRule="auto"/>
        <w:ind w:left="1080"/>
        <w:contextualSpacing/>
        <w:rPr>
          <w:rFonts w:ascii="Arial" w:eastAsia="Calibri" w:hAnsi="Arial" w:cs="Arial"/>
          <w:sz w:val="24"/>
          <w:szCs w:val="24"/>
        </w:rPr>
      </w:pPr>
      <w:r w:rsidRPr="008064AC">
        <w:rPr>
          <w:rFonts w:ascii="Arial" w:eastAsia="Calibri" w:hAnsi="Arial" w:cs="Arial"/>
          <w:sz w:val="24"/>
          <w:szCs w:val="24"/>
        </w:rPr>
        <w:t>Cyber Security Plan – Director, Security and Infrastructure Operation (FESC) – ensures the protection of technology resources including electronic information, software, computers, network devices, or communication services used to create, transmit or store information.</w:t>
      </w:r>
    </w:p>
    <w:p w14:paraId="2128758B" w14:textId="77777777" w:rsidR="008064AC" w:rsidRPr="008064AC" w:rsidRDefault="008064AC" w:rsidP="008064AC">
      <w:pPr>
        <w:spacing w:after="0" w:line="240" w:lineRule="auto"/>
        <w:ind w:left="1080" w:hanging="360"/>
        <w:contextualSpacing/>
        <w:rPr>
          <w:rFonts w:ascii="Arial" w:eastAsia="Calibri" w:hAnsi="Arial" w:cs="Arial"/>
          <w:szCs w:val="24"/>
        </w:rPr>
      </w:pPr>
    </w:p>
    <w:p w14:paraId="28322A3E" w14:textId="77777777" w:rsidR="008064AC" w:rsidRPr="008064AC" w:rsidRDefault="008064AC" w:rsidP="00D94B11">
      <w:pPr>
        <w:numPr>
          <w:ilvl w:val="0"/>
          <w:numId w:val="15"/>
        </w:numPr>
        <w:spacing w:after="0" w:line="240" w:lineRule="auto"/>
        <w:ind w:left="1080"/>
        <w:contextualSpacing/>
        <w:rPr>
          <w:rFonts w:ascii="Arial" w:eastAsia="Calibri" w:hAnsi="Arial" w:cs="Arial"/>
          <w:sz w:val="24"/>
          <w:szCs w:val="24"/>
        </w:rPr>
      </w:pPr>
      <w:r w:rsidRPr="008064AC">
        <w:rPr>
          <w:rFonts w:ascii="Arial" w:eastAsia="Calibri" w:hAnsi="Arial" w:cs="Arial"/>
          <w:sz w:val="24"/>
          <w:szCs w:val="24"/>
        </w:rPr>
        <w:t>Emergency Response Plan(s) – Director, Emergency Preparedness (FESC) – defines the guidelines for all the common processes and procedures for which the FirstEnergy Companies conduct emergency preparedness, response and service restoration.</w:t>
      </w:r>
    </w:p>
    <w:p w14:paraId="278B50B6" w14:textId="77777777" w:rsidR="008064AC" w:rsidRPr="008064AC" w:rsidRDefault="008064AC" w:rsidP="008064AC">
      <w:pPr>
        <w:spacing w:after="0" w:line="240" w:lineRule="auto"/>
        <w:ind w:left="1080" w:hanging="360"/>
        <w:contextualSpacing/>
        <w:rPr>
          <w:rFonts w:ascii="Arial" w:eastAsia="Calibri" w:hAnsi="Arial" w:cs="Arial"/>
          <w:szCs w:val="24"/>
        </w:rPr>
      </w:pPr>
    </w:p>
    <w:p w14:paraId="26A414D6" w14:textId="77777777" w:rsidR="008064AC" w:rsidRPr="008064AC" w:rsidRDefault="008064AC" w:rsidP="00D94B11">
      <w:pPr>
        <w:numPr>
          <w:ilvl w:val="0"/>
          <w:numId w:val="15"/>
        </w:numPr>
        <w:spacing w:after="0" w:line="240" w:lineRule="auto"/>
        <w:ind w:left="1080"/>
        <w:contextualSpacing/>
        <w:rPr>
          <w:rFonts w:ascii="Arial" w:eastAsia="Calibri" w:hAnsi="Arial" w:cs="Arial"/>
          <w:sz w:val="24"/>
          <w:szCs w:val="24"/>
        </w:rPr>
      </w:pPr>
      <w:r w:rsidRPr="008064AC">
        <w:rPr>
          <w:rFonts w:ascii="Arial" w:eastAsia="Calibri" w:hAnsi="Arial" w:cs="Arial"/>
          <w:sz w:val="24"/>
          <w:szCs w:val="24"/>
        </w:rPr>
        <w:t xml:space="preserve">Business Continuity Plan – Executive Director, Corporate Security (FESC) – </w:t>
      </w:r>
      <w:r w:rsidR="00080DC0" w:rsidRPr="008064AC">
        <w:rPr>
          <w:rFonts w:ascii="Arial" w:eastAsia="Calibri" w:hAnsi="Arial" w:cs="Arial"/>
          <w:sz w:val="24"/>
          <w:szCs w:val="24"/>
        </w:rPr>
        <w:t>in case of</w:t>
      </w:r>
      <w:r w:rsidRPr="008064AC">
        <w:rPr>
          <w:rFonts w:ascii="Arial" w:eastAsia="Calibri" w:hAnsi="Arial" w:cs="Arial"/>
          <w:sz w:val="24"/>
          <w:szCs w:val="24"/>
        </w:rPr>
        <w:t xml:space="preserve"> a business disruption or health emergency; the plan focuses on the continuation of critical business functions for </w:t>
      </w:r>
      <w:r w:rsidR="00080DC0" w:rsidRPr="008064AC">
        <w:rPr>
          <w:rFonts w:ascii="Arial" w:eastAsia="Calibri" w:hAnsi="Arial" w:cs="Arial"/>
          <w:sz w:val="24"/>
          <w:szCs w:val="24"/>
        </w:rPr>
        <w:t>a period</w:t>
      </w:r>
      <w:r w:rsidRPr="008064AC">
        <w:rPr>
          <w:rFonts w:ascii="Arial" w:eastAsia="Calibri" w:hAnsi="Arial" w:cs="Arial"/>
          <w:sz w:val="24"/>
          <w:szCs w:val="24"/>
        </w:rPr>
        <w:t xml:space="preserve"> after an emergency.</w:t>
      </w:r>
    </w:p>
    <w:p w14:paraId="7FC00A7D" w14:textId="77777777" w:rsidR="008064AC" w:rsidRPr="008064AC" w:rsidRDefault="008064AC" w:rsidP="008064AC">
      <w:pPr>
        <w:spacing w:after="0" w:line="240" w:lineRule="auto"/>
        <w:contextualSpacing/>
        <w:rPr>
          <w:rFonts w:ascii="Arial" w:eastAsia="Calibri" w:hAnsi="Arial" w:cs="Arial"/>
          <w:szCs w:val="24"/>
        </w:rPr>
      </w:pPr>
    </w:p>
    <w:p w14:paraId="055F58D2" w14:textId="77777777" w:rsidR="008064AC" w:rsidRPr="008064AC" w:rsidRDefault="008064AC" w:rsidP="008064AC">
      <w:pPr>
        <w:spacing w:after="0" w:line="240" w:lineRule="auto"/>
        <w:contextualSpacing/>
        <w:rPr>
          <w:rFonts w:ascii="Arial" w:eastAsia="Calibri" w:hAnsi="Arial" w:cs="Arial"/>
          <w:szCs w:val="24"/>
        </w:rPr>
      </w:pPr>
    </w:p>
    <w:p w14:paraId="35DF2A0F" w14:textId="77777777" w:rsidR="008064AC" w:rsidRPr="008064AC" w:rsidRDefault="008064AC" w:rsidP="008064AC">
      <w:pPr>
        <w:spacing w:after="0" w:line="240" w:lineRule="auto"/>
        <w:ind w:firstLine="720"/>
        <w:contextualSpacing/>
        <w:rPr>
          <w:rFonts w:ascii="Arial" w:eastAsia="Calibri" w:hAnsi="Arial" w:cs="Arial"/>
          <w:sz w:val="24"/>
          <w:szCs w:val="24"/>
        </w:rPr>
      </w:pPr>
      <w:r w:rsidRPr="008064AC">
        <w:rPr>
          <w:rFonts w:ascii="Arial" w:eastAsia="Calibri" w:hAnsi="Arial" w:cs="Arial"/>
          <w:sz w:val="24"/>
          <w:szCs w:val="24"/>
        </w:rPr>
        <w:t xml:space="preserve">To constantly protect physical and cyber resources, the designated groups and individuals have created procedures to make certain FirstEnergy and the </w:t>
      </w:r>
      <w:r w:rsidR="00DC3D9B">
        <w:rPr>
          <w:rFonts w:ascii="Arial" w:eastAsia="Calibri" w:hAnsi="Arial" w:cs="Arial"/>
          <w:sz w:val="24"/>
          <w:szCs w:val="24"/>
        </w:rPr>
        <w:t>FE-PA companies</w:t>
      </w:r>
      <w:r w:rsidRPr="008064AC">
        <w:rPr>
          <w:rFonts w:ascii="Arial" w:eastAsia="Calibri" w:hAnsi="Arial" w:cs="Arial"/>
          <w:sz w:val="24"/>
          <w:szCs w:val="24"/>
        </w:rPr>
        <w:t xml:space="preserve"> operate in a safe, secure, and reliable environment.  A major part in assuring plans are kept current is through performing multiple types of testing and trainings on an annual basis.  Types of testing and trainings performed at FirstEnergy and the </w:t>
      </w:r>
      <w:r w:rsidR="00DC3D9B">
        <w:rPr>
          <w:rFonts w:ascii="Arial" w:eastAsia="Calibri" w:hAnsi="Arial" w:cs="Arial"/>
          <w:sz w:val="24"/>
          <w:szCs w:val="24"/>
        </w:rPr>
        <w:t>FE-PA companies</w:t>
      </w:r>
      <w:r w:rsidRPr="008064AC">
        <w:rPr>
          <w:rFonts w:ascii="Arial" w:eastAsia="Calibri" w:hAnsi="Arial" w:cs="Arial"/>
          <w:sz w:val="24"/>
          <w:szCs w:val="24"/>
        </w:rPr>
        <w:t xml:space="preserve"> are as follows:</w:t>
      </w:r>
    </w:p>
    <w:p w14:paraId="4D5D5D03" w14:textId="77777777" w:rsidR="008064AC" w:rsidRPr="008064AC" w:rsidRDefault="008064AC" w:rsidP="008064AC">
      <w:pPr>
        <w:spacing w:after="0" w:line="240" w:lineRule="auto"/>
        <w:ind w:firstLine="720"/>
        <w:contextualSpacing/>
        <w:rPr>
          <w:rFonts w:ascii="Arial" w:eastAsia="Calibri" w:hAnsi="Arial" w:cs="Arial"/>
          <w:szCs w:val="24"/>
        </w:rPr>
      </w:pPr>
    </w:p>
    <w:p w14:paraId="11C61495" w14:textId="77777777" w:rsidR="008064AC" w:rsidRPr="008064AC" w:rsidRDefault="008064AC" w:rsidP="00D94B11">
      <w:pPr>
        <w:numPr>
          <w:ilvl w:val="0"/>
          <w:numId w:val="16"/>
        </w:numPr>
        <w:spacing w:after="0" w:line="240" w:lineRule="auto"/>
        <w:ind w:left="1080"/>
        <w:contextualSpacing/>
        <w:rPr>
          <w:rFonts w:ascii="Arial" w:eastAsia="Calibri" w:hAnsi="Arial" w:cs="Arial"/>
          <w:sz w:val="24"/>
          <w:szCs w:val="24"/>
        </w:rPr>
      </w:pPr>
      <w:r w:rsidRPr="008064AC">
        <w:rPr>
          <w:rFonts w:ascii="Arial" w:eastAsia="Calibri" w:hAnsi="Arial" w:cs="Arial"/>
          <w:sz w:val="24"/>
          <w:szCs w:val="24"/>
        </w:rPr>
        <w:t>Structured Walkthrough – basic testing in a group setting to ensure critical personnel from all departments are familiar with the plan.</w:t>
      </w:r>
    </w:p>
    <w:p w14:paraId="77105F75" w14:textId="77777777" w:rsidR="008064AC" w:rsidRPr="008064AC" w:rsidRDefault="008064AC" w:rsidP="008064AC">
      <w:pPr>
        <w:spacing w:after="0" w:line="240" w:lineRule="auto"/>
        <w:ind w:left="1080"/>
        <w:contextualSpacing/>
        <w:rPr>
          <w:rFonts w:ascii="Arial" w:eastAsia="Calibri" w:hAnsi="Arial" w:cs="Arial"/>
          <w:szCs w:val="24"/>
        </w:rPr>
      </w:pPr>
    </w:p>
    <w:p w14:paraId="4A2B08B5" w14:textId="77777777" w:rsidR="008064AC" w:rsidRPr="008064AC" w:rsidRDefault="008064AC" w:rsidP="00D94B11">
      <w:pPr>
        <w:numPr>
          <w:ilvl w:val="0"/>
          <w:numId w:val="16"/>
        </w:numPr>
        <w:spacing w:after="0" w:line="240" w:lineRule="auto"/>
        <w:ind w:left="1080"/>
        <w:contextualSpacing/>
        <w:rPr>
          <w:rFonts w:ascii="Arial" w:eastAsia="Calibri" w:hAnsi="Arial" w:cs="Arial"/>
          <w:sz w:val="24"/>
          <w:szCs w:val="24"/>
        </w:rPr>
      </w:pPr>
      <w:r w:rsidRPr="008064AC">
        <w:rPr>
          <w:rFonts w:ascii="Arial" w:eastAsia="Calibri" w:hAnsi="Arial" w:cs="Arial"/>
          <w:sz w:val="24"/>
          <w:szCs w:val="24"/>
        </w:rPr>
        <w:t>Tabletop Drill – through a simulated event scenario, personnel administer recovery strategies, capture results in-order-to incorporate any “lessons learned” into subsequent versions of a plan.</w:t>
      </w:r>
    </w:p>
    <w:p w14:paraId="6FF9F5AC" w14:textId="77777777" w:rsidR="008064AC" w:rsidRPr="008064AC" w:rsidRDefault="008064AC" w:rsidP="008064AC">
      <w:pPr>
        <w:spacing w:after="0" w:line="240" w:lineRule="auto"/>
        <w:ind w:left="1080"/>
        <w:contextualSpacing/>
        <w:rPr>
          <w:rFonts w:ascii="Arial" w:eastAsia="Calibri" w:hAnsi="Arial" w:cs="Arial"/>
          <w:szCs w:val="24"/>
        </w:rPr>
      </w:pPr>
    </w:p>
    <w:p w14:paraId="6352B33B" w14:textId="77777777" w:rsidR="008064AC" w:rsidRPr="008064AC" w:rsidRDefault="008064AC" w:rsidP="00D94B11">
      <w:pPr>
        <w:numPr>
          <w:ilvl w:val="0"/>
          <w:numId w:val="16"/>
        </w:numPr>
        <w:spacing w:after="0" w:line="240" w:lineRule="auto"/>
        <w:ind w:left="1080"/>
        <w:contextualSpacing/>
        <w:rPr>
          <w:rFonts w:ascii="Arial" w:eastAsia="Calibri" w:hAnsi="Arial" w:cs="Arial"/>
          <w:sz w:val="24"/>
          <w:szCs w:val="24"/>
        </w:rPr>
      </w:pPr>
      <w:r w:rsidRPr="008064AC">
        <w:rPr>
          <w:rFonts w:ascii="Arial" w:eastAsia="Calibri" w:hAnsi="Arial" w:cs="Arial"/>
          <w:sz w:val="24"/>
          <w:szCs w:val="24"/>
        </w:rPr>
        <w:t>Functional Testing – testing though the relocation of personnel to another site (i.e., establish communications and coordination).</w:t>
      </w:r>
    </w:p>
    <w:p w14:paraId="76B2C010" w14:textId="77777777" w:rsidR="008064AC" w:rsidRPr="008064AC" w:rsidRDefault="008064AC" w:rsidP="008064AC">
      <w:pPr>
        <w:spacing w:after="0" w:line="240" w:lineRule="auto"/>
        <w:ind w:left="1080"/>
        <w:contextualSpacing/>
        <w:rPr>
          <w:rFonts w:ascii="Arial" w:eastAsia="Calibri" w:hAnsi="Arial" w:cs="Arial"/>
          <w:szCs w:val="24"/>
        </w:rPr>
      </w:pPr>
    </w:p>
    <w:p w14:paraId="427F19A7" w14:textId="77777777" w:rsidR="008064AC" w:rsidRPr="008064AC" w:rsidRDefault="008064AC" w:rsidP="00D94B11">
      <w:pPr>
        <w:numPr>
          <w:ilvl w:val="0"/>
          <w:numId w:val="16"/>
        </w:numPr>
        <w:spacing w:after="0" w:line="240" w:lineRule="auto"/>
        <w:ind w:left="1080"/>
        <w:contextualSpacing/>
        <w:rPr>
          <w:rFonts w:ascii="Arial" w:eastAsia="Calibri" w:hAnsi="Arial" w:cs="Arial"/>
          <w:sz w:val="24"/>
          <w:szCs w:val="24"/>
        </w:rPr>
      </w:pPr>
      <w:r w:rsidRPr="008064AC">
        <w:rPr>
          <w:rFonts w:ascii="Arial" w:eastAsia="Calibri" w:hAnsi="Arial" w:cs="Arial"/>
          <w:sz w:val="24"/>
          <w:szCs w:val="24"/>
        </w:rPr>
        <w:t>Full-Scale Exercise – comprehensive testing of all or most of the plan; purpose is to simulate an actual event, including the same timeframe.</w:t>
      </w:r>
    </w:p>
    <w:p w14:paraId="2107EE9E" w14:textId="77777777" w:rsidR="008064AC" w:rsidRPr="008064AC" w:rsidRDefault="008064AC" w:rsidP="008064AC">
      <w:pPr>
        <w:spacing w:after="0" w:line="240" w:lineRule="auto"/>
        <w:ind w:left="1080"/>
        <w:contextualSpacing/>
        <w:rPr>
          <w:rFonts w:ascii="Arial" w:eastAsia="Calibri" w:hAnsi="Arial" w:cs="Arial"/>
          <w:szCs w:val="24"/>
        </w:rPr>
      </w:pPr>
    </w:p>
    <w:p w14:paraId="4859D9CC" w14:textId="77777777" w:rsidR="008064AC" w:rsidRPr="008064AC" w:rsidRDefault="008064AC" w:rsidP="00D94B11">
      <w:pPr>
        <w:numPr>
          <w:ilvl w:val="0"/>
          <w:numId w:val="16"/>
        </w:numPr>
        <w:spacing w:after="0" w:line="240" w:lineRule="auto"/>
        <w:ind w:left="1080"/>
        <w:contextualSpacing/>
        <w:rPr>
          <w:rFonts w:ascii="Arial" w:eastAsia="Calibri" w:hAnsi="Arial" w:cs="Arial"/>
          <w:sz w:val="24"/>
          <w:szCs w:val="24"/>
        </w:rPr>
      </w:pPr>
      <w:r w:rsidRPr="008064AC">
        <w:rPr>
          <w:rFonts w:ascii="Arial" w:eastAsia="Calibri" w:hAnsi="Arial" w:cs="Arial"/>
          <w:sz w:val="24"/>
          <w:szCs w:val="24"/>
        </w:rPr>
        <w:t>System Operational Tests – testing of the current access system and associated alarms.</w:t>
      </w:r>
    </w:p>
    <w:p w14:paraId="3A053C01" w14:textId="77777777" w:rsidR="008064AC" w:rsidRPr="008064AC" w:rsidRDefault="008064AC" w:rsidP="008064AC">
      <w:pPr>
        <w:spacing w:after="0" w:line="240" w:lineRule="auto"/>
        <w:ind w:left="1080"/>
        <w:contextualSpacing/>
        <w:rPr>
          <w:rFonts w:ascii="Arial" w:eastAsia="Calibri" w:hAnsi="Arial" w:cs="Arial"/>
          <w:szCs w:val="24"/>
        </w:rPr>
      </w:pPr>
    </w:p>
    <w:p w14:paraId="75DBC47B" w14:textId="77777777" w:rsidR="008064AC" w:rsidRPr="008064AC" w:rsidRDefault="008064AC" w:rsidP="00D94B11">
      <w:pPr>
        <w:numPr>
          <w:ilvl w:val="0"/>
          <w:numId w:val="16"/>
        </w:numPr>
        <w:spacing w:after="0" w:line="240" w:lineRule="auto"/>
        <w:ind w:left="1080"/>
        <w:contextualSpacing/>
        <w:rPr>
          <w:rFonts w:ascii="Arial" w:eastAsia="Calibri" w:hAnsi="Arial" w:cs="Arial"/>
          <w:sz w:val="24"/>
          <w:szCs w:val="24"/>
        </w:rPr>
      </w:pPr>
      <w:r w:rsidRPr="008064AC">
        <w:rPr>
          <w:rFonts w:ascii="Arial" w:eastAsia="Calibri" w:hAnsi="Arial" w:cs="Arial"/>
          <w:sz w:val="24"/>
          <w:szCs w:val="24"/>
        </w:rPr>
        <w:t>Physical Tests – testing exercise involving recovery procedures for hardware and server devices.</w:t>
      </w:r>
    </w:p>
    <w:p w14:paraId="0B0DA5E3" w14:textId="77777777" w:rsidR="008064AC" w:rsidRPr="008064AC" w:rsidRDefault="008064AC" w:rsidP="008064AC">
      <w:pPr>
        <w:spacing w:after="0" w:line="240" w:lineRule="auto"/>
        <w:ind w:left="1080"/>
        <w:contextualSpacing/>
        <w:rPr>
          <w:rFonts w:ascii="Arial" w:eastAsia="Calibri" w:hAnsi="Arial" w:cs="Arial"/>
          <w:szCs w:val="24"/>
        </w:rPr>
      </w:pPr>
    </w:p>
    <w:p w14:paraId="25A1AB0A" w14:textId="77777777" w:rsidR="008064AC" w:rsidRPr="008064AC" w:rsidRDefault="008064AC" w:rsidP="00D94B11">
      <w:pPr>
        <w:numPr>
          <w:ilvl w:val="0"/>
          <w:numId w:val="16"/>
        </w:numPr>
        <w:spacing w:after="0" w:line="240" w:lineRule="auto"/>
        <w:ind w:left="1080"/>
        <w:contextualSpacing/>
        <w:rPr>
          <w:rFonts w:ascii="Arial" w:eastAsia="Calibri" w:hAnsi="Arial" w:cs="Arial"/>
          <w:sz w:val="24"/>
          <w:szCs w:val="24"/>
        </w:rPr>
      </w:pPr>
      <w:r w:rsidRPr="008064AC">
        <w:rPr>
          <w:rFonts w:ascii="Arial" w:eastAsia="Calibri" w:hAnsi="Arial" w:cs="Arial"/>
          <w:sz w:val="24"/>
          <w:szCs w:val="24"/>
        </w:rPr>
        <w:t>Media Backup – testing exercise to restore media backup data and file systems essential to hardware and server devices.</w:t>
      </w:r>
    </w:p>
    <w:p w14:paraId="462B739A" w14:textId="77777777" w:rsidR="008064AC" w:rsidRPr="008064AC" w:rsidRDefault="008064AC" w:rsidP="008064AC">
      <w:pPr>
        <w:spacing w:after="0" w:line="240" w:lineRule="auto"/>
        <w:ind w:left="1080"/>
        <w:contextualSpacing/>
        <w:rPr>
          <w:rFonts w:ascii="Arial" w:eastAsia="Calibri" w:hAnsi="Arial" w:cs="Arial"/>
          <w:szCs w:val="24"/>
        </w:rPr>
      </w:pPr>
    </w:p>
    <w:p w14:paraId="0BFEB40A" w14:textId="470A4B9B" w:rsidR="008064AC" w:rsidRPr="008064AC" w:rsidRDefault="008064AC" w:rsidP="00D94B11">
      <w:pPr>
        <w:numPr>
          <w:ilvl w:val="0"/>
          <w:numId w:val="16"/>
        </w:numPr>
        <w:spacing w:after="0" w:line="240" w:lineRule="auto"/>
        <w:ind w:left="1080"/>
        <w:contextualSpacing/>
        <w:rPr>
          <w:rFonts w:ascii="Arial" w:eastAsia="Calibri" w:hAnsi="Arial" w:cs="Arial"/>
          <w:sz w:val="24"/>
          <w:szCs w:val="24"/>
        </w:rPr>
      </w:pPr>
      <w:r w:rsidRPr="008064AC">
        <w:rPr>
          <w:rFonts w:ascii="Arial" w:eastAsia="Calibri" w:hAnsi="Arial" w:cs="Arial"/>
          <w:sz w:val="24"/>
          <w:szCs w:val="24"/>
        </w:rPr>
        <w:t>Real-Life Event - an actual event is a valid testing of any plan; such as storm response, evacuation, power disruptions, and relocation to back up facilities.</w:t>
      </w:r>
    </w:p>
    <w:p w14:paraId="454D95FC" w14:textId="77777777" w:rsidR="008064AC" w:rsidRPr="008064AC" w:rsidRDefault="008064AC" w:rsidP="008064AC">
      <w:pPr>
        <w:spacing w:after="0" w:line="240" w:lineRule="auto"/>
        <w:ind w:left="1080"/>
        <w:contextualSpacing/>
        <w:rPr>
          <w:rFonts w:ascii="Arial" w:eastAsia="Calibri" w:hAnsi="Arial" w:cs="Arial"/>
          <w:sz w:val="24"/>
          <w:szCs w:val="24"/>
        </w:rPr>
      </w:pPr>
    </w:p>
    <w:p w14:paraId="4C7FC0C8" w14:textId="77777777" w:rsidR="008064AC" w:rsidRPr="008064AC" w:rsidRDefault="008064AC" w:rsidP="00D94B11">
      <w:pPr>
        <w:numPr>
          <w:ilvl w:val="0"/>
          <w:numId w:val="16"/>
        </w:numPr>
        <w:spacing w:after="0" w:line="240" w:lineRule="auto"/>
        <w:ind w:left="1080"/>
        <w:contextualSpacing/>
        <w:rPr>
          <w:rFonts w:ascii="Arial" w:eastAsia="Calibri" w:hAnsi="Arial" w:cs="Arial"/>
          <w:sz w:val="24"/>
          <w:szCs w:val="24"/>
        </w:rPr>
      </w:pPr>
      <w:r w:rsidRPr="008064AC">
        <w:rPr>
          <w:rFonts w:ascii="Arial" w:eastAsia="Calibri" w:hAnsi="Arial" w:cs="Arial"/>
          <w:sz w:val="24"/>
          <w:szCs w:val="24"/>
        </w:rPr>
        <w:t>Cyber Security Awareness Training – employees, contractors and vendors with access to any information asset, must complete a web-based course on an annual basis; network access is deactivated if training has not been complete in the allotted time.</w:t>
      </w:r>
    </w:p>
    <w:p w14:paraId="5C13A97F" w14:textId="77777777" w:rsidR="008064AC" w:rsidRPr="008064AC" w:rsidRDefault="008064AC" w:rsidP="008064AC">
      <w:pPr>
        <w:spacing w:after="0" w:line="240" w:lineRule="auto"/>
        <w:contextualSpacing/>
        <w:rPr>
          <w:rFonts w:ascii="Arial" w:eastAsia="Calibri" w:hAnsi="Arial" w:cs="Arial"/>
          <w:sz w:val="24"/>
          <w:szCs w:val="24"/>
        </w:rPr>
      </w:pPr>
    </w:p>
    <w:p w14:paraId="795A5C1A" w14:textId="77777777" w:rsidR="008064AC" w:rsidRPr="008064AC" w:rsidRDefault="008064AC" w:rsidP="008064AC">
      <w:pPr>
        <w:spacing w:after="0" w:line="240" w:lineRule="auto"/>
        <w:contextualSpacing/>
        <w:rPr>
          <w:rFonts w:ascii="Arial" w:eastAsia="Calibri" w:hAnsi="Arial" w:cs="Arial"/>
          <w:sz w:val="24"/>
          <w:szCs w:val="24"/>
        </w:rPr>
      </w:pPr>
    </w:p>
    <w:p w14:paraId="1A8C5206" w14:textId="77777777" w:rsidR="008064AC" w:rsidRPr="008064AC" w:rsidRDefault="008064AC" w:rsidP="008064AC">
      <w:pPr>
        <w:spacing w:after="0" w:line="240" w:lineRule="auto"/>
        <w:ind w:firstLine="720"/>
        <w:contextualSpacing/>
        <w:rPr>
          <w:rFonts w:ascii="Arial" w:eastAsia="Calibri" w:hAnsi="Arial" w:cs="Arial"/>
          <w:sz w:val="24"/>
          <w:szCs w:val="24"/>
        </w:rPr>
      </w:pPr>
      <w:r w:rsidRPr="008064AC">
        <w:rPr>
          <w:rFonts w:ascii="Arial" w:eastAsia="Calibri" w:hAnsi="Arial" w:cs="Arial"/>
          <w:sz w:val="24"/>
          <w:szCs w:val="24"/>
        </w:rPr>
        <w:t>Due to the sensitive nature of the information reviewed, any specific information was not revealed in this report but rather the generalities of the information reviewed were summarized above.</w:t>
      </w:r>
    </w:p>
    <w:p w14:paraId="14337E55" w14:textId="77777777" w:rsidR="008064AC" w:rsidRPr="008064AC" w:rsidRDefault="008064AC" w:rsidP="008064AC">
      <w:pPr>
        <w:spacing w:after="0" w:line="240" w:lineRule="auto"/>
        <w:contextualSpacing/>
        <w:rPr>
          <w:rFonts w:ascii="Arial" w:eastAsia="Calibri" w:hAnsi="Arial" w:cs="Arial"/>
          <w:sz w:val="24"/>
          <w:szCs w:val="24"/>
        </w:rPr>
      </w:pPr>
    </w:p>
    <w:p w14:paraId="168247AA" w14:textId="77777777" w:rsidR="008064AC" w:rsidRPr="008064AC" w:rsidRDefault="008064AC" w:rsidP="008064AC">
      <w:pPr>
        <w:spacing w:after="0" w:line="240" w:lineRule="auto"/>
        <w:contextualSpacing/>
        <w:jc w:val="center"/>
        <w:rPr>
          <w:rFonts w:ascii="Arial" w:eastAsia="Calibri" w:hAnsi="Arial" w:cs="Arial"/>
          <w:b/>
          <w:sz w:val="24"/>
          <w:szCs w:val="24"/>
          <w:u w:val="single"/>
        </w:rPr>
      </w:pPr>
      <w:r w:rsidRPr="008064AC">
        <w:rPr>
          <w:rFonts w:ascii="Arial" w:eastAsia="Calibri" w:hAnsi="Arial" w:cs="Arial"/>
          <w:b/>
          <w:sz w:val="24"/>
          <w:szCs w:val="24"/>
          <w:u w:val="single"/>
        </w:rPr>
        <w:t>Conclusion</w:t>
      </w:r>
    </w:p>
    <w:p w14:paraId="1F0414DC" w14:textId="77777777" w:rsidR="008064AC" w:rsidRPr="008064AC" w:rsidRDefault="008064AC" w:rsidP="008064AC">
      <w:pPr>
        <w:spacing w:after="0" w:line="240" w:lineRule="auto"/>
        <w:ind w:firstLine="720"/>
        <w:contextualSpacing/>
        <w:rPr>
          <w:rFonts w:ascii="Arial" w:eastAsia="Calibri" w:hAnsi="Arial" w:cs="Arial"/>
          <w:sz w:val="24"/>
          <w:szCs w:val="24"/>
        </w:rPr>
      </w:pPr>
    </w:p>
    <w:p w14:paraId="7AA0F610" w14:textId="77777777" w:rsidR="008064AC" w:rsidRPr="008064AC" w:rsidRDefault="008064AC" w:rsidP="008064AC">
      <w:pPr>
        <w:spacing w:after="0" w:line="240" w:lineRule="auto"/>
        <w:contextualSpacing/>
        <w:rPr>
          <w:rFonts w:ascii="Arial" w:eastAsia="Calibri" w:hAnsi="Arial" w:cs="Arial"/>
          <w:sz w:val="24"/>
          <w:szCs w:val="24"/>
        </w:rPr>
      </w:pPr>
      <w:r w:rsidRPr="008064AC">
        <w:rPr>
          <w:rFonts w:ascii="Arial" w:eastAsia="Calibri" w:hAnsi="Arial" w:cs="Arial"/>
          <w:b/>
          <w:sz w:val="24"/>
          <w:szCs w:val="24"/>
          <w:u w:val="single"/>
        </w:rPr>
        <w:t>Current Review</w:t>
      </w:r>
      <w:r w:rsidRPr="008064AC">
        <w:rPr>
          <w:rFonts w:ascii="Arial" w:eastAsia="Calibri" w:hAnsi="Arial" w:cs="Arial"/>
          <w:b/>
          <w:sz w:val="24"/>
          <w:szCs w:val="24"/>
        </w:rPr>
        <w:t xml:space="preserve"> – </w:t>
      </w:r>
      <w:r w:rsidRPr="008064AC">
        <w:rPr>
          <w:rFonts w:ascii="Arial" w:eastAsia="Calibri" w:hAnsi="Arial" w:cs="Arial"/>
          <w:sz w:val="24"/>
          <w:szCs w:val="24"/>
        </w:rPr>
        <w:t>As previously mentioned, there were no prior findings and recommendations to review.</w:t>
      </w:r>
      <w:r w:rsidR="00150261" w:rsidRPr="00BF0841">
        <w:rPr>
          <w:rFonts w:ascii="Arial" w:eastAsia="Calibri" w:hAnsi="Arial" w:cs="Arial"/>
          <w:sz w:val="24"/>
          <w:szCs w:val="24"/>
        </w:rPr>
        <w:t xml:space="preserve">  </w:t>
      </w:r>
      <w:r w:rsidRPr="008064AC">
        <w:rPr>
          <w:rFonts w:ascii="Arial" w:eastAsia="Calibri" w:hAnsi="Arial" w:cs="Arial"/>
          <w:sz w:val="24"/>
          <w:szCs w:val="24"/>
        </w:rPr>
        <w:t xml:space="preserve">Our examination of FirstEnergy and the </w:t>
      </w:r>
      <w:r w:rsidR="00DC3D9B">
        <w:rPr>
          <w:rFonts w:ascii="Arial" w:eastAsia="Calibri" w:hAnsi="Arial" w:cs="Arial"/>
          <w:sz w:val="24"/>
          <w:szCs w:val="24"/>
        </w:rPr>
        <w:t>FE-PA companies</w:t>
      </w:r>
      <w:r w:rsidRPr="008064AC">
        <w:rPr>
          <w:rFonts w:ascii="Arial" w:eastAsia="Calibri" w:hAnsi="Arial" w:cs="Arial"/>
          <w:sz w:val="24"/>
          <w:szCs w:val="24"/>
        </w:rPr>
        <w:t xml:space="preserve">’ Emergency Preparedness included a review of the physical security plan, cyber security plan, emergency response plan(s) and business continuity plan, vulnerability assessment and all associated security measures.  Based on our review of FirstEnergy and the </w:t>
      </w:r>
      <w:r w:rsidR="00DC3D9B">
        <w:rPr>
          <w:rFonts w:ascii="Arial" w:eastAsia="Calibri" w:hAnsi="Arial" w:cs="Arial"/>
          <w:sz w:val="24"/>
          <w:szCs w:val="24"/>
        </w:rPr>
        <w:t>FE-PA companies</w:t>
      </w:r>
      <w:r w:rsidRPr="008064AC">
        <w:rPr>
          <w:rFonts w:ascii="Arial" w:eastAsia="Calibri" w:hAnsi="Arial" w:cs="Arial"/>
          <w:sz w:val="24"/>
          <w:szCs w:val="24"/>
        </w:rPr>
        <w:t>’ emergency preparedness efforts, no evidence came to our attention that would lead the auditors to conclude that the areas or plans reviewed were not being addressed adequately.</w:t>
      </w:r>
    </w:p>
    <w:p w14:paraId="0C0CC238" w14:textId="77777777" w:rsidR="008064AC" w:rsidRPr="008064AC" w:rsidRDefault="008064AC" w:rsidP="008064AC">
      <w:pPr>
        <w:spacing w:after="0" w:line="240" w:lineRule="auto"/>
        <w:contextualSpacing/>
        <w:rPr>
          <w:rFonts w:ascii="Arial" w:eastAsia="Calibri" w:hAnsi="Arial" w:cs="Arial"/>
          <w:sz w:val="24"/>
          <w:szCs w:val="24"/>
        </w:rPr>
      </w:pPr>
    </w:p>
    <w:p w14:paraId="6083A24D" w14:textId="77777777" w:rsidR="008064AC" w:rsidRDefault="008064AC" w:rsidP="00C4057E">
      <w:pPr>
        <w:spacing w:after="0" w:line="240" w:lineRule="auto"/>
        <w:contextualSpacing/>
        <w:rPr>
          <w:rFonts w:ascii="Arial" w:hAnsi="Arial" w:cs="Arial"/>
          <w:sz w:val="24"/>
          <w:szCs w:val="24"/>
        </w:rPr>
      </w:pPr>
      <w:r w:rsidRPr="008064AC">
        <w:rPr>
          <w:rFonts w:ascii="Arial" w:eastAsia="Calibri" w:hAnsi="Arial" w:cs="Arial"/>
          <w:b/>
          <w:sz w:val="24"/>
          <w:szCs w:val="24"/>
          <w:u w:val="single"/>
        </w:rPr>
        <w:t>Follow-up Finding and Recommendation</w:t>
      </w:r>
      <w:r w:rsidRPr="008064AC">
        <w:rPr>
          <w:rFonts w:ascii="Arial" w:eastAsia="Calibri" w:hAnsi="Arial" w:cs="Arial"/>
          <w:b/>
          <w:sz w:val="24"/>
          <w:szCs w:val="24"/>
        </w:rPr>
        <w:t xml:space="preserve"> – None</w:t>
      </w:r>
      <w:r>
        <w:rPr>
          <w:rFonts w:ascii="Arial" w:hAnsi="Arial" w:cs="Arial"/>
          <w:sz w:val="24"/>
          <w:szCs w:val="24"/>
        </w:rPr>
        <w:br w:type="page"/>
      </w:r>
    </w:p>
    <w:p w14:paraId="34F65A83" w14:textId="77777777" w:rsidR="00FA14A4" w:rsidRPr="00CC6EA2" w:rsidRDefault="00FA14A4" w:rsidP="00FA14A4">
      <w:pPr>
        <w:spacing w:after="0" w:line="240" w:lineRule="auto"/>
        <w:contextualSpacing/>
        <w:jc w:val="center"/>
        <w:rPr>
          <w:rFonts w:ascii="Arial" w:eastAsia="Times New Roman" w:hAnsi="Arial" w:cs="Times New Roman"/>
          <w:b/>
          <w:sz w:val="24"/>
          <w:szCs w:val="24"/>
        </w:rPr>
      </w:pPr>
      <w:r w:rsidRPr="00CC6EA2">
        <w:rPr>
          <w:rFonts w:ascii="Arial" w:hAnsi="Arial" w:cs="Arial"/>
          <w:b/>
          <w:sz w:val="24"/>
          <w:szCs w:val="24"/>
        </w:rPr>
        <w:t xml:space="preserve">IX. </w:t>
      </w:r>
      <w:r w:rsidRPr="00CC6EA2">
        <w:rPr>
          <w:rFonts w:ascii="Arial" w:eastAsia="Times New Roman" w:hAnsi="Arial" w:cs="Times New Roman"/>
          <w:b/>
          <w:sz w:val="24"/>
          <w:szCs w:val="24"/>
        </w:rPr>
        <w:t>MATERIALS MANAGEMENT</w:t>
      </w:r>
    </w:p>
    <w:p w14:paraId="69FB14B3" w14:textId="77777777" w:rsidR="00FA14A4" w:rsidRPr="00CC6EA2" w:rsidRDefault="00FA14A4" w:rsidP="00FA14A4">
      <w:pPr>
        <w:spacing w:after="0" w:line="240" w:lineRule="auto"/>
        <w:contextualSpacing/>
        <w:rPr>
          <w:rFonts w:ascii="Arial" w:eastAsia="Times New Roman" w:hAnsi="Arial" w:cs="Times New Roman"/>
          <w:sz w:val="24"/>
          <w:szCs w:val="24"/>
        </w:rPr>
      </w:pPr>
    </w:p>
    <w:p w14:paraId="6056114F" w14:textId="77777777" w:rsidR="00FA14A4" w:rsidRPr="00CC6EA2" w:rsidRDefault="00FA14A4" w:rsidP="00FA14A4">
      <w:pPr>
        <w:spacing w:after="0" w:line="240" w:lineRule="auto"/>
        <w:contextualSpacing/>
        <w:rPr>
          <w:rFonts w:ascii="Arial" w:eastAsia="Times New Roman" w:hAnsi="Arial" w:cs="Times New Roman"/>
          <w:sz w:val="24"/>
          <w:szCs w:val="24"/>
        </w:rPr>
      </w:pPr>
    </w:p>
    <w:p w14:paraId="60E2EE52" w14:textId="77777777" w:rsidR="00FA14A4" w:rsidRPr="00CC6EA2" w:rsidRDefault="00FA14A4" w:rsidP="00FA14A4">
      <w:pPr>
        <w:spacing w:after="0" w:line="240" w:lineRule="auto"/>
        <w:contextualSpacing/>
        <w:rPr>
          <w:rFonts w:ascii="Arial" w:eastAsia="Times New Roman" w:hAnsi="Arial" w:cs="Times New Roman"/>
          <w:sz w:val="24"/>
          <w:szCs w:val="24"/>
        </w:rPr>
      </w:pPr>
      <w:r w:rsidRPr="00CC6EA2">
        <w:rPr>
          <w:rFonts w:ascii="Arial" w:eastAsia="Times New Roman" w:hAnsi="Arial" w:cs="Times New Roman"/>
          <w:b/>
          <w:sz w:val="24"/>
          <w:szCs w:val="24"/>
          <w:u w:val="single"/>
        </w:rPr>
        <w:t xml:space="preserve">Background </w:t>
      </w:r>
      <w:r w:rsidRPr="00CC6EA2">
        <w:rPr>
          <w:rFonts w:ascii="Arial" w:eastAsia="Times New Roman" w:hAnsi="Arial" w:cs="Times New Roman"/>
          <w:sz w:val="24"/>
          <w:szCs w:val="24"/>
        </w:rPr>
        <w:t xml:space="preserve">– </w:t>
      </w:r>
      <w:r w:rsidR="0081335C" w:rsidRPr="007C465E">
        <w:rPr>
          <w:rFonts w:ascii="Arial" w:eastAsia="Times New Roman" w:hAnsi="Arial" w:cs="Times New Roman"/>
          <w:sz w:val="24"/>
          <w:szCs w:val="24"/>
        </w:rPr>
        <w:t xml:space="preserve">The </w:t>
      </w:r>
      <w:r w:rsidR="0081335C">
        <w:rPr>
          <w:rFonts w:ascii="Arial" w:eastAsia="Times New Roman" w:hAnsi="Arial" w:cs="Times New Roman"/>
          <w:sz w:val="24"/>
          <w:szCs w:val="24"/>
        </w:rPr>
        <w:t xml:space="preserve">2014 </w:t>
      </w:r>
      <w:r w:rsidR="0081335C" w:rsidRPr="007C465E">
        <w:rPr>
          <w:rFonts w:ascii="Arial" w:eastAsia="Times New Roman" w:hAnsi="Arial" w:cs="Times New Roman"/>
          <w:sz w:val="24"/>
          <w:szCs w:val="24"/>
        </w:rPr>
        <w:t xml:space="preserve">Focused Management and Operations Audit of </w:t>
      </w:r>
      <w:r w:rsidR="0081335C">
        <w:rPr>
          <w:rFonts w:ascii="Arial" w:eastAsia="Times New Roman" w:hAnsi="Arial" w:cs="Times New Roman"/>
          <w:sz w:val="24"/>
          <w:szCs w:val="24"/>
        </w:rPr>
        <w:t xml:space="preserve">the </w:t>
      </w:r>
      <w:r w:rsidR="00DC3D9B">
        <w:rPr>
          <w:rFonts w:ascii="Arial" w:eastAsia="Times New Roman" w:hAnsi="Arial" w:cs="Times New Roman"/>
          <w:sz w:val="24"/>
          <w:szCs w:val="24"/>
        </w:rPr>
        <w:t>FE-PA companies</w:t>
      </w:r>
      <w:r w:rsidR="0081335C">
        <w:rPr>
          <w:rFonts w:ascii="Arial" w:eastAsia="Times New Roman" w:hAnsi="Arial" w:cs="Times New Roman"/>
          <w:sz w:val="24"/>
          <w:szCs w:val="24"/>
        </w:rPr>
        <w:t xml:space="preserve"> </w:t>
      </w:r>
      <w:r w:rsidR="00581A23">
        <w:rPr>
          <w:rFonts w:ascii="Arial" w:eastAsia="Times New Roman" w:hAnsi="Arial" w:cs="Times New Roman"/>
          <w:sz w:val="24"/>
          <w:szCs w:val="24"/>
        </w:rPr>
        <w:t>examined the Materials Management function</w:t>
      </w:r>
      <w:r w:rsidR="00581A23">
        <w:rPr>
          <w:rFonts w:ascii="Arial" w:hAnsi="Arial" w:cs="Arial"/>
          <w:sz w:val="24"/>
          <w:szCs w:val="24"/>
        </w:rPr>
        <w:t>, which</w:t>
      </w:r>
      <w:r w:rsidR="00581A23" w:rsidRPr="00C209CF">
        <w:rPr>
          <w:rFonts w:ascii="Arial" w:hAnsi="Arial" w:cs="Arial"/>
          <w:sz w:val="24"/>
          <w:szCs w:val="24"/>
        </w:rPr>
        <w:t xml:space="preserve"> included a review of </w:t>
      </w:r>
      <w:r w:rsidR="00581A23">
        <w:rPr>
          <w:rFonts w:ascii="Arial" w:eastAsia="Times New Roman" w:hAnsi="Arial" w:cs="Arial"/>
          <w:sz w:val="24"/>
          <w:szCs w:val="24"/>
        </w:rPr>
        <w:t>corporate and regional materials management policies and procedures, purchasing, warehousing, inventory statistics, logistics and daily operations, etc</w:t>
      </w:r>
      <w:r w:rsidR="00581A23" w:rsidRPr="008227AA">
        <w:rPr>
          <w:rFonts w:ascii="Arial" w:eastAsia="Times New Roman" w:hAnsi="Arial" w:cs="Arial"/>
          <w:sz w:val="24"/>
          <w:szCs w:val="24"/>
        </w:rPr>
        <w:t xml:space="preserve">.  </w:t>
      </w:r>
      <w:r w:rsidR="002B5E7A">
        <w:rPr>
          <w:rFonts w:ascii="Arial" w:eastAsia="Times New Roman" w:hAnsi="Arial" w:cs="Arial"/>
          <w:sz w:val="24"/>
          <w:szCs w:val="24"/>
        </w:rPr>
        <w:t xml:space="preserve">These functions are overseen by </w:t>
      </w:r>
      <w:r w:rsidR="00910BF8">
        <w:rPr>
          <w:rFonts w:ascii="Arial" w:eastAsia="Times New Roman" w:hAnsi="Arial" w:cs="Arial"/>
          <w:sz w:val="24"/>
          <w:szCs w:val="24"/>
        </w:rPr>
        <w:t xml:space="preserve">the </w:t>
      </w:r>
      <w:r w:rsidR="00652599">
        <w:rPr>
          <w:rFonts w:ascii="Arial" w:eastAsia="Times New Roman" w:hAnsi="Arial" w:cs="Arial"/>
          <w:sz w:val="24"/>
          <w:szCs w:val="24"/>
        </w:rPr>
        <w:t>FirstEnergy Service Company (</w:t>
      </w:r>
      <w:r w:rsidR="00910BF8">
        <w:rPr>
          <w:rFonts w:ascii="Arial" w:eastAsia="Times New Roman" w:hAnsi="Arial" w:cs="Arial"/>
          <w:sz w:val="24"/>
          <w:szCs w:val="24"/>
        </w:rPr>
        <w:t>FESC</w:t>
      </w:r>
      <w:r w:rsidR="00652599">
        <w:rPr>
          <w:rFonts w:ascii="Arial" w:eastAsia="Times New Roman" w:hAnsi="Arial" w:cs="Arial"/>
          <w:sz w:val="24"/>
          <w:szCs w:val="24"/>
        </w:rPr>
        <w:t>)</w:t>
      </w:r>
      <w:r w:rsidR="00910BF8">
        <w:rPr>
          <w:rFonts w:ascii="Arial" w:eastAsia="Times New Roman" w:hAnsi="Arial" w:cs="Arial"/>
          <w:sz w:val="24"/>
          <w:szCs w:val="24"/>
        </w:rPr>
        <w:t xml:space="preserve"> Vice President of Supply Chain (utility sourcing) and the Director of </w:t>
      </w:r>
      <w:r w:rsidR="00652599">
        <w:rPr>
          <w:rFonts w:ascii="Arial" w:eastAsia="Times New Roman" w:hAnsi="Arial" w:cs="Arial"/>
          <w:snapToGrid w:val="0"/>
          <w:sz w:val="24"/>
          <w:szCs w:val="20"/>
        </w:rPr>
        <w:t>Transmission and Distribution (</w:t>
      </w:r>
      <w:r w:rsidR="00910BF8">
        <w:rPr>
          <w:rFonts w:ascii="Arial" w:eastAsia="Times New Roman" w:hAnsi="Arial" w:cs="Arial"/>
          <w:sz w:val="24"/>
          <w:szCs w:val="24"/>
        </w:rPr>
        <w:t>T&amp;D</w:t>
      </w:r>
      <w:r w:rsidR="00652599">
        <w:rPr>
          <w:rFonts w:ascii="Arial" w:eastAsia="Times New Roman" w:hAnsi="Arial" w:cs="Arial"/>
          <w:sz w:val="24"/>
          <w:szCs w:val="24"/>
        </w:rPr>
        <w:t>)</w:t>
      </w:r>
      <w:r w:rsidR="00910BF8">
        <w:rPr>
          <w:rFonts w:ascii="Arial" w:eastAsia="Times New Roman" w:hAnsi="Arial" w:cs="Arial"/>
          <w:sz w:val="24"/>
          <w:szCs w:val="24"/>
        </w:rPr>
        <w:t xml:space="preserve"> Warehousing and Materials Management (physical warehousing) for </w:t>
      </w:r>
      <w:r w:rsidR="00652599">
        <w:rPr>
          <w:rFonts w:ascii="Arial" w:eastAsia="Times New Roman" w:hAnsi="Arial" w:cs="Arial"/>
          <w:sz w:val="24"/>
          <w:szCs w:val="24"/>
        </w:rPr>
        <w:t xml:space="preserve">the </w:t>
      </w:r>
      <w:r w:rsidR="00910BF8">
        <w:rPr>
          <w:rFonts w:ascii="Arial" w:eastAsia="Times New Roman" w:hAnsi="Arial" w:cs="Arial"/>
          <w:sz w:val="24"/>
          <w:szCs w:val="24"/>
        </w:rPr>
        <w:t xml:space="preserve">FE-PA companies. </w:t>
      </w:r>
      <w:r w:rsidR="00581A23" w:rsidRPr="007C465E">
        <w:rPr>
          <w:rFonts w:ascii="Arial" w:eastAsia="Times New Roman" w:hAnsi="Arial" w:cs="Times New Roman"/>
          <w:sz w:val="24"/>
          <w:szCs w:val="24"/>
        </w:rPr>
        <w:t>The</w:t>
      </w:r>
      <w:r w:rsidR="00581A23">
        <w:rPr>
          <w:rFonts w:ascii="Arial" w:eastAsia="Times New Roman" w:hAnsi="Arial" w:cs="Times New Roman"/>
          <w:sz w:val="24"/>
          <w:szCs w:val="24"/>
        </w:rPr>
        <w:t xml:space="preserve"> PUC</w:t>
      </w:r>
      <w:r w:rsidR="00581A23" w:rsidRPr="007C465E">
        <w:rPr>
          <w:rFonts w:ascii="Arial" w:eastAsia="Times New Roman" w:hAnsi="Arial" w:cs="Times New Roman"/>
          <w:sz w:val="24"/>
          <w:szCs w:val="24"/>
        </w:rPr>
        <w:t xml:space="preserve"> </w:t>
      </w:r>
      <w:r w:rsidR="00581A23">
        <w:rPr>
          <w:rFonts w:ascii="Arial" w:eastAsia="Times New Roman" w:hAnsi="Arial" w:cs="Times New Roman"/>
          <w:sz w:val="24"/>
          <w:szCs w:val="24"/>
        </w:rPr>
        <w:t>auditors</w:t>
      </w:r>
      <w:r w:rsidR="00581A23" w:rsidRPr="007C465E">
        <w:rPr>
          <w:rFonts w:ascii="Arial" w:eastAsia="Times New Roman" w:hAnsi="Arial" w:cs="Times New Roman"/>
          <w:sz w:val="24"/>
          <w:szCs w:val="24"/>
        </w:rPr>
        <w:t xml:space="preserve"> </w:t>
      </w:r>
      <w:r w:rsidR="00581A23">
        <w:rPr>
          <w:rFonts w:ascii="Arial" w:eastAsia="Times New Roman" w:hAnsi="Arial" w:cs="Times New Roman"/>
          <w:sz w:val="24"/>
          <w:szCs w:val="24"/>
        </w:rPr>
        <w:t xml:space="preserve">issued </w:t>
      </w:r>
      <w:r>
        <w:rPr>
          <w:rFonts w:ascii="Arial" w:eastAsia="Times New Roman" w:hAnsi="Arial" w:cs="Times New Roman"/>
          <w:sz w:val="24"/>
          <w:szCs w:val="24"/>
        </w:rPr>
        <w:t>one</w:t>
      </w:r>
      <w:r w:rsidRPr="00CC6EA2">
        <w:rPr>
          <w:rFonts w:ascii="Arial" w:eastAsia="Times New Roman" w:hAnsi="Arial" w:cs="Times New Roman"/>
          <w:sz w:val="24"/>
          <w:szCs w:val="24"/>
        </w:rPr>
        <w:t xml:space="preserve"> recommendation </w:t>
      </w:r>
      <w:r w:rsidR="00581A23">
        <w:rPr>
          <w:rFonts w:ascii="Arial" w:eastAsia="Times New Roman" w:hAnsi="Arial" w:cs="Times New Roman"/>
          <w:sz w:val="24"/>
          <w:szCs w:val="24"/>
        </w:rPr>
        <w:t>in</w:t>
      </w:r>
      <w:r w:rsidRPr="00CC6EA2">
        <w:rPr>
          <w:rFonts w:ascii="Arial" w:eastAsia="Times New Roman" w:hAnsi="Arial" w:cs="Times New Roman"/>
          <w:sz w:val="24"/>
          <w:szCs w:val="24"/>
        </w:rPr>
        <w:t xml:space="preserve"> the </w:t>
      </w:r>
      <w:r>
        <w:rPr>
          <w:rFonts w:ascii="Arial" w:eastAsia="Times New Roman" w:hAnsi="Arial" w:cs="Times New Roman"/>
          <w:sz w:val="24"/>
          <w:szCs w:val="24"/>
        </w:rPr>
        <w:t>Materials</w:t>
      </w:r>
      <w:r w:rsidRPr="00CC6EA2">
        <w:rPr>
          <w:rFonts w:ascii="Arial" w:eastAsia="Times New Roman" w:hAnsi="Arial" w:cs="Times New Roman"/>
          <w:sz w:val="24"/>
          <w:szCs w:val="24"/>
        </w:rPr>
        <w:t xml:space="preserve"> Management chapter</w:t>
      </w:r>
      <w:r w:rsidR="00581A23">
        <w:rPr>
          <w:rFonts w:ascii="Arial" w:eastAsia="Times New Roman" w:hAnsi="Arial" w:cs="Times New Roman"/>
          <w:sz w:val="24"/>
          <w:szCs w:val="24"/>
        </w:rPr>
        <w:t xml:space="preserve"> and</w:t>
      </w:r>
      <w:r w:rsidRPr="00CC6EA2">
        <w:rPr>
          <w:rFonts w:ascii="Arial" w:eastAsia="Times New Roman" w:hAnsi="Arial" w:cs="Times New Roman"/>
          <w:sz w:val="24"/>
          <w:szCs w:val="24"/>
        </w:rPr>
        <w:t xml:space="preserve"> rated this functional area as needing minor improvement.  In this chapter, one prior recommendation and prior situation are reviewed and one follow-up finding and</w:t>
      </w:r>
      <w:r>
        <w:rPr>
          <w:rFonts w:ascii="Arial" w:eastAsia="Times New Roman" w:hAnsi="Arial" w:cs="Times New Roman"/>
          <w:sz w:val="24"/>
          <w:szCs w:val="24"/>
        </w:rPr>
        <w:t xml:space="preserve"> r</w:t>
      </w:r>
      <w:r w:rsidRPr="00CC6EA2">
        <w:rPr>
          <w:rFonts w:ascii="Arial" w:eastAsia="Times New Roman" w:hAnsi="Arial" w:cs="Times New Roman"/>
          <w:sz w:val="24"/>
          <w:szCs w:val="24"/>
        </w:rPr>
        <w:t>ecommendation are presented.</w:t>
      </w:r>
    </w:p>
    <w:p w14:paraId="7CDDABD5" w14:textId="77777777" w:rsidR="00FA14A4" w:rsidRDefault="00FA14A4" w:rsidP="00FA14A4">
      <w:pPr>
        <w:spacing w:after="0" w:line="240" w:lineRule="auto"/>
        <w:contextualSpacing/>
        <w:rPr>
          <w:rFonts w:ascii="Arial" w:eastAsia="Times New Roman" w:hAnsi="Arial" w:cs="Times New Roman"/>
          <w:sz w:val="24"/>
          <w:szCs w:val="24"/>
          <w:highlight w:val="yellow"/>
        </w:rPr>
      </w:pPr>
    </w:p>
    <w:p w14:paraId="5F1607BB" w14:textId="77777777" w:rsidR="00FA14A4" w:rsidRDefault="00FA14A4" w:rsidP="00FA14A4">
      <w:pPr>
        <w:spacing w:after="0" w:line="240" w:lineRule="auto"/>
        <w:contextualSpacing/>
        <w:jc w:val="center"/>
        <w:rPr>
          <w:rFonts w:ascii="Arial" w:eastAsia="Times New Roman" w:hAnsi="Arial" w:cs="Times New Roman"/>
          <w:sz w:val="24"/>
          <w:szCs w:val="24"/>
        </w:rPr>
      </w:pPr>
      <w:r w:rsidRPr="001E3BEF">
        <w:rPr>
          <w:rFonts w:ascii="Arial" w:eastAsia="Times New Roman" w:hAnsi="Arial" w:cs="Times New Roman"/>
          <w:b/>
          <w:sz w:val="24"/>
          <w:szCs w:val="24"/>
          <w:u w:val="single"/>
        </w:rPr>
        <w:t>F</w:t>
      </w:r>
      <w:r>
        <w:rPr>
          <w:rFonts w:ascii="Arial" w:eastAsia="Times New Roman" w:hAnsi="Arial" w:cs="Times New Roman"/>
          <w:b/>
          <w:sz w:val="24"/>
          <w:szCs w:val="24"/>
          <w:u w:val="single"/>
        </w:rPr>
        <w:t>inding No. IX-1</w:t>
      </w:r>
    </w:p>
    <w:p w14:paraId="6B338CCA" w14:textId="77777777" w:rsidR="00FA14A4" w:rsidRPr="001E3BEF" w:rsidRDefault="00FA14A4" w:rsidP="00FA14A4">
      <w:pPr>
        <w:spacing w:after="0" w:line="240" w:lineRule="auto"/>
        <w:contextualSpacing/>
        <w:jc w:val="center"/>
        <w:rPr>
          <w:rFonts w:ascii="Arial" w:eastAsia="Times New Roman" w:hAnsi="Arial" w:cs="Times New Roman"/>
          <w:sz w:val="24"/>
          <w:szCs w:val="24"/>
        </w:rPr>
      </w:pPr>
    </w:p>
    <w:p w14:paraId="33AD04E3" w14:textId="77777777" w:rsidR="00FA14A4" w:rsidRPr="00914A52" w:rsidRDefault="00FA14A4" w:rsidP="00FA14A4">
      <w:pPr>
        <w:spacing w:after="0" w:line="240" w:lineRule="auto"/>
        <w:contextualSpacing/>
        <w:rPr>
          <w:rFonts w:ascii="Arial" w:eastAsia="Times New Roman" w:hAnsi="Arial" w:cs="Arial"/>
          <w:snapToGrid w:val="0"/>
          <w:sz w:val="24"/>
          <w:szCs w:val="20"/>
        </w:rPr>
      </w:pPr>
      <w:r w:rsidRPr="00CC6EA2">
        <w:rPr>
          <w:rFonts w:ascii="Arial" w:eastAsia="Times New Roman" w:hAnsi="Arial" w:cs="Garamond"/>
          <w:b/>
          <w:color w:val="000000"/>
          <w:sz w:val="24"/>
          <w:szCs w:val="24"/>
          <w:u w:val="single"/>
        </w:rPr>
        <w:t>Prior Situation</w:t>
      </w:r>
      <w:r w:rsidRPr="00CC6EA2">
        <w:rPr>
          <w:rFonts w:ascii="Arial" w:eastAsia="Times New Roman" w:hAnsi="Arial" w:cs="Garamond"/>
          <w:color w:val="000000"/>
          <w:sz w:val="24"/>
          <w:szCs w:val="24"/>
        </w:rPr>
        <w:t xml:space="preserve"> – </w:t>
      </w:r>
      <w:r w:rsidRPr="00914A52">
        <w:rPr>
          <w:rFonts w:ascii="Arial" w:eastAsia="Times New Roman" w:hAnsi="Arial" w:cs="Arial"/>
          <w:snapToGrid w:val="0"/>
          <w:sz w:val="24"/>
          <w:szCs w:val="20"/>
        </w:rPr>
        <w:t>The</w:t>
      </w:r>
      <w:r>
        <w:rPr>
          <w:rFonts w:ascii="Arial" w:eastAsia="Times New Roman" w:hAnsi="Arial" w:cs="Arial"/>
          <w:snapToGrid w:val="0"/>
          <w:sz w:val="24"/>
          <w:szCs w:val="20"/>
        </w:rPr>
        <w:t xml:space="preserve"> FirstEnergy</w:t>
      </w:r>
      <w:r w:rsidRPr="00914A52">
        <w:rPr>
          <w:rFonts w:ascii="Arial" w:eastAsia="Times New Roman" w:hAnsi="Arial" w:cs="Arial"/>
          <w:snapToGrid w:val="0"/>
          <w:sz w:val="24"/>
          <w:szCs w:val="20"/>
        </w:rPr>
        <w:t xml:space="preserve"> </w:t>
      </w:r>
      <w:r w:rsidR="003B739F">
        <w:rPr>
          <w:rFonts w:ascii="Arial" w:eastAsia="Times New Roman" w:hAnsi="Arial" w:cs="Arial"/>
          <w:sz w:val="24"/>
          <w:szCs w:val="24"/>
        </w:rPr>
        <w:t>T&amp;D</w:t>
      </w:r>
      <w:r w:rsidR="003B739F">
        <w:rPr>
          <w:rFonts w:ascii="Arial" w:eastAsia="Times New Roman" w:hAnsi="Arial" w:cs="Arial"/>
          <w:snapToGrid w:val="0"/>
          <w:sz w:val="24"/>
          <w:szCs w:val="20"/>
        </w:rPr>
        <w:t xml:space="preserve"> </w:t>
      </w:r>
      <w:r w:rsidRPr="00914A52">
        <w:rPr>
          <w:rFonts w:ascii="Arial" w:eastAsia="Times New Roman" w:hAnsi="Arial" w:cs="Arial"/>
          <w:snapToGrid w:val="0"/>
          <w:sz w:val="24"/>
          <w:szCs w:val="20"/>
        </w:rPr>
        <w:t xml:space="preserve">Warehousing function went through significant changes </w:t>
      </w:r>
      <w:r>
        <w:rPr>
          <w:rFonts w:ascii="Arial" w:eastAsia="Times New Roman" w:hAnsi="Arial" w:cs="Arial"/>
          <w:snapToGrid w:val="0"/>
          <w:sz w:val="24"/>
          <w:szCs w:val="20"/>
        </w:rPr>
        <w:t xml:space="preserve">during the </w:t>
      </w:r>
      <w:r w:rsidRPr="00914A52">
        <w:rPr>
          <w:rFonts w:ascii="Arial" w:eastAsia="Times New Roman" w:hAnsi="Arial" w:cs="Arial"/>
          <w:snapToGrid w:val="0"/>
          <w:sz w:val="24"/>
          <w:szCs w:val="20"/>
        </w:rPr>
        <w:t>period 2011 through 2013.  Before the consolidation of warehouses into three centralized locales</w:t>
      </w:r>
      <w:r>
        <w:rPr>
          <w:rFonts w:ascii="Arial" w:eastAsia="Times New Roman" w:hAnsi="Arial" w:cs="Arial"/>
          <w:snapToGrid w:val="0"/>
          <w:sz w:val="24"/>
          <w:szCs w:val="20"/>
        </w:rPr>
        <w:t xml:space="preserve"> started in 2011</w:t>
      </w:r>
      <w:r w:rsidRPr="00914A52">
        <w:rPr>
          <w:rFonts w:ascii="Arial" w:eastAsia="Times New Roman" w:hAnsi="Arial" w:cs="Arial"/>
          <w:snapToGrid w:val="0"/>
          <w:sz w:val="24"/>
          <w:szCs w:val="20"/>
        </w:rPr>
        <w:t xml:space="preserve">, warehouses and inventory were independently maintained by each of the </w:t>
      </w:r>
      <w:r w:rsidR="00DC3D9B">
        <w:rPr>
          <w:rFonts w:ascii="Arial" w:eastAsia="Times New Roman" w:hAnsi="Arial" w:cs="Arial"/>
          <w:snapToGrid w:val="0"/>
          <w:sz w:val="24"/>
          <w:szCs w:val="20"/>
        </w:rPr>
        <w:t>FE-PA companies</w:t>
      </w:r>
      <w:r w:rsidRPr="00914A52">
        <w:rPr>
          <w:rFonts w:ascii="Arial" w:eastAsia="Times New Roman" w:hAnsi="Arial" w:cs="Arial"/>
          <w:snapToGrid w:val="0"/>
          <w:sz w:val="24"/>
          <w:szCs w:val="20"/>
        </w:rPr>
        <w:t xml:space="preserve">.  Consequently, the </w:t>
      </w:r>
      <w:r>
        <w:rPr>
          <w:rFonts w:ascii="Arial" w:eastAsia="Times New Roman" w:hAnsi="Arial" w:cs="Arial"/>
          <w:snapToGrid w:val="0"/>
          <w:sz w:val="24"/>
          <w:szCs w:val="20"/>
        </w:rPr>
        <w:t>auditors</w:t>
      </w:r>
      <w:r w:rsidRPr="00914A52">
        <w:rPr>
          <w:rFonts w:ascii="Arial" w:eastAsia="Times New Roman" w:hAnsi="Arial" w:cs="Arial"/>
          <w:snapToGrid w:val="0"/>
          <w:sz w:val="24"/>
          <w:szCs w:val="20"/>
        </w:rPr>
        <w:t xml:space="preserve"> did not trend inventory performance from 2009-2012 or prior to the warehouse consolidations as the data would not have been relevant or comparable to 2013.  The 2013 calendar year was the first full year </w:t>
      </w:r>
      <w:r w:rsidR="00942038" w:rsidRPr="00914A52">
        <w:rPr>
          <w:rFonts w:ascii="Arial" w:eastAsia="Times New Roman" w:hAnsi="Arial" w:cs="Arial"/>
          <w:snapToGrid w:val="0"/>
          <w:sz w:val="24"/>
          <w:szCs w:val="20"/>
        </w:rPr>
        <w:t>using</w:t>
      </w:r>
      <w:r w:rsidRPr="00914A52">
        <w:rPr>
          <w:rFonts w:ascii="Arial" w:eastAsia="Times New Roman" w:hAnsi="Arial" w:cs="Arial"/>
          <w:snapToGrid w:val="0"/>
          <w:sz w:val="24"/>
          <w:szCs w:val="20"/>
        </w:rPr>
        <w:t xml:space="preserve"> the new warehouse configuration.  Exhibit </w:t>
      </w:r>
      <w:r>
        <w:rPr>
          <w:rFonts w:ascii="Arial" w:eastAsia="Times New Roman" w:hAnsi="Arial" w:cs="Arial"/>
          <w:snapToGrid w:val="0"/>
          <w:sz w:val="24"/>
          <w:szCs w:val="20"/>
        </w:rPr>
        <w:t>IX-</w:t>
      </w:r>
      <w:r w:rsidRPr="00914A52">
        <w:rPr>
          <w:rFonts w:ascii="Arial" w:eastAsia="Times New Roman" w:hAnsi="Arial" w:cs="Arial"/>
          <w:snapToGrid w:val="0"/>
          <w:sz w:val="24"/>
          <w:szCs w:val="20"/>
        </w:rPr>
        <w:t>1</w:t>
      </w:r>
      <w:r>
        <w:rPr>
          <w:rFonts w:ascii="Arial" w:eastAsia="Times New Roman" w:hAnsi="Arial" w:cs="Arial"/>
          <w:snapToGrid w:val="0"/>
          <w:sz w:val="24"/>
          <w:szCs w:val="20"/>
        </w:rPr>
        <w:t xml:space="preserve"> shows</w:t>
      </w:r>
      <w:r w:rsidRPr="00914A52">
        <w:rPr>
          <w:rFonts w:ascii="Arial" w:eastAsia="Times New Roman" w:hAnsi="Arial" w:cs="Arial"/>
          <w:snapToGrid w:val="0"/>
          <w:sz w:val="24"/>
          <w:szCs w:val="20"/>
        </w:rPr>
        <w:t xml:space="preserve"> the specific Costs of Goods (net issues), average annual inventory and calculated inventory turnover for each of the </w:t>
      </w:r>
      <w:r w:rsidR="00DC3D9B">
        <w:rPr>
          <w:rFonts w:ascii="Arial" w:eastAsia="Times New Roman" w:hAnsi="Arial" w:cs="Arial"/>
          <w:snapToGrid w:val="0"/>
          <w:sz w:val="24"/>
          <w:szCs w:val="20"/>
        </w:rPr>
        <w:t>FE-PA companies</w:t>
      </w:r>
      <w:r w:rsidRPr="00914A52">
        <w:rPr>
          <w:rFonts w:ascii="Arial" w:eastAsia="Times New Roman" w:hAnsi="Arial" w:cs="Arial"/>
          <w:snapToGrid w:val="0"/>
          <w:sz w:val="24"/>
          <w:szCs w:val="20"/>
        </w:rPr>
        <w:t xml:space="preserve"> </w:t>
      </w:r>
      <w:r>
        <w:rPr>
          <w:rFonts w:ascii="Arial" w:eastAsia="Times New Roman" w:hAnsi="Arial" w:cs="Arial"/>
          <w:snapToGrid w:val="0"/>
          <w:sz w:val="24"/>
          <w:szCs w:val="20"/>
        </w:rPr>
        <w:t>in 2013</w:t>
      </w:r>
      <w:r w:rsidRPr="00914A52">
        <w:rPr>
          <w:rFonts w:ascii="Arial" w:eastAsia="Times New Roman" w:hAnsi="Arial" w:cs="Arial"/>
          <w:snapToGrid w:val="0"/>
          <w:sz w:val="24"/>
          <w:szCs w:val="20"/>
        </w:rPr>
        <w:t xml:space="preserve">.  Additionally, the inventory </w:t>
      </w:r>
      <w:r>
        <w:rPr>
          <w:rFonts w:ascii="Arial" w:eastAsia="Times New Roman" w:hAnsi="Arial" w:cs="Arial"/>
          <w:snapToGrid w:val="0"/>
          <w:sz w:val="24"/>
          <w:szCs w:val="20"/>
        </w:rPr>
        <w:t>performance</w:t>
      </w:r>
      <w:r w:rsidRPr="00914A52">
        <w:rPr>
          <w:rFonts w:ascii="Arial" w:eastAsia="Times New Roman" w:hAnsi="Arial" w:cs="Arial"/>
          <w:snapToGrid w:val="0"/>
          <w:sz w:val="24"/>
          <w:szCs w:val="20"/>
        </w:rPr>
        <w:t xml:space="preserve"> of transformers and meters were excluded from turnover level calculations.  These items were considered to be emergency stock that must be kept on hand at all times to ensure effective response in the case of emergencies.</w:t>
      </w:r>
    </w:p>
    <w:p w14:paraId="0FA15AB3" w14:textId="77777777" w:rsidR="00FA14A4" w:rsidRPr="00914A52" w:rsidRDefault="00FA14A4" w:rsidP="00FA14A4">
      <w:pPr>
        <w:widowControl w:val="0"/>
        <w:spacing w:after="0" w:line="240" w:lineRule="auto"/>
        <w:contextualSpacing/>
        <w:rPr>
          <w:rFonts w:ascii="Arial" w:eastAsia="Times New Roman" w:hAnsi="Arial" w:cs="Arial"/>
          <w:snapToGrid w:val="0"/>
          <w:sz w:val="24"/>
          <w:szCs w:val="20"/>
        </w:rPr>
      </w:pPr>
    </w:p>
    <w:p w14:paraId="3C213D86" w14:textId="77777777" w:rsidR="00FA14A4" w:rsidRPr="00914A52" w:rsidRDefault="00FA14A4" w:rsidP="00FA14A4">
      <w:pPr>
        <w:widowControl w:val="0"/>
        <w:spacing w:after="0" w:line="240" w:lineRule="auto"/>
        <w:contextualSpacing/>
        <w:rPr>
          <w:rFonts w:ascii="Arial" w:eastAsia="Times New Roman" w:hAnsi="Arial" w:cs="Arial"/>
          <w:snapToGrid w:val="0"/>
          <w:sz w:val="24"/>
          <w:szCs w:val="20"/>
        </w:rPr>
      </w:pPr>
    </w:p>
    <w:p w14:paraId="624215DE" w14:textId="77777777" w:rsidR="00FA14A4" w:rsidRPr="00914A52" w:rsidRDefault="00FA14A4" w:rsidP="00FA14A4">
      <w:pPr>
        <w:widowControl w:val="0"/>
        <w:spacing w:after="0" w:line="240" w:lineRule="auto"/>
        <w:contextualSpacing/>
        <w:jc w:val="center"/>
        <w:rPr>
          <w:rFonts w:ascii="Arial" w:eastAsia="Times New Roman" w:hAnsi="Arial" w:cs="Arial"/>
          <w:b/>
          <w:snapToGrid w:val="0"/>
          <w:sz w:val="24"/>
          <w:szCs w:val="24"/>
        </w:rPr>
      </w:pPr>
      <w:r w:rsidRPr="00914A52">
        <w:rPr>
          <w:rFonts w:ascii="Arial" w:eastAsia="Times New Roman" w:hAnsi="Arial" w:cs="Arial"/>
          <w:b/>
          <w:snapToGrid w:val="0"/>
          <w:sz w:val="24"/>
          <w:szCs w:val="24"/>
        </w:rPr>
        <w:t xml:space="preserve">Exhibit </w:t>
      </w:r>
      <w:r>
        <w:rPr>
          <w:rFonts w:ascii="Arial" w:eastAsia="Times New Roman" w:hAnsi="Arial" w:cs="Arial"/>
          <w:b/>
          <w:snapToGrid w:val="0"/>
          <w:sz w:val="24"/>
          <w:szCs w:val="24"/>
        </w:rPr>
        <w:t>IX – 1</w:t>
      </w:r>
    </w:p>
    <w:p w14:paraId="1C4DDDD6" w14:textId="77777777" w:rsidR="00FA14A4" w:rsidRPr="00914A52" w:rsidRDefault="00FA14A4" w:rsidP="00FA14A4">
      <w:pPr>
        <w:widowControl w:val="0"/>
        <w:spacing w:after="0" w:line="240" w:lineRule="auto"/>
        <w:contextualSpacing/>
        <w:jc w:val="center"/>
        <w:rPr>
          <w:rFonts w:ascii="Arial" w:eastAsia="Times New Roman" w:hAnsi="Arial" w:cs="Arial"/>
          <w:b/>
          <w:snapToGrid w:val="0"/>
          <w:sz w:val="24"/>
          <w:szCs w:val="24"/>
        </w:rPr>
      </w:pPr>
      <w:r w:rsidRPr="00914A52">
        <w:rPr>
          <w:rFonts w:ascii="Arial" w:eastAsia="Times New Roman" w:hAnsi="Arial" w:cs="Arial"/>
          <w:b/>
          <w:snapToGrid w:val="0"/>
          <w:sz w:val="24"/>
          <w:szCs w:val="24"/>
        </w:rPr>
        <w:t xml:space="preserve">FirstEnergy </w:t>
      </w:r>
      <w:r>
        <w:rPr>
          <w:rFonts w:ascii="Arial" w:eastAsia="Times New Roman" w:hAnsi="Arial" w:cs="Arial"/>
          <w:b/>
          <w:snapToGrid w:val="0"/>
          <w:sz w:val="24"/>
          <w:szCs w:val="24"/>
        </w:rPr>
        <w:t>Pennsylvania Companies</w:t>
      </w:r>
      <w:r w:rsidRPr="00914A52">
        <w:rPr>
          <w:rFonts w:ascii="Arial" w:eastAsia="Times New Roman" w:hAnsi="Arial" w:cs="Arial"/>
          <w:b/>
          <w:snapToGrid w:val="0"/>
          <w:sz w:val="24"/>
          <w:szCs w:val="24"/>
        </w:rPr>
        <w:t xml:space="preserve"> </w:t>
      </w:r>
    </w:p>
    <w:p w14:paraId="72441BB4" w14:textId="77777777" w:rsidR="00FA14A4" w:rsidRPr="00914A52" w:rsidRDefault="00FA14A4" w:rsidP="00FA14A4">
      <w:pPr>
        <w:widowControl w:val="0"/>
        <w:spacing w:after="0" w:line="240" w:lineRule="auto"/>
        <w:contextualSpacing/>
        <w:jc w:val="center"/>
        <w:rPr>
          <w:rFonts w:ascii="Arial" w:eastAsia="Times New Roman" w:hAnsi="Arial" w:cs="Arial"/>
          <w:b/>
          <w:snapToGrid w:val="0"/>
          <w:sz w:val="24"/>
          <w:szCs w:val="24"/>
        </w:rPr>
      </w:pPr>
      <w:r w:rsidRPr="00914A52">
        <w:rPr>
          <w:rFonts w:ascii="Arial" w:eastAsia="Times New Roman" w:hAnsi="Arial" w:cs="Arial"/>
          <w:b/>
          <w:snapToGrid w:val="0"/>
          <w:sz w:val="24"/>
          <w:szCs w:val="24"/>
        </w:rPr>
        <w:t>Inventory Turnover Levels (Excluding Emergency Stock)</w:t>
      </w:r>
    </w:p>
    <w:p w14:paraId="39E7B4BD" w14:textId="77777777" w:rsidR="00FA14A4" w:rsidRDefault="00FA14A4" w:rsidP="00FA14A4">
      <w:pPr>
        <w:widowControl w:val="0"/>
        <w:spacing w:after="0" w:line="240" w:lineRule="auto"/>
        <w:contextualSpacing/>
        <w:jc w:val="center"/>
        <w:rPr>
          <w:rFonts w:ascii="Arial" w:eastAsia="Times New Roman" w:hAnsi="Arial" w:cs="Arial"/>
          <w:b/>
          <w:snapToGrid w:val="0"/>
          <w:sz w:val="24"/>
          <w:szCs w:val="24"/>
        </w:rPr>
      </w:pPr>
      <w:r w:rsidRPr="00914A52">
        <w:rPr>
          <w:rFonts w:ascii="Arial" w:eastAsia="Times New Roman" w:hAnsi="Arial" w:cs="Arial"/>
          <w:b/>
          <w:snapToGrid w:val="0"/>
          <w:sz w:val="24"/>
          <w:szCs w:val="24"/>
        </w:rPr>
        <w:t>For the Year 2013</w:t>
      </w:r>
    </w:p>
    <w:p w14:paraId="090D8351" w14:textId="77777777" w:rsidR="00FA14A4" w:rsidRPr="00914A52" w:rsidRDefault="00FA14A4" w:rsidP="00FA14A4">
      <w:pPr>
        <w:widowControl w:val="0"/>
        <w:spacing w:after="0" w:line="240" w:lineRule="auto"/>
        <w:contextualSpacing/>
        <w:rPr>
          <w:rFonts w:ascii="Arial" w:eastAsia="Times New Roman" w:hAnsi="Arial" w:cs="Arial"/>
          <w:snapToGrid w:val="0"/>
          <w:sz w:val="8"/>
          <w:szCs w:val="8"/>
        </w:rPr>
      </w:pPr>
      <w:r w:rsidRPr="00914A52">
        <w:rPr>
          <w:rFonts w:ascii="Arial" w:eastAsia="Times New Roman" w:hAnsi="Arial" w:cs="Arial"/>
          <w:snapToGrid w:val="0"/>
          <w:sz w:val="24"/>
          <w:szCs w:val="20"/>
        </w:rPr>
        <w:tab/>
      </w:r>
    </w:p>
    <w:tbl>
      <w:tblPr>
        <w:tblW w:w="9405" w:type="dxa"/>
        <w:jc w:val="center"/>
        <w:tblLayout w:type="fixed"/>
        <w:tblLook w:val="04A0" w:firstRow="1" w:lastRow="0" w:firstColumn="1" w:lastColumn="0" w:noHBand="0" w:noVBand="1"/>
      </w:tblPr>
      <w:tblGrid>
        <w:gridCol w:w="2250"/>
        <w:gridCol w:w="1440"/>
        <w:gridCol w:w="1440"/>
        <w:gridCol w:w="1377"/>
        <w:gridCol w:w="1449"/>
        <w:gridCol w:w="1449"/>
      </w:tblGrid>
      <w:tr w:rsidR="00FA14A4" w:rsidRPr="00914A52" w14:paraId="5B240F54" w14:textId="77777777" w:rsidTr="00347614">
        <w:trPr>
          <w:trHeight w:val="372"/>
          <w:jc w:val="center"/>
        </w:trPr>
        <w:tc>
          <w:tcPr>
            <w:tcW w:w="2250" w:type="dxa"/>
            <w:tcBorders>
              <w:top w:val="nil"/>
              <w:left w:val="nil"/>
              <w:bottom w:val="nil"/>
              <w:right w:val="nil"/>
            </w:tcBorders>
            <w:shd w:val="clear" w:color="auto" w:fill="auto"/>
            <w:noWrap/>
            <w:vAlign w:val="bottom"/>
            <w:hideMark/>
          </w:tcPr>
          <w:p w14:paraId="667366EE" w14:textId="77777777" w:rsidR="00FA14A4" w:rsidRPr="00914A52" w:rsidRDefault="00FA14A4" w:rsidP="00347614">
            <w:pPr>
              <w:widowControl w:val="0"/>
              <w:spacing w:after="0" w:line="240" w:lineRule="auto"/>
              <w:contextualSpacing/>
              <w:rPr>
                <w:rFonts w:ascii="Arial" w:eastAsia="Times New Roman" w:hAnsi="Arial" w:cs="Arial"/>
                <w:snapToGrid w:val="0"/>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440B49D" w14:textId="77777777" w:rsidR="00FA14A4" w:rsidRPr="005A664B" w:rsidRDefault="00FA14A4" w:rsidP="00347614">
            <w:pPr>
              <w:widowControl w:val="0"/>
              <w:spacing w:after="0" w:line="240" w:lineRule="auto"/>
              <w:contextualSpacing/>
              <w:jc w:val="center"/>
              <w:rPr>
                <w:rFonts w:ascii="Arial" w:eastAsia="Times New Roman" w:hAnsi="Arial" w:cs="Arial"/>
                <w:b/>
                <w:bCs/>
                <w:snapToGrid w:val="0"/>
                <w:color w:val="000000"/>
                <w:sz w:val="20"/>
                <w:szCs w:val="20"/>
              </w:rPr>
            </w:pPr>
            <w:r w:rsidRPr="005A664B">
              <w:rPr>
                <w:rFonts w:ascii="Arial" w:eastAsia="Times New Roman" w:hAnsi="Arial" w:cs="Arial"/>
                <w:b/>
                <w:bCs/>
                <w:snapToGrid w:val="0"/>
                <w:color w:val="000000"/>
                <w:sz w:val="20"/>
                <w:szCs w:val="20"/>
              </w:rPr>
              <w:t>Met-Ed</w:t>
            </w:r>
          </w:p>
        </w:tc>
        <w:tc>
          <w:tcPr>
            <w:tcW w:w="1440" w:type="dxa"/>
            <w:tcBorders>
              <w:top w:val="single" w:sz="4" w:space="0" w:color="auto"/>
              <w:left w:val="nil"/>
              <w:bottom w:val="single" w:sz="4" w:space="0" w:color="auto"/>
              <w:right w:val="single" w:sz="4" w:space="0" w:color="auto"/>
            </w:tcBorders>
            <w:shd w:val="clear" w:color="auto" w:fill="FDC72F"/>
            <w:vAlign w:val="center"/>
          </w:tcPr>
          <w:p w14:paraId="715DEA69" w14:textId="77777777" w:rsidR="00FA14A4" w:rsidRPr="005A664B" w:rsidRDefault="00FA14A4" w:rsidP="00347614">
            <w:pPr>
              <w:widowControl w:val="0"/>
              <w:spacing w:after="0" w:line="240" w:lineRule="auto"/>
              <w:contextualSpacing/>
              <w:jc w:val="center"/>
              <w:rPr>
                <w:rFonts w:ascii="Arial" w:eastAsia="Times New Roman" w:hAnsi="Arial" w:cs="Arial"/>
                <w:b/>
                <w:bCs/>
                <w:snapToGrid w:val="0"/>
                <w:color w:val="000000"/>
                <w:sz w:val="20"/>
                <w:szCs w:val="20"/>
              </w:rPr>
            </w:pPr>
            <w:r w:rsidRPr="005A664B">
              <w:rPr>
                <w:rFonts w:ascii="Arial" w:eastAsia="Times New Roman" w:hAnsi="Arial" w:cs="Arial"/>
                <w:b/>
                <w:bCs/>
                <w:snapToGrid w:val="0"/>
                <w:color w:val="000000"/>
                <w:sz w:val="20"/>
                <w:szCs w:val="20"/>
              </w:rPr>
              <w:t>Penelec</w:t>
            </w:r>
          </w:p>
        </w:tc>
        <w:tc>
          <w:tcPr>
            <w:tcW w:w="1377" w:type="dxa"/>
            <w:tcBorders>
              <w:top w:val="single" w:sz="4" w:space="0" w:color="auto"/>
              <w:left w:val="single" w:sz="4" w:space="0" w:color="auto"/>
              <w:bottom w:val="single" w:sz="4" w:space="0" w:color="auto"/>
              <w:right w:val="single" w:sz="4" w:space="0" w:color="auto"/>
            </w:tcBorders>
            <w:shd w:val="clear" w:color="000000" w:fill="B1A0C7"/>
            <w:noWrap/>
            <w:vAlign w:val="center"/>
            <w:hideMark/>
          </w:tcPr>
          <w:p w14:paraId="3AF6B641" w14:textId="77777777" w:rsidR="00FA14A4" w:rsidRPr="005A664B" w:rsidRDefault="00FA14A4" w:rsidP="00347614">
            <w:pPr>
              <w:widowControl w:val="0"/>
              <w:spacing w:after="0" w:line="240" w:lineRule="auto"/>
              <w:contextualSpacing/>
              <w:jc w:val="center"/>
              <w:rPr>
                <w:rFonts w:ascii="Arial" w:eastAsia="Times New Roman" w:hAnsi="Arial" w:cs="Arial"/>
                <w:b/>
                <w:bCs/>
                <w:snapToGrid w:val="0"/>
                <w:color w:val="000000"/>
                <w:sz w:val="20"/>
                <w:szCs w:val="20"/>
              </w:rPr>
            </w:pPr>
            <w:r w:rsidRPr="005A664B">
              <w:rPr>
                <w:rFonts w:ascii="Arial" w:eastAsia="Times New Roman" w:hAnsi="Arial" w:cs="Arial"/>
                <w:b/>
                <w:bCs/>
                <w:snapToGrid w:val="0"/>
                <w:color w:val="000000"/>
                <w:sz w:val="20"/>
                <w:szCs w:val="20"/>
              </w:rPr>
              <w:t>Penn Power</w:t>
            </w:r>
          </w:p>
        </w:tc>
        <w:tc>
          <w:tcPr>
            <w:tcW w:w="1449" w:type="dxa"/>
            <w:tcBorders>
              <w:top w:val="single" w:sz="4" w:space="0" w:color="auto"/>
              <w:left w:val="nil"/>
              <w:bottom w:val="single" w:sz="4" w:space="0" w:color="auto"/>
              <w:right w:val="single" w:sz="4" w:space="0" w:color="auto"/>
            </w:tcBorders>
            <w:shd w:val="clear" w:color="000000" w:fill="FF0000"/>
            <w:noWrap/>
            <w:vAlign w:val="center"/>
            <w:hideMark/>
          </w:tcPr>
          <w:p w14:paraId="25BABC0C" w14:textId="77777777" w:rsidR="00FA14A4" w:rsidRPr="005A664B" w:rsidRDefault="00FA14A4" w:rsidP="00347614">
            <w:pPr>
              <w:widowControl w:val="0"/>
              <w:spacing w:after="0" w:line="240" w:lineRule="auto"/>
              <w:contextualSpacing/>
              <w:jc w:val="center"/>
              <w:rPr>
                <w:rFonts w:ascii="Arial" w:eastAsia="Times New Roman" w:hAnsi="Arial" w:cs="Arial"/>
                <w:b/>
                <w:bCs/>
                <w:snapToGrid w:val="0"/>
                <w:color w:val="000000"/>
                <w:sz w:val="20"/>
                <w:szCs w:val="20"/>
              </w:rPr>
            </w:pPr>
            <w:r w:rsidRPr="005A664B">
              <w:rPr>
                <w:rFonts w:ascii="Arial" w:eastAsia="Times New Roman" w:hAnsi="Arial" w:cs="Arial"/>
                <w:b/>
                <w:bCs/>
                <w:snapToGrid w:val="0"/>
                <w:color w:val="000000"/>
                <w:sz w:val="20"/>
                <w:szCs w:val="20"/>
              </w:rPr>
              <w:t>West Penn</w:t>
            </w:r>
          </w:p>
        </w:tc>
        <w:tc>
          <w:tcPr>
            <w:tcW w:w="1449" w:type="dxa"/>
            <w:tcBorders>
              <w:top w:val="single" w:sz="4" w:space="0" w:color="auto"/>
              <w:left w:val="single" w:sz="4" w:space="0" w:color="auto"/>
              <w:bottom w:val="single" w:sz="4" w:space="0" w:color="auto"/>
              <w:right w:val="single" w:sz="4" w:space="0" w:color="auto"/>
            </w:tcBorders>
            <w:shd w:val="clear" w:color="000000" w:fill="262626"/>
            <w:noWrap/>
            <w:vAlign w:val="center"/>
            <w:hideMark/>
          </w:tcPr>
          <w:p w14:paraId="07CCE96F" w14:textId="77777777" w:rsidR="00FA14A4" w:rsidRPr="005A664B" w:rsidRDefault="00FA14A4" w:rsidP="00347614">
            <w:pPr>
              <w:widowControl w:val="0"/>
              <w:spacing w:after="0" w:line="240" w:lineRule="auto"/>
              <w:contextualSpacing/>
              <w:jc w:val="center"/>
              <w:rPr>
                <w:rFonts w:ascii="Arial" w:eastAsia="Times New Roman" w:hAnsi="Arial" w:cs="Arial"/>
                <w:b/>
                <w:bCs/>
                <w:snapToGrid w:val="0"/>
                <w:color w:val="FFFFFF"/>
                <w:sz w:val="20"/>
                <w:szCs w:val="20"/>
              </w:rPr>
            </w:pPr>
            <w:r w:rsidRPr="005A664B">
              <w:rPr>
                <w:rFonts w:ascii="Arial" w:eastAsia="Times New Roman" w:hAnsi="Arial" w:cs="Arial"/>
                <w:b/>
                <w:bCs/>
                <w:snapToGrid w:val="0"/>
                <w:color w:val="FFFFFF"/>
                <w:sz w:val="20"/>
                <w:szCs w:val="20"/>
              </w:rPr>
              <w:t>FE-PA Companies</w:t>
            </w:r>
          </w:p>
        </w:tc>
      </w:tr>
      <w:tr w:rsidR="00FA14A4" w:rsidRPr="00914A52" w14:paraId="00901828" w14:textId="77777777" w:rsidTr="00347614">
        <w:trPr>
          <w:trHeight w:val="354"/>
          <w:jc w:val="center"/>
        </w:trPr>
        <w:tc>
          <w:tcPr>
            <w:tcW w:w="225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16CF8B6" w14:textId="77777777" w:rsidR="00FA14A4" w:rsidRPr="00914A52" w:rsidRDefault="00FA14A4" w:rsidP="00347614">
            <w:pPr>
              <w:widowControl w:val="0"/>
              <w:spacing w:after="0" w:line="240" w:lineRule="auto"/>
              <w:contextualSpacing/>
              <w:rPr>
                <w:rFonts w:ascii="Arial" w:eastAsia="Times New Roman" w:hAnsi="Arial" w:cs="Arial"/>
                <w:b/>
                <w:snapToGrid w:val="0"/>
                <w:color w:val="000000"/>
                <w:sz w:val="20"/>
                <w:szCs w:val="20"/>
              </w:rPr>
            </w:pPr>
            <w:r w:rsidRPr="00914A52">
              <w:rPr>
                <w:rFonts w:ascii="Arial" w:eastAsia="Times New Roman" w:hAnsi="Arial" w:cs="Arial"/>
                <w:b/>
                <w:snapToGrid w:val="0"/>
                <w:color w:val="000000"/>
                <w:sz w:val="20"/>
                <w:szCs w:val="20"/>
              </w:rPr>
              <w:t>Annual Issues ($)</w:t>
            </w:r>
          </w:p>
        </w:tc>
        <w:tc>
          <w:tcPr>
            <w:tcW w:w="1440" w:type="dxa"/>
            <w:tcBorders>
              <w:top w:val="single" w:sz="4" w:space="0" w:color="auto"/>
              <w:left w:val="nil"/>
              <w:bottom w:val="single" w:sz="4" w:space="0" w:color="auto"/>
              <w:right w:val="single" w:sz="4" w:space="0" w:color="auto"/>
            </w:tcBorders>
            <w:shd w:val="clear" w:color="000000" w:fill="D9D9D9"/>
            <w:noWrap/>
            <w:vAlign w:val="center"/>
            <w:hideMark/>
          </w:tcPr>
          <w:p w14:paraId="1C8E26E0" w14:textId="77777777" w:rsidR="00FA14A4" w:rsidRPr="00914A52" w:rsidRDefault="00FA14A4" w:rsidP="00347614">
            <w:pPr>
              <w:widowControl w:val="0"/>
              <w:spacing w:after="0" w:line="240" w:lineRule="auto"/>
              <w:contextualSpacing/>
              <w:jc w:val="right"/>
              <w:rPr>
                <w:rFonts w:ascii="Arial" w:eastAsia="Times New Roman" w:hAnsi="Arial" w:cs="Arial"/>
                <w:snapToGrid w:val="0"/>
                <w:color w:val="000000"/>
                <w:sz w:val="20"/>
                <w:szCs w:val="20"/>
              </w:rPr>
            </w:pPr>
            <w:r w:rsidRPr="00914A52">
              <w:rPr>
                <w:rFonts w:ascii="Arial" w:eastAsia="Times New Roman" w:hAnsi="Arial" w:cs="Arial"/>
                <w:snapToGrid w:val="0"/>
                <w:color w:val="000000"/>
                <w:sz w:val="20"/>
                <w:szCs w:val="20"/>
              </w:rPr>
              <w:t xml:space="preserve"> $ 10,814,020 </w:t>
            </w:r>
          </w:p>
        </w:tc>
        <w:tc>
          <w:tcPr>
            <w:tcW w:w="1440" w:type="dxa"/>
            <w:tcBorders>
              <w:top w:val="single" w:sz="4" w:space="0" w:color="auto"/>
              <w:left w:val="single" w:sz="4" w:space="0" w:color="auto"/>
              <w:bottom w:val="single" w:sz="4" w:space="0" w:color="auto"/>
              <w:right w:val="single" w:sz="4" w:space="0" w:color="auto"/>
            </w:tcBorders>
            <w:shd w:val="clear" w:color="000000" w:fill="D9D9D9"/>
            <w:vAlign w:val="center"/>
          </w:tcPr>
          <w:p w14:paraId="1476212A" w14:textId="77777777" w:rsidR="00FA14A4" w:rsidRPr="00914A52" w:rsidRDefault="00FA14A4" w:rsidP="00347614">
            <w:pPr>
              <w:widowControl w:val="0"/>
              <w:spacing w:after="0" w:line="240" w:lineRule="auto"/>
              <w:contextualSpacing/>
              <w:jc w:val="right"/>
              <w:rPr>
                <w:rFonts w:ascii="Arial" w:eastAsia="Times New Roman" w:hAnsi="Arial" w:cs="Arial"/>
                <w:snapToGrid w:val="0"/>
                <w:color w:val="000000"/>
                <w:sz w:val="20"/>
                <w:szCs w:val="20"/>
              </w:rPr>
            </w:pPr>
            <w:r w:rsidRPr="00914A52">
              <w:rPr>
                <w:rFonts w:ascii="Arial" w:eastAsia="Times New Roman" w:hAnsi="Arial" w:cs="Arial"/>
                <w:snapToGrid w:val="0"/>
                <w:color w:val="000000"/>
                <w:sz w:val="20"/>
                <w:szCs w:val="20"/>
              </w:rPr>
              <w:t xml:space="preserve"> $ 11,249,894 </w:t>
            </w:r>
          </w:p>
        </w:tc>
        <w:tc>
          <w:tcPr>
            <w:tcW w:w="13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2E30E2B" w14:textId="77777777" w:rsidR="00FA14A4" w:rsidRPr="00914A52" w:rsidRDefault="00FA14A4" w:rsidP="00347614">
            <w:pPr>
              <w:widowControl w:val="0"/>
              <w:spacing w:after="0" w:line="240" w:lineRule="auto"/>
              <w:contextualSpacing/>
              <w:jc w:val="right"/>
              <w:rPr>
                <w:rFonts w:ascii="Arial" w:eastAsia="Times New Roman" w:hAnsi="Arial" w:cs="Arial"/>
                <w:snapToGrid w:val="0"/>
                <w:color w:val="000000"/>
                <w:sz w:val="20"/>
                <w:szCs w:val="20"/>
              </w:rPr>
            </w:pPr>
            <w:r w:rsidRPr="00914A52">
              <w:rPr>
                <w:rFonts w:ascii="Arial" w:eastAsia="Times New Roman" w:hAnsi="Arial" w:cs="Arial"/>
                <w:snapToGrid w:val="0"/>
                <w:color w:val="000000"/>
                <w:sz w:val="20"/>
                <w:szCs w:val="20"/>
              </w:rPr>
              <w:t xml:space="preserve"> $ 2,670,281 </w:t>
            </w:r>
          </w:p>
        </w:tc>
        <w:tc>
          <w:tcPr>
            <w:tcW w:w="14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A34D28" w14:textId="77777777" w:rsidR="00FA14A4" w:rsidRPr="00914A52" w:rsidRDefault="00FA14A4" w:rsidP="00347614">
            <w:pPr>
              <w:widowControl w:val="0"/>
              <w:spacing w:after="0" w:line="240" w:lineRule="auto"/>
              <w:contextualSpacing/>
              <w:jc w:val="right"/>
              <w:rPr>
                <w:rFonts w:ascii="Arial" w:eastAsia="Times New Roman" w:hAnsi="Arial" w:cs="Arial"/>
                <w:snapToGrid w:val="0"/>
                <w:color w:val="000000"/>
                <w:sz w:val="20"/>
                <w:szCs w:val="20"/>
              </w:rPr>
            </w:pPr>
            <w:r w:rsidRPr="00914A52">
              <w:rPr>
                <w:rFonts w:ascii="Arial" w:eastAsia="Times New Roman" w:hAnsi="Arial" w:cs="Arial"/>
                <w:snapToGrid w:val="0"/>
                <w:color w:val="000000"/>
                <w:sz w:val="20"/>
                <w:szCs w:val="20"/>
              </w:rPr>
              <w:t xml:space="preserve"> $ 11,700,565 </w:t>
            </w:r>
          </w:p>
        </w:tc>
        <w:tc>
          <w:tcPr>
            <w:tcW w:w="1449"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2D3C096" w14:textId="77777777" w:rsidR="00FA14A4" w:rsidRPr="00914A52" w:rsidRDefault="00FA14A4" w:rsidP="00347614">
            <w:pPr>
              <w:widowControl w:val="0"/>
              <w:spacing w:after="0" w:line="240" w:lineRule="auto"/>
              <w:contextualSpacing/>
              <w:jc w:val="right"/>
              <w:rPr>
                <w:rFonts w:ascii="Arial" w:eastAsia="Times New Roman" w:hAnsi="Arial" w:cs="Arial"/>
                <w:b/>
                <w:bCs/>
                <w:snapToGrid w:val="0"/>
                <w:color w:val="000000"/>
                <w:sz w:val="20"/>
                <w:szCs w:val="20"/>
              </w:rPr>
            </w:pPr>
            <w:r w:rsidRPr="00914A52">
              <w:rPr>
                <w:rFonts w:ascii="Arial" w:eastAsia="Times New Roman" w:hAnsi="Arial" w:cs="Arial"/>
                <w:b/>
                <w:bCs/>
                <w:snapToGrid w:val="0"/>
                <w:color w:val="000000"/>
                <w:sz w:val="20"/>
                <w:szCs w:val="20"/>
              </w:rPr>
              <w:t xml:space="preserve"> $ 36,434,760 </w:t>
            </w:r>
          </w:p>
        </w:tc>
      </w:tr>
      <w:tr w:rsidR="00FA14A4" w:rsidRPr="00914A52" w14:paraId="560B21E7" w14:textId="77777777" w:rsidTr="00347614">
        <w:trPr>
          <w:trHeight w:val="354"/>
          <w:jc w:val="center"/>
        </w:trPr>
        <w:tc>
          <w:tcPr>
            <w:tcW w:w="2250" w:type="dxa"/>
            <w:tcBorders>
              <w:top w:val="nil"/>
              <w:left w:val="single" w:sz="4" w:space="0" w:color="auto"/>
              <w:bottom w:val="single" w:sz="4" w:space="0" w:color="auto"/>
              <w:right w:val="single" w:sz="4" w:space="0" w:color="auto"/>
            </w:tcBorders>
            <w:shd w:val="clear" w:color="000000" w:fill="F2F2F2"/>
            <w:noWrap/>
            <w:vAlign w:val="center"/>
            <w:hideMark/>
          </w:tcPr>
          <w:p w14:paraId="32FB6BF5" w14:textId="77777777" w:rsidR="00FA14A4" w:rsidRPr="00914A52" w:rsidRDefault="00FA14A4" w:rsidP="00347614">
            <w:pPr>
              <w:widowControl w:val="0"/>
              <w:spacing w:after="0" w:line="240" w:lineRule="auto"/>
              <w:contextualSpacing/>
              <w:rPr>
                <w:rFonts w:ascii="Arial" w:eastAsia="Times New Roman" w:hAnsi="Arial" w:cs="Arial"/>
                <w:b/>
                <w:snapToGrid w:val="0"/>
                <w:color w:val="000000"/>
                <w:sz w:val="20"/>
                <w:szCs w:val="20"/>
              </w:rPr>
            </w:pPr>
            <w:r w:rsidRPr="00914A52">
              <w:rPr>
                <w:rFonts w:ascii="Arial" w:eastAsia="Times New Roman" w:hAnsi="Arial" w:cs="Arial"/>
                <w:b/>
                <w:snapToGrid w:val="0"/>
                <w:color w:val="000000"/>
                <w:sz w:val="20"/>
                <w:szCs w:val="20"/>
              </w:rPr>
              <w:t>Average Inventory Balances</w:t>
            </w:r>
          </w:p>
        </w:tc>
        <w:tc>
          <w:tcPr>
            <w:tcW w:w="1440" w:type="dxa"/>
            <w:tcBorders>
              <w:top w:val="single" w:sz="4" w:space="0" w:color="auto"/>
              <w:left w:val="nil"/>
              <w:bottom w:val="single" w:sz="4" w:space="0" w:color="auto"/>
              <w:right w:val="single" w:sz="4" w:space="0" w:color="auto"/>
            </w:tcBorders>
            <w:shd w:val="clear" w:color="000000" w:fill="D9D9D9"/>
            <w:noWrap/>
            <w:vAlign w:val="center"/>
            <w:hideMark/>
          </w:tcPr>
          <w:p w14:paraId="72695D09" w14:textId="77777777" w:rsidR="00FA14A4" w:rsidRPr="00914A52" w:rsidRDefault="00FA14A4" w:rsidP="00347614">
            <w:pPr>
              <w:widowControl w:val="0"/>
              <w:spacing w:after="0" w:line="240" w:lineRule="auto"/>
              <w:contextualSpacing/>
              <w:jc w:val="right"/>
              <w:rPr>
                <w:rFonts w:ascii="Arial" w:eastAsia="Times New Roman" w:hAnsi="Arial" w:cs="Arial"/>
                <w:snapToGrid w:val="0"/>
                <w:color w:val="000000"/>
                <w:sz w:val="20"/>
                <w:szCs w:val="20"/>
              </w:rPr>
            </w:pPr>
            <w:r w:rsidRPr="00914A52">
              <w:rPr>
                <w:rFonts w:ascii="Arial" w:eastAsia="Times New Roman" w:hAnsi="Arial" w:cs="Arial"/>
                <w:snapToGrid w:val="0"/>
                <w:color w:val="000000"/>
                <w:sz w:val="20"/>
                <w:szCs w:val="20"/>
              </w:rPr>
              <w:t xml:space="preserve"> $ 9,620,561 </w:t>
            </w:r>
          </w:p>
        </w:tc>
        <w:tc>
          <w:tcPr>
            <w:tcW w:w="1440" w:type="dxa"/>
            <w:tcBorders>
              <w:top w:val="single" w:sz="4" w:space="0" w:color="auto"/>
              <w:left w:val="single" w:sz="4" w:space="0" w:color="auto"/>
              <w:bottom w:val="single" w:sz="4" w:space="0" w:color="auto"/>
              <w:right w:val="single" w:sz="4" w:space="0" w:color="auto"/>
            </w:tcBorders>
            <w:shd w:val="clear" w:color="000000" w:fill="D9D9D9"/>
            <w:vAlign w:val="center"/>
          </w:tcPr>
          <w:p w14:paraId="4F230F1A" w14:textId="77777777" w:rsidR="00FA14A4" w:rsidRPr="00914A52" w:rsidRDefault="00FA14A4" w:rsidP="00347614">
            <w:pPr>
              <w:widowControl w:val="0"/>
              <w:spacing w:after="0" w:line="240" w:lineRule="auto"/>
              <w:contextualSpacing/>
              <w:jc w:val="right"/>
              <w:rPr>
                <w:rFonts w:ascii="Arial" w:eastAsia="Times New Roman" w:hAnsi="Arial" w:cs="Arial"/>
                <w:snapToGrid w:val="0"/>
                <w:color w:val="000000"/>
                <w:sz w:val="20"/>
                <w:szCs w:val="20"/>
              </w:rPr>
            </w:pPr>
            <w:r w:rsidRPr="00914A52">
              <w:rPr>
                <w:rFonts w:ascii="Arial" w:eastAsia="Times New Roman" w:hAnsi="Arial" w:cs="Arial"/>
                <w:snapToGrid w:val="0"/>
                <w:color w:val="000000"/>
                <w:sz w:val="20"/>
                <w:szCs w:val="20"/>
              </w:rPr>
              <w:t xml:space="preserve"> $ 12,101,891 </w:t>
            </w:r>
          </w:p>
        </w:tc>
        <w:tc>
          <w:tcPr>
            <w:tcW w:w="13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F073F2D" w14:textId="77777777" w:rsidR="00FA14A4" w:rsidRPr="00914A52" w:rsidRDefault="00FA14A4" w:rsidP="00347614">
            <w:pPr>
              <w:widowControl w:val="0"/>
              <w:spacing w:after="0" w:line="240" w:lineRule="auto"/>
              <w:contextualSpacing/>
              <w:jc w:val="right"/>
              <w:rPr>
                <w:rFonts w:ascii="Arial" w:eastAsia="Times New Roman" w:hAnsi="Arial" w:cs="Arial"/>
                <w:snapToGrid w:val="0"/>
                <w:color w:val="000000"/>
                <w:sz w:val="20"/>
                <w:szCs w:val="20"/>
              </w:rPr>
            </w:pPr>
            <w:r w:rsidRPr="00914A52">
              <w:rPr>
                <w:rFonts w:ascii="Arial" w:eastAsia="Times New Roman" w:hAnsi="Arial" w:cs="Arial"/>
                <w:snapToGrid w:val="0"/>
                <w:color w:val="000000"/>
                <w:sz w:val="20"/>
                <w:szCs w:val="20"/>
              </w:rPr>
              <w:t xml:space="preserve"> $ 1,490,553 </w:t>
            </w:r>
          </w:p>
        </w:tc>
        <w:tc>
          <w:tcPr>
            <w:tcW w:w="14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0F55F3" w14:textId="77777777" w:rsidR="00FA14A4" w:rsidRPr="00914A52" w:rsidRDefault="00FA14A4" w:rsidP="00347614">
            <w:pPr>
              <w:widowControl w:val="0"/>
              <w:spacing w:after="0" w:line="240" w:lineRule="auto"/>
              <w:contextualSpacing/>
              <w:jc w:val="right"/>
              <w:rPr>
                <w:rFonts w:ascii="Arial" w:eastAsia="Times New Roman" w:hAnsi="Arial" w:cs="Arial"/>
                <w:snapToGrid w:val="0"/>
                <w:color w:val="000000"/>
                <w:sz w:val="20"/>
                <w:szCs w:val="20"/>
              </w:rPr>
            </w:pPr>
            <w:r w:rsidRPr="00914A52">
              <w:rPr>
                <w:rFonts w:ascii="Arial" w:eastAsia="Times New Roman" w:hAnsi="Arial" w:cs="Arial"/>
                <w:snapToGrid w:val="0"/>
                <w:color w:val="000000"/>
                <w:sz w:val="20"/>
                <w:szCs w:val="20"/>
              </w:rPr>
              <w:t xml:space="preserve"> $ 14,238,307 </w:t>
            </w:r>
          </w:p>
        </w:tc>
        <w:tc>
          <w:tcPr>
            <w:tcW w:w="1449"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B611262" w14:textId="77777777" w:rsidR="00FA14A4" w:rsidRPr="00914A52" w:rsidRDefault="00FA14A4" w:rsidP="00347614">
            <w:pPr>
              <w:widowControl w:val="0"/>
              <w:spacing w:after="0" w:line="240" w:lineRule="auto"/>
              <w:contextualSpacing/>
              <w:jc w:val="right"/>
              <w:rPr>
                <w:rFonts w:ascii="Arial" w:eastAsia="Times New Roman" w:hAnsi="Arial" w:cs="Arial"/>
                <w:b/>
                <w:bCs/>
                <w:snapToGrid w:val="0"/>
                <w:color w:val="000000"/>
                <w:sz w:val="20"/>
                <w:szCs w:val="20"/>
              </w:rPr>
            </w:pPr>
            <w:r w:rsidRPr="00914A52">
              <w:rPr>
                <w:rFonts w:ascii="Arial" w:eastAsia="Times New Roman" w:hAnsi="Arial" w:cs="Arial"/>
                <w:b/>
                <w:bCs/>
                <w:snapToGrid w:val="0"/>
                <w:color w:val="000000"/>
                <w:sz w:val="20"/>
                <w:szCs w:val="20"/>
              </w:rPr>
              <w:t xml:space="preserve"> $ 37,451,312 </w:t>
            </w:r>
          </w:p>
        </w:tc>
      </w:tr>
      <w:tr w:rsidR="00FA14A4" w:rsidRPr="00914A52" w14:paraId="2DBCBCEE" w14:textId="77777777" w:rsidTr="00347614">
        <w:trPr>
          <w:trHeight w:val="354"/>
          <w:jc w:val="center"/>
        </w:trPr>
        <w:tc>
          <w:tcPr>
            <w:tcW w:w="2250" w:type="dxa"/>
            <w:tcBorders>
              <w:top w:val="nil"/>
              <w:left w:val="single" w:sz="4" w:space="0" w:color="auto"/>
              <w:bottom w:val="single" w:sz="4" w:space="0" w:color="auto"/>
              <w:right w:val="single" w:sz="4" w:space="0" w:color="auto"/>
            </w:tcBorders>
            <w:shd w:val="clear" w:color="000000" w:fill="FCD5B4"/>
            <w:noWrap/>
            <w:vAlign w:val="center"/>
            <w:hideMark/>
          </w:tcPr>
          <w:p w14:paraId="04206EC4" w14:textId="77777777" w:rsidR="00FA14A4" w:rsidRPr="00914A52" w:rsidRDefault="00FA14A4" w:rsidP="00347614">
            <w:pPr>
              <w:widowControl w:val="0"/>
              <w:spacing w:after="0" w:line="240" w:lineRule="auto"/>
              <w:contextualSpacing/>
              <w:rPr>
                <w:rFonts w:ascii="Arial" w:eastAsia="Times New Roman" w:hAnsi="Arial" w:cs="Arial"/>
                <w:b/>
                <w:snapToGrid w:val="0"/>
                <w:color w:val="000000"/>
                <w:sz w:val="20"/>
                <w:szCs w:val="20"/>
              </w:rPr>
            </w:pPr>
            <w:r w:rsidRPr="00914A52">
              <w:rPr>
                <w:rFonts w:ascii="Arial" w:eastAsia="Times New Roman" w:hAnsi="Arial" w:cs="Arial"/>
                <w:b/>
                <w:snapToGrid w:val="0"/>
                <w:color w:val="000000"/>
                <w:sz w:val="20"/>
                <w:szCs w:val="20"/>
              </w:rPr>
              <w:t>Inventory Turnover Levels</w:t>
            </w:r>
          </w:p>
        </w:tc>
        <w:tc>
          <w:tcPr>
            <w:tcW w:w="1440" w:type="dxa"/>
            <w:tcBorders>
              <w:top w:val="nil"/>
              <w:left w:val="nil"/>
              <w:bottom w:val="single" w:sz="4" w:space="0" w:color="auto"/>
              <w:right w:val="single" w:sz="4" w:space="0" w:color="auto"/>
            </w:tcBorders>
            <w:shd w:val="clear" w:color="000000" w:fill="FABF8F"/>
            <w:noWrap/>
            <w:vAlign w:val="center"/>
            <w:hideMark/>
          </w:tcPr>
          <w:p w14:paraId="6B46127E" w14:textId="77777777" w:rsidR="00FA14A4" w:rsidRPr="00914A52" w:rsidRDefault="00FA14A4" w:rsidP="00347614">
            <w:pPr>
              <w:widowControl w:val="0"/>
              <w:spacing w:after="0" w:line="240" w:lineRule="auto"/>
              <w:contextualSpacing/>
              <w:jc w:val="center"/>
              <w:rPr>
                <w:rFonts w:ascii="Arial" w:eastAsia="Times New Roman" w:hAnsi="Arial" w:cs="Arial"/>
                <w:b/>
                <w:snapToGrid w:val="0"/>
                <w:color w:val="000000"/>
                <w:sz w:val="20"/>
                <w:szCs w:val="20"/>
              </w:rPr>
            </w:pPr>
            <w:r w:rsidRPr="00914A52">
              <w:rPr>
                <w:rFonts w:ascii="Arial" w:eastAsia="Times New Roman" w:hAnsi="Arial" w:cs="Arial"/>
                <w:b/>
                <w:snapToGrid w:val="0"/>
                <w:color w:val="000000"/>
                <w:sz w:val="20"/>
                <w:szCs w:val="20"/>
              </w:rPr>
              <w:t>1.12</w:t>
            </w:r>
          </w:p>
        </w:tc>
        <w:tc>
          <w:tcPr>
            <w:tcW w:w="1440" w:type="dxa"/>
            <w:tcBorders>
              <w:top w:val="nil"/>
              <w:left w:val="nil"/>
              <w:bottom w:val="single" w:sz="4" w:space="0" w:color="auto"/>
              <w:right w:val="single" w:sz="4" w:space="0" w:color="auto"/>
            </w:tcBorders>
            <w:shd w:val="clear" w:color="000000" w:fill="FABF8F"/>
            <w:vAlign w:val="center"/>
          </w:tcPr>
          <w:p w14:paraId="7A405BF0" w14:textId="77777777" w:rsidR="00FA14A4" w:rsidRPr="00914A52" w:rsidRDefault="00FA14A4" w:rsidP="00347614">
            <w:pPr>
              <w:widowControl w:val="0"/>
              <w:spacing w:after="0" w:line="240" w:lineRule="auto"/>
              <w:contextualSpacing/>
              <w:jc w:val="center"/>
              <w:rPr>
                <w:rFonts w:ascii="Arial" w:eastAsia="Times New Roman" w:hAnsi="Arial" w:cs="Arial"/>
                <w:b/>
                <w:snapToGrid w:val="0"/>
                <w:color w:val="000000"/>
                <w:sz w:val="20"/>
                <w:szCs w:val="20"/>
              </w:rPr>
            </w:pPr>
            <w:r w:rsidRPr="00914A52">
              <w:rPr>
                <w:rFonts w:ascii="Arial" w:eastAsia="Times New Roman" w:hAnsi="Arial" w:cs="Arial"/>
                <w:b/>
                <w:snapToGrid w:val="0"/>
                <w:color w:val="000000"/>
                <w:sz w:val="20"/>
                <w:szCs w:val="20"/>
              </w:rPr>
              <w:t>0.93</w:t>
            </w:r>
          </w:p>
        </w:tc>
        <w:tc>
          <w:tcPr>
            <w:tcW w:w="1377" w:type="dxa"/>
            <w:tcBorders>
              <w:top w:val="nil"/>
              <w:left w:val="single" w:sz="4" w:space="0" w:color="auto"/>
              <w:bottom w:val="single" w:sz="4" w:space="0" w:color="auto"/>
              <w:right w:val="single" w:sz="4" w:space="0" w:color="auto"/>
            </w:tcBorders>
            <w:shd w:val="clear" w:color="000000" w:fill="FABF8F"/>
            <w:noWrap/>
            <w:vAlign w:val="center"/>
            <w:hideMark/>
          </w:tcPr>
          <w:p w14:paraId="1214033F" w14:textId="77777777" w:rsidR="00FA14A4" w:rsidRPr="00914A52" w:rsidRDefault="00FA14A4" w:rsidP="00347614">
            <w:pPr>
              <w:widowControl w:val="0"/>
              <w:spacing w:after="0" w:line="240" w:lineRule="auto"/>
              <w:contextualSpacing/>
              <w:jc w:val="center"/>
              <w:rPr>
                <w:rFonts w:ascii="Arial" w:eastAsia="Times New Roman" w:hAnsi="Arial" w:cs="Arial"/>
                <w:b/>
                <w:snapToGrid w:val="0"/>
                <w:color w:val="000000"/>
                <w:sz w:val="20"/>
                <w:szCs w:val="20"/>
              </w:rPr>
            </w:pPr>
            <w:r w:rsidRPr="00914A52">
              <w:rPr>
                <w:rFonts w:ascii="Arial" w:eastAsia="Times New Roman" w:hAnsi="Arial" w:cs="Arial"/>
                <w:b/>
                <w:snapToGrid w:val="0"/>
                <w:color w:val="000000"/>
                <w:sz w:val="20"/>
                <w:szCs w:val="20"/>
              </w:rPr>
              <w:t>1.79</w:t>
            </w:r>
          </w:p>
        </w:tc>
        <w:tc>
          <w:tcPr>
            <w:tcW w:w="1449" w:type="dxa"/>
            <w:tcBorders>
              <w:top w:val="nil"/>
              <w:left w:val="nil"/>
              <w:bottom w:val="single" w:sz="4" w:space="0" w:color="auto"/>
              <w:right w:val="single" w:sz="4" w:space="0" w:color="auto"/>
            </w:tcBorders>
            <w:shd w:val="clear" w:color="000000" w:fill="FABF8F"/>
            <w:noWrap/>
            <w:vAlign w:val="center"/>
            <w:hideMark/>
          </w:tcPr>
          <w:p w14:paraId="24CD4182" w14:textId="77777777" w:rsidR="00FA14A4" w:rsidRPr="00914A52" w:rsidRDefault="00FA14A4" w:rsidP="00347614">
            <w:pPr>
              <w:widowControl w:val="0"/>
              <w:spacing w:after="0" w:line="240" w:lineRule="auto"/>
              <w:contextualSpacing/>
              <w:jc w:val="center"/>
              <w:rPr>
                <w:rFonts w:ascii="Arial" w:eastAsia="Times New Roman" w:hAnsi="Arial" w:cs="Arial"/>
                <w:b/>
                <w:snapToGrid w:val="0"/>
                <w:color w:val="000000"/>
                <w:sz w:val="20"/>
                <w:szCs w:val="20"/>
              </w:rPr>
            </w:pPr>
            <w:r w:rsidRPr="00914A52">
              <w:rPr>
                <w:rFonts w:ascii="Arial" w:eastAsia="Times New Roman" w:hAnsi="Arial" w:cs="Arial"/>
                <w:b/>
                <w:snapToGrid w:val="0"/>
                <w:color w:val="000000"/>
                <w:sz w:val="20"/>
                <w:szCs w:val="20"/>
              </w:rPr>
              <w:t>0.82</w:t>
            </w:r>
          </w:p>
        </w:tc>
        <w:tc>
          <w:tcPr>
            <w:tcW w:w="1449" w:type="dxa"/>
            <w:tcBorders>
              <w:top w:val="nil"/>
              <w:left w:val="single" w:sz="4" w:space="0" w:color="auto"/>
              <w:bottom w:val="single" w:sz="4" w:space="0" w:color="auto"/>
              <w:right w:val="single" w:sz="4" w:space="0" w:color="auto"/>
            </w:tcBorders>
            <w:shd w:val="clear" w:color="000000" w:fill="E26B0A"/>
            <w:noWrap/>
            <w:vAlign w:val="center"/>
            <w:hideMark/>
          </w:tcPr>
          <w:p w14:paraId="7156E5D9" w14:textId="77777777" w:rsidR="00FA14A4" w:rsidRPr="00914A52" w:rsidRDefault="00FA14A4" w:rsidP="00347614">
            <w:pPr>
              <w:widowControl w:val="0"/>
              <w:spacing w:after="0" w:line="240" w:lineRule="auto"/>
              <w:contextualSpacing/>
              <w:jc w:val="center"/>
              <w:rPr>
                <w:rFonts w:ascii="Arial" w:eastAsia="Times New Roman" w:hAnsi="Arial" w:cs="Arial"/>
                <w:b/>
                <w:bCs/>
                <w:snapToGrid w:val="0"/>
                <w:color w:val="000000"/>
                <w:sz w:val="20"/>
                <w:szCs w:val="20"/>
              </w:rPr>
            </w:pPr>
            <w:r w:rsidRPr="00914A52">
              <w:rPr>
                <w:rFonts w:ascii="Arial" w:eastAsia="Times New Roman" w:hAnsi="Arial" w:cs="Arial"/>
                <w:b/>
                <w:bCs/>
                <w:snapToGrid w:val="0"/>
                <w:color w:val="000000"/>
                <w:sz w:val="20"/>
                <w:szCs w:val="20"/>
              </w:rPr>
              <w:t>0.97</w:t>
            </w:r>
          </w:p>
        </w:tc>
      </w:tr>
    </w:tbl>
    <w:p w14:paraId="3CA8BD1E" w14:textId="77777777" w:rsidR="00FA14A4" w:rsidRPr="00B60558" w:rsidRDefault="00FA14A4" w:rsidP="00FA14A4">
      <w:pPr>
        <w:widowControl w:val="0"/>
        <w:spacing w:after="0" w:line="240" w:lineRule="auto"/>
        <w:contextualSpacing/>
        <w:rPr>
          <w:rFonts w:ascii="Arial" w:eastAsia="Times New Roman" w:hAnsi="Arial" w:cs="Arial"/>
          <w:snapToGrid w:val="0"/>
          <w:sz w:val="18"/>
          <w:szCs w:val="18"/>
        </w:rPr>
      </w:pPr>
      <w:r w:rsidRPr="00B60558">
        <w:rPr>
          <w:rFonts w:ascii="Arial" w:eastAsia="Times New Roman" w:hAnsi="Arial" w:cs="Arial"/>
          <w:snapToGrid w:val="0"/>
          <w:sz w:val="18"/>
          <w:szCs w:val="18"/>
        </w:rPr>
        <w:t xml:space="preserve">Source: </w:t>
      </w:r>
      <w:r>
        <w:rPr>
          <w:rFonts w:ascii="Arial" w:eastAsia="Times New Roman" w:hAnsi="Arial" w:cs="Arial"/>
          <w:snapToGrid w:val="0"/>
          <w:sz w:val="18"/>
          <w:szCs w:val="18"/>
        </w:rPr>
        <w:t xml:space="preserve">Exhibit IX-4 from the </w:t>
      </w:r>
      <w:r w:rsidRPr="00B60558">
        <w:rPr>
          <w:rFonts w:ascii="Arial" w:eastAsia="Times New Roman" w:hAnsi="Arial" w:cs="Arial"/>
          <w:snapToGrid w:val="0"/>
          <w:sz w:val="18"/>
          <w:szCs w:val="18"/>
        </w:rPr>
        <w:t xml:space="preserve">2014 Focused Management and Operations Audit of </w:t>
      </w:r>
      <w:r w:rsidR="00DC3D9B">
        <w:rPr>
          <w:rFonts w:ascii="Arial" w:eastAsia="Times New Roman" w:hAnsi="Arial" w:cs="Arial"/>
          <w:snapToGrid w:val="0"/>
          <w:sz w:val="18"/>
          <w:szCs w:val="18"/>
        </w:rPr>
        <w:t>FE-PA companies</w:t>
      </w:r>
    </w:p>
    <w:p w14:paraId="306C0CC1" w14:textId="77777777" w:rsidR="00FA14A4" w:rsidRDefault="00FA14A4" w:rsidP="00FA14A4">
      <w:pPr>
        <w:widowControl w:val="0"/>
        <w:spacing w:after="0" w:line="240" w:lineRule="auto"/>
        <w:ind w:firstLine="720"/>
        <w:contextualSpacing/>
        <w:rPr>
          <w:rFonts w:ascii="Arial" w:eastAsia="Times New Roman" w:hAnsi="Arial" w:cs="Arial"/>
          <w:snapToGrid w:val="0"/>
          <w:sz w:val="24"/>
          <w:szCs w:val="20"/>
        </w:rPr>
      </w:pPr>
    </w:p>
    <w:p w14:paraId="3C320E52" w14:textId="77777777" w:rsidR="00FA14A4" w:rsidRDefault="00FA14A4" w:rsidP="00FA14A4">
      <w:pPr>
        <w:widowControl w:val="0"/>
        <w:spacing w:after="0" w:line="240" w:lineRule="auto"/>
        <w:ind w:firstLine="720"/>
        <w:contextualSpacing/>
        <w:rPr>
          <w:rFonts w:ascii="Arial" w:eastAsia="Times New Roman" w:hAnsi="Arial" w:cs="Arial"/>
          <w:snapToGrid w:val="0"/>
          <w:sz w:val="24"/>
          <w:szCs w:val="20"/>
        </w:rPr>
      </w:pPr>
    </w:p>
    <w:p w14:paraId="675C4132" w14:textId="77777777" w:rsidR="00FA14A4" w:rsidRPr="00914A52" w:rsidRDefault="00FA14A4" w:rsidP="00FA14A4">
      <w:pPr>
        <w:widowControl w:val="0"/>
        <w:spacing w:after="0" w:line="240" w:lineRule="auto"/>
        <w:ind w:firstLine="720"/>
        <w:contextualSpacing/>
        <w:rPr>
          <w:rFonts w:ascii="Arial" w:eastAsia="Times New Roman" w:hAnsi="Arial" w:cs="Arial"/>
          <w:snapToGrid w:val="0"/>
          <w:sz w:val="24"/>
          <w:szCs w:val="20"/>
        </w:rPr>
      </w:pPr>
      <w:r>
        <w:rPr>
          <w:rFonts w:ascii="Arial" w:eastAsia="Times New Roman" w:hAnsi="Arial" w:cs="Arial"/>
          <w:snapToGrid w:val="0"/>
          <w:sz w:val="24"/>
          <w:szCs w:val="20"/>
        </w:rPr>
        <w:t>As shown in Exhibit IX-1, i</w:t>
      </w:r>
      <w:r w:rsidRPr="00914A52">
        <w:rPr>
          <w:rFonts w:ascii="Arial" w:eastAsia="Times New Roman" w:hAnsi="Arial" w:cs="Arial"/>
          <w:snapToGrid w:val="0"/>
          <w:sz w:val="24"/>
          <w:szCs w:val="20"/>
        </w:rPr>
        <w:t xml:space="preserve">nventory turnover for each of the </w:t>
      </w:r>
      <w:r w:rsidR="00DC3D9B">
        <w:rPr>
          <w:rFonts w:ascii="Arial" w:eastAsia="Times New Roman" w:hAnsi="Arial" w:cs="Arial"/>
          <w:snapToGrid w:val="0"/>
          <w:sz w:val="24"/>
          <w:szCs w:val="20"/>
        </w:rPr>
        <w:t>FE-PA companies</w:t>
      </w:r>
      <w:r w:rsidRPr="00914A52">
        <w:rPr>
          <w:rFonts w:ascii="Arial" w:eastAsia="Times New Roman" w:hAnsi="Arial" w:cs="Arial"/>
          <w:snapToGrid w:val="0"/>
          <w:sz w:val="24"/>
          <w:szCs w:val="20"/>
        </w:rPr>
        <w:t xml:space="preserve"> ranged from 0.82 to 1.79 for 2013, and 0.97 collectively</w:t>
      </w:r>
      <w:r>
        <w:rPr>
          <w:rFonts w:ascii="Arial" w:eastAsia="Times New Roman" w:hAnsi="Arial" w:cs="Arial"/>
          <w:snapToGrid w:val="0"/>
          <w:sz w:val="24"/>
          <w:szCs w:val="20"/>
        </w:rPr>
        <w:t>.</w:t>
      </w:r>
      <w:r w:rsidRPr="00914A52">
        <w:rPr>
          <w:rFonts w:ascii="Arial" w:eastAsia="Times New Roman" w:hAnsi="Arial" w:cs="Arial"/>
          <w:snapToGrid w:val="0"/>
          <w:sz w:val="24"/>
          <w:szCs w:val="20"/>
        </w:rPr>
        <w:t xml:space="preserve"> </w:t>
      </w:r>
      <w:r>
        <w:rPr>
          <w:rFonts w:ascii="Arial" w:eastAsia="Times New Roman" w:hAnsi="Arial" w:cs="Arial"/>
          <w:snapToGrid w:val="0"/>
          <w:sz w:val="24"/>
          <w:szCs w:val="20"/>
        </w:rPr>
        <w:t xml:space="preserve">  </w:t>
      </w:r>
      <w:r w:rsidR="004919C8">
        <w:rPr>
          <w:rFonts w:ascii="Arial" w:eastAsia="Times New Roman" w:hAnsi="Arial" w:cs="Arial"/>
          <w:snapToGrid w:val="0"/>
          <w:sz w:val="24"/>
          <w:szCs w:val="20"/>
        </w:rPr>
        <w:t>At this time, o</w:t>
      </w:r>
      <w:r w:rsidRPr="00914A52">
        <w:rPr>
          <w:rFonts w:ascii="Arial" w:eastAsia="Times New Roman" w:hAnsi="Arial" w:cs="Arial"/>
          <w:snapToGrid w:val="0"/>
          <w:sz w:val="24"/>
          <w:szCs w:val="20"/>
        </w:rPr>
        <w:t xml:space="preserve">ther utilities were achieving turnover levels </w:t>
      </w:r>
      <w:r>
        <w:rPr>
          <w:rFonts w:ascii="Arial" w:eastAsia="Times New Roman" w:hAnsi="Arial" w:cs="Arial"/>
          <w:snapToGrid w:val="0"/>
          <w:sz w:val="24"/>
          <w:szCs w:val="20"/>
        </w:rPr>
        <w:t>upward of</w:t>
      </w:r>
      <w:r w:rsidRPr="00914A52">
        <w:rPr>
          <w:rFonts w:ascii="Arial" w:eastAsia="Times New Roman" w:hAnsi="Arial" w:cs="Arial"/>
          <w:snapToGrid w:val="0"/>
          <w:sz w:val="24"/>
          <w:szCs w:val="20"/>
        </w:rPr>
        <w:t xml:space="preserve"> 2.0 turns.</w:t>
      </w:r>
      <w:r>
        <w:rPr>
          <w:rFonts w:ascii="Arial" w:eastAsia="Times New Roman" w:hAnsi="Arial" w:cs="Arial"/>
          <w:snapToGrid w:val="0"/>
          <w:sz w:val="24"/>
          <w:szCs w:val="20"/>
        </w:rPr>
        <w:t xml:space="preserve">  The auditors believed the </w:t>
      </w:r>
      <w:r w:rsidR="00DC3D9B">
        <w:rPr>
          <w:rFonts w:ascii="Arial" w:eastAsia="Times New Roman" w:hAnsi="Arial" w:cs="Arial"/>
          <w:snapToGrid w:val="0"/>
          <w:sz w:val="24"/>
          <w:szCs w:val="20"/>
        </w:rPr>
        <w:t>FE-PA companies</w:t>
      </w:r>
      <w:r>
        <w:rPr>
          <w:rFonts w:ascii="Arial" w:eastAsia="Times New Roman" w:hAnsi="Arial" w:cs="Arial"/>
          <w:snapToGrid w:val="0"/>
          <w:sz w:val="24"/>
          <w:szCs w:val="20"/>
        </w:rPr>
        <w:t xml:space="preserve"> could </w:t>
      </w:r>
      <w:r w:rsidR="004919C8">
        <w:rPr>
          <w:rFonts w:ascii="Arial" w:eastAsia="Times New Roman" w:hAnsi="Arial" w:cs="Arial"/>
          <w:snapToGrid w:val="0"/>
          <w:sz w:val="24"/>
          <w:szCs w:val="20"/>
        </w:rPr>
        <w:t>reach</w:t>
      </w:r>
      <w:r>
        <w:rPr>
          <w:rFonts w:ascii="Arial" w:eastAsia="Times New Roman" w:hAnsi="Arial" w:cs="Arial"/>
          <w:snapToGrid w:val="0"/>
          <w:sz w:val="24"/>
          <w:szCs w:val="20"/>
        </w:rPr>
        <w:t xml:space="preserve"> similar inventory turnover performance by focusing on eliminating inventory </w:t>
      </w:r>
      <w:r w:rsidR="003B739F">
        <w:rPr>
          <w:rFonts w:ascii="Arial" w:eastAsia="Times New Roman" w:hAnsi="Arial" w:cs="Arial"/>
          <w:snapToGrid w:val="0"/>
          <w:sz w:val="24"/>
          <w:szCs w:val="20"/>
        </w:rPr>
        <w:t xml:space="preserve">balance </w:t>
      </w:r>
      <w:r>
        <w:rPr>
          <w:rFonts w:ascii="Arial" w:eastAsia="Times New Roman" w:hAnsi="Arial" w:cs="Arial"/>
          <w:snapToGrid w:val="0"/>
          <w:sz w:val="24"/>
          <w:szCs w:val="20"/>
        </w:rPr>
        <w:t xml:space="preserve">on </w:t>
      </w:r>
      <w:r w:rsidR="003B739F">
        <w:rPr>
          <w:rFonts w:ascii="Arial" w:eastAsia="Times New Roman" w:hAnsi="Arial" w:cs="Arial"/>
          <w:snapToGrid w:val="0"/>
          <w:sz w:val="24"/>
          <w:szCs w:val="20"/>
        </w:rPr>
        <w:t>hand</w:t>
      </w:r>
      <w:r>
        <w:rPr>
          <w:rFonts w:ascii="Arial" w:eastAsia="Times New Roman" w:hAnsi="Arial" w:cs="Arial"/>
          <w:snapToGrid w:val="0"/>
          <w:sz w:val="24"/>
          <w:szCs w:val="20"/>
        </w:rPr>
        <w:t xml:space="preserve"> and establishing inventory goals based on a </w:t>
      </w:r>
      <w:r w:rsidR="004919C8">
        <w:rPr>
          <w:rFonts w:ascii="Arial" w:eastAsia="Times New Roman" w:hAnsi="Arial" w:cs="Arial"/>
          <w:snapToGrid w:val="0"/>
          <w:sz w:val="24"/>
          <w:szCs w:val="20"/>
        </w:rPr>
        <w:t xml:space="preserve">peer </w:t>
      </w:r>
      <w:r>
        <w:rPr>
          <w:rFonts w:ascii="Arial" w:eastAsia="Times New Roman" w:hAnsi="Arial" w:cs="Arial"/>
          <w:snapToGrid w:val="0"/>
          <w:sz w:val="24"/>
          <w:szCs w:val="20"/>
        </w:rPr>
        <w:t xml:space="preserve">review.  By achieving similar inventory turnover levels, the auditors estimated that the </w:t>
      </w:r>
      <w:r w:rsidR="00DC3D9B">
        <w:rPr>
          <w:rFonts w:ascii="Arial" w:eastAsia="Times New Roman" w:hAnsi="Arial" w:cs="Arial"/>
          <w:snapToGrid w:val="0"/>
          <w:sz w:val="24"/>
          <w:szCs w:val="20"/>
        </w:rPr>
        <w:t>companies</w:t>
      </w:r>
      <w:r>
        <w:rPr>
          <w:rFonts w:ascii="Arial" w:eastAsia="Times New Roman" w:hAnsi="Arial" w:cs="Arial"/>
          <w:snapToGrid w:val="0"/>
          <w:sz w:val="24"/>
          <w:szCs w:val="20"/>
        </w:rPr>
        <w:t xml:space="preserve"> could realize a total one-time savings in inventory reduction of approximately $19.2 million and a total annual savings of approximately $1.9 million in reduced carrying costs.</w:t>
      </w:r>
    </w:p>
    <w:p w14:paraId="593DFA19" w14:textId="77777777" w:rsidR="00FA14A4" w:rsidRDefault="00FA14A4" w:rsidP="00FA14A4">
      <w:pPr>
        <w:spacing w:after="0" w:line="240" w:lineRule="auto"/>
        <w:contextualSpacing/>
        <w:rPr>
          <w:rFonts w:ascii="Arial" w:eastAsia="Times New Roman" w:hAnsi="Arial" w:cs="Times New Roman"/>
          <w:sz w:val="24"/>
          <w:szCs w:val="24"/>
          <w:highlight w:val="yellow"/>
        </w:rPr>
      </w:pPr>
    </w:p>
    <w:p w14:paraId="39B0703E" w14:textId="77777777" w:rsidR="00FA14A4" w:rsidRPr="00CC6EA2" w:rsidRDefault="00FA14A4" w:rsidP="00FA14A4">
      <w:pPr>
        <w:spacing w:after="0" w:line="240" w:lineRule="auto"/>
        <w:contextualSpacing/>
        <w:rPr>
          <w:rFonts w:ascii="Arial" w:eastAsia="Times New Roman" w:hAnsi="Arial" w:cs="Times New Roman"/>
          <w:sz w:val="24"/>
          <w:szCs w:val="24"/>
        </w:rPr>
      </w:pPr>
      <w:r w:rsidRPr="00CC6EA2">
        <w:rPr>
          <w:rFonts w:ascii="Arial" w:eastAsia="Times New Roman" w:hAnsi="Arial" w:cs="Times New Roman"/>
          <w:b/>
          <w:sz w:val="24"/>
          <w:szCs w:val="24"/>
          <w:u w:val="single"/>
        </w:rPr>
        <w:t>Prior Recommendation</w:t>
      </w:r>
      <w:r w:rsidRPr="00CC6EA2">
        <w:rPr>
          <w:rFonts w:ascii="Arial" w:eastAsia="Times New Roman" w:hAnsi="Arial" w:cs="Times New Roman"/>
          <w:sz w:val="24"/>
          <w:szCs w:val="24"/>
        </w:rPr>
        <w:t xml:space="preserve"> – </w:t>
      </w:r>
      <w:r w:rsidRPr="001E3BEF">
        <w:rPr>
          <w:rFonts w:ascii="Arial" w:eastAsia="Times New Roman" w:hAnsi="Arial" w:cs="Arial"/>
          <w:snapToGrid w:val="0"/>
          <w:sz w:val="24"/>
          <w:szCs w:val="20"/>
        </w:rPr>
        <w:t>Establish annual inventory turnover goals to a minimum of 2.0 turns and strive to achieve improved inventory levels.</w:t>
      </w:r>
    </w:p>
    <w:p w14:paraId="40CEC839" w14:textId="77777777" w:rsidR="00FA14A4" w:rsidRPr="00CC6EA2" w:rsidRDefault="00FA14A4" w:rsidP="00FA14A4">
      <w:pPr>
        <w:spacing w:after="0" w:line="240" w:lineRule="auto"/>
        <w:contextualSpacing/>
        <w:rPr>
          <w:rFonts w:ascii="Arial" w:eastAsia="Times New Roman" w:hAnsi="Arial" w:cs="Times New Roman"/>
          <w:sz w:val="24"/>
          <w:szCs w:val="24"/>
          <w:highlight w:val="yellow"/>
        </w:rPr>
      </w:pPr>
    </w:p>
    <w:p w14:paraId="57E41A68" w14:textId="77777777" w:rsidR="00FA14A4" w:rsidRPr="00CC6EA2" w:rsidRDefault="00FA14A4" w:rsidP="00FA14A4">
      <w:pPr>
        <w:spacing w:after="0" w:line="240" w:lineRule="auto"/>
        <w:contextualSpacing/>
        <w:rPr>
          <w:rFonts w:ascii="Arial" w:eastAsia="Times New Roman" w:hAnsi="Arial" w:cs="Arial"/>
          <w:sz w:val="24"/>
          <w:szCs w:val="24"/>
        </w:rPr>
      </w:pPr>
      <w:r w:rsidRPr="00CC6EA2">
        <w:rPr>
          <w:rFonts w:ascii="Arial" w:eastAsia="Times New Roman" w:hAnsi="Arial" w:cs="Times New Roman"/>
          <w:b/>
          <w:sz w:val="24"/>
          <w:szCs w:val="24"/>
          <w:u w:val="single"/>
        </w:rPr>
        <w:t>Follow-up Finding and Conclusion</w:t>
      </w:r>
      <w:r w:rsidR="00F65A25" w:rsidRPr="00F65A25">
        <w:rPr>
          <w:rFonts w:ascii="Arial" w:eastAsia="Times New Roman" w:hAnsi="Arial" w:cs="Times New Roman"/>
          <w:b/>
          <w:sz w:val="24"/>
          <w:szCs w:val="24"/>
          <w:u w:val="single"/>
        </w:rPr>
        <w:t xml:space="preserve"> </w:t>
      </w:r>
      <w:r w:rsidR="00F65A25">
        <w:rPr>
          <w:rFonts w:ascii="Arial" w:eastAsia="Times New Roman" w:hAnsi="Arial" w:cs="Times New Roman"/>
          <w:b/>
          <w:sz w:val="24"/>
          <w:szCs w:val="24"/>
          <w:u w:val="single"/>
        </w:rPr>
        <w:t>No. IX</w:t>
      </w:r>
      <w:r w:rsidR="00F65A25" w:rsidRPr="00B146D6">
        <w:rPr>
          <w:rFonts w:ascii="Arial" w:eastAsia="Times New Roman" w:hAnsi="Arial" w:cs="Times New Roman"/>
          <w:b/>
          <w:sz w:val="24"/>
          <w:szCs w:val="24"/>
          <w:u w:val="single"/>
        </w:rPr>
        <w:t>-</w:t>
      </w:r>
      <w:r w:rsidR="00F65A25">
        <w:rPr>
          <w:rFonts w:ascii="Arial" w:eastAsia="Times New Roman" w:hAnsi="Arial" w:cs="Times New Roman"/>
          <w:b/>
          <w:sz w:val="24"/>
          <w:szCs w:val="24"/>
          <w:u w:val="single"/>
        </w:rPr>
        <w:t>1</w:t>
      </w:r>
      <w:r w:rsidRPr="00CC6EA2">
        <w:rPr>
          <w:rFonts w:ascii="Arial" w:eastAsia="Times New Roman" w:hAnsi="Arial" w:cs="Times New Roman"/>
          <w:b/>
          <w:sz w:val="24"/>
          <w:szCs w:val="24"/>
        </w:rPr>
        <w:t xml:space="preserve"> –</w:t>
      </w:r>
      <w:r w:rsidRPr="00CC6EA2">
        <w:rPr>
          <w:rFonts w:ascii="Arial" w:eastAsia="Times New Roman" w:hAnsi="Arial" w:cs="Arial"/>
          <w:b/>
          <w:snapToGrid w:val="0"/>
          <w:sz w:val="24"/>
          <w:szCs w:val="24"/>
        </w:rPr>
        <w:t xml:space="preserve"> </w:t>
      </w:r>
      <w:r w:rsidRPr="00E33F78">
        <w:rPr>
          <w:rFonts w:ascii="Arial" w:eastAsia="Times New Roman" w:hAnsi="Arial" w:cs="Arial"/>
          <w:b/>
          <w:snapToGrid w:val="0"/>
          <w:sz w:val="24"/>
          <w:szCs w:val="20"/>
        </w:rPr>
        <w:t xml:space="preserve">Inventory turnover for </w:t>
      </w:r>
      <w:r>
        <w:rPr>
          <w:rFonts w:ascii="Arial" w:eastAsia="Times New Roman" w:hAnsi="Arial" w:cs="Arial"/>
          <w:b/>
          <w:snapToGrid w:val="0"/>
          <w:sz w:val="24"/>
          <w:szCs w:val="20"/>
        </w:rPr>
        <w:t xml:space="preserve">the </w:t>
      </w:r>
      <w:r w:rsidR="00DC3D9B">
        <w:rPr>
          <w:rFonts w:ascii="Arial" w:eastAsia="Times New Roman" w:hAnsi="Arial" w:cs="Arial"/>
          <w:b/>
          <w:snapToGrid w:val="0"/>
          <w:sz w:val="24"/>
          <w:szCs w:val="20"/>
        </w:rPr>
        <w:t>FE-PA companies</w:t>
      </w:r>
      <w:r w:rsidRPr="00E33F78">
        <w:rPr>
          <w:rFonts w:ascii="Arial" w:eastAsia="Times New Roman" w:hAnsi="Arial" w:cs="Arial"/>
          <w:b/>
          <w:snapToGrid w:val="0"/>
          <w:sz w:val="24"/>
          <w:szCs w:val="20"/>
        </w:rPr>
        <w:t xml:space="preserve"> has been </w:t>
      </w:r>
      <w:r w:rsidR="004919C8">
        <w:rPr>
          <w:rFonts w:ascii="Arial" w:eastAsia="Times New Roman" w:hAnsi="Arial" w:cs="Arial"/>
          <w:b/>
          <w:snapToGrid w:val="0"/>
          <w:sz w:val="24"/>
          <w:szCs w:val="20"/>
        </w:rPr>
        <w:t>improving</w:t>
      </w:r>
      <w:r w:rsidRPr="00E33F78">
        <w:rPr>
          <w:rFonts w:ascii="Arial" w:eastAsia="Times New Roman" w:hAnsi="Arial" w:cs="Arial"/>
          <w:b/>
          <w:snapToGrid w:val="0"/>
          <w:sz w:val="24"/>
          <w:szCs w:val="20"/>
        </w:rPr>
        <w:t>, and FirstEnergy established turnover goals based on a survey of its peers.</w:t>
      </w:r>
    </w:p>
    <w:p w14:paraId="64D5F09B" w14:textId="77777777" w:rsidR="00FA14A4" w:rsidRDefault="00FA14A4" w:rsidP="00FA14A4">
      <w:pPr>
        <w:spacing w:after="0" w:line="240" w:lineRule="auto"/>
        <w:contextualSpacing/>
        <w:rPr>
          <w:rFonts w:ascii="Arial" w:eastAsia="Times New Roman" w:hAnsi="Arial" w:cs="Arial"/>
          <w:sz w:val="24"/>
          <w:szCs w:val="24"/>
        </w:rPr>
      </w:pPr>
    </w:p>
    <w:p w14:paraId="7E7C4891" w14:textId="76971899" w:rsidR="00FA14A4" w:rsidRDefault="00FA14A4" w:rsidP="00FA14A4">
      <w:pPr>
        <w:spacing w:after="0" w:line="240" w:lineRule="auto"/>
        <w:contextualSpacing/>
        <w:rPr>
          <w:rFonts w:ascii="Arial" w:eastAsia="Times New Roman" w:hAnsi="Arial" w:cs="Arial"/>
          <w:sz w:val="24"/>
          <w:szCs w:val="24"/>
        </w:rPr>
      </w:pPr>
      <w:r>
        <w:rPr>
          <w:rFonts w:ascii="Arial" w:eastAsia="Times New Roman" w:hAnsi="Arial" w:cs="Arial"/>
          <w:b/>
          <w:sz w:val="24"/>
          <w:szCs w:val="24"/>
          <w:u w:val="single"/>
        </w:rPr>
        <w:t xml:space="preserve">Current </w:t>
      </w:r>
      <w:r w:rsidRPr="001E3BEF">
        <w:rPr>
          <w:rFonts w:ascii="Arial" w:eastAsia="Times New Roman" w:hAnsi="Arial" w:cs="Arial"/>
          <w:b/>
          <w:sz w:val="24"/>
          <w:szCs w:val="24"/>
          <w:u w:val="single"/>
        </w:rPr>
        <w:t>Review</w:t>
      </w:r>
      <w:r>
        <w:rPr>
          <w:rFonts w:ascii="Arial" w:eastAsia="Times New Roman" w:hAnsi="Arial" w:cs="Arial"/>
          <w:sz w:val="24"/>
          <w:szCs w:val="24"/>
        </w:rPr>
        <w:t xml:space="preserve"> – FirstEnergy participate</w:t>
      </w:r>
      <w:r w:rsidR="00257864">
        <w:rPr>
          <w:rFonts w:ascii="Arial" w:eastAsia="Times New Roman" w:hAnsi="Arial" w:cs="Arial"/>
          <w:sz w:val="24"/>
          <w:szCs w:val="24"/>
        </w:rPr>
        <w:t>s</w:t>
      </w:r>
      <w:r>
        <w:rPr>
          <w:rFonts w:ascii="Arial" w:eastAsia="Times New Roman" w:hAnsi="Arial" w:cs="Arial"/>
          <w:sz w:val="24"/>
          <w:szCs w:val="24"/>
        </w:rPr>
        <w:t xml:space="preserve"> in several</w:t>
      </w:r>
      <w:r w:rsidR="00257864">
        <w:rPr>
          <w:rFonts w:ascii="Arial" w:eastAsia="Times New Roman" w:hAnsi="Arial" w:cs="Arial"/>
          <w:sz w:val="24"/>
          <w:szCs w:val="24"/>
        </w:rPr>
        <w:t xml:space="preserve"> annual and periodic</w:t>
      </w:r>
      <w:r>
        <w:rPr>
          <w:rFonts w:ascii="Arial" w:eastAsia="Times New Roman" w:hAnsi="Arial" w:cs="Arial"/>
          <w:sz w:val="24"/>
          <w:szCs w:val="24"/>
        </w:rPr>
        <w:t xml:space="preserve"> utility benchmarking surveys and studies.  The studies gave FirstEnergy the </w:t>
      </w:r>
      <w:r w:rsidR="004919C8">
        <w:rPr>
          <w:rFonts w:ascii="Arial" w:eastAsia="Times New Roman" w:hAnsi="Arial" w:cs="Arial"/>
          <w:sz w:val="24"/>
          <w:szCs w:val="24"/>
        </w:rPr>
        <w:t xml:space="preserve">opportunity </w:t>
      </w:r>
      <w:r>
        <w:rPr>
          <w:rFonts w:ascii="Arial" w:eastAsia="Times New Roman" w:hAnsi="Arial" w:cs="Arial"/>
          <w:sz w:val="24"/>
          <w:szCs w:val="24"/>
        </w:rPr>
        <w:t>to compare their performance in relative metrics against a panel of comparable utilities.  A summary of three recently completed studies provided to the auditors to review are as follows:</w:t>
      </w:r>
    </w:p>
    <w:p w14:paraId="00F8CFDA" w14:textId="77777777" w:rsidR="00FA14A4" w:rsidRDefault="00FA14A4" w:rsidP="00FA14A4">
      <w:pPr>
        <w:spacing w:after="0" w:line="240" w:lineRule="auto"/>
        <w:contextualSpacing/>
        <w:rPr>
          <w:rFonts w:ascii="Arial" w:eastAsia="Times New Roman" w:hAnsi="Arial" w:cs="Arial"/>
          <w:sz w:val="24"/>
          <w:szCs w:val="24"/>
        </w:rPr>
      </w:pPr>
    </w:p>
    <w:p w14:paraId="644A8455" w14:textId="77777777" w:rsidR="00FA14A4" w:rsidRDefault="00FA14A4" w:rsidP="00D94B11">
      <w:pPr>
        <w:pStyle w:val="ListParagraph"/>
        <w:numPr>
          <w:ilvl w:val="0"/>
          <w:numId w:val="17"/>
        </w:numPr>
        <w:spacing w:after="0" w:line="240" w:lineRule="auto"/>
        <w:ind w:left="1080"/>
        <w:rPr>
          <w:rFonts w:ascii="Arial" w:eastAsia="Times New Roman" w:hAnsi="Arial" w:cs="Arial"/>
          <w:sz w:val="24"/>
          <w:szCs w:val="24"/>
        </w:rPr>
      </w:pPr>
      <w:r w:rsidRPr="00BF0841">
        <w:rPr>
          <w:rFonts w:ascii="Arial" w:eastAsia="Times New Roman" w:hAnsi="Arial" w:cs="Arial"/>
          <w:i/>
          <w:sz w:val="24"/>
          <w:szCs w:val="24"/>
        </w:rPr>
        <w:t>Utility Purchasing Management Group (UPMG) Supply Chain Benchmarking Study</w:t>
      </w:r>
      <w:r>
        <w:rPr>
          <w:rFonts w:ascii="Arial" w:eastAsia="Times New Roman" w:hAnsi="Arial" w:cs="Arial"/>
          <w:sz w:val="24"/>
          <w:szCs w:val="24"/>
        </w:rPr>
        <w:t xml:space="preserve"> (2017) – included data from seven of the top ten utilities in the country; included inventory turnover rates as a basis for FirstEnergy to establish its goals.</w:t>
      </w:r>
    </w:p>
    <w:p w14:paraId="19C39C2E" w14:textId="77777777" w:rsidR="004919C8" w:rsidRDefault="004919C8" w:rsidP="00BF0841">
      <w:pPr>
        <w:pStyle w:val="ListParagraph"/>
        <w:spacing w:after="0" w:line="240" w:lineRule="auto"/>
        <w:ind w:left="1080"/>
        <w:rPr>
          <w:rFonts w:ascii="Arial" w:eastAsia="Times New Roman" w:hAnsi="Arial" w:cs="Arial"/>
          <w:sz w:val="24"/>
          <w:szCs w:val="24"/>
        </w:rPr>
      </w:pPr>
    </w:p>
    <w:p w14:paraId="004B53DA" w14:textId="77777777" w:rsidR="00FA14A4" w:rsidRDefault="00FA14A4" w:rsidP="00D94B11">
      <w:pPr>
        <w:pStyle w:val="ListParagraph"/>
        <w:numPr>
          <w:ilvl w:val="0"/>
          <w:numId w:val="17"/>
        </w:numPr>
        <w:spacing w:after="0" w:line="240" w:lineRule="auto"/>
        <w:ind w:left="1080"/>
        <w:rPr>
          <w:rFonts w:ascii="Arial" w:eastAsia="Times New Roman" w:hAnsi="Arial" w:cs="Arial"/>
          <w:sz w:val="24"/>
          <w:szCs w:val="24"/>
        </w:rPr>
      </w:pPr>
      <w:r w:rsidRPr="00BF0841">
        <w:rPr>
          <w:rFonts w:ascii="Arial" w:eastAsia="Times New Roman" w:hAnsi="Arial" w:cs="Arial"/>
          <w:i/>
          <w:sz w:val="24"/>
          <w:szCs w:val="24"/>
        </w:rPr>
        <w:t>Utility Materials Management Benchmarking Consortium (UMMBC)</w:t>
      </w:r>
      <w:r>
        <w:rPr>
          <w:rFonts w:ascii="Arial" w:eastAsia="Times New Roman" w:hAnsi="Arial" w:cs="Arial"/>
          <w:sz w:val="24"/>
          <w:szCs w:val="24"/>
        </w:rPr>
        <w:t xml:space="preserve"> </w:t>
      </w:r>
      <w:r w:rsidRPr="00BF0841">
        <w:rPr>
          <w:rFonts w:ascii="Arial" w:eastAsia="Times New Roman" w:hAnsi="Arial" w:cs="Arial"/>
          <w:i/>
          <w:sz w:val="24"/>
          <w:szCs w:val="24"/>
        </w:rPr>
        <w:t>Warehousing and Inventory Performance Survey</w:t>
      </w:r>
      <w:r>
        <w:rPr>
          <w:rFonts w:ascii="Arial" w:eastAsia="Times New Roman" w:hAnsi="Arial" w:cs="Arial"/>
          <w:sz w:val="24"/>
          <w:szCs w:val="24"/>
        </w:rPr>
        <w:t xml:space="preserve"> (2015) – survey compiled by ScottMadden Management Consultants included 15 North American utilities; a total of 113 metrics was provided and/or calculated in the released survey.</w:t>
      </w:r>
    </w:p>
    <w:p w14:paraId="64DC7C14" w14:textId="77777777" w:rsidR="004919C8" w:rsidRDefault="004919C8" w:rsidP="00BF0841">
      <w:pPr>
        <w:pStyle w:val="ListParagraph"/>
        <w:spacing w:after="0" w:line="240" w:lineRule="auto"/>
        <w:ind w:left="1080"/>
        <w:rPr>
          <w:rFonts w:ascii="Arial" w:eastAsia="Times New Roman" w:hAnsi="Arial" w:cs="Arial"/>
          <w:sz w:val="24"/>
          <w:szCs w:val="24"/>
        </w:rPr>
      </w:pPr>
    </w:p>
    <w:p w14:paraId="7990F9B5" w14:textId="77777777" w:rsidR="00FA14A4" w:rsidRDefault="00FA14A4" w:rsidP="00D94B11">
      <w:pPr>
        <w:pStyle w:val="ListParagraph"/>
        <w:numPr>
          <w:ilvl w:val="0"/>
          <w:numId w:val="17"/>
        </w:numPr>
        <w:spacing w:after="0" w:line="240" w:lineRule="auto"/>
        <w:ind w:left="1080"/>
        <w:rPr>
          <w:rFonts w:ascii="Arial" w:eastAsia="Times New Roman" w:hAnsi="Arial" w:cs="Arial"/>
          <w:sz w:val="24"/>
          <w:szCs w:val="24"/>
        </w:rPr>
      </w:pPr>
      <w:r w:rsidRPr="00BF0841">
        <w:rPr>
          <w:rFonts w:ascii="Arial" w:eastAsia="Times New Roman" w:hAnsi="Arial" w:cs="Arial"/>
          <w:i/>
          <w:sz w:val="24"/>
          <w:szCs w:val="24"/>
        </w:rPr>
        <w:t>Materials and Logistics Management Benchmarking (MLMB) Survey</w:t>
      </w:r>
      <w:r>
        <w:rPr>
          <w:rFonts w:ascii="Arial" w:eastAsia="Times New Roman" w:hAnsi="Arial" w:cs="Arial"/>
          <w:sz w:val="24"/>
          <w:szCs w:val="24"/>
        </w:rPr>
        <w:t xml:space="preserve"> (2016) – survey conducted by Public Service Gas and Electric Company; included eight utilities and covered demographics, inventory counting, material handling processes, hub and spoke structures, staffing, key measurements, technology, investment recovery, and additional topics.</w:t>
      </w:r>
    </w:p>
    <w:p w14:paraId="49C8994D" w14:textId="77777777" w:rsidR="00FA14A4" w:rsidRPr="00B80D88" w:rsidRDefault="00FA14A4" w:rsidP="00141DDE">
      <w:pPr>
        <w:spacing w:after="0" w:line="240" w:lineRule="auto"/>
        <w:rPr>
          <w:rFonts w:ascii="Arial" w:eastAsia="Times New Roman" w:hAnsi="Arial" w:cs="Arial"/>
          <w:sz w:val="24"/>
          <w:szCs w:val="24"/>
        </w:rPr>
      </w:pPr>
    </w:p>
    <w:tbl>
      <w:tblPr>
        <w:tblStyle w:val="TableGrid"/>
        <w:tblpPr w:leftFromText="180" w:rightFromText="180" w:vertAnchor="page" w:horzAnchor="margin" w:tblpXSpec="right" w:tblpY="12022"/>
        <w:tblW w:w="0" w:type="auto"/>
        <w:tblLook w:val="04A0" w:firstRow="1" w:lastRow="0" w:firstColumn="1" w:lastColumn="0" w:noHBand="0" w:noVBand="1"/>
      </w:tblPr>
      <w:tblGrid>
        <w:gridCol w:w="1334"/>
        <w:gridCol w:w="360"/>
        <w:gridCol w:w="1456"/>
      </w:tblGrid>
      <w:tr w:rsidR="00CB626E" w14:paraId="420C3FC4" w14:textId="77777777" w:rsidTr="003B739F">
        <w:trPr>
          <w:trHeight w:val="291"/>
        </w:trPr>
        <w:tc>
          <w:tcPr>
            <w:tcW w:w="3150" w:type="dxa"/>
            <w:gridSpan w:val="3"/>
            <w:tcBorders>
              <w:top w:val="nil"/>
              <w:left w:val="nil"/>
              <w:bottom w:val="nil"/>
              <w:right w:val="nil"/>
            </w:tcBorders>
          </w:tcPr>
          <w:p w14:paraId="2FAE0540" w14:textId="77777777" w:rsidR="00CB626E" w:rsidRDefault="00CB626E" w:rsidP="003B739F">
            <w:pPr>
              <w:jc w:val="center"/>
              <w:rPr>
                <w:rFonts w:ascii="Arial" w:eastAsia="Times New Roman" w:hAnsi="Arial" w:cs="Arial"/>
                <w:sz w:val="24"/>
                <w:szCs w:val="24"/>
              </w:rPr>
            </w:pPr>
            <w:r w:rsidRPr="00F76E6E">
              <w:rPr>
                <w:rFonts w:ascii="Arial" w:eastAsia="Times New Roman" w:hAnsi="Arial" w:cs="Arial"/>
                <w:b/>
                <w:sz w:val="24"/>
                <w:szCs w:val="24"/>
              </w:rPr>
              <w:t>Exhibit IX – 2</w:t>
            </w:r>
          </w:p>
        </w:tc>
      </w:tr>
      <w:tr w:rsidR="00CB626E" w14:paraId="25E19953" w14:textId="77777777" w:rsidTr="003B739F">
        <w:trPr>
          <w:trHeight w:val="291"/>
        </w:trPr>
        <w:tc>
          <w:tcPr>
            <w:tcW w:w="3150" w:type="dxa"/>
            <w:gridSpan w:val="3"/>
            <w:tcBorders>
              <w:top w:val="nil"/>
              <w:left w:val="nil"/>
              <w:bottom w:val="nil"/>
              <w:right w:val="nil"/>
            </w:tcBorders>
          </w:tcPr>
          <w:p w14:paraId="6AF72209" w14:textId="77777777" w:rsidR="00CB626E" w:rsidRDefault="00CB626E" w:rsidP="003B739F">
            <w:pPr>
              <w:jc w:val="center"/>
              <w:rPr>
                <w:rFonts w:ascii="Arial" w:eastAsia="Times New Roman" w:hAnsi="Arial" w:cs="Arial"/>
                <w:sz w:val="24"/>
                <w:szCs w:val="24"/>
              </w:rPr>
            </w:pPr>
            <w:r w:rsidRPr="00F76E6E">
              <w:rPr>
                <w:rFonts w:ascii="Arial" w:eastAsia="Times New Roman" w:hAnsi="Arial" w:cs="Arial"/>
                <w:b/>
                <w:sz w:val="24"/>
                <w:szCs w:val="24"/>
              </w:rPr>
              <w:t xml:space="preserve">FE-PA </w:t>
            </w:r>
            <w:r>
              <w:rPr>
                <w:rFonts w:ascii="Arial" w:eastAsia="Times New Roman" w:hAnsi="Arial" w:cs="Arial"/>
                <w:b/>
                <w:sz w:val="24"/>
                <w:szCs w:val="24"/>
              </w:rPr>
              <w:t>Companies</w:t>
            </w:r>
          </w:p>
        </w:tc>
      </w:tr>
      <w:tr w:rsidR="00CB626E" w14:paraId="23D92FC8" w14:textId="77777777" w:rsidTr="003B739F">
        <w:trPr>
          <w:trHeight w:val="291"/>
        </w:trPr>
        <w:tc>
          <w:tcPr>
            <w:tcW w:w="3150" w:type="dxa"/>
            <w:gridSpan w:val="3"/>
            <w:tcBorders>
              <w:top w:val="nil"/>
              <w:left w:val="nil"/>
              <w:bottom w:val="nil"/>
              <w:right w:val="nil"/>
            </w:tcBorders>
          </w:tcPr>
          <w:p w14:paraId="5AC3C7EA" w14:textId="77777777" w:rsidR="00CB626E" w:rsidRDefault="00CB626E" w:rsidP="003B739F">
            <w:pPr>
              <w:jc w:val="center"/>
              <w:rPr>
                <w:rFonts w:ascii="Arial" w:eastAsia="Times New Roman" w:hAnsi="Arial" w:cs="Arial"/>
                <w:sz w:val="24"/>
                <w:szCs w:val="24"/>
              </w:rPr>
            </w:pPr>
            <w:r w:rsidRPr="00F76E6E">
              <w:rPr>
                <w:rFonts w:ascii="Arial" w:eastAsia="Times New Roman" w:hAnsi="Arial" w:cs="Arial"/>
                <w:b/>
                <w:sz w:val="24"/>
                <w:szCs w:val="24"/>
              </w:rPr>
              <w:t>Inventory Goals</w:t>
            </w:r>
            <w:r>
              <w:rPr>
                <w:rFonts w:ascii="Arial" w:eastAsia="Times New Roman" w:hAnsi="Arial" w:cs="Arial"/>
                <w:b/>
                <w:sz w:val="24"/>
                <w:szCs w:val="24"/>
              </w:rPr>
              <w:t xml:space="preserve"> for 2017</w:t>
            </w:r>
          </w:p>
        </w:tc>
      </w:tr>
      <w:tr w:rsidR="00CB626E" w14:paraId="300F6EF8" w14:textId="77777777" w:rsidTr="003B739F">
        <w:trPr>
          <w:trHeight w:val="91"/>
        </w:trPr>
        <w:tc>
          <w:tcPr>
            <w:tcW w:w="1334" w:type="dxa"/>
            <w:tcBorders>
              <w:top w:val="nil"/>
              <w:left w:val="nil"/>
              <w:bottom w:val="single" w:sz="4" w:space="0" w:color="auto"/>
              <w:right w:val="nil"/>
            </w:tcBorders>
          </w:tcPr>
          <w:p w14:paraId="5E0AC1FA" w14:textId="77777777" w:rsidR="00CB626E" w:rsidRPr="000605AE" w:rsidRDefault="00CB626E" w:rsidP="003B739F">
            <w:pPr>
              <w:jc w:val="center"/>
              <w:rPr>
                <w:rFonts w:ascii="Arial" w:eastAsia="Times New Roman" w:hAnsi="Arial" w:cs="Arial"/>
                <w:sz w:val="8"/>
                <w:szCs w:val="8"/>
              </w:rPr>
            </w:pPr>
          </w:p>
        </w:tc>
        <w:tc>
          <w:tcPr>
            <w:tcW w:w="360" w:type="dxa"/>
            <w:tcBorders>
              <w:top w:val="nil"/>
              <w:left w:val="nil"/>
              <w:bottom w:val="single" w:sz="4" w:space="0" w:color="auto"/>
              <w:right w:val="nil"/>
            </w:tcBorders>
          </w:tcPr>
          <w:p w14:paraId="5DC0881C" w14:textId="77777777" w:rsidR="00CB626E" w:rsidRPr="000605AE" w:rsidRDefault="00CB626E" w:rsidP="003B739F">
            <w:pPr>
              <w:jc w:val="center"/>
              <w:rPr>
                <w:rFonts w:ascii="Arial" w:eastAsia="Times New Roman" w:hAnsi="Arial" w:cs="Arial"/>
                <w:sz w:val="8"/>
                <w:szCs w:val="8"/>
              </w:rPr>
            </w:pPr>
          </w:p>
        </w:tc>
        <w:tc>
          <w:tcPr>
            <w:tcW w:w="1456" w:type="dxa"/>
            <w:tcBorders>
              <w:top w:val="nil"/>
              <w:left w:val="nil"/>
              <w:bottom w:val="single" w:sz="4" w:space="0" w:color="auto"/>
              <w:right w:val="nil"/>
            </w:tcBorders>
          </w:tcPr>
          <w:p w14:paraId="3E32706A" w14:textId="77777777" w:rsidR="00CB626E" w:rsidRPr="000605AE" w:rsidRDefault="00CB626E" w:rsidP="003B739F">
            <w:pPr>
              <w:jc w:val="center"/>
              <w:rPr>
                <w:rFonts w:ascii="Arial" w:eastAsia="Times New Roman" w:hAnsi="Arial" w:cs="Arial"/>
                <w:sz w:val="8"/>
                <w:szCs w:val="8"/>
              </w:rPr>
            </w:pPr>
          </w:p>
        </w:tc>
      </w:tr>
      <w:tr w:rsidR="00CB626E" w14:paraId="09210447" w14:textId="77777777" w:rsidTr="003B739F">
        <w:trPr>
          <w:trHeight w:val="291"/>
        </w:trPr>
        <w:tc>
          <w:tcPr>
            <w:tcW w:w="1334" w:type="dxa"/>
            <w:tcBorders>
              <w:top w:val="single" w:sz="4" w:space="0" w:color="auto"/>
            </w:tcBorders>
            <w:shd w:val="clear" w:color="auto" w:fill="BFBFBF" w:themeFill="background1" w:themeFillShade="BF"/>
          </w:tcPr>
          <w:p w14:paraId="5B20FF7A" w14:textId="77777777" w:rsidR="00CB626E" w:rsidRPr="002D30C4" w:rsidRDefault="00CB626E" w:rsidP="003B739F">
            <w:pPr>
              <w:jc w:val="center"/>
              <w:rPr>
                <w:rFonts w:ascii="Arial" w:eastAsia="Times New Roman" w:hAnsi="Arial" w:cs="Arial"/>
                <w:sz w:val="20"/>
                <w:szCs w:val="20"/>
              </w:rPr>
            </w:pPr>
            <w:r w:rsidRPr="002D30C4">
              <w:rPr>
                <w:rFonts w:ascii="Arial" w:eastAsia="Times New Roman" w:hAnsi="Arial" w:cs="Arial"/>
                <w:b/>
                <w:sz w:val="20"/>
                <w:szCs w:val="20"/>
              </w:rPr>
              <w:t>Threshold</w:t>
            </w:r>
          </w:p>
        </w:tc>
        <w:tc>
          <w:tcPr>
            <w:tcW w:w="360" w:type="dxa"/>
            <w:tcBorders>
              <w:top w:val="single" w:sz="4" w:space="0" w:color="auto"/>
            </w:tcBorders>
            <w:shd w:val="clear" w:color="auto" w:fill="808080" w:themeFill="background1" w:themeFillShade="80"/>
          </w:tcPr>
          <w:p w14:paraId="1BF5CDEE" w14:textId="77777777" w:rsidR="00CB626E" w:rsidRPr="002D30C4" w:rsidRDefault="00CB626E" w:rsidP="003B739F">
            <w:pPr>
              <w:jc w:val="center"/>
              <w:rPr>
                <w:rFonts w:ascii="Arial" w:eastAsia="Times New Roman" w:hAnsi="Arial" w:cs="Arial"/>
                <w:sz w:val="20"/>
                <w:szCs w:val="20"/>
              </w:rPr>
            </w:pPr>
            <w:r w:rsidRPr="002D30C4">
              <w:rPr>
                <w:rFonts w:ascii="Arial" w:eastAsia="Times New Roman" w:hAnsi="Arial" w:cs="Arial"/>
                <w:sz w:val="20"/>
                <w:szCs w:val="20"/>
              </w:rPr>
              <w:t>=</w:t>
            </w:r>
          </w:p>
        </w:tc>
        <w:tc>
          <w:tcPr>
            <w:tcW w:w="1456" w:type="dxa"/>
            <w:tcBorders>
              <w:top w:val="single" w:sz="4" w:space="0" w:color="auto"/>
            </w:tcBorders>
            <w:shd w:val="clear" w:color="auto" w:fill="FBD4B4" w:themeFill="accent6" w:themeFillTint="66"/>
          </w:tcPr>
          <w:p w14:paraId="3FE9D870" w14:textId="77777777" w:rsidR="00CB626E" w:rsidRPr="002D30C4" w:rsidRDefault="00CB626E" w:rsidP="003B739F">
            <w:pPr>
              <w:jc w:val="center"/>
              <w:rPr>
                <w:rFonts w:ascii="Arial" w:eastAsia="Times New Roman" w:hAnsi="Arial" w:cs="Arial"/>
                <w:sz w:val="20"/>
                <w:szCs w:val="20"/>
              </w:rPr>
            </w:pPr>
            <w:r w:rsidRPr="002D30C4">
              <w:rPr>
                <w:rFonts w:ascii="Arial" w:eastAsia="Times New Roman" w:hAnsi="Arial" w:cs="Arial"/>
                <w:b/>
                <w:color w:val="FF0000"/>
                <w:sz w:val="20"/>
                <w:szCs w:val="20"/>
              </w:rPr>
              <w:t>1.00</w:t>
            </w:r>
          </w:p>
        </w:tc>
      </w:tr>
      <w:tr w:rsidR="00CB626E" w14:paraId="71CD6B65" w14:textId="77777777" w:rsidTr="003B739F">
        <w:trPr>
          <w:trHeight w:val="291"/>
        </w:trPr>
        <w:tc>
          <w:tcPr>
            <w:tcW w:w="1334" w:type="dxa"/>
            <w:shd w:val="clear" w:color="auto" w:fill="BFBFBF" w:themeFill="background1" w:themeFillShade="BF"/>
          </w:tcPr>
          <w:p w14:paraId="52ADC520" w14:textId="77777777" w:rsidR="00CB626E" w:rsidRPr="002D30C4" w:rsidRDefault="00CB626E" w:rsidP="003B739F">
            <w:pPr>
              <w:jc w:val="center"/>
              <w:rPr>
                <w:rFonts w:ascii="Arial" w:eastAsia="Times New Roman" w:hAnsi="Arial" w:cs="Arial"/>
                <w:sz w:val="20"/>
                <w:szCs w:val="20"/>
              </w:rPr>
            </w:pPr>
            <w:r w:rsidRPr="002D30C4">
              <w:rPr>
                <w:rFonts w:ascii="Arial" w:eastAsia="Times New Roman" w:hAnsi="Arial" w:cs="Arial"/>
                <w:b/>
                <w:sz w:val="20"/>
                <w:szCs w:val="20"/>
              </w:rPr>
              <w:t>2</w:t>
            </w:r>
            <w:r w:rsidRPr="002D30C4">
              <w:rPr>
                <w:rFonts w:ascii="Arial" w:eastAsia="Times New Roman" w:hAnsi="Arial" w:cs="Arial"/>
                <w:b/>
                <w:sz w:val="20"/>
                <w:szCs w:val="20"/>
                <w:vertAlign w:val="superscript"/>
              </w:rPr>
              <w:t>nd</w:t>
            </w:r>
            <w:r w:rsidRPr="002D30C4">
              <w:rPr>
                <w:rFonts w:ascii="Arial" w:eastAsia="Times New Roman" w:hAnsi="Arial" w:cs="Arial"/>
                <w:b/>
                <w:sz w:val="20"/>
                <w:szCs w:val="20"/>
              </w:rPr>
              <w:t xml:space="preserve"> Quartile</w:t>
            </w:r>
          </w:p>
        </w:tc>
        <w:tc>
          <w:tcPr>
            <w:tcW w:w="360" w:type="dxa"/>
            <w:shd w:val="clear" w:color="auto" w:fill="808080" w:themeFill="background1" w:themeFillShade="80"/>
          </w:tcPr>
          <w:p w14:paraId="6F703257" w14:textId="77777777" w:rsidR="00CB626E" w:rsidRPr="002D30C4" w:rsidRDefault="00CB626E" w:rsidP="003B739F">
            <w:pPr>
              <w:jc w:val="center"/>
              <w:rPr>
                <w:rFonts w:ascii="Arial" w:eastAsia="Times New Roman" w:hAnsi="Arial" w:cs="Arial"/>
                <w:sz w:val="20"/>
                <w:szCs w:val="20"/>
              </w:rPr>
            </w:pPr>
            <w:r w:rsidRPr="002D30C4">
              <w:rPr>
                <w:rFonts w:ascii="Arial" w:eastAsia="Times New Roman" w:hAnsi="Arial" w:cs="Arial"/>
                <w:sz w:val="20"/>
                <w:szCs w:val="20"/>
              </w:rPr>
              <w:t>=</w:t>
            </w:r>
          </w:p>
        </w:tc>
        <w:tc>
          <w:tcPr>
            <w:tcW w:w="1456" w:type="dxa"/>
            <w:shd w:val="clear" w:color="auto" w:fill="FBD4B4" w:themeFill="accent6" w:themeFillTint="66"/>
          </w:tcPr>
          <w:p w14:paraId="3E482C04" w14:textId="77777777" w:rsidR="00CB626E" w:rsidRPr="002D30C4" w:rsidRDefault="00CB626E" w:rsidP="003B739F">
            <w:pPr>
              <w:jc w:val="center"/>
              <w:rPr>
                <w:rFonts w:ascii="Arial" w:eastAsia="Times New Roman" w:hAnsi="Arial" w:cs="Arial"/>
                <w:sz w:val="20"/>
                <w:szCs w:val="20"/>
              </w:rPr>
            </w:pPr>
            <w:r w:rsidRPr="002D30C4">
              <w:rPr>
                <w:rFonts w:ascii="Arial" w:eastAsia="Times New Roman" w:hAnsi="Arial" w:cs="Arial"/>
                <w:b/>
                <w:color w:val="17365D" w:themeColor="text2" w:themeShade="BF"/>
                <w:sz w:val="20"/>
                <w:szCs w:val="20"/>
              </w:rPr>
              <w:t>1.45</w:t>
            </w:r>
            <w:r w:rsidRPr="002D30C4">
              <w:rPr>
                <w:rFonts w:ascii="Arial" w:eastAsia="Times New Roman" w:hAnsi="Arial" w:cs="Arial"/>
                <w:color w:val="17365D" w:themeColor="text2" w:themeShade="BF"/>
                <w:sz w:val="20"/>
                <w:szCs w:val="20"/>
              </w:rPr>
              <w:t xml:space="preserve"> </w:t>
            </w:r>
            <w:r w:rsidRPr="002D30C4">
              <w:rPr>
                <w:rFonts w:ascii="Arial" w:eastAsia="Times New Roman" w:hAnsi="Arial" w:cs="Arial"/>
                <w:sz w:val="20"/>
                <w:szCs w:val="20"/>
              </w:rPr>
              <w:t>(UPMG)</w:t>
            </w:r>
          </w:p>
        </w:tc>
      </w:tr>
      <w:tr w:rsidR="00CB626E" w14:paraId="4B974C78" w14:textId="77777777" w:rsidTr="003B739F">
        <w:trPr>
          <w:trHeight w:val="309"/>
        </w:trPr>
        <w:tc>
          <w:tcPr>
            <w:tcW w:w="1334" w:type="dxa"/>
            <w:shd w:val="clear" w:color="auto" w:fill="BFBFBF" w:themeFill="background1" w:themeFillShade="BF"/>
          </w:tcPr>
          <w:p w14:paraId="709DE8A4" w14:textId="77777777" w:rsidR="00CB626E" w:rsidRPr="002D30C4" w:rsidRDefault="00CB626E" w:rsidP="003B739F">
            <w:pPr>
              <w:jc w:val="center"/>
              <w:rPr>
                <w:rFonts w:ascii="Arial" w:eastAsia="Times New Roman" w:hAnsi="Arial" w:cs="Arial"/>
                <w:sz w:val="20"/>
                <w:szCs w:val="20"/>
              </w:rPr>
            </w:pPr>
            <w:r w:rsidRPr="002D30C4">
              <w:rPr>
                <w:rFonts w:ascii="Arial" w:eastAsia="Times New Roman" w:hAnsi="Arial" w:cs="Arial"/>
                <w:b/>
                <w:sz w:val="20"/>
                <w:szCs w:val="20"/>
              </w:rPr>
              <w:t>1</w:t>
            </w:r>
            <w:r w:rsidRPr="002D30C4">
              <w:rPr>
                <w:rFonts w:ascii="Arial" w:eastAsia="Times New Roman" w:hAnsi="Arial" w:cs="Arial"/>
                <w:b/>
                <w:sz w:val="20"/>
                <w:szCs w:val="20"/>
                <w:vertAlign w:val="superscript"/>
              </w:rPr>
              <w:t>st</w:t>
            </w:r>
            <w:r w:rsidRPr="002D30C4">
              <w:rPr>
                <w:rFonts w:ascii="Arial" w:eastAsia="Times New Roman" w:hAnsi="Arial" w:cs="Arial"/>
                <w:b/>
                <w:sz w:val="20"/>
                <w:szCs w:val="20"/>
              </w:rPr>
              <w:t xml:space="preserve"> Quartile</w:t>
            </w:r>
          </w:p>
        </w:tc>
        <w:tc>
          <w:tcPr>
            <w:tcW w:w="360" w:type="dxa"/>
            <w:shd w:val="clear" w:color="auto" w:fill="808080" w:themeFill="background1" w:themeFillShade="80"/>
          </w:tcPr>
          <w:p w14:paraId="74F2CB98" w14:textId="77777777" w:rsidR="00CB626E" w:rsidRPr="002D30C4" w:rsidRDefault="00CB626E" w:rsidP="003B739F">
            <w:pPr>
              <w:jc w:val="center"/>
              <w:rPr>
                <w:rFonts w:ascii="Arial" w:eastAsia="Times New Roman" w:hAnsi="Arial" w:cs="Arial"/>
                <w:sz w:val="20"/>
                <w:szCs w:val="20"/>
              </w:rPr>
            </w:pPr>
            <w:r w:rsidRPr="002D30C4">
              <w:rPr>
                <w:rFonts w:ascii="Arial" w:eastAsia="Times New Roman" w:hAnsi="Arial" w:cs="Arial"/>
                <w:sz w:val="20"/>
                <w:szCs w:val="20"/>
              </w:rPr>
              <w:t>=</w:t>
            </w:r>
          </w:p>
        </w:tc>
        <w:tc>
          <w:tcPr>
            <w:tcW w:w="1456" w:type="dxa"/>
            <w:shd w:val="clear" w:color="auto" w:fill="FBD4B4" w:themeFill="accent6" w:themeFillTint="66"/>
          </w:tcPr>
          <w:p w14:paraId="21797557" w14:textId="77777777" w:rsidR="00CB626E" w:rsidRPr="002D30C4" w:rsidRDefault="00CB626E" w:rsidP="003B739F">
            <w:pPr>
              <w:jc w:val="center"/>
              <w:rPr>
                <w:rFonts w:ascii="Arial" w:eastAsia="Times New Roman" w:hAnsi="Arial" w:cs="Arial"/>
                <w:sz w:val="20"/>
                <w:szCs w:val="20"/>
              </w:rPr>
            </w:pPr>
            <w:r w:rsidRPr="002D30C4">
              <w:rPr>
                <w:rFonts w:ascii="Arial" w:eastAsia="Times New Roman" w:hAnsi="Arial" w:cs="Arial"/>
                <w:b/>
                <w:color w:val="17365D" w:themeColor="text2" w:themeShade="BF"/>
                <w:sz w:val="20"/>
                <w:szCs w:val="20"/>
              </w:rPr>
              <w:t>1.86</w:t>
            </w:r>
            <w:r w:rsidRPr="002D30C4">
              <w:rPr>
                <w:rFonts w:ascii="Arial" w:eastAsia="Times New Roman" w:hAnsi="Arial" w:cs="Arial"/>
                <w:color w:val="17365D" w:themeColor="text2" w:themeShade="BF"/>
                <w:sz w:val="20"/>
                <w:szCs w:val="20"/>
              </w:rPr>
              <w:t xml:space="preserve"> </w:t>
            </w:r>
            <w:r w:rsidRPr="002D30C4">
              <w:rPr>
                <w:rFonts w:ascii="Arial" w:eastAsia="Times New Roman" w:hAnsi="Arial" w:cs="Arial"/>
                <w:sz w:val="20"/>
                <w:szCs w:val="20"/>
              </w:rPr>
              <w:t>(UPMG)</w:t>
            </w:r>
          </w:p>
        </w:tc>
      </w:tr>
      <w:tr w:rsidR="00CB626E" w14:paraId="6E89F7B0" w14:textId="77777777" w:rsidTr="003B739F">
        <w:trPr>
          <w:trHeight w:val="291"/>
        </w:trPr>
        <w:tc>
          <w:tcPr>
            <w:tcW w:w="1334" w:type="dxa"/>
            <w:tcBorders>
              <w:bottom w:val="single" w:sz="4" w:space="0" w:color="auto"/>
            </w:tcBorders>
            <w:shd w:val="clear" w:color="auto" w:fill="BFBFBF" w:themeFill="background1" w:themeFillShade="BF"/>
          </w:tcPr>
          <w:p w14:paraId="065D6479" w14:textId="77777777" w:rsidR="00CB626E" w:rsidRPr="002D30C4" w:rsidRDefault="00CB626E" w:rsidP="003B739F">
            <w:pPr>
              <w:jc w:val="center"/>
              <w:rPr>
                <w:rFonts w:ascii="Arial" w:eastAsia="Times New Roman" w:hAnsi="Arial" w:cs="Arial"/>
                <w:sz w:val="20"/>
                <w:szCs w:val="20"/>
              </w:rPr>
            </w:pPr>
            <w:r w:rsidRPr="002D30C4">
              <w:rPr>
                <w:rFonts w:ascii="Arial" w:eastAsia="Times New Roman" w:hAnsi="Arial" w:cs="Arial"/>
                <w:b/>
                <w:sz w:val="20"/>
                <w:szCs w:val="20"/>
              </w:rPr>
              <w:t>Stretch</w:t>
            </w:r>
          </w:p>
        </w:tc>
        <w:tc>
          <w:tcPr>
            <w:tcW w:w="360" w:type="dxa"/>
            <w:tcBorders>
              <w:bottom w:val="single" w:sz="4" w:space="0" w:color="auto"/>
            </w:tcBorders>
            <w:shd w:val="clear" w:color="auto" w:fill="808080" w:themeFill="background1" w:themeFillShade="80"/>
          </w:tcPr>
          <w:p w14:paraId="47E4375F" w14:textId="77777777" w:rsidR="00CB626E" w:rsidRPr="002D30C4" w:rsidRDefault="00CB626E" w:rsidP="003B739F">
            <w:pPr>
              <w:jc w:val="center"/>
              <w:rPr>
                <w:rFonts w:ascii="Arial" w:eastAsia="Times New Roman" w:hAnsi="Arial" w:cs="Arial"/>
                <w:sz w:val="20"/>
                <w:szCs w:val="20"/>
              </w:rPr>
            </w:pPr>
            <w:r w:rsidRPr="002D30C4">
              <w:rPr>
                <w:rFonts w:ascii="Arial" w:eastAsia="Times New Roman" w:hAnsi="Arial" w:cs="Arial"/>
                <w:sz w:val="20"/>
                <w:szCs w:val="20"/>
              </w:rPr>
              <w:t>=</w:t>
            </w:r>
          </w:p>
        </w:tc>
        <w:tc>
          <w:tcPr>
            <w:tcW w:w="1456" w:type="dxa"/>
            <w:tcBorders>
              <w:bottom w:val="single" w:sz="4" w:space="0" w:color="auto"/>
            </w:tcBorders>
            <w:shd w:val="clear" w:color="auto" w:fill="FBD4B4" w:themeFill="accent6" w:themeFillTint="66"/>
          </w:tcPr>
          <w:p w14:paraId="192D00F2" w14:textId="77777777" w:rsidR="00CB626E" w:rsidRPr="002D30C4" w:rsidRDefault="00CB626E" w:rsidP="003B739F">
            <w:pPr>
              <w:jc w:val="center"/>
              <w:rPr>
                <w:rFonts w:ascii="Arial" w:eastAsia="Times New Roman" w:hAnsi="Arial" w:cs="Arial"/>
                <w:sz w:val="20"/>
                <w:szCs w:val="20"/>
              </w:rPr>
            </w:pPr>
            <w:r w:rsidRPr="002D30C4">
              <w:rPr>
                <w:rFonts w:ascii="Arial" w:eastAsia="Times New Roman" w:hAnsi="Arial" w:cs="Arial"/>
                <w:b/>
                <w:color w:val="00B050"/>
                <w:sz w:val="20"/>
                <w:szCs w:val="20"/>
              </w:rPr>
              <w:t>2.00</w:t>
            </w:r>
            <w:r w:rsidRPr="002D30C4">
              <w:rPr>
                <w:rFonts w:ascii="Arial" w:eastAsia="Times New Roman" w:hAnsi="Arial" w:cs="Arial"/>
                <w:color w:val="00B050"/>
                <w:sz w:val="20"/>
                <w:szCs w:val="20"/>
              </w:rPr>
              <w:t xml:space="preserve"> </w:t>
            </w:r>
            <w:r w:rsidRPr="002D30C4">
              <w:rPr>
                <w:rFonts w:ascii="Arial" w:eastAsia="Times New Roman" w:hAnsi="Arial" w:cs="Arial"/>
                <w:sz w:val="20"/>
                <w:szCs w:val="20"/>
              </w:rPr>
              <w:t>(PUC)</w:t>
            </w:r>
          </w:p>
        </w:tc>
      </w:tr>
      <w:tr w:rsidR="00CB626E" w14:paraId="3C82461A" w14:textId="77777777" w:rsidTr="003B739F">
        <w:trPr>
          <w:trHeight w:val="199"/>
        </w:trPr>
        <w:tc>
          <w:tcPr>
            <w:tcW w:w="3150" w:type="dxa"/>
            <w:gridSpan w:val="3"/>
            <w:tcBorders>
              <w:top w:val="single" w:sz="4" w:space="0" w:color="auto"/>
              <w:left w:val="nil"/>
              <w:bottom w:val="nil"/>
              <w:right w:val="nil"/>
            </w:tcBorders>
          </w:tcPr>
          <w:p w14:paraId="3DF0087C" w14:textId="77777777" w:rsidR="00CB626E" w:rsidRPr="001142D2" w:rsidRDefault="00CB626E" w:rsidP="003B739F">
            <w:pPr>
              <w:ind w:left="-113"/>
              <w:rPr>
                <w:rFonts w:ascii="Arial" w:eastAsia="Times New Roman" w:hAnsi="Arial" w:cs="Arial"/>
                <w:b/>
                <w:color w:val="00B050"/>
                <w:sz w:val="24"/>
                <w:szCs w:val="24"/>
              </w:rPr>
            </w:pPr>
            <w:r>
              <w:rPr>
                <w:rFonts w:ascii="Arial" w:eastAsia="Times New Roman" w:hAnsi="Arial" w:cs="Arial"/>
                <w:sz w:val="18"/>
                <w:szCs w:val="18"/>
              </w:rPr>
              <w:t>Source: Data Request MM-11</w:t>
            </w:r>
          </w:p>
        </w:tc>
      </w:tr>
    </w:tbl>
    <w:p w14:paraId="6CC8311A" w14:textId="77777777" w:rsidR="00FA14A4" w:rsidRDefault="00FA14A4" w:rsidP="00FA14A4">
      <w:pPr>
        <w:spacing w:after="0" w:line="240" w:lineRule="auto"/>
        <w:jc w:val="center"/>
        <w:rPr>
          <w:rFonts w:ascii="Arial" w:eastAsia="Times New Roman" w:hAnsi="Arial" w:cs="Arial"/>
          <w:sz w:val="24"/>
          <w:szCs w:val="24"/>
        </w:rPr>
      </w:pPr>
    </w:p>
    <w:p w14:paraId="5710B498" w14:textId="77777777" w:rsidR="00FA14A4" w:rsidRDefault="00594E20" w:rsidP="00FA14A4">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As a result </w:t>
      </w:r>
      <w:r w:rsidR="00226B17">
        <w:rPr>
          <w:rFonts w:ascii="Arial" w:eastAsia="Times New Roman" w:hAnsi="Arial" w:cs="Arial"/>
          <w:sz w:val="24"/>
          <w:szCs w:val="24"/>
        </w:rPr>
        <w:t>of</w:t>
      </w:r>
      <w:r w:rsidR="00FA14A4">
        <w:rPr>
          <w:rFonts w:ascii="Arial" w:eastAsia="Times New Roman" w:hAnsi="Arial" w:cs="Arial"/>
          <w:sz w:val="24"/>
          <w:szCs w:val="24"/>
        </w:rPr>
        <w:t xml:space="preserve"> </w:t>
      </w:r>
      <w:r w:rsidR="00226B17">
        <w:rPr>
          <w:rFonts w:ascii="Arial" w:eastAsia="Times New Roman" w:hAnsi="Arial" w:cs="Arial"/>
          <w:sz w:val="24"/>
          <w:szCs w:val="24"/>
        </w:rPr>
        <w:t xml:space="preserve">participating </w:t>
      </w:r>
      <w:r w:rsidR="00FA14A4">
        <w:rPr>
          <w:rFonts w:ascii="Arial" w:eastAsia="Times New Roman" w:hAnsi="Arial" w:cs="Arial"/>
          <w:sz w:val="24"/>
          <w:szCs w:val="24"/>
        </w:rPr>
        <w:t xml:space="preserve">in the UPMG study, FirstEnergy established a set of inventory turnover goals for the </w:t>
      </w:r>
      <w:r w:rsidR="00DC3D9B">
        <w:rPr>
          <w:rFonts w:ascii="Arial" w:eastAsia="Times New Roman" w:hAnsi="Arial" w:cs="Arial"/>
          <w:sz w:val="24"/>
          <w:szCs w:val="24"/>
        </w:rPr>
        <w:t>FE-PA companies</w:t>
      </w:r>
      <w:r w:rsidR="00FA14A4" w:rsidRPr="002973C7">
        <w:rPr>
          <w:rFonts w:ascii="Arial" w:eastAsia="Times New Roman" w:hAnsi="Arial" w:cs="Arial"/>
          <w:sz w:val="24"/>
          <w:szCs w:val="24"/>
        </w:rPr>
        <w:t xml:space="preserve"> </w:t>
      </w:r>
      <w:r w:rsidR="00FA14A4">
        <w:rPr>
          <w:rFonts w:ascii="Arial" w:eastAsia="Times New Roman" w:hAnsi="Arial" w:cs="Arial"/>
          <w:sz w:val="24"/>
          <w:szCs w:val="24"/>
        </w:rPr>
        <w:t>in December 2016.  The goals shown in Exhibit IX-2 were effective beginning January 2017.  The 1</w:t>
      </w:r>
      <w:r w:rsidR="00FA14A4" w:rsidRPr="001142D2">
        <w:rPr>
          <w:rFonts w:ascii="Arial" w:eastAsia="Times New Roman" w:hAnsi="Arial" w:cs="Arial"/>
          <w:sz w:val="24"/>
          <w:szCs w:val="24"/>
          <w:vertAlign w:val="superscript"/>
        </w:rPr>
        <w:t>st</w:t>
      </w:r>
      <w:r w:rsidR="00FA14A4">
        <w:rPr>
          <w:rFonts w:ascii="Arial" w:eastAsia="Times New Roman" w:hAnsi="Arial" w:cs="Arial"/>
          <w:sz w:val="24"/>
          <w:szCs w:val="24"/>
        </w:rPr>
        <w:t xml:space="preserve"> and 2</w:t>
      </w:r>
      <w:r w:rsidR="00FA14A4" w:rsidRPr="001142D2">
        <w:rPr>
          <w:rFonts w:ascii="Arial" w:eastAsia="Times New Roman" w:hAnsi="Arial" w:cs="Arial"/>
          <w:sz w:val="24"/>
          <w:szCs w:val="24"/>
          <w:vertAlign w:val="superscript"/>
        </w:rPr>
        <w:t>nd</w:t>
      </w:r>
      <w:r w:rsidR="00FA14A4">
        <w:rPr>
          <w:rFonts w:ascii="Arial" w:eastAsia="Times New Roman" w:hAnsi="Arial" w:cs="Arial"/>
          <w:sz w:val="24"/>
          <w:szCs w:val="24"/>
        </w:rPr>
        <w:t xml:space="preserve"> Quartile goals were based on the results of the UPMG study and the Stretch goal is part of the PUC recommendation from the </w:t>
      </w:r>
      <w:r w:rsidR="004919C8">
        <w:rPr>
          <w:rFonts w:ascii="Arial" w:eastAsia="Times New Roman" w:hAnsi="Arial" w:cs="Arial"/>
          <w:sz w:val="24"/>
          <w:szCs w:val="24"/>
        </w:rPr>
        <w:t xml:space="preserve">prior </w:t>
      </w:r>
      <w:r w:rsidR="00FA14A4">
        <w:rPr>
          <w:rFonts w:ascii="Arial" w:eastAsia="Times New Roman" w:hAnsi="Arial" w:cs="Arial"/>
          <w:sz w:val="24"/>
          <w:szCs w:val="24"/>
        </w:rPr>
        <w:t>Management Audit.</w:t>
      </w:r>
    </w:p>
    <w:p w14:paraId="36ED18B1" w14:textId="77777777" w:rsidR="00FA14A4" w:rsidRDefault="00FA14A4" w:rsidP="00FA14A4">
      <w:pPr>
        <w:spacing w:after="0" w:line="240" w:lineRule="auto"/>
        <w:ind w:firstLine="720"/>
        <w:rPr>
          <w:rFonts w:ascii="Arial" w:eastAsia="Times New Roman" w:hAnsi="Arial" w:cs="Arial"/>
          <w:sz w:val="24"/>
          <w:szCs w:val="24"/>
        </w:rPr>
      </w:pPr>
    </w:p>
    <w:p w14:paraId="40D9003D" w14:textId="77777777" w:rsidR="00CE4B51" w:rsidRDefault="00CE4B51" w:rsidP="00FA14A4">
      <w:pPr>
        <w:spacing w:after="0" w:line="240" w:lineRule="auto"/>
        <w:ind w:firstLine="720"/>
        <w:contextualSpacing/>
        <w:rPr>
          <w:rFonts w:ascii="Arial" w:eastAsia="Times New Roman" w:hAnsi="Arial" w:cs="Arial"/>
          <w:sz w:val="24"/>
          <w:szCs w:val="24"/>
        </w:rPr>
      </w:pPr>
    </w:p>
    <w:p w14:paraId="5FEAF801" w14:textId="606EEF2D" w:rsidR="00FA14A4" w:rsidRDefault="00FA14A4" w:rsidP="00FA14A4">
      <w:pPr>
        <w:spacing w:after="0" w:line="240" w:lineRule="auto"/>
        <w:ind w:firstLine="720"/>
        <w:contextualSpacing/>
        <w:rPr>
          <w:rFonts w:ascii="Arial" w:eastAsia="Times New Roman" w:hAnsi="Arial" w:cs="Arial"/>
          <w:sz w:val="24"/>
          <w:szCs w:val="24"/>
        </w:rPr>
      </w:pPr>
      <w:r>
        <w:rPr>
          <w:rFonts w:ascii="Arial" w:eastAsia="Times New Roman" w:hAnsi="Arial" w:cs="Arial"/>
          <w:sz w:val="24"/>
          <w:szCs w:val="24"/>
        </w:rPr>
        <w:t xml:space="preserve">Based upon findings from the studies, FirstEnergy decided to focus additional attention on reducing inventory balances.  </w:t>
      </w:r>
      <w:r w:rsidR="00771EF6">
        <w:rPr>
          <w:rFonts w:ascii="Arial" w:eastAsia="Times New Roman" w:hAnsi="Arial" w:cs="Arial"/>
          <w:sz w:val="24"/>
          <w:szCs w:val="24"/>
        </w:rPr>
        <w:t xml:space="preserve">Annually, </w:t>
      </w:r>
      <w:r>
        <w:rPr>
          <w:rFonts w:ascii="Arial" w:eastAsia="Times New Roman" w:hAnsi="Arial" w:cs="Arial"/>
          <w:sz w:val="24"/>
          <w:szCs w:val="24"/>
        </w:rPr>
        <w:t>FirstEnergy</w:t>
      </w:r>
      <w:r w:rsidR="00771EF6">
        <w:rPr>
          <w:rFonts w:ascii="Arial" w:eastAsia="Times New Roman" w:hAnsi="Arial" w:cs="Arial"/>
          <w:sz w:val="24"/>
          <w:szCs w:val="24"/>
        </w:rPr>
        <w:t xml:space="preserve"> eliminated </w:t>
      </w:r>
      <w:r w:rsidR="00F822F0">
        <w:rPr>
          <w:rFonts w:ascii="Arial" w:eastAsia="Times New Roman" w:hAnsi="Arial" w:cs="Arial"/>
          <w:sz w:val="24"/>
          <w:szCs w:val="24"/>
        </w:rPr>
        <w:t xml:space="preserve">approximately </w:t>
      </w:r>
      <w:r w:rsidR="00771EF6">
        <w:rPr>
          <w:rFonts w:ascii="Arial" w:eastAsia="Times New Roman" w:hAnsi="Arial" w:cs="Arial"/>
          <w:sz w:val="24"/>
          <w:szCs w:val="24"/>
        </w:rPr>
        <w:t>a third of the excess inventory over a three-year period to make certain they were not</w:t>
      </w:r>
      <w:r>
        <w:rPr>
          <w:rFonts w:ascii="Arial" w:eastAsia="Times New Roman" w:hAnsi="Arial" w:cs="Arial"/>
          <w:sz w:val="24"/>
          <w:szCs w:val="24"/>
        </w:rPr>
        <w:t xml:space="preserve"> </w:t>
      </w:r>
      <w:r w:rsidR="00771EF6">
        <w:rPr>
          <w:rFonts w:ascii="Arial" w:eastAsia="Times New Roman" w:hAnsi="Arial" w:cs="Arial"/>
          <w:sz w:val="24"/>
          <w:szCs w:val="24"/>
        </w:rPr>
        <w:t xml:space="preserve">eliminating too much at once and creating any stockout situations which could impact service </w:t>
      </w:r>
      <w:r>
        <w:rPr>
          <w:rFonts w:ascii="Arial" w:eastAsia="Times New Roman" w:hAnsi="Arial" w:cs="Arial"/>
          <w:sz w:val="24"/>
          <w:szCs w:val="24"/>
        </w:rPr>
        <w:t xml:space="preserve">reliability.  Exhibit IX-3 </w:t>
      </w:r>
      <w:r w:rsidR="004919C8">
        <w:rPr>
          <w:rFonts w:ascii="Arial" w:eastAsia="Times New Roman" w:hAnsi="Arial" w:cs="Arial"/>
          <w:sz w:val="24"/>
          <w:szCs w:val="24"/>
        </w:rPr>
        <w:t>depicts</w:t>
      </w:r>
      <w:r>
        <w:rPr>
          <w:rFonts w:ascii="Arial" w:eastAsia="Times New Roman" w:hAnsi="Arial" w:cs="Arial"/>
          <w:sz w:val="24"/>
          <w:szCs w:val="24"/>
        </w:rPr>
        <w:t xml:space="preserve"> the inventory balances of the </w:t>
      </w:r>
      <w:r w:rsidR="00DC3D9B">
        <w:rPr>
          <w:rFonts w:ascii="Arial" w:eastAsia="Times New Roman" w:hAnsi="Arial" w:cs="Arial"/>
          <w:sz w:val="24"/>
          <w:szCs w:val="24"/>
        </w:rPr>
        <w:t>FE-PA companies</w:t>
      </w:r>
      <w:r>
        <w:rPr>
          <w:rFonts w:ascii="Arial" w:eastAsia="Times New Roman" w:hAnsi="Arial" w:cs="Arial"/>
          <w:sz w:val="24"/>
          <w:szCs w:val="24"/>
        </w:rPr>
        <w:t xml:space="preserve"> for the years 2014 through 2017.  As detailed </w:t>
      </w:r>
      <w:r w:rsidR="004919C8">
        <w:rPr>
          <w:rFonts w:ascii="Arial" w:eastAsia="Times New Roman" w:hAnsi="Arial" w:cs="Arial"/>
          <w:sz w:val="24"/>
          <w:szCs w:val="24"/>
        </w:rPr>
        <w:t>below</w:t>
      </w:r>
      <w:r>
        <w:rPr>
          <w:rFonts w:ascii="Arial" w:eastAsia="Times New Roman" w:hAnsi="Arial" w:cs="Arial"/>
          <w:sz w:val="24"/>
          <w:szCs w:val="24"/>
        </w:rPr>
        <w:t xml:space="preserve">, the </w:t>
      </w:r>
      <w:r w:rsidR="00DC3D9B">
        <w:rPr>
          <w:rFonts w:ascii="Arial" w:eastAsia="Times New Roman" w:hAnsi="Arial" w:cs="Arial"/>
          <w:sz w:val="24"/>
          <w:szCs w:val="24"/>
        </w:rPr>
        <w:t>FE-PA companies</w:t>
      </w:r>
      <w:r>
        <w:rPr>
          <w:rFonts w:ascii="Arial" w:eastAsia="Times New Roman" w:hAnsi="Arial" w:cs="Arial"/>
          <w:sz w:val="24"/>
          <w:szCs w:val="24"/>
        </w:rPr>
        <w:t>’ total inventory balances decreased from approximately $34.9 million in 2014 to approximately $29.</w:t>
      </w:r>
      <w:r w:rsidR="00257864">
        <w:rPr>
          <w:rFonts w:ascii="Arial" w:eastAsia="Times New Roman" w:hAnsi="Arial" w:cs="Arial"/>
          <w:sz w:val="24"/>
          <w:szCs w:val="24"/>
        </w:rPr>
        <w:t>0</w:t>
      </w:r>
      <w:r>
        <w:rPr>
          <w:rFonts w:ascii="Arial" w:eastAsia="Times New Roman" w:hAnsi="Arial" w:cs="Arial"/>
          <w:sz w:val="24"/>
          <w:szCs w:val="24"/>
        </w:rPr>
        <w:t xml:space="preserve"> million and $30.4 million in 2016 and 2017, respectively.  Additionally, total annual issues increased from approximately $33.5 million to approximately $40.9 million and $43.0 million in 2016 and 2017, respectively resulting in the </w:t>
      </w:r>
      <w:r w:rsidR="00DC3D9B">
        <w:rPr>
          <w:rFonts w:ascii="Arial" w:eastAsia="Times New Roman" w:hAnsi="Arial" w:cs="Arial"/>
          <w:sz w:val="24"/>
          <w:szCs w:val="24"/>
        </w:rPr>
        <w:t>FE-PA companies</w:t>
      </w:r>
      <w:r>
        <w:rPr>
          <w:rFonts w:ascii="Arial" w:eastAsia="Times New Roman" w:hAnsi="Arial" w:cs="Arial"/>
          <w:sz w:val="24"/>
          <w:szCs w:val="24"/>
        </w:rPr>
        <w:t xml:space="preserve">’ collective turnover levels increasing from 0.96 in 2014, to 1.41 for the years 2016 and 2017.  </w:t>
      </w:r>
    </w:p>
    <w:p w14:paraId="54392204" w14:textId="77777777" w:rsidR="00FA14A4" w:rsidRPr="00783D0D" w:rsidRDefault="00FA14A4" w:rsidP="00FA14A4">
      <w:pPr>
        <w:spacing w:after="0" w:line="240" w:lineRule="auto"/>
        <w:ind w:firstLine="720"/>
        <w:rPr>
          <w:rFonts w:ascii="Arial" w:eastAsia="Times New Roman" w:hAnsi="Arial" w:cs="Arial"/>
          <w:sz w:val="24"/>
          <w:szCs w:val="24"/>
        </w:rPr>
      </w:pPr>
    </w:p>
    <w:p w14:paraId="2EDAE39F" w14:textId="77777777" w:rsidR="00FA14A4" w:rsidRPr="00CC6EA2" w:rsidRDefault="00FA14A4" w:rsidP="00FA14A4">
      <w:pPr>
        <w:spacing w:after="0" w:line="240" w:lineRule="auto"/>
        <w:contextualSpacing/>
        <w:rPr>
          <w:rFonts w:ascii="Arial" w:eastAsia="Times New Roman" w:hAnsi="Arial" w:cs="Arial"/>
          <w:sz w:val="24"/>
          <w:szCs w:val="24"/>
        </w:rPr>
      </w:pPr>
    </w:p>
    <w:p w14:paraId="1E5B2162" w14:textId="77777777" w:rsidR="00FA14A4" w:rsidRPr="00173DDB" w:rsidRDefault="00FA14A4" w:rsidP="00FA14A4">
      <w:pPr>
        <w:pStyle w:val="EndnoteText"/>
        <w:tabs>
          <w:tab w:val="left" w:pos="-720"/>
        </w:tabs>
        <w:suppressAutoHyphens/>
        <w:contextualSpacing/>
        <w:jc w:val="center"/>
        <w:rPr>
          <w:rFonts w:ascii="Arial" w:hAnsi="Arial" w:cs="Arial"/>
          <w:b/>
        </w:rPr>
      </w:pPr>
      <w:r>
        <w:rPr>
          <w:rFonts w:ascii="Arial" w:hAnsi="Arial" w:cs="Arial"/>
          <w:b/>
        </w:rPr>
        <w:t>Exhibit IX – 3</w:t>
      </w:r>
    </w:p>
    <w:p w14:paraId="291C5F2E" w14:textId="77777777" w:rsidR="00FA14A4" w:rsidRPr="00B6570C" w:rsidRDefault="00FA14A4" w:rsidP="00FA14A4">
      <w:pPr>
        <w:pStyle w:val="EndnoteText"/>
        <w:tabs>
          <w:tab w:val="left" w:pos="-720"/>
        </w:tabs>
        <w:suppressAutoHyphens/>
        <w:contextualSpacing/>
        <w:jc w:val="center"/>
        <w:rPr>
          <w:rFonts w:ascii="Arial" w:hAnsi="Arial" w:cs="Arial"/>
          <w:b/>
        </w:rPr>
      </w:pPr>
      <w:r w:rsidRPr="00B6570C">
        <w:rPr>
          <w:rFonts w:ascii="Arial" w:hAnsi="Arial" w:cs="Arial"/>
          <w:b/>
        </w:rPr>
        <w:t xml:space="preserve">FirstEnergy </w:t>
      </w:r>
      <w:r>
        <w:rPr>
          <w:rFonts w:ascii="Arial" w:hAnsi="Arial" w:cs="Arial"/>
          <w:b/>
        </w:rPr>
        <w:t>Pennsylvania Company</w:t>
      </w:r>
    </w:p>
    <w:p w14:paraId="407C327D" w14:textId="77777777" w:rsidR="00FA14A4" w:rsidRPr="00B6570C" w:rsidRDefault="00FA14A4" w:rsidP="00FA14A4">
      <w:pPr>
        <w:pStyle w:val="EndnoteText"/>
        <w:tabs>
          <w:tab w:val="left" w:pos="-720"/>
        </w:tabs>
        <w:suppressAutoHyphens/>
        <w:contextualSpacing/>
        <w:jc w:val="center"/>
        <w:rPr>
          <w:rFonts w:ascii="Arial" w:hAnsi="Arial" w:cs="Arial"/>
          <w:b/>
        </w:rPr>
      </w:pPr>
      <w:r w:rsidRPr="00B6570C">
        <w:rPr>
          <w:rFonts w:ascii="Arial" w:hAnsi="Arial" w:cs="Arial"/>
          <w:b/>
        </w:rPr>
        <w:t>Inventory Turnover Statistics</w:t>
      </w:r>
    </w:p>
    <w:p w14:paraId="77A9C9E3" w14:textId="77777777" w:rsidR="00FA14A4" w:rsidRDefault="00FA14A4" w:rsidP="00FA14A4">
      <w:pPr>
        <w:pStyle w:val="EndnoteText"/>
        <w:tabs>
          <w:tab w:val="left" w:pos="-720"/>
        </w:tabs>
        <w:suppressAutoHyphens/>
        <w:contextualSpacing/>
        <w:jc w:val="center"/>
        <w:rPr>
          <w:rFonts w:ascii="Arial" w:hAnsi="Arial" w:cs="Arial"/>
          <w:b/>
        </w:rPr>
      </w:pPr>
      <w:r w:rsidRPr="00B6570C">
        <w:rPr>
          <w:rFonts w:ascii="Arial" w:hAnsi="Arial" w:cs="Arial"/>
          <w:b/>
        </w:rPr>
        <w:t>For the Years 2014 through 2017</w:t>
      </w:r>
    </w:p>
    <w:p w14:paraId="47B2F98F" w14:textId="77777777" w:rsidR="00FA14A4" w:rsidRPr="00082DE8" w:rsidRDefault="00FA14A4" w:rsidP="00FA14A4">
      <w:pPr>
        <w:pStyle w:val="EndnoteText"/>
        <w:tabs>
          <w:tab w:val="left" w:pos="-720"/>
        </w:tabs>
        <w:suppressAutoHyphens/>
        <w:contextualSpacing/>
        <w:jc w:val="center"/>
        <w:rPr>
          <w:rFonts w:ascii="Arial" w:hAnsi="Arial" w:cs="Arial"/>
          <w:b/>
          <w:sz w:val="16"/>
          <w:szCs w:val="16"/>
        </w:rPr>
      </w:pPr>
    </w:p>
    <w:tbl>
      <w:tblPr>
        <w:tblW w:w="9195" w:type="dxa"/>
        <w:tblLook w:val="04A0" w:firstRow="1" w:lastRow="0" w:firstColumn="1" w:lastColumn="0" w:noHBand="0" w:noVBand="1"/>
      </w:tblPr>
      <w:tblGrid>
        <w:gridCol w:w="743"/>
        <w:gridCol w:w="2932"/>
        <w:gridCol w:w="1372"/>
        <w:gridCol w:w="1372"/>
        <w:gridCol w:w="1372"/>
        <w:gridCol w:w="1404"/>
      </w:tblGrid>
      <w:tr w:rsidR="00FA14A4" w:rsidRPr="00451DFF" w14:paraId="29F182F8" w14:textId="77777777" w:rsidTr="00347614">
        <w:trPr>
          <w:trHeight w:val="306"/>
        </w:trPr>
        <w:tc>
          <w:tcPr>
            <w:tcW w:w="743" w:type="dxa"/>
            <w:tcBorders>
              <w:top w:val="nil"/>
              <w:left w:val="nil"/>
              <w:bottom w:val="nil"/>
              <w:right w:val="nil"/>
            </w:tcBorders>
            <w:shd w:val="clear" w:color="auto" w:fill="auto"/>
            <w:noWrap/>
            <w:vAlign w:val="bottom"/>
            <w:hideMark/>
          </w:tcPr>
          <w:p w14:paraId="381CB299" w14:textId="77777777" w:rsidR="00FA14A4" w:rsidRPr="00451DFF" w:rsidRDefault="00FA14A4" w:rsidP="00347614">
            <w:pPr>
              <w:spacing w:after="0" w:line="240" w:lineRule="auto"/>
              <w:contextualSpacing/>
              <w:rPr>
                <w:sz w:val="20"/>
                <w:szCs w:val="24"/>
              </w:rPr>
            </w:pPr>
          </w:p>
        </w:tc>
        <w:tc>
          <w:tcPr>
            <w:tcW w:w="2932" w:type="dxa"/>
            <w:tcBorders>
              <w:top w:val="nil"/>
              <w:left w:val="nil"/>
              <w:bottom w:val="nil"/>
              <w:right w:val="nil"/>
            </w:tcBorders>
            <w:shd w:val="clear" w:color="auto" w:fill="auto"/>
            <w:noWrap/>
            <w:vAlign w:val="bottom"/>
            <w:hideMark/>
          </w:tcPr>
          <w:p w14:paraId="3FFC74A5" w14:textId="77777777" w:rsidR="00FA14A4" w:rsidRPr="00451DFF" w:rsidRDefault="00FA14A4" w:rsidP="00347614">
            <w:pPr>
              <w:spacing w:after="0" w:line="240" w:lineRule="auto"/>
              <w:contextualSpacing/>
              <w:rPr>
                <w:sz w:val="20"/>
              </w:rPr>
            </w:pPr>
          </w:p>
        </w:tc>
        <w:tc>
          <w:tcPr>
            <w:tcW w:w="1372"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5313A858" w14:textId="77777777" w:rsidR="00FA14A4" w:rsidRPr="00451DFF" w:rsidRDefault="00FA14A4" w:rsidP="00347614">
            <w:pPr>
              <w:spacing w:after="0" w:line="240" w:lineRule="auto"/>
              <w:contextualSpacing/>
              <w:jc w:val="center"/>
              <w:rPr>
                <w:rFonts w:ascii="Arial" w:hAnsi="Arial" w:cs="Arial"/>
                <w:b/>
                <w:bCs/>
                <w:color w:val="000000"/>
                <w:sz w:val="20"/>
              </w:rPr>
            </w:pPr>
            <w:r w:rsidRPr="00451DFF">
              <w:rPr>
                <w:rFonts w:ascii="Arial" w:hAnsi="Arial" w:cs="Arial"/>
                <w:b/>
                <w:bCs/>
                <w:color w:val="000000"/>
                <w:sz w:val="20"/>
              </w:rPr>
              <w:t>2014</w:t>
            </w:r>
          </w:p>
        </w:tc>
        <w:tc>
          <w:tcPr>
            <w:tcW w:w="1372" w:type="dxa"/>
            <w:tcBorders>
              <w:top w:val="single" w:sz="8" w:space="0" w:color="auto"/>
              <w:left w:val="nil"/>
              <w:bottom w:val="single" w:sz="8" w:space="0" w:color="auto"/>
              <w:right w:val="single" w:sz="8" w:space="0" w:color="auto"/>
            </w:tcBorders>
            <w:shd w:val="clear" w:color="000000" w:fill="BFBFBF"/>
            <w:noWrap/>
            <w:vAlign w:val="center"/>
            <w:hideMark/>
          </w:tcPr>
          <w:p w14:paraId="342E1FF8" w14:textId="77777777" w:rsidR="00FA14A4" w:rsidRPr="00451DFF" w:rsidRDefault="00FA14A4" w:rsidP="00347614">
            <w:pPr>
              <w:spacing w:after="0" w:line="240" w:lineRule="auto"/>
              <w:contextualSpacing/>
              <w:jc w:val="center"/>
              <w:rPr>
                <w:rFonts w:ascii="Arial" w:hAnsi="Arial" w:cs="Arial"/>
                <w:b/>
                <w:bCs/>
                <w:color w:val="000000"/>
                <w:sz w:val="20"/>
              </w:rPr>
            </w:pPr>
            <w:r w:rsidRPr="00451DFF">
              <w:rPr>
                <w:rFonts w:ascii="Arial" w:hAnsi="Arial" w:cs="Arial"/>
                <w:b/>
                <w:bCs/>
                <w:color w:val="000000"/>
                <w:sz w:val="20"/>
              </w:rPr>
              <w:t>2015</w:t>
            </w:r>
          </w:p>
        </w:tc>
        <w:tc>
          <w:tcPr>
            <w:tcW w:w="1372" w:type="dxa"/>
            <w:tcBorders>
              <w:top w:val="single" w:sz="8" w:space="0" w:color="auto"/>
              <w:left w:val="nil"/>
              <w:bottom w:val="single" w:sz="8" w:space="0" w:color="auto"/>
              <w:right w:val="single" w:sz="8" w:space="0" w:color="auto"/>
            </w:tcBorders>
            <w:shd w:val="clear" w:color="000000" w:fill="BFBFBF"/>
            <w:noWrap/>
            <w:vAlign w:val="center"/>
            <w:hideMark/>
          </w:tcPr>
          <w:p w14:paraId="688D4B6D" w14:textId="77777777" w:rsidR="00FA14A4" w:rsidRPr="00451DFF" w:rsidRDefault="00FA14A4" w:rsidP="00347614">
            <w:pPr>
              <w:spacing w:after="0" w:line="240" w:lineRule="auto"/>
              <w:contextualSpacing/>
              <w:jc w:val="center"/>
              <w:rPr>
                <w:rFonts w:ascii="Arial" w:hAnsi="Arial" w:cs="Arial"/>
                <w:b/>
                <w:bCs/>
                <w:color w:val="000000"/>
                <w:sz w:val="20"/>
              </w:rPr>
            </w:pPr>
            <w:r w:rsidRPr="00451DFF">
              <w:rPr>
                <w:rFonts w:ascii="Arial" w:hAnsi="Arial" w:cs="Arial"/>
                <w:b/>
                <w:bCs/>
                <w:color w:val="000000"/>
                <w:sz w:val="20"/>
              </w:rPr>
              <w:t>2016</w:t>
            </w:r>
          </w:p>
        </w:tc>
        <w:tc>
          <w:tcPr>
            <w:tcW w:w="1404" w:type="dxa"/>
            <w:tcBorders>
              <w:top w:val="single" w:sz="8" w:space="0" w:color="auto"/>
              <w:left w:val="nil"/>
              <w:bottom w:val="single" w:sz="8" w:space="0" w:color="auto"/>
              <w:right w:val="single" w:sz="8" w:space="0" w:color="auto"/>
            </w:tcBorders>
            <w:shd w:val="clear" w:color="000000" w:fill="BFBFBF"/>
            <w:noWrap/>
            <w:vAlign w:val="center"/>
            <w:hideMark/>
          </w:tcPr>
          <w:p w14:paraId="0F9388BD" w14:textId="77777777" w:rsidR="00FA14A4" w:rsidRPr="00451DFF" w:rsidRDefault="00FA14A4" w:rsidP="00347614">
            <w:pPr>
              <w:spacing w:after="0" w:line="240" w:lineRule="auto"/>
              <w:contextualSpacing/>
              <w:jc w:val="center"/>
              <w:rPr>
                <w:rFonts w:ascii="Arial" w:hAnsi="Arial" w:cs="Arial"/>
                <w:b/>
                <w:bCs/>
                <w:color w:val="000000"/>
                <w:sz w:val="20"/>
              </w:rPr>
            </w:pPr>
            <w:r w:rsidRPr="00451DFF">
              <w:rPr>
                <w:rFonts w:ascii="Arial" w:hAnsi="Arial" w:cs="Arial"/>
                <w:b/>
                <w:bCs/>
                <w:color w:val="000000"/>
                <w:sz w:val="20"/>
              </w:rPr>
              <w:t>2017</w:t>
            </w:r>
          </w:p>
        </w:tc>
      </w:tr>
      <w:tr w:rsidR="00FA14A4" w:rsidRPr="00451DFF" w14:paraId="7B40CBE5" w14:textId="77777777" w:rsidTr="00347614">
        <w:trPr>
          <w:trHeight w:val="306"/>
        </w:trPr>
        <w:tc>
          <w:tcPr>
            <w:tcW w:w="743" w:type="dxa"/>
            <w:vMerge w:val="restart"/>
            <w:tcBorders>
              <w:top w:val="single" w:sz="8" w:space="0" w:color="auto"/>
              <w:left w:val="single" w:sz="8" w:space="0" w:color="auto"/>
              <w:bottom w:val="single" w:sz="8" w:space="0" w:color="000000"/>
              <w:right w:val="single" w:sz="8" w:space="0" w:color="auto"/>
            </w:tcBorders>
            <w:shd w:val="clear" w:color="000000" w:fill="92D050"/>
            <w:textDirection w:val="btLr"/>
            <w:vAlign w:val="center"/>
            <w:hideMark/>
          </w:tcPr>
          <w:p w14:paraId="313A226F" w14:textId="77777777" w:rsidR="00FA14A4" w:rsidRPr="00451DFF" w:rsidRDefault="00FA14A4" w:rsidP="00347614">
            <w:pPr>
              <w:spacing w:after="0" w:line="240" w:lineRule="auto"/>
              <w:contextualSpacing/>
              <w:jc w:val="center"/>
              <w:rPr>
                <w:rFonts w:ascii="Arial" w:hAnsi="Arial" w:cs="Arial"/>
                <w:b/>
                <w:bCs/>
                <w:color w:val="000000"/>
              </w:rPr>
            </w:pPr>
            <w:r w:rsidRPr="00451DFF">
              <w:rPr>
                <w:rFonts w:ascii="Arial" w:hAnsi="Arial" w:cs="Arial"/>
                <w:b/>
                <w:bCs/>
                <w:color w:val="000000"/>
              </w:rPr>
              <w:t>Met-Ed</w:t>
            </w:r>
          </w:p>
        </w:tc>
        <w:tc>
          <w:tcPr>
            <w:tcW w:w="2932" w:type="dxa"/>
            <w:tcBorders>
              <w:top w:val="single" w:sz="4" w:space="0" w:color="auto"/>
              <w:left w:val="nil"/>
              <w:bottom w:val="single" w:sz="4" w:space="0" w:color="auto"/>
              <w:right w:val="single" w:sz="4" w:space="0" w:color="auto"/>
            </w:tcBorders>
            <w:shd w:val="clear" w:color="000000" w:fill="F2F2F2"/>
            <w:noWrap/>
            <w:vAlign w:val="center"/>
            <w:hideMark/>
          </w:tcPr>
          <w:p w14:paraId="1E47DAF6" w14:textId="77777777" w:rsidR="00FA14A4" w:rsidRPr="00451DFF" w:rsidRDefault="00FA14A4" w:rsidP="00347614">
            <w:pPr>
              <w:spacing w:after="0" w:line="240" w:lineRule="auto"/>
              <w:contextualSpacing/>
              <w:rPr>
                <w:rFonts w:ascii="Arial" w:hAnsi="Arial" w:cs="Arial"/>
                <w:b/>
                <w:bCs/>
                <w:color w:val="000000"/>
                <w:sz w:val="20"/>
              </w:rPr>
            </w:pPr>
            <w:r w:rsidRPr="00451DFF">
              <w:rPr>
                <w:rFonts w:ascii="Arial" w:hAnsi="Arial" w:cs="Arial"/>
                <w:b/>
                <w:bCs/>
                <w:color w:val="000000"/>
                <w:sz w:val="20"/>
              </w:rPr>
              <w:t>Annual Issues ($)</w:t>
            </w:r>
          </w:p>
        </w:tc>
        <w:tc>
          <w:tcPr>
            <w:tcW w:w="1372" w:type="dxa"/>
            <w:tcBorders>
              <w:top w:val="nil"/>
              <w:left w:val="nil"/>
              <w:bottom w:val="single" w:sz="4" w:space="0" w:color="auto"/>
              <w:right w:val="single" w:sz="4" w:space="0" w:color="auto"/>
            </w:tcBorders>
            <w:shd w:val="clear" w:color="000000" w:fill="D9D9D9"/>
            <w:noWrap/>
            <w:vAlign w:val="center"/>
            <w:hideMark/>
          </w:tcPr>
          <w:p w14:paraId="45A7D2A7" w14:textId="77777777" w:rsidR="00FA14A4" w:rsidRPr="00451DFF" w:rsidRDefault="00FA14A4" w:rsidP="00347614">
            <w:pPr>
              <w:spacing w:after="0" w:line="240" w:lineRule="auto"/>
              <w:contextualSpacing/>
              <w:jc w:val="center"/>
              <w:rPr>
                <w:rFonts w:ascii="Arial" w:hAnsi="Arial" w:cs="Arial"/>
                <w:color w:val="000000"/>
                <w:sz w:val="20"/>
              </w:rPr>
            </w:pPr>
            <w:r w:rsidRPr="00451DFF">
              <w:rPr>
                <w:rFonts w:ascii="Arial" w:hAnsi="Arial" w:cs="Arial"/>
                <w:color w:val="000000"/>
                <w:sz w:val="20"/>
              </w:rPr>
              <w:t>$9,160,076</w:t>
            </w:r>
          </w:p>
        </w:tc>
        <w:tc>
          <w:tcPr>
            <w:tcW w:w="1372" w:type="dxa"/>
            <w:tcBorders>
              <w:top w:val="nil"/>
              <w:left w:val="nil"/>
              <w:bottom w:val="single" w:sz="4" w:space="0" w:color="auto"/>
              <w:right w:val="single" w:sz="4" w:space="0" w:color="auto"/>
            </w:tcBorders>
            <w:shd w:val="clear" w:color="000000" w:fill="D9D9D9"/>
            <w:noWrap/>
            <w:vAlign w:val="center"/>
            <w:hideMark/>
          </w:tcPr>
          <w:p w14:paraId="52492EDA" w14:textId="77777777" w:rsidR="00FA14A4" w:rsidRPr="00451DFF" w:rsidRDefault="00FA14A4" w:rsidP="00347614">
            <w:pPr>
              <w:spacing w:after="0" w:line="240" w:lineRule="auto"/>
              <w:contextualSpacing/>
              <w:jc w:val="center"/>
              <w:rPr>
                <w:rFonts w:ascii="Arial" w:hAnsi="Arial" w:cs="Arial"/>
                <w:color w:val="000000"/>
                <w:sz w:val="20"/>
              </w:rPr>
            </w:pPr>
            <w:r w:rsidRPr="00451DFF">
              <w:rPr>
                <w:rFonts w:ascii="Arial" w:hAnsi="Arial" w:cs="Arial"/>
                <w:color w:val="000000"/>
                <w:sz w:val="20"/>
              </w:rPr>
              <w:t>$10,678,126</w:t>
            </w:r>
          </w:p>
        </w:tc>
        <w:tc>
          <w:tcPr>
            <w:tcW w:w="1372" w:type="dxa"/>
            <w:tcBorders>
              <w:top w:val="nil"/>
              <w:left w:val="nil"/>
              <w:bottom w:val="single" w:sz="4" w:space="0" w:color="auto"/>
              <w:right w:val="single" w:sz="4" w:space="0" w:color="auto"/>
            </w:tcBorders>
            <w:shd w:val="clear" w:color="000000" w:fill="D9D9D9"/>
            <w:noWrap/>
            <w:vAlign w:val="center"/>
            <w:hideMark/>
          </w:tcPr>
          <w:p w14:paraId="5C974765" w14:textId="77777777" w:rsidR="00FA14A4" w:rsidRPr="00451DFF" w:rsidRDefault="00FA14A4" w:rsidP="00347614">
            <w:pPr>
              <w:spacing w:after="0" w:line="240" w:lineRule="auto"/>
              <w:contextualSpacing/>
              <w:jc w:val="center"/>
              <w:rPr>
                <w:rFonts w:ascii="Arial" w:hAnsi="Arial" w:cs="Arial"/>
                <w:color w:val="000000"/>
                <w:sz w:val="20"/>
              </w:rPr>
            </w:pPr>
            <w:r w:rsidRPr="00451DFF">
              <w:rPr>
                <w:rFonts w:ascii="Arial" w:hAnsi="Arial" w:cs="Arial"/>
                <w:color w:val="000000"/>
                <w:sz w:val="20"/>
              </w:rPr>
              <w:t>$10,390,331</w:t>
            </w:r>
          </w:p>
        </w:tc>
        <w:tc>
          <w:tcPr>
            <w:tcW w:w="1404" w:type="dxa"/>
            <w:tcBorders>
              <w:top w:val="nil"/>
              <w:left w:val="nil"/>
              <w:bottom w:val="single" w:sz="4" w:space="0" w:color="auto"/>
              <w:right w:val="single" w:sz="4" w:space="0" w:color="auto"/>
            </w:tcBorders>
            <w:shd w:val="clear" w:color="000000" w:fill="D9D9D9"/>
            <w:noWrap/>
            <w:vAlign w:val="center"/>
            <w:hideMark/>
          </w:tcPr>
          <w:p w14:paraId="329AE49B" w14:textId="77777777" w:rsidR="00FA14A4" w:rsidRPr="00451DFF" w:rsidRDefault="00FA14A4" w:rsidP="00347614">
            <w:pPr>
              <w:spacing w:after="0" w:line="240" w:lineRule="auto"/>
              <w:contextualSpacing/>
              <w:jc w:val="center"/>
              <w:rPr>
                <w:rFonts w:ascii="Arial" w:hAnsi="Arial" w:cs="Arial"/>
                <w:color w:val="000000"/>
                <w:sz w:val="20"/>
              </w:rPr>
            </w:pPr>
            <w:r w:rsidRPr="00451DFF">
              <w:rPr>
                <w:rFonts w:ascii="Arial" w:hAnsi="Arial" w:cs="Arial"/>
                <w:color w:val="000000"/>
                <w:sz w:val="20"/>
              </w:rPr>
              <w:t>$11,556,800</w:t>
            </w:r>
          </w:p>
        </w:tc>
      </w:tr>
      <w:tr w:rsidR="00FA14A4" w:rsidRPr="00451DFF" w14:paraId="6BD864C9" w14:textId="77777777" w:rsidTr="00347614">
        <w:trPr>
          <w:trHeight w:val="306"/>
        </w:trPr>
        <w:tc>
          <w:tcPr>
            <w:tcW w:w="743" w:type="dxa"/>
            <w:vMerge/>
            <w:tcBorders>
              <w:top w:val="single" w:sz="8" w:space="0" w:color="auto"/>
              <w:left w:val="single" w:sz="8" w:space="0" w:color="auto"/>
              <w:bottom w:val="single" w:sz="8" w:space="0" w:color="000000"/>
              <w:right w:val="single" w:sz="8" w:space="0" w:color="auto"/>
            </w:tcBorders>
            <w:vAlign w:val="center"/>
            <w:hideMark/>
          </w:tcPr>
          <w:p w14:paraId="7FDB1C3B" w14:textId="77777777" w:rsidR="00FA14A4" w:rsidRPr="00451DFF" w:rsidRDefault="00FA14A4" w:rsidP="00347614">
            <w:pPr>
              <w:spacing w:after="0" w:line="240" w:lineRule="auto"/>
              <w:contextualSpacing/>
              <w:rPr>
                <w:rFonts w:ascii="Arial" w:hAnsi="Arial" w:cs="Arial"/>
                <w:b/>
                <w:bCs/>
                <w:color w:val="000000"/>
              </w:rPr>
            </w:pPr>
          </w:p>
        </w:tc>
        <w:tc>
          <w:tcPr>
            <w:tcW w:w="2932" w:type="dxa"/>
            <w:tcBorders>
              <w:top w:val="nil"/>
              <w:left w:val="nil"/>
              <w:bottom w:val="single" w:sz="4" w:space="0" w:color="auto"/>
              <w:right w:val="single" w:sz="4" w:space="0" w:color="auto"/>
            </w:tcBorders>
            <w:shd w:val="clear" w:color="000000" w:fill="F2F2F2"/>
            <w:noWrap/>
            <w:vAlign w:val="center"/>
            <w:hideMark/>
          </w:tcPr>
          <w:p w14:paraId="13D6F002" w14:textId="77777777" w:rsidR="00FA14A4" w:rsidRPr="00451DFF" w:rsidRDefault="00FA14A4" w:rsidP="00347614">
            <w:pPr>
              <w:spacing w:after="0" w:line="240" w:lineRule="auto"/>
              <w:contextualSpacing/>
              <w:rPr>
                <w:rFonts w:ascii="Arial" w:hAnsi="Arial" w:cs="Arial"/>
                <w:b/>
                <w:bCs/>
                <w:color w:val="000000"/>
                <w:sz w:val="20"/>
              </w:rPr>
            </w:pPr>
            <w:r w:rsidRPr="00451DFF">
              <w:rPr>
                <w:rFonts w:ascii="Arial" w:hAnsi="Arial" w:cs="Arial"/>
                <w:b/>
                <w:bCs/>
                <w:color w:val="000000"/>
                <w:sz w:val="20"/>
              </w:rPr>
              <w:t>Average Inventory Balances</w:t>
            </w:r>
          </w:p>
        </w:tc>
        <w:tc>
          <w:tcPr>
            <w:tcW w:w="1372" w:type="dxa"/>
            <w:tcBorders>
              <w:top w:val="nil"/>
              <w:left w:val="nil"/>
              <w:bottom w:val="single" w:sz="4" w:space="0" w:color="auto"/>
              <w:right w:val="single" w:sz="4" w:space="0" w:color="auto"/>
            </w:tcBorders>
            <w:shd w:val="clear" w:color="000000" w:fill="D9D9D9"/>
            <w:noWrap/>
            <w:vAlign w:val="center"/>
            <w:hideMark/>
          </w:tcPr>
          <w:p w14:paraId="37C237D9" w14:textId="77777777" w:rsidR="00FA14A4" w:rsidRPr="00451DFF" w:rsidRDefault="00FA14A4" w:rsidP="00347614">
            <w:pPr>
              <w:spacing w:after="0" w:line="240" w:lineRule="auto"/>
              <w:contextualSpacing/>
              <w:jc w:val="center"/>
              <w:rPr>
                <w:rFonts w:ascii="Arial" w:hAnsi="Arial" w:cs="Arial"/>
                <w:color w:val="000000"/>
                <w:sz w:val="20"/>
              </w:rPr>
            </w:pPr>
            <w:r w:rsidRPr="00451DFF">
              <w:rPr>
                <w:rFonts w:ascii="Arial" w:hAnsi="Arial" w:cs="Arial"/>
                <w:color w:val="000000"/>
                <w:sz w:val="20"/>
              </w:rPr>
              <w:t>$9,684,002</w:t>
            </w:r>
          </w:p>
        </w:tc>
        <w:tc>
          <w:tcPr>
            <w:tcW w:w="1372" w:type="dxa"/>
            <w:tcBorders>
              <w:top w:val="nil"/>
              <w:left w:val="nil"/>
              <w:bottom w:val="single" w:sz="4" w:space="0" w:color="auto"/>
              <w:right w:val="single" w:sz="4" w:space="0" w:color="auto"/>
            </w:tcBorders>
            <w:shd w:val="clear" w:color="000000" w:fill="D9D9D9"/>
            <w:noWrap/>
            <w:vAlign w:val="center"/>
            <w:hideMark/>
          </w:tcPr>
          <w:p w14:paraId="30E53F5F" w14:textId="77777777" w:rsidR="00FA14A4" w:rsidRPr="00451DFF" w:rsidRDefault="00FA14A4" w:rsidP="00347614">
            <w:pPr>
              <w:spacing w:after="0" w:line="240" w:lineRule="auto"/>
              <w:contextualSpacing/>
              <w:jc w:val="center"/>
              <w:rPr>
                <w:rFonts w:ascii="Arial" w:hAnsi="Arial" w:cs="Arial"/>
                <w:color w:val="000000"/>
                <w:sz w:val="20"/>
              </w:rPr>
            </w:pPr>
            <w:r w:rsidRPr="00451DFF">
              <w:rPr>
                <w:rFonts w:ascii="Arial" w:hAnsi="Arial" w:cs="Arial"/>
                <w:color w:val="000000"/>
                <w:sz w:val="20"/>
              </w:rPr>
              <w:t>$9,023,105</w:t>
            </w:r>
          </w:p>
        </w:tc>
        <w:tc>
          <w:tcPr>
            <w:tcW w:w="1372" w:type="dxa"/>
            <w:tcBorders>
              <w:top w:val="nil"/>
              <w:left w:val="nil"/>
              <w:bottom w:val="single" w:sz="4" w:space="0" w:color="auto"/>
              <w:right w:val="single" w:sz="4" w:space="0" w:color="auto"/>
            </w:tcBorders>
            <w:shd w:val="clear" w:color="000000" w:fill="D9D9D9"/>
            <w:noWrap/>
            <w:vAlign w:val="center"/>
            <w:hideMark/>
          </w:tcPr>
          <w:p w14:paraId="65BCFA8C" w14:textId="77777777" w:rsidR="00FA14A4" w:rsidRPr="00451DFF" w:rsidRDefault="00FA14A4" w:rsidP="00347614">
            <w:pPr>
              <w:spacing w:after="0" w:line="240" w:lineRule="auto"/>
              <w:contextualSpacing/>
              <w:jc w:val="center"/>
              <w:rPr>
                <w:rFonts w:ascii="Arial" w:hAnsi="Arial" w:cs="Arial"/>
                <w:color w:val="000000"/>
                <w:sz w:val="20"/>
              </w:rPr>
            </w:pPr>
            <w:r w:rsidRPr="00451DFF">
              <w:rPr>
                <w:rFonts w:ascii="Arial" w:hAnsi="Arial" w:cs="Arial"/>
                <w:color w:val="000000"/>
                <w:sz w:val="20"/>
              </w:rPr>
              <w:t>$8,736,059</w:t>
            </w:r>
          </w:p>
        </w:tc>
        <w:tc>
          <w:tcPr>
            <w:tcW w:w="1404" w:type="dxa"/>
            <w:tcBorders>
              <w:top w:val="nil"/>
              <w:left w:val="nil"/>
              <w:bottom w:val="single" w:sz="4" w:space="0" w:color="auto"/>
              <w:right w:val="single" w:sz="4" w:space="0" w:color="auto"/>
            </w:tcBorders>
            <w:shd w:val="clear" w:color="000000" w:fill="D9D9D9"/>
            <w:noWrap/>
            <w:vAlign w:val="center"/>
            <w:hideMark/>
          </w:tcPr>
          <w:p w14:paraId="1DE4C14D" w14:textId="77777777" w:rsidR="00FA14A4" w:rsidRPr="00451DFF" w:rsidRDefault="00FA14A4" w:rsidP="00347614">
            <w:pPr>
              <w:spacing w:after="0" w:line="240" w:lineRule="auto"/>
              <w:contextualSpacing/>
              <w:jc w:val="center"/>
              <w:rPr>
                <w:rFonts w:ascii="Arial" w:hAnsi="Arial" w:cs="Arial"/>
                <w:color w:val="000000"/>
                <w:sz w:val="20"/>
              </w:rPr>
            </w:pPr>
            <w:r w:rsidRPr="00451DFF">
              <w:rPr>
                <w:rFonts w:ascii="Arial" w:hAnsi="Arial" w:cs="Arial"/>
                <w:color w:val="000000"/>
                <w:sz w:val="20"/>
              </w:rPr>
              <w:t>$9,659,460</w:t>
            </w:r>
          </w:p>
        </w:tc>
      </w:tr>
      <w:tr w:rsidR="00FA14A4" w:rsidRPr="00451DFF" w14:paraId="118C4D3B" w14:textId="77777777" w:rsidTr="00347614">
        <w:trPr>
          <w:trHeight w:val="306"/>
        </w:trPr>
        <w:tc>
          <w:tcPr>
            <w:tcW w:w="743" w:type="dxa"/>
            <w:vMerge/>
            <w:tcBorders>
              <w:top w:val="single" w:sz="8" w:space="0" w:color="auto"/>
              <w:left w:val="single" w:sz="8" w:space="0" w:color="auto"/>
              <w:bottom w:val="single" w:sz="8" w:space="0" w:color="000000"/>
              <w:right w:val="single" w:sz="8" w:space="0" w:color="auto"/>
            </w:tcBorders>
            <w:vAlign w:val="center"/>
            <w:hideMark/>
          </w:tcPr>
          <w:p w14:paraId="679F6D9A" w14:textId="77777777" w:rsidR="00FA14A4" w:rsidRPr="00451DFF" w:rsidRDefault="00FA14A4" w:rsidP="00347614">
            <w:pPr>
              <w:spacing w:after="0" w:line="240" w:lineRule="auto"/>
              <w:contextualSpacing/>
              <w:rPr>
                <w:rFonts w:ascii="Arial" w:hAnsi="Arial" w:cs="Arial"/>
                <w:b/>
                <w:bCs/>
                <w:color w:val="000000"/>
              </w:rPr>
            </w:pPr>
          </w:p>
        </w:tc>
        <w:tc>
          <w:tcPr>
            <w:tcW w:w="2932" w:type="dxa"/>
            <w:tcBorders>
              <w:top w:val="nil"/>
              <w:left w:val="nil"/>
              <w:bottom w:val="single" w:sz="4" w:space="0" w:color="auto"/>
              <w:right w:val="single" w:sz="4" w:space="0" w:color="auto"/>
            </w:tcBorders>
            <w:shd w:val="clear" w:color="000000" w:fill="FCD5B4"/>
            <w:noWrap/>
            <w:vAlign w:val="center"/>
            <w:hideMark/>
          </w:tcPr>
          <w:p w14:paraId="6A3C8D13" w14:textId="77777777" w:rsidR="00FA14A4" w:rsidRPr="00451DFF" w:rsidRDefault="00FA14A4" w:rsidP="00347614">
            <w:pPr>
              <w:spacing w:after="0" w:line="240" w:lineRule="auto"/>
              <w:contextualSpacing/>
              <w:rPr>
                <w:rFonts w:ascii="Arial" w:hAnsi="Arial" w:cs="Arial"/>
                <w:b/>
                <w:bCs/>
                <w:color w:val="000000"/>
                <w:sz w:val="20"/>
              </w:rPr>
            </w:pPr>
            <w:r w:rsidRPr="00451DFF">
              <w:rPr>
                <w:rFonts w:ascii="Arial" w:hAnsi="Arial" w:cs="Arial"/>
                <w:b/>
                <w:bCs/>
                <w:color w:val="000000"/>
                <w:sz w:val="20"/>
              </w:rPr>
              <w:t>Inventory Turnover Levels</w:t>
            </w:r>
          </w:p>
        </w:tc>
        <w:tc>
          <w:tcPr>
            <w:tcW w:w="1372" w:type="dxa"/>
            <w:tcBorders>
              <w:top w:val="nil"/>
              <w:left w:val="nil"/>
              <w:bottom w:val="single" w:sz="4" w:space="0" w:color="auto"/>
              <w:right w:val="single" w:sz="4" w:space="0" w:color="auto"/>
            </w:tcBorders>
            <w:shd w:val="clear" w:color="auto" w:fill="auto"/>
            <w:noWrap/>
            <w:vAlign w:val="center"/>
            <w:hideMark/>
          </w:tcPr>
          <w:p w14:paraId="2FFD13D4" w14:textId="77777777" w:rsidR="00FA14A4" w:rsidRPr="00451DFF" w:rsidRDefault="00FA14A4" w:rsidP="00347614">
            <w:pPr>
              <w:spacing w:after="0" w:line="240" w:lineRule="auto"/>
              <w:contextualSpacing/>
              <w:jc w:val="center"/>
              <w:rPr>
                <w:rFonts w:ascii="Arial" w:hAnsi="Arial" w:cs="Arial"/>
                <w:b/>
                <w:bCs/>
                <w:color w:val="000000"/>
                <w:sz w:val="20"/>
              </w:rPr>
            </w:pPr>
            <w:r w:rsidRPr="00451DFF">
              <w:rPr>
                <w:rFonts w:ascii="Arial" w:hAnsi="Arial" w:cs="Arial"/>
                <w:b/>
                <w:bCs/>
                <w:color w:val="000000"/>
                <w:sz w:val="20"/>
              </w:rPr>
              <w:t>0.95</w:t>
            </w:r>
          </w:p>
        </w:tc>
        <w:tc>
          <w:tcPr>
            <w:tcW w:w="1372" w:type="dxa"/>
            <w:tcBorders>
              <w:top w:val="nil"/>
              <w:left w:val="nil"/>
              <w:bottom w:val="single" w:sz="4" w:space="0" w:color="auto"/>
              <w:right w:val="single" w:sz="4" w:space="0" w:color="auto"/>
            </w:tcBorders>
            <w:shd w:val="clear" w:color="auto" w:fill="auto"/>
            <w:noWrap/>
            <w:vAlign w:val="center"/>
            <w:hideMark/>
          </w:tcPr>
          <w:p w14:paraId="1AEE8482" w14:textId="77777777" w:rsidR="00FA14A4" w:rsidRPr="00451DFF" w:rsidRDefault="00FA14A4" w:rsidP="00347614">
            <w:pPr>
              <w:spacing w:after="0" w:line="240" w:lineRule="auto"/>
              <w:contextualSpacing/>
              <w:jc w:val="center"/>
              <w:rPr>
                <w:rFonts w:ascii="Arial" w:hAnsi="Arial" w:cs="Arial"/>
                <w:b/>
                <w:bCs/>
                <w:color w:val="000000"/>
                <w:sz w:val="20"/>
              </w:rPr>
            </w:pPr>
            <w:r w:rsidRPr="00451DFF">
              <w:rPr>
                <w:rFonts w:ascii="Arial" w:hAnsi="Arial" w:cs="Arial"/>
                <w:b/>
                <w:bCs/>
                <w:color w:val="000000"/>
                <w:sz w:val="20"/>
              </w:rPr>
              <w:t>1.18</w:t>
            </w:r>
          </w:p>
        </w:tc>
        <w:tc>
          <w:tcPr>
            <w:tcW w:w="1372" w:type="dxa"/>
            <w:tcBorders>
              <w:top w:val="nil"/>
              <w:left w:val="nil"/>
              <w:bottom w:val="single" w:sz="4" w:space="0" w:color="auto"/>
              <w:right w:val="single" w:sz="4" w:space="0" w:color="auto"/>
            </w:tcBorders>
            <w:shd w:val="clear" w:color="auto" w:fill="auto"/>
            <w:noWrap/>
            <w:vAlign w:val="center"/>
            <w:hideMark/>
          </w:tcPr>
          <w:p w14:paraId="4B5E368F" w14:textId="77777777" w:rsidR="00FA14A4" w:rsidRPr="00451DFF" w:rsidRDefault="00FA14A4" w:rsidP="00347614">
            <w:pPr>
              <w:spacing w:after="0" w:line="240" w:lineRule="auto"/>
              <w:contextualSpacing/>
              <w:jc w:val="center"/>
              <w:rPr>
                <w:rFonts w:ascii="Arial" w:hAnsi="Arial" w:cs="Arial"/>
                <w:b/>
                <w:bCs/>
                <w:color w:val="000000"/>
                <w:sz w:val="20"/>
              </w:rPr>
            </w:pPr>
            <w:r w:rsidRPr="00451DFF">
              <w:rPr>
                <w:rFonts w:ascii="Arial" w:hAnsi="Arial" w:cs="Arial"/>
                <w:b/>
                <w:bCs/>
                <w:color w:val="000000"/>
                <w:sz w:val="20"/>
              </w:rPr>
              <w:t>1.19</w:t>
            </w:r>
          </w:p>
        </w:tc>
        <w:tc>
          <w:tcPr>
            <w:tcW w:w="1404" w:type="dxa"/>
            <w:tcBorders>
              <w:top w:val="nil"/>
              <w:left w:val="nil"/>
              <w:bottom w:val="single" w:sz="4" w:space="0" w:color="auto"/>
              <w:right w:val="single" w:sz="4" w:space="0" w:color="auto"/>
            </w:tcBorders>
            <w:shd w:val="clear" w:color="auto" w:fill="auto"/>
            <w:noWrap/>
            <w:vAlign w:val="center"/>
            <w:hideMark/>
          </w:tcPr>
          <w:p w14:paraId="785FE2CA" w14:textId="77777777" w:rsidR="00FA14A4" w:rsidRPr="00451DFF" w:rsidRDefault="00FA14A4" w:rsidP="00347614">
            <w:pPr>
              <w:spacing w:after="0" w:line="240" w:lineRule="auto"/>
              <w:contextualSpacing/>
              <w:jc w:val="center"/>
              <w:rPr>
                <w:rFonts w:ascii="Arial" w:hAnsi="Arial" w:cs="Arial"/>
                <w:b/>
                <w:bCs/>
                <w:color w:val="000000"/>
                <w:sz w:val="20"/>
              </w:rPr>
            </w:pPr>
            <w:r w:rsidRPr="00451DFF">
              <w:rPr>
                <w:rFonts w:ascii="Arial" w:hAnsi="Arial" w:cs="Arial"/>
                <w:b/>
                <w:bCs/>
                <w:color w:val="000000"/>
                <w:sz w:val="20"/>
              </w:rPr>
              <w:t>1.20</w:t>
            </w:r>
          </w:p>
        </w:tc>
      </w:tr>
      <w:tr w:rsidR="00FA14A4" w:rsidRPr="00451DFF" w14:paraId="1068A111" w14:textId="77777777" w:rsidTr="00347614">
        <w:trPr>
          <w:trHeight w:val="119"/>
        </w:trPr>
        <w:tc>
          <w:tcPr>
            <w:tcW w:w="743" w:type="dxa"/>
            <w:tcBorders>
              <w:top w:val="nil"/>
              <w:left w:val="nil"/>
              <w:bottom w:val="nil"/>
              <w:right w:val="nil"/>
            </w:tcBorders>
            <w:shd w:val="clear" w:color="000000" w:fill="000000"/>
            <w:textDirection w:val="btLr"/>
            <w:vAlign w:val="center"/>
            <w:hideMark/>
          </w:tcPr>
          <w:p w14:paraId="4E7B8F00" w14:textId="77777777" w:rsidR="00FA14A4" w:rsidRPr="00451DFF" w:rsidRDefault="00FA14A4" w:rsidP="00347614">
            <w:pPr>
              <w:spacing w:after="0" w:line="240" w:lineRule="auto"/>
              <w:contextualSpacing/>
              <w:rPr>
                <w:rFonts w:ascii="Arial" w:hAnsi="Arial" w:cs="Arial"/>
                <w:b/>
                <w:bCs/>
                <w:color w:val="000000"/>
                <w:sz w:val="6"/>
                <w:szCs w:val="6"/>
              </w:rPr>
            </w:pPr>
            <w:r w:rsidRPr="00451DFF">
              <w:rPr>
                <w:rFonts w:ascii="Arial" w:hAnsi="Arial" w:cs="Arial"/>
                <w:b/>
                <w:bCs/>
                <w:color w:val="000000"/>
                <w:sz w:val="6"/>
                <w:szCs w:val="6"/>
              </w:rPr>
              <w:t> </w:t>
            </w:r>
          </w:p>
        </w:tc>
        <w:tc>
          <w:tcPr>
            <w:tcW w:w="2932" w:type="dxa"/>
            <w:tcBorders>
              <w:top w:val="nil"/>
              <w:left w:val="nil"/>
              <w:bottom w:val="nil"/>
              <w:right w:val="nil"/>
            </w:tcBorders>
            <w:shd w:val="clear" w:color="000000" w:fill="000000"/>
            <w:noWrap/>
            <w:vAlign w:val="bottom"/>
            <w:hideMark/>
          </w:tcPr>
          <w:p w14:paraId="7529C02C" w14:textId="77777777" w:rsidR="00FA14A4" w:rsidRPr="00451DFF" w:rsidRDefault="00FA14A4" w:rsidP="00347614">
            <w:pPr>
              <w:spacing w:after="0" w:line="240" w:lineRule="auto"/>
              <w:contextualSpacing/>
              <w:rPr>
                <w:rFonts w:ascii="Arial" w:hAnsi="Arial" w:cs="Arial"/>
                <w:color w:val="000000"/>
                <w:sz w:val="6"/>
                <w:szCs w:val="6"/>
              </w:rPr>
            </w:pPr>
            <w:r w:rsidRPr="00451DFF">
              <w:rPr>
                <w:rFonts w:ascii="Arial" w:hAnsi="Arial" w:cs="Arial"/>
                <w:color w:val="000000"/>
                <w:sz w:val="6"/>
                <w:szCs w:val="6"/>
              </w:rPr>
              <w:t> </w:t>
            </w:r>
          </w:p>
        </w:tc>
        <w:tc>
          <w:tcPr>
            <w:tcW w:w="1372" w:type="dxa"/>
            <w:tcBorders>
              <w:top w:val="nil"/>
              <w:left w:val="nil"/>
              <w:bottom w:val="nil"/>
              <w:right w:val="nil"/>
            </w:tcBorders>
            <w:shd w:val="clear" w:color="000000" w:fill="000000"/>
            <w:noWrap/>
            <w:vAlign w:val="center"/>
            <w:hideMark/>
          </w:tcPr>
          <w:p w14:paraId="5DBE5BA2" w14:textId="77777777" w:rsidR="00FA14A4" w:rsidRPr="00451DFF" w:rsidRDefault="00FA14A4" w:rsidP="00347614">
            <w:pPr>
              <w:spacing w:after="0" w:line="240" w:lineRule="auto"/>
              <w:contextualSpacing/>
              <w:jc w:val="center"/>
              <w:rPr>
                <w:rFonts w:ascii="Arial" w:hAnsi="Arial" w:cs="Arial"/>
                <w:color w:val="000000"/>
                <w:sz w:val="6"/>
                <w:szCs w:val="6"/>
              </w:rPr>
            </w:pPr>
          </w:p>
        </w:tc>
        <w:tc>
          <w:tcPr>
            <w:tcW w:w="1372" w:type="dxa"/>
            <w:tcBorders>
              <w:top w:val="nil"/>
              <w:left w:val="nil"/>
              <w:bottom w:val="nil"/>
              <w:right w:val="nil"/>
            </w:tcBorders>
            <w:shd w:val="clear" w:color="000000" w:fill="000000"/>
            <w:noWrap/>
            <w:vAlign w:val="center"/>
            <w:hideMark/>
          </w:tcPr>
          <w:p w14:paraId="6ACE353C" w14:textId="77777777" w:rsidR="00FA14A4" w:rsidRPr="00451DFF" w:rsidRDefault="00FA14A4" w:rsidP="00347614">
            <w:pPr>
              <w:spacing w:after="0" w:line="240" w:lineRule="auto"/>
              <w:contextualSpacing/>
              <w:jc w:val="center"/>
              <w:rPr>
                <w:rFonts w:ascii="Arial" w:hAnsi="Arial" w:cs="Arial"/>
                <w:color w:val="000000"/>
                <w:sz w:val="6"/>
                <w:szCs w:val="6"/>
              </w:rPr>
            </w:pPr>
          </w:p>
        </w:tc>
        <w:tc>
          <w:tcPr>
            <w:tcW w:w="1372" w:type="dxa"/>
            <w:tcBorders>
              <w:top w:val="nil"/>
              <w:left w:val="nil"/>
              <w:bottom w:val="nil"/>
              <w:right w:val="nil"/>
            </w:tcBorders>
            <w:shd w:val="clear" w:color="000000" w:fill="000000"/>
            <w:noWrap/>
            <w:vAlign w:val="center"/>
            <w:hideMark/>
          </w:tcPr>
          <w:p w14:paraId="03DD2168" w14:textId="77777777" w:rsidR="00FA14A4" w:rsidRPr="00451DFF" w:rsidRDefault="00FA14A4" w:rsidP="00347614">
            <w:pPr>
              <w:spacing w:after="0" w:line="240" w:lineRule="auto"/>
              <w:contextualSpacing/>
              <w:jc w:val="center"/>
              <w:rPr>
                <w:rFonts w:ascii="Arial" w:hAnsi="Arial" w:cs="Arial"/>
                <w:color w:val="000000"/>
                <w:sz w:val="6"/>
                <w:szCs w:val="6"/>
              </w:rPr>
            </w:pPr>
          </w:p>
        </w:tc>
        <w:tc>
          <w:tcPr>
            <w:tcW w:w="1404" w:type="dxa"/>
            <w:tcBorders>
              <w:top w:val="nil"/>
              <w:left w:val="nil"/>
              <w:bottom w:val="nil"/>
              <w:right w:val="nil"/>
            </w:tcBorders>
            <w:shd w:val="clear" w:color="000000" w:fill="000000"/>
            <w:noWrap/>
            <w:vAlign w:val="center"/>
            <w:hideMark/>
          </w:tcPr>
          <w:p w14:paraId="555747C1" w14:textId="77777777" w:rsidR="00FA14A4" w:rsidRPr="00451DFF" w:rsidRDefault="00FA14A4" w:rsidP="00347614">
            <w:pPr>
              <w:spacing w:after="0" w:line="240" w:lineRule="auto"/>
              <w:contextualSpacing/>
              <w:jc w:val="center"/>
              <w:rPr>
                <w:rFonts w:ascii="Arial" w:hAnsi="Arial" w:cs="Arial"/>
                <w:color w:val="000000"/>
                <w:sz w:val="20"/>
              </w:rPr>
            </w:pPr>
          </w:p>
        </w:tc>
      </w:tr>
      <w:tr w:rsidR="00FA14A4" w:rsidRPr="00451DFF" w14:paraId="12B5E818" w14:textId="77777777" w:rsidTr="00347614">
        <w:trPr>
          <w:trHeight w:val="306"/>
        </w:trPr>
        <w:tc>
          <w:tcPr>
            <w:tcW w:w="743" w:type="dxa"/>
            <w:vMerge w:val="restart"/>
            <w:tcBorders>
              <w:top w:val="single" w:sz="8" w:space="0" w:color="auto"/>
              <w:left w:val="single" w:sz="8" w:space="0" w:color="auto"/>
              <w:bottom w:val="single" w:sz="8" w:space="0" w:color="000000"/>
              <w:right w:val="single" w:sz="8" w:space="0" w:color="auto"/>
            </w:tcBorders>
            <w:shd w:val="clear" w:color="000000" w:fill="FFC000"/>
            <w:textDirection w:val="btLr"/>
            <w:vAlign w:val="center"/>
            <w:hideMark/>
          </w:tcPr>
          <w:p w14:paraId="18F7B683" w14:textId="77777777" w:rsidR="00FA14A4" w:rsidRPr="00451DFF" w:rsidRDefault="00FA14A4" w:rsidP="00347614">
            <w:pPr>
              <w:spacing w:after="0" w:line="240" w:lineRule="auto"/>
              <w:contextualSpacing/>
              <w:jc w:val="center"/>
              <w:rPr>
                <w:rFonts w:ascii="Arial" w:hAnsi="Arial" w:cs="Arial"/>
                <w:b/>
                <w:bCs/>
                <w:color w:val="000000"/>
              </w:rPr>
            </w:pPr>
            <w:r w:rsidRPr="00451DFF">
              <w:rPr>
                <w:rFonts w:ascii="Arial" w:hAnsi="Arial" w:cs="Arial"/>
                <w:b/>
                <w:bCs/>
                <w:color w:val="000000"/>
              </w:rPr>
              <w:t>Penelec</w:t>
            </w:r>
          </w:p>
        </w:tc>
        <w:tc>
          <w:tcPr>
            <w:tcW w:w="2932" w:type="dxa"/>
            <w:tcBorders>
              <w:top w:val="single" w:sz="4" w:space="0" w:color="auto"/>
              <w:left w:val="nil"/>
              <w:bottom w:val="single" w:sz="4" w:space="0" w:color="auto"/>
              <w:right w:val="single" w:sz="4" w:space="0" w:color="auto"/>
            </w:tcBorders>
            <w:shd w:val="clear" w:color="000000" w:fill="F2F2F2"/>
            <w:noWrap/>
            <w:vAlign w:val="center"/>
            <w:hideMark/>
          </w:tcPr>
          <w:p w14:paraId="72216EF1" w14:textId="77777777" w:rsidR="00FA14A4" w:rsidRPr="00451DFF" w:rsidRDefault="00FA14A4" w:rsidP="00347614">
            <w:pPr>
              <w:spacing w:after="0" w:line="240" w:lineRule="auto"/>
              <w:contextualSpacing/>
              <w:rPr>
                <w:rFonts w:ascii="Arial" w:hAnsi="Arial" w:cs="Arial"/>
                <w:b/>
                <w:bCs/>
                <w:color w:val="000000"/>
                <w:sz w:val="20"/>
              </w:rPr>
            </w:pPr>
            <w:r w:rsidRPr="00451DFF">
              <w:rPr>
                <w:rFonts w:ascii="Arial" w:hAnsi="Arial" w:cs="Arial"/>
                <w:b/>
                <w:bCs/>
                <w:color w:val="000000"/>
                <w:sz w:val="20"/>
              </w:rPr>
              <w:t>Annual Issues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14:paraId="07AA0BF7" w14:textId="77777777" w:rsidR="00FA14A4" w:rsidRPr="00451DFF" w:rsidRDefault="00FA14A4" w:rsidP="00347614">
            <w:pPr>
              <w:spacing w:after="0" w:line="240" w:lineRule="auto"/>
              <w:contextualSpacing/>
              <w:jc w:val="center"/>
              <w:rPr>
                <w:rFonts w:ascii="Arial" w:hAnsi="Arial" w:cs="Arial"/>
                <w:color w:val="000000"/>
                <w:sz w:val="20"/>
              </w:rPr>
            </w:pPr>
            <w:r w:rsidRPr="00451DFF">
              <w:rPr>
                <w:rFonts w:ascii="Arial" w:hAnsi="Arial" w:cs="Arial"/>
                <w:color w:val="000000"/>
                <w:sz w:val="20"/>
              </w:rPr>
              <w:t>$11,711,800</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14:paraId="2199B250" w14:textId="77777777" w:rsidR="00FA14A4" w:rsidRPr="00451DFF" w:rsidRDefault="00FA14A4" w:rsidP="00347614">
            <w:pPr>
              <w:spacing w:after="0" w:line="240" w:lineRule="auto"/>
              <w:contextualSpacing/>
              <w:jc w:val="center"/>
              <w:rPr>
                <w:rFonts w:ascii="Arial" w:hAnsi="Arial" w:cs="Arial"/>
                <w:color w:val="000000"/>
                <w:sz w:val="20"/>
              </w:rPr>
            </w:pPr>
            <w:r w:rsidRPr="00451DFF">
              <w:rPr>
                <w:rFonts w:ascii="Arial" w:hAnsi="Arial" w:cs="Arial"/>
                <w:color w:val="000000"/>
                <w:sz w:val="20"/>
              </w:rPr>
              <w:t>$10,425,635</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14:paraId="205A67A7" w14:textId="77777777" w:rsidR="00FA14A4" w:rsidRPr="00451DFF" w:rsidRDefault="00FA14A4" w:rsidP="00347614">
            <w:pPr>
              <w:spacing w:after="0" w:line="240" w:lineRule="auto"/>
              <w:contextualSpacing/>
              <w:jc w:val="center"/>
              <w:rPr>
                <w:rFonts w:ascii="Arial" w:hAnsi="Arial" w:cs="Arial"/>
                <w:color w:val="000000"/>
                <w:sz w:val="20"/>
              </w:rPr>
            </w:pPr>
            <w:r w:rsidRPr="00451DFF">
              <w:rPr>
                <w:rFonts w:ascii="Arial" w:hAnsi="Arial" w:cs="Arial"/>
                <w:color w:val="000000"/>
                <w:sz w:val="20"/>
              </w:rPr>
              <w:t>$11,256,983</w:t>
            </w:r>
          </w:p>
        </w:tc>
        <w:tc>
          <w:tcPr>
            <w:tcW w:w="1404" w:type="dxa"/>
            <w:tcBorders>
              <w:top w:val="single" w:sz="4" w:space="0" w:color="auto"/>
              <w:left w:val="nil"/>
              <w:bottom w:val="single" w:sz="4" w:space="0" w:color="auto"/>
              <w:right w:val="single" w:sz="4" w:space="0" w:color="auto"/>
            </w:tcBorders>
            <w:shd w:val="clear" w:color="000000" w:fill="D9D9D9"/>
            <w:noWrap/>
            <w:vAlign w:val="center"/>
            <w:hideMark/>
          </w:tcPr>
          <w:p w14:paraId="47473B2C" w14:textId="77777777" w:rsidR="00FA14A4" w:rsidRPr="00451DFF" w:rsidRDefault="00FA14A4" w:rsidP="00347614">
            <w:pPr>
              <w:spacing w:after="0" w:line="240" w:lineRule="auto"/>
              <w:contextualSpacing/>
              <w:jc w:val="center"/>
              <w:rPr>
                <w:rFonts w:ascii="Arial" w:hAnsi="Arial" w:cs="Arial"/>
                <w:color w:val="000000"/>
                <w:sz w:val="20"/>
              </w:rPr>
            </w:pPr>
            <w:r w:rsidRPr="00451DFF">
              <w:rPr>
                <w:rFonts w:ascii="Arial" w:hAnsi="Arial" w:cs="Arial"/>
                <w:color w:val="000000"/>
                <w:sz w:val="20"/>
              </w:rPr>
              <w:t>$11,816,021</w:t>
            </w:r>
          </w:p>
        </w:tc>
      </w:tr>
      <w:tr w:rsidR="00FA14A4" w:rsidRPr="00451DFF" w14:paraId="2BF99176" w14:textId="77777777" w:rsidTr="00347614">
        <w:trPr>
          <w:trHeight w:val="306"/>
        </w:trPr>
        <w:tc>
          <w:tcPr>
            <w:tcW w:w="743" w:type="dxa"/>
            <w:vMerge/>
            <w:tcBorders>
              <w:top w:val="single" w:sz="8" w:space="0" w:color="auto"/>
              <w:left w:val="single" w:sz="8" w:space="0" w:color="auto"/>
              <w:bottom w:val="single" w:sz="8" w:space="0" w:color="000000"/>
              <w:right w:val="single" w:sz="8" w:space="0" w:color="auto"/>
            </w:tcBorders>
            <w:vAlign w:val="center"/>
            <w:hideMark/>
          </w:tcPr>
          <w:p w14:paraId="6795A3C7" w14:textId="77777777" w:rsidR="00FA14A4" w:rsidRPr="00451DFF" w:rsidRDefault="00FA14A4" w:rsidP="00347614">
            <w:pPr>
              <w:spacing w:after="0" w:line="240" w:lineRule="auto"/>
              <w:contextualSpacing/>
              <w:rPr>
                <w:rFonts w:ascii="Arial" w:hAnsi="Arial" w:cs="Arial"/>
                <w:b/>
                <w:bCs/>
                <w:color w:val="000000"/>
              </w:rPr>
            </w:pPr>
          </w:p>
        </w:tc>
        <w:tc>
          <w:tcPr>
            <w:tcW w:w="2932" w:type="dxa"/>
            <w:tcBorders>
              <w:top w:val="nil"/>
              <w:left w:val="nil"/>
              <w:bottom w:val="single" w:sz="4" w:space="0" w:color="auto"/>
              <w:right w:val="single" w:sz="4" w:space="0" w:color="auto"/>
            </w:tcBorders>
            <w:shd w:val="clear" w:color="000000" w:fill="F2F2F2"/>
            <w:noWrap/>
            <w:vAlign w:val="center"/>
            <w:hideMark/>
          </w:tcPr>
          <w:p w14:paraId="72B8F8EF" w14:textId="77777777" w:rsidR="00FA14A4" w:rsidRPr="00451DFF" w:rsidRDefault="00FA14A4" w:rsidP="00347614">
            <w:pPr>
              <w:spacing w:after="0" w:line="240" w:lineRule="auto"/>
              <w:contextualSpacing/>
              <w:rPr>
                <w:rFonts w:ascii="Arial" w:hAnsi="Arial" w:cs="Arial"/>
                <w:b/>
                <w:bCs/>
                <w:color w:val="000000"/>
                <w:sz w:val="20"/>
              </w:rPr>
            </w:pPr>
            <w:r w:rsidRPr="00451DFF">
              <w:rPr>
                <w:rFonts w:ascii="Arial" w:hAnsi="Arial" w:cs="Arial"/>
                <w:b/>
                <w:bCs/>
                <w:color w:val="000000"/>
                <w:sz w:val="20"/>
              </w:rPr>
              <w:t>Average Inventory Balances</w:t>
            </w:r>
          </w:p>
        </w:tc>
        <w:tc>
          <w:tcPr>
            <w:tcW w:w="1372" w:type="dxa"/>
            <w:tcBorders>
              <w:top w:val="nil"/>
              <w:left w:val="nil"/>
              <w:bottom w:val="single" w:sz="4" w:space="0" w:color="auto"/>
              <w:right w:val="single" w:sz="4" w:space="0" w:color="auto"/>
            </w:tcBorders>
            <w:shd w:val="clear" w:color="000000" w:fill="D9D9D9"/>
            <w:vAlign w:val="center"/>
            <w:hideMark/>
          </w:tcPr>
          <w:p w14:paraId="3D32DB64" w14:textId="77777777" w:rsidR="00FA14A4" w:rsidRPr="00451DFF" w:rsidRDefault="00FA14A4" w:rsidP="00347614">
            <w:pPr>
              <w:spacing w:after="0" w:line="240" w:lineRule="auto"/>
              <w:contextualSpacing/>
              <w:jc w:val="center"/>
              <w:rPr>
                <w:rFonts w:ascii="Arial" w:hAnsi="Arial" w:cs="Arial"/>
                <w:color w:val="000000"/>
                <w:sz w:val="20"/>
              </w:rPr>
            </w:pPr>
            <w:r w:rsidRPr="00451DFF">
              <w:rPr>
                <w:rFonts w:ascii="Arial" w:hAnsi="Arial" w:cs="Arial"/>
                <w:color w:val="000000"/>
                <w:sz w:val="20"/>
              </w:rPr>
              <w:t>$12,720,572</w:t>
            </w:r>
          </w:p>
        </w:tc>
        <w:tc>
          <w:tcPr>
            <w:tcW w:w="1372" w:type="dxa"/>
            <w:tcBorders>
              <w:top w:val="nil"/>
              <w:left w:val="nil"/>
              <w:bottom w:val="single" w:sz="4" w:space="0" w:color="auto"/>
              <w:right w:val="single" w:sz="4" w:space="0" w:color="auto"/>
            </w:tcBorders>
            <w:shd w:val="clear" w:color="000000" w:fill="D9D9D9"/>
            <w:vAlign w:val="center"/>
            <w:hideMark/>
          </w:tcPr>
          <w:p w14:paraId="63175AD3" w14:textId="77777777" w:rsidR="00FA14A4" w:rsidRPr="00451DFF" w:rsidRDefault="00FA14A4" w:rsidP="00347614">
            <w:pPr>
              <w:spacing w:after="0" w:line="240" w:lineRule="auto"/>
              <w:contextualSpacing/>
              <w:jc w:val="center"/>
              <w:rPr>
                <w:rFonts w:ascii="Arial" w:hAnsi="Arial" w:cs="Arial"/>
                <w:color w:val="000000"/>
                <w:sz w:val="20"/>
              </w:rPr>
            </w:pPr>
            <w:r w:rsidRPr="00451DFF">
              <w:rPr>
                <w:rFonts w:ascii="Arial" w:hAnsi="Arial" w:cs="Arial"/>
                <w:color w:val="000000"/>
                <w:sz w:val="20"/>
              </w:rPr>
              <w:t>$10,627,421</w:t>
            </w:r>
          </w:p>
        </w:tc>
        <w:tc>
          <w:tcPr>
            <w:tcW w:w="1372" w:type="dxa"/>
            <w:tcBorders>
              <w:top w:val="nil"/>
              <w:left w:val="nil"/>
              <w:bottom w:val="single" w:sz="4" w:space="0" w:color="auto"/>
              <w:right w:val="single" w:sz="4" w:space="0" w:color="auto"/>
            </w:tcBorders>
            <w:shd w:val="clear" w:color="000000" w:fill="D9D9D9"/>
            <w:vAlign w:val="center"/>
            <w:hideMark/>
          </w:tcPr>
          <w:p w14:paraId="12044625" w14:textId="77777777" w:rsidR="00FA14A4" w:rsidRPr="00451DFF" w:rsidRDefault="00FA14A4" w:rsidP="00347614">
            <w:pPr>
              <w:spacing w:after="0" w:line="240" w:lineRule="auto"/>
              <w:contextualSpacing/>
              <w:jc w:val="center"/>
              <w:rPr>
                <w:rFonts w:ascii="Arial" w:hAnsi="Arial" w:cs="Arial"/>
                <w:color w:val="000000"/>
                <w:sz w:val="20"/>
              </w:rPr>
            </w:pPr>
            <w:r w:rsidRPr="00451DFF">
              <w:rPr>
                <w:rFonts w:ascii="Arial" w:hAnsi="Arial" w:cs="Arial"/>
                <w:color w:val="000000"/>
                <w:sz w:val="20"/>
              </w:rPr>
              <w:t>$10,084,124</w:t>
            </w:r>
          </w:p>
        </w:tc>
        <w:tc>
          <w:tcPr>
            <w:tcW w:w="1404" w:type="dxa"/>
            <w:tcBorders>
              <w:top w:val="nil"/>
              <w:left w:val="nil"/>
              <w:bottom w:val="single" w:sz="4" w:space="0" w:color="auto"/>
              <w:right w:val="single" w:sz="4" w:space="0" w:color="auto"/>
            </w:tcBorders>
            <w:shd w:val="clear" w:color="000000" w:fill="D9D9D9"/>
            <w:noWrap/>
            <w:vAlign w:val="center"/>
            <w:hideMark/>
          </w:tcPr>
          <w:p w14:paraId="4903A5B9" w14:textId="77777777" w:rsidR="00FA14A4" w:rsidRPr="00451DFF" w:rsidRDefault="00FA14A4" w:rsidP="00347614">
            <w:pPr>
              <w:spacing w:after="0" w:line="240" w:lineRule="auto"/>
              <w:contextualSpacing/>
              <w:jc w:val="center"/>
              <w:rPr>
                <w:rFonts w:ascii="Arial" w:hAnsi="Arial" w:cs="Arial"/>
                <w:color w:val="000000"/>
                <w:sz w:val="20"/>
              </w:rPr>
            </w:pPr>
            <w:r w:rsidRPr="00451DFF">
              <w:rPr>
                <w:rFonts w:ascii="Arial" w:hAnsi="Arial" w:cs="Arial"/>
                <w:color w:val="000000"/>
                <w:sz w:val="20"/>
              </w:rPr>
              <w:t>$9,976,408</w:t>
            </w:r>
          </w:p>
        </w:tc>
      </w:tr>
      <w:tr w:rsidR="00FA14A4" w:rsidRPr="00451DFF" w14:paraId="6669EFD4" w14:textId="77777777" w:rsidTr="00347614">
        <w:trPr>
          <w:trHeight w:val="306"/>
        </w:trPr>
        <w:tc>
          <w:tcPr>
            <w:tcW w:w="743" w:type="dxa"/>
            <w:vMerge/>
            <w:tcBorders>
              <w:top w:val="single" w:sz="8" w:space="0" w:color="auto"/>
              <w:left w:val="single" w:sz="8" w:space="0" w:color="auto"/>
              <w:bottom w:val="single" w:sz="8" w:space="0" w:color="000000"/>
              <w:right w:val="single" w:sz="8" w:space="0" w:color="auto"/>
            </w:tcBorders>
            <w:vAlign w:val="center"/>
            <w:hideMark/>
          </w:tcPr>
          <w:p w14:paraId="204E1AE2" w14:textId="77777777" w:rsidR="00FA14A4" w:rsidRPr="00451DFF" w:rsidRDefault="00FA14A4" w:rsidP="00347614">
            <w:pPr>
              <w:spacing w:after="0" w:line="240" w:lineRule="auto"/>
              <w:contextualSpacing/>
              <w:rPr>
                <w:rFonts w:ascii="Arial" w:hAnsi="Arial" w:cs="Arial"/>
                <w:b/>
                <w:bCs/>
                <w:color w:val="000000"/>
              </w:rPr>
            </w:pPr>
          </w:p>
        </w:tc>
        <w:tc>
          <w:tcPr>
            <w:tcW w:w="2932" w:type="dxa"/>
            <w:tcBorders>
              <w:top w:val="nil"/>
              <w:left w:val="nil"/>
              <w:bottom w:val="single" w:sz="4" w:space="0" w:color="auto"/>
              <w:right w:val="single" w:sz="4" w:space="0" w:color="auto"/>
            </w:tcBorders>
            <w:shd w:val="clear" w:color="000000" w:fill="FCD5B4"/>
            <w:noWrap/>
            <w:vAlign w:val="center"/>
            <w:hideMark/>
          </w:tcPr>
          <w:p w14:paraId="6F6A20B9" w14:textId="77777777" w:rsidR="00FA14A4" w:rsidRPr="00451DFF" w:rsidRDefault="00FA14A4" w:rsidP="00347614">
            <w:pPr>
              <w:spacing w:after="0" w:line="240" w:lineRule="auto"/>
              <w:contextualSpacing/>
              <w:rPr>
                <w:rFonts w:ascii="Arial" w:hAnsi="Arial" w:cs="Arial"/>
                <w:b/>
                <w:bCs/>
                <w:color w:val="000000"/>
                <w:sz w:val="20"/>
              </w:rPr>
            </w:pPr>
            <w:r w:rsidRPr="00451DFF">
              <w:rPr>
                <w:rFonts w:ascii="Arial" w:hAnsi="Arial" w:cs="Arial"/>
                <w:b/>
                <w:bCs/>
                <w:color w:val="000000"/>
                <w:sz w:val="20"/>
              </w:rPr>
              <w:t>Inventory Turnover Levels</w:t>
            </w:r>
          </w:p>
        </w:tc>
        <w:tc>
          <w:tcPr>
            <w:tcW w:w="1372" w:type="dxa"/>
            <w:tcBorders>
              <w:top w:val="nil"/>
              <w:left w:val="nil"/>
              <w:bottom w:val="single" w:sz="4" w:space="0" w:color="auto"/>
              <w:right w:val="single" w:sz="4" w:space="0" w:color="auto"/>
            </w:tcBorders>
            <w:shd w:val="clear" w:color="auto" w:fill="auto"/>
            <w:noWrap/>
            <w:vAlign w:val="center"/>
            <w:hideMark/>
          </w:tcPr>
          <w:p w14:paraId="55764421" w14:textId="77777777" w:rsidR="00FA14A4" w:rsidRPr="00451DFF" w:rsidRDefault="00FA14A4" w:rsidP="00347614">
            <w:pPr>
              <w:spacing w:after="0" w:line="240" w:lineRule="auto"/>
              <w:contextualSpacing/>
              <w:jc w:val="center"/>
              <w:rPr>
                <w:rFonts w:ascii="Arial" w:hAnsi="Arial" w:cs="Arial"/>
                <w:b/>
                <w:bCs/>
                <w:color w:val="000000"/>
                <w:sz w:val="20"/>
              </w:rPr>
            </w:pPr>
            <w:r w:rsidRPr="00451DFF">
              <w:rPr>
                <w:rFonts w:ascii="Arial" w:hAnsi="Arial" w:cs="Arial"/>
                <w:b/>
                <w:bCs/>
                <w:color w:val="000000"/>
                <w:sz w:val="20"/>
              </w:rPr>
              <w:t>0.92</w:t>
            </w:r>
          </w:p>
        </w:tc>
        <w:tc>
          <w:tcPr>
            <w:tcW w:w="1372" w:type="dxa"/>
            <w:tcBorders>
              <w:top w:val="nil"/>
              <w:left w:val="nil"/>
              <w:bottom w:val="single" w:sz="4" w:space="0" w:color="auto"/>
              <w:right w:val="single" w:sz="4" w:space="0" w:color="auto"/>
            </w:tcBorders>
            <w:shd w:val="clear" w:color="auto" w:fill="auto"/>
            <w:noWrap/>
            <w:vAlign w:val="center"/>
            <w:hideMark/>
          </w:tcPr>
          <w:p w14:paraId="3520879F" w14:textId="77777777" w:rsidR="00FA14A4" w:rsidRPr="00451DFF" w:rsidRDefault="00FA14A4" w:rsidP="00347614">
            <w:pPr>
              <w:spacing w:after="0" w:line="240" w:lineRule="auto"/>
              <w:contextualSpacing/>
              <w:jc w:val="center"/>
              <w:rPr>
                <w:rFonts w:ascii="Arial" w:hAnsi="Arial" w:cs="Arial"/>
                <w:b/>
                <w:bCs/>
                <w:color w:val="000000"/>
                <w:sz w:val="20"/>
              </w:rPr>
            </w:pPr>
            <w:r w:rsidRPr="00451DFF">
              <w:rPr>
                <w:rFonts w:ascii="Arial" w:hAnsi="Arial" w:cs="Arial"/>
                <w:b/>
                <w:bCs/>
                <w:color w:val="000000"/>
                <w:sz w:val="20"/>
              </w:rPr>
              <w:t>0.98</w:t>
            </w:r>
          </w:p>
        </w:tc>
        <w:tc>
          <w:tcPr>
            <w:tcW w:w="1372" w:type="dxa"/>
            <w:tcBorders>
              <w:top w:val="nil"/>
              <w:left w:val="nil"/>
              <w:bottom w:val="single" w:sz="4" w:space="0" w:color="auto"/>
              <w:right w:val="single" w:sz="4" w:space="0" w:color="auto"/>
            </w:tcBorders>
            <w:shd w:val="clear" w:color="auto" w:fill="auto"/>
            <w:noWrap/>
            <w:vAlign w:val="center"/>
            <w:hideMark/>
          </w:tcPr>
          <w:p w14:paraId="3BFFAC3D" w14:textId="77777777" w:rsidR="00FA14A4" w:rsidRPr="00451DFF" w:rsidRDefault="00FA14A4" w:rsidP="00347614">
            <w:pPr>
              <w:spacing w:after="0" w:line="240" w:lineRule="auto"/>
              <w:contextualSpacing/>
              <w:jc w:val="center"/>
              <w:rPr>
                <w:rFonts w:ascii="Arial" w:hAnsi="Arial" w:cs="Arial"/>
                <w:b/>
                <w:bCs/>
                <w:color w:val="000000"/>
                <w:sz w:val="20"/>
              </w:rPr>
            </w:pPr>
            <w:r w:rsidRPr="00451DFF">
              <w:rPr>
                <w:rFonts w:ascii="Arial" w:hAnsi="Arial" w:cs="Arial"/>
                <w:b/>
                <w:bCs/>
                <w:color w:val="000000"/>
                <w:sz w:val="20"/>
              </w:rPr>
              <w:t>1.12</w:t>
            </w:r>
          </w:p>
        </w:tc>
        <w:tc>
          <w:tcPr>
            <w:tcW w:w="1404" w:type="dxa"/>
            <w:tcBorders>
              <w:top w:val="nil"/>
              <w:left w:val="nil"/>
              <w:bottom w:val="single" w:sz="4" w:space="0" w:color="auto"/>
              <w:right w:val="single" w:sz="4" w:space="0" w:color="auto"/>
            </w:tcBorders>
            <w:shd w:val="clear" w:color="auto" w:fill="auto"/>
            <w:noWrap/>
            <w:vAlign w:val="center"/>
            <w:hideMark/>
          </w:tcPr>
          <w:p w14:paraId="5A7F72F4" w14:textId="77777777" w:rsidR="00FA14A4" w:rsidRPr="00451DFF" w:rsidRDefault="00FA14A4" w:rsidP="00347614">
            <w:pPr>
              <w:spacing w:after="0" w:line="240" w:lineRule="auto"/>
              <w:contextualSpacing/>
              <w:jc w:val="center"/>
              <w:rPr>
                <w:rFonts w:ascii="Arial" w:hAnsi="Arial" w:cs="Arial"/>
                <w:b/>
                <w:bCs/>
                <w:color w:val="000000"/>
                <w:sz w:val="20"/>
              </w:rPr>
            </w:pPr>
            <w:r w:rsidRPr="00451DFF">
              <w:rPr>
                <w:rFonts w:ascii="Arial" w:hAnsi="Arial" w:cs="Arial"/>
                <w:b/>
                <w:bCs/>
                <w:color w:val="000000"/>
                <w:sz w:val="20"/>
              </w:rPr>
              <w:t>1.18</w:t>
            </w:r>
          </w:p>
        </w:tc>
      </w:tr>
      <w:tr w:rsidR="00FA14A4" w:rsidRPr="00451DFF" w14:paraId="5F0A1D6D" w14:textId="77777777" w:rsidTr="00347614">
        <w:trPr>
          <w:trHeight w:val="119"/>
        </w:trPr>
        <w:tc>
          <w:tcPr>
            <w:tcW w:w="743" w:type="dxa"/>
            <w:tcBorders>
              <w:top w:val="nil"/>
              <w:left w:val="nil"/>
              <w:bottom w:val="nil"/>
              <w:right w:val="nil"/>
            </w:tcBorders>
            <w:shd w:val="clear" w:color="000000" w:fill="000000"/>
            <w:textDirection w:val="btLr"/>
            <w:vAlign w:val="center"/>
            <w:hideMark/>
          </w:tcPr>
          <w:p w14:paraId="09227528" w14:textId="77777777" w:rsidR="00FA14A4" w:rsidRPr="00451DFF" w:rsidRDefault="00FA14A4" w:rsidP="00347614">
            <w:pPr>
              <w:spacing w:after="0" w:line="240" w:lineRule="auto"/>
              <w:contextualSpacing/>
              <w:rPr>
                <w:rFonts w:ascii="Arial" w:hAnsi="Arial" w:cs="Arial"/>
                <w:b/>
                <w:bCs/>
                <w:color w:val="000000"/>
                <w:sz w:val="6"/>
                <w:szCs w:val="6"/>
              </w:rPr>
            </w:pPr>
            <w:r w:rsidRPr="00451DFF">
              <w:rPr>
                <w:rFonts w:ascii="Arial" w:hAnsi="Arial" w:cs="Arial"/>
                <w:b/>
                <w:bCs/>
                <w:color w:val="000000"/>
                <w:sz w:val="6"/>
                <w:szCs w:val="6"/>
              </w:rPr>
              <w:t> </w:t>
            </w:r>
          </w:p>
        </w:tc>
        <w:tc>
          <w:tcPr>
            <w:tcW w:w="2932" w:type="dxa"/>
            <w:tcBorders>
              <w:top w:val="nil"/>
              <w:left w:val="nil"/>
              <w:bottom w:val="nil"/>
              <w:right w:val="nil"/>
            </w:tcBorders>
            <w:shd w:val="clear" w:color="000000" w:fill="000000"/>
            <w:noWrap/>
            <w:vAlign w:val="bottom"/>
            <w:hideMark/>
          </w:tcPr>
          <w:p w14:paraId="09F52A8B" w14:textId="77777777" w:rsidR="00FA14A4" w:rsidRPr="00451DFF" w:rsidRDefault="00FA14A4" w:rsidP="00347614">
            <w:pPr>
              <w:spacing w:after="0" w:line="240" w:lineRule="auto"/>
              <w:contextualSpacing/>
              <w:rPr>
                <w:rFonts w:ascii="Arial" w:hAnsi="Arial" w:cs="Arial"/>
                <w:color w:val="000000"/>
                <w:sz w:val="6"/>
                <w:szCs w:val="6"/>
              </w:rPr>
            </w:pPr>
            <w:r w:rsidRPr="00451DFF">
              <w:rPr>
                <w:rFonts w:ascii="Arial" w:hAnsi="Arial" w:cs="Arial"/>
                <w:color w:val="000000"/>
                <w:sz w:val="6"/>
                <w:szCs w:val="6"/>
              </w:rPr>
              <w:t> </w:t>
            </w:r>
          </w:p>
        </w:tc>
        <w:tc>
          <w:tcPr>
            <w:tcW w:w="1372" w:type="dxa"/>
            <w:tcBorders>
              <w:top w:val="nil"/>
              <w:left w:val="nil"/>
              <w:bottom w:val="nil"/>
              <w:right w:val="nil"/>
            </w:tcBorders>
            <w:shd w:val="clear" w:color="000000" w:fill="000000"/>
            <w:noWrap/>
            <w:vAlign w:val="center"/>
            <w:hideMark/>
          </w:tcPr>
          <w:p w14:paraId="1D6DD404" w14:textId="77777777" w:rsidR="00FA14A4" w:rsidRPr="00451DFF" w:rsidRDefault="00FA14A4" w:rsidP="00347614">
            <w:pPr>
              <w:spacing w:after="0" w:line="240" w:lineRule="auto"/>
              <w:contextualSpacing/>
              <w:jc w:val="center"/>
              <w:rPr>
                <w:rFonts w:ascii="Arial" w:hAnsi="Arial" w:cs="Arial"/>
                <w:color w:val="000000"/>
                <w:sz w:val="6"/>
                <w:szCs w:val="6"/>
              </w:rPr>
            </w:pPr>
          </w:p>
        </w:tc>
        <w:tc>
          <w:tcPr>
            <w:tcW w:w="1372" w:type="dxa"/>
            <w:tcBorders>
              <w:top w:val="nil"/>
              <w:left w:val="nil"/>
              <w:bottom w:val="nil"/>
              <w:right w:val="nil"/>
            </w:tcBorders>
            <w:shd w:val="clear" w:color="000000" w:fill="000000"/>
            <w:noWrap/>
            <w:vAlign w:val="center"/>
            <w:hideMark/>
          </w:tcPr>
          <w:p w14:paraId="196B55CD" w14:textId="77777777" w:rsidR="00FA14A4" w:rsidRPr="00451DFF" w:rsidRDefault="00FA14A4" w:rsidP="00347614">
            <w:pPr>
              <w:spacing w:after="0" w:line="240" w:lineRule="auto"/>
              <w:contextualSpacing/>
              <w:jc w:val="center"/>
              <w:rPr>
                <w:rFonts w:ascii="Arial" w:hAnsi="Arial" w:cs="Arial"/>
                <w:color w:val="000000"/>
                <w:sz w:val="6"/>
                <w:szCs w:val="6"/>
              </w:rPr>
            </w:pPr>
          </w:p>
        </w:tc>
        <w:tc>
          <w:tcPr>
            <w:tcW w:w="1372" w:type="dxa"/>
            <w:tcBorders>
              <w:top w:val="nil"/>
              <w:left w:val="nil"/>
              <w:bottom w:val="nil"/>
              <w:right w:val="nil"/>
            </w:tcBorders>
            <w:shd w:val="clear" w:color="000000" w:fill="000000"/>
            <w:noWrap/>
            <w:vAlign w:val="center"/>
            <w:hideMark/>
          </w:tcPr>
          <w:p w14:paraId="45C763BA" w14:textId="77777777" w:rsidR="00FA14A4" w:rsidRPr="00451DFF" w:rsidRDefault="00FA14A4" w:rsidP="00347614">
            <w:pPr>
              <w:spacing w:after="0" w:line="240" w:lineRule="auto"/>
              <w:contextualSpacing/>
              <w:jc w:val="center"/>
              <w:rPr>
                <w:rFonts w:ascii="Arial" w:hAnsi="Arial" w:cs="Arial"/>
                <w:color w:val="000000"/>
                <w:sz w:val="6"/>
                <w:szCs w:val="6"/>
              </w:rPr>
            </w:pPr>
          </w:p>
        </w:tc>
        <w:tc>
          <w:tcPr>
            <w:tcW w:w="1404" w:type="dxa"/>
            <w:tcBorders>
              <w:top w:val="nil"/>
              <w:left w:val="nil"/>
              <w:bottom w:val="nil"/>
              <w:right w:val="nil"/>
            </w:tcBorders>
            <w:shd w:val="clear" w:color="000000" w:fill="000000"/>
            <w:noWrap/>
            <w:vAlign w:val="center"/>
            <w:hideMark/>
          </w:tcPr>
          <w:p w14:paraId="0D49B0A3" w14:textId="77777777" w:rsidR="00FA14A4" w:rsidRPr="00451DFF" w:rsidRDefault="00FA14A4" w:rsidP="00347614">
            <w:pPr>
              <w:spacing w:after="0" w:line="240" w:lineRule="auto"/>
              <w:contextualSpacing/>
              <w:jc w:val="center"/>
              <w:rPr>
                <w:rFonts w:ascii="Arial" w:hAnsi="Arial" w:cs="Arial"/>
                <w:color w:val="000000"/>
                <w:sz w:val="20"/>
              </w:rPr>
            </w:pPr>
          </w:p>
        </w:tc>
      </w:tr>
      <w:tr w:rsidR="00FA14A4" w:rsidRPr="00451DFF" w14:paraId="4AD2FFDA" w14:textId="77777777" w:rsidTr="00347614">
        <w:trPr>
          <w:trHeight w:val="306"/>
        </w:trPr>
        <w:tc>
          <w:tcPr>
            <w:tcW w:w="743" w:type="dxa"/>
            <w:vMerge w:val="restart"/>
            <w:tcBorders>
              <w:top w:val="single" w:sz="8" w:space="0" w:color="auto"/>
              <w:left w:val="single" w:sz="8" w:space="0" w:color="auto"/>
              <w:bottom w:val="single" w:sz="8" w:space="0" w:color="000000"/>
              <w:right w:val="single" w:sz="8" w:space="0" w:color="auto"/>
            </w:tcBorders>
            <w:shd w:val="clear" w:color="000000" w:fill="B1A0C7"/>
            <w:textDirection w:val="btLr"/>
            <w:vAlign w:val="center"/>
            <w:hideMark/>
          </w:tcPr>
          <w:p w14:paraId="2217D1FD" w14:textId="77777777" w:rsidR="00FA14A4" w:rsidRPr="00451DFF" w:rsidRDefault="00FA14A4" w:rsidP="00347614">
            <w:pPr>
              <w:spacing w:after="0" w:line="240" w:lineRule="auto"/>
              <w:contextualSpacing/>
              <w:jc w:val="center"/>
              <w:rPr>
                <w:rFonts w:ascii="Arial" w:hAnsi="Arial" w:cs="Arial"/>
                <w:b/>
                <w:bCs/>
                <w:color w:val="000000"/>
              </w:rPr>
            </w:pPr>
            <w:r w:rsidRPr="00451DFF">
              <w:rPr>
                <w:rFonts w:ascii="Arial" w:hAnsi="Arial" w:cs="Arial"/>
                <w:b/>
                <w:bCs/>
                <w:color w:val="000000"/>
              </w:rPr>
              <w:t>Penn Power</w:t>
            </w:r>
          </w:p>
        </w:tc>
        <w:tc>
          <w:tcPr>
            <w:tcW w:w="2932" w:type="dxa"/>
            <w:tcBorders>
              <w:top w:val="single" w:sz="4" w:space="0" w:color="auto"/>
              <w:left w:val="nil"/>
              <w:bottom w:val="single" w:sz="4" w:space="0" w:color="auto"/>
              <w:right w:val="single" w:sz="4" w:space="0" w:color="auto"/>
            </w:tcBorders>
            <w:shd w:val="clear" w:color="000000" w:fill="F2F2F2"/>
            <w:noWrap/>
            <w:vAlign w:val="center"/>
            <w:hideMark/>
          </w:tcPr>
          <w:p w14:paraId="06DFA643" w14:textId="77777777" w:rsidR="00FA14A4" w:rsidRPr="00451DFF" w:rsidRDefault="00FA14A4" w:rsidP="00347614">
            <w:pPr>
              <w:spacing w:after="0" w:line="240" w:lineRule="auto"/>
              <w:contextualSpacing/>
              <w:rPr>
                <w:rFonts w:ascii="Arial" w:hAnsi="Arial" w:cs="Arial"/>
                <w:b/>
                <w:bCs/>
                <w:color w:val="000000"/>
                <w:sz w:val="20"/>
              </w:rPr>
            </w:pPr>
            <w:r w:rsidRPr="00451DFF">
              <w:rPr>
                <w:rFonts w:ascii="Arial" w:hAnsi="Arial" w:cs="Arial"/>
                <w:b/>
                <w:bCs/>
                <w:color w:val="000000"/>
                <w:sz w:val="20"/>
              </w:rPr>
              <w:t>Annual Issues ($)</w:t>
            </w:r>
          </w:p>
        </w:tc>
        <w:tc>
          <w:tcPr>
            <w:tcW w:w="1372" w:type="dxa"/>
            <w:tcBorders>
              <w:top w:val="single" w:sz="4" w:space="0" w:color="auto"/>
              <w:left w:val="nil"/>
              <w:bottom w:val="single" w:sz="4" w:space="0" w:color="auto"/>
              <w:right w:val="single" w:sz="4" w:space="0" w:color="auto"/>
            </w:tcBorders>
            <w:shd w:val="clear" w:color="000000" w:fill="D9D9D9"/>
            <w:noWrap/>
            <w:vAlign w:val="center"/>
            <w:hideMark/>
          </w:tcPr>
          <w:p w14:paraId="4CFA1987" w14:textId="77777777" w:rsidR="00FA14A4" w:rsidRPr="00451DFF" w:rsidRDefault="00FA14A4" w:rsidP="00347614">
            <w:pPr>
              <w:spacing w:after="0" w:line="240" w:lineRule="auto"/>
              <w:contextualSpacing/>
              <w:jc w:val="center"/>
              <w:rPr>
                <w:rFonts w:ascii="Arial" w:hAnsi="Arial" w:cs="Arial"/>
                <w:color w:val="000000"/>
                <w:sz w:val="20"/>
              </w:rPr>
            </w:pPr>
            <w:r w:rsidRPr="00451DFF">
              <w:rPr>
                <w:rFonts w:ascii="Arial" w:hAnsi="Arial" w:cs="Arial"/>
                <w:color w:val="000000"/>
                <w:sz w:val="20"/>
              </w:rPr>
              <w:t>$2,378,792</w:t>
            </w:r>
          </w:p>
        </w:tc>
        <w:tc>
          <w:tcPr>
            <w:tcW w:w="1372" w:type="dxa"/>
            <w:tcBorders>
              <w:top w:val="single" w:sz="4" w:space="0" w:color="auto"/>
              <w:left w:val="nil"/>
              <w:bottom w:val="single" w:sz="4" w:space="0" w:color="auto"/>
              <w:right w:val="single" w:sz="4" w:space="0" w:color="auto"/>
            </w:tcBorders>
            <w:shd w:val="clear" w:color="000000" w:fill="D9D9D9"/>
            <w:noWrap/>
            <w:vAlign w:val="center"/>
            <w:hideMark/>
          </w:tcPr>
          <w:p w14:paraId="31B22AEF" w14:textId="77777777" w:rsidR="00FA14A4" w:rsidRPr="00451DFF" w:rsidRDefault="00FA14A4" w:rsidP="00347614">
            <w:pPr>
              <w:spacing w:after="0" w:line="240" w:lineRule="auto"/>
              <w:contextualSpacing/>
              <w:jc w:val="center"/>
              <w:rPr>
                <w:rFonts w:ascii="Arial" w:hAnsi="Arial" w:cs="Arial"/>
                <w:color w:val="000000"/>
                <w:sz w:val="20"/>
              </w:rPr>
            </w:pPr>
            <w:r w:rsidRPr="00451DFF">
              <w:rPr>
                <w:rFonts w:ascii="Arial" w:hAnsi="Arial" w:cs="Arial"/>
                <w:color w:val="000000"/>
                <w:sz w:val="20"/>
              </w:rPr>
              <w:t>$2,590,307</w:t>
            </w:r>
          </w:p>
        </w:tc>
        <w:tc>
          <w:tcPr>
            <w:tcW w:w="1372" w:type="dxa"/>
            <w:tcBorders>
              <w:top w:val="single" w:sz="4" w:space="0" w:color="auto"/>
              <w:left w:val="nil"/>
              <w:bottom w:val="single" w:sz="4" w:space="0" w:color="auto"/>
              <w:right w:val="single" w:sz="4" w:space="0" w:color="auto"/>
            </w:tcBorders>
            <w:shd w:val="clear" w:color="000000" w:fill="D9D9D9"/>
            <w:noWrap/>
            <w:vAlign w:val="center"/>
            <w:hideMark/>
          </w:tcPr>
          <w:p w14:paraId="1B25D2F7" w14:textId="77777777" w:rsidR="00FA14A4" w:rsidRPr="00451DFF" w:rsidRDefault="00FA14A4" w:rsidP="00347614">
            <w:pPr>
              <w:spacing w:after="0" w:line="240" w:lineRule="auto"/>
              <w:contextualSpacing/>
              <w:jc w:val="center"/>
              <w:rPr>
                <w:rFonts w:ascii="Arial" w:hAnsi="Arial" w:cs="Arial"/>
                <w:color w:val="000000"/>
                <w:sz w:val="20"/>
              </w:rPr>
            </w:pPr>
            <w:r w:rsidRPr="00451DFF">
              <w:rPr>
                <w:rFonts w:ascii="Arial" w:hAnsi="Arial" w:cs="Arial"/>
                <w:color w:val="000000"/>
                <w:sz w:val="20"/>
              </w:rPr>
              <w:t>$4,605,373</w:t>
            </w:r>
          </w:p>
        </w:tc>
        <w:tc>
          <w:tcPr>
            <w:tcW w:w="1404" w:type="dxa"/>
            <w:tcBorders>
              <w:top w:val="single" w:sz="4" w:space="0" w:color="auto"/>
              <w:left w:val="nil"/>
              <w:bottom w:val="single" w:sz="4" w:space="0" w:color="auto"/>
              <w:right w:val="single" w:sz="4" w:space="0" w:color="auto"/>
            </w:tcBorders>
            <w:shd w:val="clear" w:color="000000" w:fill="D9D9D9"/>
            <w:noWrap/>
            <w:vAlign w:val="center"/>
            <w:hideMark/>
          </w:tcPr>
          <w:p w14:paraId="151B13CB" w14:textId="77777777" w:rsidR="00FA14A4" w:rsidRPr="00451DFF" w:rsidRDefault="00FA14A4" w:rsidP="00347614">
            <w:pPr>
              <w:spacing w:after="0" w:line="240" w:lineRule="auto"/>
              <w:contextualSpacing/>
              <w:jc w:val="center"/>
              <w:rPr>
                <w:rFonts w:ascii="Arial" w:hAnsi="Arial" w:cs="Arial"/>
                <w:color w:val="000000"/>
                <w:sz w:val="20"/>
              </w:rPr>
            </w:pPr>
            <w:r w:rsidRPr="00451DFF">
              <w:rPr>
                <w:rFonts w:ascii="Arial" w:hAnsi="Arial" w:cs="Arial"/>
                <w:color w:val="000000"/>
                <w:sz w:val="20"/>
              </w:rPr>
              <w:t>$3,566,293</w:t>
            </w:r>
          </w:p>
        </w:tc>
      </w:tr>
      <w:tr w:rsidR="00FA14A4" w:rsidRPr="00451DFF" w14:paraId="6D76DC9E" w14:textId="77777777" w:rsidTr="00347614">
        <w:trPr>
          <w:trHeight w:val="306"/>
        </w:trPr>
        <w:tc>
          <w:tcPr>
            <w:tcW w:w="743" w:type="dxa"/>
            <w:vMerge/>
            <w:tcBorders>
              <w:top w:val="single" w:sz="8" w:space="0" w:color="auto"/>
              <w:left w:val="single" w:sz="8" w:space="0" w:color="auto"/>
              <w:bottom w:val="single" w:sz="8" w:space="0" w:color="000000"/>
              <w:right w:val="single" w:sz="8" w:space="0" w:color="auto"/>
            </w:tcBorders>
            <w:vAlign w:val="center"/>
            <w:hideMark/>
          </w:tcPr>
          <w:p w14:paraId="1BAE3560" w14:textId="77777777" w:rsidR="00FA14A4" w:rsidRPr="00451DFF" w:rsidRDefault="00FA14A4" w:rsidP="00347614">
            <w:pPr>
              <w:spacing w:after="0" w:line="240" w:lineRule="auto"/>
              <w:contextualSpacing/>
              <w:rPr>
                <w:rFonts w:ascii="Arial" w:hAnsi="Arial" w:cs="Arial"/>
                <w:b/>
                <w:bCs/>
                <w:color w:val="000000"/>
              </w:rPr>
            </w:pPr>
          </w:p>
        </w:tc>
        <w:tc>
          <w:tcPr>
            <w:tcW w:w="2932" w:type="dxa"/>
            <w:tcBorders>
              <w:top w:val="nil"/>
              <w:left w:val="nil"/>
              <w:bottom w:val="single" w:sz="4" w:space="0" w:color="auto"/>
              <w:right w:val="single" w:sz="4" w:space="0" w:color="auto"/>
            </w:tcBorders>
            <w:shd w:val="clear" w:color="000000" w:fill="F2F2F2"/>
            <w:noWrap/>
            <w:vAlign w:val="center"/>
            <w:hideMark/>
          </w:tcPr>
          <w:p w14:paraId="05425BED" w14:textId="77777777" w:rsidR="00FA14A4" w:rsidRPr="00451DFF" w:rsidRDefault="00FA14A4" w:rsidP="00347614">
            <w:pPr>
              <w:spacing w:after="0" w:line="240" w:lineRule="auto"/>
              <w:contextualSpacing/>
              <w:rPr>
                <w:rFonts w:ascii="Arial" w:hAnsi="Arial" w:cs="Arial"/>
                <w:b/>
                <w:bCs/>
                <w:color w:val="000000"/>
                <w:sz w:val="20"/>
              </w:rPr>
            </w:pPr>
            <w:r w:rsidRPr="00451DFF">
              <w:rPr>
                <w:rFonts w:ascii="Arial" w:hAnsi="Arial" w:cs="Arial"/>
                <w:b/>
                <w:bCs/>
                <w:color w:val="000000"/>
                <w:sz w:val="20"/>
              </w:rPr>
              <w:t>Average Inventory Balances</w:t>
            </w:r>
          </w:p>
        </w:tc>
        <w:tc>
          <w:tcPr>
            <w:tcW w:w="1372" w:type="dxa"/>
            <w:tcBorders>
              <w:top w:val="nil"/>
              <w:left w:val="nil"/>
              <w:bottom w:val="single" w:sz="4" w:space="0" w:color="auto"/>
              <w:right w:val="single" w:sz="4" w:space="0" w:color="auto"/>
            </w:tcBorders>
            <w:shd w:val="clear" w:color="000000" w:fill="D9D9D9"/>
            <w:noWrap/>
            <w:vAlign w:val="center"/>
            <w:hideMark/>
          </w:tcPr>
          <w:p w14:paraId="5DCD417A" w14:textId="77777777" w:rsidR="00FA14A4" w:rsidRPr="00451DFF" w:rsidRDefault="00FA14A4" w:rsidP="00347614">
            <w:pPr>
              <w:spacing w:after="0" w:line="240" w:lineRule="auto"/>
              <w:contextualSpacing/>
              <w:jc w:val="center"/>
              <w:rPr>
                <w:rFonts w:ascii="Arial" w:hAnsi="Arial" w:cs="Arial"/>
                <w:color w:val="000000"/>
                <w:sz w:val="20"/>
              </w:rPr>
            </w:pPr>
            <w:r w:rsidRPr="00451DFF">
              <w:rPr>
                <w:rFonts w:ascii="Arial" w:hAnsi="Arial" w:cs="Arial"/>
                <w:color w:val="000000"/>
                <w:sz w:val="20"/>
              </w:rPr>
              <w:t>$1,720,967</w:t>
            </w:r>
          </w:p>
        </w:tc>
        <w:tc>
          <w:tcPr>
            <w:tcW w:w="1372" w:type="dxa"/>
            <w:tcBorders>
              <w:top w:val="nil"/>
              <w:left w:val="nil"/>
              <w:bottom w:val="single" w:sz="4" w:space="0" w:color="auto"/>
              <w:right w:val="single" w:sz="4" w:space="0" w:color="auto"/>
            </w:tcBorders>
            <w:shd w:val="clear" w:color="000000" w:fill="D9D9D9"/>
            <w:noWrap/>
            <w:vAlign w:val="center"/>
            <w:hideMark/>
          </w:tcPr>
          <w:p w14:paraId="2655CFDF" w14:textId="77777777" w:rsidR="00FA14A4" w:rsidRPr="00451DFF" w:rsidRDefault="00FA14A4" w:rsidP="00347614">
            <w:pPr>
              <w:spacing w:after="0" w:line="240" w:lineRule="auto"/>
              <w:contextualSpacing/>
              <w:jc w:val="center"/>
              <w:rPr>
                <w:rFonts w:ascii="Arial" w:hAnsi="Arial" w:cs="Arial"/>
                <w:color w:val="000000"/>
                <w:sz w:val="20"/>
              </w:rPr>
            </w:pPr>
            <w:r w:rsidRPr="00451DFF">
              <w:rPr>
                <w:rFonts w:ascii="Arial" w:hAnsi="Arial" w:cs="Arial"/>
                <w:color w:val="000000"/>
                <w:sz w:val="20"/>
              </w:rPr>
              <w:t>$1,459,765</w:t>
            </w:r>
          </w:p>
        </w:tc>
        <w:tc>
          <w:tcPr>
            <w:tcW w:w="1372" w:type="dxa"/>
            <w:tcBorders>
              <w:top w:val="nil"/>
              <w:left w:val="nil"/>
              <w:bottom w:val="single" w:sz="4" w:space="0" w:color="auto"/>
              <w:right w:val="single" w:sz="4" w:space="0" w:color="auto"/>
            </w:tcBorders>
            <w:shd w:val="clear" w:color="000000" w:fill="D9D9D9"/>
            <w:noWrap/>
            <w:vAlign w:val="center"/>
            <w:hideMark/>
          </w:tcPr>
          <w:p w14:paraId="45145CBA" w14:textId="77777777" w:rsidR="00FA14A4" w:rsidRPr="00451DFF" w:rsidRDefault="00FA14A4" w:rsidP="00347614">
            <w:pPr>
              <w:spacing w:after="0" w:line="240" w:lineRule="auto"/>
              <w:contextualSpacing/>
              <w:jc w:val="center"/>
              <w:rPr>
                <w:rFonts w:ascii="Arial" w:hAnsi="Arial" w:cs="Arial"/>
                <w:color w:val="000000"/>
                <w:sz w:val="20"/>
              </w:rPr>
            </w:pPr>
            <w:r w:rsidRPr="00451DFF">
              <w:rPr>
                <w:rFonts w:ascii="Arial" w:hAnsi="Arial" w:cs="Arial"/>
                <w:color w:val="000000"/>
                <w:sz w:val="20"/>
              </w:rPr>
              <w:t>$1,595,223</w:t>
            </w:r>
          </w:p>
        </w:tc>
        <w:tc>
          <w:tcPr>
            <w:tcW w:w="1404" w:type="dxa"/>
            <w:tcBorders>
              <w:top w:val="nil"/>
              <w:left w:val="nil"/>
              <w:bottom w:val="single" w:sz="4" w:space="0" w:color="auto"/>
              <w:right w:val="single" w:sz="4" w:space="0" w:color="auto"/>
            </w:tcBorders>
            <w:shd w:val="clear" w:color="000000" w:fill="D9D9D9"/>
            <w:noWrap/>
            <w:vAlign w:val="center"/>
            <w:hideMark/>
          </w:tcPr>
          <w:p w14:paraId="393626AF" w14:textId="77777777" w:rsidR="00FA14A4" w:rsidRPr="00451DFF" w:rsidRDefault="00FA14A4" w:rsidP="00347614">
            <w:pPr>
              <w:spacing w:after="0" w:line="240" w:lineRule="auto"/>
              <w:contextualSpacing/>
              <w:jc w:val="center"/>
              <w:rPr>
                <w:rFonts w:ascii="Arial" w:hAnsi="Arial" w:cs="Arial"/>
                <w:color w:val="000000"/>
                <w:sz w:val="20"/>
              </w:rPr>
            </w:pPr>
            <w:r w:rsidRPr="00451DFF">
              <w:rPr>
                <w:rFonts w:ascii="Arial" w:hAnsi="Arial" w:cs="Arial"/>
                <w:color w:val="000000"/>
                <w:sz w:val="20"/>
              </w:rPr>
              <w:t>$1,673,478</w:t>
            </w:r>
          </w:p>
        </w:tc>
      </w:tr>
      <w:tr w:rsidR="00FA14A4" w:rsidRPr="00451DFF" w14:paraId="0021ABD7" w14:textId="77777777" w:rsidTr="00347614">
        <w:trPr>
          <w:trHeight w:val="295"/>
        </w:trPr>
        <w:tc>
          <w:tcPr>
            <w:tcW w:w="743" w:type="dxa"/>
            <w:vMerge/>
            <w:tcBorders>
              <w:top w:val="single" w:sz="8" w:space="0" w:color="auto"/>
              <w:left w:val="single" w:sz="8" w:space="0" w:color="auto"/>
              <w:bottom w:val="single" w:sz="8" w:space="0" w:color="000000"/>
              <w:right w:val="single" w:sz="8" w:space="0" w:color="auto"/>
            </w:tcBorders>
            <w:vAlign w:val="center"/>
            <w:hideMark/>
          </w:tcPr>
          <w:p w14:paraId="03FA7976" w14:textId="77777777" w:rsidR="00FA14A4" w:rsidRPr="00451DFF" w:rsidRDefault="00FA14A4" w:rsidP="00347614">
            <w:pPr>
              <w:spacing w:after="0" w:line="240" w:lineRule="auto"/>
              <w:contextualSpacing/>
              <w:rPr>
                <w:rFonts w:ascii="Arial" w:hAnsi="Arial" w:cs="Arial"/>
                <w:b/>
                <w:bCs/>
                <w:color w:val="000000"/>
              </w:rPr>
            </w:pPr>
          </w:p>
        </w:tc>
        <w:tc>
          <w:tcPr>
            <w:tcW w:w="2932" w:type="dxa"/>
            <w:tcBorders>
              <w:top w:val="nil"/>
              <w:left w:val="nil"/>
              <w:bottom w:val="single" w:sz="4" w:space="0" w:color="auto"/>
              <w:right w:val="single" w:sz="4" w:space="0" w:color="auto"/>
            </w:tcBorders>
            <w:shd w:val="clear" w:color="000000" w:fill="FCD5B4"/>
            <w:noWrap/>
            <w:vAlign w:val="center"/>
            <w:hideMark/>
          </w:tcPr>
          <w:p w14:paraId="3B125240" w14:textId="77777777" w:rsidR="00FA14A4" w:rsidRPr="00451DFF" w:rsidRDefault="00FA14A4" w:rsidP="00347614">
            <w:pPr>
              <w:spacing w:after="0" w:line="240" w:lineRule="auto"/>
              <w:contextualSpacing/>
              <w:rPr>
                <w:rFonts w:ascii="Arial" w:hAnsi="Arial" w:cs="Arial"/>
                <w:b/>
                <w:bCs/>
                <w:color w:val="000000"/>
                <w:sz w:val="20"/>
              </w:rPr>
            </w:pPr>
            <w:r w:rsidRPr="00451DFF">
              <w:rPr>
                <w:rFonts w:ascii="Arial" w:hAnsi="Arial" w:cs="Arial"/>
                <w:b/>
                <w:bCs/>
                <w:color w:val="000000"/>
                <w:sz w:val="20"/>
              </w:rPr>
              <w:t>Inventory Turnover Levels</w:t>
            </w:r>
          </w:p>
        </w:tc>
        <w:tc>
          <w:tcPr>
            <w:tcW w:w="1372" w:type="dxa"/>
            <w:tcBorders>
              <w:top w:val="nil"/>
              <w:left w:val="nil"/>
              <w:bottom w:val="single" w:sz="4" w:space="0" w:color="auto"/>
              <w:right w:val="single" w:sz="4" w:space="0" w:color="auto"/>
            </w:tcBorders>
            <w:shd w:val="clear" w:color="auto" w:fill="auto"/>
            <w:noWrap/>
            <w:vAlign w:val="center"/>
            <w:hideMark/>
          </w:tcPr>
          <w:p w14:paraId="48EA256F" w14:textId="77777777" w:rsidR="00FA14A4" w:rsidRPr="00451DFF" w:rsidRDefault="00FA14A4" w:rsidP="00347614">
            <w:pPr>
              <w:spacing w:after="0" w:line="240" w:lineRule="auto"/>
              <w:contextualSpacing/>
              <w:jc w:val="center"/>
              <w:rPr>
                <w:rFonts w:ascii="Arial" w:hAnsi="Arial" w:cs="Arial"/>
                <w:b/>
                <w:bCs/>
                <w:color w:val="000000"/>
                <w:sz w:val="20"/>
              </w:rPr>
            </w:pPr>
            <w:r w:rsidRPr="00451DFF">
              <w:rPr>
                <w:rFonts w:ascii="Arial" w:hAnsi="Arial" w:cs="Arial"/>
                <w:b/>
                <w:bCs/>
                <w:color w:val="000000"/>
                <w:sz w:val="20"/>
              </w:rPr>
              <w:t>1.38</w:t>
            </w:r>
          </w:p>
        </w:tc>
        <w:tc>
          <w:tcPr>
            <w:tcW w:w="1372" w:type="dxa"/>
            <w:tcBorders>
              <w:top w:val="nil"/>
              <w:left w:val="nil"/>
              <w:bottom w:val="single" w:sz="4" w:space="0" w:color="auto"/>
              <w:right w:val="single" w:sz="4" w:space="0" w:color="auto"/>
            </w:tcBorders>
            <w:shd w:val="clear" w:color="auto" w:fill="auto"/>
            <w:noWrap/>
            <w:vAlign w:val="center"/>
            <w:hideMark/>
          </w:tcPr>
          <w:p w14:paraId="59AAF867" w14:textId="77777777" w:rsidR="00FA14A4" w:rsidRPr="00451DFF" w:rsidRDefault="00FA14A4" w:rsidP="00347614">
            <w:pPr>
              <w:spacing w:after="0" w:line="240" w:lineRule="auto"/>
              <w:contextualSpacing/>
              <w:jc w:val="center"/>
              <w:rPr>
                <w:rFonts w:ascii="Arial" w:hAnsi="Arial" w:cs="Arial"/>
                <w:b/>
                <w:bCs/>
                <w:color w:val="000000"/>
                <w:sz w:val="20"/>
              </w:rPr>
            </w:pPr>
            <w:r w:rsidRPr="00451DFF">
              <w:rPr>
                <w:rFonts w:ascii="Arial" w:hAnsi="Arial" w:cs="Arial"/>
                <w:b/>
                <w:bCs/>
                <w:color w:val="000000"/>
                <w:sz w:val="20"/>
              </w:rPr>
              <w:t>1.77</w:t>
            </w:r>
          </w:p>
        </w:tc>
        <w:tc>
          <w:tcPr>
            <w:tcW w:w="1372" w:type="dxa"/>
            <w:tcBorders>
              <w:top w:val="nil"/>
              <w:left w:val="nil"/>
              <w:bottom w:val="single" w:sz="4" w:space="0" w:color="auto"/>
              <w:right w:val="single" w:sz="4" w:space="0" w:color="auto"/>
            </w:tcBorders>
            <w:shd w:val="clear" w:color="auto" w:fill="auto"/>
            <w:noWrap/>
            <w:vAlign w:val="center"/>
            <w:hideMark/>
          </w:tcPr>
          <w:p w14:paraId="0F086289" w14:textId="77777777" w:rsidR="00FA14A4" w:rsidRPr="00451DFF" w:rsidRDefault="00FA14A4" w:rsidP="00347614">
            <w:pPr>
              <w:spacing w:after="0" w:line="240" w:lineRule="auto"/>
              <w:contextualSpacing/>
              <w:jc w:val="center"/>
              <w:rPr>
                <w:rFonts w:ascii="Arial" w:hAnsi="Arial" w:cs="Arial"/>
                <w:b/>
                <w:bCs/>
                <w:color w:val="000000"/>
                <w:sz w:val="20"/>
              </w:rPr>
            </w:pPr>
            <w:r w:rsidRPr="00451DFF">
              <w:rPr>
                <w:rFonts w:ascii="Arial" w:hAnsi="Arial" w:cs="Arial"/>
                <w:b/>
                <w:bCs/>
                <w:color w:val="000000"/>
                <w:sz w:val="20"/>
              </w:rPr>
              <w:t>2.89</w:t>
            </w:r>
          </w:p>
        </w:tc>
        <w:tc>
          <w:tcPr>
            <w:tcW w:w="1404" w:type="dxa"/>
            <w:tcBorders>
              <w:top w:val="nil"/>
              <w:left w:val="nil"/>
              <w:bottom w:val="single" w:sz="4" w:space="0" w:color="auto"/>
              <w:right w:val="single" w:sz="4" w:space="0" w:color="auto"/>
            </w:tcBorders>
            <w:shd w:val="clear" w:color="auto" w:fill="auto"/>
            <w:noWrap/>
            <w:vAlign w:val="center"/>
            <w:hideMark/>
          </w:tcPr>
          <w:p w14:paraId="4FB8D073" w14:textId="77777777" w:rsidR="00FA14A4" w:rsidRPr="00451DFF" w:rsidRDefault="00FA14A4" w:rsidP="00347614">
            <w:pPr>
              <w:spacing w:after="0" w:line="240" w:lineRule="auto"/>
              <w:contextualSpacing/>
              <w:jc w:val="center"/>
              <w:rPr>
                <w:rFonts w:ascii="Arial" w:hAnsi="Arial" w:cs="Arial"/>
                <w:b/>
                <w:bCs/>
                <w:color w:val="000000"/>
                <w:sz w:val="20"/>
              </w:rPr>
            </w:pPr>
            <w:r w:rsidRPr="00451DFF">
              <w:rPr>
                <w:rFonts w:ascii="Arial" w:hAnsi="Arial" w:cs="Arial"/>
                <w:b/>
                <w:bCs/>
                <w:color w:val="000000"/>
                <w:sz w:val="20"/>
              </w:rPr>
              <w:t>2.13</w:t>
            </w:r>
          </w:p>
        </w:tc>
      </w:tr>
      <w:tr w:rsidR="00FA14A4" w:rsidRPr="00451DFF" w14:paraId="2A851CD5" w14:textId="77777777" w:rsidTr="00347614">
        <w:trPr>
          <w:trHeight w:val="119"/>
        </w:trPr>
        <w:tc>
          <w:tcPr>
            <w:tcW w:w="743" w:type="dxa"/>
            <w:tcBorders>
              <w:top w:val="nil"/>
              <w:left w:val="nil"/>
              <w:bottom w:val="nil"/>
              <w:right w:val="nil"/>
            </w:tcBorders>
            <w:shd w:val="clear" w:color="000000" w:fill="000000"/>
            <w:textDirection w:val="btLr"/>
            <w:vAlign w:val="center"/>
            <w:hideMark/>
          </w:tcPr>
          <w:p w14:paraId="26CA0557" w14:textId="77777777" w:rsidR="00FA14A4" w:rsidRPr="00451DFF" w:rsidRDefault="00FA14A4" w:rsidP="00347614">
            <w:pPr>
              <w:spacing w:after="0" w:line="240" w:lineRule="auto"/>
              <w:contextualSpacing/>
              <w:rPr>
                <w:rFonts w:ascii="Arial" w:hAnsi="Arial" w:cs="Arial"/>
                <w:b/>
                <w:bCs/>
                <w:color w:val="000000"/>
                <w:sz w:val="6"/>
                <w:szCs w:val="6"/>
              </w:rPr>
            </w:pPr>
            <w:r w:rsidRPr="00451DFF">
              <w:rPr>
                <w:rFonts w:ascii="Arial" w:hAnsi="Arial" w:cs="Arial"/>
                <w:b/>
                <w:bCs/>
                <w:color w:val="000000"/>
                <w:sz w:val="6"/>
                <w:szCs w:val="6"/>
              </w:rPr>
              <w:t> </w:t>
            </w:r>
          </w:p>
        </w:tc>
        <w:tc>
          <w:tcPr>
            <w:tcW w:w="2932" w:type="dxa"/>
            <w:tcBorders>
              <w:top w:val="nil"/>
              <w:left w:val="nil"/>
              <w:bottom w:val="nil"/>
              <w:right w:val="nil"/>
            </w:tcBorders>
            <w:shd w:val="clear" w:color="000000" w:fill="000000"/>
            <w:noWrap/>
            <w:vAlign w:val="bottom"/>
            <w:hideMark/>
          </w:tcPr>
          <w:p w14:paraId="2F3B90DB" w14:textId="77777777" w:rsidR="00FA14A4" w:rsidRPr="00451DFF" w:rsidRDefault="00FA14A4" w:rsidP="00347614">
            <w:pPr>
              <w:spacing w:after="0" w:line="240" w:lineRule="auto"/>
              <w:contextualSpacing/>
              <w:rPr>
                <w:rFonts w:ascii="Arial" w:hAnsi="Arial" w:cs="Arial"/>
                <w:color w:val="000000"/>
                <w:sz w:val="6"/>
                <w:szCs w:val="6"/>
              </w:rPr>
            </w:pPr>
            <w:r w:rsidRPr="00451DFF">
              <w:rPr>
                <w:rFonts w:ascii="Arial" w:hAnsi="Arial" w:cs="Arial"/>
                <w:color w:val="000000"/>
                <w:sz w:val="6"/>
                <w:szCs w:val="6"/>
              </w:rPr>
              <w:t> </w:t>
            </w:r>
          </w:p>
        </w:tc>
        <w:tc>
          <w:tcPr>
            <w:tcW w:w="1372" w:type="dxa"/>
            <w:tcBorders>
              <w:top w:val="nil"/>
              <w:left w:val="nil"/>
              <w:bottom w:val="nil"/>
              <w:right w:val="nil"/>
            </w:tcBorders>
            <w:shd w:val="clear" w:color="000000" w:fill="000000"/>
            <w:noWrap/>
            <w:vAlign w:val="center"/>
            <w:hideMark/>
          </w:tcPr>
          <w:p w14:paraId="1B30F6E8" w14:textId="77777777" w:rsidR="00FA14A4" w:rsidRPr="00451DFF" w:rsidRDefault="00FA14A4" w:rsidP="00347614">
            <w:pPr>
              <w:spacing w:after="0" w:line="240" w:lineRule="auto"/>
              <w:contextualSpacing/>
              <w:jc w:val="center"/>
              <w:rPr>
                <w:rFonts w:ascii="Arial" w:hAnsi="Arial" w:cs="Arial"/>
                <w:color w:val="000000"/>
                <w:sz w:val="6"/>
                <w:szCs w:val="6"/>
              </w:rPr>
            </w:pPr>
          </w:p>
        </w:tc>
        <w:tc>
          <w:tcPr>
            <w:tcW w:w="1372" w:type="dxa"/>
            <w:tcBorders>
              <w:top w:val="nil"/>
              <w:left w:val="nil"/>
              <w:bottom w:val="nil"/>
              <w:right w:val="nil"/>
            </w:tcBorders>
            <w:shd w:val="clear" w:color="000000" w:fill="000000"/>
            <w:noWrap/>
            <w:vAlign w:val="center"/>
            <w:hideMark/>
          </w:tcPr>
          <w:p w14:paraId="407CD17D" w14:textId="77777777" w:rsidR="00FA14A4" w:rsidRPr="00451DFF" w:rsidRDefault="00FA14A4" w:rsidP="00347614">
            <w:pPr>
              <w:spacing w:after="0" w:line="240" w:lineRule="auto"/>
              <w:contextualSpacing/>
              <w:jc w:val="center"/>
              <w:rPr>
                <w:rFonts w:ascii="Arial" w:hAnsi="Arial" w:cs="Arial"/>
                <w:color w:val="000000"/>
                <w:sz w:val="6"/>
                <w:szCs w:val="6"/>
              </w:rPr>
            </w:pPr>
          </w:p>
        </w:tc>
        <w:tc>
          <w:tcPr>
            <w:tcW w:w="1372" w:type="dxa"/>
            <w:tcBorders>
              <w:top w:val="nil"/>
              <w:left w:val="nil"/>
              <w:bottom w:val="nil"/>
              <w:right w:val="nil"/>
            </w:tcBorders>
            <w:shd w:val="clear" w:color="000000" w:fill="000000"/>
            <w:noWrap/>
            <w:vAlign w:val="center"/>
            <w:hideMark/>
          </w:tcPr>
          <w:p w14:paraId="0F7D6C86" w14:textId="77777777" w:rsidR="00FA14A4" w:rsidRPr="00451DFF" w:rsidRDefault="00FA14A4" w:rsidP="00347614">
            <w:pPr>
              <w:spacing w:after="0" w:line="240" w:lineRule="auto"/>
              <w:contextualSpacing/>
              <w:jc w:val="center"/>
              <w:rPr>
                <w:rFonts w:ascii="Arial" w:hAnsi="Arial" w:cs="Arial"/>
                <w:color w:val="000000"/>
                <w:sz w:val="6"/>
                <w:szCs w:val="6"/>
              </w:rPr>
            </w:pPr>
          </w:p>
        </w:tc>
        <w:tc>
          <w:tcPr>
            <w:tcW w:w="1404" w:type="dxa"/>
            <w:tcBorders>
              <w:top w:val="nil"/>
              <w:left w:val="nil"/>
              <w:bottom w:val="nil"/>
              <w:right w:val="nil"/>
            </w:tcBorders>
            <w:shd w:val="clear" w:color="000000" w:fill="000000"/>
            <w:noWrap/>
            <w:vAlign w:val="center"/>
            <w:hideMark/>
          </w:tcPr>
          <w:p w14:paraId="59B9086D" w14:textId="77777777" w:rsidR="00FA14A4" w:rsidRPr="00451DFF" w:rsidRDefault="00FA14A4" w:rsidP="00347614">
            <w:pPr>
              <w:spacing w:after="0" w:line="240" w:lineRule="auto"/>
              <w:contextualSpacing/>
              <w:jc w:val="center"/>
              <w:rPr>
                <w:rFonts w:ascii="Arial" w:hAnsi="Arial" w:cs="Arial"/>
                <w:color w:val="000000"/>
                <w:sz w:val="20"/>
              </w:rPr>
            </w:pPr>
          </w:p>
        </w:tc>
      </w:tr>
      <w:tr w:rsidR="00FA14A4" w:rsidRPr="00451DFF" w14:paraId="2D7F4C0F" w14:textId="77777777" w:rsidTr="00347614">
        <w:trPr>
          <w:trHeight w:val="306"/>
        </w:trPr>
        <w:tc>
          <w:tcPr>
            <w:tcW w:w="743" w:type="dxa"/>
            <w:vMerge w:val="restart"/>
            <w:tcBorders>
              <w:top w:val="single" w:sz="8" w:space="0" w:color="auto"/>
              <w:left w:val="single" w:sz="8" w:space="0" w:color="auto"/>
              <w:bottom w:val="single" w:sz="8" w:space="0" w:color="000000"/>
              <w:right w:val="single" w:sz="8" w:space="0" w:color="auto"/>
            </w:tcBorders>
            <w:shd w:val="clear" w:color="000000" w:fill="FF0000"/>
            <w:textDirection w:val="btLr"/>
            <w:vAlign w:val="center"/>
            <w:hideMark/>
          </w:tcPr>
          <w:p w14:paraId="4FAFEC0C" w14:textId="77777777" w:rsidR="00FA14A4" w:rsidRPr="00451DFF" w:rsidRDefault="00FA14A4" w:rsidP="00347614">
            <w:pPr>
              <w:spacing w:after="0" w:line="240" w:lineRule="auto"/>
              <w:contextualSpacing/>
              <w:jc w:val="center"/>
              <w:rPr>
                <w:rFonts w:ascii="Arial" w:hAnsi="Arial" w:cs="Arial"/>
                <w:b/>
                <w:bCs/>
                <w:color w:val="000000"/>
              </w:rPr>
            </w:pPr>
            <w:r w:rsidRPr="00451DFF">
              <w:rPr>
                <w:rFonts w:ascii="Arial" w:hAnsi="Arial" w:cs="Arial"/>
                <w:b/>
                <w:bCs/>
                <w:color w:val="000000"/>
              </w:rPr>
              <w:t>West Penn</w:t>
            </w:r>
          </w:p>
        </w:tc>
        <w:tc>
          <w:tcPr>
            <w:tcW w:w="2932" w:type="dxa"/>
            <w:tcBorders>
              <w:top w:val="single" w:sz="4" w:space="0" w:color="auto"/>
              <w:left w:val="nil"/>
              <w:bottom w:val="single" w:sz="4" w:space="0" w:color="auto"/>
              <w:right w:val="single" w:sz="4" w:space="0" w:color="auto"/>
            </w:tcBorders>
            <w:shd w:val="clear" w:color="000000" w:fill="F2F2F2"/>
            <w:noWrap/>
            <w:vAlign w:val="center"/>
            <w:hideMark/>
          </w:tcPr>
          <w:p w14:paraId="2AFF6BF1" w14:textId="77777777" w:rsidR="00FA14A4" w:rsidRPr="00451DFF" w:rsidRDefault="00FA14A4" w:rsidP="00347614">
            <w:pPr>
              <w:spacing w:after="0" w:line="240" w:lineRule="auto"/>
              <w:contextualSpacing/>
              <w:rPr>
                <w:rFonts w:ascii="Arial" w:hAnsi="Arial" w:cs="Arial"/>
                <w:b/>
                <w:bCs/>
                <w:color w:val="000000"/>
                <w:sz w:val="20"/>
              </w:rPr>
            </w:pPr>
            <w:r w:rsidRPr="00451DFF">
              <w:rPr>
                <w:rFonts w:ascii="Arial" w:hAnsi="Arial" w:cs="Arial"/>
                <w:b/>
                <w:bCs/>
                <w:color w:val="000000"/>
                <w:sz w:val="20"/>
              </w:rPr>
              <w:t>Annual Issues ($)</w:t>
            </w:r>
          </w:p>
        </w:tc>
        <w:tc>
          <w:tcPr>
            <w:tcW w:w="1372" w:type="dxa"/>
            <w:tcBorders>
              <w:top w:val="single" w:sz="4" w:space="0" w:color="auto"/>
              <w:left w:val="nil"/>
              <w:bottom w:val="single" w:sz="4" w:space="0" w:color="auto"/>
              <w:right w:val="single" w:sz="4" w:space="0" w:color="auto"/>
            </w:tcBorders>
            <w:shd w:val="clear" w:color="000000" w:fill="D9D9D9"/>
            <w:noWrap/>
            <w:vAlign w:val="center"/>
            <w:hideMark/>
          </w:tcPr>
          <w:p w14:paraId="23DCBF64" w14:textId="77777777" w:rsidR="00FA14A4" w:rsidRPr="00451DFF" w:rsidRDefault="00FA14A4" w:rsidP="00347614">
            <w:pPr>
              <w:spacing w:after="0" w:line="240" w:lineRule="auto"/>
              <w:contextualSpacing/>
              <w:jc w:val="center"/>
              <w:rPr>
                <w:rFonts w:ascii="Arial" w:hAnsi="Arial" w:cs="Arial"/>
                <w:color w:val="000000"/>
                <w:sz w:val="20"/>
              </w:rPr>
            </w:pPr>
            <w:r w:rsidRPr="00451DFF">
              <w:rPr>
                <w:rFonts w:ascii="Arial" w:hAnsi="Arial" w:cs="Arial"/>
                <w:color w:val="000000"/>
                <w:sz w:val="20"/>
              </w:rPr>
              <w:t>$10,227,509</w:t>
            </w:r>
          </w:p>
        </w:tc>
        <w:tc>
          <w:tcPr>
            <w:tcW w:w="1372" w:type="dxa"/>
            <w:tcBorders>
              <w:top w:val="single" w:sz="4" w:space="0" w:color="auto"/>
              <w:left w:val="nil"/>
              <w:bottom w:val="single" w:sz="4" w:space="0" w:color="auto"/>
              <w:right w:val="single" w:sz="4" w:space="0" w:color="auto"/>
            </w:tcBorders>
            <w:shd w:val="clear" w:color="000000" w:fill="D9D9D9"/>
            <w:noWrap/>
            <w:vAlign w:val="center"/>
            <w:hideMark/>
          </w:tcPr>
          <w:p w14:paraId="66A713B3" w14:textId="77777777" w:rsidR="00FA14A4" w:rsidRPr="00451DFF" w:rsidRDefault="00FA14A4" w:rsidP="00347614">
            <w:pPr>
              <w:spacing w:after="0" w:line="240" w:lineRule="auto"/>
              <w:contextualSpacing/>
              <w:jc w:val="center"/>
              <w:rPr>
                <w:rFonts w:ascii="Arial" w:hAnsi="Arial" w:cs="Arial"/>
                <w:color w:val="000000"/>
                <w:sz w:val="20"/>
              </w:rPr>
            </w:pPr>
            <w:r w:rsidRPr="00451DFF">
              <w:rPr>
                <w:rFonts w:ascii="Arial" w:hAnsi="Arial" w:cs="Arial"/>
                <w:color w:val="000000"/>
                <w:sz w:val="20"/>
              </w:rPr>
              <w:t>$9,901,349</w:t>
            </w:r>
          </w:p>
        </w:tc>
        <w:tc>
          <w:tcPr>
            <w:tcW w:w="1372" w:type="dxa"/>
            <w:tcBorders>
              <w:top w:val="single" w:sz="4" w:space="0" w:color="auto"/>
              <w:left w:val="nil"/>
              <w:bottom w:val="single" w:sz="4" w:space="0" w:color="auto"/>
              <w:right w:val="single" w:sz="4" w:space="0" w:color="auto"/>
            </w:tcBorders>
            <w:shd w:val="clear" w:color="000000" w:fill="D9D9D9"/>
            <w:noWrap/>
            <w:vAlign w:val="center"/>
            <w:hideMark/>
          </w:tcPr>
          <w:p w14:paraId="32ABB8F5" w14:textId="77777777" w:rsidR="00FA14A4" w:rsidRPr="00451DFF" w:rsidRDefault="00FA14A4" w:rsidP="00347614">
            <w:pPr>
              <w:spacing w:after="0" w:line="240" w:lineRule="auto"/>
              <w:contextualSpacing/>
              <w:jc w:val="center"/>
              <w:rPr>
                <w:rFonts w:ascii="Arial" w:hAnsi="Arial" w:cs="Arial"/>
                <w:color w:val="000000"/>
                <w:sz w:val="20"/>
              </w:rPr>
            </w:pPr>
            <w:r w:rsidRPr="00451DFF">
              <w:rPr>
                <w:rFonts w:ascii="Arial" w:hAnsi="Arial" w:cs="Arial"/>
                <w:color w:val="000000"/>
                <w:sz w:val="20"/>
              </w:rPr>
              <w:t>$14,655,222</w:t>
            </w:r>
          </w:p>
        </w:tc>
        <w:tc>
          <w:tcPr>
            <w:tcW w:w="1404" w:type="dxa"/>
            <w:tcBorders>
              <w:top w:val="single" w:sz="4" w:space="0" w:color="auto"/>
              <w:left w:val="nil"/>
              <w:bottom w:val="single" w:sz="4" w:space="0" w:color="auto"/>
              <w:right w:val="single" w:sz="4" w:space="0" w:color="auto"/>
            </w:tcBorders>
            <w:shd w:val="clear" w:color="000000" w:fill="D9D9D9"/>
            <w:noWrap/>
            <w:vAlign w:val="center"/>
            <w:hideMark/>
          </w:tcPr>
          <w:p w14:paraId="00E35D4F" w14:textId="67164AA0" w:rsidR="00FA14A4" w:rsidRPr="00451DFF" w:rsidRDefault="00FA14A4" w:rsidP="00347614">
            <w:pPr>
              <w:spacing w:after="0" w:line="240" w:lineRule="auto"/>
              <w:contextualSpacing/>
              <w:jc w:val="center"/>
              <w:rPr>
                <w:rFonts w:ascii="Arial" w:hAnsi="Arial" w:cs="Arial"/>
                <w:color w:val="000000"/>
                <w:sz w:val="20"/>
              </w:rPr>
            </w:pPr>
            <w:r w:rsidRPr="00451DFF">
              <w:rPr>
                <w:rFonts w:ascii="Arial" w:hAnsi="Arial" w:cs="Arial"/>
                <w:color w:val="000000"/>
                <w:sz w:val="20"/>
              </w:rPr>
              <w:t>$16,0</w:t>
            </w:r>
            <w:r w:rsidR="00A85E78">
              <w:rPr>
                <w:rFonts w:ascii="Arial" w:hAnsi="Arial" w:cs="Arial"/>
                <w:color w:val="000000"/>
                <w:sz w:val="20"/>
              </w:rPr>
              <w:t>0</w:t>
            </w:r>
            <w:r w:rsidRPr="00451DFF">
              <w:rPr>
                <w:rFonts w:ascii="Arial" w:hAnsi="Arial" w:cs="Arial"/>
                <w:color w:val="000000"/>
                <w:sz w:val="20"/>
              </w:rPr>
              <w:t>6,577</w:t>
            </w:r>
          </w:p>
        </w:tc>
      </w:tr>
      <w:tr w:rsidR="00FA14A4" w:rsidRPr="00451DFF" w14:paraId="3A0E457A" w14:textId="77777777" w:rsidTr="00347614">
        <w:trPr>
          <w:trHeight w:val="306"/>
        </w:trPr>
        <w:tc>
          <w:tcPr>
            <w:tcW w:w="743" w:type="dxa"/>
            <w:vMerge/>
            <w:tcBorders>
              <w:top w:val="single" w:sz="8" w:space="0" w:color="auto"/>
              <w:left w:val="single" w:sz="8" w:space="0" w:color="auto"/>
              <w:bottom w:val="single" w:sz="8" w:space="0" w:color="000000"/>
              <w:right w:val="single" w:sz="8" w:space="0" w:color="auto"/>
            </w:tcBorders>
            <w:vAlign w:val="center"/>
            <w:hideMark/>
          </w:tcPr>
          <w:p w14:paraId="0795A34F" w14:textId="77777777" w:rsidR="00FA14A4" w:rsidRPr="00451DFF" w:rsidRDefault="00FA14A4" w:rsidP="00347614">
            <w:pPr>
              <w:spacing w:after="0" w:line="240" w:lineRule="auto"/>
              <w:contextualSpacing/>
              <w:rPr>
                <w:rFonts w:ascii="Arial" w:hAnsi="Arial" w:cs="Arial"/>
                <w:b/>
                <w:bCs/>
                <w:color w:val="000000"/>
              </w:rPr>
            </w:pPr>
          </w:p>
        </w:tc>
        <w:tc>
          <w:tcPr>
            <w:tcW w:w="2932" w:type="dxa"/>
            <w:tcBorders>
              <w:top w:val="nil"/>
              <w:left w:val="nil"/>
              <w:bottom w:val="single" w:sz="4" w:space="0" w:color="auto"/>
              <w:right w:val="single" w:sz="4" w:space="0" w:color="auto"/>
            </w:tcBorders>
            <w:shd w:val="clear" w:color="000000" w:fill="F2F2F2"/>
            <w:noWrap/>
            <w:vAlign w:val="center"/>
            <w:hideMark/>
          </w:tcPr>
          <w:p w14:paraId="12A6D419" w14:textId="77777777" w:rsidR="00FA14A4" w:rsidRPr="00451DFF" w:rsidRDefault="00FA14A4" w:rsidP="00347614">
            <w:pPr>
              <w:spacing w:after="0" w:line="240" w:lineRule="auto"/>
              <w:contextualSpacing/>
              <w:rPr>
                <w:rFonts w:ascii="Arial" w:hAnsi="Arial" w:cs="Arial"/>
                <w:b/>
                <w:bCs/>
                <w:color w:val="000000"/>
                <w:sz w:val="20"/>
              </w:rPr>
            </w:pPr>
            <w:r w:rsidRPr="00451DFF">
              <w:rPr>
                <w:rFonts w:ascii="Arial" w:hAnsi="Arial" w:cs="Arial"/>
                <w:b/>
                <w:bCs/>
                <w:color w:val="000000"/>
                <w:sz w:val="20"/>
              </w:rPr>
              <w:t>Average Inventory Balances</w:t>
            </w:r>
          </w:p>
        </w:tc>
        <w:tc>
          <w:tcPr>
            <w:tcW w:w="1372" w:type="dxa"/>
            <w:tcBorders>
              <w:top w:val="nil"/>
              <w:left w:val="nil"/>
              <w:bottom w:val="single" w:sz="4" w:space="0" w:color="auto"/>
              <w:right w:val="single" w:sz="4" w:space="0" w:color="auto"/>
            </w:tcBorders>
            <w:shd w:val="clear" w:color="000000" w:fill="D9D9D9"/>
            <w:noWrap/>
            <w:vAlign w:val="center"/>
            <w:hideMark/>
          </w:tcPr>
          <w:p w14:paraId="25237C5E" w14:textId="77777777" w:rsidR="00FA14A4" w:rsidRPr="00451DFF" w:rsidRDefault="00FA14A4" w:rsidP="00347614">
            <w:pPr>
              <w:spacing w:after="0" w:line="240" w:lineRule="auto"/>
              <w:contextualSpacing/>
              <w:jc w:val="center"/>
              <w:rPr>
                <w:rFonts w:ascii="Arial" w:hAnsi="Arial" w:cs="Arial"/>
                <w:color w:val="000000"/>
                <w:sz w:val="20"/>
              </w:rPr>
            </w:pPr>
            <w:r w:rsidRPr="00451DFF">
              <w:rPr>
                <w:rFonts w:ascii="Arial" w:hAnsi="Arial" w:cs="Arial"/>
                <w:color w:val="000000"/>
                <w:sz w:val="20"/>
              </w:rPr>
              <w:t>$10,815,007</w:t>
            </w:r>
          </w:p>
        </w:tc>
        <w:tc>
          <w:tcPr>
            <w:tcW w:w="1372" w:type="dxa"/>
            <w:tcBorders>
              <w:top w:val="nil"/>
              <w:left w:val="nil"/>
              <w:bottom w:val="single" w:sz="4" w:space="0" w:color="auto"/>
              <w:right w:val="single" w:sz="4" w:space="0" w:color="auto"/>
            </w:tcBorders>
            <w:shd w:val="clear" w:color="000000" w:fill="D9D9D9"/>
            <w:noWrap/>
            <w:vAlign w:val="center"/>
            <w:hideMark/>
          </w:tcPr>
          <w:p w14:paraId="5D66E399" w14:textId="77777777" w:rsidR="00FA14A4" w:rsidRPr="00451DFF" w:rsidRDefault="00FA14A4" w:rsidP="00347614">
            <w:pPr>
              <w:spacing w:after="0" w:line="240" w:lineRule="auto"/>
              <w:contextualSpacing/>
              <w:jc w:val="center"/>
              <w:rPr>
                <w:rFonts w:ascii="Arial" w:hAnsi="Arial" w:cs="Arial"/>
                <w:color w:val="000000"/>
                <w:sz w:val="20"/>
              </w:rPr>
            </w:pPr>
            <w:r w:rsidRPr="00451DFF">
              <w:rPr>
                <w:rFonts w:ascii="Arial" w:hAnsi="Arial" w:cs="Arial"/>
                <w:color w:val="000000"/>
                <w:sz w:val="20"/>
              </w:rPr>
              <w:t>$9,873,744</w:t>
            </w:r>
          </w:p>
        </w:tc>
        <w:tc>
          <w:tcPr>
            <w:tcW w:w="1372" w:type="dxa"/>
            <w:tcBorders>
              <w:top w:val="nil"/>
              <w:left w:val="nil"/>
              <w:bottom w:val="single" w:sz="4" w:space="0" w:color="auto"/>
              <w:right w:val="single" w:sz="4" w:space="0" w:color="auto"/>
            </w:tcBorders>
            <w:shd w:val="clear" w:color="000000" w:fill="D9D9D9"/>
            <w:noWrap/>
            <w:vAlign w:val="center"/>
            <w:hideMark/>
          </w:tcPr>
          <w:p w14:paraId="4F3644AD" w14:textId="77777777" w:rsidR="00FA14A4" w:rsidRPr="00451DFF" w:rsidRDefault="00FA14A4" w:rsidP="00347614">
            <w:pPr>
              <w:spacing w:after="0" w:line="240" w:lineRule="auto"/>
              <w:contextualSpacing/>
              <w:jc w:val="center"/>
              <w:rPr>
                <w:rFonts w:ascii="Arial" w:hAnsi="Arial" w:cs="Arial"/>
                <w:color w:val="000000"/>
                <w:sz w:val="20"/>
              </w:rPr>
            </w:pPr>
            <w:r w:rsidRPr="00451DFF">
              <w:rPr>
                <w:rFonts w:ascii="Arial" w:hAnsi="Arial" w:cs="Arial"/>
                <w:color w:val="000000"/>
                <w:sz w:val="20"/>
              </w:rPr>
              <w:t>$8,621,332</w:t>
            </w:r>
          </w:p>
        </w:tc>
        <w:tc>
          <w:tcPr>
            <w:tcW w:w="1404" w:type="dxa"/>
            <w:tcBorders>
              <w:top w:val="nil"/>
              <w:left w:val="nil"/>
              <w:bottom w:val="single" w:sz="4" w:space="0" w:color="auto"/>
              <w:right w:val="single" w:sz="4" w:space="0" w:color="auto"/>
            </w:tcBorders>
            <w:shd w:val="clear" w:color="000000" w:fill="D9D9D9"/>
            <w:noWrap/>
            <w:vAlign w:val="center"/>
            <w:hideMark/>
          </w:tcPr>
          <w:p w14:paraId="6FF58C24" w14:textId="77777777" w:rsidR="00FA14A4" w:rsidRPr="00451DFF" w:rsidRDefault="00FA14A4" w:rsidP="00347614">
            <w:pPr>
              <w:spacing w:after="0" w:line="240" w:lineRule="auto"/>
              <w:contextualSpacing/>
              <w:jc w:val="center"/>
              <w:rPr>
                <w:rFonts w:ascii="Arial" w:hAnsi="Arial" w:cs="Arial"/>
                <w:color w:val="000000"/>
                <w:sz w:val="20"/>
              </w:rPr>
            </w:pPr>
            <w:r w:rsidRPr="00451DFF">
              <w:rPr>
                <w:rFonts w:ascii="Arial" w:hAnsi="Arial" w:cs="Arial"/>
                <w:color w:val="000000"/>
                <w:sz w:val="20"/>
              </w:rPr>
              <w:t>$9,123,914</w:t>
            </w:r>
          </w:p>
        </w:tc>
      </w:tr>
      <w:tr w:rsidR="00FA14A4" w:rsidRPr="00451DFF" w14:paraId="15C3542A" w14:textId="77777777" w:rsidTr="00347614">
        <w:trPr>
          <w:trHeight w:val="306"/>
        </w:trPr>
        <w:tc>
          <w:tcPr>
            <w:tcW w:w="743" w:type="dxa"/>
            <w:vMerge/>
            <w:tcBorders>
              <w:top w:val="single" w:sz="8" w:space="0" w:color="auto"/>
              <w:left w:val="single" w:sz="8" w:space="0" w:color="auto"/>
              <w:bottom w:val="single" w:sz="8" w:space="0" w:color="000000"/>
              <w:right w:val="single" w:sz="8" w:space="0" w:color="auto"/>
            </w:tcBorders>
            <w:vAlign w:val="center"/>
            <w:hideMark/>
          </w:tcPr>
          <w:p w14:paraId="508C31A9" w14:textId="77777777" w:rsidR="00FA14A4" w:rsidRPr="00451DFF" w:rsidRDefault="00FA14A4" w:rsidP="00347614">
            <w:pPr>
              <w:spacing w:after="0" w:line="240" w:lineRule="auto"/>
              <w:contextualSpacing/>
              <w:rPr>
                <w:rFonts w:ascii="Arial" w:hAnsi="Arial" w:cs="Arial"/>
                <w:b/>
                <w:bCs/>
                <w:color w:val="000000"/>
              </w:rPr>
            </w:pPr>
          </w:p>
        </w:tc>
        <w:tc>
          <w:tcPr>
            <w:tcW w:w="2932" w:type="dxa"/>
            <w:tcBorders>
              <w:top w:val="nil"/>
              <w:left w:val="nil"/>
              <w:bottom w:val="single" w:sz="4" w:space="0" w:color="auto"/>
              <w:right w:val="single" w:sz="4" w:space="0" w:color="auto"/>
            </w:tcBorders>
            <w:shd w:val="clear" w:color="000000" w:fill="FCD5B4"/>
            <w:noWrap/>
            <w:vAlign w:val="center"/>
            <w:hideMark/>
          </w:tcPr>
          <w:p w14:paraId="2D5A0028" w14:textId="77777777" w:rsidR="00FA14A4" w:rsidRPr="00451DFF" w:rsidRDefault="00FA14A4" w:rsidP="00347614">
            <w:pPr>
              <w:spacing w:after="0" w:line="240" w:lineRule="auto"/>
              <w:contextualSpacing/>
              <w:rPr>
                <w:rFonts w:ascii="Arial" w:hAnsi="Arial" w:cs="Arial"/>
                <w:b/>
                <w:bCs/>
                <w:color w:val="000000"/>
                <w:sz w:val="20"/>
              </w:rPr>
            </w:pPr>
            <w:r w:rsidRPr="00451DFF">
              <w:rPr>
                <w:rFonts w:ascii="Arial" w:hAnsi="Arial" w:cs="Arial"/>
                <w:b/>
                <w:bCs/>
                <w:color w:val="000000"/>
                <w:sz w:val="20"/>
              </w:rPr>
              <w:t>Inventory Turnover Levels</w:t>
            </w:r>
          </w:p>
        </w:tc>
        <w:tc>
          <w:tcPr>
            <w:tcW w:w="1372" w:type="dxa"/>
            <w:tcBorders>
              <w:top w:val="nil"/>
              <w:left w:val="nil"/>
              <w:bottom w:val="single" w:sz="4" w:space="0" w:color="auto"/>
              <w:right w:val="single" w:sz="4" w:space="0" w:color="auto"/>
            </w:tcBorders>
            <w:shd w:val="clear" w:color="auto" w:fill="auto"/>
            <w:noWrap/>
            <w:vAlign w:val="center"/>
            <w:hideMark/>
          </w:tcPr>
          <w:p w14:paraId="70C4B740" w14:textId="77777777" w:rsidR="00FA14A4" w:rsidRPr="00451DFF" w:rsidRDefault="00FA14A4" w:rsidP="00347614">
            <w:pPr>
              <w:spacing w:after="0" w:line="240" w:lineRule="auto"/>
              <w:contextualSpacing/>
              <w:jc w:val="center"/>
              <w:rPr>
                <w:rFonts w:ascii="Arial" w:hAnsi="Arial" w:cs="Arial"/>
                <w:b/>
                <w:bCs/>
                <w:color w:val="000000"/>
                <w:sz w:val="20"/>
              </w:rPr>
            </w:pPr>
            <w:r w:rsidRPr="00451DFF">
              <w:rPr>
                <w:rFonts w:ascii="Arial" w:hAnsi="Arial" w:cs="Arial"/>
                <w:b/>
                <w:bCs/>
                <w:color w:val="000000"/>
                <w:sz w:val="20"/>
              </w:rPr>
              <w:t>0.95</w:t>
            </w:r>
          </w:p>
        </w:tc>
        <w:tc>
          <w:tcPr>
            <w:tcW w:w="1372" w:type="dxa"/>
            <w:tcBorders>
              <w:top w:val="nil"/>
              <w:left w:val="nil"/>
              <w:bottom w:val="single" w:sz="4" w:space="0" w:color="auto"/>
              <w:right w:val="single" w:sz="4" w:space="0" w:color="auto"/>
            </w:tcBorders>
            <w:shd w:val="clear" w:color="auto" w:fill="auto"/>
            <w:noWrap/>
            <w:vAlign w:val="center"/>
            <w:hideMark/>
          </w:tcPr>
          <w:p w14:paraId="45B6FF58" w14:textId="77777777" w:rsidR="00FA14A4" w:rsidRPr="00451DFF" w:rsidRDefault="00FA14A4" w:rsidP="00347614">
            <w:pPr>
              <w:spacing w:after="0" w:line="240" w:lineRule="auto"/>
              <w:contextualSpacing/>
              <w:jc w:val="center"/>
              <w:rPr>
                <w:rFonts w:ascii="Arial" w:hAnsi="Arial" w:cs="Arial"/>
                <w:b/>
                <w:bCs/>
                <w:color w:val="000000"/>
                <w:sz w:val="20"/>
              </w:rPr>
            </w:pPr>
            <w:r w:rsidRPr="00451DFF">
              <w:rPr>
                <w:rFonts w:ascii="Arial" w:hAnsi="Arial" w:cs="Arial"/>
                <w:b/>
                <w:bCs/>
                <w:color w:val="000000"/>
                <w:sz w:val="20"/>
              </w:rPr>
              <w:t>1.00</w:t>
            </w:r>
          </w:p>
        </w:tc>
        <w:tc>
          <w:tcPr>
            <w:tcW w:w="1372" w:type="dxa"/>
            <w:tcBorders>
              <w:top w:val="nil"/>
              <w:left w:val="nil"/>
              <w:bottom w:val="single" w:sz="4" w:space="0" w:color="auto"/>
              <w:right w:val="single" w:sz="4" w:space="0" w:color="auto"/>
            </w:tcBorders>
            <w:shd w:val="clear" w:color="auto" w:fill="auto"/>
            <w:noWrap/>
            <w:vAlign w:val="center"/>
            <w:hideMark/>
          </w:tcPr>
          <w:p w14:paraId="186EBECB" w14:textId="77777777" w:rsidR="00FA14A4" w:rsidRPr="00451DFF" w:rsidRDefault="00FA14A4" w:rsidP="00347614">
            <w:pPr>
              <w:spacing w:after="0" w:line="240" w:lineRule="auto"/>
              <w:contextualSpacing/>
              <w:jc w:val="center"/>
              <w:rPr>
                <w:rFonts w:ascii="Arial" w:hAnsi="Arial" w:cs="Arial"/>
                <w:b/>
                <w:bCs/>
                <w:color w:val="000000"/>
                <w:sz w:val="20"/>
              </w:rPr>
            </w:pPr>
            <w:r w:rsidRPr="00451DFF">
              <w:rPr>
                <w:rFonts w:ascii="Arial" w:hAnsi="Arial" w:cs="Arial"/>
                <w:b/>
                <w:bCs/>
                <w:color w:val="000000"/>
                <w:sz w:val="20"/>
              </w:rPr>
              <w:t>1.70</w:t>
            </w:r>
          </w:p>
        </w:tc>
        <w:tc>
          <w:tcPr>
            <w:tcW w:w="1404" w:type="dxa"/>
            <w:tcBorders>
              <w:top w:val="nil"/>
              <w:left w:val="nil"/>
              <w:bottom w:val="single" w:sz="4" w:space="0" w:color="auto"/>
              <w:right w:val="single" w:sz="4" w:space="0" w:color="auto"/>
            </w:tcBorders>
            <w:shd w:val="clear" w:color="auto" w:fill="auto"/>
            <w:noWrap/>
            <w:vAlign w:val="center"/>
            <w:hideMark/>
          </w:tcPr>
          <w:p w14:paraId="6B9A33D5" w14:textId="77777777" w:rsidR="00FA14A4" w:rsidRPr="00451DFF" w:rsidRDefault="00FA14A4" w:rsidP="00347614">
            <w:pPr>
              <w:spacing w:after="0" w:line="240" w:lineRule="auto"/>
              <w:contextualSpacing/>
              <w:jc w:val="center"/>
              <w:rPr>
                <w:rFonts w:ascii="Arial" w:hAnsi="Arial" w:cs="Arial"/>
                <w:b/>
                <w:bCs/>
                <w:color w:val="000000"/>
                <w:sz w:val="20"/>
              </w:rPr>
            </w:pPr>
            <w:r w:rsidRPr="00451DFF">
              <w:rPr>
                <w:rFonts w:ascii="Arial" w:hAnsi="Arial" w:cs="Arial"/>
                <w:b/>
                <w:bCs/>
                <w:color w:val="000000"/>
                <w:sz w:val="20"/>
              </w:rPr>
              <w:t>1.76</w:t>
            </w:r>
          </w:p>
        </w:tc>
      </w:tr>
      <w:tr w:rsidR="00FA14A4" w:rsidRPr="00451DFF" w14:paraId="03A8FF1B" w14:textId="77777777" w:rsidTr="00347614">
        <w:trPr>
          <w:trHeight w:val="119"/>
        </w:trPr>
        <w:tc>
          <w:tcPr>
            <w:tcW w:w="743" w:type="dxa"/>
            <w:tcBorders>
              <w:top w:val="nil"/>
              <w:left w:val="nil"/>
              <w:bottom w:val="nil"/>
              <w:right w:val="nil"/>
            </w:tcBorders>
            <w:shd w:val="clear" w:color="000000" w:fill="000000"/>
            <w:noWrap/>
            <w:vAlign w:val="bottom"/>
            <w:hideMark/>
          </w:tcPr>
          <w:p w14:paraId="01808463" w14:textId="77777777" w:rsidR="00FA14A4" w:rsidRPr="00451DFF" w:rsidRDefault="00FA14A4" w:rsidP="00347614">
            <w:pPr>
              <w:spacing w:after="0" w:line="240" w:lineRule="auto"/>
              <w:contextualSpacing/>
              <w:rPr>
                <w:rFonts w:ascii="Arial" w:hAnsi="Arial" w:cs="Arial"/>
                <w:color w:val="000000"/>
                <w:sz w:val="6"/>
                <w:szCs w:val="6"/>
              </w:rPr>
            </w:pPr>
            <w:r w:rsidRPr="00451DFF">
              <w:rPr>
                <w:rFonts w:ascii="Arial" w:hAnsi="Arial" w:cs="Arial"/>
                <w:color w:val="000000"/>
                <w:sz w:val="6"/>
                <w:szCs w:val="6"/>
              </w:rPr>
              <w:t> </w:t>
            </w:r>
          </w:p>
        </w:tc>
        <w:tc>
          <w:tcPr>
            <w:tcW w:w="2932" w:type="dxa"/>
            <w:tcBorders>
              <w:top w:val="nil"/>
              <w:left w:val="nil"/>
              <w:bottom w:val="nil"/>
              <w:right w:val="nil"/>
            </w:tcBorders>
            <w:shd w:val="clear" w:color="000000" w:fill="000000"/>
            <w:noWrap/>
            <w:vAlign w:val="bottom"/>
            <w:hideMark/>
          </w:tcPr>
          <w:p w14:paraId="3A637520" w14:textId="77777777" w:rsidR="00FA14A4" w:rsidRPr="00451DFF" w:rsidRDefault="00FA14A4" w:rsidP="00347614">
            <w:pPr>
              <w:spacing w:after="0" w:line="240" w:lineRule="auto"/>
              <w:contextualSpacing/>
              <w:rPr>
                <w:rFonts w:ascii="Arial" w:hAnsi="Arial" w:cs="Arial"/>
                <w:color w:val="000000"/>
                <w:sz w:val="6"/>
                <w:szCs w:val="6"/>
              </w:rPr>
            </w:pPr>
            <w:r w:rsidRPr="00451DFF">
              <w:rPr>
                <w:rFonts w:ascii="Arial" w:hAnsi="Arial" w:cs="Arial"/>
                <w:color w:val="000000"/>
                <w:sz w:val="6"/>
                <w:szCs w:val="6"/>
              </w:rPr>
              <w:t> </w:t>
            </w:r>
          </w:p>
        </w:tc>
        <w:tc>
          <w:tcPr>
            <w:tcW w:w="1372" w:type="dxa"/>
            <w:tcBorders>
              <w:top w:val="nil"/>
              <w:left w:val="nil"/>
              <w:bottom w:val="nil"/>
              <w:right w:val="nil"/>
            </w:tcBorders>
            <w:shd w:val="clear" w:color="000000" w:fill="000000"/>
            <w:noWrap/>
            <w:vAlign w:val="center"/>
            <w:hideMark/>
          </w:tcPr>
          <w:p w14:paraId="14911815" w14:textId="77777777" w:rsidR="00FA14A4" w:rsidRPr="00451DFF" w:rsidRDefault="00FA14A4" w:rsidP="00347614">
            <w:pPr>
              <w:spacing w:after="0" w:line="240" w:lineRule="auto"/>
              <w:contextualSpacing/>
              <w:jc w:val="center"/>
              <w:rPr>
                <w:rFonts w:ascii="Arial" w:hAnsi="Arial" w:cs="Arial"/>
                <w:color w:val="000000"/>
                <w:sz w:val="6"/>
                <w:szCs w:val="6"/>
              </w:rPr>
            </w:pPr>
          </w:p>
        </w:tc>
        <w:tc>
          <w:tcPr>
            <w:tcW w:w="1372" w:type="dxa"/>
            <w:tcBorders>
              <w:top w:val="nil"/>
              <w:left w:val="nil"/>
              <w:bottom w:val="nil"/>
              <w:right w:val="nil"/>
            </w:tcBorders>
            <w:shd w:val="clear" w:color="000000" w:fill="000000"/>
            <w:noWrap/>
            <w:vAlign w:val="center"/>
            <w:hideMark/>
          </w:tcPr>
          <w:p w14:paraId="1D559933" w14:textId="77777777" w:rsidR="00FA14A4" w:rsidRPr="00451DFF" w:rsidRDefault="00FA14A4" w:rsidP="00347614">
            <w:pPr>
              <w:spacing w:after="0" w:line="240" w:lineRule="auto"/>
              <w:contextualSpacing/>
              <w:jc w:val="center"/>
              <w:rPr>
                <w:rFonts w:ascii="Arial" w:hAnsi="Arial" w:cs="Arial"/>
                <w:color w:val="000000"/>
                <w:sz w:val="6"/>
                <w:szCs w:val="6"/>
              </w:rPr>
            </w:pPr>
          </w:p>
        </w:tc>
        <w:tc>
          <w:tcPr>
            <w:tcW w:w="1372" w:type="dxa"/>
            <w:tcBorders>
              <w:top w:val="nil"/>
              <w:left w:val="nil"/>
              <w:bottom w:val="nil"/>
              <w:right w:val="nil"/>
            </w:tcBorders>
            <w:shd w:val="clear" w:color="000000" w:fill="000000"/>
            <w:noWrap/>
            <w:vAlign w:val="center"/>
            <w:hideMark/>
          </w:tcPr>
          <w:p w14:paraId="77E2FC83" w14:textId="77777777" w:rsidR="00FA14A4" w:rsidRPr="00451DFF" w:rsidRDefault="00FA14A4" w:rsidP="00347614">
            <w:pPr>
              <w:spacing w:after="0" w:line="240" w:lineRule="auto"/>
              <w:contextualSpacing/>
              <w:jc w:val="center"/>
              <w:rPr>
                <w:rFonts w:ascii="Arial" w:hAnsi="Arial" w:cs="Arial"/>
                <w:color w:val="000000"/>
                <w:sz w:val="6"/>
                <w:szCs w:val="6"/>
              </w:rPr>
            </w:pPr>
          </w:p>
        </w:tc>
        <w:tc>
          <w:tcPr>
            <w:tcW w:w="1404" w:type="dxa"/>
            <w:tcBorders>
              <w:top w:val="nil"/>
              <w:left w:val="nil"/>
              <w:bottom w:val="nil"/>
              <w:right w:val="nil"/>
            </w:tcBorders>
            <w:shd w:val="clear" w:color="000000" w:fill="000000"/>
            <w:noWrap/>
            <w:vAlign w:val="center"/>
            <w:hideMark/>
          </w:tcPr>
          <w:p w14:paraId="59FE1643" w14:textId="77777777" w:rsidR="00FA14A4" w:rsidRPr="00451DFF" w:rsidRDefault="00FA14A4" w:rsidP="00347614">
            <w:pPr>
              <w:spacing w:after="0" w:line="240" w:lineRule="auto"/>
              <w:contextualSpacing/>
              <w:jc w:val="center"/>
              <w:rPr>
                <w:rFonts w:ascii="Arial" w:hAnsi="Arial" w:cs="Arial"/>
                <w:color w:val="000000"/>
                <w:sz w:val="6"/>
                <w:szCs w:val="6"/>
              </w:rPr>
            </w:pPr>
          </w:p>
        </w:tc>
      </w:tr>
      <w:tr w:rsidR="00FA14A4" w:rsidRPr="00451DFF" w14:paraId="6739A97F" w14:textId="77777777" w:rsidTr="00347614">
        <w:trPr>
          <w:trHeight w:val="322"/>
        </w:trPr>
        <w:tc>
          <w:tcPr>
            <w:tcW w:w="743" w:type="dxa"/>
            <w:vMerge w:val="restart"/>
            <w:tcBorders>
              <w:top w:val="single" w:sz="8" w:space="0" w:color="auto"/>
              <w:left w:val="single" w:sz="8" w:space="0" w:color="auto"/>
              <w:bottom w:val="single" w:sz="8" w:space="0" w:color="000000"/>
              <w:right w:val="single" w:sz="8" w:space="0" w:color="auto"/>
            </w:tcBorders>
            <w:shd w:val="clear" w:color="000000" w:fill="000000"/>
            <w:textDirection w:val="btLr"/>
            <w:vAlign w:val="center"/>
            <w:hideMark/>
          </w:tcPr>
          <w:p w14:paraId="054F5E78" w14:textId="77777777" w:rsidR="00FA14A4" w:rsidRPr="00451DFF" w:rsidRDefault="00FA14A4" w:rsidP="00347614">
            <w:pPr>
              <w:spacing w:after="0" w:line="240" w:lineRule="auto"/>
              <w:contextualSpacing/>
              <w:jc w:val="center"/>
              <w:rPr>
                <w:rFonts w:ascii="Arial" w:hAnsi="Arial" w:cs="Arial"/>
                <w:b/>
                <w:bCs/>
                <w:color w:val="FFFFFF"/>
              </w:rPr>
            </w:pPr>
            <w:r w:rsidRPr="00451DFF">
              <w:rPr>
                <w:rFonts w:ascii="Arial" w:hAnsi="Arial" w:cs="Arial"/>
                <w:b/>
                <w:bCs/>
                <w:color w:val="FFFFFF"/>
              </w:rPr>
              <w:t>FE-PA</w:t>
            </w:r>
          </w:p>
        </w:tc>
        <w:tc>
          <w:tcPr>
            <w:tcW w:w="2932" w:type="dxa"/>
            <w:tcBorders>
              <w:top w:val="single" w:sz="4" w:space="0" w:color="auto"/>
              <w:left w:val="nil"/>
              <w:bottom w:val="single" w:sz="4" w:space="0" w:color="auto"/>
              <w:right w:val="single" w:sz="4" w:space="0" w:color="auto"/>
            </w:tcBorders>
            <w:shd w:val="clear" w:color="000000" w:fill="262626"/>
            <w:noWrap/>
            <w:vAlign w:val="center"/>
            <w:hideMark/>
          </w:tcPr>
          <w:p w14:paraId="50E7C2C9" w14:textId="77777777" w:rsidR="00FA14A4" w:rsidRPr="00451DFF" w:rsidRDefault="00FA14A4" w:rsidP="00347614">
            <w:pPr>
              <w:spacing w:after="0" w:line="240" w:lineRule="auto"/>
              <w:contextualSpacing/>
              <w:rPr>
                <w:rFonts w:ascii="Arial" w:hAnsi="Arial" w:cs="Arial"/>
                <w:b/>
                <w:bCs/>
                <w:color w:val="FFFFFF"/>
                <w:sz w:val="20"/>
              </w:rPr>
            </w:pPr>
            <w:r w:rsidRPr="00451DFF">
              <w:rPr>
                <w:rFonts w:ascii="Arial" w:hAnsi="Arial" w:cs="Arial"/>
                <w:b/>
                <w:bCs/>
                <w:color w:val="FFFFFF"/>
                <w:sz w:val="20"/>
              </w:rPr>
              <w:t>Annual Issues ($)</w:t>
            </w:r>
          </w:p>
        </w:tc>
        <w:tc>
          <w:tcPr>
            <w:tcW w:w="1372" w:type="dxa"/>
            <w:tcBorders>
              <w:top w:val="single" w:sz="4" w:space="0" w:color="auto"/>
              <w:left w:val="nil"/>
              <w:bottom w:val="single" w:sz="4" w:space="0" w:color="auto"/>
              <w:right w:val="single" w:sz="4" w:space="0" w:color="auto"/>
            </w:tcBorders>
            <w:shd w:val="clear" w:color="000000" w:fill="A6A6A6"/>
            <w:noWrap/>
            <w:vAlign w:val="center"/>
            <w:hideMark/>
          </w:tcPr>
          <w:p w14:paraId="662884C4" w14:textId="77777777" w:rsidR="00FA14A4" w:rsidRPr="00451DFF" w:rsidRDefault="00FA14A4" w:rsidP="00347614">
            <w:pPr>
              <w:spacing w:after="0" w:line="240" w:lineRule="auto"/>
              <w:contextualSpacing/>
              <w:jc w:val="center"/>
              <w:rPr>
                <w:rFonts w:ascii="Arial" w:hAnsi="Arial" w:cs="Arial"/>
                <w:b/>
                <w:bCs/>
                <w:color w:val="000000"/>
                <w:sz w:val="20"/>
              </w:rPr>
            </w:pPr>
            <w:r w:rsidRPr="00451DFF">
              <w:rPr>
                <w:rFonts w:ascii="Arial" w:hAnsi="Arial" w:cs="Arial"/>
                <w:b/>
                <w:bCs/>
                <w:color w:val="000000"/>
                <w:sz w:val="20"/>
              </w:rPr>
              <w:t>$33,478,177</w:t>
            </w:r>
          </w:p>
        </w:tc>
        <w:tc>
          <w:tcPr>
            <w:tcW w:w="1372" w:type="dxa"/>
            <w:tcBorders>
              <w:top w:val="single" w:sz="4" w:space="0" w:color="auto"/>
              <w:left w:val="nil"/>
              <w:bottom w:val="single" w:sz="4" w:space="0" w:color="auto"/>
              <w:right w:val="single" w:sz="4" w:space="0" w:color="auto"/>
            </w:tcBorders>
            <w:shd w:val="clear" w:color="000000" w:fill="A6A6A6"/>
            <w:noWrap/>
            <w:vAlign w:val="center"/>
            <w:hideMark/>
          </w:tcPr>
          <w:p w14:paraId="3B7A34AF" w14:textId="77777777" w:rsidR="00FA14A4" w:rsidRPr="00451DFF" w:rsidRDefault="00FA14A4" w:rsidP="00347614">
            <w:pPr>
              <w:spacing w:after="0" w:line="240" w:lineRule="auto"/>
              <w:contextualSpacing/>
              <w:jc w:val="center"/>
              <w:rPr>
                <w:rFonts w:ascii="Arial" w:hAnsi="Arial" w:cs="Arial"/>
                <w:b/>
                <w:bCs/>
                <w:color w:val="000000"/>
                <w:sz w:val="20"/>
              </w:rPr>
            </w:pPr>
            <w:r w:rsidRPr="00451DFF">
              <w:rPr>
                <w:rFonts w:ascii="Arial" w:hAnsi="Arial" w:cs="Arial"/>
                <w:b/>
                <w:bCs/>
                <w:color w:val="000000"/>
                <w:sz w:val="20"/>
              </w:rPr>
              <w:t>$33,595,417</w:t>
            </w:r>
          </w:p>
        </w:tc>
        <w:tc>
          <w:tcPr>
            <w:tcW w:w="1372" w:type="dxa"/>
            <w:tcBorders>
              <w:top w:val="single" w:sz="4" w:space="0" w:color="auto"/>
              <w:left w:val="nil"/>
              <w:bottom w:val="single" w:sz="4" w:space="0" w:color="auto"/>
              <w:right w:val="single" w:sz="4" w:space="0" w:color="auto"/>
            </w:tcBorders>
            <w:shd w:val="clear" w:color="000000" w:fill="A6A6A6"/>
            <w:noWrap/>
            <w:vAlign w:val="center"/>
            <w:hideMark/>
          </w:tcPr>
          <w:p w14:paraId="5A44037A" w14:textId="77777777" w:rsidR="00FA14A4" w:rsidRPr="00451DFF" w:rsidRDefault="00FA14A4" w:rsidP="00347614">
            <w:pPr>
              <w:spacing w:after="0" w:line="240" w:lineRule="auto"/>
              <w:contextualSpacing/>
              <w:jc w:val="center"/>
              <w:rPr>
                <w:rFonts w:ascii="Arial" w:hAnsi="Arial" w:cs="Arial"/>
                <w:b/>
                <w:bCs/>
                <w:color w:val="000000"/>
                <w:sz w:val="20"/>
              </w:rPr>
            </w:pPr>
            <w:r w:rsidRPr="00451DFF">
              <w:rPr>
                <w:rFonts w:ascii="Arial" w:hAnsi="Arial" w:cs="Arial"/>
                <w:b/>
                <w:bCs/>
                <w:color w:val="000000"/>
                <w:sz w:val="20"/>
              </w:rPr>
              <w:t>$40,907,909</w:t>
            </w:r>
          </w:p>
        </w:tc>
        <w:tc>
          <w:tcPr>
            <w:tcW w:w="1404" w:type="dxa"/>
            <w:tcBorders>
              <w:top w:val="single" w:sz="4" w:space="0" w:color="auto"/>
              <w:left w:val="nil"/>
              <w:bottom w:val="single" w:sz="4" w:space="0" w:color="auto"/>
              <w:right w:val="single" w:sz="4" w:space="0" w:color="auto"/>
            </w:tcBorders>
            <w:shd w:val="clear" w:color="000000" w:fill="A6A6A6"/>
            <w:noWrap/>
            <w:vAlign w:val="center"/>
            <w:hideMark/>
          </w:tcPr>
          <w:p w14:paraId="7E463A5B" w14:textId="38568F77" w:rsidR="00FA14A4" w:rsidRPr="00451DFF" w:rsidRDefault="00FA14A4" w:rsidP="00347614">
            <w:pPr>
              <w:spacing w:after="0" w:line="240" w:lineRule="auto"/>
              <w:contextualSpacing/>
              <w:jc w:val="center"/>
              <w:rPr>
                <w:rFonts w:ascii="Arial" w:hAnsi="Arial" w:cs="Arial"/>
                <w:b/>
                <w:bCs/>
                <w:color w:val="000000"/>
                <w:sz w:val="20"/>
              </w:rPr>
            </w:pPr>
            <w:r w:rsidRPr="00451DFF">
              <w:rPr>
                <w:rFonts w:ascii="Arial" w:hAnsi="Arial" w:cs="Arial"/>
                <w:b/>
                <w:bCs/>
                <w:color w:val="000000"/>
                <w:sz w:val="20"/>
              </w:rPr>
              <w:t>$4</w:t>
            </w:r>
            <w:r w:rsidR="00A85E78">
              <w:rPr>
                <w:rFonts w:ascii="Arial" w:hAnsi="Arial" w:cs="Arial"/>
                <w:b/>
                <w:bCs/>
                <w:color w:val="000000"/>
                <w:sz w:val="20"/>
              </w:rPr>
              <w:t>2</w:t>
            </w:r>
            <w:r w:rsidRPr="00451DFF">
              <w:rPr>
                <w:rFonts w:ascii="Arial" w:hAnsi="Arial" w:cs="Arial"/>
                <w:b/>
                <w:bCs/>
                <w:color w:val="000000"/>
                <w:sz w:val="20"/>
              </w:rPr>
              <w:t>,</w:t>
            </w:r>
            <w:r w:rsidR="00A85E78">
              <w:rPr>
                <w:rFonts w:ascii="Arial" w:hAnsi="Arial" w:cs="Arial"/>
                <w:b/>
                <w:bCs/>
                <w:color w:val="000000"/>
                <w:sz w:val="20"/>
              </w:rPr>
              <w:t>94</w:t>
            </w:r>
            <w:r w:rsidRPr="00451DFF">
              <w:rPr>
                <w:rFonts w:ascii="Arial" w:hAnsi="Arial" w:cs="Arial"/>
                <w:b/>
                <w:bCs/>
                <w:color w:val="000000"/>
                <w:sz w:val="20"/>
              </w:rPr>
              <w:t>5,691</w:t>
            </w:r>
          </w:p>
        </w:tc>
      </w:tr>
      <w:tr w:rsidR="00FA14A4" w:rsidRPr="00451DFF" w14:paraId="6AA82C48" w14:textId="77777777" w:rsidTr="00347614">
        <w:trPr>
          <w:trHeight w:val="340"/>
        </w:trPr>
        <w:tc>
          <w:tcPr>
            <w:tcW w:w="743" w:type="dxa"/>
            <w:vMerge/>
            <w:tcBorders>
              <w:top w:val="single" w:sz="8" w:space="0" w:color="auto"/>
              <w:left w:val="single" w:sz="8" w:space="0" w:color="auto"/>
              <w:bottom w:val="single" w:sz="8" w:space="0" w:color="000000"/>
              <w:right w:val="single" w:sz="8" w:space="0" w:color="auto"/>
            </w:tcBorders>
            <w:vAlign w:val="center"/>
            <w:hideMark/>
          </w:tcPr>
          <w:p w14:paraId="2A285178" w14:textId="77777777" w:rsidR="00FA14A4" w:rsidRPr="00451DFF" w:rsidRDefault="00FA14A4" w:rsidP="00347614">
            <w:pPr>
              <w:spacing w:after="0" w:line="240" w:lineRule="auto"/>
              <w:contextualSpacing/>
              <w:rPr>
                <w:rFonts w:ascii="Arial" w:hAnsi="Arial" w:cs="Arial"/>
                <w:b/>
                <w:bCs/>
                <w:color w:val="FFFFFF"/>
              </w:rPr>
            </w:pPr>
          </w:p>
        </w:tc>
        <w:tc>
          <w:tcPr>
            <w:tcW w:w="2932" w:type="dxa"/>
            <w:tcBorders>
              <w:top w:val="nil"/>
              <w:left w:val="nil"/>
              <w:bottom w:val="single" w:sz="4" w:space="0" w:color="auto"/>
              <w:right w:val="single" w:sz="4" w:space="0" w:color="auto"/>
            </w:tcBorders>
            <w:shd w:val="clear" w:color="000000" w:fill="262626"/>
            <w:noWrap/>
            <w:vAlign w:val="center"/>
            <w:hideMark/>
          </w:tcPr>
          <w:p w14:paraId="67CA2462" w14:textId="77777777" w:rsidR="00FA14A4" w:rsidRPr="00451DFF" w:rsidRDefault="00FA14A4" w:rsidP="00347614">
            <w:pPr>
              <w:spacing w:after="0" w:line="240" w:lineRule="auto"/>
              <w:contextualSpacing/>
              <w:rPr>
                <w:rFonts w:ascii="Arial" w:hAnsi="Arial" w:cs="Arial"/>
                <w:b/>
                <w:bCs/>
                <w:color w:val="FFFFFF"/>
                <w:sz w:val="20"/>
              </w:rPr>
            </w:pPr>
            <w:r w:rsidRPr="00451DFF">
              <w:rPr>
                <w:rFonts w:ascii="Arial" w:hAnsi="Arial" w:cs="Arial"/>
                <w:b/>
                <w:bCs/>
                <w:color w:val="FFFFFF"/>
                <w:sz w:val="20"/>
              </w:rPr>
              <w:t>Average Inventory Balances</w:t>
            </w:r>
          </w:p>
        </w:tc>
        <w:tc>
          <w:tcPr>
            <w:tcW w:w="1372" w:type="dxa"/>
            <w:tcBorders>
              <w:top w:val="nil"/>
              <w:left w:val="nil"/>
              <w:bottom w:val="single" w:sz="4" w:space="0" w:color="auto"/>
              <w:right w:val="single" w:sz="4" w:space="0" w:color="auto"/>
            </w:tcBorders>
            <w:shd w:val="clear" w:color="000000" w:fill="A6A6A6"/>
            <w:noWrap/>
            <w:vAlign w:val="center"/>
            <w:hideMark/>
          </w:tcPr>
          <w:p w14:paraId="50E2C1DB" w14:textId="77777777" w:rsidR="00FA14A4" w:rsidRPr="00451DFF" w:rsidRDefault="00FA14A4" w:rsidP="00347614">
            <w:pPr>
              <w:spacing w:after="0" w:line="240" w:lineRule="auto"/>
              <w:contextualSpacing/>
              <w:jc w:val="center"/>
              <w:rPr>
                <w:rFonts w:ascii="Arial" w:hAnsi="Arial" w:cs="Arial"/>
                <w:b/>
                <w:bCs/>
                <w:color w:val="000000"/>
                <w:sz w:val="20"/>
              </w:rPr>
            </w:pPr>
            <w:r w:rsidRPr="00451DFF">
              <w:rPr>
                <w:rFonts w:ascii="Arial" w:hAnsi="Arial" w:cs="Arial"/>
                <w:b/>
                <w:bCs/>
                <w:color w:val="000000"/>
                <w:sz w:val="20"/>
              </w:rPr>
              <w:t>$34,940,548</w:t>
            </w:r>
          </w:p>
        </w:tc>
        <w:tc>
          <w:tcPr>
            <w:tcW w:w="1372" w:type="dxa"/>
            <w:tcBorders>
              <w:top w:val="nil"/>
              <w:left w:val="nil"/>
              <w:bottom w:val="single" w:sz="4" w:space="0" w:color="auto"/>
              <w:right w:val="single" w:sz="4" w:space="0" w:color="auto"/>
            </w:tcBorders>
            <w:shd w:val="clear" w:color="000000" w:fill="A6A6A6"/>
            <w:noWrap/>
            <w:vAlign w:val="center"/>
            <w:hideMark/>
          </w:tcPr>
          <w:p w14:paraId="2633CADF" w14:textId="77777777" w:rsidR="00FA14A4" w:rsidRPr="00451DFF" w:rsidRDefault="00FA14A4" w:rsidP="00347614">
            <w:pPr>
              <w:spacing w:after="0" w:line="240" w:lineRule="auto"/>
              <w:contextualSpacing/>
              <w:jc w:val="center"/>
              <w:rPr>
                <w:rFonts w:ascii="Arial" w:hAnsi="Arial" w:cs="Arial"/>
                <w:b/>
                <w:bCs/>
                <w:color w:val="000000"/>
                <w:sz w:val="20"/>
              </w:rPr>
            </w:pPr>
            <w:r w:rsidRPr="00451DFF">
              <w:rPr>
                <w:rFonts w:ascii="Arial" w:hAnsi="Arial" w:cs="Arial"/>
                <w:b/>
                <w:bCs/>
                <w:color w:val="000000"/>
                <w:sz w:val="20"/>
              </w:rPr>
              <w:t>$30,984,035</w:t>
            </w:r>
          </w:p>
        </w:tc>
        <w:tc>
          <w:tcPr>
            <w:tcW w:w="1372" w:type="dxa"/>
            <w:tcBorders>
              <w:top w:val="nil"/>
              <w:left w:val="nil"/>
              <w:bottom w:val="single" w:sz="4" w:space="0" w:color="auto"/>
              <w:right w:val="single" w:sz="4" w:space="0" w:color="auto"/>
            </w:tcBorders>
            <w:shd w:val="clear" w:color="000000" w:fill="A6A6A6"/>
            <w:noWrap/>
            <w:vAlign w:val="center"/>
            <w:hideMark/>
          </w:tcPr>
          <w:p w14:paraId="2BFA9E76" w14:textId="77777777" w:rsidR="00FA14A4" w:rsidRPr="00451DFF" w:rsidRDefault="00FA14A4" w:rsidP="00347614">
            <w:pPr>
              <w:spacing w:after="0" w:line="240" w:lineRule="auto"/>
              <w:contextualSpacing/>
              <w:jc w:val="center"/>
              <w:rPr>
                <w:rFonts w:ascii="Arial" w:hAnsi="Arial" w:cs="Arial"/>
                <w:b/>
                <w:bCs/>
                <w:color w:val="000000"/>
                <w:sz w:val="20"/>
              </w:rPr>
            </w:pPr>
            <w:r w:rsidRPr="00451DFF">
              <w:rPr>
                <w:rFonts w:ascii="Arial" w:hAnsi="Arial" w:cs="Arial"/>
                <w:b/>
                <w:bCs/>
                <w:color w:val="000000"/>
                <w:sz w:val="20"/>
              </w:rPr>
              <w:t>$29,036,738</w:t>
            </w:r>
          </w:p>
        </w:tc>
        <w:tc>
          <w:tcPr>
            <w:tcW w:w="1404" w:type="dxa"/>
            <w:tcBorders>
              <w:top w:val="nil"/>
              <w:left w:val="nil"/>
              <w:bottom w:val="single" w:sz="4" w:space="0" w:color="auto"/>
              <w:right w:val="single" w:sz="4" w:space="0" w:color="auto"/>
            </w:tcBorders>
            <w:shd w:val="clear" w:color="000000" w:fill="A6A6A6"/>
            <w:noWrap/>
            <w:vAlign w:val="center"/>
            <w:hideMark/>
          </w:tcPr>
          <w:p w14:paraId="489DD95A" w14:textId="77777777" w:rsidR="00FA14A4" w:rsidRPr="00451DFF" w:rsidRDefault="00FA14A4" w:rsidP="00347614">
            <w:pPr>
              <w:spacing w:after="0" w:line="240" w:lineRule="auto"/>
              <w:contextualSpacing/>
              <w:jc w:val="center"/>
              <w:rPr>
                <w:rFonts w:ascii="Arial" w:hAnsi="Arial" w:cs="Arial"/>
                <w:b/>
                <w:bCs/>
                <w:color w:val="000000"/>
                <w:sz w:val="20"/>
              </w:rPr>
            </w:pPr>
            <w:r w:rsidRPr="00451DFF">
              <w:rPr>
                <w:rFonts w:ascii="Arial" w:hAnsi="Arial" w:cs="Arial"/>
                <w:b/>
                <w:bCs/>
                <w:color w:val="000000"/>
                <w:sz w:val="20"/>
              </w:rPr>
              <w:t>$30,433,260</w:t>
            </w:r>
          </w:p>
        </w:tc>
      </w:tr>
      <w:tr w:rsidR="00FA14A4" w:rsidRPr="00451DFF" w14:paraId="2347C7E1" w14:textId="77777777" w:rsidTr="00347614">
        <w:trPr>
          <w:trHeight w:val="268"/>
        </w:trPr>
        <w:tc>
          <w:tcPr>
            <w:tcW w:w="743" w:type="dxa"/>
            <w:vMerge/>
            <w:tcBorders>
              <w:top w:val="single" w:sz="8" w:space="0" w:color="auto"/>
              <w:left w:val="single" w:sz="8" w:space="0" w:color="auto"/>
              <w:bottom w:val="single" w:sz="8" w:space="0" w:color="000000"/>
              <w:right w:val="single" w:sz="8" w:space="0" w:color="auto"/>
            </w:tcBorders>
            <w:vAlign w:val="center"/>
            <w:hideMark/>
          </w:tcPr>
          <w:p w14:paraId="50B7B726" w14:textId="77777777" w:rsidR="00FA14A4" w:rsidRPr="00451DFF" w:rsidRDefault="00FA14A4" w:rsidP="00347614">
            <w:pPr>
              <w:spacing w:after="0" w:line="240" w:lineRule="auto"/>
              <w:contextualSpacing/>
              <w:rPr>
                <w:rFonts w:ascii="Arial" w:hAnsi="Arial" w:cs="Arial"/>
                <w:b/>
                <w:bCs/>
                <w:color w:val="FFFFFF"/>
              </w:rPr>
            </w:pPr>
          </w:p>
        </w:tc>
        <w:tc>
          <w:tcPr>
            <w:tcW w:w="2932" w:type="dxa"/>
            <w:tcBorders>
              <w:top w:val="nil"/>
              <w:left w:val="nil"/>
              <w:bottom w:val="single" w:sz="4" w:space="0" w:color="auto"/>
              <w:right w:val="single" w:sz="4" w:space="0" w:color="auto"/>
            </w:tcBorders>
            <w:shd w:val="clear" w:color="000000" w:fill="833C0C"/>
            <w:noWrap/>
            <w:vAlign w:val="center"/>
            <w:hideMark/>
          </w:tcPr>
          <w:p w14:paraId="32FA0359" w14:textId="77777777" w:rsidR="00FA14A4" w:rsidRPr="00451DFF" w:rsidRDefault="00FA14A4" w:rsidP="00347614">
            <w:pPr>
              <w:spacing w:after="0" w:line="240" w:lineRule="auto"/>
              <w:contextualSpacing/>
              <w:rPr>
                <w:rFonts w:ascii="Arial" w:hAnsi="Arial" w:cs="Arial"/>
                <w:b/>
                <w:bCs/>
                <w:color w:val="FFFFFF"/>
                <w:sz w:val="20"/>
              </w:rPr>
            </w:pPr>
            <w:r w:rsidRPr="00451DFF">
              <w:rPr>
                <w:rFonts w:ascii="Arial" w:hAnsi="Arial" w:cs="Arial"/>
                <w:b/>
                <w:bCs/>
                <w:color w:val="FFFFFF"/>
                <w:sz w:val="20"/>
              </w:rPr>
              <w:t>Inventory Turnover Levels</w:t>
            </w:r>
          </w:p>
        </w:tc>
        <w:tc>
          <w:tcPr>
            <w:tcW w:w="1372" w:type="dxa"/>
            <w:tcBorders>
              <w:top w:val="nil"/>
              <w:left w:val="nil"/>
              <w:bottom w:val="single" w:sz="4" w:space="0" w:color="auto"/>
              <w:right w:val="single" w:sz="4" w:space="0" w:color="auto"/>
            </w:tcBorders>
            <w:shd w:val="clear" w:color="auto" w:fill="auto"/>
            <w:noWrap/>
            <w:vAlign w:val="center"/>
            <w:hideMark/>
          </w:tcPr>
          <w:p w14:paraId="3C5F3F4E" w14:textId="77777777" w:rsidR="00FA14A4" w:rsidRPr="00451DFF" w:rsidRDefault="00FA14A4" w:rsidP="00347614">
            <w:pPr>
              <w:spacing w:after="0" w:line="240" w:lineRule="auto"/>
              <w:contextualSpacing/>
              <w:jc w:val="center"/>
              <w:rPr>
                <w:rFonts w:ascii="Arial" w:hAnsi="Arial" w:cs="Arial"/>
                <w:b/>
                <w:bCs/>
                <w:color w:val="000000"/>
                <w:sz w:val="20"/>
              </w:rPr>
            </w:pPr>
            <w:r w:rsidRPr="00451DFF">
              <w:rPr>
                <w:rFonts w:ascii="Arial" w:hAnsi="Arial" w:cs="Arial"/>
                <w:b/>
                <w:bCs/>
                <w:color w:val="000000"/>
                <w:sz w:val="20"/>
              </w:rPr>
              <w:t>0.96</w:t>
            </w:r>
          </w:p>
        </w:tc>
        <w:tc>
          <w:tcPr>
            <w:tcW w:w="1372" w:type="dxa"/>
            <w:tcBorders>
              <w:top w:val="nil"/>
              <w:left w:val="nil"/>
              <w:bottom w:val="single" w:sz="4" w:space="0" w:color="auto"/>
              <w:right w:val="single" w:sz="4" w:space="0" w:color="auto"/>
            </w:tcBorders>
            <w:shd w:val="clear" w:color="auto" w:fill="auto"/>
            <w:noWrap/>
            <w:vAlign w:val="center"/>
            <w:hideMark/>
          </w:tcPr>
          <w:p w14:paraId="2D0C623D" w14:textId="77777777" w:rsidR="00FA14A4" w:rsidRPr="00451DFF" w:rsidRDefault="00FA14A4" w:rsidP="00347614">
            <w:pPr>
              <w:spacing w:after="0" w:line="240" w:lineRule="auto"/>
              <w:contextualSpacing/>
              <w:jc w:val="center"/>
              <w:rPr>
                <w:rFonts w:ascii="Arial" w:hAnsi="Arial" w:cs="Arial"/>
                <w:b/>
                <w:bCs/>
                <w:color w:val="000000"/>
                <w:sz w:val="20"/>
              </w:rPr>
            </w:pPr>
            <w:r w:rsidRPr="00451DFF">
              <w:rPr>
                <w:rFonts w:ascii="Arial" w:hAnsi="Arial" w:cs="Arial"/>
                <w:b/>
                <w:bCs/>
                <w:color w:val="000000"/>
                <w:sz w:val="20"/>
              </w:rPr>
              <w:t>1.08</w:t>
            </w:r>
          </w:p>
        </w:tc>
        <w:tc>
          <w:tcPr>
            <w:tcW w:w="1372" w:type="dxa"/>
            <w:tcBorders>
              <w:top w:val="nil"/>
              <w:left w:val="nil"/>
              <w:bottom w:val="single" w:sz="4" w:space="0" w:color="auto"/>
              <w:right w:val="single" w:sz="4" w:space="0" w:color="auto"/>
            </w:tcBorders>
            <w:shd w:val="clear" w:color="auto" w:fill="auto"/>
            <w:noWrap/>
            <w:vAlign w:val="center"/>
            <w:hideMark/>
          </w:tcPr>
          <w:p w14:paraId="4F217BE7" w14:textId="77777777" w:rsidR="00FA14A4" w:rsidRPr="00451DFF" w:rsidRDefault="00FA14A4" w:rsidP="00347614">
            <w:pPr>
              <w:spacing w:after="0" w:line="240" w:lineRule="auto"/>
              <w:contextualSpacing/>
              <w:jc w:val="center"/>
              <w:rPr>
                <w:rFonts w:ascii="Arial" w:hAnsi="Arial" w:cs="Arial"/>
                <w:b/>
                <w:bCs/>
                <w:color w:val="000000"/>
                <w:sz w:val="20"/>
              </w:rPr>
            </w:pPr>
            <w:r w:rsidRPr="00451DFF">
              <w:rPr>
                <w:rFonts w:ascii="Arial" w:hAnsi="Arial" w:cs="Arial"/>
                <w:b/>
                <w:bCs/>
                <w:color w:val="000000"/>
                <w:sz w:val="20"/>
              </w:rPr>
              <w:t>1.41</w:t>
            </w:r>
          </w:p>
        </w:tc>
        <w:tc>
          <w:tcPr>
            <w:tcW w:w="1404" w:type="dxa"/>
            <w:tcBorders>
              <w:top w:val="nil"/>
              <w:left w:val="nil"/>
              <w:bottom w:val="single" w:sz="4" w:space="0" w:color="auto"/>
              <w:right w:val="single" w:sz="4" w:space="0" w:color="auto"/>
            </w:tcBorders>
            <w:shd w:val="clear" w:color="auto" w:fill="auto"/>
            <w:noWrap/>
            <w:vAlign w:val="center"/>
            <w:hideMark/>
          </w:tcPr>
          <w:p w14:paraId="529B1A2B" w14:textId="77777777" w:rsidR="00FA14A4" w:rsidRPr="00451DFF" w:rsidRDefault="00FA14A4" w:rsidP="00347614">
            <w:pPr>
              <w:spacing w:after="0" w:line="240" w:lineRule="auto"/>
              <w:contextualSpacing/>
              <w:jc w:val="center"/>
              <w:rPr>
                <w:rFonts w:ascii="Arial" w:hAnsi="Arial" w:cs="Arial"/>
                <w:b/>
                <w:bCs/>
                <w:color w:val="000000"/>
                <w:sz w:val="20"/>
              </w:rPr>
            </w:pPr>
            <w:r w:rsidRPr="00451DFF">
              <w:rPr>
                <w:rFonts w:ascii="Arial" w:hAnsi="Arial" w:cs="Arial"/>
                <w:b/>
                <w:bCs/>
                <w:color w:val="000000"/>
                <w:sz w:val="20"/>
              </w:rPr>
              <w:t>1.41</w:t>
            </w:r>
          </w:p>
        </w:tc>
      </w:tr>
    </w:tbl>
    <w:p w14:paraId="13CBB791" w14:textId="77777777" w:rsidR="00FA14A4" w:rsidRPr="0081285A" w:rsidRDefault="00FA14A4" w:rsidP="00FA14A4">
      <w:pPr>
        <w:pStyle w:val="EndnoteText"/>
        <w:tabs>
          <w:tab w:val="left" w:pos="-720"/>
        </w:tabs>
        <w:suppressAutoHyphens/>
        <w:contextualSpacing/>
        <w:rPr>
          <w:rFonts w:ascii="Arial" w:hAnsi="Arial" w:cs="Arial"/>
          <w:sz w:val="18"/>
          <w:szCs w:val="18"/>
        </w:rPr>
      </w:pPr>
      <w:r w:rsidRPr="0081285A">
        <w:rPr>
          <w:rFonts w:ascii="Arial" w:hAnsi="Arial" w:cs="Arial"/>
          <w:sz w:val="18"/>
          <w:szCs w:val="18"/>
        </w:rPr>
        <w:t>Source: Data Request MM-9 and MM-16</w:t>
      </w:r>
    </w:p>
    <w:p w14:paraId="094DEB54" w14:textId="77777777" w:rsidR="00FA14A4" w:rsidRDefault="00FA14A4" w:rsidP="00FA14A4">
      <w:pPr>
        <w:spacing w:after="0" w:line="240" w:lineRule="auto"/>
        <w:contextualSpacing/>
        <w:rPr>
          <w:rFonts w:ascii="Arial" w:eastAsia="Times New Roman" w:hAnsi="Arial" w:cs="Times New Roman"/>
          <w:b/>
          <w:sz w:val="24"/>
          <w:szCs w:val="24"/>
          <w:u w:val="single"/>
        </w:rPr>
      </w:pPr>
    </w:p>
    <w:p w14:paraId="0D49AB18" w14:textId="77777777" w:rsidR="00FA14A4" w:rsidRDefault="00FA14A4" w:rsidP="00FA14A4">
      <w:pPr>
        <w:spacing w:after="0" w:line="240" w:lineRule="auto"/>
        <w:ind w:firstLine="720"/>
        <w:contextualSpacing/>
        <w:rPr>
          <w:rFonts w:ascii="Arial" w:eastAsia="Times New Roman" w:hAnsi="Arial" w:cs="Arial"/>
          <w:sz w:val="24"/>
          <w:szCs w:val="24"/>
        </w:rPr>
      </w:pPr>
      <w:r>
        <w:rPr>
          <w:rFonts w:ascii="Arial" w:eastAsia="Times New Roman" w:hAnsi="Arial" w:cs="Arial"/>
          <w:sz w:val="24"/>
          <w:szCs w:val="24"/>
        </w:rPr>
        <w:t xml:space="preserve">Exhibit IX-4 details the realized savings on average for the years 2016 and 2017 </w:t>
      </w:r>
      <w:r w:rsidR="007A7373">
        <w:rPr>
          <w:rFonts w:ascii="Arial" w:eastAsia="Times New Roman" w:hAnsi="Arial" w:cs="Arial"/>
          <w:sz w:val="24"/>
          <w:szCs w:val="24"/>
        </w:rPr>
        <w:t>because of</w:t>
      </w:r>
      <w:r>
        <w:rPr>
          <w:rFonts w:ascii="Arial" w:eastAsia="Times New Roman" w:hAnsi="Arial" w:cs="Arial"/>
          <w:sz w:val="24"/>
          <w:szCs w:val="24"/>
        </w:rPr>
        <w:t xml:space="preserve"> improving inventory turnover performance from the levels that existed in 2013 for each of the </w:t>
      </w:r>
      <w:r w:rsidR="00DC3D9B">
        <w:rPr>
          <w:rFonts w:ascii="Arial" w:eastAsia="Times New Roman" w:hAnsi="Arial" w:cs="Arial"/>
          <w:sz w:val="24"/>
          <w:szCs w:val="24"/>
        </w:rPr>
        <w:t>FE-PA companies</w:t>
      </w:r>
      <w:r>
        <w:rPr>
          <w:rFonts w:ascii="Arial" w:eastAsia="Times New Roman" w:hAnsi="Arial" w:cs="Arial"/>
          <w:sz w:val="24"/>
          <w:szCs w:val="24"/>
        </w:rPr>
        <w:t xml:space="preserve">.  </w:t>
      </w:r>
      <w:r w:rsidR="00226B17">
        <w:rPr>
          <w:rFonts w:ascii="Arial" w:eastAsia="Times New Roman" w:hAnsi="Arial" w:cs="Arial"/>
          <w:sz w:val="24"/>
          <w:szCs w:val="24"/>
        </w:rPr>
        <w:t>T</w:t>
      </w:r>
      <w:r>
        <w:rPr>
          <w:rFonts w:ascii="Arial" w:eastAsia="Times New Roman" w:hAnsi="Arial" w:cs="Arial"/>
          <w:sz w:val="24"/>
          <w:szCs w:val="24"/>
        </w:rPr>
        <w:t>he auditors compared the inventory turnover performance in 2013 to 2016 and 2017 to identify what the hypothetical balance on hand would have been</w:t>
      </w:r>
      <w:r w:rsidR="00226B17">
        <w:rPr>
          <w:rFonts w:ascii="Arial" w:eastAsia="Times New Roman" w:hAnsi="Arial" w:cs="Arial"/>
          <w:sz w:val="24"/>
          <w:szCs w:val="24"/>
        </w:rPr>
        <w:t xml:space="preserve">, </w:t>
      </w:r>
      <w:r>
        <w:rPr>
          <w:rFonts w:ascii="Arial" w:eastAsia="Times New Roman" w:hAnsi="Arial" w:cs="Arial"/>
          <w:sz w:val="24"/>
          <w:szCs w:val="24"/>
        </w:rPr>
        <w:t xml:space="preserve">had each of the </w:t>
      </w:r>
      <w:r w:rsidR="00DC3D9B">
        <w:rPr>
          <w:rFonts w:ascii="Arial" w:eastAsia="Times New Roman" w:hAnsi="Arial" w:cs="Arial"/>
          <w:sz w:val="24"/>
          <w:szCs w:val="24"/>
        </w:rPr>
        <w:t>FE-PA companies</w:t>
      </w:r>
      <w:r>
        <w:rPr>
          <w:rFonts w:ascii="Arial" w:eastAsia="Times New Roman" w:hAnsi="Arial" w:cs="Arial"/>
          <w:sz w:val="24"/>
          <w:szCs w:val="24"/>
        </w:rPr>
        <w:t xml:space="preserve"> maintained the same performance in 2013.  The difference between the hypothetical and actual balances on hand represent a realized one-time savings from improving the inventory turnover levels, and the auditors calculated an average savings based on the performance in 2016 and 2017.  Consequently, the </w:t>
      </w:r>
      <w:r w:rsidR="00DC3D9B">
        <w:rPr>
          <w:rFonts w:ascii="Arial" w:eastAsia="Times New Roman" w:hAnsi="Arial" w:cs="Arial"/>
          <w:sz w:val="24"/>
          <w:szCs w:val="24"/>
        </w:rPr>
        <w:t>FE-PA companies</w:t>
      </w:r>
      <w:r>
        <w:rPr>
          <w:rFonts w:ascii="Arial" w:eastAsia="Times New Roman" w:hAnsi="Arial" w:cs="Arial"/>
          <w:sz w:val="24"/>
          <w:szCs w:val="24"/>
        </w:rPr>
        <w:t xml:space="preserve"> realized an average one-time savings totaling approximately $13.4 million in reduced inventory and an annual savings from reduced carrying costs (10% of inventory dollars) averaging a total of approximately $1.34 million.  </w:t>
      </w:r>
    </w:p>
    <w:p w14:paraId="5E356653" w14:textId="77777777" w:rsidR="00FA14A4" w:rsidRDefault="00FA14A4" w:rsidP="00FA14A4">
      <w:pPr>
        <w:spacing w:after="0" w:line="240" w:lineRule="auto"/>
        <w:ind w:firstLine="720"/>
        <w:contextualSpacing/>
        <w:jc w:val="center"/>
        <w:rPr>
          <w:rFonts w:ascii="Arial" w:hAnsi="Arial" w:cs="Arial"/>
          <w:b/>
        </w:rPr>
      </w:pPr>
    </w:p>
    <w:p w14:paraId="41A3573E" w14:textId="77777777" w:rsidR="00FA14A4" w:rsidRDefault="00FA14A4" w:rsidP="00FA14A4">
      <w:pPr>
        <w:spacing w:after="0" w:line="240" w:lineRule="auto"/>
        <w:ind w:firstLine="720"/>
        <w:contextualSpacing/>
        <w:jc w:val="center"/>
        <w:rPr>
          <w:rFonts w:ascii="Arial" w:hAnsi="Arial" w:cs="Arial"/>
          <w:b/>
        </w:rPr>
      </w:pPr>
    </w:p>
    <w:p w14:paraId="3256BE3D" w14:textId="77777777" w:rsidR="00FA14A4" w:rsidRPr="0041707E" w:rsidRDefault="00FA14A4" w:rsidP="00FA14A4">
      <w:pPr>
        <w:spacing w:after="0" w:line="240" w:lineRule="auto"/>
        <w:contextualSpacing/>
        <w:jc w:val="center"/>
        <w:rPr>
          <w:rFonts w:ascii="Arial" w:hAnsi="Arial" w:cs="Arial"/>
          <w:b/>
          <w:szCs w:val="24"/>
        </w:rPr>
      </w:pPr>
      <w:r w:rsidRPr="0041707E">
        <w:rPr>
          <w:rFonts w:ascii="Arial" w:hAnsi="Arial" w:cs="Arial"/>
          <w:b/>
          <w:szCs w:val="24"/>
        </w:rPr>
        <w:t>Exhibit IX – 4</w:t>
      </w:r>
    </w:p>
    <w:p w14:paraId="44CD0666" w14:textId="77777777" w:rsidR="00FA14A4" w:rsidRPr="0028331F" w:rsidRDefault="00FA14A4" w:rsidP="00FA14A4">
      <w:pPr>
        <w:spacing w:after="0" w:line="240" w:lineRule="auto"/>
        <w:contextualSpacing/>
        <w:jc w:val="center"/>
        <w:rPr>
          <w:rFonts w:ascii="Arial" w:hAnsi="Arial" w:cs="Arial"/>
          <w:b/>
          <w:sz w:val="24"/>
          <w:szCs w:val="24"/>
        </w:rPr>
      </w:pPr>
      <w:r>
        <w:rPr>
          <w:rFonts w:ascii="Arial" w:hAnsi="Arial" w:cs="Arial"/>
          <w:b/>
          <w:sz w:val="24"/>
          <w:szCs w:val="24"/>
        </w:rPr>
        <w:t>FirstEnergy Pennsylvania Companies</w:t>
      </w:r>
    </w:p>
    <w:p w14:paraId="087B418A" w14:textId="77777777" w:rsidR="00FA14A4" w:rsidRDefault="00FA14A4" w:rsidP="00FA14A4">
      <w:pPr>
        <w:spacing w:after="0" w:line="240" w:lineRule="auto"/>
        <w:contextualSpacing/>
        <w:jc w:val="center"/>
        <w:rPr>
          <w:rFonts w:ascii="Arial" w:hAnsi="Arial" w:cs="Arial"/>
          <w:b/>
          <w:sz w:val="24"/>
          <w:szCs w:val="24"/>
        </w:rPr>
      </w:pPr>
      <w:r w:rsidRPr="0028331F">
        <w:rPr>
          <w:rFonts w:ascii="Arial" w:hAnsi="Arial" w:cs="Arial"/>
          <w:b/>
          <w:sz w:val="24"/>
          <w:szCs w:val="24"/>
        </w:rPr>
        <w:t>Realized Savings</w:t>
      </w:r>
      <w:r>
        <w:rPr>
          <w:rFonts w:ascii="Arial" w:hAnsi="Arial" w:cs="Arial"/>
          <w:b/>
          <w:sz w:val="24"/>
          <w:szCs w:val="24"/>
        </w:rPr>
        <w:t xml:space="preserve"> from Increasing Inventory Turnover</w:t>
      </w:r>
    </w:p>
    <w:p w14:paraId="7B8DED5F" w14:textId="77777777" w:rsidR="00FA14A4" w:rsidRPr="000529AD" w:rsidRDefault="00FA14A4" w:rsidP="00FA14A4">
      <w:pPr>
        <w:spacing w:after="0" w:line="240" w:lineRule="auto"/>
        <w:contextualSpacing/>
        <w:jc w:val="center"/>
        <w:rPr>
          <w:rFonts w:ascii="Arial" w:hAnsi="Arial" w:cs="Arial"/>
          <w:b/>
          <w:sz w:val="8"/>
          <w:szCs w:val="8"/>
        </w:rPr>
      </w:pPr>
    </w:p>
    <w:tbl>
      <w:tblPr>
        <w:tblW w:w="9980" w:type="dxa"/>
        <w:tblLayout w:type="fixed"/>
        <w:tblLook w:val="04A0" w:firstRow="1" w:lastRow="0" w:firstColumn="1" w:lastColumn="0" w:noHBand="0" w:noVBand="1"/>
      </w:tblPr>
      <w:tblGrid>
        <w:gridCol w:w="980"/>
        <w:gridCol w:w="2610"/>
        <w:gridCol w:w="1260"/>
        <w:gridCol w:w="1260"/>
        <w:gridCol w:w="1260"/>
        <w:gridCol w:w="1260"/>
        <w:gridCol w:w="1350"/>
      </w:tblGrid>
      <w:tr w:rsidR="00FA14A4" w:rsidRPr="000529AD" w14:paraId="75F10F08" w14:textId="77777777" w:rsidTr="00347614">
        <w:trPr>
          <w:trHeight w:val="20"/>
        </w:trPr>
        <w:tc>
          <w:tcPr>
            <w:tcW w:w="980"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0ED85618" w14:textId="77777777" w:rsidR="00FA14A4" w:rsidRPr="00D835EB" w:rsidRDefault="00FA14A4" w:rsidP="00347614">
            <w:pPr>
              <w:spacing w:after="0" w:line="240" w:lineRule="auto"/>
              <w:jc w:val="center"/>
              <w:rPr>
                <w:rFonts w:ascii="Arial" w:eastAsia="Times New Roman" w:hAnsi="Arial" w:cs="Arial"/>
                <w:b/>
                <w:bCs/>
                <w:color w:val="000000"/>
                <w:sz w:val="20"/>
                <w:szCs w:val="20"/>
              </w:rPr>
            </w:pPr>
            <w:r w:rsidRPr="00D835EB">
              <w:rPr>
                <w:rFonts w:ascii="Arial" w:eastAsia="Times New Roman" w:hAnsi="Arial" w:cs="Arial"/>
                <w:b/>
                <w:bCs/>
                <w:color w:val="000000"/>
                <w:sz w:val="20"/>
                <w:szCs w:val="20"/>
              </w:rPr>
              <w:t>Year</w:t>
            </w:r>
          </w:p>
        </w:tc>
        <w:tc>
          <w:tcPr>
            <w:tcW w:w="2610"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1C6B7E82" w14:textId="77777777" w:rsidR="00FA14A4" w:rsidRPr="00D835EB" w:rsidRDefault="00FA14A4" w:rsidP="00347614">
            <w:pPr>
              <w:spacing w:after="0" w:line="240" w:lineRule="auto"/>
              <w:jc w:val="center"/>
              <w:rPr>
                <w:rFonts w:ascii="Arial" w:eastAsia="Times New Roman" w:hAnsi="Arial" w:cs="Arial"/>
                <w:b/>
                <w:bCs/>
                <w:color w:val="000000"/>
                <w:sz w:val="20"/>
                <w:szCs w:val="20"/>
              </w:rPr>
            </w:pPr>
            <w:r w:rsidRPr="00D835EB">
              <w:rPr>
                <w:rFonts w:ascii="Arial" w:eastAsia="Times New Roman" w:hAnsi="Arial" w:cs="Arial"/>
                <w:b/>
                <w:bCs/>
                <w:color w:val="000000"/>
                <w:sz w:val="20"/>
                <w:szCs w:val="20"/>
              </w:rPr>
              <w:t>Inventory Measure</w:t>
            </w:r>
          </w:p>
        </w:tc>
        <w:tc>
          <w:tcPr>
            <w:tcW w:w="1260" w:type="dxa"/>
            <w:tcBorders>
              <w:top w:val="single" w:sz="18" w:space="0" w:color="auto"/>
              <w:left w:val="single" w:sz="18" w:space="0" w:color="auto"/>
              <w:bottom w:val="single" w:sz="18" w:space="0" w:color="auto"/>
              <w:right w:val="single" w:sz="18" w:space="0" w:color="auto"/>
            </w:tcBorders>
            <w:shd w:val="clear" w:color="000000" w:fill="92D050"/>
            <w:noWrap/>
            <w:vAlign w:val="bottom"/>
            <w:hideMark/>
          </w:tcPr>
          <w:p w14:paraId="62E10602" w14:textId="77777777" w:rsidR="00FA14A4" w:rsidRPr="00D835EB" w:rsidRDefault="00FA14A4" w:rsidP="00347614">
            <w:pPr>
              <w:spacing w:after="0" w:line="240" w:lineRule="auto"/>
              <w:jc w:val="center"/>
              <w:rPr>
                <w:rFonts w:ascii="Arial" w:eastAsia="Times New Roman" w:hAnsi="Arial" w:cs="Arial"/>
                <w:b/>
                <w:bCs/>
                <w:color w:val="000000"/>
                <w:sz w:val="20"/>
                <w:szCs w:val="20"/>
              </w:rPr>
            </w:pPr>
            <w:r w:rsidRPr="00D835EB">
              <w:rPr>
                <w:rFonts w:ascii="Arial" w:eastAsia="Times New Roman" w:hAnsi="Arial" w:cs="Arial"/>
                <w:b/>
                <w:bCs/>
                <w:color w:val="000000"/>
                <w:sz w:val="20"/>
                <w:szCs w:val="20"/>
              </w:rPr>
              <w:t>Met-Ed</w:t>
            </w:r>
          </w:p>
        </w:tc>
        <w:tc>
          <w:tcPr>
            <w:tcW w:w="1260" w:type="dxa"/>
            <w:tcBorders>
              <w:top w:val="single" w:sz="18" w:space="0" w:color="auto"/>
              <w:left w:val="single" w:sz="18" w:space="0" w:color="auto"/>
              <w:bottom w:val="single" w:sz="18" w:space="0" w:color="auto"/>
              <w:right w:val="single" w:sz="18" w:space="0" w:color="auto"/>
            </w:tcBorders>
            <w:shd w:val="clear" w:color="000000" w:fill="FDC72F"/>
            <w:vAlign w:val="bottom"/>
            <w:hideMark/>
          </w:tcPr>
          <w:p w14:paraId="6DB07130" w14:textId="77777777" w:rsidR="00FA14A4" w:rsidRPr="00D835EB" w:rsidRDefault="00FA14A4" w:rsidP="00347614">
            <w:pPr>
              <w:spacing w:after="0" w:line="240" w:lineRule="auto"/>
              <w:jc w:val="center"/>
              <w:rPr>
                <w:rFonts w:ascii="Arial" w:eastAsia="Times New Roman" w:hAnsi="Arial" w:cs="Arial"/>
                <w:b/>
                <w:bCs/>
                <w:color w:val="000000"/>
                <w:sz w:val="20"/>
                <w:szCs w:val="20"/>
              </w:rPr>
            </w:pPr>
            <w:r w:rsidRPr="00D835EB">
              <w:rPr>
                <w:rFonts w:ascii="Arial" w:eastAsia="Times New Roman" w:hAnsi="Arial" w:cs="Arial"/>
                <w:b/>
                <w:bCs/>
                <w:color w:val="000000"/>
                <w:sz w:val="20"/>
                <w:szCs w:val="20"/>
              </w:rPr>
              <w:t>Penelec</w:t>
            </w:r>
          </w:p>
        </w:tc>
        <w:tc>
          <w:tcPr>
            <w:tcW w:w="1260" w:type="dxa"/>
            <w:tcBorders>
              <w:top w:val="single" w:sz="18" w:space="0" w:color="auto"/>
              <w:left w:val="single" w:sz="18" w:space="0" w:color="auto"/>
              <w:bottom w:val="single" w:sz="18" w:space="0" w:color="auto"/>
              <w:right w:val="single" w:sz="18" w:space="0" w:color="auto"/>
            </w:tcBorders>
            <w:shd w:val="clear" w:color="000000" w:fill="B1A0C7"/>
            <w:noWrap/>
            <w:vAlign w:val="bottom"/>
            <w:hideMark/>
          </w:tcPr>
          <w:p w14:paraId="24F31EF2" w14:textId="77777777" w:rsidR="00FA14A4" w:rsidRPr="00D835EB" w:rsidRDefault="00FA14A4" w:rsidP="00347614">
            <w:pPr>
              <w:spacing w:after="0" w:line="240" w:lineRule="auto"/>
              <w:jc w:val="center"/>
              <w:rPr>
                <w:rFonts w:ascii="Arial" w:eastAsia="Times New Roman" w:hAnsi="Arial" w:cs="Arial"/>
                <w:b/>
                <w:bCs/>
                <w:color w:val="000000"/>
                <w:sz w:val="20"/>
                <w:szCs w:val="20"/>
              </w:rPr>
            </w:pPr>
            <w:r w:rsidRPr="00D835EB">
              <w:rPr>
                <w:rFonts w:ascii="Arial" w:eastAsia="Times New Roman" w:hAnsi="Arial" w:cs="Arial"/>
                <w:b/>
                <w:bCs/>
                <w:color w:val="000000"/>
                <w:sz w:val="20"/>
                <w:szCs w:val="20"/>
              </w:rPr>
              <w:t>Penn Power</w:t>
            </w:r>
          </w:p>
        </w:tc>
        <w:tc>
          <w:tcPr>
            <w:tcW w:w="1260" w:type="dxa"/>
            <w:tcBorders>
              <w:top w:val="single" w:sz="18" w:space="0" w:color="auto"/>
              <w:left w:val="single" w:sz="18" w:space="0" w:color="auto"/>
              <w:bottom w:val="single" w:sz="18" w:space="0" w:color="auto"/>
              <w:right w:val="single" w:sz="18" w:space="0" w:color="auto"/>
            </w:tcBorders>
            <w:shd w:val="clear" w:color="000000" w:fill="FF0000"/>
            <w:noWrap/>
            <w:vAlign w:val="bottom"/>
            <w:hideMark/>
          </w:tcPr>
          <w:p w14:paraId="1DF701F5" w14:textId="77777777" w:rsidR="00FA14A4" w:rsidRPr="00D835EB" w:rsidRDefault="00FA14A4" w:rsidP="00347614">
            <w:pPr>
              <w:spacing w:after="0" w:line="240" w:lineRule="auto"/>
              <w:jc w:val="center"/>
              <w:rPr>
                <w:rFonts w:ascii="Arial" w:eastAsia="Times New Roman" w:hAnsi="Arial" w:cs="Arial"/>
                <w:b/>
                <w:bCs/>
                <w:color w:val="000000"/>
                <w:sz w:val="20"/>
                <w:szCs w:val="20"/>
              </w:rPr>
            </w:pPr>
            <w:r w:rsidRPr="00D835EB">
              <w:rPr>
                <w:rFonts w:ascii="Arial" w:eastAsia="Times New Roman" w:hAnsi="Arial" w:cs="Arial"/>
                <w:b/>
                <w:bCs/>
                <w:color w:val="000000"/>
                <w:sz w:val="20"/>
                <w:szCs w:val="20"/>
              </w:rPr>
              <w:t>West Penn</w:t>
            </w:r>
          </w:p>
        </w:tc>
        <w:tc>
          <w:tcPr>
            <w:tcW w:w="1350" w:type="dxa"/>
            <w:tcBorders>
              <w:top w:val="single" w:sz="18" w:space="0" w:color="auto"/>
              <w:left w:val="single" w:sz="18" w:space="0" w:color="auto"/>
              <w:bottom w:val="single" w:sz="18" w:space="0" w:color="auto"/>
              <w:right w:val="single" w:sz="18" w:space="0" w:color="auto"/>
            </w:tcBorders>
            <w:shd w:val="clear" w:color="000000" w:fill="262626"/>
            <w:noWrap/>
            <w:vAlign w:val="bottom"/>
            <w:hideMark/>
          </w:tcPr>
          <w:p w14:paraId="2812D7E4" w14:textId="77777777" w:rsidR="00FA14A4" w:rsidRPr="000529AD" w:rsidRDefault="00FA14A4" w:rsidP="00347614">
            <w:pPr>
              <w:spacing w:after="0" w:line="240" w:lineRule="auto"/>
              <w:jc w:val="center"/>
              <w:rPr>
                <w:rFonts w:ascii="Arial" w:eastAsia="Times New Roman" w:hAnsi="Arial" w:cs="Arial"/>
                <w:b/>
                <w:bCs/>
                <w:color w:val="FFFFFF"/>
                <w:sz w:val="20"/>
                <w:szCs w:val="20"/>
              </w:rPr>
            </w:pPr>
            <w:r w:rsidRPr="00D835EB">
              <w:rPr>
                <w:rFonts w:ascii="Arial" w:eastAsia="Times New Roman" w:hAnsi="Arial" w:cs="Arial"/>
                <w:b/>
                <w:bCs/>
                <w:color w:val="FFFFFF"/>
                <w:sz w:val="20"/>
                <w:szCs w:val="20"/>
              </w:rPr>
              <w:t>FE-PA Companies</w:t>
            </w:r>
          </w:p>
        </w:tc>
      </w:tr>
      <w:tr w:rsidR="00FA14A4" w:rsidRPr="000529AD" w14:paraId="26037C10" w14:textId="77777777" w:rsidTr="00347614">
        <w:trPr>
          <w:trHeight w:val="20"/>
        </w:trPr>
        <w:tc>
          <w:tcPr>
            <w:tcW w:w="980" w:type="dxa"/>
            <w:vMerge w:val="restart"/>
            <w:tcBorders>
              <w:top w:val="single" w:sz="18" w:space="0" w:color="auto"/>
              <w:left w:val="single" w:sz="18" w:space="0" w:color="auto"/>
              <w:bottom w:val="single" w:sz="8" w:space="0" w:color="000000"/>
              <w:right w:val="nil"/>
            </w:tcBorders>
            <w:shd w:val="clear" w:color="auto" w:fill="auto"/>
            <w:vAlign w:val="center"/>
            <w:hideMark/>
          </w:tcPr>
          <w:p w14:paraId="3BDA9181" w14:textId="77777777" w:rsidR="00FA14A4" w:rsidRPr="000529AD" w:rsidRDefault="00FA14A4" w:rsidP="00347614">
            <w:pPr>
              <w:spacing w:after="0" w:line="240" w:lineRule="auto"/>
              <w:jc w:val="center"/>
              <w:rPr>
                <w:rFonts w:ascii="Arial" w:eastAsia="Times New Roman" w:hAnsi="Arial" w:cs="Arial"/>
                <w:b/>
                <w:bCs/>
                <w:color w:val="000000"/>
                <w:sz w:val="18"/>
                <w:szCs w:val="18"/>
              </w:rPr>
            </w:pPr>
            <w:r w:rsidRPr="000529AD">
              <w:rPr>
                <w:rFonts w:ascii="Arial" w:eastAsia="Times New Roman" w:hAnsi="Arial" w:cs="Arial"/>
                <w:b/>
                <w:bCs/>
                <w:color w:val="000000"/>
                <w:sz w:val="18"/>
                <w:szCs w:val="18"/>
              </w:rPr>
              <w:t>2013</w:t>
            </w:r>
          </w:p>
        </w:tc>
        <w:tc>
          <w:tcPr>
            <w:tcW w:w="2610" w:type="dxa"/>
            <w:tcBorders>
              <w:top w:val="single" w:sz="18" w:space="0" w:color="auto"/>
              <w:left w:val="single" w:sz="8" w:space="0" w:color="auto"/>
              <w:bottom w:val="single" w:sz="4" w:space="0" w:color="auto"/>
              <w:right w:val="nil"/>
            </w:tcBorders>
            <w:shd w:val="clear" w:color="000000" w:fill="F2F2F2"/>
            <w:noWrap/>
            <w:vAlign w:val="center"/>
            <w:hideMark/>
          </w:tcPr>
          <w:p w14:paraId="4B0CD568" w14:textId="77777777" w:rsidR="00FA14A4" w:rsidRPr="000529AD" w:rsidRDefault="00FA14A4" w:rsidP="00347614">
            <w:pPr>
              <w:spacing w:after="0" w:line="240" w:lineRule="auto"/>
              <w:rPr>
                <w:rFonts w:ascii="Arial" w:eastAsia="Times New Roman" w:hAnsi="Arial" w:cs="Arial"/>
                <w:b/>
                <w:bCs/>
                <w:color w:val="000000"/>
                <w:sz w:val="18"/>
                <w:szCs w:val="18"/>
              </w:rPr>
            </w:pPr>
            <w:r w:rsidRPr="000529AD">
              <w:rPr>
                <w:rFonts w:ascii="Arial" w:eastAsia="Times New Roman" w:hAnsi="Arial" w:cs="Arial"/>
                <w:b/>
                <w:bCs/>
                <w:color w:val="000000"/>
                <w:sz w:val="18"/>
                <w:szCs w:val="18"/>
              </w:rPr>
              <w:t>Annual Issues</w:t>
            </w:r>
          </w:p>
        </w:tc>
        <w:tc>
          <w:tcPr>
            <w:tcW w:w="1260" w:type="dxa"/>
            <w:tcBorders>
              <w:top w:val="single" w:sz="18" w:space="0" w:color="auto"/>
              <w:left w:val="single" w:sz="8" w:space="0" w:color="auto"/>
              <w:bottom w:val="single" w:sz="4" w:space="0" w:color="auto"/>
              <w:right w:val="single" w:sz="8" w:space="0" w:color="auto"/>
            </w:tcBorders>
            <w:shd w:val="clear" w:color="000000" w:fill="D9D9D9"/>
            <w:noWrap/>
            <w:vAlign w:val="center"/>
            <w:hideMark/>
          </w:tcPr>
          <w:p w14:paraId="4663E4ED" w14:textId="77777777" w:rsidR="00FA14A4" w:rsidRPr="000529AD" w:rsidRDefault="00FA14A4" w:rsidP="00347614">
            <w:pPr>
              <w:spacing w:after="0" w:line="240" w:lineRule="auto"/>
              <w:jc w:val="right"/>
              <w:rPr>
                <w:rFonts w:ascii="Arial" w:eastAsia="Times New Roman" w:hAnsi="Arial" w:cs="Arial"/>
                <w:color w:val="000000"/>
                <w:sz w:val="18"/>
                <w:szCs w:val="18"/>
              </w:rPr>
            </w:pPr>
            <w:r w:rsidRPr="000529AD">
              <w:rPr>
                <w:rFonts w:ascii="Arial" w:eastAsia="Times New Roman" w:hAnsi="Arial" w:cs="Arial"/>
                <w:color w:val="000000"/>
                <w:sz w:val="18"/>
                <w:szCs w:val="18"/>
              </w:rPr>
              <w:t xml:space="preserve">$10,814,020 </w:t>
            </w:r>
          </w:p>
        </w:tc>
        <w:tc>
          <w:tcPr>
            <w:tcW w:w="1260" w:type="dxa"/>
            <w:tcBorders>
              <w:top w:val="single" w:sz="18" w:space="0" w:color="auto"/>
              <w:left w:val="nil"/>
              <w:bottom w:val="single" w:sz="4" w:space="0" w:color="auto"/>
              <w:right w:val="single" w:sz="8" w:space="0" w:color="auto"/>
            </w:tcBorders>
            <w:shd w:val="clear" w:color="000000" w:fill="D9D9D9"/>
            <w:vAlign w:val="center"/>
            <w:hideMark/>
          </w:tcPr>
          <w:p w14:paraId="01523264" w14:textId="77777777" w:rsidR="00FA14A4" w:rsidRPr="000529AD" w:rsidRDefault="00FA14A4" w:rsidP="00347614">
            <w:pPr>
              <w:spacing w:after="0" w:line="240" w:lineRule="auto"/>
              <w:jc w:val="right"/>
              <w:rPr>
                <w:rFonts w:ascii="Arial" w:eastAsia="Times New Roman" w:hAnsi="Arial" w:cs="Arial"/>
                <w:color w:val="000000"/>
                <w:sz w:val="18"/>
                <w:szCs w:val="18"/>
              </w:rPr>
            </w:pPr>
            <w:r w:rsidRPr="000529AD">
              <w:rPr>
                <w:rFonts w:ascii="Arial" w:eastAsia="Times New Roman" w:hAnsi="Arial" w:cs="Arial"/>
                <w:color w:val="000000"/>
                <w:sz w:val="18"/>
                <w:szCs w:val="18"/>
              </w:rPr>
              <w:t xml:space="preserve">$11,249,894 </w:t>
            </w:r>
          </w:p>
        </w:tc>
        <w:tc>
          <w:tcPr>
            <w:tcW w:w="1260" w:type="dxa"/>
            <w:tcBorders>
              <w:top w:val="single" w:sz="18" w:space="0" w:color="auto"/>
              <w:left w:val="nil"/>
              <w:bottom w:val="single" w:sz="4" w:space="0" w:color="auto"/>
              <w:right w:val="single" w:sz="8" w:space="0" w:color="auto"/>
            </w:tcBorders>
            <w:shd w:val="clear" w:color="000000" w:fill="D9D9D9"/>
            <w:noWrap/>
            <w:vAlign w:val="center"/>
            <w:hideMark/>
          </w:tcPr>
          <w:p w14:paraId="4963D515" w14:textId="77777777" w:rsidR="00FA14A4" w:rsidRPr="000529AD" w:rsidRDefault="00FA14A4" w:rsidP="00347614">
            <w:pPr>
              <w:spacing w:after="0" w:line="240" w:lineRule="auto"/>
              <w:jc w:val="right"/>
              <w:rPr>
                <w:rFonts w:ascii="Arial" w:eastAsia="Times New Roman" w:hAnsi="Arial" w:cs="Arial"/>
                <w:color w:val="000000"/>
                <w:sz w:val="18"/>
                <w:szCs w:val="18"/>
              </w:rPr>
            </w:pPr>
            <w:r w:rsidRPr="000529AD">
              <w:rPr>
                <w:rFonts w:ascii="Arial" w:eastAsia="Times New Roman" w:hAnsi="Arial" w:cs="Arial"/>
                <w:color w:val="000000"/>
                <w:sz w:val="18"/>
                <w:szCs w:val="18"/>
              </w:rPr>
              <w:t xml:space="preserve">$2,670,281 </w:t>
            </w:r>
          </w:p>
        </w:tc>
        <w:tc>
          <w:tcPr>
            <w:tcW w:w="1260" w:type="dxa"/>
            <w:tcBorders>
              <w:top w:val="single" w:sz="18" w:space="0" w:color="auto"/>
              <w:left w:val="nil"/>
              <w:bottom w:val="single" w:sz="4" w:space="0" w:color="auto"/>
              <w:right w:val="single" w:sz="8" w:space="0" w:color="auto"/>
            </w:tcBorders>
            <w:shd w:val="clear" w:color="000000" w:fill="D9D9D9"/>
            <w:noWrap/>
            <w:vAlign w:val="center"/>
            <w:hideMark/>
          </w:tcPr>
          <w:p w14:paraId="15F26DA9" w14:textId="77777777" w:rsidR="00FA14A4" w:rsidRPr="000529AD" w:rsidRDefault="00FA14A4" w:rsidP="00347614">
            <w:pPr>
              <w:spacing w:after="0" w:line="240" w:lineRule="auto"/>
              <w:jc w:val="right"/>
              <w:rPr>
                <w:rFonts w:ascii="Arial" w:eastAsia="Times New Roman" w:hAnsi="Arial" w:cs="Arial"/>
                <w:color w:val="000000"/>
                <w:sz w:val="18"/>
                <w:szCs w:val="18"/>
              </w:rPr>
            </w:pPr>
            <w:r w:rsidRPr="000529AD">
              <w:rPr>
                <w:rFonts w:ascii="Arial" w:eastAsia="Times New Roman" w:hAnsi="Arial" w:cs="Arial"/>
                <w:color w:val="000000"/>
                <w:sz w:val="18"/>
                <w:szCs w:val="18"/>
              </w:rPr>
              <w:t xml:space="preserve">$11,700,565 </w:t>
            </w:r>
          </w:p>
        </w:tc>
        <w:tc>
          <w:tcPr>
            <w:tcW w:w="1350" w:type="dxa"/>
            <w:tcBorders>
              <w:top w:val="single" w:sz="18" w:space="0" w:color="auto"/>
              <w:left w:val="nil"/>
              <w:bottom w:val="single" w:sz="4" w:space="0" w:color="auto"/>
              <w:right w:val="single" w:sz="18" w:space="0" w:color="auto"/>
            </w:tcBorders>
            <w:shd w:val="clear" w:color="000000" w:fill="A6A6A6"/>
            <w:noWrap/>
            <w:vAlign w:val="center"/>
            <w:hideMark/>
          </w:tcPr>
          <w:p w14:paraId="1065A1F9" w14:textId="77777777" w:rsidR="00FA14A4" w:rsidRPr="000529AD" w:rsidRDefault="00FA14A4" w:rsidP="00347614">
            <w:pPr>
              <w:spacing w:after="0" w:line="240" w:lineRule="auto"/>
              <w:jc w:val="right"/>
              <w:rPr>
                <w:rFonts w:ascii="Arial" w:eastAsia="Times New Roman" w:hAnsi="Arial" w:cs="Arial"/>
                <w:b/>
                <w:bCs/>
                <w:color w:val="000000"/>
                <w:sz w:val="18"/>
                <w:szCs w:val="18"/>
              </w:rPr>
            </w:pPr>
            <w:r w:rsidRPr="000529AD">
              <w:rPr>
                <w:rFonts w:ascii="Arial" w:eastAsia="Times New Roman" w:hAnsi="Arial" w:cs="Arial"/>
                <w:b/>
                <w:bCs/>
                <w:color w:val="000000"/>
                <w:sz w:val="18"/>
                <w:szCs w:val="18"/>
              </w:rPr>
              <w:t xml:space="preserve">$36,434,760 </w:t>
            </w:r>
          </w:p>
        </w:tc>
      </w:tr>
      <w:tr w:rsidR="00FA14A4" w:rsidRPr="000529AD" w14:paraId="6621CA5A" w14:textId="77777777" w:rsidTr="00347614">
        <w:trPr>
          <w:trHeight w:val="20"/>
        </w:trPr>
        <w:tc>
          <w:tcPr>
            <w:tcW w:w="980" w:type="dxa"/>
            <w:vMerge/>
            <w:tcBorders>
              <w:top w:val="nil"/>
              <w:left w:val="single" w:sz="18" w:space="0" w:color="auto"/>
              <w:bottom w:val="single" w:sz="8" w:space="0" w:color="000000"/>
              <w:right w:val="nil"/>
            </w:tcBorders>
            <w:vAlign w:val="center"/>
            <w:hideMark/>
          </w:tcPr>
          <w:p w14:paraId="6EBB4AE6" w14:textId="77777777" w:rsidR="00FA14A4" w:rsidRPr="003110C4" w:rsidRDefault="00FA14A4" w:rsidP="00347614">
            <w:pPr>
              <w:spacing w:after="0" w:line="240" w:lineRule="auto"/>
              <w:rPr>
                <w:rFonts w:ascii="Arial" w:eastAsia="Times New Roman" w:hAnsi="Arial" w:cs="Arial"/>
                <w:b/>
                <w:bCs/>
                <w:color w:val="000000"/>
                <w:sz w:val="18"/>
                <w:szCs w:val="18"/>
              </w:rPr>
            </w:pPr>
          </w:p>
        </w:tc>
        <w:tc>
          <w:tcPr>
            <w:tcW w:w="2610" w:type="dxa"/>
            <w:tcBorders>
              <w:top w:val="nil"/>
              <w:left w:val="single" w:sz="8" w:space="0" w:color="auto"/>
              <w:bottom w:val="single" w:sz="4" w:space="0" w:color="auto"/>
              <w:right w:val="nil"/>
            </w:tcBorders>
            <w:shd w:val="clear" w:color="000000" w:fill="F2F2F2"/>
            <w:noWrap/>
            <w:vAlign w:val="center"/>
            <w:hideMark/>
          </w:tcPr>
          <w:p w14:paraId="223558A3" w14:textId="3E1F9F73" w:rsidR="00FA14A4" w:rsidRPr="003110C4" w:rsidRDefault="008A75D3" w:rsidP="00347614">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Year-End</w:t>
            </w:r>
            <w:r w:rsidR="00FA14A4" w:rsidRPr="003110C4">
              <w:rPr>
                <w:rFonts w:ascii="Arial" w:eastAsia="Times New Roman" w:hAnsi="Arial" w:cs="Arial"/>
                <w:b/>
                <w:bCs/>
                <w:color w:val="000000"/>
                <w:sz w:val="18"/>
                <w:szCs w:val="18"/>
              </w:rPr>
              <w:t xml:space="preserve"> Inventory Balances</w:t>
            </w:r>
          </w:p>
        </w:tc>
        <w:tc>
          <w:tcPr>
            <w:tcW w:w="1260" w:type="dxa"/>
            <w:tcBorders>
              <w:top w:val="nil"/>
              <w:left w:val="single" w:sz="8" w:space="0" w:color="auto"/>
              <w:bottom w:val="single" w:sz="4" w:space="0" w:color="auto"/>
              <w:right w:val="single" w:sz="8" w:space="0" w:color="auto"/>
            </w:tcBorders>
            <w:shd w:val="clear" w:color="000000" w:fill="D9D9D9"/>
            <w:noWrap/>
            <w:vAlign w:val="center"/>
            <w:hideMark/>
          </w:tcPr>
          <w:p w14:paraId="73961B16" w14:textId="77777777" w:rsidR="00FA14A4" w:rsidRPr="003110C4" w:rsidRDefault="00FA14A4" w:rsidP="00347614">
            <w:pPr>
              <w:spacing w:after="0" w:line="240" w:lineRule="auto"/>
              <w:jc w:val="right"/>
              <w:rPr>
                <w:rFonts w:ascii="Arial" w:eastAsia="Times New Roman" w:hAnsi="Arial" w:cs="Arial"/>
                <w:color w:val="000000"/>
                <w:sz w:val="18"/>
                <w:szCs w:val="18"/>
              </w:rPr>
            </w:pPr>
            <w:r w:rsidRPr="003110C4">
              <w:rPr>
                <w:rFonts w:ascii="Arial" w:eastAsia="Times New Roman" w:hAnsi="Arial" w:cs="Arial"/>
                <w:color w:val="000000"/>
                <w:sz w:val="18"/>
                <w:szCs w:val="18"/>
              </w:rPr>
              <w:t xml:space="preserve">$9,620,561 </w:t>
            </w:r>
          </w:p>
        </w:tc>
        <w:tc>
          <w:tcPr>
            <w:tcW w:w="1260" w:type="dxa"/>
            <w:tcBorders>
              <w:top w:val="nil"/>
              <w:left w:val="nil"/>
              <w:bottom w:val="single" w:sz="4" w:space="0" w:color="auto"/>
              <w:right w:val="single" w:sz="8" w:space="0" w:color="auto"/>
            </w:tcBorders>
            <w:shd w:val="clear" w:color="000000" w:fill="D9D9D9"/>
            <w:vAlign w:val="center"/>
            <w:hideMark/>
          </w:tcPr>
          <w:p w14:paraId="609A0BD5" w14:textId="77777777" w:rsidR="00FA14A4" w:rsidRPr="003110C4" w:rsidRDefault="00FA14A4" w:rsidP="00347614">
            <w:pPr>
              <w:spacing w:after="0" w:line="240" w:lineRule="auto"/>
              <w:jc w:val="right"/>
              <w:rPr>
                <w:rFonts w:ascii="Arial" w:eastAsia="Times New Roman" w:hAnsi="Arial" w:cs="Arial"/>
                <w:color w:val="000000"/>
                <w:sz w:val="18"/>
                <w:szCs w:val="18"/>
              </w:rPr>
            </w:pPr>
            <w:r w:rsidRPr="003110C4">
              <w:rPr>
                <w:rFonts w:ascii="Arial" w:eastAsia="Times New Roman" w:hAnsi="Arial" w:cs="Arial"/>
                <w:color w:val="000000"/>
                <w:sz w:val="18"/>
                <w:szCs w:val="18"/>
              </w:rPr>
              <w:t xml:space="preserve">$12,101,891 </w:t>
            </w:r>
          </w:p>
        </w:tc>
        <w:tc>
          <w:tcPr>
            <w:tcW w:w="1260" w:type="dxa"/>
            <w:tcBorders>
              <w:top w:val="nil"/>
              <w:left w:val="nil"/>
              <w:bottom w:val="single" w:sz="4" w:space="0" w:color="auto"/>
              <w:right w:val="single" w:sz="8" w:space="0" w:color="auto"/>
            </w:tcBorders>
            <w:shd w:val="clear" w:color="000000" w:fill="D9D9D9"/>
            <w:noWrap/>
            <w:vAlign w:val="center"/>
            <w:hideMark/>
          </w:tcPr>
          <w:p w14:paraId="10C4D980" w14:textId="77777777" w:rsidR="00FA14A4" w:rsidRPr="003110C4" w:rsidRDefault="00FA14A4" w:rsidP="00347614">
            <w:pPr>
              <w:spacing w:after="0" w:line="240" w:lineRule="auto"/>
              <w:jc w:val="right"/>
              <w:rPr>
                <w:rFonts w:ascii="Arial" w:eastAsia="Times New Roman" w:hAnsi="Arial" w:cs="Arial"/>
                <w:color w:val="000000"/>
                <w:sz w:val="18"/>
                <w:szCs w:val="18"/>
              </w:rPr>
            </w:pPr>
            <w:r w:rsidRPr="003110C4">
              <w:rPr>
                <w:rFonts w:ascii="Arial" w:eastAsia="Times New Roman" w:hAnsi="Arial" w:cs="Arial"/>
                <w:color w:val="000000"/>
                <w:sz w:val="18"/>
                <w:szCs w:val="18"/>
              </w:rPr>
              <w:t xml:space="preserve">$1,490,553 </w:t>
            </w:r>
          </w:p>
        </w:tc>
        <w:tc>
          <w:tcPr>
            <w:tcW w:w="1260" w:type="dxa"/>
            <w:tcBorders>
              <w:top w:val="nil"/>
              <w:left w:val="nil"/>
              <w:bottom w:val="single" w:sz="4" w:space="0" w:color="auto"/>
              <w:right w:val="single" w:sz="8" w:space="0" w:color="auto"/>
            </w:tcBorders>
            <w:shd w:val="clear" w:color="000000" w:fill="D9D9D9"/>
            <w:noWrap/>
            <w:vAlign w:val="center"/>
            <w:hideMark/>
          </w:tcPr>
          <w:p w14:paraId="6AD8C549" w14:textId="77777777" w:rsidR="00FA14A4" w:rsidRPr="003110C4" w:rsidRDefault="00FA14A4" w:rsidP="00347614">
            <w:pPr>
              <w:spacing w:after="0" w:line="240" w:lineRule="auto"/>
              <w:jc w:val="right"/>
              <w:rPr>
                <w:rFonts w:ascii="Arial" w:eastAsia="Times New Roman" w:hAnsi="Arial" w:cs="Arial"/>
                <w:color w:val="000000"/>
                <w:sz w:val="18"/>
                <w:szCs w:val="18"/>
              </w:rPr>
            </w:pPr>
            <w:r w:rsidRPr="003110C4">
              <w:rPr>
                <w:rFonts w:ascii="Arial" w:eastAsia="Times New Roman" w:hAnsi="Arial" w:cs="Arial"/>
                <w:color w:val="000000"/>
                <w:sz w:val="18"/>
                <w:szCs w:val="18"/>
              </w:rPr>
              <w:t xml:space="preserve">$14,238,307 </w:t>
            </w:r>
          </w:p>
        </w:tc>
        <w:tc>
          <w:tcPr>
            <w:tcW w:w="1350" w:type="dxa"/>
            <w:tcBorders>
              <w:top w:val="nil"/>
              <w:left w:val="nil"/>
              <w:bottom w:val="single" w:sz="4" w:space="0" w:color="auto"/>
              <w:right w:val="single" w:sz="18" w:space="0" w:color="auto"/>
            </w:tcBorders>
            <w:shd w:val="clear" w:color="000000" w:fill="A6A6A6"/>
            <w:noWrap/>
            <w:vAlign w:val="center"/>
            <w:hideMark/>
          </w:tcPr>
          <w:p w14:paraId="19156DCB" w14:textId="77777777" w:rsidR="00FA14A4" w:rsidRPr="003110C4" w:rsidRDefault="00FA14A4" w:rsidP="00347614">
            <w:pPr>
              <w:spacing w:after="0" w:line="240" w:lineRule="auto"/>
              <w:jc w:val="right"/>
              <w:rPr>
                <w:rFonts w:ascii="Arial" w:eastAsia="Times New Roman" w:hAnsi="Arial" w:cs="Arial"/>
                <w:b/>
                <w:bCs/>
                <w:color w:val="000000"/>
                <w:sz w:val="18"/>
                <w:szCs w:val="18"/>
              </w:rPr>
            </w:pPr>
            <w:r w:rsidRPr="003110C4">
              <w:rPr>
                <w:rFonts w:ascii="Arial" w:eastAsia="Times New Roman" w:hAnsi="Arial" w:cs="Arial"/>
                <w:b/>
                <w:bCs/>
                <w:color w:val="000000"/>
                <w:sz w:val="18"/>
                <w:szCs w:val="18"/>
              </w:rPr>
              <w:t xml:space="preserve">$37,451,312 </w:t>
            </w:r>
          </w:p>
        </w:tc>
      </w:tr>
      <w:tr w:rsidR="00FA14A4" w:rsidRPr="000529AD" w14:paraId="1751F359" w14:textId="77777777" w:rsidTr="00347614">
        <w:trPr>
          <w:trHeight w:val="20"/>
        </w:trPr>
        <w:tc>
          <w:tcPr>
            <w:tcW w:w="980" w:type="dxa"/>
            <w:vMerge/>
            <w:tcBorders>
              <w:top w:val="nil"/>
              <w:left w:val="single" w:sz="18" w:space="0" w:color="auto"/>
              <w:bottom w:val="single" w:sz="18" w:space="0" w:color="auto"/>
              <w:right w:val="nil"/>
            </w:tcBorders>
            <w:vAlign w:val="center"/>
            <w:hideMark/>
          </w:tcPr>
          <w:p w14:paraId="395CD515" w14:textId="77777777" w:rsidR="00FA14A4" w:rsidRPr="003110C4" w:rsidRDefault="00FA14A4" w:rsidP="00347614">
            <w:pPr>
              <w:spacing w:after="0" w:line="240" w:lineRule="auto"/>
              <w:rPr>
                <w:rFonts w:ascii="Arial" w:eastAsia="Times New Roman" w:hAnsi="Arial" w:cs="Arial"/>
                <w:b/>
                <w:bCs/>
                <w:color w:val="000000"/>
                <w:sz w:val="18"/>
                <w:szCs w:val="18"/>
              </w:rPr>
            </w:pPr>
          </w:p>
        </w:tc>
        <w:tc>
          <w:tcPr>
            <w:tcW w:w="2610" w:type="dxa"/>
            <w:tcBorders>
              <w:top w:val="nil"/>
              <w:left w:val="single" w:sz="8" w:space="0" w:color="auto"/>
              <w:bottom w:val="single" w:sz="18" w:space="0" w:color="auto"/>
              <w:right w:val="nil"/>
            </w:tcBorders>
            <w:shd w:val="clear" w:color="000000" w:fill="FCD5B4"/>
            <w:noWrap/>
            <w:vAlign w:val="center"/>
            <w:hideMark/>
          </w:tcPr>
          <w:p w14:paraId="3967602B" w14:textId="77777777" w:rsidR="00FA14A4" w:rsidRPr="003110C4" w:rsidRDefault="00FA14A4" w:rsidP="00347614">
            <w:pPr>
              <w:spacing w:after="0" w:line="240" w:lineRule="auto"/>
              <w:rPr>
                <w:rFonts w:ascii="Arial" w:eastAsia="Times New Roman" w:hAnsi="Arial" w:cs="Arial"/>
                <w:b/>
                <w:bCs/>
                <w:color w:val="000000"/>
                <w:sz w:val="18"/>
                <w:szCs w:val="18"/>
              </w:rPr>
            </w:pPr>
            <w:r w:rsidRPr="003110C4">
              <w:rPr>
                <w:rFonts w:ascii="Arial" w:eastAsia="Times New Roman" w:hAnsi="Arial" w:cs="Arial"/>
                <w:b/>
                <w:bCs/>
                <w:color w:val="000000"/>
                <w:sz w:val="18"/>
                <w:szCs w:val="18"/>
              </w:rPr>
              <w:t>Inventory Turnover Levels</w:t>
            </w:r>
          </w:p>
        </w:tc>
        <w:tc>
          <w:tcPr>
            <w:tcW w:w="1260" w:type="dxa"/>
            <w:tcBorders>
              <w:top w:val="nil"/>
              <w:left w:val="single" w:sz="8" w:space="0" w:color="auto"/>
              <w:bottom w:val="single" w:sz="18" w:space="0" w:color="auto"/>
              <w:right w:val="single" w:sz="8" w:space="0" w:color="auto"/>
            </w:tcBorders>
            <w:shd w:val="clear" w:color="000000" w:fill="FABF8F"/>
            <w:noWrap/>
            <w:vAlign w:val="center"/>
            <w:hideMark/>
          </w:tcPr>
          <w:p w14:paraId="4DE12DC8" w14:textId="77777777" w:rsidR="00FA14A4" w:rsidRPr="003110C4" w:rsidRDefault="00FA14A4" w:rsidP="00347614">
            <w:pPr>
              <w:spacing w:after="0" w:line="240" w:lineRule="auto"/>
              <w:jc w:val="center"/>
              <w:rPr>
                <w:rFonts w:ascii="Arial" w:eastAsia="Times New Roman" w:hAnsi="Arial" w:cs="Arial"/>
                <w:b/>
                <w:bCs/>
                <w:color w:val="000000"/>
                <w:sz w:val="18"/>
                <w:szCs w:val="18"/>
              </w:rPr>
            </w:pPr>
            <w:r w:rsidRPr="003110C4">
              <w:rPr>
                <w:rFonts w:ascii="Arial" w:eastAsia="Times New Roman" w:hAnsi="Arial" w:cs="Arial"/>
                <w:b/>
                <w:bCs/>
                <w:color w:val="000000"/>
                <w:sz w:val="18"/>
                <w:szCs w:val="18"/>
              </w:rPr>
              <w:t>1.12</w:t>
            </w:r>
          </w:p>
        </w:tc>
        <w:tc>
          <w:tcPr>
            <w:tcW w:w="1260" w:type="dxa"/>
            <w:tcBorders>
              <w:top w:val="nil"/>
              <w:left w:val="nil"/>
              <w:bottom w:val="single" w:sz="18" w:space="0" w:color="auto"/>
              <w:right w:val="single" w:sz="8" w:space="0" w:color="auto"/>
            </w:tcBorders>
            <w:shd w:val="clear" w:color="000000" w:fill="FABF8F"/>
            <w:noWrap/>
            <w:vAlign w:val="center"/>
            <w:hideMark/>
          </w:tcPr>
          <w:p w14:paraId="52A63B87" w14:textId="77777777" w:rsidR="00FA14A4" w:rsidRPr="003110C4" w:rsidRDefault="00FA14A4" w:rsidP="00347614">
            <w:pPr>
              <w:spacing w:after="0" w:line="240" w:lineRule="auto"/>
              <w:jc w:val="center"/>
              <w:rPr>
                <w:rFonts w:ascii="Arial" w:eastAsia="Times New Roman" w:hAnsi="Arial" w:cs="Arial"/>
                <w:b/>
                <w:bCs/>
                <w:color w:val="000000"/>
                <w:sz w:val="18"/>
                <w:szCs w:val="18"/>
              </w:rPr>
            </w:pPr>
            <w:r w:rsidRPr="003110C4">
              <w:rPr>
                <w:rFonts w:ascii="Arial" w:eastAsia="Times New Roman" w:hAnsi="Arial" w:cs="Arial"/>
                <w:b/>
                <w:bCs/>
                <w:color w:val="000000"/>
                <w:sz w:val="18"/>
                <w:szCs w:val="18"/>
              </w:rPr>
              <w:t>0.93</w:t>
            </w:r>
          </w:p>
        </w:tc>
        <w:tc>
          <w:tcPr>
            <w:tcW w:w="1260" w:type="dxa"/>
            <w:tcBorders>
              <w:top w:val="nil"/>
              <w:left w:val="nil"/>
              <w:bottom w:val="single" w:sz="18" w:space="0" w:color="auto"/>
              <w:right w:val="single" w:sz="8" w:space="0" w:color="auto"/>
            </w:tcBorders>
            <w:shd w:val="clear" w:color="000000" w:fill="FABF8F"/>
            <w:noWrap/>
            <w:vAlign w:val="center"/>
            <w:hideMark/>
          </w:tcPr>
          <w:p w14:paraId="4E469D22" w14:textId="77777777" w:rsidR="00FA14A4" w:rsidRPr="003110C4" w:rsidRDefault="00FA14A4" w:rsidP="00347614">
            <w:pPr>
              <w:spacing w:after="0" w:line="240" w:lineRule="auto"/>
              <w:jc w:val="center"/>
              <w:rPr>
                <w:rFonts w:ascii="Arial" w:eastAsia="Times New Roman" w:hAnsi="Arial" w:cs="Arial"/>
                <w:b/>
                <w:bCs/>
                <w:color w:val="000000"/>
                <w:sz w:val="18"/>
                <w:szCs w:val="18"/>
              </w:rPr>
            </w:pPr>
            <w:r w:rsidRPr="003110C4">
              <w:rPr>
                <w:rFonts w:ascii="Arial" w:eastAsia="Times New Roman" w:hAnsi="Arial" w:cs="Arial"/>
                <w:b/>
                <w:bCs/>
                <w:color w:val="000000"/>
                <w:sz w:val="18"/>
                <w:szCs w:val="18"/>
              </w:rPr>
              <w:t>1.79</w:t>
            </w:r>
          </w:p>
        </w:tc>
        <w:tc>
          <w:tcPr>
            <w:tcW w:w="1260" w:type="dxa"/>
            <w:tcBorders>
              <w:top w:val="nil"/>
              <w:left w:val="nil"/>
              <w:bottom w:val="single" w:sz="18" w:space="0" w:color="auto"/>
              <w:right w:val="single" w:sz="8" w:space="0" w:color="auto"/>
            </w:tcBorders>
            <w:shd w:val="clear" w:color="000000" w:fill="FABF8F"/>
            <w:noWrap/>
            <w:vAlign w:val="center"/>
            <w:hideMark/>
          </w:tcPr>
          <w:p w14:paraId="0606FB32" w14:textId="77777777" w:rsidR="00FA14A4" w:rsidRPr="003110C4" w:rsidRDefault="00FA14A4" w:rsidP="00347614">
            <w:pPr>
              <w:spacing w:after="0" w:line="240" w:lineRule="auto"/>
              <w:jc w:val="center"/>
              <w:rPr>
                <w:rFonts w:ascii="Arial" w:eastAsia="Times New Roman" w:hAnsi="Arial" w:cs="Arial"/>
                <w:b/>
                <w:bCs/>
                <w:color w:val="000000"/>
                <w:sz w:val="18"/>
                <w:szCs w:val="18"/>
              </w:rPr>
            </w:pPr>
            <w:r w:rsidRPr="003110C4">
              <w:rPr>
                <w:rFonts w:ascii="Arial" w:eastAsia="Times New Roman" w:hAnsi="Arial" w:cs="Arial"/>
                <w:b/>
                <w:bCs/>
                <w:color w:val="000000"/>
                <w:sz w:val="18"/>
                <w:szCs w:val="18"/>
              </w:rPr>
              <w:t>0.82</w:t>
            </w:r>
          </w:p>
        </w:tc>
        <w:tc>
          <w:tcPr>
            <w:tcW w:w="1350" w:type="dxa"/>
            <w:tcBorders>
              <w:top w:val="nil"/>
              <w:left w:val="nil"/>
              <w:bottom w:val="single" w:sz="18" w:space="0" w:color="auto"/>
              <w:right w:val="single" w:sz="18" w:space="0" w:color="auto"/>
            </w:tcBorders>
            <w:shd w:val="clear" w:color="000000" w:fill="E26B0A"/>
            <w:noWrap/>
            <w:vAlign w:val="center"/>
            <w:hideMark/>
          </w:tcPr>
          <w:p w14:paraId="54DF5879" w14:textId="77777777" w:rsidR="00FA14A4" w:rsidRPr="003110C4" w:rsidRDefault="00FA14A4" w:rsidP="00347614">
            <w:pPr>
              <w:spacing w:after="0" w:line="240" w:lineRule="auto"/>
              <w:jc w:val="center"/>
              <w:rPr>
                <w:rFonts w:ascii="Arial" w:eastAsia="Times New Roman" w:hAnsi="Arial" w:cs="Arial"/>
                <w:b/>
                <w:bCs/>
                <w:color w:val="000000"/>
                <w:sz w:val="18"/>
                <w:szCs w:val="18"/>
              </w:rPr>
            </w:pPr>
            <w:r w:rsidRPr="003110C4">
              <w:rPr>
                <w:rFonts w:ascii="Arial" w:eastAsia="Times New Roman" w:hAnsi="Arial" w:cs="Arial"/>
                <w:b/>
                <w:bCs/>
                <w:color w:val="000000"/>
                <w:sz w:val="18"/>
                <w:szCs w:val="18"/>
              </w:rPr>
              <w:t>0.97</w:t>
            </w:r>
          </w:p>
        </w:tc>
      </w:tr>
      <w:tr w:rsidR="00FA14A4" w:rsidRPr="000529AD" w14:paraId="0BD93754" w14:textId="77777777" w:rsidTr="00347614">
        <w:trPr>
          <w:trHeight w:val="20"/>
        </w:trPr>
        <w:tc>
          <w:tcPr>
            <w:tcW w:w="980" w:type="dxa"/>
            <w:vMerge w:val="restart"/>
            <w:tcBorders>
              <w:top w:val="single" w:sz="18" w:space="0" w:color="auto"/>
              <w:left w:val="single" w:sz="18" w:space="0" w:color="auto"/>
              <w:bottom w:val="single" w:sz="8" w:space="0" w:color="000000"/>
              <w:right w:val="nil"/>
            </w:tcBorders>
            <w:shd w:val="clear" w:color="auto" w:fill="auto"/>
            <w:vAlign w:val="center"/>
            <w:hideMark/>
          </w:tcPr>
          <w:p w14:paraId="3DF16B8F" w14:textId="77777777" w:rsidR="00FA14A4" w:rsidRPr="000529AD" w:rsidRDefault="00FA14A4" w:rsidP="00347614">
            <w:pPr>
              <w:spacing w:after="0" w:line="240" w:lineRule="auto"/>
              <w:jc w:val="center"/>
              <w:rPr>
                <w:rFonts w:ascii="Arial" w:eastAsia="Times New Roman" w:hAnsi="Arial" w:cs="Arial"/>
                <w:b/>
                <w:bCs/>
                <w:color w:val="000000"/>
                <w:sz w:val="18"/>
                <w:szCs w:val="18"/>
              </w:rPr>
            </w:pPr>
            <w:r w:rsidRPr="000529AD">
              <w:rPr>
                <w:rFonts w:ascii="Arial" w:eastAsia="Times New Roman" w:hAnsi="Arial" w:cs="Arial"/>
                <w:b/>
                <w:bCs/>
                <w:color w:val="000000"/>
                <w:sz w:val="18"/>
                <w:szCs w:val="18"/>
              </w:rPr>
              <w:t>2016</w:t>
            </w:r>
          </w:p>
        </w:tc>
        <w:tc>
          <w:tcPr>
            <w:tcW w:w="2610" w:type="dxa"/>
            <w:tcBorders>
              <w:top w:val="single" w:sz="18" w:space="0" w:color="auto"/>
              <w:left w:val="single" w:sz="8" w:space="0" w:color="auto"/>
              <w:bottom w:val="single" w:sz="4" w:space="0" w:color="auto"/>
              <w:right w:val="nil"/>
            </w:tcBorders>
            <w:shd w:val="clear" w:color="000000" w:fill="F2F2F2"/>
            <w:noWrap/>
            <w:vAlign w:val="center"/>
            <w:hideMark/>
          </w:tcPr>
          <w:p w14:paraId="71B818B3" w14:textId="77777777" w:rsidR="00FA14A4" w:rsidRPr="000529AD" w:rsidRDefault="00FA14A4" w:rsidP="00347614">
            <w:pPr>
              <w:spacing w:after="0" w:line="240" w:lineRule="auto"/>
              <w:rPr>
                <w:rFonts w:ascii="Arial" w:eastAsia="Times New Roman" w:hAnsi="Arial" w:cs="Arial"/>
                <w:b/>
                <w:bCs/>
                <w:color w:val="000000"/>
                <w:sz w:val="18"/>
                <w:szCs w:val="18"/>
              </w:rPr>
            </w:pPr>
            <w:r w:rsidRPr="000529AD">
              <w:rPr>
                <w:rFonts w:ascii="Arial" w:eastAsia="Times New Roman" w:hAnsi="Arial" w:cs="Arial"/>
                <w:b/>
                <w:bCs/>
                <w:color w:val="000000"/>
                <w:sz w:val="18"/>
                <w:szCs w:val="18"/>
              </w:rPr>
              <w:t>Annual Issues</w:t>
            </w:r>
          </w:p>
        </w:tc>
        <w:tc>
          <w:tcPr>
            <w:tcW w:w="1260" w:type="dxa"/>
            <w:tcBorders>
              <w:top w:val="single" w:sz="18" w:space="0" w:color="auto"/>
              <w:left w:val="single" w:sz="8" w:space="0" w:color="auto"/>
              <w:bottom w:val="single" w:sz="4" w:space="0" w:color="auto"/>
              <w:right w:val="single" w:sz="8" w:space="0" w:color="auto"/>
            </w:tcBorders>
            <w:shd w:val="clear" w:color="000000" w:fill="D9D9D9"/>
            <w:noWrap/>
            <w:vAlign w:val="center"/>
            <w:hideMark/>
          </w:tcPr>
          <w:p w14:paraId="3E987D5E" w14:textId="77777777" w:rsidR="00FA14A4" w:rsidRPr="000529AD" w:rsidRDefault="00FA14A4" w:rsidP="00347614">
            <w:pPr>
              <w:spacing w:after="0" w:line="240" w:lineRule="auto"/>
              <w:jc w:val="right"/>
              <w:rPr>
                <w:rFonts w:ascii="Arial" w:eastAsia="Times New Roman" w:hAnsi="Arial" w:cs="Arial"/>
                <w:color w:val="000000"/>
                <w:sz w:val="18"/>
                <w:szCs w:val="18"/>
              </w:rPr>
            </w:pPr>
            <w:r w:rsidRPr="000529AD">
              <w:rPr>
                <w:rFonts w:ascii="Arial" w:eastAsia="Times New Roman" w:hAnsi="Arial" w:cs="Arial"/>
                <w:color w:val="000000"/>
                <w:sz w:val="18"/>
                <w:szCs w:val="18"/>
              </w:rPr>
              <w:t xml:space="preserve">$10,390,331 </w:t>
            </w:r>
          </w:p>
        </w:tc>
        <w:tc>
          <w:tcPr>
            <w:tcW w:w="1260" w:type="dxa"/>
            <w:tcBorders>
              <w:top w:val="single" w:sz="18" w:space="0" w:color="auto"/>
              <w:left w:val="nil"/>
              <w:bottom w:val="single" w:sz="4" w:space="0" w:color="auto"/>
              <w:right w:val="single" w:sz="8" w:space="0" w:color="auto"/>
            </w:tcBorders>
            <w:shd w:val="clear" w:color="000000" w:fill="D9D9D9"/>
            <w:vAlign w:val="center"/>
            <w:hideMark/>
          </w:tcPr>
          <w:p w14:paraId="7B0E602D" w14:textId="77777777" w:rsidR="00FA14A4" w:rsidRPr="000529AD" w:rsidRDefault="00FA14A4" w:rsidP="00347614">
            <w:pPr>
              <w:spacing w:after="0" w:line="240" w:lineRule="auto"/>
              <w:jc w:val="right"/>
              <w:rPr>
                <w:rFonts w:ascii="Arial" w:eastAsia="Times New Roman" w:hAnsi="Arial" w:cs="Arial"/>
                <w:color w:val="000000"/>
                <w:sz w:val="18"/>
                <w:szCs w:val="18"/>
              </w:rPr>
            </w:pPr>
            <w:r w:rsidRPr="000529AD">
              <w:rPr>
                <w:rFonts w:ascii="Arial" w:eastAsia="Times New Roman" w:hAnsi="Arial" w:cs="Arial"/>
                <w:color w:val="000000"/>
                <w:sz w:val="18"/>
                <w:szCs w:val="18"/>
              </w:rPr>
              <w:t xml:space="preserve">$11,256,983 </w:t>
            </w:r>
          </w:p>
        </w:tc>
        <w:tc>
          <w:tcPr>
            <w:tcW w:w="1260" w:type="dxa"/>
            <w:tcBorders>
              <w:top w:val="single" w:sz="18" w:space="0" w:color="auto"/>
              <w:left w:val="nil"/>
              <w:bottom w:val="single" w:sz="4" w:space="0" w:color="auto"/>
              <w:right w:val="single" w:sz="8" w:space="0" w:color="auto"/>
            </w:tcBorders>
            <w:shd w:val="clear" w:color="000000" w:fill="D9D9D9"/>
            <w:noWrap/>
            <w:vAlign w:val="center"/>
            <w:hideMark/>
          </w:tcPr>
          <w:p w14:paraId="718CA72A" w14:textId="77777777" w:rsidR="00FA14A4" w:rsidRPr="000529AD" w:rsidRDefault="00FA14A4" w:rsidP="00347614">
            <w:pPr>
              <w:spacing w:after="0" w:line="240" w:lineRule="auto"/>
              <w:jc w:val="right"/>
              <w:rPr>
                <w:rFonts w:ascii="Arial" w:eastAsia="Times New Roman" w:hAnsi="Arial" w:cs="Arial"/>
                <w:color w:val="000000"/>
                <w:sz w:val="18"/>
                <w:szCs w:val="18"/>
              </w:rPr>
            </w:pPr>
            <w:r w:rsidRPr="000529AD">
              <w:rPr>
                <w:rFonts w:ascii="Arial" w:eastAsia="Times New Roman" w:hAnsi="Arial" w:cs="Arial"/>
                <w:color w:val="000000"/>
                <w:sz w:val="18"/>
                <w:szCs w:val="18"/>
              </w:rPr>
              <w:t xml:space="preserve">$4,605,373 </w:t>
            </w:r>
          </w:p>
        </w:tc>
        <w:tc>
          <w:tcPr>
            <w:tcW w:w="1260" w:type="dxa"/>
            <w:tcBorders>
              <w:top w:val="single" w:sz="18" w:space="0" w:color="auto"/>
              <w:left w:val="nil"/>
              <w:bottom w:val="single" w:sz="4" w:space="0" w:color="auto"/>
              <w:right w:val="single" w:sz="8" w:space="0" w:color="auto"/>
            </w:tcBorders>
            <w:shd w:val="clear" w:color="000000" w:fill="D9D9D9"/>
            <w:noWrap/>
            <w:vAlign w:val="center"/>
            <w:hideMark/>
          </w:tcPr>
          <w:p w14:paraId="3BF5EA2C" w14:textId="77777777" w:rsidR="00FA14A4" w:rsidRPr="000529AD" w:rsidRDefault="00FA14A4" w:rsidP="00347614">
            <w:pPr>
              <w:spacing w:after="0" w:line="240" w:lineRule="auto"/>
              <w:jc w:val="right"/>
              <w:rPr>
                <w:rFonts w:ascii="Arial" w:eastAsia="Times New Roman" w:hAnsi="Arial" w:cs="Arial"/>
                <w:color w:val="000000"/>
                <w:sz w:val="18"/>
                <w:szCs w:val="18"/>
              </w:rPr>
            </w:pPr>
            <w:r w:rsidRPr="000529AD">
              <w:rPr>
                <w:rFonts w:ascii="Arial" w:eastAsia="Times New Roman" w:hAnsi="Arial" w:cs="Arial"/>
                <w:color w:val="000000"/>
                <w:sz w:val="18"/>
                <w:szCs w:val="18"/>
              </w:rPr>
              <w:t xml:space="preserve">$14,655,222 </w:t>
            </w:r>
          </w:p>
        </w:tc>
        <w:tc>
          <w:tcPr>
            <w:tcW w:w="1350" w:type="dxa"/>
            <w:tcBorders>
              <w:top w:val="single" w:sz="18" w:space="0" w:color="auto"/>
              <w:left w:val="nil"/>
              <w:bottom w:val="single" w:sz="4" w:space="0" w:color="auto"/>
              <w:right w:val="single" w:sz="18" w:space="0" w:color="auto"/>
            </w:tcBorders>
            <w:shd w:val="clear" w:color="000000" w:fill="A6A6A6"/>
            <w:noWrap/>
            <w:vAlign w:val="center"/>
            <w:hideMark/>
          </w:tcPr>
          <w:p w14:paraId="642573D2" w14:textId="77777777" w:rsidR="00FA14A4" w:rsidRPr="000529AD" w:rsidRDefault="00FA14A4" w:rsidP="00347614">
            <w:pPr>
              <w:spacing w:after="0" w:line="240" w:lineRule="auto"/>
              <w:jc w:val="right"/>
              <w:rPr>
                <w:rFonts w:ascii="Arial" w:eastAsia="Times New Roman" w:hAnsi="Arial" w:cs="Arial"/>
                <w:b/>
                <w:bCs/>
                <w:color w:val="000000"/>
                <w:sz w:val="18"/>
                <w:szCs w:val="18"/>
              </w:rPr>
            </w:pPr>
            <w:r w:rsidRPr="000529AD">
              <w:rPr>
                <w:rFonts w:ascii="Arial" w:eastAsia="Times New Roman" w:hAnsi="Arial" w:cs="Arial"/>
                <w:b/>
                <w:bCs/>
                <w:color w:val="000000"/>
                <w:sz w:val="18"/>
                <w:szCs w:val="18"/>
              </w:rPr>
              <w:t xml:space="preserve">$40,907,909 </w:t>
            </w:r>
          </w:p>
        </w:tc>
      </w:tr>
      <w:tr w:rsidR="00FA14A4" w:rsidRPr="000529AD" w14:paraId="247E2AB5" w14:textId="77777777" w:rsidTr="00347614">
        <w:trPr>
          <w:trHeight w:val="20"/>
        </w:trPr>
        <w:tc>
          <w:tcPr>
            <w:tcW w:w="980" w:type="dxa"/>
            <w:vMerge/>
            <w:tcBorders>
              <w:top w:val="nil"/>
              <w:left w:val="single" w:sz="18" w:space="0" w:color="auto"/>
              <w:bottom w:val="single" w:sz="8" w:space="0" w:color="000000"/>
              <w:right w:val="nil"/>
            </w:tcBorders>
            <w:vAlign w:val="center"/>
            <w:hideMark/>
          </w:tcPr>
          <w:p w14:paraId="272C448B" w14:textId="77777777" w:rsidR="00FA14A4" w:rsidRPr="003110C4" w:rsidRDefault="00FA14A4" w:rsidP="00347614">
            <w:pPr>
              <w:spacing w:after="0" w:line="240" w:lineRule="auto"/>
              <w:rPr>
                <w:rFonts w:ascii="Arial" w:eastAsia="Times New Roman" w:hAnsi="Arial" w:cs="Arial"/>
                <w:b/>
                <w:bCs/>
                <w:color w:val="000000"/>
                <w:sz w:val="18"/>
                <w:szCs w:val="18"/>
              </w:rPr>
            </w:pPr>
          </w:p>
        </w:tc>
        <w:tc>
          <w:tcPr>
            <w:tcW w:w="2610" w:type="dxa"/>
            <w:tcBorders>
              <w:top w:val="nil"/>
              <w:left w:val="single" w:sz="8" w:space="0" w:color="auto"/>
              <w:bottom w:val="single" w:sz="4" w:space="0" w:color="auto"/>
              <w:right w:val="nil"/>
            </w:tcBorders>
            <w:shd w:val="clear" w:color="000000" w:fill="F2F2F2"/>
            <w:noWrap/>
            <w:vAlign w:val="center"/>
            <w:hideMark/>
          </w:tcPr>
          <w:p w14:paraId="684E56B8" w14:textId="5558038A" w:rsidR="00FA14A4" w:rsidRPr="003110C4" w:rsidRDefault="008A75D3" w:rsidP="00347614">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Year-End</w:t>
            </w:r>
            <w:r w:rsidR="00FA14A4" w:rsidRPr="003110C4">
              <w:rPr>
                <w:rFonts w:ascii="Arial" w:eastAsia="Times New Roman" w:hAnsi="Arial" w:cs="Arial"/>
                <w:b/>
                <w:bCs/>
                <w:color w:val="000000"/>
                <w:sz w:val="18"/>
                <w:szCs w:val="18"/>
              </w:rPr>
              <w:t xml:space="preserve"> Inventory Balances</w:t>
            </w:r>
          </w:p>
        </w:tc>
        <w:tc>
          <w:tcPr>
            <w:tcW w:w="1260" w:type="dxa"/>
            <w:tcBorders>
              <w:top w:val="nil"/>
              <w:left w:val="single" w:sz="8" w:space="0" w:color="auto"/>
              <w:bottom w:val="single" w:sz="4" w:space="0" w:color="auto"/>
              <w:right w:val="single" w:sz="8" w:space="0" w:color="auto"/>
            </w:tcBorders>
            <w:shd w:val="clear" w:color="000000" w:fill="D9D9D9"/>
            <w:noWrap/>
            <w:vAlign w:val="center"/>
            <w:hideMark/>
          </w:tcPr>
          <w:p w14:paraId="2061C2F6" w14:textId="77777777" w:rsidR="00FA14A4" w:rsidRPr="003110C4" w:rsidRDefault="00FA14A4" w:rsidP="00347614">
            <w:pPr>
              <w:spacing w:after="0" w:line="240" w:lineRule="auto"/>
              <w:jc w:val="right"/>
              <w:rPr>
                <w:rFonts w:ascii="Arial" w:eastAsia="Times New Roman" w:hAnsi="Arial" w:cs="Arial"/>
                <w:color w:val="000000"/>
                <w:sz w:val="18"/>
                <w:szCs w:val="18"/>
              </w:rPr>
            </w:pPr>
            <w:r w:rsidRPr="003110C4">
              <w:rPr>
                <w:rFonts w:ascii="Arial" w:eastAsia="Times New Roman" w:hAnsi="Arial" w:cs="Arial"/>
                <w:color w:val="000000"/>
                <w:sz w:val="18"/>
                <w:szCs w:val="18"/>
              </w:rPr>
              <w:t xml:space="preserve">$8,736,059 </w:t>
            </w:r>
          </w:p>
        </w:tc>
        <w:tc>
          <w:tcPr>
            <w:tcW w:w="1260" w:type="dxa"/>
            <w:tcBorders>
              <w:top w:val="nil"/>
              <w:left w:val="nil"/>
              <w:bottom w:val="single" w:sz="4" w:space="0" w:color="auto"/>
              <w:right w:val="single" w:sz="8" w:space="0" w:color="auto"/>
            </w:tcBorders>
            <w:shd w:val="clear" w:color="000000" w:fill="D9D9D9"/>
            <w:vAlign w:val="center"/>
            <w:hideMark/>
          </w:tcPr>
          <w:p w14:paraId="61812358" w14:textId="77777777" w:rsidR="00FA14A4" w:rsidRPr="003110C4" w:rsidRDefault="00FA14A4" w:rsidP="00347614">
            <w:pPr>
              <w:spacing w:after="0" w:line="240" w:lineRule="auto"/>
              <w:jc w:val="right"/>
              <w:rPr>
                <w:rFonts w:ascii="Arial" w:eastAsia="Times New Roman" w:hAnsi="Arial" w:cs="Arial"/>
                <w:color w:val="000000"/>
                <w:sz w:val="18"/>
                <w:szCs w:val="18"/>
              </w:rPr>
            </w:pPr>
            <w:r w:rsidRPr="003110C4">
              <w:rPr>
                <w:rFonts w:ascii="Arial" w:eastAsia="Times New Roman" w:hAnsi="Arial" w:cs="Arial"/>
                <w:color w:val="000000"/>
                <w:sz w:val="18"/>
                <w:szCs w:val="18"/>
              </w:rPr>
              <w:t xml:space="preserve">$10,084,124 </w:t>
            </w:r>
          </w:p>
        </w:tc>
        <w:tc>
          <w:tcPr>
            <w:tcW w:w="1260" w:type="dxa"/>
            <w:tcBorders>
              <w:top w:val="nil"/>
              <w:left w:val="nil"/>
              <w:bottom w:val="single" w:sz="4" w:space="0" w:color="auto"/>
              <w:right w:val="single" w:sz="8" w:space="0" w:color="auto"/>
            </w:tcBorders>
            <w:shd w:val="clear" w:color="000000" w:fill="D9D9D9"/>
            <w:noWrap/>
            <w:vAlign w:val="center"/>
            <w:hideMark/>
          </w:tcPr>
          <w:p w14:paraId="3235C7DA" w14:textId="77777777" w:rsidR="00FA14A4" w:rsidRPr="003110C4" w:rsidRDefault="00FA14A4" w:rsidP="00347614">
            <w:pPr>
              <w:spacing w:after="0" w:line="240" w:lineRule="auto"/>
              <w:jc w:val="right"/>
              <w:rPr>
                <w:rFonts w:ascii="Arial" w:eastAsia="Times New Roman" w:hAnsi="Arial" w:cs="Arial"/>
                <w:color w:val="000000"/>
                <w:sz w:val="18"/>
                <w:szCs w:val="18"/>
              </w:rPr>
            </w:pPr>
            <w:r w:rsidRPr="003110C4">
              <w:rPr>
                <w:rFonts w:ascii="Arial" w:eastAsia="Times New Roman" w:hAnsi="Arial" w:cs="Arial"/>
                <w:color w:val="000000"/>
                <w:sz w:val="18"/>
                <w:szCs w:val="18"/>
              </w:rPr>
              <w:t xml:space="preserve">$1,595,223 </w:t>
            </w:r>
          </w:p>
        </w:tc>
        <w:tc>
          <w:tcPr>
            <w:tcW w:w="1260" w:type="dxa"/>
            <w:tcBorders>
              <w:top w:val="nil"/>
              <w:left w:val="nil"/>
              <w:bottom w:val="single" w:sz="4" w:space="0" w:color="auto"/>
              <w:right w:val="single" w:sz="8" w:space="0" w:color="auto"/>
            </w:tcBorders>
            <w:shd w:val="clear" w:color="000000" w:fill="D9D9D9"/>
            <w:noWrap/>
            <w:vAlign w:val="center"/>
            <w:hideMark/>
          </w:tcPr>
          <w:p w14:paraId="5440CAB7" w14:textId="77777777" w:rsidR="00FA14A4" w:rsidRPr="003110C4" w:rsidRDefault="00FA14A4" w:rsidP="00347614">
            <w:pPr>
              <w:spacing w:after="0" w:line="240" w:lineRule="auto"/>
              <w:jc w:val="right"/>
              <w:rPr>
                <w:rFonts w:ascii="Arial" w:eastAsia="Times New Roman" w:hAnsi="Arial" w:cs="Arial"/>
                <w:color w:val="000000"/>
                <w:sz w:val="18"/>
                <w:szCs w:val="18"/>
              </w:rPr>
            </w:pPr>
            <w:r w:rsidRPr="003110C4">
              <w:rPr>
                <w:rFonts w:ascii="Arial" w:eastAsia="Times New Roman" w:hAnsi="Arial" w:cs="Arial"/>
                <w:color w:val="000000"/>
                <w:sz w:val="18"/>
                <w:szCs w:val="18"/>
              </w:rPr>
              <w:t xml:space="preserve">$8,621,332 </w:t>
            </w:r>
          </w:p>
        </w:tc>
        <w:tc>
          <w:tcPr>
            <w:tcW w:w="1350" w:type="dxa"/>
            <w:tcBorders>
              <w:top w:val="nil"/>
              <w:left w:val="nil"/>
              <w:bottom w:val="single" w:sz="4" w:space="0" w:color="auto"/>
              <w:right w:val="single" w:sz="18" w:space="0" w:color="auto"/>
            </w:tcBorders>
            <w:shd w:val="clear" w:color="000000" w:fill="A6A6A6"/>
            <w:noWrap/>
            <w:vAlign w:val="center"/>
            <w:hideMark/>
          </w:tcPr>
          <w:p w14:paraId="54ADA41F" w14:textId="77777777" w:rsidR="00FA14A4" w:rsidRPr="003110C4" w:rsidRDefault="00FA14A4" w:rsidP="00347614">
            <w:pPr>
              <w:spacing w:after="0" w:line="240" w:lineRule="auto"/>
              <w:jc w:val="right"/>
              <w:rPr>
                <w:rFonts w:ascii="Arial" w:eastAsia="Times New Roman" w:hAnsi="Arial" w:cs="Arial"/>
                <w:b/>
                <w:bCs/>
                <w:color w:val="000000"/>
                <w:sz w:val="18"/>
                <w:szCs w:val="18"/>
              </w:rPr>
            </w:pPr>
            <w:r w:rsidRPr="003110C4">
              <w:rPr>
                <w:rFonts w:ascii="Arial" w:eastAsia="Times New Roman" w:hAnsi="Arial" w:cs="Arial"/>
                <w:b/>
                <w:bCs/>
                <w:color w:val="000000"/>
                <w:sz w:val="18"/>
                <w:szCs w:val="18"/>
              </w:rPr>
              <w:t xml:space="preserve">$29,036,738 </w:t>
            </w:r>
          </w:p>
        </w:tc>
      </w:tr>
      <w:tr w:rsidR="00FA14A4" w:rsidRPr="000529AD" w14:paraId="05CB7A19" w14:textId="77777777" w:rsidTr="00347614">
        <w:trPr>
          <w:trHeight w:val="20"/>
        </w:trPr>
        <w:tc>
          <w:tcPr>
            <w:tcW w:w="980" w:type="dxa"/>
            <w:vMerge/>
            <w:tcBorders>
              <w:top w:val="nil"/>
              <w:left w:val="single" w:sz="18" w:space="0" w:color="auto"/>
              <w:bottom w:val="single" w:sz="8" w:space="0" w:color="000000"/>
              <w:right w:val="nil"/>
            </w:tcBorders>
            <w:vAlign w:val="center"/>
            <w:hideMark/>
          </w:tcPr>
          <w:p w14:paraId="17391562" w14:textId="77777777" w:rsidR="00FA14A4" w:rsidRPr="003110C4" w:rsidRDefault="00FA14A4" w:rsidP="00347614">
            <w:pPr>
              <w:spacing w:after="0" w:line="240" w:lineRule="auto"/>
              <w:rPr>
                <w:rFonts w:ascii="Arial" w:eastAsia="Times New Roman" w:hAnsi="Arial" w:cs="Arial"/>
                <w:b/>
                <w:bCs/>
                <w:color w:val="000000"/>
                <w:sz w:val="18"/>
                <w:szCs w:val="18"/>
              </w:rPr>
            </w:pPr>
          </w:p>
        </w:tc>
        <w:tc>
          <w:tcPr>
            <w:tcW w:w="2610" w:type="dxa"/>
            <w:tcBorders>
              <w:top w:val="nil"/>
              <w:left w:val="single" w:sz="8" w:space="0" w:color="auto"/>
              <w:bottom w:val="single" w:sz="4" w:space="0" w:color="auto"/>
              <w:right w:val="nil"/>
            </w:tcBorders>
            <w:shd w:val="clear" w:color="000000" w:fill="FCD5B4"/>
            <w:noWrap/>
            <w:vAlign w:val="center"/>
            <w:hideMark/>
          </w:tcPr>
          <w:p w14:paraId="03F609DA" w14:textId="77777777" w:rsidR="00FA14A4" w:rsidRPr="003110C4" w:rsidRDefault="00FA14A4" w:rsidP="00347614">
            <w:pPr>
              <w:spacing w:after="0" w:line="240" w:lineRule="auto"/>
              <w:rPr>
                <w:rFonts w:ascii="Arial" w:eastAsia="Times New Roman" w:hAnsi="Arial" w:cs="Arial"/>
                <w:b/>
                <w:bCs/>
                <w:color w:val="000000"/>
                <w:sz w:val="18"/>
                <w:szCs w:val="18"/>
              </w:rPr>
            </w:pPr>
            <w:r w:rsidRPr="003110C4">
              <w:rPr>
                <w:rFonts w:ascii="Arial" w:eastAsia="Times New Roman" w:hAnsi="Arial" w:cs="Arial"/>
                <w:b/>
                <w:bCs/>
                <w:color w:val="000000"/>
                <w:sz w:val="18"/>
                <w:szCs w:val="18"/>
              </w:rPr>
              <w:t>Inventory Turnover Levels</w:t>
            </w:r>
          </w:p>
        </w:tc>
        <w:tc>
          <w:tcPr>
            <w:tcW w:w="1260" w:type="dxa"/>
            <w:tcBorders>
              <w:top w:val="nil"/>
              <w:left w:val="single" w:sz="8" w:space="0" w:color="auto"/>
              <w:bottom w:val="single" w:sz="4" w:space="0" w:color="auto"/>
              <w:right w:val="single" w:sz="8" w:space="0" w:color="auto"/>
            </w:tcBorders>
            <w:shd w:val="clear" w:color="000000" w:fill="FABF8F"/>
            <w:noWrap/>
            <w:vAlign w:val="center"/>
            <w:hideMark/>
          </w:tcPr>
          <w:p w14:paraId="10E49AFC" w14:textId="77777777" w:rsidR="00FA14A4" w:rsidRPr="003110C4" w:rsidRDefault="00FA14A4" w:rsidP="00347614">
            <w:pPr>
              <w:spacing w:after="0" w:line="240" w:lineRule="auto"/>
              <w:jc w:val="center"/>
              <w:rPr>
                <w:rFonts w:ascii="Arial" w:eastAsia="Times New Roman" w:hAnsi="Arial" w:cs="Arial"/>
                <w:b/>
                <w:bCs/>
                <w:color w:val="000000"/>
                <w:sz w:val="18"/>
                <w:szCs w:val="18"/>
              </w:rPr>
            </w:pPr>
            <w:r w:rsidRPr="003110C4">
              <w:rPr>
                <w:rFonts w:ascii="Arial" w:eastAsia="Times New Roman" w:hAnsi="Arial" w:cs="Arial"/>
                <w:b/>
                <w:bCs/>
                <w:color w:val="000000"/>
                <w:sz w:val="18"/>
                <w:szCs w:val="18"/>
              </w:rPr>
              <w:t>1.19</w:t>
            </w:r>
          </w:p>
        </w:tc>
        <w:tc>
          <w:tcPr>
            <w:tcW w:w="1260" w:type="dxa"/>
            <w:tcBorders>
              <w:top w:val="nil"/>
              <w:left w:val="nil"/>
              <w:bottom w:val="single" w:sz="4" w:space="0" w:color="auto"/>
              <w:right w:val="single" w:sz="8" w:space="0" w:color="auto"/>
            </w:tcBorders>
            <w:shd w:val="clear" w:color="000000" w:fill="FABF8F"/>
            <w:noWrap/>
            <w:vAlign w:val="center"/>
            <w:hideMark/>
          </w:tcPr>
          <w:p w14:paraId="2D1A5E29" w14:textId="77777777" w:rsidR="00FA14A4" w:rsidRPr="003110C4" w:rsidRDefault="00FA14A4" w:rsidP="00347614">
            <w:pPr>
              <w:spacing w:after="0" w:line="240" w:lineRule="auto"/>
              <w:jc w:val="center"/>
              <w:rPr>
                <w:rFonts w:ascii="Arial" w:eastAsia="Times New Roman" w:hAnsi="Arial" w:cs="Arial"/>
                <w:b/>
                <w:bCs/>
                <w:color w:val="000000"/>
                <w:sz w:val="18"/>
                <w:szCs w:val="18"/>
              </w:rPr>
            </w:pPr>
            <w:r w:rsidRPr="003110C4">
              <w:rPr>
                <w:rFonts w:ascii="Arial" w:eastAsia="Times New Roman" w:hAnsi="Arial" w:cs="Arial"/>
                <w:b/>
                <w:bCs/>
                <w:color w:val="000000"/>
                <w:sz w:val="18"/>
                <w:szCs w:val="18"/>
              </w:rPr>
              <w:t>1.12</w:t>
            </w:r>
          </w:p>
        </w:tc>
        <w:tc>
          <w:tcPr>
            <w:tcW w:w="1260" w:type="dxa"/>
            <w:tcBorders>
              <w:top w:val="nil"/>
              <w:left w:val="nil"/>
              <w:bottom w:val="single" w:sz="4" w:space="0" w:color="auto"/>
              <w:right w:val="single" w:sz="8" w:space="0" w:color="auto"/>
            </w:tcBorders>
            <w:shd w:val="clear" w:color="000000" w:fill="FABF8F"/>
            <w:noWrap/>
            <w:vAlign w:val="center"/>
            <w:hideMark/>
          </w:tcPr>
          <w:p w14:paraId="679B0F9A" w14:textId="77777777" w:rsidR="00FA14A4" w:rsidRPr="003110C4" w:rsidRDefault="00FA14A4" w:rsidP="00347614">
            <w:pPr>
              <w:spacing w:after="0" w:line="240" w:lineRule="auto"/>
              <w:jc w:val="center"/>
              <w:rPr>
                <w:rFonts w:ascii="Arial" w:eastAsia="Times New Roman" w:hAnsi="Arial" w:cs="Arial"/>
                <w:b/>
                <w:bCs/>
                <w:color w:val="000000"/>
                <w:sz w:val="18"/>
                <w:szCs w:val="18"/>
              </w:rPr>
            </w:pPr>
            <w:r w:rsidRPr="003110C4">
              <w:rPr>
                <w:rFonts w:ascii="Arial" w:eastAsia="Times New Roman" w:hAnsi="Arial" w:cs="Arial"/>
                <w:b/>
                <w:bCs/>
                <w:color w:val="000000"/>
                <w:sz w:val="18"/>
                <w:szCs w:val="18"/>
              </w:rPr>
              <w:t>2.89</w:t>
            </w:r>
          </w:p>
        </w:tc>
        <w:tc>
          <w:tcPr>
            <w:tcW w:w="1260" w:type="dxa"/>
            <w:tcBorders>
              <w:top w:val="nil"/>
              <w:left w:val="nil"/>
              <w:bottom w:val="single" w:sz="4" w:space="0" w:color="auto"/>
              <w:right w:val="single" w:sz="8" w:space="0" w:color="auto"/>
            </w:tcBorders>
            <w:shd w:val="clear" w:color="000000" w:fill="FABF8F"/>
            <w:noWrap/>
            <w:vAlign w:val="center"/>
            <w:hideMark/>
          </w:tcPr>
          <w:p w14:paraId="42B27670" w14:textId="77777777" w:rsidR="00FA14A4" w:rsidRPr="003110C4" w:rsidRDefault="00FA14A4" w:rsidP="00347614">
            <w:pPr>
              <w:spacing w:after="0" w:line="240" w:lineRule="auto"/>
              <w:jc w:val="center"/>
              <w:rPr>
                <w:rFonts w:ascii="Arial" w:eastAsia="Times New Roman" w:hAnsi="Arial" w:cs="Arial"/>
                <w:b/>
                <w:bCs/>
                <w:color w:val="000000"/>
                <w:sz w:val="18"/>
                <w:szCs w:val="18"/>
              </w:rPr>
            </w:pPr>
            <w:r w:rsidRPr="003110C4">
              <w:rPr>
                <w:rFonts w:ascii="Arial" w:eastAsia="Times New Roman" w:hAnsi="Arial" w:cs="Arial"/>
                <w:b/>
                <w:bCs/>
                <w:color w:val="000000"/>
                <w:sz w:val="18"/>
                <w:szCs w:val="18"/>
              </w:rPr>
              <w:t>1.70</w:t>
            </w:r>
          </w:p>
        </w:tc>
        <w:tc>
          <w:tcPr>
            <w:tcW w:w="1350" w:type="dxa"/>
            <w:tcBorders>
              <w:top w:val="nil"/>
              <w:left w:val="nil"/>
              <w:bottom w:val="single" w:sz="4" w:space="0" w:color="auto"/>
              <w:right w:val="single" w:sz="18" w:space="0" w:color="auto"/>
            </w:tcBorders>
            <w:shd w:val="clear" w:color="000000" w:fill="ED7D31"/>
            <w:noWrap/>
            <w:vAlign w:val="center"/>
            <w:hideMark/>
          </w:tcPr>
          <w:p w14:paraId="53768B51" w14:textId="77777777" w:rsidR="00FA14A4" w:rsidRPr="003110C4" w:rsidRDefault="00FA14A4" w:rsidP="00347614">
            <w:pPr>
              <w:spacing w:after="0" w:line="240" w:lineRule="auto"/>
              <w:jc w:val="center"/>
              <w:rPr>
                <w:rFonts w:ascii="Arial" w:eastAsia="Times New Roman" w:hAnsi="Arial" w:cs="Arial"/>
                <w:b/>
                <w:bCs/>
                <w:color w:val="000000"/>
                <w:sz w:val="18"/>
                <w:szCs w:val="18"/>
              </w:rPr>
            </w:pPr>
            <w:r w:rsidRPr="003110C4">
              <w:rPr>
                <w:rFonts w:ascii="Arial" w:eastAsia="Times New Roman" w:hAnsi="Arial" w:cs="Arial"/>
                <w:b/>
                <w:bCs/>
                <w:color w:val="000000"/>
                <w:sz w:val="18"/>
                <w:szCs w:val="18"/>
              </w:rPr>
              <w:t>1.41</w:t>
            </w:r>
          </w:p>
        </w:tc>
      </w:tr>
      <w:tr w:rsidR="00FA14A4" w:rsidRPr="000529AD" w14:paraId="70FB430D" w14:textId="77777777" w:rsidTr="00347614">
        <w:trPr>
          <w:trHeight w:val="20"/>
        </w:trPr>
        <w:tc>
          <w:tcPr>
            <w:tcW w:w="980" w:type="dxa"/>
            <w:vMerge/>
            <w:tcBorders>
              <w:top w:val="nil"/>
              <w:left w:val="single" w:sz="18" w:space="0" w:color="auto"/>
              <w:bottom w:val="single" w:sz="8" w:space="0" w:color="000000"/>
              <w:right w:val="nil"/>
            </w:tcBorders>
            <w:vAlign w:val="center"/>
            <w:hideMark/>
          </w:tcPr>
          <w:p w14:paraId="6A17B220" w14:textId="77777777" w:rsidR="00FA14A4" w:rsidRPr="003110C4" w:rsidRDefault="00FA14A4" w:rsidP="00347614">
            <w:pPr>
              <w:spacing w:after="0" w:line="240" w:lineRule="auto"/>
              <w:rPr>
                <w:rFonts w:ascii="Arial" w:eastAsia="Times New Roman" w:hAnsi="Arial" w:cs="Arial"/>
                <w:b/>
                <w:bCs/>
                <w:color w:val="000000"/>
                <w:sz w:val="18"/>
                <w:szCs w:val="18"/>
              </w:rPr>
            </w:pPr>
          </w:p>
        </w:tc>
        <w:tc>
          <w:tcPr>
            <w:tcW w:w="2610" w:type="dxa"/>
            <w:tcBorders>
              <w:top w:val="nil"/>
              <w:left w:val="single" w:sz="8" w:space="0" w:color="auto"/>
              <w:bottom w:val="single" w:sz="4" w:space="0" w:color="auto"/>
              <w:right w:val="nil"/>
            </w:tcBorders>
            <w:shd w:val="clear" w:color="000000" w:fill="F2F2F2"/>
            <w:vAlign w:val="center"/>
            <w:hideMark/>
          </w:tcPr>
          <w:p w14:paraId="2A195370" w14:textId="147DA74D" w:rsidR="00FA14A4" w:rsidRPr="003110C4" w:rsidRDefault="008A75D3" w:rsidP="00347614">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Year-End</w:t>
            </w:r>
            <w:r w:rsidRPr="003110C4">
              <w:rPr>
                <w:rFonts w:ascii="Arial" w:eastAsia="Times New Roman" w:hAnsi="Arial" w:cs="Arial"/>
                <w:b/>
                <w:bCs/>
                <w:color w:val="000000"/>
                <w:sz w:val="18"/>
                <w:szCs w:val="18"/>
              </w:rPr>
              <w:t xml:space="preserve"> </w:t>
            </w:r>
            <w:r w:rsidR="00FA14A4" w:rsidRPr="003110C4">
              <w:rPr>
                <w:rFonts w:ascii="Arial" w:eastAsia="Times New Roman" w:hAnsi="Arial" w:cs="Arial"/>
                <w:b/>
                <w:bCs/>
                <w:color w:val="000000"/>
                <w:sz w:val="18"/>
                <w:szCs w:val="18"/>
              </w:rPr>
              <w:t>Inventory Balance if Turnover was Equal to Performance in 2013</w:t>
            </w:r>
          </w:p>
        </w:tc>
        <w:tc>
          <w:tcPr>
            <w:tcW w:w="1260" w:type="dxa"/>
            <w:tcBorders>
              <w:top w:val="nil"/>
              <w:left w:val="single" w:sz="8" w:space="0" w:color="auto"/>
              <w:bottom w:val="single" w:sz="4" w:space="0" w:color="auto"/>
              <w:right w:val="single" w:sz="8" w:space="0" w:color="auto"/>
            </w:tcBorders>
            <w:shd w:val="clear" w:color="000000" w:fill="D9D9D9"/>
            <w:noWrap/>
            <w:vAlign w:val="center"/>
            <w:hideMark/>
          </w:tcPr>
          <w:p w14:paraId="28A2B30D" w14:textId="77777777" w:rsidR="00FA14A4" w:rsidRPr="003110C4" w:rsidRDefault="00FA14A4" w:rsidP="00347614">
            <w:pPr>
              <w:spacing w:after="0" w:line="240" w:lineRule="auto"/>
              <w:jc w:val="right"/>
              <w:rPr>
                <w:rFonts w:ascii="Arial" w:eastAsia="Times New Roman" w:hAnsi="Arial" w:cs="Arial"/>
                <w:color w:val="000000"/>
                <w:sz w:val="18"/>
                <w:szCs w:val="18"/>
              </w:rPr>
            </w:pPr>
            <w:r w:rsidRPr="003110C4">
              <w:rPr>
                <w:rFonts w:ascii="Arial" w:eastAsia="Times New Roman" w:hAnsi="Arial" w:cs="Arial"/>
                <w:color w:val="000000"/>
                <w:sz w:val="18"/>
                <w:szCs w:val="18"/>
              </w:rPr>
              <w:t xml:space="preserve">$9,243,631 </w:t>
            </w:r>
          </w:p>
        </w:tc>
        <w:tc>
          <w:tcPr>
            <w:tcW w:w="1260" w:type="dxa"/>
            <w:tcBorders>
              <w:top w:val="nil"/>
              <w:left w:val="nil"/>
              <w:bottom w:val="single" w:sz="4" w:space="0" w:color="auto"/>
              <w:right w:val="single" w:sz="8" w:space="0" w:color="auto"/>
            </w:tcBorders>
            <w:shd w:val="clear" w:color="000000" w:fill="D9D9D9"/>
            <w:noWrap/>
            <w:vAlign w:val="center"/>
            <w:hideMark/>
          </w:tcPr>
          <w:p w14:paraId="04BBB884" w14:textId="77777777" w:rsidR="00FA14A4" w:rsidRPr="003110C4" w:rsidRDefault="00FA14A4" w:rsidP="00347614">
            <w:pPr>
              <w:spacing w:after="0" w:line="240" w:lineRule="auto"/>
              <w:jc w:val="right"/>
              <w:rPr>
                <w:rFonts w:ascii="Arial" w:eastAsia="Times New Roman" w:hAnsi="Arial" w:cs="Arial"/>
                <w:color w:val="000000"/>
                <w:sz w:val="18"/>
                <w:szCs w:val="18"/>
              </w:rPr>
            </w:pPr>
            <w:r w:rsidRPr="003110C4">
              <w:rPr>
                <w:rFonts w:ascii="Arial" w:eastAsia="Times New Roman" w:hAnsi="Arial" w:cs="Arial"/>
                <w:color w:val="000000"/>
                <w:sz w:val="18"/>
                <w:szCs w:val="18"/>
              </w:rPr>
              <w:t xml:space="preserve">$12,109,517 </w:t>
            </w:r>
          </w:p>
        </w:tc>
        <w:tc>
          <w:tcPr>
            <w:tcW w:w="1260" w:type="dxa"/>
            <w:tcBorders>
              <w:top w:val="nil"/>
              <w:left w:val="nil"/>
              <w:bottom w:val="single" w:sz="4" w:space="0" w:color="auto"/>
              <w:right w:val="single" w:sz="8" w:space="0" w:color="auto"/>
            </w:tcBorders>
            <w:shd w:val="clear" w:color="000000" w:fill="D9D9D9"/>
            <w:noWrap/>
            <w:vAlign w:val="center"/>
            <w:hideMark/>
          </w:tcPr>
          <w:p w14:paraId="30A25BAC" w14:textId="77777777" w:rsidR="00FA14A4" w:rsidRPr="003110C4" w:rsidRDefault="00FA14A4" w:rsidP="00347614">
            <w:pPr>
              <w:spacing w:after="0" w:line="240" w:lineRule="auto"/>
              <w:jc w:val="right"/>
              <w:rPr>
                <w:rFonts w:ascii="Arial" w:eastAsia="Times New Roman" w:hAnsi="Arial" w:cs="Arial"/>
                <w:color w:val="000000"/>
                <w:sz w:val="18"/>
                <w:szCs w:val="18"/>
              </w:rPr>
            </w:pPr>
            <w:r w:rsidRPr="003110C4">
              <w:rPr>
                <w:rFonts w:ascii="Arial" w:eastAsia="Times New Roman" w:hAnsi="Arial" w:cs="Arial"/>
                <w:color w:val="000000"/>
                <w:sz w:val="18"/>
                <w:szCs w:val="18"/>
              </w:rPr>
              <w:t xml:space="preserve">$2,570,723 </w:t>
            </w:r>
          </w:p>
        </w:tc>
        <w:tc>
          <w:tcPr>
            <w:tcW w:w="1260" w:type="dxa"/>
            <w:tcBorders>
              <w:top w:val="nil"/>
              <w:left w:val="nil"/>
              <w:bottom w:val="single" w:sz="4" w:space="0" w:color="auto"/>
              <w:right w:val="single" w:sz="8" w:space="0" w:color="auto"/>
            </w:tcBorders>
            <w:shd w:val="clear" w:color="000000" w:fill="D9D9D9"/>
            <w:noWrap/>
            <w:vAlign w:val="center"/>
            <w:hideMark/>
          </w:tcPr>
          <w:p w14:paraId="5FA3A668" w14:textId="77777777" w:rsidR="00FA14A4" w:rsidRPr="003110C4" w:rsidRDefault="00FA14A4" w:rsidP="00347614">
            <w:pPr>
              <w:spacing w:after="0" w:line="240" w:lineRule="auto"/>
              <w:jc w:val="right"/>
              <w:rPr>
                <w:rFonts w:ascii="Arial" w:eastAsia="Times New Roman" w:hAnsi="Arial" w:cs="Arial"/>
                <w:color w:val="000000"/>
                <w:sz w:val="18"/>
                <w:szCs w:val="18"/>
              </w:rPr>
            </w:pPr>
            <w:r w:rsidRPr="003110C4">
              <w:rPr>
                <w:rFonts w:ascii="Arial" w:eastAsia="Times New Roman" w:hAnsi="Arial" w:cs="Arial"/>
                <w:color w:val="000000"/>
                <w:sz w:val="18"/>
                <w:szCs w:val="18"/>
              </w:rPr>
              <w:t xml:space="preserve">$17,833,801 </w:t>
            </w:r>
          </w:p>
        </w:tc>
        <w:tc>
          <w:tcPr>
            <w:tcW w:w="1350" w:type="dxa"/>
            <w:tcBorders>
              <w:top w:val="nil"/>
              <w:left w:val="nil"/>
              <w:bottom w:val="single" w:sz="4" w:space="0" w:color="auto"/>
              <w:right w:val="single" w:sz="18" w:space="0" w:color="auto"/>
            </w:tcBorders>
            <w:shd w:val="clear" w:color="000000" w:fill="A6A6A6"/>
            <w:noWrap/>
            <w:vAlign w:val="center"/>
            <w:hideMark/>
          </w:tcPr>
          <w:p w14:paraId="2433C437" w14:textId="77777777" w:rsidR="00FA14A4" w:rsidRPr="003110C4" w:rsidRDefault="00FA14A4" w:rsidP="00347614">
            <w:pPr>
              <w:spacing w:after="0" w:line="240" w:lineRule="auto"/>
              <w:jc w:val="right"/>
              <w:rPr>
                <w:rFonts w:ascii="Arial" w:eastAsia="Times New Roman" w:hAnsi="Arial" w:cs="Arial"/>
                <w:b/>
                <w:bCs/>
                <w:color w:val="000000"/>
                <w:sz w:val="18"/>
                <w:szCs w:val="18"/>
              </w:rPr>
            </w:pPr>
            <w:r w:rsidRPr="003110C4">
              <w:rPr>
                <w:rFonts w:ascii="Arial" w:eastAsia="Times New Roman" w:hAnsi="Arial" w:cs="Arial"/>
                <w:b/>
                <w:bCs/>
                <w:color w:val="000000"/>
                <w:sz w:val="18"/>
                <w:szCs w:val="18"/>
              </w:rPr>
              <w:t xml:space="preserve">$41,757,672 </w:t>
            </w:r>
          </w:p>
        </w:tc>
      </w:tr>
      <w:tr w:rsidR="00FA14A4" w:rsidRPr="000529AD" w14:paraId="5D5D0A19" w14:textId="77777777" w:rsidTr="00347614">
        <w:trPr>
          <w:trHeight w:val="20"/>
        </w:trPr>
        <w:tc>
          <w:tcPr>
            <w:tcW w:w="980" w:type="dxa"/>
            <w:vMerge/>
            <w:tcBorders>
              <w:top w:val="nil"/>
              <w:left w:val="single" w:sz="18" w:space="0" w:color="auto"/>
              <w:bottom w:val="single" w:sz="18" w:space="0" w:color="auto"/>
              <w:right w:val="nil"/>
            </w:tcBorders>
            <w:vAlign w:val="center"/>
            <w:hideMark/>
          </w:tcPr>
          <w:p w14:paraId="72483817" w14:textId="77777777" w:rsidR="00FA14A4" w:rsidRPr="003110C4" w:rsidRDefault="00FA14A4" w:rsidP="00347614">
            <w:pPr>
              <w:spacing w:after="0" w:line="240" w:lineRule="auto"/>
              <w:rPr>
                <w:rFonts w:ascii="Arial" w:eastAsia="Times New Roman" w:hAnsi="Arial" w:cs="Arial"/>
                <w:b/>
                <w:bCs/>
                <w:color w:val="000000"/>
                <w:sz w:val="18"/>
                <w:szCs w:val="18"/>
              </w:rPr>
            </w:pPr>
          </w:p>
        </w:tc>
        <w:tc>
          <w:tcPr>
            <w:tcW w:w="2610" w:type="dxa"/>
            <w:tcBorders>
              <w:top w:val="nil"/>
              <w:left w:val="single" w:sz="8" w:space="0" w:color="auto"/>
              <w:bottom w:val="single" w:sz="18" w:space="0" w:color="auto"/>
              <w:right w:val="nil"/>
            </w:tcBorders>
            <w:shd w:val="clear" w:color="000000" w:fill="F2F2F2"/>
            <w:vAlign w:val="center"/>
            <w:hideMark/>
          </w:tcPr>
          <w:p w14:paraId="579CB99F" w14:textId="77777777" w:rsidR="00FA14A4" w:rsidRPr="003110C4" w:rsidRDefault="00FA14A4" w:rsidP="00347614">
            <w:pPr>
              <w:spacing w:after="0" w:line="240" w:lineRule="auto"/>
              <w:rPr>
                <w:rFonts w:ascii="Arial" w:eastAsia="Times New Roman" w:hAnsi="Arial" w:cs="Arial"/>
                <w:b/>
                <w:bCs/>
                <w:color w:val="000000"/>
                <w:sz w:val="18"/>
                <w:szCs w:val="18"/>
              </w:rPr>
            </w:pPr>
            <w:r w:rsidRPr="003110C4">
              <w:rPr>
                <w:rFonts w:ascii="Arial" w:eastAsia="Times New Roman" w:hAnsi="Arial" w:cs="Arial"/>
                <w:b/>
                <w:bCs/>
                <w:color w:val="000000"/>
                <w:sz w:val="18"/>
                <w:szCs w:val="18"/>
              </w:rPr>
              <w:t>One-Time Savings</w:t>
            </w:r>
          </w:p>
        </w:tc>
        <w:tc>
          <w:tcPr>
            <w:tcW w:w="1260" w:type="dxa"/>
            <w:tcBorders>
              <w:top w:val="nil"/>
              <w:left w:val="single" w:sz="8" w:space="0" w:color="auto"/>
              <w:bottom w:val="single" w:sz="18" w:space="0" w:color="auto"/>
              <w:right w:val="single" w:sz="8" w:space="0" w:color="auto"/>
            </w:tcBorders>
            <w:shd w:val="clear" w:color="000000" w:fill="D9D9D9"/>
            <w:noWrap/>
            <w:vAlign w:val="center"/>
            <w:hideMark/>
          </w:tcPr>
          <w:p w14:paraId="3289FEED" w14:textId="77777777" w:rsidR="00FA14A4" w:rsidRPr="003110C4" w:rsidRDefault="00FA14A4" w:rsidP="00347614">
            <w:pPr>
              <w:spacing w:after="0" w:line="240" w:lineRule="auto"/>
              <w:jc w:val="right"/>
              <w:rPr>
                <w:rFonts w:ascii="Arial" w:eastAsia="Times New Roman" w:hAnsi="Arial" w:cs="Arial"/>
                <w:color w:val="000000"/>
                <w:sz w:val="18"/>
                <w:szCs w:val="18"/>
              </w:rPr>
            </w:pPr>
            <w:r w:rsidRPr="003110C4">
              <w:rPr>
                <w:rFonts w:ascii="Arial" w:eastAsia="Times New Roman" w:hAnsi="Arial" w:cs="Arial"/>
                <w:color w:val="000000"/>
                <w:sz w:val="18"/>
                <w:szCs w:val="18"/>
              </w:rPr>
              <w:t xml:space="preserve">$507,572 </w:t>
            </w:r>
          </w:p>
        </w:tc>
        <w:tc>
          <w:tcPr>
            <w:tcW w:w="1260" w:type="dxa"/>
            <w:tcBorders>
              <w:top w:val="nil"/>
              <w:left w:val="nil"/>
              <w:bottom w:val="single" w:sz="18" w:space="0" w:color="auto"/>
              <w:right w:val="single" w:sz="8" w:space="0" w:color="auto"/>
            </w:tcBorders>
            <w:shd w:val="clear" w:color="000000" w:fill="D9D9D9"/>
            <w:noWrap/>
            <w:vAlign w:val="center"/>
            <w:hideMark/>
          </w:tcPr>
          <w:p w14:paraId="73058EBB" w14:textId="77777777" w:rsidR="00FA14A4" w:rsidRPr="003110C4" w:rsidRDefault="00FA14A4" w:rsidP="00347614">
            <w:pPr>
              <w:spacing w:after="0" w:line="240" w:lineRule="auto"/>
              <w:jc w:val="right"/>
              <w:rPr>
                <w:rFonts w:ascii="Arial" w:eastAsia="Times New Roman" w:hAnsi="Arial" w:cs="Arial"/>
                <w:color w:val="000000"/>
                <w:sz w:val="18"/>
                <w:szCs w:val="18"/>
              </w:rPr>
            </w:pPr>
            <w:r w:rsidRPr="003110C4">
              <w:rPr>
                <w:rFonts w:ascii="Arial" w:eastAsia="Times New Roman" w:hAnsi="Arial" w:cs="Arial"/>
                <w:color w:val="000000"/>
                <w:sz w:val="18"/>
                <w:szCs w:val="18"/>
              </w:rPr>
              <w:t xml:space="preserve">$2,025,393 </w:t>
            </w:r>
          </w:p>
        </w:tc>
        <w:tc>
          <w:tcPr>
            <w:tcW w:w="1260" w:type="dxa"/>
            <w:tcBorders>
              <w:top w:val="nil"/>
              <w:left w:val="nil"/>
              <w:bottom w:val="single" w:sz="18" w:space="0" w:color="auto"/>
              <w:right w:val="single" w:sz="8" w:space="0" w:color="auto"/>
            </w:tcBorders>
            <w:shd w:val="clear" w:color="000000" w:fill="D9D9D9"/>
            <w:noWrap/>
            <w:vAlign w:val="center"/>
            <w:hideMark/>
          </w:tcPr>
          <w:p w14:paraId="37418476" w14:textId="77777777" w:rsidR="00FA14A4" w:rsidRPr="003110C4" w:rsidRDefault="00FA14A4" w:rsidP="00347614">
            <w:pPr>
              <w:spacing w:after="0" w:line="240" w:lineRule="auto"/>
              <w:jc w:val="right"/>
              <w:rPr>
                <w:rFonts w:ascii="Arial" w:eastAsia="Times New Roman" w:hAnsi="Arial" w:cs="Arial"/>
                <w:color w:val="000000"/>
                <w:sz w:val="18"/>
                <w:szCs w:val="18"/>
              </w:rPr>
            </w:pPr>
            <w:r w:rsidRPr="003110C4">
              <w:rPr>
                <w:rFonts w:ascii="Arial" w:eastAsia="Times New Roman" w:hAnsi="Arial" w:cs="Arial"/>
                <w:color w:val="000000"/>
                <w:sz w:val="18"/>
                <w:szCs w:val="18"/>
              </w:rPr>
              <w:t xml:space="preserve">$975,500 </w:t>
            </w:r>
          </w:p>
        </w:tc>
        <w:tc>
          <w:tcPr>
            <w:tcW w:w="1260" w:type="dxa"/>
            <w:tcBorders>
              <w:top w:val="nil"/>
              <w:left w:val="nil"/>
              <w:bottom w:val="single" w:sz="18" w:space="0" w:color="auto"/>
              <w:right w:val="single" w:sz="8" w:space="0" w:color="auto"/>
            </w:tcBorders>
            <w:shd w:val="clear" w:color="000000" w:fill="D9D9D9"/>
            <w:noWrap/>
            <w:vAlign w:val="center"/>
            <w:hideMark/>
          </w:tcPr>
          <w:p w14:paraId="67836554" w14:textId="77777777" w:rsidR="00FA14A4" w:rsidRPr="003110C4" w:rsidRDefault="00FA14A4" w:rsidP="00347614">
            <w:pPr>
              <w:spacing w:after="0" w:line="240" w:lineRule="auto"/>
              <w:jc w:val="right"/>
              <w:rPr>
                <w:rFonts w:ascii="Arial" w:eastAsia="Times New Roman" w:hAnsi="Arial" w:cs="Arial"/>
                <w:color w:val="000000"/>
                <w:sz w:val="18"/>
                <w:szCs w:val="18"/>
              </w:rPr>
            </w:pPr>
            <w:r w:rsidRPr="003110C4">
              <w:rPr>
                <w:rFonts w:ascii="Arial" w:eastAsia="Times New Roman" w:hAnsi="Arial" w:cs="Arial"/>
                <w:color w:val="000000"/>
                <w:sz w:val="18"/>
                <w:szCs w:val="18"/>
              </w:rPr>
              <w:t xml:space="preserve">$9,212,469 </w:t>
            </w:r>
          </w:p>
        </w:tc>
        <w:tc>
          <w:tcPr>
            <w:tcW w:w="1350" w:type="dxa"/>
            <w:tcBorders>
              <w:top w:val="nil"/>
              <w:left w:val="nil"/>
              <w:bottom w:val="single" w:sz="18" w:space="0" w:color="auto"/>
              <w:right w:val="single" w:sz="18" w:space="0" w:color="auto"/>
            </w:tcBorders>
            <w:shd w:val="clear" w:color="000000" w:fill="A6A6A6"/>
            <w:noWrap/>
            <w:vAlign w:val="center"/>
            <w:hideMark/>
          </w:tcPr>
          <w:p w14:paraId="36D325C7" w14:textId="77777777" w:rsidR="00FA14A4" w:rsidRPr="003110C4" w:rsidRDefault="00FA14A4" w:rsidP="00347614">
            <w:pPr>
              <w:spacing w:after="0" w:line="240" w:lineRule="auto"/>
              <w:jc w:val="right"/>
              <w:rPr>
                <w:rFonts w:ascii="Arial" w:eastAsia="Times New Roman" w:hAnsi="Arial" w:cs="Arial"/>
                <w:b/>
                <w:bCs/>
                <w:color w:val="000000"/>
                <w:sz w:val="18"/>
                <w:szCs w:val="18"/>
              </w:rPr>
            </w:pPr>
            <w:r w:rsidRPr="003110C4">
              <w:rPr>
                <w:rFonts w:ascii="Arial" w:eastAsia="Times New Roman" w:hAnsi="Arial" w:cs="Arial"/>
                <w:b/>
                <w:bCs/>
                <w:color w:val="000000"/>
                <w:sz w:val="18"/>
                <w:szCs w:val="18"/>
              </w:rPr>
              <w:t> </w:t>
            </w:r>
          </w:p>
        </w:tc>
      </w:tr>
      <w:tr w:rsidR="00FA14A4" w:rsidRPr="000529AD" w14:paraId="48D4C629" w14:textId="77777777" w:rsidTr="00347614">
        <w:trPr>
          <w:trHeight w:val="20"/>
        </w:trPr>
        <w:tc>
          <w:tcPr>
            <w:tcW w:w="980" w:type="dxa"/>
            <w:vMerge w:val="restart"/>
            <w:tcBorders>
              <w:top w:val="single" w:sz="18" w:space="0" w:color="auto"/>
              <w:left w:val="single" w:sz="18" w:space="0" w:color="auto"/>
              <w:bottom w:val="single" w:sz="8" w:space="0" w:color="000000"/>
              <w:right w:val="nil"/>
            </w:tcBorders>
            <w:shd w:val="clear" w:color="auto" w:fill="auto"/>
            <w:vAlign w:val="center"/>
            <w:hideMark/>
          </w:tcPr>
          <w:p w14:paraId="555953DF" w14:textId="77777777" w:rsidR="00FA14A4" w:rsidRPr="000529AD" w:rsidRDefault="00FA14A4" w:rsidP="00347614">
            <w:pPr>
              <w:spacing w:after="0" w:line="240" w:lineRule="auto"/>
              <w:jc w:val="center"/>
              <w:rPr>
                <w:rFonts w:ascii="Arial" w:eastAsia="Times New Roman" w:hAnsi="Arial" w:cs="Arial"/>
                <w:b/>
                <w:bCs/>
                <w:color w:val="000000"/>
                <w:sz w:val="18"/>
                <w:szCs w:val="18"/>
              </w:rPr>
            </w:pPr>
            <w:r w:rsidRPr="000529AD">
              <w:rPr>
                <w:rFonts w:ascii="Arial" w:eastAsia="Times New Roman" w:hAnsi="Arial" w:cs="Arial"/>
                <w:b/>
                <w:bCs/>
                <w:color w:val="000000"/>
                <w:sz w:val="18"/>
                <w:szCs w:val="18"/>
              </w:rPr>
              <w:t>2017</w:t>
            </w:r>
          </w:p>
        </w:tc>
        <w:tc>
          <w:tcPr>
            <w:tcW w:w="2610" w:type="dxa"/>
            <w:tcBorders>
              <w:top w:val="single" w:sz="18" w:space="0" w:color="auto"/>
              <w:left w:val="single" w:sz="8" w:space="0" w:color="auto"/>
              <w:bottom w:val="single" w:sz="4" w:space="0" w:color="auto"/>
              <w:right w:val="nil"/>
            </w:tcBorders>
            <w:shd w:val="clear" w:color="000000" w:fill="F2F2F2"/>
            <w:noWrap/>
            <w:vAlign w:val="center"/>
            <w:hideMark/>
          </w:tcPr>
          <w:p w14:paraId="5EF37657" w14:textId="77777777" w:rsidR="00FA14A4" w:rsidRPr="000529AD" w:rsidRDefault="00FA14A4" w:rsidP="00347614">
            <w:pPr>
              <w:spacing w:after="0" w:line="240" w:lineRule="auto"/>
              <w:rPr>
                <w:rFonts w:ascii="Arial" w:eastAsia="Times New Roman" w:hAnsi="Arial" w:cs="Arial"/>
                <w:b/>
                <w:bCs/>
                <w:color w:val="000000"/>
                <w:sz w:val="18"/>
                <w:szCs w:val="18"/>
              </w:rPr>
            </w:pPr>
            <w:r w:rsidRPr="000529AD">
              <w:rPr>
                <w:rFonts w:ascii="Arial" w:eastAsia="Times New Roman" w:hAnsi="Arial" w:cs="Arial"/>
                <w:b/>
                <w:bCs/>
                <w:color w:val="000000"/>
                <w:sz w:val="18"/>
                <w:szCs w:val="18"/>
              </w:rPr>
              <w:t>Annual Issues</w:t>
            </w:r>
          </w:p>
        </w:tc>
        <w:tc>
          <w:tcPr>
            <w:tcW w:w="1260" w:type="dxa"/>
            <w:tcBorders>
              <w:top w:val="single" w:sz="18" w:space="0" w:color="auto"/>
              <w:left w:val="single" w:sz="8" w:space="0" w:color="auto"/>
              <w:bottom w:val="single" w:sz="4" w:space="0" w:color="auto"/>
              <w:right w:val="single" w:sz="8" w:space="0" w:color="auto"/>
            </w:tcBorders>
            <w:shd w:val="clear" w:color="000000" w:fill="D9D9D9"/>
            <w:noWrap/>
            <w:vAlign w:val="center"/>
            <w:hideMark/>
          </w:tcPr>
          <w:p w14:paraId="3D0FC9C3" w14:textId="77777777" w:rsidR="00FA14A4" w:rsidRPr="000529AD" w:rsidRDefault="00FA14A4" w:rsidP="00347614">
            <w:pPr>
              <w:spacing w:after="0" w:line="240" w:lineRule="auto"/>
              <w:jc w:val="right"/>
              <w:rPr>
                <w:rFonts w:ascii="Arial" w:eastAsia="Times New Roman" w:hAnsi="Arial" w:cs="Arial"/>
                <w:color w:val="000000"/>
                <w:sz w:val="18"/>
                <w:szCs w:val="18"/>
              </w:rPr>
            </w:pPr>
            <w:r w:rsidRPr="000529AD">
              <w:rPr>
                <w:rFonts w:ascii="Arial" w:eastAsia="Times New Roman" w:hAnsi="Arial" w:cs="Arial"/>
                <w:color w:val="000000"/>
                <w:sz w:val="18"/>
                <w:szCs w:val="18"/>
              </w:rPr>
              <w:t xml:space="preserve">$11,556,800 </w:t>
            </w:r>
          </w:p>
        </w:tc>
        <w:tc>
          <w:tcPr>
            <w:tcW w:w="1260" w:type="dxa"/>
            <w:tcBorders>
              <w:top w:val="single" w:sz="18" w:space="0" w:color="auto"/>
              <w:left w:val="nil"/>
              <w:bottom w:val="single" w:sz="4" w:space="0" w:color="auto"/>
              <w:right w:val="single" w:sz="8" w:space="0" w:color="auto"/>
            </w:tcBorders>
            <w:shd w:val="clear" w:color="000000" w:fill="D9D9D9"/>
            <w:vAlign w:val="center"/>
            <w:hideMark/>
          </w:tcPr>
          <w:p w14:paraId="21BC15BC" w14:textId="77777777" w:rsidR="00FA14A4" w:rsidRPr="000529AD" w:rsidRDefault="00FA14A4" w:rsidP="00347614">
            <w:pPr>
              <w:spacing w:after="0" w:line="240" w:lineRule="auto"/>
              <w:jc w:val="right"/>
              <w:rPr>
                <w:rFonts w:ascii="Arial" w:eastAsia="Times New Roman" w:hAnsi="Arial" w:cs="Arial"/>
                <w:color w:val="000000"/>
                <w:sz w:val="18"/>
                <w:szCs w:val="18"/>
              </w:rPr>
            </w:pPr>
            <w:r w:rsidRPr="000529AD">
              <w:rPr>
                <w:rFonts w:ascii="Arial" w:eastAsia="Times New Roman" w:hAnsi="Arial" w:cs="Arial"/>
                <w:color w:val="000000"/>
                <w:sz w:val="18"/>
                <w:szCs w:val="18"/>
              </w:rPr>
              <w:t xml:space="preserve">$11,816,021 </w:t>
            </w:r>
          </w:p>
        </w:tc>
        <w:tc>
          <w:tcPr>
            <w:tcW w:w="1260" w:type="dxa"/>
            <w:tcBorders>
              <w:top w:val="single" w:sz="18" w:space="0" w:color="auto"/>
              <w:left w:val="nil"/>
              <w:bottom w:val="single" w:sz="4" w:space="0" w:color="auto"/>
              <w:right w:val="single" w:sz="8" w:space="0" w:color="auto"/>
            </w:tcBorders>
            <w:shd w:val="clear" w:color="000000" w:fill="D9D9D9"/>
            <w:noWrap/>
            <w:vAlign w:val="center"/>
            <w:hideMark/>
          </w:tcPr>
          <w:p w14:paraId="479A833F" w14:textId="77777777" w:rsidR="00FA14A4" w:rsidRPr="000529AD" w:rsidRDefault="00FA14A4" w:rsidP="00347614">
            <w:pPr>
              <w:spacing w:after="0" w:line="240" w:lineRule="auto"/>
              <w:jc w:val="right"/>
              <w:rPr>
                <w:rFonts w:ascii="Arial" w:eastAsia="Times New Roman" w:hAnsi="Arial" w:cs="Arial"/>
                <w:color w:val="000000"/>
                <w:sz w:val="18"/>
                <w:szCs w:val="18"/>
              </w:rPr>
            </w:pPr>
            <w:r w:rsidRPr="000529AD">
              <w:rPr>
                <w:rFonts w:ascii="Arial" w:eastAsia="Times New Roman" w:hAnsi="Arial" w:cs="Arial"/>
                <w:color w:val="000000"/>
                <w:sz w:val="18"/>
                <w:szCs w:val="18"/>
              </w:rPr>
              <w:t xml:space="preserve">$3,566,293 </w:t>
            </w:r>
          </w:p>
        </w:tc>
        <w:tc>
          <w:tcPr>
            <w:tcW w:w="1260" w:type="dxa"/>
            <w:tcBorders>
              <w:top w:val="single" w:sz="18" w:space="0" w:color="auto"/>
              <w:left w:val="nil"/>
              <w:bottom w:val="single" w:sz="4" w:space="0" w:color="auto"/>
              <w:right w:val="single" w:sz="8" w:space="0" w:color="auto"/>
            </w:tcBorders>
            <w:shd w:val="clear" w:color="000000" w:fill="D9D9D9"/>
            <w:noWrap/>
            <w:vAlign w:val="center"/>
            <w:hideMark/>
          </w:tcPr>
          <w:p w14:paraId="0DA9D956" w14:textId="1A1D833B" w:rsidR="00FA14A4" w:rsidRPr="000529AD" w:rsidRDefault="00FA14A4" w:rsidP="00347614">
            <w:pPr>
              <w:spacing w:after="0" w:line="240" w:lineRule="auto"/>
              <w:jc w:val="right"/>
              <w:rPr>
                <w:rFonts w:ascii="Arial" w:eastAsia="Times New Roman" w:hAnsi="Arial" w:cs="Arial"/>
                <w:color w:val="000000"/>
                <w:sz w:val="18"/>
                <w:szCs w:val="18"/>
              </w:rPr>
            </w:pPr>
            <w:r w:rsidRPr="000529AD">
              <w:rPr>
                <w:rFonts w:ascii="Arial" w:eastAsia="Times New Roman" w:hAnsi="Arial" w:cs="Arial"/>
                <w:color w:val="000000"/>
                <w:sz w:val="18"/>
                <w:szCs w:val="18"/>
              </w:rPr>
              <w:t>$16,0</w:t>
            </w:r>
            <w:r w:rsidR="000A5385">
              <w:rPr>
                <w:rFonts w:ascii="Arial" w:eastAsia="Times New Roman" w:hAnsi="Arial" w:cs="Arial"/>
                <w:color w:val="000000"/>
                <w:sz w:val="18"/>
                <w:szCs w:val="18"/>
              </w:rPr>
              <w:t>0</w:t>
            </w:r>
            <w:r w:rsidRPr="000529AD">
              <w:rPr>
                <w:rFonts w:ascii="Arial" w:eastAsia="Times New Roman" w:hAnsi="Arial" w:cs="Arial"/>
                <w:color w:val="000000"/>
                <w:sz w:val="18"/>
                <w:szCs w:val="18"/>
              </w:rPr>
              <w:t xml:space="preserve">6,577 </w:t>
            </w:r>
          </w:p>
        </w:tc>
        <w:tc>
          <w:tcPr>
            <w:tcW w:w="1350" w:type="dxa"/>
            <w:tcBorders>
              <w:top w:val="single" w:sz="18" w:space="0" w:color="auto"/>
              <w:left w:val="nil"/>
              <w:bottom w:val="single" w:sz="4" w:space="0" w:color="auto"/>
              <w:right w:val="single" w:sz="18" w:space="0" w:color="auto"/>
            </w:tcBorders>
            <w:shd w:val="clear" w:color="000000" w:fill="A6A6A6"/>
            <w:noWrap/>
            <w:vAlign w:val="center"/>
            <w:hideMark/>
          </w:tcPr>
          <w:p w14:paraId="48037CBA" w14:textId="77777777" w:rsidR="00FA14A4" w:rsidRPr="000529AD" w:rsidRDefault="00FA14A4" w:rsidP="00347614">
            <w:pPr>
              <w:spacing w:after="0" w:line="240" w:lineRule="auto"/>
              <w:jc w:val="right"/>
              <w:rPr>
                <w:rFonts w:ascii="Arial" w:eastAsia="Times New Roman" w:hAnsi="Arial" w:cs="Arial"/>
                <w:b/>
                <w:bCs/>
                <w:color w:val="000000"/>
                <w:sz w:val="18"/>
                <w:szCs w:val="18"/>
              </w:rPr>
            </w:pPr>
            <w:r w:rsidRPr="000529AD">
              <w:rPr>
                <w:rFonts w:ascii="Arial" w:eastAsia="Times New Roman" w:hAnsi="Arial" w:cs="Arial"/>
                <w:b/>
                <w:bCs/>
                <w:color w:val="000000"/>
                <w:sz w:val="18"/>
                <w:szCs w:val="18"/>
              </w:rPr>
              <w:t xml:space="preserve">$43,005,691 </w:t>
            </w:r>
          </w:p>
        </w:tc>
      </w:tr>
      <w:tr w:rsidR="00FA14A4" w:rsidRPr="000529AD" w14:paraId="0E8D7D71" w14:textId="77777777" w:rsidTr="00347614">
        <w:trPr>
          <w:trHeight w:val="20"/>
        </w:trPr>
        <w:tc>
          <w:tcPr>
            <w:tcW w:w="980" w:type="dxa"/>
            <w:vMerge/>
            <w:tcBorders>
              <w:top w:val="nil"/>
              <w:left w:val="single" w:sz="18" w:space="0" w:color="auto"/>
              <w:bottom w:val="single" w:sz="8" w:space="0" w:color="000000"/>
              <w:right w:val="nil"/>
            </w:tcBorders>
            <w:vAlign w:val="center"/>
            <w:hideMark/>
          </w:tcPr>
          <w:p w14:paraId="25C2DD86" w14:textId="77777777" w:rsidR="00FA14A4" w:rsidRPr="003110C4" w:rsidRDefault="00FA14A4" w:rsidP="00347614">
            <w:pPr>
              <w:spacing w:after="0" w:line="240" w:lineRule="auto"/>
              <w:rPr>
                <w:rFonts w:ascii="Arial" w:eastAsia="Times New Roman" w:hAnsi="Arial" w:cs="Arial"/>
                <w:b/>
                <w:bCs/>
                <w:color w:val="000000"/>
                <w:sz w:val="18"/>
                <w:szCs w:val="18"/>
              </w:rPr>
            </w:pPr>
          </w:p>
        </w:tc>
        <w:tc>
          <w:tcPr>
            <w:tcW w:w="2610" w:type="dxa"/>
            <w:tcBorders>
              <w:top w:val="nil"/>
              <w:left w:val="single" w:sz="8" w:space="0" w:color="auto"/>
              <w:bottom w:val="single" w:sz="4" w:space="0" w:color="auto"/>
              <w:right w:val="nil"/>
            </w:tcBorders>
            <w:shd w:val="clear" w:color="000000" w:fill="F2F2F2"/>
            <w:noWrap/>
            <w:vAlign w:val="center"/>
            <w:hideMark/>
          </w:tcPr>
          <w:p w14:paraId="3FB93439" w14:textId="01180801" w:rsidR="00FA14A4" w:rsidRPr="003110C4" w:rsidRDefault="008A75D3" w:rsidP="00347614">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Year-End</w:t>
            </w:r>
            <w:r w:rsidRPr="003110C4">
              <w:rPr>
                <w:rFonts w:ascii="Arial" w:eastAsia="Times New Roman" w:hAnsi="Arial" w:cs="Arial"/>
                <w:b/>
                <w:bCs/>
                <w:color w:val="000000"/>
                <w:sz w:val="18"/>
                <w:szCs w:val="18"/>
              </w:rPr>
              <w:t xml:space="preserve"> </w:t>
            </w:r>
            <w:r w:rsidR="00FA14A4" w:rsidRPr="003110C4">
              <w:rPr>
                <w:rFonts w:ascii="Arial" w:eastAsia="Times New Roman" w:hAnsi="Arial" w:cs="Arial"/>
                <w:b/>
                <w:bCs/>
                <w:color w:val="000000"/>
                <w:sz w:val="18"/>
                <w:szCs w:val="18"/>
              </w:rPr>
              <w:t>Inventory Balances</w:t>
            </w:r>
          </w:p>
        </w:tc>
        <w:tc>
          <w:tcPr>
            <w:tcW w:w="1260" w:type="dxa"/>
            <w:tcBorders>
              <w:top w:val="nil"/>
              <w:left w:val="single" w:sz="8" w:space="0" w:color="auto"/>
              <w:bottom w:val="single" w:sz="4" w:space="0" w:color="auto"/>
              <w:right w:val="single" w:sz="8" w:space="0" w:color="auto"/>
            </w:tcBorders>
            <w:shd w:val="clear" w:color="000000" w:fill="D9D9D9"/>
            <w:noWrap/>
            <w:vAlign w:val="center"/>
            <w:hideMark/>
          </w:tcPr>
          <w:p w14:paraId="3F1540AE" w14:textId="77777777" w:rsidR="00FA14A4" w:rsidRPr="003110C4" w:rsidRDefault="00FA14A4" w:rsidP="00347614">
            <w:pPr>
              <w:spacing w:after="0" w:line="240" w:lineRule="auto"/>
              <w:jc w:val="right"/>
              <w:rPr>
                <w:rFonts w:ascii="Arial" w:eastAsia="Times New Roman" w:hAnsi="Arial" w:cs="Arial"/>
                <w:color w:val="000000"/>
                <w:sz w:val="18"/>
                <w:szCs w:val="18"/>
              </w:rPr>
            </w:pPr>
            <w:r w:rsidRPr="003110C4">
              <w:rPr>
                <w:rFonts w:ascii="Arial" w:eastAsia="Times New Roman" w:hAnsi="Arial" w:cs="Arial"/>
                <w:color w:val="000000"/>
                <w:sz w:val="18"/>
                <w:szCs w:val="18"/>
              </w:rPr>
              <w:t xml:space="preserve">$9,659,460 </w:t>
            </w:r>
          </w:p>
        </w:tc>
        <w:tc>
          <w:tcPr>
            <w:tcW w:w="1260" w:type="dxa"/>
            <w:tcBorders>
              <w:top w:val="nil"/>
              <w:left w:val="nil"/>
              <w:bottom w:val="single" w:sz="4" w:space="0" w:color="auto"/>
              <w:right w:val="single" w:sz="8" w:space="0" w:color="auto"/>
            </w:tcBorders>
            <w:shd w:val="clear" w:color="000000" w:fill="D9D9D9"/>
            <w:vAlign w:val="center"/>
            <w:hideMark/>
          </w:tcPr>
          <w:p w14:paraId="2D5F221D" w14:textId="77777777" w:rsidR="00FA14A4" w:rsidRPr="003110C4" w:rsidRDefault="00FA14A4" w:rsidP="00347614">
            <w:pPr>
              <w:spacing w:after="0" w:line="240" w:lineRule="auto"/>
              <w:jc w:val="right"/>
              <w:rPr>
                <w:rFonts w:ascii="Arial" w:eastAsia="Times New Roman" w:hAnsi="Arial" w:cs="Arial"/>
                <w:color w:val="000000"/>
                <w:sz w:val="18"/>
                <w:szCs w:val="18"/>
              </w:rPr>
            </w:pPr>
            <w:r w:rsidRPr="003110C4">
              <w:rPr>
                <w:rFonts w:ascii="Arial" w:eastAsia="Times New Roman" w:hAnsi="Arial" w:cs="Arial"/>
                <w:color w:val="000000"/>
                <w:sz w:val="18"/>
                <w:szCs w:val="18"/>
              </w:rPr>
              <w:t xml:space="preserve">$9,976,408 </w:t>
            </w:r>
          </w:p>
        </w:tc>
        <w:tc>
          <w:tcPr>
            <w:tcW w:w="1260" w:type="dxa"/>
            <w:tcBorders>
              <w:top w:val="nil"/>
              <w:left w:val="nil"/>
              <w:bottom w:val="single" w:sz="4" w:space="0" w:color="auto"/>
              <w:right w:val="single" w:sz="8" w:space="0" w:color="auto"/>
            </w:tcBorders>
            <w:shd w:val="clear" w:color="000000" w:fill="D9D9D9"/>
            <w:noWrap/>
            <w:vAlign w:val="center"/>
            <w:hideMark/>
          </w:tcPr>
          <w:p w14:paraId="35AC7047" w14:textId="77777777" w:rsidR="00FA14A4" w:rsidRPr="003110C4" w:rsidRDefault="00FA14A4" w:rsidP="00347614">
            <w:pPr>
              <w:spacing w:after="0" w:line="240" w:lineRule="auto"/>
              <w:jc w:val="right"/>
              <w:rPr>
                <w:rFonts w:ascii="Arial" w:eastAsia="Times New Roman" w:hAnsi="Arial" w:cs="Arial"/>
                <w:color w:val="000000"/>
                <w:sz w:val="18"/>
                <w:szCs w:val="18"/>
              </w:rPr>
            </w:pPr>
            <w:r w:rsidRPr="003110C4">
              <w:rPr>
                <w:rFonts w:ascii="Arial" w:eastAsia="Times New Roman" w:hAnsi="Arial" w:cs="Arial"/>
                <w:color w:val="000000"/>
                <w:sz w:val="18"/>
                <w:szCs w:val="18"/>
              </w:rPr>
              <w:t xml:space="preserve">$1,673,478 </w:t>
            </w:r>
          </w:p>
        </w:tc>
        <w:tc>
          <w:tcPr>
            <w:tcW w:w="1260" w:type="dxa"/>
            <w:tcBorders>
              <w:top w:val="nil"/>
              <w:left w:val="nil"/>
              <w:bottom w:val="single" w:sz="4" w:space="0" w:color="auto"/>
              <w:right w:val="single" w:sz="8" w:space="0" w:color="auto"/>
            </w:tcBorders>
            <w:shd w:val="clear" w:color="000000" w:fill="D9D9D9"/>
            <w:noWrap/>
            <w:vAlign w:val="center"/>
            <w:hideMark/>
          </w:tcPr>
          <w:p w14:paraId="335C210C" w14:textId="77777777" w:rsidR="00FA14A4" w:rsidRPr="003110C4" w:rsidRDefault="00FA14A4" w:rsidP="00347614">
            <w:pPr>
              <w:spacing w:after="0" w:line="240" w:lineRule="auto"/>
              <w:jc w:val="right"/>
              <w:rPr>
                <w:rFonts w:ascii="Arial" w:eastAsia="Times New Roman" w:hAnsi="Arial" w:cs="Arial"/>
                <w:color w:val="000000"/>
                <w:sz w:val="18"/>
                <w:szCs w:val="18"/>
              </w:rPr>
            </w:pPr>
            <w:r w:rsidRPr="003110C4">
              <w:rPr>
                <w:rFonts w:ascii="Arial" w:eastAsia="Times New Roman" w:hAnsi="Arial" w:cs="Arial"/>
                <w:color w:val="000000"/>
                <w:sz w:val="18"/>
                <w:szCs w:val="18"/>
              </w:rPr>
              <w:t xml:space="preserve">$9,123,914 </w:t>
            </w:r>
          </w:p>
        </w:tc>
        <w:tc>
          <w:tcPr>
            <w:tcW w:w="1350" w:type="dxa"/>
            <w:tcBorders>
              <w:top w:val="nil"/>
              <w:left w:val="nil"/>
              <w:bottom w:val="single" w:sz="4" w:space="0" w:color="auto"/>
              <w:right w:val="single" w:sz="18" w:space="0" w:color="auto"/>
            </w:tcBorders>
            <w:shd w:val="clear" w:color="000000" w:fill="A6A6A6"/>
            <w:noWrap/>
            <w:vAlign w:val="center"/>
            <w:hideMark/>
          </w:tcPr>
          <w:p w14:paraId="706C873F" w14:textId="77777777" w:rsidR="00FA14A4" w:rsidRPr="003110C4" w:rsidRDefault="00FA14A4" w:rsidP="00347614">
            <w:pPr>
              <w:spacing w:after="0" w:line="240" w:lineRule="auto"/>
              <w:jc w:val="right"/>
              <w:rPr>
                <w:rFonts w:ascii="Arial" w:eastAsia="Times New Roman" w:hAnsi="Arial" w:cs="Arial"/>
                <w:b/>
                <w:bCs/>
                <w:color w:val="000000"/>
                <w:sz w:val="18"/>
                <w:szCs w:val="18"/>
              </w:rPr>
            </w:pPr>
            <w:r w:rsidRPr="003110C4">
              <w:rPr>
                <w:rFonts w:ascii="Arial" w:eastAsia="Times New Roman" w:hAnsi="Arial" w:cs="Arial"/>
                <w:b/>
                <w:bCs/>
                <w:color w:val="000000"/>
                <w:sz w:val="18"/>
                <w:szCs w:val="18"/>
              </w:rPr>
              <w:t xml:space="preserve">$30,433,260 </w:t>
            </w:r>
          </w:p>
        </w:tc>
      </w:tr>
      <w:tr w:rsidR="00FA14A4" w:rsidRPr="000529AD" w14:paraId="1E922356" w14:textId="77777777" w:rsidTr="00347614">
        <w:trPr>
          <w:trHeight w:val="20"/>
        </w:trPr>
        <w:tc>
          <w:tcPr>
            <w:tcW w:w="980" w:type="dxa"/>
            <w:vMerge/>
            <w:tcBorders>
              <w:top w:val="nil"/>
              <w:left w:val="single" w:sz="18" w:space="0" w:color="auto"/>
              <w:bottom w:val="single" w:sz="8" w:space="0" w:color="000000"/>
              <w:right w:val="nil"/>
            </w:tcBorders>
            <w:vAlign w:val="center"/>
            <w:hideMark/>
          </w:tcPr>
          <w:p w14:paraId="65120DC6" w14:textId="77777777" w:rsidR="00FA14A4" w:rsidRPr="003110C4" w:rsidRDefault="00FA14A4" w:rsidP="00347614">
            <w:pPr>
              <w:spacing w:after="0" w:line="240" w:lineRule="auto"/>
              <w:rPr>
                <w:rFonts w:ascii="Arial" w:eastAsia="Times New Roman" w:hAnsi="Arial" w:cs="Arial"/>
                <w:b/>
                <w:bCs/>
                <w:color w:val="000000"/>
                <w:sz w:val="18"/>
                <w:szCs w:val="18"/>
              </w:rPr>
            </w:pPr>
          </w:p>
        </w:tc>
        <w:tc>
          <w:tcPr>
            <w:tcW w:w="2610" w:type="dxa"/>
            <w:tcBorders>
              <w:top w:val="nil"/>
              <w:left w:val="single" w:sz="8" w:space="0" w:color="auto"/>
              <w:bottom w:val="single" w:sz="4" w:space="0" w:color="auto"/>
              <w:right w:val="nil"/>
            </w:tcBorders>
            <w:shd w:val="clear" w:color="000000" w:fill="FCD5B4"/>
            <w:noWrap/>
            <w:vAlign w:val="center"/>
            <w:hideMark/>
          </w:tcPr>
          <w:p w14:paraId="00A747D7" w14:textId="77777777" w:rsidR="00FA14A4" w:rsidRPr="003110C4" w:rsidRDefault="00FA14A4" w:rsidP="00347614">
            <w:pPr>
              <w:spacing w:after="0" w:line="240" w:lineRule="auto"/>
              <w:rPr>
                <w:rFonts w:ascii="Arial" w:eastAsia="Times New Roman" w:hAnsi="Arial" w:cs="Arial"/>
                <w:b/>
                <w:bCs/>
                <w:color w:val="000000"/>
                <w:sz w:val="18"/>
                <w:szCs w:val="18"/>
              </w:rPr>
            </w:pPr>
            <w:r w:rsidRPr="003110C4">
              <w:rPr>
                <w:rFonts w:ascii="Arial" w:eastAsia="Times New Roman" w:hAnsi="Arial" w:cs="Arial"/>
                <w:b/>
                <w:bCs/>
                <w:color w:val="000000"/>
                <w:sz w:val="18"/>
                <w:szCs w:val="18"/>
              </w:rPr>
              <w:t>Inventory Turnover Levels</w:t>
            </w:r>
          </w:p>
        </w:tc>
        <w:tc>
          <w:tcPr>
            <w:tcW w:w="1260" w:type="dxa"/>
            <w:tcBorders>
              <w:top w:val="nil"/>
              <w:left w:val="single" w:sz="8" w:space="0" w:color="auto"/>
              <w:bottom w:val="single" w:sz="4" w:space="0" w:color="auto"/>
              <w:right w:val="single" w:sz="8" w:space="0" w:color="auto"/>
            </w:tcBorders>
            <w:shd w:val="clear" w:color="000000" w:fill="FABF8F"/>
            <w:noWrap/>
            <w:vAlign w:val="center"/>
            <w:hideMark/>
          </w:tcPr>
          <w:p w14:paraId="2C7BAD97" w14:textId="77777777" w:rsidR="00FA14A4" w:rsidRPr="003110C4" w:rsidRDefault="00FA14A4" w:rsidP="00347614">
            <w:pPr>
              <w:spacing w:after="0" w:line="240" w:lineRule="auto"/>
              <w:jc w:val="center"/>
              <w:rPr>
                <w:rFonts w:ascii="Arial" w:eastAsia="Times New Roman" w:hAnsi="Arial" w:cs="Arial"/>
                <w:b/>
                <w:bCs/>
                <w:color w:val="000000"/>
                <w:sz w:val="18"/>
                <w:szCs w:val="18"/>
              </w:rPr>
            </w:pPr>
            <w:r w:rsidRPr="003110C4">
              <w:rPr>
                <w:rFonts w:ascii="Arial" w:eastAsia="Times New Roman" w:hAnsi="Arial" w:cs="Arial"/>
                <w:b/>
                <w:bCs/>
                <w:color w:val="000000"/>
                <w:sz w:val="18"/>
                <w:szCs w:val="18"/>
              </w:rPr>
              <w:t>1.20</w:t>
            </w:r>
          </w:p>
        </w:tc>
        <w:tc>
          <w:tcPr>
            <w:tcW w:w="1260" w:type="dxa"/>
            <w:tcBorders>
              <w:top w:val="nil"/>
              <w:left w:val="nil"/>
              <w:bottom w:val="single" w:sz="4" w:space="0" w:color="auto"/>
              <w:right w:val="single" w:sz="8" w:space="0" w:color="auto"/>
            </w:tcBorders>
            <w:shd w:val="clear" w:color="000000" w:fill="FABF8F"/>
            <w:noWrap/>
            <w:vAlign w:val="center"/>
            <w:hideMark/>
          </w:tcPr>
          <w:p w14:paraId="1FBF5353" w14:textId="77777777" w:rsidR="00FA14A4" w:rsidRPr="003110C4" w:rsidRDefault="00FA14A4" w:rsidP="00347614">
            <w:pPr>
              <w:spacing w:after="0" w:line="240" w:lineRule="auto"/>
              <w:jc w:val="center"/>
              <w:rPr>
                <w:rFonts w:ascii="Arial" w:eastAsia="Times New Roman" w:hAnsi="Arial" w:cs="Arial"/>
                <w:b/>
                <w:bCs/>
                <w:color w:val="000000"/>
                <w:sz w:val="18"/>
                <w:szCs w:val="18"/>
              </w:rPr>
            </w:pPr>
            <w:r w:rsidRPr="003110C4">
              <w:rPr>
                <w:rFonts w:ascii="Arial" w:eastAsia="Times New Roman" w:hAnsi="Arial" w:cs="Arial"/>
                <w:b/>
                <w:bCs/>
                <w:color w:val="000000"/>
                <w:sz w:val="18"/>
                <w:szCs w:val="18"/>
              </w:rPr>
              <w:t>1.18</w:t>
            </w:r>
          </w:p>
        </w:tc>
        <w:tc>
          <w:tcPr>
            <w:tcW w:w="1260" w:type="dxa"/>
            <w:tcBorders>
              <w:top w:val="nil"/>
              <w:left w:val="nil"/>
              <w:bottom w:val="single" w:sz="4" w:space="0" w:color="auto"/>
              <w:right w:val="single" w:sz="8" w:space="0" w:color="auto"/>
            </w:tcBorders>
            <w:shd w:val="clear" w:color="000000" w:fill="FABF8F"/>
            <w:noWrap/>
            <w:vAlign w:val="center"/>
            <w:hideMark/>
          </w:tcPr>
          <w:p w14:paraId="09EC517D" w14:textId="77777777" w:rsidR="00FA14A4" w:rsidRPr="003110C4" w:rsidRDefault="00FA14A4" w:rsidP="00347614">
            <w:pPr>
              <w:spacing w:after="0" w:line="240" w:lineRule="auto"/>
              <w:jc w:val="center"/>
              <w:rPr>
                <w:rFonts w:ascii="Arial" w:eastAsia="Times New Roman" w:hAnsi="Arial" w:cs="Arial"/>
                <w:b/>
                <w:bCs/>
                <w:color w:val="000000"/>
                <w:sz w:val="18"/>
                <w:szCs w:val="18"/>
              </w:rPr>
            </w:pPr>
            <w:r w:rsidRPr="003110C4">
              <w:rPr>
                <w:rFonts w:ascii="Arial" w:eastAsia="Times New Roman" w:hAnsi="Arial" w:cs="Arial"/>
                <w:b/>
                <w:bCs/>
                <w:color w:val="000000"/>
                <w:sz w:val="18"/>
                <w:szCs w:val="18"/>
              </w:rPr>
              <w:t>2.13</w:t>
            </w:r>
          </w:p>
        </w:tc>
        <w:tc>
          <w:tcPr>
            <w:tcW w:w="1260" w:type="dxa"/>
            <w:tcBorders>
              <w:top w:val="nil"/>
              <w:left w:val="nil"/>
              <w:bottom w:val="single" w:sz="4" w:space="0" w:color="auto"/>
              <w:right w:val="single" w:sz="8" w:space="0" w:color="auto"/>
            </w:tcBorders>
            <w:shd w:val="clear" w:color="000000" w:fill="FABF8F"/>
            <w:noWrap/>
            <w:vAlign w:val="center"/>
            <w:hideMark/>
          </w:tcPr>
          <w:p w14:paraId="49FED854" w14:textId="3193BAC9" w:rsidR="00FA14A4" w:rsidRPr="003110C4" w:rsidRDefault="00FA14A4" w:rsidP="00347614">
            <w:pPr>
              <w:spacing w:after="0" w:line="240" w:lineRule="auto"/>
              <w:jc w:val="center"/>
              <w:rPr>
                <w:rFonts w:ascii="Arial" w:eastAsia="Times New Roman" w:hAnsi="Arial" w:cs="Arial"/>
                <w:b/>
                <w:bCs/>
                <w:color w:val="000000"/>
                <w:sz w:val="18"/>
                <w:szCs w:val="18"/>
              </w:rPr>
            </w:pPr>
            <w:r w:rsidRPr="003110C4">
              <w:rPr>
                <w:rFonts w:ascii="Arial" w:eastAsia="Times New Roman" w:hAnsi="Arial" w:cs="Arial"/>
                <w:b/>
                <w:bCs/>
                <w:color w:val="000000"/>
                <w:sz w:val="18"/>
                <w:szCs w:val="18"/>
              </w:rPr>
              <w:t>1.7</w:t>
            </w:r>
            <w:r w:rsidR="000A5385">
              <w:rPr>
                <w:rFonts w:ascii="Arial" w:eastAsia="Times New Roman" w:hAnsi="Arial" w:cs="Arial"/>
                <w:b/>
                <w:bCs/>
                <w:color w:val="000000"/>
                <w:sz w:val="18"/>
                <w:szCs w:val="18"/>
              </w:rPr>
              <w:t>5</w:t>
            </w:r>
          </w:p>
        </w:tc>
        <w:tc>
          <w:tcPr>
            <w:tcW w:w="1350" w:type="dxa"/>
            <w:tcBorders>
              <w:top w:val="nil"/>
              <w:left w:val="nil"/>
              <w:bottom w:val="single" w:sz="4" w:space="0" w:color="auto"/>
              <w:right w:val="single" w:sz="18" w:space="0" w:color="auto"/>
            </w:tcBorders>
            <w:shd w:val="clear" w:color="000000" w:fill="ED7D31"/>
            <w:noWrap/>
            <w:vAlign w:val="center"/>
            <w:hideMark/>
          </w:tcPr>
          <w:p w14:paraId="50BDDB47" w14:textId="77777777" w:rsidR="00FA14A4" w:rsidRPr="003110C4" w:rsidRDefault="00FA14A4" w:rsidP="00347614">
            <w:pPr>
              <w:spacing w:after="0" w:line="240" w:lineRule="auto"/>
              <w:jc w:val="center"/>
              <w:rPr>
                <w:rFonts w:ascii="Arial" w:eastAsia="Times New Roman" w:hAnsi="Arial" w:cs="Arial"/>
                <w:b/>
                <w:bCs/>
                <w:color w:val="000000"/>
                <w:sz w:val="18"/>
                <w:szCs w:val="18"/>
              </w:rPr>
            </w:pPr>
            <w:r w:rsidRPr="003110C4">
              <w:rPr>
                <w:rFonts w:ascii="Arial" w:eastAsia="Times New Roman" w:hAnsi="Arial" w:cs="Arial"/>
                <w:b/>
                <w:bCs/>
                <w:color w:val="000000"/>
                <w:sz w:val="18"/>
                <w:szCs w:val="18"/>
              </w:rPr>
              <w:t>1.41</w:t>
            </w:r>
          </w:p>
        </w:tc>
      </w:tr>
      <w:tr w:rsidR="00FA14A4" w:rsidRPr="000529AD" w14:paraId="416C0374" w14:textId="77777777" w:rsidTr="00347614">
        <w:trPr>
          <w:trHeight w:val="20"/>
        </w:trPr>
        <w:tc>
          <w:tcPr>
            <w:tcW w:w="980" w:type="dxa"/>
            <w:vMerge/>
            <w:tcBorders>
              <w:top w:val="nil"/>
              <w:left w:val="single" w:sz="18" w:space="0" w:color="auto"/>
              <w:bottom w:val="single" w:sz="8" w:space="0" w:color="000000"/>
              <w:right w:val="nil"/>
            </w:tcBorders>
            <w:vAlign w:val="center"/>
            <w:hideMark/>
          </w:tcPr>
          <w:p w14:paraId="67626D56" w14:textId="77777777" w:rsidR="00FA14A4" w:rsidRPr="003110C4" w:rsidRDefault="00FA14A4" w:rsidP="00347614">
            <w:pPr>
              <w:spacing w:after="0" w:line="240" w:lineRule="auto"/>
              <w:rPr>
                <w:rFonts w:ascii="Arial" w:eastAsia="Times New Roman" w:hAnsi="Arial" w:cs="Arial"/>
                <w:b/>
                <w:bCs/>
                <w:color w:val="000000"/>
                <w:sz w:val="18"/>
                <w:szCs w:val="18"/>
              </w:rPr>
            </w:pPr>
          </w:p>
        </w:tc>
        <w:tc>
          <w:tcPr>
            <w:tcW w:w="2610" w:type="dxa"/>
            <w:tcBorders>
              <w:top w:val="nil"/>
              <w:left w:val="single" w:sz="8" w:space="0" w:color="auto"/>
              <w:bottom w:val="single" w:sz="4" w:space="0" w:color="auto"/>
              <w:right w:val="nil"/>
            </w:tcBorders>
            <w:shd w:val="clear" w:color="000000" w:fill="F2F2F2"/>
            <w:vAlign w:val="center"/>
            <w:hideMark/>
          </w:tcPr>
          <w:p w14:paraId="460966F1" w14:textId="56681CD3" w:rsidR="00FA14A4" w:rsidRPr="003110C4" w:rsidRDefault="008A75D3" w:rsidP="00347614">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Year-End</w:t>
            </w:r>
            <w:r w:rsidR="00FA14A4" w:rsidRPr="003110C4">
              <w:rPr>
                <w:rFonts w:ascii="Arial" w:eastAsia="Times New Roman" w:hAnsi="Arial" w:cs="Arial"/>
                <w:b/>
                <w:bCs/>
                <w:color w:val="000000"/>
                <w:sz w:val="18"/>
                <w:szCs w:val="18"/>
              </w:rPr>
              <w:t xml:space="preserve"> Balance if Turnover was Equal to Performance in 2013</w:t>
            </w:r>
          </w:p>
        </w:tc>
        <w:tc>
          <w:tcPr>
            <w:tcW w:w="1260" w:type="dxa"/>
            <w:tcBorders>
              <w:top w:val="nil"/>
              <w:left w:val="single" w:sz="8" w:space="0" w:color="auto"/>
              <w:bottom w:val="single" w:sz="4" w:space="0" w:color="auto"/>
              <w:right w:val="single" w:sz="8" w:space="0" w:color="auto"/>
            </w:tcBorders>
            <w:shd w:val="clear" w:color="000000" w:fill="D9D9D9"/>
            <w:noWrap/>
            <w:vAlign w:val="center"/>
            <w:hideMark/>
          </w:tcPr>
          <w:p w14:paraId="71BEF833" w14:textId="77777777" w:rsidR="00FA14A4" w:rsidRPr="003110C4" w:rsidRDefault="00FA14A4" w:rsidP="00347614">
            <w:pPr>
              <w:spacing w:after="0" w:line="240" w:lineRule="auto"/>
              <w:jc w:val="right"/>
              <w:rPr>
                <w:rFonts w:ascii="Arial" w:eastAsia="Times New Roman" w:hAnsi="Arial" w:cs="Arial"/>
                <w:color w:val="000000"/>
                <w:sz w:val="18"/>
                <w:szCs w:val="18"/>
              </w:rPr>
            </w:pPr>
            <w:r w:rsidRPr="003110C4">
              <w:rPr>
                <w:rFonts w:ascii="Arial" w:eastAsia="Times New Roman" w:hAnsi="Arial" w:cs="Arial"/>
                <w:color w:val="000000"/>
                <w:sz w:val="18"/>
                <w:szCs w:val="18"/>
              </w:rPr>
              <w:t xml:space="preserve">$10,281,366 </w:t>
            </w:r>
          </w:p>
        </w:tc>
        <w:tc>
          <w:tcPr>
            <w:tcW w:w="1260" w:type="dxa"/>
            <w:tcBorders>
              <w:top w:val="nil"/>
              <w:left w:val="nil"/>
              <w:bottom w:val="single" w:sz="4" w:space="0" w:color="auto"/>
              <w:right w:val="single" w:sz="8" w:space="0" w:color="auto"/>
            </w:tcBorders>
            <w:shd w:val="clear" w:color="000000" w:fill="D9D9D9"/>
            <w:noWrap/>
            <w:vAlign w:val="center"/>
            <w:hideMark/>
          </w:tcPr>
          <w:p w14:paraId="4644B5C3" w14:textId="77777777" w:rsidR="00FA14A4" w:rsidRPr="003110C4" w:rsidRDefault="00FA14A4" w:rsidP="00347614">
            <w:pPr>
              <w:spacing w:after="0" w:line="240" w:lineRule="auto"/>
              <w:jc w:val="right"/>
              <w:rPr>
                <w:rFonts w:ascii="Arial" w:eastAsia="Times New Roman" w:hAnsi="Arial" w:cs="Arial"/>
                <w:color w:val="000000"/>
                <w:sz w:val="18"/>
                <w:szCs w:val="18"/>
              </w:rPr>
            </w:pPr>
            <w:r w:rsidRPr="003110C4">
              <w:rPr>
                <w:rFonts w:ascii="Arial" w:eastAsia="Times New Roman" w:hAnsi="Arial" w:cs="Arial"/>
                <w:color w:val="000000"/>
                <w:sz w:val="18"/>
                <w:szCs w:val="18"/>
              </w:rPr>
              <w:t xml:space="preserve">$12,710,893 </w:t>
            </w:r>
          </w:p>
        </w:tc>
        <w:tc>
          <w:tcPr>
            <w:tcW w:w="1260" w:type="dxa"/>
            <w:tcBorders>
              <w:top w:val="nil"/>
              <w:left w:val="nil"/>
              <w:bottom w:val="single" w:sz="4" w:space="0" w:color="auto"/>
              <w:right w:val="single" w:sz="8" w:space="0" w:color="auto"/>
            </w:tcBorders>
            <w:shd w:val="clear" w:color="000000" w:fill="D9D9D9"/>
            <w:noWrap/>
            <w:vAlign w:val="center"/>
            <w:hideMark/>
          </w:tcPr>
          <w:p w14:paraId="54FDCFC8" w14:textId="77777777" w:rsidR="00FA14A4" w:rsidRPr="003110C4" w:rsidRDefault="00FA14A4" w:rsidP="00347614">
            <w:pPr>
              <w:spacing w:after="0" w:line="240" w:lineRule="auto"/>
              <w:jc w:val="right"/>
              <w:rPr>
                <w:rFonts w:ascii="Arial" w:eastAsia="Times New Roman" w:hAnsi="Arial" w:cs="Arial"/>
                <w:color w:val="000000"/>
                <w:sz w:val="18"/>
                <w:szCs w:val="18"/>
              </w:rPr>
            </w:pPr>
            <w:r w:rsidRPr="003110C4">
              <w:rPr>
                <w:rFonts w:ascii="Arial" w:eastAsia="Times New Roman" w:hAnsi="Arial" w:cs="Arial"/>
                <w:color w:val="000000"/>
                <w:sz w:val="18"/>
                <w:szCs w:val="18"/>
              </w:rPr>
              <w:t xml:space="preserve">$1,990,708 </w:t>
            </w:r>
          </w:p>
        </w:tc>
        <w:tc>
          <w:tcPr>
            <w:tcW w:w="1260" w:type="dxa"/>
            <w:tcBorders>
              <w:top w:val="nil"/>
              <w:left w:val="nil"/>
              <w:bottom w:val="single" w:sz="4" w:space="0" w:color="auto"/>
              <w:right w:val="single" w:sz="8" w:space="0" w:color="auto"/>
            </w:tcBorders>
            <w:shd w:val="clear" w:color="000000" w:fill="D9D9D9"/>
            <w:noWrap/>
            <w:vAlign w:val="center"/>
            <w:hideMark/>
          </w:tcPr>
          <w:p w14:paraId="2819129C" w14:textId="77777777" w:rsidR="00FA14A4" w:rsidRPr="003110C4" w:rsidRDefault="00FA14A4" w:rsidP="00347614">
            <w:pPr>
              <w:spacing w:after="0" w:line="240" w:lineRule="auto"/>
              <w:jc w:val="right"/>
              <w:rPr>
                <w:rFonts w:ascii="Arial" w:eastAsia="Times New Roman" w:hAnsi="Arial" w:cs="Arial"/>
                <w:color w:val="000000"/>
                <w:sz w:val="18"/>
                <w:szCs w:val="18"/>
              </w:rPr>
            </w:pPr>
            <w:r w:rsidRPr="003110C4">
              <w:rPr>
                <w:rFonts w:ascii="Arial" w:eastAsia="Times New Roman" w:hAnsi="Arial" w:cs="Arial"/>
                <w:color w:val="000000"/>
                <w:sz w:val="18"/>
                <w:szCs w:val="18"/>
              </w:rPr>
              <w:t xml:space="preserve">$19,551,266 </w:t>
            </w:r>
          </w:p>
        </w:tc>
        <w:tc>
          <w:tcPr>
            <w:tcW w:w="1350" w:type="dxa"/>
            <w:tcBorders>
              <w:top w:val="nil"/>
              <w:left w:val="nil"/>
              <w:bottom w:val="single" w:sz="4" w:space="0" w:color="auto"/>
              <w:right w:val="single" w:sz="18" w:space="0" w:color="auto"/>
            </w:tcBorders>
            <w:shd w:val="clear" w:color="000000" w:fill="A6A6A6"/>
            <w:noWrap/>
            <w:vAlign w:val="center"/>
            <w:hideMark/>
          </w:tcPr>
          <w:p w14:paraId="64EBB42D" w14:textId="77777777" w:rsidR="00FA14A4" w:rsidRPr="003110C4" w:rsidRDefault="00FA14A4" w:rsidP="00347614">
            <w:pPr>
              <w:spacing w:after="0" w:line="240" w:lineRule="auto"/>
              <w:jc w:val="right"/>
              <w:rPr>
                <w:rFonts w:ascii="Arial" w:eastAsia="Times New Roman" w:hAnsi="Arial" w:cs="Arial"/>
                <w:b/>
                <w:bCs/>
                <w:color w:val="000000"/>
                <w:sz w:val="18"/>
                <w:szCs w:val="18"/>
              </w:rPr>
            </w:pPr>
            <w:r w:rsidRPr="003110C4">
              <w:rPr>
                <w:rFonts w:ascii="Arial" w:eastAsia="Times New Roman" w:hAnsi="Arial" w:cs="Arial"/>
                <w:b/>
                <w:bCs/>
                <w:color w:val="000000"/>
                <w:sz w:val="18"/>
                <w:szCs w:val="18"/>
              </w:rPr>
              <w:t xml:space="preserve">$44,534,232 </w:t>
            </w:r>
          </w:p>
        </w:tc>
      </w:tr>
      <w:tr w:rsidR="00FA14A4" w:rsidRPr="000529AD" w14:paraId="679FF100" w14:textId="77777777" w:rsidTr="00347614">
        <w:trPr>
          <w:trHeight w:val="20"/>
        </w:trPr>
        <w:tc>
          <w:tcPr>
            <w:tcW w:w="980" w:type="dxa"/>
            <w:vMerge/>
            <w:tcBorders>
              <w:top w:val="nil"/>
              <w:left w:val="single" w:sz="18" w:space="0" w:color="auto"/>
              <w:bottom w:val="single" w:sz="18" w:space="0" w:color="auto"/>
              <w:right w:val="nil"/>
            </w:tcBorders>
            <w:vAlign w:val="center"/>
            <w:hideMark/>
          </w:tcPr>
          <w:p w14:paraId="67CD6290" w14:textId="77777777" w:rsidR="00FA14A4" w:rsidRPr="003110C4" w:rsidRDefault="00FA14A4" w:rsidP="00347614">
            <w:pPr>
              <w:spacing w:after="0" w:line="240" w:lineRule="auto"/>
              <w:rPr>
                <w:rFonts w:ascii="Arial" w:eastAsia="Times New Roman" w:hAnsi="Arial" w:cs="Arial"/>
                <w:b/>
                <w:bCs/>
                <w:color w:val="000000"/>
                <w:sz w:val="18"/>
                <w:szCs w:val="18"/>
              </w:rPr>
            </w:pPr>
          </w:p>
        </w:tc>
        <w:tc>
          <w:tcPr>
            <w:tcW w:w="2610" w:type="dxa"/>
            <w:tcBorders>
              <w:top w:val="nil"/>
              <w:left w:val="single" w:sz="8" w:space="0" w:color="auto"/>
              <w:bottom w:val="single" w:sz="18" w:space="0" w:color="auto"/>
              <w:right w:val="nil"/>
            </w:tcBorders>
            <w:shd w:val="clear" w:color="000000" w:fill="F2F2F2"/>
            <w:vAlign w:val="center"/>
            <w:hideMark/>
          </w:tcPr>
          <w:p w14:paraId="4D4B1DF5" w14:textId="77777777" w:rsidR="00FA14A4" w:rsidRPr="003110C4" w:rsidRDefault="00FA14A4" w:rsidP="00347614">
            <w:pPr>
              <w:spacing w:after="0" w:line="240" w:lineRule="auto"/>
              <w:rPr>
                <w:rFonts w:ascii="Arial" w:eastAsia="Times New Roman" w:hAnsi="Arial" w:cs="Arial"/>
                <w:b/>
                <w:bCs/>
                <w:color w:val="000000"/>
                <w:sz w:val="18"/>
                <w:szCs w:val="18"/>
              </w:rPr>
            </w:pPr>
            <w:r w:rsidRPr="003110C4">
              <w:rPr>
                <w:rFonts w:ascii="Arial" w:eastAsia="Times New Roman" w:hAnsi="Arial" w:cs="Arial"/>
                <w:b/>
                <w:bCs/>
                <w:color w:val="000000"/>
                <w:sz w:val="18"/>
                <w:szCs w:val="18"/>
              </w:rPr>
              <w:t>One-Time Savings</w:t>
            </w:r>
          </w:p>
        </w:tc>
        <w:tc>
          <w:tcPr>
            <w:tcW w:w="1260" w:type="dxa"/>
            <w:tcBorders>
              <w:top w:val="nil"/>
              <w:left w:val="single" w:sz="8" w:space="0" w:color="auto"/>
              <w:bottom w:val="single" w:sz="18" w:space="0" w:color="auto"/>
              <w:right w:val="single" w:sz="8" w:space="0" w:color="auto"/>
            </w:tcBorders>
            <w:shd w:val="clear" w:color="000000" w:fill="D9D9D9"/>
            <w:noWrap/>
            <w:vAlign w:val="center"/>
            <w:hideMark/>
          </w:tcPr>
          <w:p w14:paraId="55C90C34" w14:textId="77777777" w:rsidR="00FA14A4" w:rsidRPr="003110C4" w:rsidRDefault="00FA14A4" w:rsidP="00347614">
            <w:pPr>
              <w:spacing w:after="0" w:line="240" w:lineRule="auto"/>
              <w:jc w:val="right"/>
              <w:rPr>
                <w:rFonts w:ascii="Arial" w:eastAsia="Times New Roman" w:hAnsi="Arial" w:cs="Arial"/>
                <w:color w:val="000000"/>
                <w:sz w:val="18"/>
                <w:szCs w:val="18"/>
              </w:rPr>
            </w:pPr>
            <w:r w:rsidRPr="003110C4">
              <w:rPr>
                <w:rFonts w:ascii="Arial" w:eastAsia="Times New Roman" w:hAnsi="Arial" w:cs="Arial"/>
                <w:color w:val="000000"/>
                <w:sz w:val="18"/>
                <w:szCs w:val="18"/>
              </w:rPr>
              <w:t xml:space="preserve">$621,906 </w:t>
            </w:r>
          </w:p>
        </w:tc>
        <w:tc>
          <w:tcPr>
            <w:tcW w:w="1260" w:type="dxa"/>
            <w:tcBorders>
              <w:top w:val="nil"/>
              <w:left w:val="nil"/>
              <w:bottom w:val="single" w:sz="18" w:space="0" w:color="auto"/>
              <w:right w:val="single" w:sz="8" w:space="0" w:color="auto"/>
            </w:tcBorders>
            <w:shd w:val="clear" w:color="000000" w:fill="D9D9D9"/>
            <w:noWrap/>
            <w:vAlign w:val="center"/>
            <w:hideMark/>
          </w:tcPr>
          <w:p w14:paraId="1CE61CAE" w14:textId="77777777" w:rsidR="00FA14A4" w:rsidRPr="003110C4" w:rsidRDefault="00FA14A4" w:rsidP="00347614">
            <w:pPr>
              <w:spacing w:after="0" w:line="240" w:lineRule="auto"/>
              <w:jc w:val="right"/>
              <w:rPr>
                <w:rFonts w:ascii="Arial" w:eastAsia="Times New Roman" w:hAnsi="Arial" w:cs="Arial"/>
                <w:color w:val="000000"/>
                <w:sz w:val="18"/>
                <w:szCs w:val="18"/>
              </w:rPr>
            </w:pPr>
            <w:r w:rsidRPr="003110C4">
              <w:rPr>
                <w:rFonts w:ascii="Arial" w:eastAsia="Times New Roman" w:hAnsi="Arial" w:cs="Arial"/>
                <w:color w:val="000000"/>
                <w:sz w:val="18"/>
                <w:szCs w:val="18"/>
              </w:rPr>
              <w:t xml:space="preserve">$2,734,485 </w:t>
            </w:r>
          </w:p>
        </w:tc>
        <w:tc>
          <w:tcPr>
            <w:tcW w:w="1260" w:type="dxa"/>
            <w:tcBorders>
              <w:top w:val="nil"/>
              <w:left w:val="nil"/>
              <w:bottom w:val="single" w:sz="18" w:space="0" w:color="auto"/>
              <w:right w:val="single" w:sz="8" w:space="0" w:color="auto"/>
            </w:tcBorders>
            <w:shd w:val="clear" w:color="000000" w:fill="D9D9D9"/>
            <w:noWrap/>
            <w:vAlign w:val="center"/>
            <w:hideMark/>
          </w:tcPr>
          <w:p w14:paraId="42E7075E" w14:textId="77777777" w:rsidR="00FA14A4" w:rsidRPr="003110C4" w:rsidRDefault="00FA14A4" w:rsidP="00347614">
            <w:pPr>
              <w:spacing w:after="0" w:line="240" w:lineRule="auto"/>
              <w:jc w:val="right"/>
              <w:rPr>
                <w:rFonts w:ascii="Arial" w:eastAsia="Times New Roman" w:hAnsi="Arial" w:cs="Arial"/>
                <w:color w:val="000000"/>
                <w:sz w:val="18"/>
                <w:szCs w:val="18"/>
              </w:rPr>
            </w:pPr>
            <w:r w:rsidRPr="003110C4">
              <w:rPr>
                <w:rFonts w:ascii="Arial" w:eastAsia="Times New Roman" w:hAnsi="Arial" w:cs="Arial"/>
                <w:color w:val="000000"/>
                <w:sz w:val="18"/>
                <w:szCs w:val="18"/>
              </w:rPr>
              <w:t xml:space="preserve">$317,230 </w:t>
            </w:r>
          </w:p>
        </w:tc>
        <w:tc>
          <w:tcPr>
            <w:tcW w:w="1260" w:type="dxa"/>
            <w:tcBorders>
              <w:top w:val="nil"/>
              <w:left w:val="nil"/>
              <w:bottom w:val="single" w:sz="18" w:space="0" w:color="auto"/>
              <w:right w:val="single" w:sz="8" w:space="0" w:color="auto"/>
            </w:tcBorders>
            <w:shd w:val="clear" w:color="000000" w:fill="D9D9D9"/>
            <w:noWrap/>
            <w:vAlign w:val="center"/>
            <w:hideMark/>
          </w:tcPr>
          <w:p w14:paraId="341277EB" w14:textId="77777777" w:rsidR="00FA14A4" w:rsidRPr="003110C4" w:rsidRDefault="00FA14A4" w:rsidP="00347614">
            <w:pPr>
              <w:spacing w:after="0" w:line="240" w:lineRule="auto"/>
              <w:jc w:val="right"/>
              <w:rPr>
                <w:rFonts w:ascii="Arial" w:eastAsia="Times New Roman" w:hAnsi="Arial" w:cs="Arial"/>
                <w:color w:val="000000"/>
                <w:sz w:val="18"/>
                <w:szCs w:val="18"/>
              </w:rPr>
            </w:pPr>
            <w:r w:rsidRPr="003110C4">
              <w:rPr>
                <w:rFonts w:ascii="Arial" w:eastAsia="Times New Roman" w:hAnsi="Arial" w:cs="Arial"/>
                <w:color w:val="000000"/>
                <w:sz w:val="18"/>
                <w:szCs w:val="18"/>
              </w:rPr>
              <w:t xml:space="preserve">$10,427,352 </w:t>
            </w:r>
          </w:p>
        </w:tc>
        <w:tc>
          <w:tcPr>
            <w:tcW w:w="1350" w:type="dxa"/>
            <w:tcBorders>
              <w:top w:val="nil"/>
              <w:left w:val="nil"/>
              <w:bottom w:val="single" w:sz="18" w:space="0" w:color="auto"/>
              <w:right w:val="single" w:sz="18" w:space="0" w:color="auto"/>
            </w:tcBorders>
            <w:shd w:val="clear" w:color="000000" w:fill="A6A6A6"/>
            <w:noWrap/>
            <w:vAlign w:val="center"/>
            <w:hideMark/>
          </w:tcPr>
          <w:p w14:paraId="438F32E2" w14:textId="77777777" w:rsidR="00FA14A4" w:rsidRPr="003110C4" w:rsidRDefault="00FA14A4" w:rsidP="00347614">
            <w:pPr>
              <w:spacing w:after="0" w:line="240" w:lineRule="auto"/>
              <w:jc w:val="right"/>
              <w:rPr>
                <w:rFonts w:ascii="Arial" w:eastAsia="Times New Roman" w:hAnsi="Arial" w:cs="Arial"/>
                <w:b/>
                <w:bCs/>
                <w:color w:val="000000"/>
                <w:sz w:val="18"/>
                <w:szCs w:val="18"/>
              </w:rPr>
            </w:pPr>
            <w:r w:rsidRPr="003110C4">
              <w:rPr>
                <w:rFonts w:ascii="Arial" w:eastAsia="Times New Roman" w:hAnsi="Arial" w:cs="Arial"/>
                <w:b/>
                <w:bCs/>
                <w:color w:val="000000"/>
                <w:sz w:val="18"/>
                <w:szCs w:val="18"/>
              </w:rPr>
              <w:t xml:space="preserve">$14,100,972 </w:t>
            </w:r>
          </w:p>
        </w:tc>
      </w:tr>
      <w:tr w:rsidR="00FA14A4" w:rsidRPr="000529AD" w14:paraId="6DC1282A" w14:textId="77777777" w:rsidTr="00347614">
        <w:trPr>
          <w:trHeight w:val="20"/>
        </w:trPr>
        <w:tc>
          <w:tcPr>
            <w:tcW w:w="980" w:type="dxa"/>
            <w:vMerge w:val="restart"/>
            <w:tcBorders>
              <w:top w:val="single" w:sz="18" w:space="0" w:color="auto"/>
              <w:left w:val="single" w:sz="18" w:space="0" w:color="auto"/>
              <w:bottom w:val="single" w:sz="8" w:space="0" w:color="000000"/>
              <w:right w:val="nil"/>
            </w:tcBorders>
            <w:shd w:val="clear" w:color="auto" w:fill="auto"/>
            <w:vAlign w:val="center"/>
            <w:hideMark/>
          </w:tcPr>
          <w:p w14:paraId="7DED723A" w14:textId="77777777" w:rsidR="00FA14A4" w:rsidRPr="000529AD" w:rsidRDefault="00FA14A4" w:rsidP="00347614">
            <w:pPr>
              <w:spacing w:after="0" w:line="240" w:lineRule="auto"/>
              <w:jc w:val="center"/>
              <w:rPr>
                <w:rFonts w:ascii="Arial" w:eastAsia="Times New Roman" w:hAnsi="Arial" w:cs="Arial"/>
                <w:b/>
                <w:bCs/>
                <w:color w:val="000000"/>
                <w:sz w:val="18"/>
                <w:szCs w:val="18"/>
              </w:rPr>
            </w:pPr>
            <w:r w:rsidRPr="000529AD">
              <w:rPr>
                <w:rFonts w:ascii="Arial" w:eastAsia="Times New Roman" w:hAnsi="Arial" w:cs="Arial"/>
                <w:b/>
                <w:bCs/>
                <w:color w:val="000000"/>
                <w:sz w:val="18"/>
                <w:szCs w:val="18"/>
              </w:rPr>
              <w:t>Average Over Period</w:t>
            </w:r>
          </w:p>
        </w:tc>
        <w:tc>
          <w:tcPr>
            <w:tcW w:w="2610" w:type="dxa"/>
            <w:tcBorders>
              <w:top w:val="single" w:sz="18" w:space="0" w:color="auto"/>
              <w:left w:val="single" w:sz="8" w:space="0" w:color="auto"/>
              <w:bottom w:val="single" w:sz="4" w:space="0" w:color="auto"/>
              <w:right w:val="nil"/>
            </w:tcBorders>
            <w:shd w:val="clear" w:color="auto" w:fill="auto"/>
            <w:vAlign w:val="center"/>
            <w:hideMark/>
          </w:tcPr>
          <w:p w14:paraId="1944041F" w14:textId="77777777" w:rsidR="00FA14A4" w:rsidRPr="000529AD" w:rsidRDefault="00FA14A4" w:rsidP="00347614">
            <w:pPr>
              <w:spacing w:after="0" w:line="240" w:lineRule="auto"/>
              <w:jc w:val="right"/>
              <w:rPr>
                <w:rFonts w:ascii="Arial" w:eastAsia="Times New Roman" w:hAnsi="Arial" w:cs="Arial"/>
                <w:b/>
                <w:bCs/>
                <w:color w:val="000000"/>
                <w:sz w:val="18"/>
                <w:szCs w:val="18"/>
              </w:rPr>
            </w:pPr>
            <w:r w:rsidRPr="000529AD">
              <w:rPr>
                <w:rFonts w:ascii="Arial" w:eastAsia="Times New Roman" w:hAnsi="Arial" w:cs="Arial"/>
                <w:b/>
                <w:bCs/>
                <w:color w:val="000000"/>
                <w:sz w:val="18"/>
                <w:szCs w:val="18"/>
              </w:rPr>
              <w:t>One-Time Savings</w:t>
            </w:r>
          </w:p>
        </w:tc>
        <w:tc>
          <w:tcPr>
            <w:tcW w:w="1260" w:type="dxa"/>
            <w:tcBorders>
              <w:top w:val="single" w:sz="18" w:space="0" w:color="auto"/>
              <w:left w:val="single" w:sz="8" w:space="0" w:color="auto"/>
              <w:bottom w:val="single" w:sz="4" w:space="0" w:color="auto"/>
              <w:right w:val="single" w:sz="8" w:space="0" w:color="auto"/>
            </w:tcBorders>
            <w:shd w:val="clear" w:color="000000" w:fill="D9D9D9"/>
            <w:noWrap/>
            <w:vAlign w:val="center"/>
            <w:hideMark/>
          </w:tcPr>
          <w:p w14:paraId="615EE636" w14:textId="77777777" w:rsidR="00FA14A4" w:rsidRPr="000529AD" w:rsidRDefault="00FA14A4" w:rsidP="00347614">
            <w:pPr>
              <w:spacing w:after="0" w:line="240" w:lineRule="auto"/>
              <w:jc w:val="right"/>
              <w:rPr>
                <w:rFonts w:ascii="Arial" w:eastAsia="Times New Roman" w:hAnsi="Arial" w:cs="Arial"/>
                <w:color w:val="000000"/>
                <w:sz w:val="18"/>
                <w:szCs w:val="18"/>
              </w:rPr>
            </w:pPr>
            <w:r w:rsidRPr="000529AD">
              <w:rPr>
                <w:rFonts w:ascii="Arial" w:eastAsia="Times New Roman" w:hAnsi="Arial" w:cs="Arial"/>
                <w:color w:val="000000"/>
                <w:sz w:val="18"/>
                <w:szCs w:val="18"/>
              </w:rPr>
              <w:t xml:space="preserve">$564,739 </w:t>
            </w:r>
          </w:p>
        </w:tc>
        <w:tc>
          <w:tcPr>
            <w:tcW w:w="1260" w:type="dxa"/>
            <w:tcBorders>
              <w:top w:val="single" w:sz="18" w:space="0" w:color="auto"/>
              <w:left w:val="nil"/>
              <w:bottom w:val="single" w:sz="4" w:space="0" w:color="auto"/>
              <w:right w:val="nil"/>
            </w:tcBorders>
            <w:shd w:val="clear" w:color="000000" w:fill="D9D9D9"/>
            <w:noWrap/>
            <w:vAlign w:val="center"/>
            <w:hideMark/>
          </w:tcPr>
          <w:p w14:paraId="10B2945D" w14:textId="77777777" w:rsidR="00FA14A4" w:rsidRPr="000529AD" w:rsidRDefault="00FA14A4" w:rsidP="00347614">
            <w:pPr>
              <w:spacing w:after="0" w:line="240" w:lineRule="auto"/>
              <w:jc w:val="right"/>
              <w:rPr>
                <w:rFonts w:ascii="Arial" w:eastAsia="Times New Roman" w:hAnsi="Arial" w:cs="Arial"/>
                <w:color w:val="000000"/>
                <w:sz w:val="18"/>
                <w:szCs w:val="18"/>
              </w:rPr>
            </w:pPr>
            <w:r w:rsidRPr="000529AD">
              <w:rPr>
                <w:rFonts w:ascii="Arial" w:eastAsia="Times New Roman" w:hAnsi="Arial" w:cs="Arial"/>
                <w:color w:val="000000"/>
                <w:sz w:val="18"/>
                <w:szCs w:val="18"/>
              </w:rPr>
              <w:t xml:space="preserve">$2,379,939 </w:t>
            </w:r>
          </w:p>
        </w:tc>
        <w:tc>
          <w:tcPr>
            <w:tcW w:w="1260" w:type="dxa"/>
            <w:tcBorders>
              <w:top w:val="single" w:sz="18" w:space="0" w:color="auto"/>
              <w:left w:val="single" w:sz="8" w:space="0" w:color="auto"/>
              <w:bottom w:val="single" w:sz="4" w:space="0" w:color="auto"/>
              <w:right w:val="single" w:sz="8" w:space="0" w:color="auto"/>
            </w:tcBorders>
            <w:shd w:val="clear" w:color="000000" w:fill="D9D9D9"/>
            <w:noWrap/>
            <w:vAlign w:val="center"/>
            <w:hideMark/>
          </w:tcPr>
          <w:p w14:paraId="2DF27918" w14:textId="77777777" w:rsidR="00FA14A4" w:rsidRPr="000529AD" w:rsidRDefault="00FA14A4" w:rsidP="00347614">
            <w:pPr>
              <w:spacing w:after="0" w:line="240" w:lineRule="auto"/>
              <w:jc w:val="right"/>
              <w:rPr>
                <w:rFonts w:ascii="Arial" w:eastAsia="Times New Roman" w:hAnsi="Arial" w:cs="Arial"/>
                <w:color w:val="000000"/>
                <w:sz w:val="18"/>
                <w:szCs w:val="18"/>
              </w:rPr>
            </w:pPr>
            <w:r w:rsidRPr="000529AD">
              <w:rPr>
                <w:rFonts w:ascii="Arial" w:eastAsia="Times New Roman" w:hAnsi="Arial" w:cs="Arial"/>
                <w:color w:val="000000"/>
                <w:sz w:val="18"/>
                <w:szCs w:val="18"/>
              </w:rPr>
              <w:t xml:space="preserve">$646,365 </w:t>
            </w:r>
          </w:p>
        </w:tc>
        <w:tc>
          <w:tcPr>
            <w:tcW w:w="1260" w:type="dxa"/>
            <w:tcBorders>
              <w:top w:val="single" w:sz="18" w:space="0" w:color="auto"/>
              <w:left w:val="nil"/>
              <w:bottom w:val="single" w:sz="4" w:space="0" w:color="auto"/>
              <w:right w:val="single" w:sz="8" w:space="0" w:color="auto"/>
            </w:tcBorders>
            <w:shd w:val="clear" w:color="000000" w:fill="D9D9D9"/>
            <w:noWrap/>
            <w:vAlign w:val="center"/>
            <w:hideMark/>
          </w:tcPr>
          <w:p w14:paraId="4A1C683B" w14:textId="77777777" w:rsidR="00FA14A4" w:rsidRPr="000529AD" w:rsidRDefault="00FA14A4" w:rsidP="00347614">
            <w:pPr>
              <w:spacing w:after="0" w:line="240" w:lineRule="auto"/>
              <w:jc w:val="right"/>
              <w:rPr>
                <w:rFonts w:ascii="Arial" w:eastAsia="Times New Roman" w:hAnsi="Arial" w:cs="Arial"/>
                <w:color w:val="000000"/>
                <w:sz w:val="18"/>
                <w:szCs w:val="18"/>
              </w:rPr>
            </w:pPr>
            <w:r w:rsidRPr="000529AD">
              <w:rPr>
                <w:rFonts w:ascii="Arial" w:eastAsia="Times New Roman" w:hAnsi="Arial" w:cs="Arial"/>
                <w:color w:val="000000"/>
                <w:sz w:val="18"/>
                <w:szCs w:val="18"/>
              </w:rPr>
              <w:t xml:space="preserve">$9,819,910 </w:t>
            </w:r>
          </w:p>
        </w:tc>
        <w:tc>
          <w:tcPr>
            <w:tcW w:w="1350" w:type="dxa"/>
            <w:tcBorders>
              <w:top w:val="single" w:sz="18" w:space="0" w:color="auto"/>
              <w:left w:val="nil"/>
              <w:bottom w:val="single" w:sz="4" w:space="0" w:color="auto"/>
              <w:right w:val="single" w:sz="18" w:space="0" w:color="auto"/>
            </w:tcBorders>
            <w:shd w:val="clear" w:color="000000" w:fill="A6A6A6"/>
            <w:noWrap/>
            <w:vAlign w:val="center"/>
            <w:hideMark/>
          </w:tcPr>
          <w:p w14:paraId="3ED78975" w14:textId="77777777" w:rsidR="00FA14A4" w:rsidRPr="000529AD" w:rsidRDefault="00FA14A4" w:rsidP="00347614">
            <w:pPr>
              <w:spacing w:after="0" w:line="240" w:lineRule="auto"/>
              <w:jc w:val="right"/>
              <w:rPr>
                <w:rFonts w:ascii="Arial" w:eastAsia="Times New Roman" w:hAnsi="Arial" w:cs="Arial"/>
                <w:b/>
                <w:bCs/>
                <w:color w:val="000000"/>
                <w:sz w:val="18"/>
                <w:szCs w:val="18"/>
              </w:rPr>
            </w:pPr>
            <w:r w:rsidRPr="000529AD">
              <w:rPr>
                <w:rFonts w:ascii="Arial" w:eastAsia="Times New Roman" w:hAnsi="Arial" w:cs="Arial"/>
                <w:b/>
                <w:bCs/>
                <w:color w:val="000000"/>
                <w:sz w:val="18"/>
                <w:szCs w:val="18"/>
              </w:rPr>
              <w:t xml:space="preserve">$13,410,953 </w:t>
            </w:r>
          </w:p>
        </w:tc>
      </w:tr>
      <w:tr w:rsidR="00FA14A4" w:rsidRPr="000529AD" w14:paraId="4C6D431C" w14:textId="77777777" w:rsidTr="00347614">
        <w:trPr>
          <w:trHeight w:val="20"/>
        </w:trPr>
        <w:tc>
          <w:tcPr>
            <w:tcW w:w="980" w:type="dxa"/>
            <w:vMerge/>
            <w:tcBorders>
              <w:top w:val="nil"/>
              <w:left w:val="single" w:sz="18" w:space="0" w:color="auto"/>
              <w:bottom w:val="single" w:sz="18" w:space="0" w:color="auto"/>
              <w:right w:val="nil"/>
            </w:tcBorders>
            <w:vAlign w:val="center"/>
            <w:hideMark/>
          </w:tcPr>
          <w:p w14:paraId="262ECB38" w14:textId="77777777" w:rsidR="00FA14A4" w:rsidRPr="003110C4" w:rsidRDefault="00FA14A4" w:rsidP="00347614">
            <w:pPr>
              <w:spacing w:after="0" w:line="240" w:lineRule="auto"/>
              <w:rPr>
                <w:rFonts w:ascii="Arial" w:eastAsia="Times New Roman" w:hAnsi="Arial" w:cs="Arial"/>
                <w:b/>
                <w:bCs/>
                <w:color w:val="000000"/>
                <w:sz w:val="18"/>
                <w:szCs w:val="18"/>
              </w:rPr>
            </w:pPr>
          </w:p>
        </w:tc>
        <w:tc>
          <w:tcPr>
            <w:tcW w:w="2610" w:type="dxa"/>
            <w:tcBorders>
              <w:top w:val="nil"/>
              <w:left w:val="single" w:sz="8" w:space="0" w:color="auto"/>
              <w:bottom w:val="single" w:sz="18" w:space="0" w:color="auto"/>
              <w:right w:val="nil"/>
            </w:tcBorders>
            <w:shd w:val="clear" w:color="auto" w:fill="auto"/>
            <w:vAlign w:val="center"/>
            <w:hideMark/>
          </w:tcPr>
          <w:p w14:paraId="6C36F5D6" w14:textId="77777777" w:rsidR="00FA14A4" w:rsidRPr="003110C4" w:rsidRDefault="00FA14A4" w:rsidP="00347614">
            <w:pPr>
              <w:spacing w:after="0" w:line="240" w:lineRule="auto"/>
              <w:jc w:val="right"/>
              <w:rPr>
                <w:rFonts w:ascii="Arial" w:eastAsia="Times New Roman" w:hAnsi="Arial" w:cs="Arial"/>
                <w:b/>
                <w:bCs/>
                <w:color w:val="000000"/>
                <w:sz w:val="18"/>
                <w:szCs w:val="18"/>
              </w:rPr>
            </w:pPr>
            <w:r w:rsidRPr="003110C4">
              <w:rPr>
                <w:rFonts w:ascii="Arial" w:eastAsia="Times New Roman" w:hAnsi="Arial" w:cs="Arial"/>
                <w:b/>
                <w:bCs/>
                <w:color w:val="000000"/>
                <w:sz w:val="18"/>
                <w:szCs w:val="18"/>
              </w:rPr>
              <w:t>Annual Savings</w:t>
            </w:r>
          </w:p>
        </w:tc>
        <w:tc>
          <w:tcPr>
            <w:tcW w:w="1260" w:type="dxa"/>
            <w:tcBorders>
              <w:top w:val="nil"/>
              <w:left w:val="single" w:sz="8" w:space="0" w:color="auto"/>
              <w:bottom w:val="single" w:sz="18" w:space="0" w:color="auto"/>
              <w:right w:val="single" w:sz="8" w:space="0" w:color="auto"/>
            </w:tcBorders>
            <w:shd w:val="clear" w:color="000000" w:fill="D9D9D9"/>
            <w:noWrap/>
            <w:vAlign w:val="center"/>
            <w:hideMark/>
          </w:tcPr>
          <w:p w14:paraId="1382126C" w14:textId="77777777" w:rsidR="00FA14A4" w:rsidRPr="003110C4" w:rsidRDefault="00FA14A4" w:rsidP="00347614">
            <w:pPr>
              <w:spacing w:after="0" w:line="240" w:lineRule="auto"/>
              <w:jc w:val="right"/>
              <w:rPr>
                <w:rFonts w:ascii="Arial" w:eastAsia="Times New Roman" w:hAnsi="Arial" w:cs="Arial"/>
                <w:color w:val="000000"/>
                <w:sz w:val="18"/>
                <w:szCs w:val="18"/>
              </w:rPr>
            </w:pPr>
            <w:r w:rsidRPr="003110C4">
              <w:rPr>
                <w:rFonts w:ascii="Arial" w:eastAsia="Times New Roman" w:hAnsi="Arial" w:cs="Arial"/>
                <w:color w:val="000000"/>
                <w:sz w:val="18"/>
                <w:szCs w:val="18"/>
              </w:rPr>
              <w:t xml:space="preserve">$56,474 </w:t>
            </w:r>
          </w:p>
        </w:tc>
        <w:tc>
          <w:tcPr>
            <w:tcW w:w="1260" w:type="dxa"/>
            <w:tcBorders>
              <w:top w:val="nil"/>
              <w:left w:val="nil"/>
              <w:bottom w:val="single" w:sz="18" w:space="0" w:color="auto"/>
              <w:right w:val="nil"/>
            </w:tcBorders>
            <w:shd w:val="clear" w:color="000000" w:fill="D9D9D9"/>
            <w:noWrap/>
            <w:vAlign w:val="center"/>
            <w:hideMark/>
          </w:tcPr>
          <w:p w14:paraId="0009807F" w14:textId="77777777" w:rsidR="00FA14A4" w:rsidRPr="003110C4" w:rsidRDefault="00FA14A4" w:rsidP="00347614">
            <w:pPr>
              <w:spacing w:after="0" w:line="240" w:lineRule="auto"/>
              <w:jc w:val="right"/>
              <w:rPr>
                <w:rFonts w:ascii="Arial" w:eastAsia="Times New Roman" w:hAnsi="Arial" w:cs="Arial"/>
                <w:color w:val="000000"/>
                <w:sz w:val="18"/>
                <w:szCs w:val="18"/>
              </w:rPr>
            </w:pPr>
            <w:r w:rsidRPr="003110C4">
              <w:rPr>
                <w:rFonts w:ascii="Arial" w:eastAsia="Times New Roman" w:hAnsi="Arial" w:cs="Arial"/>
                <w:color w:val="000000"/>
                <w:sz w:val="18"/>
                <w:szCs w:val="18"/>
              </w:rPr>
              <w:t xml:space="preserve">$237,994 </w:t>
            </w:r>
          </w:p>
        </w:tc>
        <w:tc>
          <w:tcPr>
            <w:tcW w:w="1260" w:type="dxa"/>
            <w:tcBorders>
              <w:top w:val="nil"/>
              <w:left w:val="single" w:sz="8" w:space="0" w:color="auto"/>
              <w:bottom w:val="single" w:sz="18" w:space="0" w:color="auto"/>
              <w:right w:val="single" w:sz="8" w:space="0" w:color="auto"/>
            </w:tcBorders>
            <w:shd w:val="clear" w:color="000000" w:fill="D9D9D9"/>
            <w:noWrap/>
            <w:vAlign w:val="center"/>
            <w:hideMark/>
          </w:tcPr>
          <w:p w14:paraId="079331A7" w14:textId="77777777" w:rsidR="00FA14A4" w:rsidRPr="003110C4" w:rsidRDefault="00FA14A4" w:rsidP="00347614">
            <w:pPr>
              <w:spacing w:after="0" w:line="240" w:lineRule="auto"/>
              <w:jc w:val="right"/>
              <w:rPr>
                <w:rFonts w:ascii="Arial" w:eastAsia="Times New Roman" w:hAnsi="Arial" w:cs="Arial"/>
                <w:color w:val="000000"/>
                <w:sz w:val="18"/>
                <w:szCs w:val="18"/>
              </w:rPr>
            </w:pPr>
            <w:r w:rsidRPr="003110C4">
              <w:rPr>
                <w:rFonts w:ascii="Arial" w:eastAsia="Times New Roman" w:hAnsi="Arial" w:cs="Arial"/>
                <w:color w:val="000000"/>
                <w:sz w:val="18"/>
                <w:szCs w:val="18"/>
              </w:rPr>
              <w:t xml:space="preserve">$64,636 </w:t>
            </w:r>
          </w:p>
        </w:tc>
        <w:tc>
          <w:tcPr>
            <w:tcW w:w="1260" w:type="dxa"/>
            <w:tcBorders>
              <w:top w:val="nil"/>
              <w:left w:val="nil"/>
              <w:bottom w:val="single" w:sz="18" w:space="0" w:color="auto"/>
              <w:right w:val="single" w:sz="8" w:space="0" w:color="auto"/>
            </w:tcBorders>
            <w:shd w:val="clear" w:color="000000" w:fill="D9D9D9"/>
            <w:noWrap/>
            <w:vAlign w:val="center"/>
            <w:hideMark/>
          </w:tcPr>
          <w:p w14:paraId="34E478E9" w14:textId="77777777" w:rsidR="00FA14A4" w:rsidRPr="003110C4" w:rsidRDefault="00FA14A4" w:rsidP="00347614">
            <w:pPr>
              <w:spacing w:after="0" w:line="240" w:lineRule="auto"/>
              <w:jc w:val="right"/>
              <w:rPr>
                <w:rFonts w:ascii="Arial" w:eastAsia="Times New Roman" w:hAnsi="Arial" w:cs="Arial"/>
                <w:color w:val="000000"/>
                <w:sz w:val="18"/>
                <w:szCs w:val="18"/>
              </w:rPr>
            </w:pPr>
            <w:r w:rsidRPr="003110C4">
              <w:rPr>
                <w:rFonts w:ascii="Arial" w:eastAsia="Times New Roman" w:hAnsi="Arial" w:cs="Arial"/>
                <w:color w:val="000000"/>
                <w:sz w:val="18"/>
                <w:szCs w:val="18"/>
              </w:rPr>
              <w:t xml:space="preserve">$981,991 </w:t>
            </w:r>
          </w:p>
        </w:tc>
        <w:tc>
          <w:tcPr>
            <w:tcW w:w="1350" w:type="dxa"/>
            <w:tcBorders>
              <w:top w:val="nil"/>
              <w:left w:val="nil"/>
              <w:bottom w:val="single" w:sz="18" w:space="0" w:color="auto"/>
              <w:right w:val="single" w:sz="18" w:space="0" w:color="auto"/>
            </w:tcBorders>
            <w:shd w:val="clear" w:color="000000" w:fill="A6A6A6"/>
            <w:noWrap/>
            <w:vAlign w:val="center"/>
            <w:hideMark/>
          </w:tcPr>
          <w:p w14:paraId="3BFF4E57" w14:textId="77777777" w:rsidR="00FA14A4" w:rsidRPr="003110C4" w:rsidRDefault="00FA14A4" w:rsidP="00347614">
            <w:pPr>
              <w:spacing w:after="0" w:line="240" w:lineRule="auto"/>
              <w:jc w:val="right"/>
              <w:rPr>
                <w:rFonts w:ascii="Arial" w:eastAsia="Times New Roman" w:hAnsi="Arial" w:cs="Arial"/>
                <w:b/>
                <w:bCs/>
                <w:color w:val="000000"/>
                <w:sz w:val="18"/>
                <w:szCs w:val="18"/>
              </w:rPr>
            </w:pPr>
            <w:r w:rsidRPr="003110C4">
              <w:rPr>
                <w:rFonts w:ascii="Arial" w:eastAsia="Times New Roman" w:hAnsi="Arial" w:cs="Arial"/>
                <w:b/>
                <w:bCs/>
                <w:color w:val="000000"/>
                <w:sz w:val="18"/>
                <w:szCs w:val="18"/>
              </w:rPr>
              <w:t xml:space="preserve">$1,341,095 </w:t>
            </w:r>
          </w:p>
        </w:tc>
      </w:tr>
    </w:tbl>
    <w:p w14:paraId="16B46B68" w14:textId="77777777" w:rsidR="00FA14A4" w:rsidRPr="0081285A" w:rsidRDefault="00FA14A4" w:rsidP="00FA14A4">
      <w:pPr>
        <w:pStyle w:val="EndnoteText"/>
        <w:tabs>
          <w:tab w:val="left" w:pos="-720"/>
        </w:tabs>
        <w:suppressAutoHyphens/>
        <w:contextualSpacing/>
        <w:rPr>
          <w:rFonts w:ascii="Arial" w:hAnsi="Arial" w:cs="Arial"/>
          <w:sz w:val="18"/>
          <w:szCs w:val="18"/>
        </w:rPr>
      </w:pPr>
      <w:r w:rsidRPr="0081285A">
        <w:rPr>
          <w:rFonts w:ascii="Arial" w:hAnsi="Arial" w:cs="Arial"/>
          <w:sz w:val="18"/>
          <w:szCs w:val="18"/>
        </w:rPr>
        <w:t>Source: Data Request MM-9</w:t>
      </w:r>
      <w:r>
        <w:rPr>
          <w:rFonts w:ascii="Arial" w:hAnsi="Arial" w:cs="Arial"/>
          <w:sz w:val="18"/>
          <w:szCs w:val="18"/>
        </w:rPr>
        <w:t>,</w:t>
      </w:r>
      <w:r w:rsidRPr="0081285A">
        <w:rPr>
          <w:rFonts w:ascii="Arial" w:hAnsi="Arial" w:cs="Arial"/>
          <w:sz w:val="18"/>
          <w:szCs w:val="18"/>
        </w:rPr>
        <w:t xml:space="preserve"> </w:t>
      </w:r>
      <w:r>
        <w:rPr>
          <w:rFonts w:ascii="Arial" w:hAnsi="Arial" w:cs="Arial"/>
          <w:sz w:val="18"/>
          <w:szCs w:val="18"/>
        </w:rPr>
        <w:t xml:space="preserve">MM-11, </w:t>
      </w:r>
      <w:r w:rsidRPr="0081285A">
        <w:rPr>
          <w:rFonts w:ascii="Arial" w:hAnsi="Arial" w:cs="Arial"/>
          <w:sz w:val="18"/>
          <w:szCs w:val="18"/>
        </w:rPr>
        <w:t>MM-16</w:t>
      </w:r>
      <w:r>
        <w:rPr>
          <w:rFonts w:ascii="Arial" w:hAnsi="Arial" w:cs="Arial"/>
          <w:sz w:val="18"/>
          <w:szCs w:val="18"/>
        </w:rPr>
        <w:t xml:space="preserve"> and Auditor Analysis</w:t>
      </w:r>
    </w:p>
    <w:p w14:paraId="22892D48" w14:textId="77777777" w:rsidR="00FA14A4" w:rsidRDefault="00FA14A4" w:rsidP="00FA14A4">
      <w:pPr>
        <w:spacing w:after="0" w:line="240" w:lineRule="auto"/>
        <w:contextualSpacing/>
        <w:jc w:val="center"/>
        <w:rPr>
          <w:rFonts w:ascii="Arial" w:eastAsia="Times New Roman" w:hAnsi="Arial" w:cs="Arial"/>
          <w:sz w:val="24"/>
          <w:szCs w:val="24"/>
        </w:rPr>
      </w:pPr>
    </w:p>
    <w:p w14:paraId="039AD4FD" w14:textId="77777777" w:rsidR="00FA14A4" w:rsidRDefault="00FA14A4" w:rsidP="00FA14A4">
      <w:pPr>
        <w:spacing w:after="0" w:line="240" w:lineRule="auto"/>
        <w:contextualSpacing/>
        <w:jc w:val="center"/>
        <w:rPr>
          <w:rFonts w:ascii="Arial" w:eastAsia="Times New Roman" w:hAnsi="Arial" w:cs="Arial"/>
          <w:sz w:val="24"/>
          <w:szCs w:val="24"/>
        </w:rPr>
      </w:pPr>
    </w:p>
    <w:p w14:paraId="65E9995E" w14:textId="77777777" w:rsidR="00FA14A4" w:rsidRPr="001017E6" w:rsidRDefault="00FA14A4" w:rsidP="00FA14A4">
      <w:pPr>
        <w:spacing w:after="0" w:line="240" w:lineRule="auto"/>
        <w:contextualSpacing/>
        <w:rPr>
          <w:rFonts w:ascii="Arial" w:eastAsia="Times New Roman" w:hAnsi="Arial" w:cs="Times New Roman"/>
          <w:sz w:val="24"/>
          <w:szCs w:val="24"/>
        </w:rPr>
      </w:pPr>
      <w:r>
        <w:rPr>
          <w:rFonts w:ascii="Arial" w:eastAsia="Times New Roman" w:hAnsi="Arial" w:cs="Times New Roman"/>
          <w:sz w:val="24"/>
          <w:szCs w:val="24"/>
        </w:rPr>
        <w:tab/>
        <w:t xml:space="preserve">FirstEnergy </w:t>
      </w:r>
      <w:r w:rsidR="00846908">
        <w:rPr>
          <w:rFonts w:ascii="Arial" w:eastAsia="Times New Roman" w:hAnsi="Arial" w:cs="Times New Roman"/>
          <w:sz w:val="24"/>
          <w:szCs w:val="24"/>
        </w:rPr>
        <w:t>plans</w:t>
      </w:r>
      <w:r>
        <w:rPr>
          <w:rFonts w:ascii="Arial" w:eastAsia="Times New Roman" w:hAnsi="Arial" w:cs="Times New Roman"/>
          <w:sz w:val="24"/>
          <w:szCs w:val="24"/>
        </w:rPr>
        <w:t xml:space="preserve"> to continue participating in studies and surveys as they are offered.  The UPMG study is conducted </w:t>
      </w:r>
      <w:r w:rsidR="00846908">
        <w:rPr>
          <w:rFonts w:ascii="Arial" w:eastAsia="Times New Roman" w:hAnsi="Arial" w:cs="Times New Roman"/>
          <w:sz w:val="24"/>
          <w:szCs w:val="24"/>
        </w:rPr>
        <w:t>annually</w:t>
      </w:r>
      <w:r>
        <w:rPr>
          <w:rFonts w:ascii="Arial" w:eastAsia="Times New Roman" w:hAnsi="Arial" w:cs="Times New Roman"/>
          <w:sz w:val="24"/>
          <w:szCs w:val="24"/>
        </w:rPr>
        <w:t xml:space="preserve"> </w:t>
      </w:r>
      <w:r w:rsidR="00846908">
        <w:rPr>
          <w:rFonts w:ascii="Arial" w:eastAsia="Times New Roman" w:hAnsi="Arial" w:cs="Times New Roman"/>
          <w:sz w:val="24"/>
          <w:szCs w:val="24"/>
        </w:rPr>
        <w:t xml:space="preserve">and </w:t>
      </w:r>
      <w:r>
        <w:rPr>
          <w:rFonts w:ascii="Arial" w:eastAsia="Times New Roman" w:hAnsi="Arial" w:cs="Times New Roman"/>
          <w:sz w:val="24"/>
          <w:szCs w:val="24"/>
        </w:rPr>
        <w:t>the UMMBC and MLMB studies are offered on an ad-hoc basis.  FirstEnergy should continue its participation in these studies and surveys, while maintaining an ongoing focus in inventory reduction to improve upon inventory turnover levels.</w:t>
      </w:r>
    </w:p>
    <w:p w14:paraId="4DAD9279" w14:textId="77777777" w:rsidR="00FA14A4" w:rsidRDefault="00FA14A4" w:rsidP="00FA14A4">
      <w:pPr>
        <w:spacing w:after="0" w:line="240" w:lineRule="auto"/>
        <w:contextualSpacing/>
        <w:rPr>
          <w:rFonts w:ascii="Arial" w:eastAsia="Times New Roman" w:hAnsi="Arial" w:cs="Times New Roman"/>
          <w:b/>
          <w:sz w:val="24"/>
          <w:szCs w:val="24"/>
          <w:u w:val="single"/>
        </w:rPr>
      </w:pPr>
    </w:p>
    <w:p w14:paraId="16D9184E" w14:textId="77777777" w:rsidR="00FA14A4" w:rsidRPr="00CC6EA2" w:rsidRDefault="00FA14A4" w:rsidP="00FA14A4">
      <w:pPr>
        <w:spacing w:after="0" w:line="240" w:lineRule="auto"/>
        <w:contextualSpacing/>
        <w:rPr>
          <w:rFonts w:ascii="Arial" w:eastAsia="Times New Roman" w:hAnsi="Arial" w:cs="Times New Roman"/>
          <w:b/>
          <w:sz w:val="24"/>
          <w:szCs w:val="24"/>
        </w:rPr>
      </w:pPr>
      <w:r w:rsidRPr="00CC6EA2">
        <w:rPr>
          <w:rFonts w:ascii="Arial" w:eastAsia="Times New Roman" w:hAnsi="Arial" w:cs="Times New Roman"/>
          <w:b/>
          <w:sz w:val="24"/>
          <w:szCs w:val="24"/>
          <w:u w:val="single"/>
        </w:rPr>
        <w:t>Follow-up Recommendation</w:t>
      </w:r>
      <w:r w:rsidRPr="00CC6EA2">
        <w:rPr>
          <w:rFonts w:ascii="Arial" w:eastAsia="Times New Roman" w:hAnsi="Arial" w:cs="Times New Roman"/>
          <w:b/>
          <w:sz w:val="24"/>
          <w:szCs w:val="24"/>
        </w:rPr>
        <w:t xml:space="preserve"> – </w:t>
      </w:r>
      <w:r w:rsidRPr="00906DF6">
        <w:rPr>
          <w:rFonts w:ascii="Arial" w:eastAsia="Times New Roman" w:hAnsi="Arial" w:cs="Arial"/>
          <w:b/>
          <w:snapToGrid w:val="0"/>
          <w:sz w:val="24"/>
          <w:szCs w:val="20"/>
        </w:rPr>
        <w:t>Continue participation in utility benchmarking studies to ensure inventory goals and practices are aligned with top quartile performing utilities.</w:t>
      </w:r>
    </w:p>
    <w:p w14:paraId="218634D7" w14:textId="77777777" w:rsidR="00FA14A4" w:rsidRDefault="00FA14A4">
      <w:pPr>
        <w:rPr>
          <w:rFonts w:ascii="Arial" w:hAnsi="Arial" w:cs="Arial"/>
          <w:bCs/>
          <w:color w:val="000000"/>
          <w:sz w:val="24"/>
          <w:szCs w:val="24"/>
        </w:rPr>
      </w:pPr>
      <w:r>
        <w:rPr>
          <w:rFonts w:ascii="Arial" w:hAnsi="Arial" w:cs="Arial"/>
          <w:bCs/>
          <w:color w:val="000000"/>
          <w:sz w:val="24"/>
          <w:szCs w:val="24"/>
        </w:rPr>
        <w:br w:type="page"/>
      </w:r>
    </w:p>
    <w:p w14:paraId="34A5E10A" w14:textId="77777777" w:rsidR="00C93C49" w:rsidRPr="00C93C49" w:rsidRDefault="00C93C49" w:rsidP="00C93C49">
      <w:pPr>
        <w:spacing w:after="0" w:line="20" w:lineRule="atLeast"/>
        <w:contextualSpacing/>
        <w:jc w:val="center"/>
        <w:rPr>
          <w:rFonts w:ascii="Arial" w:eastAsia="Times New Roman" w:hAnsi="Arial" w:cs="Times New Roman"/>
          <w:b/>
          <w:sz w:val="26"/>
          <w:szCs w:val="26"/>
        </w:rPr>
      </w:pPr>
      <w:r w:rsidRPr="00C93C49">
        <w:rPr>
          <w:rFonts w:ascii="Arial" w:eastAsia="Times New Roman" w:hAnsi="Arial" w:cs="Times New Roman"/>
          <w:b/>
          <w:sz w:val="26"/>
          <w:szCs w:val="26"/>
        </w:rPr>
        <w:t>X. CUSTOMER SERVICE</w:t>
      </w:r>
    </w:p>
    <w:p w14:paraId="5AB71AAB" w14:textId="77777777" w:rsidR="00C93C49" w:rsidRPr="00C93C49" w:rsidRDefault="00C93C49" w:rsidP="00C93C49">
      <w:pPr>
        <w:spacing w:after="0" w:line="20" w:lineRule="atLeast"/>
        <w:contextualSpacing/>
        <w:rPr>
          <w:rFonts w:ascii="Arial" w:eastAsia="Times New Roman" w:hAnsi="Arial" w:cs="Times New Roman"/>
          <w:sz w:val="24"/>
          <w:szCs w:val="20"/>
        </w:rPr>
      </w:pPr>
    </w:p>
    <w:p w14:paraId="3D86EA63" w14:textId="77777777" w:rsidR="00C93C49" w:rsidRPr="00C93C49" w:rsidRDefault="00C93C49" w:rsidP="00C93C49">
      <w:pPr>
        <w:spacing w:after="0" w:line="20" w:lineRule="atLeast"/>
        <w:contextualSpacing/>
        <w:rPr>
          <w:rFonts w:ascii="Arial" w:eastAsia="Times New Roman" w:hAnsi="Arial" w:cs="Times New Roman"/>
          <w:sz w:val="24"/>
          <w:szCs w:val="20"/>
        </w:rPr>
      </w:pPr>
    </w:p>
    <w:p w14:paraId="7BDAB0C0" w14:textId="77777777" w:rsidR="00DD171B" w:rsidRDefault="00C93C49" w:rsidP="00DD171B">
      <w:pPr>
        <w:autoSpaceDE w:val="0"/>
        <w:autoSpaceDN w:val="0"/>
        <w:adjustRightInd w:val="0"/>
        <w:spacing w:after="0" w:line="240" w:lineRule="auto"/>
        <w:rPr>
          <w:rFonts w:ascii="Arial" w:hAnsi="Arial" w:cs="Arial"/>
          <w:sz w:val="24"/>
          <w:szCs w:val="24"/>
        </w:rPr>
      </w:pPr>
      <w:r w:rsidRPr="00C93C49">
        <w:rPr>
          <w:rFonts w:ascii="Arial" w:eastAsia="Times New Roman" w:hAnsi="Arial" w:cs="Times New Roman"/>
          <w:b/>
          <w:sz w:val="24"/>
          <w:szCs w:val="24"/>
          <w:u w:val="single"/>
        </w:rPr>
        <w:t xml:space="preserve">Background </w:t>
      </w:r>
      <w:r w:rsidRPr="00C93C49">
        <w:rPr>
          <w:rFonts w:ascii="Arial" w:eastAsia="Times New Roman" w:hAnsi="Arial" w:cs="Times New Roman"/>
          <w:sz w:val="24"/>
          <w:szCs w:val="24"/>
        </w:rPr>
        <w:t xml:space="preserve">– </w:t>
      </w:r>
      <w:r w:rsidR="00DD171B">
        <w:rPr>
          <w:rFonts w:ascii="Arial" w:hAnsi="Arial" w:cs="Arial"/>
          <w:sz w:val="24"/>
          <w:szCs w:val="24"/>
        </w:rPr>
        <w:t>The Customer Service functions for the FE-PA Companies are</w:t>
      </w:r>
    </w:p>
    <w:p w14:paraId="0FBBBF52" w14:textId="77777777" w:rsidR="00DD171B" w:rsidRDefault="00DD171B" w:rsidP="00DD171B">
      <w:pPr>
        <w:autoSpaceDE w:val="0"/>
        <w:autoSpaceDN w:val="0"/>
        <w:adjustRightInd w:val="0"/>
        <w:spacing w:after="0" w:line="240" w:lineRule="auto"/>
        <w:rPr>
          <w:rFonts w:ascii="Arial" w:hAnsi="Arial" w:cs="Arial"/>
          <w:sz w:val="24"/>
          <w:szCs w:val="24"/>
        </w:rPr>
      </w:pPr>
      <w:r>
        <w:rPr>
          <w:rFonts w:ascii="Arial" w:hAnsi="Arial" w:cs="Arial"/>
          <w:sz w:val="24"/>
          <w:szCs w:val="24"/>
        </w:rPr>
        <w:t>performed by a combination of personnel within FirstEnergy, FESC and each of the</w:t>
      </w:r>
    </w:p>
    <w:p w14:paraId="30A77326" w14:textId="77777777" w:rsidR="00C93C49" w:rsidRPr="00C93C49" w:rsidRDefault="00DD171B" w:rsidP="00DD171B">
      <w:pPr>
        <w:spacing w:after="0" w:line="20" w:lineRule="atLeast"/>
        <w:contextualSpacing/>
        <w:rPr>
          <w:rFonts w:ascii="Arial" w:eastAsia="Times New Roman" w:hAnsi="Arial" w:cs="Times New Roman"/>
          <w:sz w:val="24"/>
          <w:szCs w:val="24"/>
        </w:rPr>
      </w:pPr>
      <w:r>
        <w:rPr>
          <w:rFonts w:ascii="Arial" w:hAnsi="Arial" w:cs="Arial"/>
          <w:sz w:val="24"/>
          <w:szCs w:val="24"/>
        </w:rPr>
        <w:t xml:space="preserve">FE-PA companies. </w:t>
      </w:r>
      <w:r w:rsidR="0081335C" w:rsidRPr="007C465E">
        <w:rPr>
          <w:rFonts w:ascii="Arial" w:eastAsia="Times New Roman" w:hAnsi="Arial" w:cs="Times New Roman"/>
          <w:sz w:val="24"/>
          <w:szCs w:val="24"/>
        </w:rPr>
        <w:t xml:space="preserve">The </w:t>
      </w:r>
      <w:r w:rsidR="0081335C">
        <w:rPr>
          <w:rFonts w:ascii="Arial" w:eastAsia="Times New Roman" w:hAnsi="Arial" w:cs="Times New Roman"/>
          <w:sz w:val="24"/>
          <w:szCs w:val="24"/>
        </w:rPr>
        <w:t xml:space="preserve">2014 </w:t>
      </w:r>
      <w:r w:rsidR="0081335C" w:rsidRPr="007C465E">
        <w:rPr>
          <w:rFonts w:ascii="Arial" w:eastAsia="Times New Roman" w:hAnsi="Arial" w:cs="Times New Roman"/>
          <w:sz w:val="24"/>
          <w:szCs w:val="24"/>
        </w:rPr>
        <w:t xml:space="preserve">Focused Management and Operations Audit of </w:t>
      </w:r>
      <w:r w:rsidR="0081335C">
        <w:rPr>
          <w:rFonts w:ascii="Arial" w:eastAsia="Times New Roman" w:hAnsi="Arial" w:cs="Times New Roman"/>
          <w:sz w:val="24"/>
          <w:szCs w:val="24"/>
        </w:rPr>
        <w:t xml:space="preserve">the </w:t>
      </w:r>
      <w:r w:rsidR="00DC3D9B">
        <w:rPr>
          <w:rFonts w:ascii="Arial" w:eastAsia="Times New Roman" w:hAnsi="Arial" w:cs="Times New Roman"/>
          <w:sz w:val="24"/>
          <w:szCs w:val="24"/>
        </w:rPr>
        <w:t>FE-PA companies</w:t>
      </w:r>
      <w:r w:rsidR="0081335C">
        <w:rPr>
          <w:rFonts w:ascii="Arial" w:eastAsia="Times New Roman" w:hAnsi="Arial" w:cs="Times New Roman"/>
          <w:sz w:val="24"/>
          <w:szCs w:val="24"/>
        </w:rPr>
        <w:t xml:space="preserve"> </w:t>
      </w:r>
      <w:r w:rsidR="00581A23">
        <w:rPr>
          <w:rFonts w:ascii="Arial" w:eastAsia="Times New Roman" w:hAnsi="Arial" w:cs="Times New Roman"/>
          <w:sz w:val="24"/>
          <w:szCs w:val="24"/>
        </w:rPr>
        <w:t>examined the Customer Service function</w:t>
      </w:r>
      <w:r w:rsidR="00581A23">
        <w:rPr>
          <w:rFonts w:ascii="Arial" w:hAnsi="Arial" w:cs="Arial"/>
          <w:sz w:val="24"/>
          <w:szCs w:val="24"/>
        </w:rPr>
        <w:t>, which</w:t>
      </w:r>
      <w:r w:rsidR="00581A23" w:rsidRPr="00C209CF">
        <w:rPr>
          <w:rFonts w:ascii="Arial" w:hAnsi="Arial" w:cs="Arial"/>
          <w:sz w:val="24"/>
          <w:szCs w:val="24"/>
        </w:rPr>
        <w:t xml:space="preserve"> included a review of </w:t>
      </w:r>
      <w:r w:rsidR="00581A23" w:rsidRPr="00067AE6">
        <w:rPr>
          <w:rFonts w:ascii="Arial" w:eastAsia="Calibri" w:hAnsi="Arial" w:cs="Arial"/>
          <w:sz w:val="24"/>
          <w:szCs w:val="24"/>
        </w:rPr>
        <w:t xml:space="preserve">the organizational structure, current policies and procedures, performance measures and levels, customer information systems, contact centers, universal service, credit and collections procedures, and meter reading.  </w:t>
      </w:r>
      <w:r w:rsidR="00581A23" w:rsidRPr="007C465E">
        <w:rPr>
          <w:rFonts w:ascii="Arial" w:eastAsia="Times New Roman" w:hAnsi="Arial" w:cs="Times New Roman"/>
          <w:sz w:val="24"/>
          <w:szCs w:val="24"/>
        </w:rPr>
        <w:t>The</w:t>
      </w:r>
      <w:r w:rsidR="00581A23">
        <w:rPr>
          <w:rFonts w:ascii="Arial" w:eastAsia="Times New Roman" w:hAnsi="Arial" w:cs="Times New Roman"/>
          <w:sz w:val="24"/>
          <w:szCs w:val="24"/>
        </w:rPr>
        <w:t xml:space="preserve"> PUC</w:t>
      </w:r>
      <w:r w:rsidR="00581A23" w:rsidRPr="007C465E">
        <w:rPr>
          <w:rFonts w:ascii="Arial" w:eastAsia="Times New Roman" w:hAnsi="Arial" w:cs="Times New Roman"/>
          <w:sz w:val="24"/>
          <w:szCs w:val="24"/>
        </w:rPr>
        <w:t xml:space="preserve"> </w:t>
      </w:r>
      <w:r w:rsidR="00581A23">
        <w:rPr>
          <w:rFonts w:ascii="Arial" w:eastAsia="Times New Roman" w:hAnsi="Arial" w:cs="Times New Roman"/>
          <w:sz w:val="24"/>
          <w:szCs w:val="24"/>
        </w:rPr>
        <w:t>auditors</w:t>
      </w:r>
      <w:r w:rsidR="00581A23" w:rsidRPr="007C465E">
        <w:rPr>
          <w:rFonts w:ascii="Arial" w:eastAsia="Times New Roman" w:hAnsi="Arial" w:cs="Times New Roman"/>
          <w:sz w:val="24"/>
          <w:szCs w:val="24"/>
        </w:rPr>
        <w:t xml:space="preserve"> </w:t>
      </w:r>
      <w:r w:rsidR="00581A23">
        <w:rPr>
          <w:rFonts w:ascii="Arial" w:eastAsia="Times New Roman" w:hAnsi="Arial" w:cs="Times New Roman"/>
          <w:sz w:val="24"/>
          <w:szCs w:val="24"/>
        </w:rPr>
        <w:t xml:space="preserve">issued </w:t>
      </w:r>
      <w:r w:rsidR="00C93C49" w:rsidRPr="00C93C49">
        <w:rPr>
          <w:rFonts w:ascii="Arial" w:eastAsia="Times New Roman" w:hAnsi="Arial" w:cs="Times New Roman"/>
          <w:sz w:val="24"/>
          <w:szCs w:val="24"/>
        </w:rPr>
        <w:t>eight Customer Service recommendations</w:t>
      </w:r>
      <w:r w:rsidR="00701A87">
        <w:rPr>
          <w:rFonts w:ascii="Arial" w:eastAsia="Times New Roman" w:hAnsi="Arial" w:cs="Times New Roman"/>
          <w:sz w:val="24"/>
          <w:szCs w:val="24"/>
        </w:rPr>
        <w:t xml:space="preserve"> and </w:t>
      </w:r>
      <w:r w:rsidR="00C93C49" w:rsidRPr="00C93C49">
        <w:rPr>
          <w:rFonts w:ascii="Arial" w:eastAsia="Times New Roman" w:hAnsi="Arial" w:cs="Times New Roman"/>
          <w:sz w:val="24"/>
          <w:szCs w:val="24"/>
        </w:rPr>
        <w:t>rated this functional area as needing significant improvement.  In this chapter, eight prior recommendations and prior situations are reviewed, and eight follow</w:t>
      </w:r>
      <w:r w:rsidR="00C93C49" w:rsidRPr="00C93C49">
        <w:rPr>
          <w:rFonts w:ascii="Arial" w:eastAsia="Times New Roman" w:hAnsi="Arial" w:cs="Times New Roman"/>
          <w:sz w:val="24"/>
          <w:szCs w:val="24"/>
        </w:rPr>
        <w:noBreakHyphen/>
        <w:t>up findings and three follow-up recommendations are presented.</w:t>
      </w:r>
    </w:p>
    <w:p w14:paraId="22F941C9" w14:textId="77777777" w:rsidR="00C93C49" w:rsidRPr="00C93C49" w:rsidRDefault="00C93C49" w:rsidP="00C93C49">
      <w:pPr>
        <w:spacing w:after="0" w:line="20" w:lineRule="atLeast"/>
        <w:contextualSpacing/>
        <w:rPr>
          <w:rFonts w:ascii="Arial" w:eastAsia="Times New Roman" w:hAnsi="Arial" w:cs="Times New Roman"/>
          <w:sz w:val="24"/>
          <w:szCs w:val="24"/>
        </w:rPr>
      </w:pPr>
    </w:p>
    <w:p w14:paraId="4F5D92B6" w14:textId="77777777" w:rsidR="00C93C49" w:rsidRPr="00C93C49" w:rsidRDefault="00C93C49" w:rsidP="00C93C49">
      <w:pPr>
        <w:spacing w:after="0" w:line="20" w:lineRule="atLeast"/>
        <w:contextualSpacing/>
        <w:jc w:val="center"/>
        <w:rPr>
          <w:rFonts w:ascii="Arial" w:eastAsia="Times New Roman" w:hAnsi="Arial" w:cs="Times New Roman"/>
          <w:b/>
          <w:sz w:val="24"/>
          <w:szCs w:val="24"/>
          <w:u w:val="single"/>
        </w:rPr>
      </w:pPr>
      <w:r w:rsidRPr="00C93C49">
        <w:rPr>
          <w:rFonts w:ascii="Arial" w:eastAsia="Times New Roman" w:hAnsi="Arial" w:cs="Times New Roman"/>
          <w:b/>
          <w:sz w:val="24"/>
          <w:szCs w:val="24"/>
          <w:u w:val="single"/>
        </w:rPr>
        <w:t>Finding No. X-1</w:t>
      </w:r>
    </w:p>
    <w:p w14:paraId="53D23006" w14:textId="77777777" w:rsidR="00C93C49" w:rsidRPr="00C93C49" w:rsidRDefault="00C93C49" w:rsidP="00C93C49">
      <w:pPr>
        <w:spacing w:after="0" w:line="20" w:lineRule="atLeast"/>
        <w:contextualSpacing/>
        <w:jc w:val="center"/>
        <w:rPr>
          <w:rFonts w:ascii="Arial" w:hAnsi="Arial" w:cs="Arial"/>
          <w:b/>
          <w:sz w:val="24"/>
          <w:szCs w:val="24"/>
          <w:u w:val="single"/>
        </w:rPr>
      </w:pPr>
    </w:p>
    <w:p w14:paraId="41894333" w14:textId="77777777" w:rsidR="00C93C49" w:rsidRPr="00C93C49" w:rsidRDefault="00C93C49" w:rsidP="00C93C49">
      <w:pPr>
        <w:autoSpaceDE w:val="0"/>
        <w:autoSpaceDN w:val="0"/>
        <w:adjustRightInd w:val="0"/>
        <w:spacing w:after="0" w:line="20" w:lineRule="atLeast"/>
        <w:contextualSpacing/>
        <w:rPr>
          <w:rFonts w:ascii="Arial" w:eastAsia="Times New Roman" w:hAnsi="Arial" w:cs="Times New Roman"/>
          <w:sz w:val="24"/>
          <w:szCs w:val="24"/>
        </w:rPr>
      </w:pPr>
      <w:r w:rsidRPr="00C93C49">
        <w:rPr>
          <w:rFonts w:ascii="Arial" w:eastAsia="Times New Roman" w:hAnsi="Arial" w:cs="Times New Roman"/>
          <w:b/>
          <w:sz w:val="24"/>
          <w:szCs w:val="24"/>
          <w:u w:val="single"/>
        </w:rPr>
        <w:t>Prior Situation</w:t>
      </w:r>
      <w:r w:rsidRPr="00C93C49">
        <w:rPr>
          <w:rFonts w:ascii="Arial" w:eastAsia="Times New Roman" w:hAnsi="Arial" w:cs="Times New Roman"/>
          <w:sz w:val="24"/>
          <w:szCs w:val="24"/>
        </w:rPr>
        <w:t xml:space="preserve"> – Due to the anticipated implementation of smart meters, FirstEnergy </w:t>
      </w:r>
      <w:r w:rsidRPr="00C93C49">
        <w:rPr>
          <w:rFonts w:ascii="Arial" w:hAnsi="Arial" w:cs="Arial"/>
          <w:sz w:val="24"/>
          <w:szCs w:val="24"/>
        </w:rPr>
        <w:t xml:space="preserve">Corporation (FirstEnergy) </w:t>
      </w:r>
      <w:r w:rsidRPr="00C93C49">
        <w:rPr>
          <w:rFonts w:ascii="Arial" w:eastAsia="Times New Roman" w:hAnsi="Arial" w:cs="Times New Roman"/>
          <w:sz w:val="24"/>
          <w:szCs w:val="24"/>
        </w:rPr>
        <w:t xml:space="preserve">initiated and developed staffing strategic plans (including those of the </w:t>
      </w:r>
      <w:r w:rsidR="00DC3D9B">
        <w:rPr>
          <w:rFonts w:ascii="Arial" w:eastAsia="Times New Roman" w:hAnsi="Arial" w:cs="Times New Roman"/>
          <w:sz w:val="24"/>
          <w:szCs w:val="24"/>
        </w:rPr>
        <w:t>FE-PA companies</w:t>
      </w:r>
      <w:r w:rsidRPr="00C93C49">
        <w:rPr>
          <w:rFonts w:ascii="Arial" w:eastAsia="Times New Roman" w:hAnsi="Arial" w:cs="Times New Roman"/>
          <w:sz w:val="24"/>
          <w:szCs w:val="24"/>
        </w:rPr>
        <w:t>) to transition its existing meter readers into other areas of the corporation to minimize its impact to the operations of the meter reading function and to those affected departments.  Consequently, some meter readers moved into newly created positions within the FirstEnergy Service Company (FESC) Stores and Material Handling Departments as early as December 2011.  However, as delays for smart meter implementation occurred in consecutive years, meter reader staffing levels declined by 28% through attrition from 262 in 2009 to 188 in 2013.</w:t>
      </w:r>
    </w:p>
    <w:p w14:paraId="49E3E061" w14:textId="77777777" w:rsidR="00C93C49" w:rsidRPr="00C93C49" w:rsidRDefault="00C93C49" w:rsidP="00C93C49">
      <w:pPr>
        <w:autoSpaceDE w:val="0"/>
        <w:autoSpaceDN w:val="0"/>
        <w:adjustRightInd w:val="0"/>
        <w:spacing w:after="0" w:line="20" w:lineRule="atLeast"/>
        <w:contextualSpacing/>
        <w:rPr>
          <w:rFonts w:ascii="Arial" w:eastAsia="Times New Roman" w:hAnsi="Arial" w:cs="Times New Roman"/>
          <w:sz w:val="24"/>
          <w:szCs w:val="24"/>
        </w:rPr>
      </w:pPr>
    </w:p>
    <w:p w14:paraId="4623D5CF" w14:textId="77777777" w:rsidR="00C93C49" w:rsidRPr="00C93C49" w:rsidRDefault="00C93C49" w:rsidP="00C93C49">
      <w:pPr>
        <w:spacing w:after="0" w:line="240" w:lineRule="auto"/>
        <w:ind w:firstLine="720"/>
        <w:rPr>
          <w:rFonts w:ascii="Arial" w:eastAsia="Times New Roman" w:hAnsi="Arial" w:cs="Arial"/>
          <w:sz w:val="24"/>
          <w:szCs w:val="20"/>
        </w:rPr>
      </w:pPr>
      <w:r w:rsidRPr="00C93C49">
        <w:rPr>
          <w:rFonts w:ascii="Arial" w:eastAsia="Times New Roman" w:hAnsi="Arial" w:cs="Arial"/>
          <w:sz w:val="24"/>
          <w:szCs w:val="20"/>
        </w:rPr>
        <w:t>Beginning in 2008, meter readers were incorporated into FirstEnergy’s storm response process with their primary roles designated as either hazard responder or public protector based on the training and experience of the individual meter reader.  During 2013 alone, the emergency response process was activated 14 times in which meter readers were utilized.  Consequently, management indicated that high billing errors and billing disputes (see Follow-up Finding and Conclusion No. X-3) occurred as meter reading estimates were more frequently employed due to the unavailability of meter readers.  As such, meter readers were being utilized during storm outage situations and would continue to be used in this capacity throughout the smart meter deployment period as necessary.</w:t>
      </w:r>
    </w:p>
    <w:p w14:paraId="67CE479B" w14:textId="77777777" w:rsidR="00C93C49" w:rsidRPr="00C93C49" w:rsidRDefault="00C93C49" w:rsidP="00C93C49">
      <w:pPr>
        <w:spacing w:after="0" w:line="240" w:lineRule="auto"/>
        <w:ind w:firstLine="720"/>
        <w:rPr>
          <w:rFonts w:ascii="Arial" w:eastAsia="Times New Roman" w:hAnsi="Arial" w:cs="Arial"/>
          <w:sz w:val="24"/>
          <w:szCs w:val="20"/>
        </w:rPr>
      </w:pPr>
      <w:r w:rsidRPr="00C93C49">
        <w:rPr>
          <w:rFonts w:ascii="Arial" w:eastAsia="Times New Roman" w:hAnsi="Arial" w:cs="Arial"/>
          <w:sz w:val="24"/>
          <w:szCs w:val="20"/>
        </w:rPr>
        <w:t xml:space="preserve">  </w:t>
      </w:r>
    </w:p>
    <w:p w14:paraId="6F9DE43D" w14:textId="77777777" w:rsidR="00C93C49" w:rsidRPr="00C93C49" w:rsidRDefault="007A7373" w:rsidP="00C93C49">
      <w:pPr>
        <w:autoSpaceDE w:val="0"/>
        <w:autoSpaceDN w:val="0"/>
        <w:adjustRightInd w:val="0"/>
        <w:spacing w:after="0" w:line="20" w:lineRule="atLeast"/>
        <w:ind w:firstLine="720"/>
        <w:contextualSpacing/>
        <w:rPr>
          <w:rFonts w:ascii="Arial" w:eastAsia="Times New Roman" w:hAnsi="Arial" w:cs="Times New Roman"/>
          <w:sz w:val="24"/>
          <w:szCs w:val="24"/>
        </w:rPr>
      </w:pPr>
      <w:r w:rsidRPr="00C93C49">
        <w:rPr>
          <w:rFonts w:ascii="Arial" w:eastAsia="Times New Roman" w:hAnsi="Arial" w:cs="Times New Roman"/>
          <w:sz w:val="24"/>
          <w:szCs w:val="24"/>
        </w:rPr>
        <w:t>Because of</w:t>
      </w:r>
      <w:r w:rsidR="00C93C49" w:rsidRPr="00C93C49">
        <w:rPr>
          <w:rFonts w:ascii="Arial" w:eastAsia="Times New Roman" w:hAnsi="Arial" w:cs="Times New Roman"/>
          <w:sz w:val="24"/>
          <w:szCs w:val="24"/>
        </w:rPr>
        <w:t xml:space="preserve"> these changes, meter reading performance declined.  Meter Reading Performance reports for 2009-2013 showed that the </w:t>
      </w:r>
      <w:r w:rsidR="00DC3D9B">
        <w:rPr>
          <w:rFonts w:ascii="Arial" w:eastAsia="Times New Roman" w:hAnsi="Arial" w:cs="Times New Roman"/>
          <w:sz w:val="24"/>
          <w:szCs w:val="24"/>
        </w:rPr>
        <w:t>companies</w:t>
      </w:r>
      <w:r w:rsidR="00C93C49" w:rsidRPr="00C93C49">
        <w:rPr>
          <w:rFonts w:ascii="Arial" w:eastAsia="Times New Roman" w:hAnsi="Arial" w:cs="Times New Roman"/>
          <w:sz w:val="24"/>
          <w:szCs w:val="24"/>
        </w:rPr>
        <w:t xml:space="preserve"> were not achieving their target goals for meter read rates (</w:t>
      </w:r>
      <w:r w:rsidR="00C93C49" w:rsidRPr="00C93C49">
        <w:rPr>
          <w:rFonts w:ascii="Arial" w:eastAsia="Times New Roman" w:hAnsi="Arial" w:cs="Arial"/>
          <w:sz w:val="24"/>
          <w:szCs w:val="20"/>
        </w:rPr>
        <w:t>defined as the percentage of meter reads obtained compared to meter reads available)</w:t>
      </w:r>
      <w:r w:rsidR="00353EC6">
        <w:rPr>
          <w:rFonts w:ascii="Arial" w:eastAsia="Times New Roman" w:hAnsi="Arial" w:cs="Arial"/>
          <w:sz w:val="24"/>
          <w:szCs w:val="20"/>
        </w:rPr>
        <w:t xml:space="preserve">.  </w:t>
      </w:r>
      <w:r w:rsidR="00353EC6">
        <w:rPr>
          <w:rFonts w:ascii="Arial" w:eastAsia="Times New Roman" w:hAnsi="Arial" w:cs="Times New Roman"/>
          <w:sz w:val="24"/>
          <w:szCs w:val="24"/>
        </w:rPr>
        <w:t xml:space="preserve">Specifically, </w:t>
      </w:r>
      <w:r w:rsidR="00C93C49" w:rsidRPr="00C93C49">
        <w:rPr>
          <w:rFonts w:ascii="Arial" w:eastAsia="Times New Roman" w:hAnsi="Arial" w:cs="Times New Roman"/>
          <w:sz w:val="24"/>
          <w:szCs w:val="24"/>
        </w:rPr>
        <w:t>West Penn Power was not achieving its target goal for error rate (</w:t>
      </w:r>
      <w:r w:rsidR="00C93C49" w:rsidRPr="00C93C49">
        <w:rPr>
          <w:rFonts w:ascii="Arial" w:eastAsia="Times New Roman" w:hAnsi="Arial" w:cs="Arial"/>
          <w:sz w:val="24"/>
          <w:szCs w:val="20"/>
        </w:rPr>
        <w:t>defined as one error per 100,000 reads per total meter reads)</w:t>
      </w:r>
      <w:r w:rsidR="00C93C49" w:rsidRPr="00C93C49">
        <w:rPr>
          <w:rFonts w:ascii="Arial" w:eastAsia="Times New Roman" w:hAnsi="Arial" w:cs="Times New Roman"/>
          <w:sz w:val="24"/>
          <w:szCs w:val="24"/>
        </w:rPr>
        <w:t xml:space="preserve"> which was further cited as a need for improvement in FirstEnergy’s 2013 year</w:t>
      </w:r>
      <w:r w:rsidR="00827E88">
        <w:rPr>
          <w:rFonts w:ascii="Arial" w:eastAsia="Times New Roman" w:hAnsi="Arial" w:cs="Times New Roman"/>
          <w:sz w:val="24"/>
          <w:szCs w:val="24"/>
        </w:rPr>
        <w:noBreakHyphen/>
      </w:r>
      <w:r w:rsidR="00C93C49" w:rsidRPr="00C93C49">
        <w:rPr>
          <w:rFonts w:ascii="Arial" w:eastAsia="Times New Roman" w:hAnsi="Arial" w:cs="Times New Roman"/>
          <w:sz w:val="24"/>
          <w:szCs w:val="24"/>
        </w:rPr>
        <w:t xml:space="preserve">end Executive Leadership Team (ELT) Reports.  The target goal for the meter read rate at Met-Ed, Penelec, and West Penn Power was 94%, and the target goal at Ohio Edison, which includes Penn Power, was 75%.  The target goal for error rate at Met-Ed, Penelec, and Penn Power was 39 per 100,000 reads, and the target goal at West Penn Power was 65 per 100,000 reads. </w:t>
      </w:r>
    </w:p>
    <w:p w14:paraId="1749FDAF" w14:textId="77777777" w:rsidR="00C93C49" w:rsidRPr="00C93C49" w:rsidRDefault="00C93C49" w:rsidP="00C93C49">
      <w:pPr>
        <w:autoSpaceDE w:val="0"/>
        <w:autoSpaceDN w:val="0"/>
        <w:adjustRightInd w:val="0"/>
        <w:spacing w:after="0" w:line="20" w:lineRule="atLeast"/>
        <w:ind w:firstLine="720"/>
        <w:contextualSpacing/>
        <w:rPr>
          <w:rFonts w:ascii="Arial" w:eastAsia="Times New Roman" w:hAnsi="Arial" w:cs="Times New Roman"/>
          <w:sz w:val="24"/>
          <w:szCs w:val="24"/>
        </w:rPr>
      </w:pPr>
    </w:p>
    <w:p w14:paraId="0C95F06E" w14:textId="77777777" w:rsidR="00C93C49" w:rsidRPr="00C93C49" w:rsidRDefault="00C93C49" w:rsidP="009E6E08">
      <w:pPr>
        <w:autoSpaceDE w:val="0"/>
        <w:autoSpaceDN w:val="0"/>
        <w:adjustRightInd w:val="0"/>
        <w:spacing w:after="0" w:line="20" w:lineRule="atLeast"/>
        <w:ind w:firstLine="720"/>
        <w:contextualSpacing/>
        <w:rPr>
          <w:rFonts w:ascii="Arial" w:eastAsia="Times New Roman" w:hAnsi="Arial" w:cs="Times New Roman"/>
          <w:sz w:val="24"/>
          <w:szCs w:val="24"/>
        </w:rPr>
      </w:pPr>
      <w:r w:rsidRPr="00C93C49">
        <w:rPr>
          <w:rFonts w:ascii="Arial" w:eastAsia="Times New Roman" w:hAnsi="Arial" w:cs="Times New Roman"/>
          <w:sz w:val="24"/>
          <w:szCs w:val="24"/>
        </w:rPr>
        <w:t xml:space="preserve">Exhibit X-1 </w:t>
      </w:r>
      <w:r w:rsidRPr="00C93C49">
        <w:rPr>
          <w:rFonts w:ascii="Arial" w:eastAsia="Times New Roman" w:hAnsi="Arial" w:cs="Arial"/>
          <w:sz w:val="24"/>
          <w:szCs w:val="20"/>
        </w:rPr>
        <w:t xml:space="preserve">shows the average annual meter read rate and error rate for each of the </w:t>
      </w:r>
      <w:r w:rsidR="00DC3D9B">
        <w:rPr>
          <w:rFonts w:ascii="Arial" w:eastAsia="Times New Roman" w:hAnsi="Arial" w:cs="Arial"/>
          <w:sz w:val="24"/>
          <w:szCs w:val="20"/>
        </w:rPr>
        <w:t>FE-PA companies</w:t>
      </w:r>
      <w:r w:rsidRPr="00C93C49">
        <w:rPr>
          <w:rFonts w:ascii="Arial" w:eastAsia="Times New Roman" w:hAnsi="Arial" w:cs="Arial"/>
          <w:sz w:val="24"/>
          <w:szCs w:val="20"/>
        </w:rPr>
        <w:t xml:space="preserve"> from 2009-2013.  </w:t>
      </w:r>
      <w:r w:rsidRPr="00C93C49">
        <w:rPr>
          <w:rFonts w:ascii="Arial" w:eastAsia="Times New Roman" w:hAnsi="Arial" w:cs="Times New Roman"/>
          <w:sz w:val="24"/>
          <w:szCs w:val="24"/>
        </w:rPr>
        <w:t xml:space="preserve">Performance was below the targeted goal of 94% at Met-Ed, Penelec, and West Penn Power for all five years except for West Penn Power in 2009 when it was owned by Allegheny Energy.  Penn Power, which fell under Ohio Edison’s target goal, was above 75% in four of five years, but performance declined in recent years and was below the targeted goal in 2013.  West Penn Power’s year-end 2013 read error rate was at 104.2, which was 60% higher than its goal of 65.  West Penn Power had also been significantly above its read error rate goal of 65 in 2010 at 184.3, 2011 at 142.7, and 2012 at 84.9.  </w:t>
      </w:r>
      <w:r w:rsidRPr="00C93C49">
        <w:rPr>
          <w:rFonts w:ascii="Arial" w:eastAsia="Times New Roman" w:hAnsi="Arial" w:cs="Arial"/>
          <w:sz w:val="24"/>
          <w:szCs w:val="20"/>
        </w:rPr>
        <w:t>A higher value indicates that more errors are occurring while meter reads are obtained.</w:t>
      </w:r>
    </w:p>
    <w:p w14:paraId="6F3554DF" w14:textId="77777777" w:rsidR="00C93C49" w:rsidRPr="00C93C49" w:rsidRDefault="00C93C49" w:rsidP="00C93C49">
      <w:pPr>
        <w:autoSpaceDE w:val="0"/>
        <w:autoSpaceDN w:val="0"/>
        <w:adjustRightInd w:val="0"/>
        <w:spacing w:after="0" w:line="20" w:lineRule="atLeast"/>
        <w:contextualSpacing/>
        <w:rPr>
          <w:rFonts w:ascii="Arial" w:hAnsi="Arial" w:cs="Arial"/>
          <w:sz w:val="24"/>
          <w:szCs w:val="24"/>
        </w:rPr>
      </w:pPr>
    </w:p>
    <w:p w14:paraId="6C05CF98" w14:textId="77777777" w:rsidR="00C93C49" w:rsidRPr="00C93C49" w:rsidRDefault="00C93C49" w:rsidP="00C93C49">
      <w:pPr>
        <w:autoSpaceDE w:val="0"/>
        <w:autoSpaceDN w:val="0"/>
        <w:adjustRightInd w:val="0"/>
        <w:spacing w:after="0" w:line="20" w:lineRule="atLeast"/>
        <w:contextualSpacing/>
        <w:rPr>
          <w:rFonts w:ascii="Arial" w:hAnsi="Arial" w:cs="Arial"/>
          <w:sz w:val="24"/>
          <w:szCs w:val="24"/>
        </w:rPr>
      </w:pPr>
    </w:p>
    <w:p w14:paraId="35F9D94E" w14:textId="77777777" w:rsidR="00C93C49" w:rsidRPr="00C93C49" w:rsidRDefault="00C93C49" w:rsidP="00C93C49">
      <w:pPr>
        <w:spacing w:after="0" w:line="240" w:lineRule="auto"/>
        <w:contextualSpacing/>
        <w:jc w:val="center"/>
        <w:rPr>
          <w:rFonts w:ascii="Arial" w:eastAsia="Times New Roman" w:hAnsi="Arial" w:cs="Arial"/>
          <w:b/>
          <w:sz w:val="24"/>
          <w:szCs w:val="24"/>
        </w:rPr>
      </w:pPr>
      <w:r w:rsidRPr="00C93C49">
        <w:rPr>
          <w:rFonts w:ascii="Arial" w:eastAsia="Times New Roman" w:hAnsi="Arial" w:cs="Arial"/>
          <w:b/>
          <w:sz w:val="24"/>
          <w:szCs w:val="24"/>
        </w:rPr>
        <w:t>Exhibit X – 1</w:t>
      </w:r>
    </w:p>
    <w:p w14:paraId="4D124C25" w14:textId="77777777" w:rsidR="00C93C49" w:rsidRPr="00C93C49" w:rsidRDefault="00C93C49" w:rsidP="00C93C49">
      <w:pPr>
        <w:spacing w:after="0" w:line="240" w:lineRule="auto"/>
        <w:jc w:val="center"/>
        <w:rPr>
          <w:rFonts w:ascii="Arial" w:eastAsia="Times New Roman" w:hAnsi="Arial" w:cs="Arial"/>
          <w:b/>
          <w:sz w:val="24"/>
          <w:szCs w:val="24"/>
        </w:rPr>
      </w:pPr>
      <w:r w:rsidRPr="00C93C49">
        <w:rPr>
          <w:rFonts w:ascii="Arial" w:eastAsia="Calibri" w:hAnsi="Arial" w:cs="Arial"/>
          <w:b/>
          <w:sz w:val="24"/>
          <w:szCs w:val="24"/>
        </w:rPr>
        <w:t>FirstEnergy Pennsylvania Companies</w:t>
      </w:r>
    </w:p>
    <w:p w14:paraId="51FFF3DE" w14:textId="77777777" w:rsidR="00C93C49" w:rsidRPr="00C93C49" w:rsidRDefault="00C93C49" w:rsidP="00C93C49">
      <w:pPr>
        <w:spacing w:after="0" w:line="240" w:lineRule="auto"/>
        <w:jc w:val="center"/>
        <w:rPr>
          <w:rFonts w:ascii="Arial" w:eastAsia="Times New Roman" w:hAnsi="Arial" w:cs="Arial"/>
          <w:b/>
          <w:sz w:val="24"/>
          <w:szCs w:val="24"/>
        </w:rPr>
      </w:pPr>
      <w:r w:rsidRPr="00C93C49">
        <w:rPr>
          <w:rFonts w:ascii="Arial" w:eastAsia="Times New Roman" w:hAnsi="Arial" w:cs="Arial"/>
          <w:b/>
          <w:sz w:val="24"/>
          <w:szCs w:val="24"/>
        </w:rPr>
        <w:t>Meter Read Rates and Error Rates</w:t>
      </w:r>
    </w:p>
    <w:p w14:paraId="633B6FFA" w14:textId="77777777" w:rsidR="00C93C49" w:rsidRPr="00C93C49" w:rsidRDefault="00C93C49" w:rsidP="00C93C49">
      <w:pPr>
        <w:spacing w:after="0" w:line="240" w:lineRule="auto"/>
        <w:jc w:val="center"/>
        <w:rPr>
          <w:rFonts w:ascii="Arial" w:eastAsia="Times New Roman" w:hAnsi="Arial" w:cs="Arial"/>
          <w:b/>
          <w:sz w:val="24"/>
          <w:szCs w:val="24"/>
        </w:rPr>
      </w:pPr>
      <w:r w:rsidRPr="00C93C49">
        <w:rPr>
          <w:rFonts w:ascii="Arial" w:eastAsia="Times New Roman" w:hAnsi="Arial" w:cs="Arial"/>
          <w:b/>
          <w:sz w:val="24"/>
          <w:szCs w:val="24"/>
        </w:rPr>
        <w:t>For the Years 2009 through 2013</w:t>
      </w:r>
    </w:p>
    <w:p w14:paraId="7A43ABF9" w14:textId="77777777" w:rsidR="00C93C49" w:rsidRPr="00C93C49" w:rsidRDefault="00C93C49" w:rsidP="00C93C49">
      <w:pPr>
        <w:jc w:val="center"/>
        <w:rPr>
          <w:rFonts w:ascii="Arial" w:eastAsia="Times New Roman" w:hAnsi="Arial" w:cs="Arial"/>
          <w:b/>
          <w:sz w:val="8"/>
          <w:szCs w:val="8"/>
        </w:rPr>
      </w:pPr>
    </w:p>
    <w:tbl>
      <w:tblPr>
        <w:tblStyle w:val="TableGrid3"/>
        <w:tblW w:w="8056" w:type="dxa"/>
        <w:jc w:val="center"/>
        <w:tblLook w:val="04A0" w:firstRow="1" w:lastRow="0" w:firstColumn="1" w:lastColumn="0" w:noHBand="0" w:noVBand="1"/>
      </w:tblPr>
      <w:tblGrid>
        <w:gridCol w:w="2286"/>
        <w:gridCol w:w="1154"/>
        <w:gridCol w:w="1154"/>
        <w:gridCol w:w="1154"/>
        <w:gridCol w:w="1154"/>
        <w:gridCol w:w="1154"/>
      </w:tblGrid>
      <w:tr w:rsidR="00C93C49" w:rsidRPr="00C93C49" w14:paraId="7AAFFEA3" w14:textId="77777777" w:rsidTr="00347614">
        <w:trPr>
          <w:trHeight w:val="144"/>
          <w:jc w:val="center"/>
        </w:trPr>
        <w:tc>
          <w:tcPr>
            <w:tcW w:w="2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96DB7" w14:textId="77777777" w:rsidR="00C93C49" w:rsidRPr="00C93C49" w:rsidRDefault="00C93C49" w:rsidP="00C93C49">
            <w:pPr>
              <w:jc w:val="center"/>
              <w:rPr>
                <w:rFonts w:ascii="Calibri" w:eastAsia="Calibri" w:hAnsi="Calibri"/>
              </w:rPr>
            </w:pPr>
            <w:r w:rsidRPr="00C93C49">
              <w:rPr>
                <w:rFonts w:ascii="Arial" w:eastAsia="Calibri" w:hAnsi="Arial" w:cs="Arial"/>
                <w:b/>
              </w:rPr>
              <w:t>Meter Read Rate</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2BB80" w14:textId="77777777" w:rsidR="00C93C49" w:rsidRPr="00C93C49" w:rsidRDefault="00C93C49" w:rsidP="00C93C49">
            <w:pPr>
              <w:jc w:val="center"/>
              <w:rPr>
                <w:rFonts w:ascii="Arial" w:eastAsia="Calibri" w:hAnsi="Arial" w:cs="Arial"/>
                <w:b/>
              </w:rPr>
            </w:pPr>
            <w:r w:rsidRPr="00C93C49">
              <w:rPr>
                <w:rFonts w:ascii="Arial" w:eastAsia="Calibri" w:hAnsi="Arial" w:cs="Arial"/>
                <w:b/>
              </w:rPr>
              <w:t>2009</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01C47" w14:textId="77777777" w:rsidR="00C93C49" w:rsidRPr="00C93C49" w:rsidRDefault="00C93C49" w:rsidP="00C93C49">
            <w:pPr>
              <w:jc w:val="center"/>
              <w:rPr>
                <w:rFonts w:ascii="Arial" w:eastAsia="Calibri" w:hAnsi="Arial" w:cs="Arial"/>
                <w:b/>
              </w:rPr>
            </w:pPr>
            <w:r w:rsidRPr="00C93C49">
              <w:rPr>
                <w:rFonts w:ascii="Arial" w:eastAsia="Calibri" w:hAnsi="Arial" w:cs="Arial"/>
                <w:b/>
              </w:rPr>
              <w:t>2010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9B686" w14:textId="77777777" w:rsidR="00C93C49" w:rsidRPr="00C93C49" w:rsidRDefault="00C93C49" w:rsidP="00C93C49">
            <w:pPr>
              <w:jc w:val="center"/>
              <w:rPr>
                <w:rFonts w:ascii="Arial" w:eastAsia="Calibri" w:hAnsi="Arial" w:cs="Arial"/>
                <w:b/>
              </w:rPr>
            </w:pPr>
            <w:r w:rsidRPr="00C93C49">
              <w:rPr>
                <w:rFonts w:ascii="Arial" w:eastAsia="Calibri" w:hAnsi="Arial" w:cs="Arial"/>
                <w:b/>
              </w:rPr>
              <w:t>2011</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BE747" w14:textId="77777777" w:rsidR="00C93C49" w:rsidRPr="00C93C49" w:rsidRDefault="00C93C49" w:rsidP="00C93C49">
            <w:pPr>
              <w:jc w:val="center"/>
              <w:rPr>
                <w:rFonts w:ascii="Arial" w:eastAsia="Calibri" w:hAnsi="Arial" w:cs="Arial"/>
                <w:b/>
              </w:rPr>
            </w:pPr>
            <w:r w:rsidRPr="00C93C49">
              <w:rPr>
                <w:rFonts w:ascii="Arial" w:eastAsia="Calibri" w:hAnsi="Arial" w:cs="Arial"/>
                <w:b/>
              </w:rPr>
              <w:t>2012</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47C44" w14:textId="77777777" w:rsidR="00C93C49" w:rsidRPr="00C93C49" w:rsidRDefault="00C93C49" w:rsidP="00C93C49">
            <w:pPr>
              <w:jc w:val="center"/>
              <w:rPr>
                <w:rFonts w:ascii="Arial" w:eastAsia="Calibri" w:hAnsi="Arial" w:cs="Arial"/>
                <w:b/>
              </w:rPr>
            </w:pPr>
            <w:r w:rsidRPr="00C93C49">
              <w:rPr>
                <w:rFonts w:ascii="Arial" w:eastAsia="Calibri" w:hAnsi="Arial" w:cs="Arial"/>
                <w:b/>
              </w:rPr>
              <w:t>2013</w:t>
            </w:r>
          </w:p>
        </w:tc>
      </w:tr>
      <w:tr w:rsidR="00C93C49" w:rsidRPr="00C93C49" w14:paraId="09B4B440" w14:textId="77777777" w:rsidTr="00347614">
        <w:trPr>
          <w:trHeight w:val="144"/>
          <w:jc w:val="center"/>
        </w:trPr>
        <w:tc>
          <w:tcPr>
            <w:tcW w:w="2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8AD6C" w14:textId="77777777" w:rsidR="00C93C49" w:rsidRPr="00C93C49" w:rsidRDefault="00C93C49" w:rsidP="00C93C49">
            <w:pPr>
              <w:rPr>
                <w:rFonts w:ascii="Arial" w:eastAsia="Calibri" w:hAnsi="Arial" w:cs="Arial"/>
                <w:b/>
              </w:rPr>
            </w:pPr>
            <w:r w:rsidRPr="00C93C49">
              <w:rPr>
                <w:rFonts w:ascii="Arial" w:eastAsia="Calibri" w:hAnsi="Arial" w:cs="Arial"/>
                <w:b/>
              </w:rPr>
              <w:t>Met-Ed</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1EBF7" w14:textId="77777777" w:rsidR="00C93C49" w:rsidRPr="00C93C49" w:rsidRDefault="00C93C49" w:rsidP="00C93C49">
            <w:pPr>
              <w:jc w:val="right"/>
              <w:rPr>
                <w:rFonts w:ascii="Arial" w:eastAsia="Calibri" w:hAnsi="Arial" w:cs="Arial"/>
              </w:rPr>
            </w:pPr>
            <w:r w:rsidRPr="00C93C49">
              <w:rPr>
                <w:rFonts w:ascii="Arial" w:eastAsia="Calibri" w:hAnsi="Arial" w:cs="Arial"/>
              </w:rPr>
              <w:t>84.57%</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63381" w14:textId="77777777" w:rsidR="00C93C49" w:rsidRPr="00C93C49" w:rsidRDefault="00C93C49" w:rsidP="00C93C49">
            <w:pPr>
              <w:jc w:val="right"/>
              <w:rPr>
                <w:rFonts w:ascii="Arial" w:eastAsia="Calibri" w:hAnsi="Arial" w:cs="Arial"/>
              </w:rPr>
            </w:pPr>
            <w:r w:rsidRPr="00C93C49">
              <w:rPr>
                <w:rFonts w:ascii="Arial" w:eastAsia="Calibri" w:hAnsi="Arial" w:cs="Arial"/>
              </w:rPr>
              <w:t>76.76%</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2AE5B" w14:textId="77777777" w:rsidR="00C93C49" w:rsidRPr="00C93C49" w:rsidRDefault="00C93C49" w:rsidP="00C93C49">
            <w:pPr>
              <w:jc w:val="right"/>
              <w:rPr>
                <w:rFonts w:ascii="Arial" w:eastAsia="Calibri" w:hAnsi="Arial" w:cs="Arial"/>
              </w:rPr>
            </w:pPr>
            <w:r w:rsidRPr="00C93C49">
              <w:rPr>
                <w:rFonts w:ascii="Arial" w:eastAsia="Calibri" w:hAnsi="Arial" w:cs="Arial"/>
              </w:rPr>
              <w:t>68.70%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7D8BD" w14:textId="77777777" w:rsidR="00C93C49" w:rsidRPr="00C93C49" w:rsidRDefault="00C93C49" w:rsidP="00C93C49">
            <w:pPr>
              <w:jc w:val="right"/>
              <w:rPr>
                <w:rFonts w:ascii="Arial" w:eastAsia="Calibri" w:hAnsi="Arial" w:cs="Arial"/>
              </w:rPr>
            </w:pPr>
            <w:r w:rsidRPr="00C93C49">
              <w:rPr>
                <w:rFonts w:ascii="Arial" w:eastAsia="Calibri" w:hAnsi="Arial" w:cs="Arial"/>
              </w:rPr>
              <w:t>86.97%</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291EA" w14:textId="77777777" w:rsidR="00C93C49" w:rsidRPr="00C93C49" w:rsidRDefault="00C93C49" w:rsidP="00C93C49">
            <w:pPr>
              <w:jc w:val="right"/>
              <w:rPr>
                <w:rFonts w:ascii="Arial" w:eastAsia="Calibri" w:hAnsi="Arial" w:cs="Arial"/>
              </w:rPr>
            </w:pPr>
            <w:r w:rsidRPr="00C93C49">
              <w:rPr>
                <w:rFonts w:ascii="Arial" w:eastAsia="Calibri" w:hAnsi="Arial" w:cs="Arial"/>
              </w:rPr>
              <w:t>82.78%</w:t>
            </w:r>
          </w:p>
        </w:tc>
      </w:tr>
      <w:tr w:rsidR="00C93C49" w:rsidRPr="00C93C49" w14:paraId="2E519B10" w14:textId="77777777" w:rsidTr="00347614">
        <w:trPr>
          <w:trHeight w:val="144"/>
          <w:jc w:val="center"/>
        </w:trPr>
        <w:tc>
          <w:tcPr>
            <w:tcW w:w="2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3A07D" w14:textId="77777777" w:rsidR="00C93C49" w:rsidRPr="00C93C49" w:rsidRDefault="00C93C49" w:rsidP="00C93C49">
            <w:pPr>
              <w:rPr>
                <w:rFonts w:ascii="Arial" w:eastAsia="Calibri" w:hAnsi="Arial" w:cs="Arial"/>
                <w:b/>
              </w:rPr>
            </w:pPr>
            <w:r w:rsidRPr="00C93C49">
              <w:rPr>
                <w:rFonts w:ascii="Arial" w:eastAsia="Calibri" w:hAnsi="Arial" w:cs="Arial"/>
                <w:b/>
              </w:rPr>
              <w:t>Penelec</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0BFD1" w14:textId="77777777" w:rsidR="00C93C49" w:rsidRPr="00C93C49" w:rsidRDefault="00C93C49" w:rsidP="00C93C49">
            <w:pPr>
              <w:jc w:val="right"/>
              <w:rPr>
                <w:rFonts w:ascii="Arial" w:eastAsia="Calibri" w:hAnsi="Arial" w:cs="Arial"/>
              </w:rPr>
            </w:pPr>
            <w:r w:rsidRPr="00C93C49">
              <w:rPr>
                <w:rFonts w:ascii="Arial" w:eastAsia="Calibri" w:hAnsi="Arial" w:cs="Arial"/>
              </w:rPr>
              <w:t>79.76%</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B77B0" w14:textId="77777777" w:rsidR="00C93C49" w:rsidRPr="00C93C49" w:rsidRDefault="00C93C49" w:rsidP="00C93C49">
            <w:pPr>
              <w:jc w:val="right"/>
              <w:rPr>
                <w:rFonts w:ascii="Arial" w:eastAsia="Calibri" w:hAnsi="Arial" w:cs="Arial"/>
              </w:rPr>
            </w:pPr>
            <w:r w:rsidRPr="00C93C49">
              <w:rPr>
                <w:rFonts w:ascii="Arial" w:eastAsia="Calibri" w:hAnsi="Arial" w:cs="Arial"/>
              </w:rPr>
              <w:t>78.51%</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B6EB5" w14:textId="77777777" w:rsidR="00C93C49" w:rsidRPr="00C93C49" w:rsidRDefault="00C93C49" w:rsidP="00C93C49">
            <w:pPr>
              <w:jc w:val="right"/>
              <w:rPr>
                <w:rFonts w:ascii="Arial" w:eastAsia="Calibri" w:hAnsi="Arial" w:cs="Arial"/>
              </w:rPr>
            </w:pPr>
            <w:r w:rsidRPr="00C93C49">
              <w:rPr>
                <w:rFonts w:ascii="Arial" w:eastAsia="Calibri" w:hAnsi="Arial" w:cs="Arial"/>
              </w:rPr>
              <w:t>70.49%</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2F270" w14:textId="77777777" w:rsidR="00C93C49" w:rsidRPr="00C93C49" w:rsidRDefault="00C93C49" w:rsidP="00C93C49">
            <w:pPr>
              <w:jc w:val="right"/>
              <w:rPr>
                <w:rFonts w:ascii="Arial" w:eastAsia="Calibri" w:hAnsi="Arial" w:cs="Arial"/>
              </w:rPr>
            </w:pPr>
            <w:r w:rsidRPr="00C93C49">
              <w:rPr>
                <w:rFonts w:ascii="Arial" w:eastAsia="Calibri" w:hAnsi="Arial" w:cs="Arial"/>
              </w:rPr>
              <w:t>90.19%</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BA6F9" w14:textId="77777777" w:rsidR="00C93C49" w:rsidRPr="00C93C49" w:rsidRDefault="00C93C49" w:rsidP="00C93C49">
            <w:pPr>
              <w:jc w:val="right"/>
              <w:rPr>
                <w:rFonts w:ascii="Arial" w:eastAsia="Calibri" w:hAnsi="Arial" w:cs="Arial"/>
              </w:rPr>
            </w:pPr>
            <w:r w:rsidRPr="00C93C49">
              <w:rPr>
                <w:rFonts w:ascii="Arial" w:eastAsia="Calibri" w:hAnsi="Arial" w:cs="Arial"/>
              </w:rPr>
              <w:t>85.75%</w:t>
            </w:r>
          </w:p>
        </w:tc>
      </w:tr>
      <w:tr w:rsidR="00C93C49" w:rsidRPr="00C93C49" w14:paraId="2927EBF6" w14:textId="77777777" w:rsidTr="00347614">
        <w:trPr>
          <w:trHeight w:val="144"/>
          <w:jc w:val="center"/>
        </w:trPr>
        <w:tc>
          <w:tcPr>
            <w:tcW w:w="2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69147" w14:textId="77777777" w:rsidR="00C93C49" w:rsidRPr="00C93C49" w:rsidRDefault="00C93C49" w:rsidP="00C93C49">
            <w:pPr>
              <w:rPr>
                <w:rFonts w:ascii="Arial" w:eastAsia="Calibri" w:hAnsi="Arial" w:cs="Arial"/>
                <w:b/>
              </w:rPr>
            </w:pPr>
            <w:r w:rsidRPr="00C93C49">
              <w:rPr>
                <w:rFonts w:ascii="Arial" w:eastAsia="Calibri" w:hAnsi="Arial" w:cs="Arial"/>
                <w:b/>
              </w:rPr>
              <w:t>Penn Power</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009CF" w14:textId="77777777" w:rsidR="00C93C49" w:rsidRPr="00C93C49" w:rsidRDefault="00C93C49" w:rsidP="00C93C49">
            <w:pPr>
              <w:jc w:val="right"/>
              <w:rPr>
                <w:rFonts w:ascii="Arial" w:eastAsia="Calibri" w:hAnsi="Arial" w:cs="Arial"/>
              </w:rPr>
            </w:pPr>
            <w:r w:rsidRPr="00C93C49">
              <w:rPr>
                <w:rFonts w:ascii="Arial" w:eastAsia="Calibri" w:hAnsi="Arial" w:cs="Arial"/>
              </w:rPr>
              <w:t>82.24%</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5532C" w14:textId="77777777" w:rsidR="00C93C49" w:rsidRPr="00C93C49" w:rsidRDefault="00C93C49" w:rsidP="00C93C49">
            <w:pPr>
              <w:jc w:val="right"/>
              <w:rPr>
                <w:rFonts w:ascii="Arial" w:eastAsia="Calibri" w:hAnsi="Arial" w:cs="Arial"/>
              </w:rPr>
            </w:pPr>
            <w:r w:rsidRPr="00C93C49">
              <w:rPr>
                <w:rFonts w:ascii="Arial" w:eastAsia="Calibri" w:hAnsi="Arial" w:cs="Arial"/>
              </w:rPr>
              <w:t>75.64%</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473F6" w14:textId="77777777" w:rsidR="00C93C49" w:rsidRPr="00C93C49" w:rsidRDefault="00C93C49" w:rsidP="00C93C49">
            <w:pPr>
              <w:jc w:val="right"/>
              <w:rPr>
                <w:rFonts w:ascii="Arial" w:eastAsia="Calibri" w:hAnsi="Arial" w:cs="Arial"/>
              </w:rPr>
            </w:pPr>
            <w:r w:rsidRPr="00C93C49">
              <w:rPr>
                <w:rFonts w:ascii="Arial" w:eastAsia="Calibri" w:hAnsi="Arial" w:cs="Arial"/>
              </w:rPr>
              <w:t>79.00%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167F3" w14:textId="77777777" w:rsidR="00C93C49" w:rsidRPr="00C93C49" w:rsidRDefault="00C93C49" w:rsidP="00C93C49">
            <w:pPr>
              <w:jc w:val="right"/>
              <w:rPr>
                <w:rFonts w:ascii="Arial" w:eastAsia="Calibri" w:hAnsi="Arial" w:cs="Arial"/>
              </w:rPr>
            </w:pPr>
            <w:r w:rsidRPr="00C93C49">
              <w:rPr>
                <w:rFonts w:ascii="Arial" w:eastAsia="Calibri" w:hAnsi="Arial" w:cs="Arial"/>
              </w:rPr>
              <w:t>76.70%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DCF57" w14:textId="77777777" w:rsidR="00C93C49" w:rsidRPr="00C93C49" w:rsidRDefault="00C93C49" w:rsidP="00C93C49">
            <w:pPr>
              <w:jc w:val="right"/>
              <w:rPr>
                <w:rFonts w:ascii="Arial" w:eastAsia="Calibri" w:hAnsi="Arial" w:cs="Arial"/>
              </w:rPr>
            </w:pPr>
            <w:r w:rsidRPr="00C93C49">
              <w:rPr>
                <w:rFonts w:ascii="Arial" w:eastAsia="Calibri" w:hAnsi="Arial" w:cs="Arial"/>
              </w:rPr>
              <w:t>69.59%</w:t>
            </w:r>
          </w:p>
        </w:tc>
      </w:tr>
      <w:tr w:rsidR="00C93C49" w:rsidRPr="00C93C49" w14:paraId="53439C30" w14:textId="77777777" w:rsidTr="00347614">
        <w:trPr>
          <w:trHeight w:val="144"/>
          <w:jc w:val="center"/>
        </w:trPr>
        <w:tc>
          <w:tcPr>
            <w:tcW w:w="2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40E69" w14:textId="77777777" w:rsidR="00C93C49" w:rsidRPr="00C93C49" w:rsidRDefault="00C93C49" w:rsidP="00C93C49">
            <w:pPr>
              <w:rPr>
                <w:rFonts w:ascii="Arial" w:eastAsia="Calibri" w:hAnsi="Arial" w:cs="Arial"/>
                <w:b/>
              </w:rPr>
            </w:pPr>
            <w:r w:rsidRPr="00C93C49">
              <w:rPr>
                <w:rFonts w:ascii="Arial" w:eastAsia="Calibri" w:hAnsi="Arial" w:cs="Arial"/>
                <w:b/>
              </w:rPr>
              <w:t>West Penn Power</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9CE5F" w14:textId="77777777" w:rsidR="00C93C49" w:rsidRPr="00C93C49" w:rsidRDefault="00C93C49" w:rsidP="00C93C49">
            <w:pPr>
              <w:jc w:val="right"/>
              <w:rPr>
                <w:rFonts w:ascii="Arial" w:eastAsia="Calibri" w:hAnsi="Arial" w:cs="Arial"/>
              </w:rPr>
            </w:pPr>
            <w:r w:rsidRPr="00C93C49">
              <w:rPr>
                <w:rFonts w:ascii="Arial" w:eastAsia="Calibri" w:hAnsi="Arial" w:cs="Arial"/>
              </w:rPr>
              <w:t>94.46%</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F1901" w14:textId="77777777" w:rsidR="00C93C49" w:rsidRPr="00C93C49" w:rsidRDefault="00C93C49" w:rsidP="00C93C49">
            <w:pPr>
              <w:jc w:val="right"/>
              <w:rPr>
                <w:rFonts w:ascii="Arial" w:eastAsia="Calibri" w:hAnsi="Arial" w:cs="Arial"/>
              </w:rPr>
            </w:pPr>
            <w:r w:rsidRPr="00C93C49">
              <w:rPr>
                <w:rFonts w:ascii="Arial" w:eastAsia="Calibri" w:hAnsi="Arial" w:cs="Arial"/>
              </w:rPr>
              <w:t>90.67%</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F3D5D" w14:textId="77777777" w:rsidR="00C93C49" w:rsidRPr="00C93C49" w:rsidRDefault="00C93C49" w:rsidP="00C93C49">
            <w:pPr>
              <w:jc w:val="right"/>
              <w:rPr>
                <w:rFonts w:ascii="Arial" w:eastAsia="Calibri" w:hAnsi="Arial" w:cs="Arial"/>
              </w:rPr>
            </w:pPr>
            <w:r w:rsidRPr="00C93C49">
              <w:rPr>
                <w:rFonts w:ascii="Arial" w:eastAsia="Calibri" w:hAnsi="Arial" w:cs="Arial"/>
              </w:rPr>
              <w:t>92.86%</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1F852" w14:textId="77777777" w:rsidR="00C93C49" w:rsidRPr="00C93C49" w:rsidRDefault="00C93C49" w:rsidP="00C93C49">
            <w:pPr>
              <w:jc w:val="right"/>
              <w:rPr>
                <w:rFonts w:ascii="Arial" w:eastAsia="Calibri" w:hAnsi="Arial" w:cs="Arial"/>
              </w:rPr>
            </w:pPr>
            <w:r w:rsidRPr="00C93C49">
              <w:rPr>
                <w:rFonts w:ascii="Arial" w:eastAsia="Calibri" w:hAnsi="Arial" w:cs="Arial"/>
              </w:rPr>
              <w:t>85.52%</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02BF8" w14:textId="77777777" w:rsidR="00C93C49" w:rsidRPr="00C93C49" w:rsidRDefault="00C93C49" w:rsidP="00C93C49">
            <w:pPr>
              <w:jc w:val="right"/>
              <w:rPr>
                <w:rFonts w:ascii="Arial" w:eastAsia="Calibri" w:hAnsi="Arial" w:cs="Arial"/>
              </w:rPr>
            </w:pPr>
            <w:r w:rsidRPr="00C93C49">
              <w:rPr>
                <w:rFonts w:ascii="Arial" w:eastAsia="Calibri" w:hAnsi="Arial" w:cs="Arial"/>
              </w:rPr>
              <w:t>83.42%</w:t>
            </w:r>
          </w:p>
        </w:tc>
      </w:tr>
      <w:tr w:rsidR="00C93C49" w:rsidRPr="00C93C49" w14:paraId="68C180EE" w14:textId="77777777" w:rsidTr="00347614">
        <w:trPr>
          <w:trHeight w:val="422"/>
          <w:jc w:val="center"/>
        </w:trPr>
        <w:tc>
          <w:tcPr>
            <w:tcW w:w="2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BC822" w14:textId="77777777" w:rsidR="00C93C49" w:rsidRPr="00C93C49" w:rsidRDefault="00C93C49" w:rsidP="00C93C49">
            <w:pPr>
              <w:jc w:val="center"/>
              <w:rPr>
                <w:rFonts w:ascii="Calibri" w:eastAsia="Calibri" w:hAnsi="Calibri"/>
              </w:rPr>
            </w:pPr>
            <w:r w:rsidRPr="00C93C49">
              <w:rPr>
                <w:rFonts w:ascii="Arial" w:eastAsia="Calibri" w:hAnsi="Arial" w:cs="Arial"/>
                <w:b/>
              </w:rPr>
              <w:t>Error Rate</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9B35E" w14:textId="77777777" w:rsidR="00C93C49" w:rsidRPr="00C93C49" w:rsidRDefault="00C93C49" w:rsidP="00C93C49">
            <w:pPr>
              <w:jc w:val="center"/>
              <w:rPr>
                <w:rFonts w:ascii="Arial" w:eastAsia="Calibri" w:hAnsi="Arial" w:cs="Arial"/>
                <w:b/>
              </w:rPr>
            </w:pPr>
            <w:r w:rsidRPr="00C93C49">
              <w:rPr>
                <w:rFonts w:ascii="Arial" w:eastAsia="Calibri" w:hAnsi="Arial" w:cs="Arial"/>
                <w:b/>
              </w:rPr>
              <w:t>2009</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2F005" w14:textId="77777777" w:rsidR="00C93C49" w:rsidRPr="00C93C49" w:rsidRDefault="00C93C49" w:rsidP="00C93C49">
            <w:pPr>
              <w:jc w:val="center"/>
              <w:rPr>
                <w:rFonts w:ascii="Arial" w:eastAsia="Calibri" w:hAnsi="Arial" w:cs="Arial"/>
                <w:b/>
              </w:rPr>
            </w:pPr>
            <w:r w:rsidRPr="00C93C49">
              <w:rPr>
                <w:rFonts w:ascii="Arial" w:eastAsia="Calibri" w:hAnsi="Arial" w:cs="Arial"/>
                <w:b/>
              </w:rPr>
              <w:t>2010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EC59C" w14:textId="77777777" w:rsidR="00C93C49" w:rsidRPr="00C93C49" w:rsidRDefault="00C93C49" w:rsidP="00C93C49">
            <w:pPr>
              <w:jc w:val="center"/>
              <w:rPr>
                <w:rFonts w:ascii="Arial" w:eastAsia="Calibri" w:hAnsi="Arial" w:cs="Arial"/>
                <w:b/>
              </w:rPr>
            </w:pPr>
            <w:r w:rsidRPr="00C93C49">
              <w:rPr>
                <w:rFonts w:ascii="Arial" w:eastAsia="Calibri" w:hAnsi="Arial" w:cs="Arial"/>
                <w:b/>
              </w:rPr>
              <w:t>2011</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FCAB0" w14:textId="77777777" w:rsidR="00C93C49" w:rsidRPr="00C93C49" w:rsidRDefault="00C93C49" w:rsidP="00C93C49">
            <w:pPr>
              <w:jc w:val="center"/>
              <w:rPr>
                <w:rFonts w:ascii="Arial" w:eastAsia="Calibri" w:hAnsi="Arial" w:cs="Arial"/>
                <w:b/>
              </w:rPr>
            </w:pPr>
            <w:r w:rsidRPr="00C93C49">
              <w:rPr>
                <w:rFonts w:ascii="Arial" w:eastAsia="Calibri" w:hAnsi="Arial" w:cs="Arial"/>
                <w:b/>
              </w:rPr>
              <w:t>2012</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AF93B0" w14:textId="77777777" w:rsidR="00C93C49" w:rsidRPr="00C93C49" w:rsidRDefault="00C93C49" w:rsidP="00C93C49">
            <w:pPr>
              <w:jc w:val="center"/>
              <w:rPr>
                <w:rFonts w:ascii="Arial" w:eastAsia="Calibri" w:hAnsi="Arial" w:cs="Arial"/>
                <w:b/>
              </w:rPr>
            </w:pPr>
            <w:r w:rsidRPr="00C93C49">
              <w:rPr>
                <w:rFonts w:ascii="Arial" w:eastAsia="Calibri" w:hAnsi="Arial" w:cs="Arial"/>
                <w:b/>
              </w:rPr>
              <w:t>2013</w:t>
            </w:r>
          </w:p>
        </w:tc>
      </w:tr>
      <w:tr w:rsidR="00C93C49" w:rsidRPr="00C93C49" w14:paraId="57E9B269" w14:textId="77777777" w:rsidTr="00347614">
        <w:trPr>
          <w:trHeight w:val="144"/>
          <w:jc w:val="center"/>
        </w:trPr>
        <w:tc>
          <w:tcPr>
            <w:tcW w:w="2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C1AED" w14:textId="77777777" w:rsidR="00C93C49" w:rsidRPr="00C93C49" w:rsidRDefault="00C93C49" w:rsidP="00C93C49">
            <w:pPr>
              <w:rPr>
                <w:rFonts w:ascii="Arial" w:eastAsia="Calibri" w:hAnsi="Arial" w:cs="Arial"/>
                <w:b/>
              </w:rPr>
            </w:pPr>
            <w:r w:rsidRPr="00C93C49">
              <w:rPr>
                <w:rFonts w:ascii="Arial" w:eastAsia="Calibri" w:hAnsi="Arial" w:cs="Arial"/>
                <w:b/>
              </w:rPr>
              <w:t>Met-Ed</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1E896" w14:textId="77777777" w:rsidR="00C93C49" w:rsidRPr="00C93C49" w:rsidRDefault="00C93C49" w:rsidP="00C93C49">
            <w:pPr>
              <w:jc w:val="right"/>
              <w:rPr>
                <w:rFonts w:ascii="Arial" w:eastAsia="Calibri" w:hAnsi="Arial" w:cs="Arial"/>
              </w:rPr>
            </w:pPr>
            <w:r w:rsidRPr="00C93C49">
              <w:rPr>
                <w:rFonts w:ascii="Arial" w:eastAsia="Calibri" w:hAnsi="Arial" w:cs="Arial"/>
              </w:rPr>
              <w:t>26.7</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4B151" w14:textId="77777777" w:rsidR="00C93C49" w:rsidRPr="00C93C49" w:rsidRDefault="00C93C49" w:rsidP="00C93C49">
            <w:pPr>
              <w:jc w:val="right"/>
              <w:rPr>
                <w:rFonts w:ascii="Arial" w:eastAsia="Calibri" w:hAnsi="Arial" w:cs="Arial"/>
              </w:rPr>
            </w:pPr>
            <w:r w:rsidRPr="00C93C49">
              <w:rPr>
                <w:rFonts w:ascii="Arial" w:eastAsia="Calibri" w:hAnsi="Arial" w:cs="Arial"/>
              </w:rPr>
              <w:t>42.0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31657" w14:textId="77777777" w:rsidR="00C93C49" w:rsidRPr="00C93C49" w:rsidRDefault="00C93C49" w:rsidP="00C93C49">
            <w:pPr>
              <w:jc w:val="right"/>
              <w:rPr>
                <w:rFonts w:ascii="Arial" w:eastAsia="Calibri" w:hAnsi="Arial" w:cs="Arial"/>
              </w:rPr>
            </w:pPr>
            <w:r w:rsidRPr="00C93C49">
              <w:rPr>
                <w:rFonts w:ascii="Arial" w:eastAsia="Calibri" w:hAnsi="Arial" w:cs="Arial"/>
              </w:rPr>
              <w:t>33.3</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CDE00" w14:textId="77777777" w:rsidR="00C93C49" w:rsidRPr="00C93C49" w:rsidRDefault="00C93C49" w:rsidP="00C93C49">
            <w:pPr>
              <w:jc w:val="right"/>
              <w:rPr>
                <w:rFonts w:ascii="Arial" w:eastAsia="Calibri" w:hAnsi="Arial" w:cs="Arial"/>
              </w:rPr>
            </w:pPr>
            <w:r w:rsidRPr="00C93C49">
              <w:rPr>
                <w:rFonts w:ascii="Arial" w:eastAsia="Calibri" w:hAnsi="Arial" w:cs="Arial"/>
              </w:rPr>
              <w:t>39.3</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D6A08" w14:textId="77777777" w:rsidR="00C93C49" w:rsidRPr="00C93C49" w:rsidRDefault="00C93C49" w:rsidP="00C93C49">
            <w:pPr>
              <w:jc w:val="right"/>
              <w:rPr>
                <w:rFonts w:ascii="Arial" w:eastAsia="Calibri" w:hAnsi="Arial" w:cs="Arial"/>
              </w:rPr>
            </w:pPr>
            <w:r w:rsidRPr="00C93C49">
              <w:rPr>
                <w:rFonts w:ascii="Arial" w:eastAsia="Calibri" w:hAnsi="Arial" w:cs="Arial"/>
              </w:rPr>
              <w:t>35.0</w:t>
            </w:r>
          </w:p>
        </w:tc>
      </w:tr>
      <w:tr w:rsidR="00C93C49" w:rsidRPr="00C93C49" w14:paraId="25E01BC7" w14:textId="77777777" w:rsidTr="00347614">
        <w:trPr>
          <w:trHeight w:val="144"/>
          <w:jc w:val="center"/>
        </w:trPr>
        <w:tc>
          <w:tcPr>
            <w:tcW w:w="2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E4993" w14:textId="77777777" w:rsidR="00C93C49" w:rsidRPr="00C93C49" w:rsidRDefault="00C93C49" w:rsidP="00C93C49">
            <w:pPr>
              <w:rPr>
                <w:rFonts w:ascii="Arial" w:eastAsia="Calibri" w:hAnsi="Arial" w:cs="Arial"/>
                <w:b/>
              </w:rPr>
            </w:pPr>
            <w:r w:rsidRPr="00C93C49">
              <w:rPr>
                <w:rFonts w:ascii="Arial" w:eastAsia="Calibri" w:hAnsi="Arial" w:cs="Arial"/>
                <w:b/>
              </w:rPr>
              <w:t>Penelec</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967AB" w14:textId="77777777" w:rsidR="00C93C49" w:rsidRPr="00C93C49" w:rsidRDefault="00C93C49" w:rsidP="00C93C49">
            <w:pPr>
              <w:jc w:val="right"/>
              <w:rPr>
                <w:rFonts w:ascii="Arial" w:eastAsia="Calibri" w:hAnsi="Arial" w:cs="Arial"/>
              </w:rPr>
            </w:pPr>
            <w:r w:rsidRPr="00C93C49">
              <w:rPr>
                <w:rFonts w:ascii="Arial" w:eastAsia="Calibri" w:hAnsi="Arial" w:cs="Arial"/>
              </w:rPr>
              <w:t>31.7</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AC7BD" w14:textId="77777777" w:rsidR="00C93C49" w:rsidRPr="00C93C49" w:rsidRDefault="00C93C49" w:rsidP="00C93C49">
            <w:pPr>
              <w:jc w:val="right"/>
              <w:rPr>
                <w:rFonts w:ascii="Arial" w:eastAsia="Calibri" w:hAnsi="Arial" w:cs="Arial"/>
              </w:rPr>
            </w:pPr>
            <w:r w:rsidRPr="00C93C49">
              <w:rPr>
                <w:rFonts w:ascii="Arial" w:eastAsia="Calibri" w:hAnsi="Arial" w:cs="Arial"/>
              </w:rPr>
              <w:t>33.7</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D757A" w14:textId="77777777" w:rsidR="00C93C49" w:rsidRPr="00C93C49" w:rsidRDefault="00C93C49" w:rsidP="00C93C49">
            <w:pPr>
              <w:jc w:val="right"/>
              <w:rPr>
                <w:rFonts w:ascii="Arial" w:eastAsia="Calibri" w:hAnsi="Arial" w:cs="Arial"/>
              </w:rPr>
            </w:pPr>
            <w:r w:rsidRPr="00C93C49">
              <w:rPr>
                <w:rFonts w:ascii="Arial" w:eastAsia="Calibri" w:hAnsi="Arial" w:cs="Arial"/>
              </w:rPr>
              <w:t>33.1</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09EA9" w14:textId="77777777" w:rsidR="00C93C49" w:rsidRPr="00C93C49" w:rsidRDefault="00C93C49" w:rsidP="00C93C49">
            <w:pPr>
              <w:jc w:val="right"/>
              <w:rPr>
                <w:rFonts w:ascii="Arial" w:eastAsia="Calibri" w:hAnsi="Arial" w:cs="Arial"/>
              </w:rPr>
            </w:pPr>
            <w:r w:rsidRPr="00C93C49">
              <w:rPr>
                <w:rFonts w:ascii="Arial" w:eastAsia="Calibri" w:hAnsi="Arial" w:cs="Arial"/>
              </w:rPr>
              <w:t>33.9</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3B554" w14:textId="77777777" w:rsidR="00C93C49" w:rsidRPr="00C93C49" w:rsidRDefault="00C93C49" w:rsidP="00C93C49">
            <w:pPr>
              <w:jc w:val="right"/>
              <w:rPr>
                <w:rFonts w:ascii="Arial" w:eastAsia="Calibri" w:hAnsi="Arial" w:cs="Arial"/>
              </w:rPr>
            </w:pPr>
            <w:r w:rsidRPr="00C93C49">
              <w:rPr>
                <w:rFonts w:ascii="Arial" w:eastAsia="Calibri" w:hAnsi="Arial" w:cs="Arial"/>
              </w:rPr>
              <w:t>27.6</w:t>
            </w:r>
          </w:p>
        </w:tc>
      </w:tr>
      <w:tr w:rsidR="00C93C49" w:rsidRPr="00C93C49" w14:paraId="61B32EE8" w14:textId="77777777" w:rsidTr="00347614">
        <w:trPr>
          <w:trHeight w:val="144"/>
          <w:jc w:val="center"/>
        </w:trPr>
        <w:tc>
          <w:tcPr>
            <w:tcW w:w="2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666FA" w14:textId="77777777" w:rsidR="00C93C49" w:rsidRPr="00C93C49" w:rsidRDefault="00C93C49" w:rsidP="00C93C49">
            <w:pPr>
              <w:rPr>
                <w:rFonts w:ascii="Arial" w:eastAsia="Calibri" w:hAnsi="Arial" w:cs="Arial"/>
                <w:b/>
              </w:rPr>
            </w:pPr>
            <w:r w:rsidRPr="00C93C49">
              <w:rPr>
                <w:rFonts w:ascii="Arial" w:eastAsia="Calibri" w:hAnsi="Arial" w:cs="Arial"/>
                <w:b/>
              </w:rPr>
              <w:t>Penn Power</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95BD0" w14:textId="77777777" w:rsidR="00C93C49" w:rsidRPr="00C93C49" w:rsidRDefault="00C93C49" w:rsidP="00C93C49">
            <w:pPr>
              <w:jc w:val="right"/>
              <w:rPr>
                <w:rFonts w:ascii="Arial" w:eastAsia="Calibri" w:hAnsi="Arial" w:cs="Arial"/>
              </w:rPr>
            </w:pPr>
            <w:r w:rsidRPr="00C93C49">
              <w:rPr>
                <w:rFonts w:ascii="Arial" w:eastAsia="Calibri" w:hAnsi="Arial" w:cs="Arial"/>
              </w:rPr>
              <w:t>49.2</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40FFA" w14:textId="77777777" w:rsidR="00C93C49" w:rsidRPr="00C93C49" w:rsidRDefault="00C93C49" w:rsidP="00C93C49">
            <w:pPr>
              <w:jc w:val="right"/>
              <w:rPr>
                <w:rFonts w:ascii="Arial" w:eastAsia="Calibri" w:hAnsi="Arial" w:cs="Arial"/>
              </w:rPr>
            </w:pPr>
            <w:r w:rsidRPr="00C93C49">
              <w:rPr>
                <w:rFonts w:ascii="Arial" w:eastAsia="Calibri" w:hAnsi="Arial" w:cs="Arial"/>
              </w:rPr>
              <w:t>36.5</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5ECB9" w14:textId="77777777" w:rsidR="00C93C49" w:rsidRPr="00C93C49" w:rsidRDefault="00C93C49" w:rsidP="00C93C49">
            <w:pPr>
              <w:jc w:val="right"/>
              <w:rPr>
                <w:rFonts w:ascii="Arial" w:eastAsia="Calibri" w:hAnsi="Arial" w:cs="Arial"/>
              </w:rPr>
            </w:pPr>
            <w:r w:rsidRPr="00C93C49">
              <w:rPr>
                <w:rFonts w:ascii="Arial" w:eastAsia="Calibri" w:hAnsi="Arial" w:cs="Arial"/>
              </w:rPr>
              <w:t>25.5</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73545" w14:textId="77777777" w:rsidR="00C93C49" w:rsidRPr="00C93C49" w:rsidRDefault="00C93C49" w:rsidP="00C93C49">
            <w:pPr>
              <w:jc w:val="right"/>
              <w:rPr>
                <w:rFonts w:ascii="Arial" w:eastAsia="Calibri" w:hAnsi="Arial" w:cs="Arial"/>
              </w:rPr>
            </w:pPr>
            <w:r w:rsidRPr="00C93C49">
              <w:rPr>
                <w:rFonts w:ascii="Arial" w:eastAsia="Calibri" w:hAnsi="Arial" w:cs="Arial"/>
              </w:rPr>
              <w:t>25.8</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37D85" w14:textId="77777777" w:rsidR="00C93C49" w:rsidRPr="00C93C49" w:rsidRDefault="00C93C49" w:rsidP="00C93C49">
            <w:pPr>
              <w:jc w:val="right"/>
              <w:rPr>
                <w:rFonts w:ascii="Arial" w:eastAsia="Calibri" w:hAnsi="Arial" w:cs="Arial"/>
              </w:rPr>
            </w:pPr>
            <w:r w:rsidRPr="00C93C49">
              <w:rPr>
                <w:rFonts w:ascii="Arial" w:eastAsia="Calibri" w:hAnsi="Arial" w:cs="Arial"/>
              </w:rPr>
              <w:t>37.0</w:t>
            </w:r>
          </w:p>
        </w:tc>
      </w:tr>
      <w:tr w:rsidR="00C93C49" w:rsidRPr="00C93C49" w14:paraId="59F84A11" w14:textId="77777777" w:rsidTr="00347614">
        <w:trPr>
          <w:trHeight w:val="144"/>
          <w:jc w:val="center"/>
        </w:trPr>
        <w:tc>
          <w:tcPr>
            <w:tcW w:w="2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B6116" w14:textId="77777777" w:rsidR="00C93C49" w:rsidRPr="00C93C49" w:rsidRDefault="00C93C49" w:rsidP="00C93C49">
            <w:pPr>
              <w:rPr>
                <w:rFonts w:ascii="Arial" w:eastAsia="Calibri" w:hAnsi="Arial" w:cs="Arial"/>
                <w:b/>
              </w:rPr>
            </w:pPr>
            <w:r w:rsidRPr="00C93C49">
              <w:rPr>
                <w:rFonts w:ascii="Arial" w:eastAsia="Calibri" w:hAnsi="Arial" w:cs="Arial"/>
                <w:b/>
              </w:rPr>
              <w:t>West Penn Power</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8448F" w14:textId="77777777" w:rsidR="00C93C49" w:rsidRPr="00C93C49" w:rsidRDefault="00C93C49" w:rsidP="00C93C49">
            <w:pPr>
              <w:jc w:val="right"/>
              <w:rPr>
                <w:rFonts w:ascii="Arial" w:eastAsia="Calibri" w:hAnsi="Arial" w:cs="Arial"/>
              </w:rPr>
            </w:pPr>
            <w:r w:rsidRPr="00C93C49">
              <w:rPr>
                <w:rFonts w:ascii="Arial" w:eastAsia="Calibri" w:hAnsi="Arial" w:cs="Arial"/>
              </w:rPr>
              <w:t>NA</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B0B4D" w14:textId="77777777" w:rsidR="00C93C49" w:rsidRPr="00C93C49" w:rsidRDefault="00C93C49" w:rsidP="00C93C49">
            <w:pPr>
              <w:jc w:val="right"/>
              <w:rPr>
                <w:rFonts w:ascii="Arial" w:eastAsia="Calibri" w:hAnsi="Arial" w:cs="Arial"/>
              </w:rPr>
            </w:pPr>
            <w:r w:rsidRPr="00C93C49">
              <w:rPr>
                <w:rFonts w:ascii="Arial" w:eastAsia="Calibri" w:hAnsi="Arial" w:cs="Arial"/>
              </w:rPr>
              <w:t>184.3</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D4B49" w14:textId="77777777" w:rsidR="00C93C49" w:rsidRPr="00C93C49" w:rsidRDefault="00C93C49" w:rsidP="00C93C49">
            <w:pPr>
              <w:jc w:val="right"/>
              <w:rPr>
                <w:rFonts w:ascii="Arial" w:eastAsia="Calibri" w:hAnsi="Arial" w:cs="Arial"/>
              </w:rPr>
            </w:pPr>
            <w:r w:rsidRPr="00C93C49">
              <w:rPr>
                <w:rFonts w:ascii="Arial" w:eastAsia="Calibri" w:hAnsi="Arial" w:cs="Arial"/>
              </w:rPr>
              <w:t>142.7</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DFFD7" w14:textId="77777777" w:rsidR="00C93C49" w:rsidRPr="00C93C49" w:rsidRDefault="00C93C49" w:rsidP="00C93C49">
            <w:pPr>
              <w:jc w:val="right"/>
              <w:rPr>
                <w:rFonts w:ascii="Arial" w:eastAsia="Calibri" w:hAnsi="Arial" w:cs="Arial"/>
              </w:rPr>
            </w:pPr>
            <w:r w:rsidRPr="00C93C49">
              <w:rPr>
                <w:rFonts w:ascii="Arial" w:eastAsia="Calibri" w:hAnsi="Arial" w:cs="Arial"/>
              </w:rPr>
              <w:t>84.9</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CD085" w14:textId="77777777" w:rsidR="00C93C49" w:rsidRPr="00C93C49" w:rsidRDefault="00C93C49" w:rsidP="00C93C49">
            <w:pPr>
              <w:jc w:val="right"/>
              <w:rPr>
                <w:rFonts w:ascii="Arial" w:eastAsia="Calibri" w:hAnsi="Arial" w:cs="Arial"/>
              </w:rPr>
            </w:pPr>
            <w:r w:rsidRPr="00C93C49">
              <w:rPr>
                <w:rFonts w:ascii="Arial" w:eastAsia="Calibri" w:hAnsi="Arial" w:cs="Arial"/>
              </w:rPr>
              <w:t>104.2</w:t>
            </w:r>
          </w:p>
        </w:tc>
      </w:tr>
    </w:tbl>
    <w:p w14:paraId="253E6085" w14:textId="77777777" w:rsidR="00C93C49" w:rsidRPr="00C93C49" w:rsidRDefault="00C93C49" w:rsidP="00C93C49">
      <w:pPr>
        <w:tabs>
          <w:tab w:val="left" w:pos="2340"/>
        </w:tabs>
        <w:spacing w:after="0"/>
        <w:ind w:firstLine="630"/>
        <w:rPr>
          <w:rFonts w:ascii="Arial" w:eastAsia="Times New Roman" w:hAnsi="Arial" w:cs="Arial"/>
          <w:sz w:val="18"/>
          <w:szCs w:val="18"/>
        </w:rPr>
      </w:pPr>
      <w:r w:rsidRPr="00C93C49">
        <w:rPr>
          <w:rFonts w:ascii="Arial" w:eastAsia="Times New Roman" w:hAnsi="Arial" w:cs="Arial"/>
          <w:sz w:val="18"/>
          <w:szCs w:val="18"/>
        </w:rPr>
        <w:t>NA – Not Available</w:t>
      </w:r>
    </w:p>
    <w:p w14:paraId="650988D5" w14:textId="77777777" w:rsidR="00C93C49" w:rsidRPr="00C93C49" w:rsidRDefault="00C93C49" w:rsidP="00C93C49">
      <w:pPr>
        <w:tabs>
          <w:tab w:val="left" w:pos="2340"/>
        </w:tabs>
        <w:spacing w:after="0"/>
        <w:ind w:firstLine="630"/>
        <w:rPr>
          <w:rFonts w:ascii="Arial" w:eastAsia="Times New Roman" w:hAnsi="Arial" w:cs="Arial"/>
          <w:sz w:val="18"/>
          <w:szCs w:val="18"/>
        </w:rPr>
      </w:pPr>
      <w:r w:rsidRPr="00C93C49">
        <w:rPr>
          <w:rFonts w:ascii="Arial" w:eastAsia="Times New Roman" w:hAnsi="Arial" w:cs="Arial"/>
          <w:sz w:val="18"/>
          <w:szCs w:val="18"/>
        </w:rPr>
        <w:t>Source: 2014 Management Audit Exhibit X-3</w:t>
      </w:r>
    </w:p>
    <w:p w14:paraId="39D34E43" w14:textId="77777777" w:rsidR="00C93C49" w:rsidRPr="00C93C49" w:rsidRDefault="00C93C49" w:rsidP="00C93C49">
      <w:pPr>
        <w:autoSpaceDE w:val="0"/>
        <w:autoSpaceDN w:val="0"/>
        <w:adjustRightInd w:val="0"/>
        <w:spacing w:after="0" w:line="20" w:lineRule="atLeast"/>
        <w:contextualSpacing/>
        <w:jc w:val="center"/>
        <w:rPr>
          <w:rFonts w:ascii="Arial" w:hAnsi="Arial" w:cs="Arial"/>
          <w:sz w:val="24"/>
          <w:szCs w:val="24"/>
        </w:rPr>
      </w:pPr>
    </w:p>
    <w:p w14:paraId="7A6E35FB" w14:textId="77777777" w:rsidR="00C93C49" w:rsidRPr="00C93C49" w:rsidRDefault="00C93C49" w:rsidP="00C93C49">
      <w:pPr>
        <w:autoSpaceDE w:val="0"/>
        <w:autoSpaceDN w:val="0"/>
        <w:adjustRightInd w:val="0"/>
        <w:spacing w:after="0" w:line="20" w:lineRule="atLeast"/>
        <w:contextualSpacing/>
        <w:jc w:val="center"/>
        <w:rPr>
          <w:rFonts w:ascii="Arial" w:hAnsi="Arial" w:cs="Arial"/>
          <w:sz w:val="24"/>
          <w:szCs w:val="24"/>
        </w:rPr>
      </w:pPr>
    </w:p>
    <w:p w14:paraId="7119CF9F" w14:textId="77777777" w:rsidR="00C93C49" w:rsidRPr="00C93C49" w:rsidRDefault="00C93C49" w:rsidP="00C93C49">
      <w:pPr>
        <w:spacing w:after="0" w:line="20" w:lineRule="atLeast"/>
        <w:contextualSpacing/>
        <w:rPr>
          <w:rFonts w:ascii="Arial" w:hAnsi="Arial" w:cs="Arial"/>
          <w:sz w:val="24"/>
          <w:szCs w:val="24"/>
        </w:rPr>
      </w:pPr>
      <w:r w:rsidRPr="00C93C49">
        <w:rPr>
          <w:rFonts w:ascii="Arial" w:eastAsia="Times New Roman" w:hAnsi="Arial" w:cs="Times New Roman"/>
          <w:b/>
          <w:sz w:val="24"/>
          <w:szCs w:val="24"/>
          <w:u w:val="single"/>
        </w:rPr>
        <w:t>Prior Recommendation</w:t>
      </w:r>
      <w:r w:rsidRPr="00C93C49">
        <w:rPr>
          <w:rFonts w:ascii="Arial" w:eastAsia="Times New Roman" w:hAnsi="Arial" w:cs="Times New Roman"/>
          <w:sz w:val="24"/>
          <w:szCs w:val="24"/>
        </w:rPr>
        <w:t xml:space="preserve"> – </w:t>
      </w:r>
      <w:r w:rsidRPr="00C93C49">
        <w:rPr>
          <w:rFonts w:ascii="Arial" w:hAnsi="Arial" w:cs="Arial"/>
          <w:bCs/>
          <w:sz w:val="24"/>
          <w:szCs w:val="24"/>
        </w:rPr>
        <w:t>Improve meter reading performance levels through increased staffing and/or use of contractors while implementing smart meter technologies.</w:t>
      </w:r>
    </w:p>
    <w:p w14:paraId="063F0745" w14:textId="77777777" w:rsidR="00C93C49" w:rsidRPr="00C93C49" w:rsidRDefault="00C93C49" w:rsidP="00C93C49">
      <w:pPr>
        <w:spacing w:after="0" w:line="20" w:lineRule="atLeast"/>
        <w:contextualSpacing/>
        <w:rPr>
          <w:rFonts w:ascii="Arial" w:hAnsi="Arial" w:cs="Arial"/>
          <w:sz w:val="24"/>
          <w:szCs w:val="24"/>
        </w:rPr>
      </w:pPr>
    </w:p>
    <w:p w14:paraId="3B0682F6" w14:textId="77777777" w:rsidR="00C93C49" w:rsidRPr="00C93C49" w:rsidRDefault="00C93C49" w:rsidP="00C93C49">
      <w:pPr>
        <w:spacing w:after="0" w:line="20" w:lineRule="atLeast"/>
        <w:contextualSpacing/>
        <w:rPr>
          <w:rFonts w:ascii="Arial" w:hAnsi="Arial" w:cs="Arial"/>
          <w:b/>
          <w:sz w:val="24"/>
          <w:szCs w:val="24"/>
        </w:rPr>
      </w:pPr>
      <w:r w:rsidRPr="00C93C49">
        <w:rPr>
          <w:rFonts w:ascii="Arial" w:eastAsia="Times New Roman" w:hAnsi="Arial" w:cs="Times New Roman"/>
          <w:b/>
          <w:sz w:val="24"/>
          <w:szCs w:val="24"/>
          <w:u w:val="single"/>
        </w:rPr>
        <w:t>Follow-up Finding and Conclusion No. X-1</w:t>
      </w:r>
      <w:r w:rsidRPr="00C93C49">
        <w:rPr>
          <w:rFonts w:ascii="Arial" w:eastAsia="Times New Roman" w:hAnsi="Arial" w:cs="Times New Roman"/>
          <w:b/>
          <w:sz w:val="24"/>
          <w:szCs w:val="24"/>
        </w:rPr>
        <w:t xml:space="preserve"> – Meter reading performance has improved due to smart meter deployment.</w:t>
      </w:r>
    </w:p>
    <w:p w14:paraId="03DAE73F" w14:textId="77777777" w:rsidR="00C93C49" w:rsidRPr="00C93C49" w:rsidRDefault="00C93C49" w:rsidP="009E6E08">
      <w:pPr>
        <w:widowControl w:val="0"/>
        <w:spacing w:after="0" w:line="20" w:lineRule="atLeast"/>
        <w:contextualSpacing/>
        <w:rPr>
          <w:rFonts w:ascii="Arial" w:eastAsia="Times New Roman" w:hAnsi="Arial" w:cs="Arial"/>
          <w:b/>
          <w:snapToGrid w:val="0"/>
          <w:sz w:val="24"/>
          <w:szCs w:val="20"/>
          <w:u w:val="single"/>
        </w:rPr>
      </w:pPr>
    </w:p>
    <w:p w14:paraId="7FE6011F" w14:textId="77777777" w:rsidR="00C93C49" w:rsidRPr="00C93C49" w:rsidRDefault="00C93C49" w:rsidP="00DD171B">
      <w:pPr>
        <w:spacing w:line="240" w:lineRule="atLeast"/>
        <w:contextualSpacing/>
        <w:rPr>
          <w:rFonts w:ascii="Arial" w:eastAsia="Times New Roman" w:hAnsi="Arial" w:cs="Arial"/>
          <w:b/>
          <w:snapToGrid w:val="0"/>
          <w:sz w:val="24"/>
          <w:szCs w:val="20"/>
        </w:rPr>
      </w:pPr>
      <w:r w:rsidRPr="00C93C49">
        <w:rPr>
          <w:rFonts w:ascii="Arial" w:eastAsia="Times New Roman" w:hAnsi="Arial" w:cs="Arial"/>
          <w:b/>
          <w:snapToGrid w:val="0"/>
          <w:sz w:val="24"/>
          <w:szCs w:val="20"/>
          <w:u w:val="single"/>
        </w:rPr>
        <w:t>Current Review</w:t>
      </w:r>
      <w:r w:rsidRPr="00C93C49">
        <w:rPr>
          <w:rFonts w:ascii="Arial" w:eastAsia="Times New Roman" w:hAnsi="Arial" w:cs="Times New Roman"/>
          <w:sz w:val="24"/>
          <w:szCs w:val="24"/>
        </w:rPr>
        <w:t xml:space="preserve"> – </w:t>
      </w:r>
      <w:r w:rsidRPr="00DD171B">
        <w:rPr>
          <w:rFonts w:ascii="Arial" w:eastAsia="Times New Roman" w:hAnsi="Arial" w:cs="Times New Roman"/>
          <w:sz w:val="24"/>
          <w:szCs w:val="24"/>
        </w:rPr>
        <w:t xml:space="preserve">Exhibit X-2 shows that meter reader staffing levels from 2014 through 2017 were reduced 3.5% at Met-Ed and 25.0% at Penelec, eliminated at Penn Power (100% reduction), </w:t>
      </w:r>
      <w:r w:rsidR="009E6E08" w:rsidRPr="00DD171B">
        <w:rPr>
          <w:rFonts w:ascii="Arial" w:eastAsia="Times New Roman" w:hAnsi="Arial" w:cs="Times New Roman"/>
          <w:sz w:val="24"/>
          <w:szCs w:val="24"/>
        </w:rPr>
        <w:t xml:space="preserve">and </w:t>
      </w:r>
      <w:r w:rsidRPr="00DD171B">
        <w:rPr>
          <w:rFonts w:ascii="Arial" w:eastAsia="Times New Roman" w:hAnsi="Arial" w:cs="Times New Roman"/>
          <w:sz w:val="24"/>
          <w:szCs w:val="24"/>
        </w:rPr>
        <w:t>slightly increased by 2.3% at West Penn Power as smart meters have been deployed</w:t>
      </w:r>
      <w:r w:rsidR="009E6E08">
        <w:rPr>
          <w:rFonts w:ascii="Arial" w:eastAsia="Times New Roman" w:hAnsi="Arial" w:cs="Times New Roman"/>
          <w:sz w:val="24"/>
          <w:szCs w:val="24"/>
        </w:rPr>
        <w:t>.</w:t>
      </w:r>
      <w:r w:rsidR="009E6E08" w:rsidRPr="00DD171B">
        <w:rPr>
          <w:rFonts w:ascii="Arial" w:eastAsia="Times New Roman" w:hAnsi="Arial" w:cs="Times New Roman"/>
          <w:sz w:val="24"/>
          <w:szCs w:val="24"/>
        </w:rPr>
        <w:t xml:space="preserve"> </w:t>
      </w:r>
      <w:r w:rsidR="00DD171B">
        <w:rPr>
          <w:rFonts w:ascii="Arial" w:eastAsia="Times New Roman" w:hAnsi="Arial" w:cs="Times New Roman"/>
          <w:sz w:val="24"/>
          <w:szCs w:val="24"/>
        </w:rPr>
        <w:t xml:space="preserve"> </w:t>
      </w:r>
      <w:r w:rsidRPr="00DD171B">
        <w:rPr>
          <w:rFonts w:ascii="Arial" w:eastAsia="Times New Roman" w:hAnsi="Arial" w:cs="Times New Roman"/>
          <w:sz w:val="24"/>
          <w:szCs w:val="24"/>
        </w:rPr>
        <w:t>The reductions occurred primarily through attrition, employee transfers within the organization, or discontinuance of using contractors to perform meter reading functions.</w:t>
      </w:r>
      <w:r w:rsidRPr="00C93C49">
        <w:rPr>
          <w:rFonts w:ascii="Arial" w:eastAsia="Times New Roman" w:hAnsi="Arial" w:cs="Arial"/>
          <w:snapToGrid w:val="0"/>
          <w:sz w:val="24"/>
          <w:szCs w:val="20"/>
        </w:rPr>
        <w:t xml:space="preserve">  </w:t>
      </w:r>
    </w:p>
    <w:p w14:paraId="35C60D08" w14:textId="77777777" w:rsidR="00DD171B" w:rsidRDefault="00DD171B">
      <w:pPr>
        <w:rPr>
          <w:rFonts w:ascii="Arial" w:eastAsia="Times New Roman" w:hAnsi="Arial" w:cs="Arial"/>
          <w:b/>
          <w:snapToGrid w:val="0"/>
          <w:sz w:val="24"/>
          <w:szCs w:val="20"/>
        </w:rPr>
      </w:pPr>
      <w:r>
        <w:rPr>
          <w:rFonts w:ascii="Arial" w:eastAsia="Times New Roman" w:hAnsi="Arial" w:cs="Arial"/>
          <w:b/>
          <w:snapToGrid w:val="0"/>
          <w:sz w:val="24"/>
          <w:szCs w:val="20"/>
        </w:rPr>
        <w:br w:type="page"/>
      </w:r>
    </w:p>
    <w:p w14:paraId="09EEAEAC"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 xml:space="preserve">Exhibit X – 2 </w:t>
      </w:r>
    </w:p>
    <w:p w14:paraId="24AFA9E5" w14:textId="77777777" w:rsidR="00C93C49" w:rsidRPr="00C93C49" w:rsidRDefault="00C93C49" w:rsidP="00C93C49">
      <w:pPr>
        <w:spacing w:after="0" w:line="240" w:lineRule="auto"/>
        <w:jc w:val="center"/>
        <w:rPr>
          <w:rFonts w:ascii="Arial" w:eastAsia="Times New Roman" w:hAnsi="Arial" w:cs="Arial"/>
          <w:b/>
          <w:sz w:val="24"/>
          <w:szCs w:val="24"/>
        </w:rPr>
      </w:pPr>
      <w:r w:rsidRPr="00C93C49">
        <w:rPr>
          <w:rFonts w:ascii="Arial" w:eastAsia="Calibri" w:hAnsi="Arial" w:cs="Arial"/>
          <w:b/>
          <w:sz w:val="24"/>
          <w:szCs w:val="24"/>
        </w:rPr>
        <w:t>FirstEnergy Pennsylvania Companies</w:t>
      </w:r>
    </w:p>
    <w:p w14:paraId="02156C85"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Meter Reader Staffing Levels</w:t>
      </w:r>
    </w:p>
    <w:p w14:paraId="0AF0D1E2"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For the Years 2014 through 2017</w:t>
      </w:r>
    </w:p>
    <w:p w14:paraId="53B07AFB" w14:textId="77777777" w:rsidR="00C93C49" w:rsidRPr="00C93C49" w:rsidRDefault="00C93C49" w:rsidP="00C93C49">
      <w:pPr>
        <w:widowControl w:val="0"/>
        <w:spacing w:after="0" w:line="20" w:lineRule="atLeast"/>
        <w:contextualSpacing/>
        <w:rPr>
          <w:rFonts w:ascii="Arial" w:eastAsia="Times New Roman" w:hAnsi="Arial" w:cs="Arial"/>
          <w:snapToGrid w:val="0"/>
          <w:sz w:val="24"/>
          <w:szCs w:val="20"/>
        </w:rPr>
      </w:pPr>
    </w:p>
    <w:tbl>
      <w:tblPr>
        <w:tblW w:w="9304" w:type="dxa"/>
        <w:jc w:val="center"/>
        <w:tblLook w:val="04A0" w:firstRow="1" w:lastRow="0" w:firstColumn="1" w:lastColumn="0" w:noHBand="0" w:noVBand="1"/>
      </w:tblPr>
      <w:tblGrid>
        <w:gridCol w:w="2487"/>
        <w:gridCol w:w="1341"/>
        <w:gridCol w:w="1341"/>
        <w:gridCol w:w="1341"/>
        <w:gridCol w:w="1397"/>
        <w:gridCol w:w="1397"/>
      </w:tblGrid>
      <w:tr w:rsidR="00C93C49" w:rsidRPr="00C93C49" w14:paraId="68E34D8B" w14:textId="77777777" w:rsidTr="00347614">
        <w:trPr>
          <w:trHeight w:val="288"/>
          <w:jc w:val="center"/>
        </w:trPr>
        <w:tc>
          <w:tcPr>
            <w:tcW w:w="2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AE2A4" w14:textId="77777777" w:rsidR="00C93C49" w:rsidRPr="00C93C49" w:rsidRDefault="00C93C49" w:rsidP="00C93C49">
            <w:pPr>
              <w:spacing w:after="0" w:line="20" w:lineRule="atLeast"/>
              <w:contextualSpacing/>
              <w:jc w:val="center"/>
              <w:rPr>
                <w:rFonts w:ascii="Arial" w:eastAsia="Times New Roman" w:hAnsi="Arial" w:cs="Arial"/>
                <w:color w:val="000000"/>
                <w:sz w:val="24"/>
                <w:szCs w:val="24"/>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14:paraId="0385749D" w14:textId="77777777" w:rsidR="00C93C49" w:rsidRPr="00C93C49" w:rsidRDefault="00C93C49" w:rsidP="00C93C49">
            <w:pPr>
              <w:spacing w:after="0" w:line="20" w:lineRule="atLeast"/>
              <w:contextualSpacing/>
              <w:jc w:val="center"/>
              <w:rPr>
                <w:rFonts w:ascii="Arial" w:eastAsia="Times New Roman" w:hAnsi="Arial" w:cs="Arial"/>
                <w:b/>
                <w:color w:val="000000"/>
                <w:sz w:val="24"/>
                <w:szCs w:val="24"/>
              </w:rPr>
            </w:pPr>
            <w:r w:rsidRPr="00C93C49">
              <w:rPr>
                <w:rFonts w:ascii="Arial" w:eastAsia="Times New Roman" w:hAnsi="Arial" w:cs="Arial"/>
                <w:b/>
                <w:color w:val="000000"/>
                <w:sz w:val="24"/>
                <w:szCs w:val="24"/>
              </w:rPr>
              <w:t>2014</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14:paraId="31D76601" w14:textId="77777777" w:rsidR="00C93C49" w:rsidRPr="00C93C49" w:rsidRDefault="00C93C49" w:rsidP="00C93C49">
            <w:pPr>
              <w:spacing w:after="0" w:line="20" w:lineRule="atLeast"/>
              <w:contextualSpacing/>
              <w:jc w:val="center"/>
              <w:rPr>
                <w:rFonts w:ascii="Arial" w:eastAsia="Times New Roman" w:hAnsi="Arial" w:cs="Arial"/>
                <w:b/>
                <w:color w:val="000000"/>
                <w:sz w:val="24"/>
                <w:szCs w:val="24"/>
              </w:rPr>
            </w:pPr>
            <w:r w:rsidRPr="00C93C49">
              <w:rPr>
                <w:rFonts w:ascii="Arial" w:eastAsia="Times New Roman" w:hAnsi="Arial" w:cs="Arial"/>
                <w:b/>
                <w:color w:val="000000"/>
                <w:sz w:val="24"/>
                <w:szCs w:val="24"/>
              </w:rPr>
              <w:t>2015</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14:paraId="2F710C55" w14:textId="77777777" w:rsidR="00C93C49" w:rsidRPr="00C93C49" w:rsidRDefault="00C93C49" w:rsidP="00C93C49">
            <w:pPr>
              <w:spacing w:after="0" w:line="20" w:lineRule="atLeast"/>
              <w:contextualSpacing/>
              <w:jc w:val="center"/>
              <w:rPr>
                <w:rFonts w:ascii="Arial" w:eastAsia="Times New Roman" w:hAnsi="Arial" w:cs="Arial"/>
                <w:b/>
                <w:color w:val="000000"/>
                <w:sz w:val="24"/>
                <w:szCs w:val="24"/>
              </w:rPr>
            </w:pPr>
            <w:r w:rsidRPr="00C93C49">
              <w:rPr>
                <w:rFonts w:ascii="Arial" w:eastAsia="Times New Roman" w:hAnsi="Arial" w:cs="Arial"/>
                <w:b/>
                <w:color w:val="000000"/>
                <w:sz w:val="24"/>
                <w:szCs w:val="24"/>
              </w:rPr>
              <w:t>2016</w:t>
            </w:r>
          </w:p>
        </w:tc>
        <w:tc>
          <w:tcPr>
            <w:tcW w:w="1397" w:type="dxa"/>
            <w:tcBorders>
              <w:top w:val="single" w:sz="4" w:space="0" w:color="auto"/>
              <w:left w:val="nil"/>
              <w:bottom w:val="single" w:sz="4" w:space="0" w:color="auto"/>
              <w:right w:val="single" w:sz="4" w:space="0" w:color="auto"/>
            </w:tcBorders>
            <w:shd w:val="clear" w:color="auto" w:fill="auto"/>
            <w:noWrap/>
            <w:vAlign w:val="bottom"/>
            <w:hideMark/>
          </w:tcPr>
          <w:p w14:paraId="1EF2D5CC" w14:textId="77777777" w:rsidR="00C93C49" w:rsidRPr="00C93C49" w:rsidRDefault="00C93C49" w:rsidP="00C93C49">
            <w:pPr>
              <w:spacing w:after="0" w:line="20" w:lineRule="atLeast"/>
              <w:contextualSpacing/>
              <w:jc w:val="center"/>
              <w:rPr>
                <w:rFonts w:ascii="Arial" w:eastAsia="Times New Roman" w:hAnsi="Arial" w:cs="Arial"/>
                <w:b/>
                <w:color w:val="000000"/>
                <w:sz w:val="24"/>
                <w:szCs w:val="24"/>
              </w:rPr>
            </w:pPr>
            <w:r w:rsidRPr="00C93C49">
              <w:rPr>
                <w:rFonts w:ascii="Arial" w:eastAsia="Times New Roman" w:hAnsi="Arial" w:cs="Arial"/>
                <w:b/>
                <w:color w:val="000000"/>
                <w:sz w:val="24"/>
                <w:szCs w:val="24"/>
              </w:rPr>
              <w:t>2017</w:t>
            </w:r>
          </w:p>
        </w:tc>
        <w:tc>
          <w:tcPr>
            <w:tcW w:w="1397" w:type="dxa"/>
            <w:tcBorders>
              <w:top w:val="single" w:sz="4" w:space="0" w:color="auto"/>
              <w:left w:val="nil"/>
              <w:bottom w:val="single" w:sz="4" w:space="0" w:color="auto"/>
              <w:right w:val="single" w:sz="4" w:space="0" w:color="auto"/>
            </w:tcBorders>
          </w:tcPr>
          <w:p w14:paraId="6500C06F" w14:textId="77777777" w:rsidR="00C93C49" w:rsidRPr="00C93C49" w:rsidRDefault="00C93C49" w:rsidP="00C93C49">
            <w:pPr>
              <w:spacing w:after="0" w:line="20" w:lineRule="atLeast"/>
              <w:contextualSpacing/>
              <w:jc w:val="center"/>
              <w:rPr>
                <w:rFonts w:ascii="Arial" w:eastAsia="Times New Roman" w:hAnsi="Arial" w:cs="Arial"/>
                <w:b/>
                <w:color w:val="000000"/>
                <w:sz w:val="24"/>
                <w:szCs w:val="24"/>
              </w:rPr>
            </w:pPr>
            <w:r w:rsidRPr="00C93C49">
              <w:rPr>
                <w:rFonts w:ascii="Arial" w:eastAsia="Times New Roman" w:hAnsi="Arial" w:cs="Arial"/>
                <w:b/>
                <w:color w:val="000000"/>
                <w:sz w:val="24"/>
                <w:szCs w:val="24"/>
              </w:rPr>
              <w:t>Percent Change</w:t>
            </w:r>
          </w:p>
        </w:tc>
      </w:tr>
      <w:tr w:rsidR="00C93C49" w:rsidRPr="00C93C49" w14:paraId="6FFAA087" w14:textId="77777777" w:rsidTr="00347614">
        <w:trPr>
          <w:trHeight w:val="288"/>
          <w:jc w:val="center"/>
        </w:trPr>
        <w:tc>
          <w:tcPr>
            <w:tcW w:w="2487" w:type="dxa"/>
            <w:tcBorders>
              <w:top w:val="nil"/>
              <w:left w:val="single" w:sz="4" w:space="0" w:color="auto"/>
              <w:bottom w:val="single" w:sz="4" w:space="0" w:color="auto"/>
              <w:right w:val="single" w:sz="4" w:space="0" w:color="auto"/>
            </w:tcBorders>
            <w:shd w:val="clear" w:color="auto" w:fill="auto"/>
            <w:noWrap/>
            <w:vAlign w:val="bottom"/>
            <w:hideMark/>
          </w:tcPr>
          <w:p w14:paraId="7322CAEC" w14:textId="77777777" w:rsidR="00C93C49" w:rsidRPr="00C93C49" w:rsidRDefault="00C93C49" w:rsidP="00C93C49">
            <w:pPr>
              <w:spacing w:after="0" w:line="20" w:lineRule="atLeast"/>
              <w:contextualSpacing/>
              <w:rPr>
                <w:rFonts w:ascii="Arial" w:eastAsia="Times New Roman" w:hAnsi="Arial" w:cs="Arial"/>
                <w:b/>
                <w:color w:val="000000"/>
                <w:sz w:val="24"/>
                <w:szCs w:val="24"/>
              </w:rPr>
            </w:pPr>
            <w:r w:rsidRPr="00C93C49">
              <w:rPr>
                <w:rFonts w:ascii="Arial" w:eastAsia="Times New Roman" w:hAnsi="Arial" w:cs="Arial"/>
                <w:b/>
                <w:color w:val="000000"/>
                <w:sz w:val="24"/>
                <w:szCs w:val="24"/>
              </w:rPr>
              <w:t>Met-Ed</w:t>
            </w:r>
          </w:p>
        </w:tc>
        <w:tc>
          <w:tcPr>
            <w:tcW w:w="1341" w:type="dxa"/>
            <w:tcBorders>
              <w:top w:val="nil"/>
              <w:left w:val="nil"/>
              <w:bottom w:val="single" w:sz="4" w:space="0" w:color="auto"/>
              <w:right w:val="single" w:sz="4" w:space="0" w:color="auto"/>
            </w:tcBorders>
            <w:shd w:val="clear" w:color="auto" w:fill="auto"/>
            <w:noWrap/>
            <w:vAlign w:val="bottom"/>
            <w:hideMark/>
          </w:tcPr>
          <w:p w14:paraId="18CFC27D"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58</w:t>
            </w:r>
          </w:p>
        </w:tc>
        <w:tc>
          <w:tcPr>
            <w:tcW w:w="1341" w:type="dxa"/>
            <w:tcBorders>
              <w:top w:val="nil"/>
              <w:left w:val="nil"/>
              <w:bottom w:val="single" w:sz="4" w:space="0" w:color="auto"/>
              <w:right w:val="single" w:sz="4" w:space="0" w:color="auto"/>
            </w:tcBorders>
            <w:shd w:val="clear" w:color="auto" w:fill="auto"/>
            <w:noWrap/>
            <w:vAlign w:val="bottom"/>
            <w:hideMark/>
          </w:tcPr>
          <w:p w14:paraId="7564E789"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73</w:t>
            </w:r>
          </w:p>
        </w:tc>
        <w:tc>
          <w:tcPr>
            <w:tcW w:w="1341" w:type="dxa"/>
            <w:tcBorders>
              <w:top w:val="nil"/>
              <w:left w:val="nil"/>
              <w:bottom w:val="single" w:sz="4" w:space="0" w:color="auto"/>
              <w:right w:val="single" w:sz="4" w:space="0" w:color="auto"/>
            </w:tcBorders>
            <w:shd w:val="clear" w:color="auto" w:fill="auto"/>
            <w:noWrap/>
            <w:vAlign w:val="bottom"/>
            <w:hideMark/>
          </w:tcPr>
          <w:p w14:paraId="3B136077"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68</w:t>
            </w:r>
          </w:p>
        </w:tc>
        <w:tc>
          <w:tcPr>
            <w:tcW w:w="1397" w:type="dxa"/>
            <w:tcBorders>
              <w:top w:val="nil"/>
              <w:left w:val="nil"/>
              <w:bottom w:val="single" w:sz="4" w:space="0" w:color="auto"/>
              <w:right w:val="single" w:sz="4" w:space="0" w:color="auto"/>
            </w:tcBorders>
            <w:shd w:val="clear" w:color="auto" w:fill="auto"/>
            <w:noWrap/>
            <w:vAlign w:val="bottom"/>
            <w:hideMark/>
          </w:tcPr>
          <w:p w14:paraId="71688C12"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56</w:t>
            </w:r>
          </w:p>
        </w:tc>
        <w:tc>
          <w:tcPr>
            <w:tcW w:w="1397" w:type="dxa"/>
            <w:tcBorders>
              <w:top w:val="nil"/>
              <w:left w:val="nil"/>
              <w:bottom w:val="single" w:sz="4" w:space="0" w:color="auto"/>
              <w:right w:val="single" w:sz="4" w:space="0" w:color="auto"/>
            </w:tcBorders>
            <w:vAlign w:val="bottom"/>
          </w:tcPr>
          <w:p w14:paraId="52D27C62"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-3.5%</w:t>
            </w:r>
          </w:p>
        </w:tc>
      </w:tr>
      <w:tr w:rsidR="00C93C49" w:rsidRPr="00C93C49" w14:paraId="2B99A47A" w14:textId="77777777" w:rsidTr="00347614">
        <w:trPr>
          <w:trHeight w:val="288"/>
          <w:jc w:val="center"/>
        </w:trPr>
        <w:tc>
          <w:tcPr>
            <w:tcW w:w="2487" w:type="dxa"/>
            <w:tcBorders>
              <w:top w:val="nil"/>
              <w:left w:val="single" w:sz="4" w:space="0" w:color="auto"/>
              <w:bottom w:val="single" w:sz="4" w:space="0" w:color="auto"/>
              <w:right w:val="single" w:sz="4" w:space="0" w:color="auto"/>
            </w:tcBorders>
            <w:shd w:val="clear" w:color="auto" w:fill="auto"/>
            <w:noWrap/>
            <w:vAlign w:val="bottom"/>
            <w:hideMark/>
          </w:tcPr>
          <w:p w14:paraId="7CED4E94" w14:textId="77777777" w:rsidR="00C93C49" w:rsidRPr="00C93C49" w:rsidRDefault="00C93C49" w:rsidP="00C93C49">
            <w:pPr>
              <w:spacing w:after="0" w:line="20" w:lineRule="atLeast"/>
              <w:contextualSpacing/>
              <w:rPr>
                <w:rFonts w:ascii="Arial" w:eastAsia="Times New Roman" w:hAnsi="Arial" w:cs="Arial"/>
                <w:b/>
                <w:color w:val="000000"/>
                <w:sz w:val="24"/>
                <w:szCs w:val="24"/>
              </w:rPr>
            </w:pPr>
            <w:r w:rsidRPr="00C93C49">
              <w:rPr>
                <w:rFonts w:ascii="Arial" w:eastAsia="Times New Roman" w:hAnsi="Arial" w:cs="Arial"/>
                <w:b/>
                <w:color w:val="000000"/>
                <w:sz w:val="24"/>
                <w:szCs w:val="24"/>
              </w:rPr>
              <w:t>Penelec</w:t>
            </w:r>
          </w:p>
        </w:tc>
        <w:tc>
          <w:tcPr>
            <w:tcW w:w="1341" w:type="dxa"/>
            <w:tcBorders>
              <w:top w:val="nil"/>
              <w:left w:val="nil"/>
              <w:bottom w:val="single" w:sz="4" w:space="0" w:color="auto"/>
              <w:right w:val="single" w:sz="4" w:space="0" w:color="auto"/>
            </w:tcBorders>
            <w:shd w:val="clear" w:color="auto" w:fill="auto"/>
            <w:noWrap/>
            <w:vAlign w:val="bottom"/>
            <w:hideMark/>
          </w:tcPr>
          <w:p w14:paraId="36EC8791"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60</w:t>
            </w:r>
          </w:p>
        </w:tc>
        <w:tc>
          <w:tcPr>
            <w:tcW w:w="1341" w:type="dxa"/>
            <w:tcBorders>
              <w:top w:val="nil"/>
              <w:left w:val="nil"/>
              <w:bottom w:val="single" w:sz="4" w:space="0" w:color="auto"/>
              <w:right w:val="single" w:sz="4" w:space="0" w:color="auto"/>
            </w:tcBorders>
            <w:shd w:val="clear" w:color="auto" w:fill="auto"/>
            <w:noWrap/>
            <w:vAlign w:val="bottom"/>
            <w:hideMark/>
          </w:tcPr>
          <w:p w14:paraId="2B198CA2"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68</w:t>
            </w:r>
          </w:p>
        </w:tc>
        <w:tc>
          <w:tcPr>
            <w:tcW w:w="1341" w:type="dxa"/>
            <w:tcBorders>
              <w:top w:val="nil"/>
              <w:left w:val="nil"/>
              <w:bottom w:val="single" w:sz="4" w:space="0" w:color="auto"/>
              <w:right w:val="single" w:sz="4" w:space="0" w:color="auto"/>
            </w:tcBorders>
            <w:shd w:val="clear" w:color="auto" w:fill="auto"/>
            <w:noWrap/>
            <w:vAlign w:val="bottom"/>
            <w:hideMark/>
          </w:tcPr>
          <w:p w14:paraId="0E34FD38"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61</w:t>
            </w:r>
          </w:p>
        </w:tc>
        <w:tc>
          <w:tcPr>
            <w:tcW w:w="1397" w:type="dxa"/>
            <w:tcBorders>
              <w:top w:val="nil"/>
              <w:left w:val="nil"/>
              <w:bottom w:val="single" w:sz="4" w:space="0" w:color="auto"/>
              <w:right w:val="single" w:sz="4" w:space="0" w:color="auto"/>
            </w:tcBorders>
            <w:shd w:val="clear" w:color="auto" w:fill="auto"/>
            <w:noWrap/>
            <w:vAlign w:val="bottom"/>
            <w:hideMark/>
          </w:tcPr>
          <w:p w14:paraId="21E30312"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45</w:t>
            </w:r>
          </w:p>
        </w:tc>
        <w:tc>
          <w:tcPr>
            <w:tcW w:w="1397" w:type="dxa"/>
            <w:tcBorders>
              <w:top w:val="nil"/>
              <w:left w:val="nil"/>
              <w:bottom w:val="single" w:sz="4" w:space="0" w:color="auto"/>
              <w:right w:val="single" w:sz="4" w:space="0" w:color="auto"/>
            </w:tcBorders>
            <w:vAlign w:val="bottom"/>
          </w:tcPr>
          <w:p w14:paraId="1CF98615"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-25.0%</w:t>
            </w:r>
          </w:p>
        </w:tc>
      </w:tr>
      <w:tr w:rsidR="00C93C49" w:rsidRPr="00C93C49" w14:paraId="1EBA617B" w14:textId="77777777" w:rsidTr="00347614">
        <w:trPr>
          <w:trHeight w:val="288"/>
          <w:jc w:val="center"/>
        </w:trPr>
        <w:tc>
          <w:tcPr>
            <w:tcW w:w="2487" w:type="dxa"/>
            <w:tcBorders>
              <w:top w:val="nil"/>
              <w:left w:val="single" w:sz="4" w:space="0" w:color="auto"/>
              <w:bottom w:val="single" w:sz="4" w:space="0" w:color="auto"/>
              <w:right w:val="single" w:sz="4" w:space="0" w:color="auto"/>
            </w:tcBorders>
            <w:shd w:val="clear" w:color="auto" w:fill="auto"/>
            <w:noWrap/>
            <w:vAlign w:val="bottom"/>
            <w:hideMark/>
          </w:tcPr>
          <w:p w14:paraId="4047B5C9" w14:textId="77777777" w:rsidR="00C93C49" w:rsidRPr="00C93C49" w:rsidRDefault="00C93C49" w:rsidP="00C93C49">
            <w:pPr>
              <w:spacing w:after="0" w:line="20" w:lineRule="atLeast"/>
              <w:contextualSpacing/>
              <w:rPr>
                <w:rFonts w:ascii="Arial" w:eastAsia="Times New Roman" w:hAnsi="Arial" w:cs="Arial"/>
                <w:b/>
                <w:color w:val="000000"/>
                <w:sz w:val="24"/>
                <w:szCs w:val="24"/>
              </w:rPr>
            </w:pPr>
            <w:r w:rsidRPr="00C93C49">
              <w:rPr>
                <w:rFonts w:ascii="Arial" w:eastAsia="Times New Roman" w:hAnsi="Arial" w:cs="Arial"/>
                <w:b/>
                <w:color w:val="000000"/>
                <w:sz w:val="24"/>
                <w:szCs w:val="24"/>
              </w:rPr>
              <w:t>Penn Power</w:t>
            </w:r>
          </w:p>
        </w:tc>
        <w:tc>
          <w:tcPr>
            <w:tcW w:w="1341" w:type="dxa"/>
            <w:tcBorders>
              <w:top w:val="nil"/>
              <w:left w:val="nil"/>
              <w:bottom w:val="single" w:sz="4" w:space="0" w:color="auto"/>
              <w:right w:val="single" w:sz="4" w:space="0" w:color="auto"/>
            </w:tcBorders>
            <w:shd w:val="clear" w:color="auto" w:fill="auto"/>
            <w:noWrap/>
            <w:vAlign w:val="bottom"/>
            <w:hideMark/>
          </w:tcPr>
          <w:p w14:paraId="1A15B537"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16</w:t>
            </w:r>
          </w:p>
        </w:tc>
        <w:tc>
          <w:tcPr>
            <w:tcW w:w="1341" w:type="dxa"/>
            <w:tcBorders>
              <w:top w:val="nil"/>
              <w:left w:val="nil"/>
              <w:bottom w:val="single" w:sz="4" w:space="0" w:color="auto"/>
              <w:right w:val="single" w:sz="4" w:space="0" w:color="auto"/>
            </w:tcBorders>
            <w:shd w:val="clear" w:color="auto" w:fill="auto"/>
            <w:noWrap/>
            <w:vAlign w:val="bottom"/>
            <w:hideMark/>
          </w:tcPr>
          <w:p w14:paraId="4DD5C69D"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10</w:t>
            </w:r>
          </w:p>
        </w:tc>
        <w:tc>
          <w:tcPr>
            <w:tcW w:w="1341" w:type="dxa"/>
            <w:tcBorders>
              <w:top w:val="nil"/>
              <w:left w:val="nil"/>
              <w:bottom w:val="single" w:sz="4" w:space="0" w:color="auto"/>
              <w:right w:val="single" w:sz="4" w:space="0" w:color="auto"/>
            </w:tcBorders>
            <w:shd w:val="clear" w:color="auto" w:fill="auto"/>
            <w:noWrap/>
            <w:vAlign w:val="bottom"/>
            <w:hideMark/>
          </w:tcPr>
          <w:p w14:paraId="1D314164"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1</w:t>
            </w:r>
          </w:p>
        </w:tc>
        <w:tc>
          <w:tcPr>
            <w:tcW w:w="1397" w:type="dxa"/>
            <w:tcBorders>
              <w:top w:val="nil"/>
              <w:left w:val="nil"/>
              <w:bottom w:val="single" w:sz="4" w:space="0" w:color="auto"/>
              <w:right w:val="single" w:sz="4" w:space="0" w:color="auto"/>
            </w:tcBorders>
            <w:shd w:val="clear" w:color="auto" w:fill="auto"/>
            <w:noWrap/>
            <w:vAlign w:val="bottom"/>
            <w:hideMark/>
          </w:tcPr>
          <w:p w14:paraId="05A65054"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0</w:t>
            </w:r>
          </w:p>
        </w:tc>
        <w:tc>
          <w:tcPr>
            <w:tcW w:w="1397" w:type="dxa"/>
            <w:tcBorders>
              <w:top w:val="nil"/>
              <w:left w:val="nil"/>
              <w:bottom w:val="single" w:sz="4" w:space="0" w:color="auto"/>
              <w:right w:val="single" w:sz="4" w:space="0" w:color="auto"/>
            </w:tcBorders>
            <w:vAlign w:val="bottom"/>
          </w:tcPr>
          <w:p w14:paraId="5864666E"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-100.0%</w:t>
            </w:r>
          </w:p>
        </w:tc>
      </w:tr>
      <w:tr w:rsidR="00C93C49" w:rsidRPr="00C93C49" w14:paraId="15E53E38" w14:textId="77777777" w:rsidTr="00347614">
        <w:trPr>
          <w:trHeight w:val="288"/>
          <w:jc w:val="center"/>
        </w:trPr>
        <w:tc>
          <w:tcPr>
            <w:tcW w:w="2487" w:type="dxa"/>
            <w:tcBorders>
              <w:top w:val="nil"/>
              <w:left w:val="single" w:sz="4" w:space="0" w:color="auto"/>
              <w:bottom w:val="single" w:sz="4" w:space="0" w:color="auto"/>
              <w:right w:val="single" w:sz="4" w:space="0" w:color="auto"/>
            </w:tcBorders>
            <w:shd w:val="clear" w:color="auto" w:fill="auto"/>
            <w:noWrap/>
            <w:vAlign w:val="bottom"/>
            <w:hideMark/>
          </w:tcPr>
          <w:p w14:paraId="6F3A6527" w14:textId="77777777" w:rsidR="00C93C49" w:rsidRPr="00C93C49" w:rsidRDefault="00C93C49" w:rsidP="00C93C49">
            <w:pPr>
              <w:spacing w:after="0" w:line="20" w:lineRule="atLeast"/>
              <w:contextualSpacing/>
              <w:rPr>
                <w:rFonts w:ascii="Arial" w:eastAsia="Times New Roman" w:hAnsi="Arial" w:cs="Arial"/>
                <w:b/>
                <w:color w:val="000000"/>
                <w:sz w:val="24"/>
                <w:szCs w:val="24"/>
              </w:rPr>
            </w:pPr>
            <w:r w:rsidRPr="00C93C49">
              <w:rPr>
                <w:rFonts w:ascii="Arial" w:eastAsia="Times New Roman" w:hAnsi="Arial" w:cs="Arial"/>
                <w:b/>
                <w:color w:val="000000"/>
                <w:sz w:val="24"/>
                <w:szCs w:val="24"/>
              </w:rPr>
              <w:t>West Penn Power</w:t>
            </w:r>
          </w:p>
        </w:tc>
        <w:tc>
          <w:tcPr>
            <w:tcW w:w="1341" w:type="dxa"/>
            <w:tcBorders>
              <w:top w:val="nil"/>
              <w:left w:val="nil"/>
              <w:bottom w:val="single" w:sz="4" w:space="0" w:color="auto"/>
              <w:right w:val="single" w:sz="4" w:space="0" w:color="auto"/>
            </w:tcBorders>
            <w:shd w:val="clear" w:color="auto" w:fill="auto"/>
            <w:noWrap/>
            <w:vAlign w:val="bottom"/>
            <w:hideMark/>
          </w:tcPr>
          <w:p w14:paraId="2E476F39"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87</w:t>
            </w:r>
          </w:p>
        </w:tc>
        <w:tc>
          <w:tcPr>
            <w:tcW w:w="1341" w:type="dxa"/>
            <w:tcBorders>
              <w:top w:val="nil"/>
              <w:left w:val="nil"/>
              <w:bottom w:val="single" w:sz="4" w:space="0" w:color="auto"/>
              <w:right w:val="single" w:sz="4" w:space="0" w:color="auto"/>
            </w:tcBorders>
            <w:shd w:val="clear" w:color="auto" w:fill="auto"/>
            <w:noWrap/>
            <w:vAlign w:val="bottom"/>
            <w:hideMark/>
          </w:tcPr>
          <w:p w14:paraId="0582A079"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89</w:t>
            </w:r>
          </w:p>
        </w:tc>
        <w:tc>
          <w:tcPr>
            <w:tcW w:w="1341" w:type="dxa"/>
            <w:tcBorders>
              <w:top w:val="nil"/>
              <w:left w:val="nil"/>
              <w:bottom w:val="single" w:sz="4" w:space="0" w:color="auto"/>
              <w:right w:val="single" w:sz="4" w:space="0" w:color="auto"/>
            </w:tcBorders>
            <w:shd w:val="clear" w:color="auto" w:fill="auto"/>
            <w:noWrap/>
            <w:vAlign w:val="bottom"/>
            <w:hideMark/>
          </w:tcPr>
          <w:p w14:paraId="7F52EF5C"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89</w:t>
            </w:r>
          </w:p>
        </w:tc>
        <w:tc>
          <w:tcPr>
            <w:tcW w:w="1397" w:type="dxa"/>
            <w:tcBorders>
              <w:top w:val="nil"/>
              <w:left w:val="nil"/>
              <w:bottom w:val="single" w:sz="4" w:space="0" w:color="auto"/>
              <w:right w:val="single" w:sz="4" w:space="0" w:color="auto"/>
            </w:tcBorders>
            <w:shd w:val="clear" w:color="auto" w:fill="auto"/>
            <w:noWrap/>
            <w:vAlign w:val="bottom"/>
            <w:hideMark/>
          </w:tcPr>
          <w:p w14:paraId="2BB59F79"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89</w:t>
            </w:r>
          </w:p>
        </w:tc>
        <w:tc>
          <w:tcPr>
            <w:tcW w:w="1397" w:type="dxa"/>
            <w:tcBorders>
              <w:top w:val="nil"/>
              <w:left w:val="nil"/>
              <w:bottom w:val="single" w:sz="4" w:space="0" w:color="auto"/>
              <w:right w:val="single" w:sz="4" w:space="0" w:color="auto"/>
            </w:tcBorders>
            <w:vAlign w:val="bottom"/>
          </w:tcPr>
          <w:p w14:paraId="71B3B2F4"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2.3%</w:t>
            </w:r>
          </w:p>
        </w:tc>
      </w:tr>
    </w:tbl>
    <w:p w14:paraId="16909C53" w14:textId="77777777" w:rsidR="00C93C49" w:rsidRPr="00C93C49" w:rsidRDefault="00C93C49" w:rsidP="00C93C49">
      <w:pPr>
        <w:widowControl w:val="0"/>
        <w:spacing w:after="0" w:line="20" w:lineRule="atLeast"/>
        <w:contextualSpacing/>
        <w:rPr>
          <w:rFonts w:ascii="Arial" w:eastAsia="Times New Roman" w:hAnsi="Arial" w:cs="Arial"/>
          <w:snapToGrid w:val="0"/>
          <w:sz w:val="18"/>
          <w:szCs w:val="18"/>
        </w:rPr>
      </w:pPr>
      <w:r w:rsidRPr="00C93C49">
        <w:rPr>
          <w:rFonts w:ascii="Arial" w:eastAsia="Times New Roman" w:hAnsi="Arial" w:cs="Arial"/>
          <w:snapToGrid w:val="0"/>
          <w:sz w:val="18"/>
          <w:szCs w:val="18"/>
        </w:rPr>
        <w:t>Source: Data Request CS-1 and Auditor Analysis</w:t>
      </w:r>
    </w:p>
    <w:p w14:paraId="44C9D58C" w14:textId="77777777" w:rsidR="00C93C49" w:rsidRPr="00C93C49" w:rsidRDefault="00C93C49" w:rsidP="00C93C49">
      <w:pPr>
        <w:widowControl w:val="0"/>
        <w:spacing w:after="0" w:line="20" w:lineRule="atLeast"/>
        <w:contextualSpacing/>
        <w:jc w:val="center"/>
        <w:rPr>
          <w:rFonts w:ascii="Arial" w:eastAsia="Times New Roman" w:hAnsi="Arial" w:cs="Arial"/>
          <w:snapToGrid w:val="0"/>
          <w:sz w:val="24"/>
          <w:szCs w:val="20"/>
        </w:rPr>
      </w:pPr>
    </w:p>
    <w:p w14:paraId="0E123AF2" w14:textId="6A259B44" w:rsidR="00C93C49" w:rsidRPr="00C93C49" w:rsidRDefault="00C93C49" w:rsidP="00C93C49">
      <w:pPr>
        <w:widowControl w:val="0"/>
        <w:spacing w:after="0" w:line="20" w:lineRule="atLeast"/>
        <w:ind w:firstLine="720"/>
        <w:contextualSpacing/>
        <w:rPr>
          <w:rFonts w:ascii="Arial" w:eastAsia="Times New Roman" w:hAnsi="Arial" w:cs="Arial"/>
          <w:snapToGrid w:val="0"/>
          <w:sz w:val="24"/>
          <w:szCs w:val="20"/>
        </w:rPr>
      </w:pPr>
      <w:r w:rsidRPr="00C93C49">
        <w:rPr>
          <w:rFonts w:ascii="Arial" w:eastAsia="Times New Roman" w:hAnsi="Arial" w:cs="Arial"/>
          <w:snapToGrid w:val="0"/>
          <w:sz w:val="24"/>
          <w:szCs w:val="20"/>
        </w:rPr>
        <w:t xml:space="preserve">Exhibit X-3 shows the smart meter deployment status as of January 1, 2018 for all the </w:t>
      </w:r>
      <w:r w:rsidR="00DC3D9B">
        <w:rPr>
          <w:rFonts w:ascii="Arial" w:eastAsia="Times New Roman" w:hAnsi="Arial" w:cs="Arial"/>
          <w:snapToGrid w:val="0"/>
          <w:sz w:val="24"/>
          <w:szCs w:val="20"/>
        </w:rPr>
        <w:t>FE-PA companies</w:t>
      </w:r>
      <w:r w:rsidRPr="00C93C49">
        <w:rPr>
          <w:rFonts w:ascii="Arial" w:eastAsia="Times New Roman" w:hAnsi="Arial" w:cs="Arial"/>
          <w:snapToGrid w:val="0"/>
          <w:sz w:val="24"/>
          <w:szCs w:val="20"/>
        </w:rPr>
        <w:t>.  Penn Power’s smart meters are almost fully deployed at 99.79%.  Penelec’s smart meters are approaching full deployment at 85.</w:t>
      </w:r>
      <w:r w:rsidR="000D09FB">
        <w:rPr>
          <w:rFonts w:ascii="Arial" w:eastAsia="Times New Roman" w:hAnsi="Arial" w:cs="Arial"/>
          <w:snapToGrid w:val="0"/>
          <w:sz w:val="24"/>
          <w:szCs w:val="20"/>
        </w:rPr>
        <w:t>25</w:t>
      </w:r>
      <w:r w:rsidRPr="00C93C49">
        <w:rPr>
          <w:rFonts w:ascii="Arial" w:eastAsia="Times New Roman" w:hAnsi="Arial" w:cs="Arial"/>
          <w:snapToGrid w:val="0"/>
          <w:sz w:val="24"/>
          <w:szCs w:val="20"/>
        </w:rPr>
        <w:t>%, while Met-Ed and West Penn Power have about half of theirs remaining at 4</w:t>
      </w:r>
      <w:r w:rsidR="000D09FB">
        <w:rPr>
          <w:rFonts w:ascii="Arial" w:eastAsia="Times New Roman" w:hAnsi="Arial" w:cs="Arial"/>
          <w:snapToGrid w:val="0"/>
          <w:sz w:val="24"/>
          <w:szCs w:val="20"/>
        </w:rPr>
        <w:t>4</w:t>
      </w:r>
      <w:r w:rsidRPr="00C93C49">
        <w:rPr>
          <w:rFonts w:ascii="Arial" w:eastAsia="Times New Roman" w:hAnsi="Arial" w:cs="Arial"/>
          <w:snapToGrid w:val="0"/>
          <w:sz w:val="24"/>
          <w:szCs w:val="20"/>
        </w:rPr>
        <w:t>.</w:t>
      </w:r>
      <w:r w:rsidR="000D09FB">
        <w:rPr>
          <w:rFonts w:ascii="Arial" w:eastAsia="Times New Roman" w:hAnsi="Arial" w:cs="Arial"/>
          <w:snapToGrid w:val="0"/>
          <w:sz w:val="24"/>
          <w:szCs w:val="20"/>
        </w:rPr>
        <w:t>47</w:t>
      </w:r>
      <w:r w:rsidRPr="00C93C49">
        <w:rPr>
          <w:rFonts w:ascii="Arial" w:eastAsia="Times New Roman" w:hAnsi="Arial" w:cs="Arial"/>
          <w:snapToGrid w:val="0"/>
          <w:sz w:val="24"/>
          <w:szCs w:val="20"/>
        </w:rPr>
        <w:t>% and 5</w:t>
      </w:r>
      <w:r w:rsidR="000D09FB">
        <w:rPr>
          <w:rFonts w:ascii="Arial" w:eastAsia="Times New Roman" w:hAnsi="Arial" w:cs="Arial"/>
          <w:snapToGrid w:val="0"/>
          <w:sz w:val="24"/>
          <w:szCs w:val="20"/>
        </w:rPr>
        <w:t>1</w:t>
      </w:r>
      <w:r w:rsidRPr="00C93C49">
        <w:rPr>
          <w:rFonts w:ascii="Arial" w:eastAsia="Times New Roman" w:hAnsi="Arial" w:cs="Arial"/>
          <w:snapToGrid w:val="0"/>
          <w:sz w:val="24"/>
          <w:szCs w:val="20"/>
        </w:rPr>
        <w:t>.</w:t>
      </w:r>
      <w:r w:rsidR="000D09FB">
        <w:rPr>
          <w:rFonts w:ascii="Arial" w:eastAsia="Times New Roman" w:hAnsi="Arial" w:cs="Arial"/>
          <w:snapToGrid w:val="0"/>
          <w:sz w:val="24"/>
          <w:szCs w:val="20"/>
        </w:rPr>
        <w:t>60</w:t>
      </w:r>
      <w:r w:rsidRPr="00C93C49">
        <w:rPr>
          <w:rFonts w:ascii="Arial" w:eastAsia="Times New Roman" w:hAnsi="Arial" w:cs="Arial"/>
          <w:snapToGrid w:val="0"/>
          <w:sz w:val="24"/>
          <w:szCs w:val="20"/>
        </w:rPr>
        <w:t>%, respectively.  FirstEnergy stated that Met-Ed, Penelec, and West Penn Power’s smart meters should be fully deployed by 2020.</w:t>
      </w:r>
    </w:p>
    <w:p w14:paraId="6C6C1CA5" w14:textId="77777777" w:rsidR="00C93C49" w:rsidRPr="00C93C49" w:rsidRDefault="00C93C49" w:rsidP="00C93C49">
      <w:pPr>
        <w:widowControl w:val="0"/>
        <w:spacing w:after="0" w:line="20" w:lineRule="atLeast"/>
        <w:contextualSpacing/>
        <w:rPr>
          <w:rFonts w:ascii="Arial" w:eastAsia="Times New Roman" w:hAnsi="Arial" w:cs="Arial"/>
          <w:snapToGrid w:val="0"/>
          <w:sz w:val="24"/>
          <w:szCs w:val="20"/>
        </w:rPr>
      </w:pPr>
    </w:p>
    <w:p w14:paraId="0A93D1C4"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 xml:space="preserve">Exhibit X – 3 </w:t>
      </w:r>
    </w:p>
    <w:p w14:paraId="63E30E5D" w14:textId="77777777" w:rsidR="00C93C49" w:rsidRPr="00C93C49" w:rsidRDefault="00C93C49" w:rsidP="00C93C49">
      <w:pPr>
        <w:spacing w:after="0" w:line="240" w:lineRule="auto"/>
        <w:jc w:val="center"/>
        <w:rPr>
          <w:rFonts w:ascii="Arial" w:eastAsia="Times New Roman" w:hAnsi="Arial" w:cs="Arial"/>
          <w:b/>
          <w:sz w:val="24"/>
          <w:szCs w:val="24"/>
        </w:rPr>
      </w:pPr>
      <w:r w:rsidRPr="00C93C49">
        <w:rPr>
          <w:rFonts w:ascii="Arial" w:eastAsia="Calibri" w:hAnsi="Arial" w:cs="Arial"/>
          <w:b/>
          <w:sz w:val="24"/>
          <w:szCs w:val="24"/>
        </w:rPr>
        <w:t>FirstEnergy Pennsylvania Companies</w:t>
      </w:r>
    </w:p>
    <w:p w14:paraId="18AAEE8A"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Status of Smart Meter Deployment</w:t>
      </w:r>
    </w:p>
    <w:p w14:paraId="708DD50F"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As of January 1, 2018</w:t>
      </w:r>
    </w:p>
    <w:p w14:paraId="0C3391BF"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0"/>
        </w:rPr>
      </w:pPr>
    </w:p>
    <w:tbl>
      <w:tblPr>
        <w:tblW w:w="9380" w:type="dxa"/>
        <w:jc w:val="center"/>
        <w:tblLayout w:type="fixed"/>
        <w:tblLook w:val="04A0" w:firstRow="1" w:lastRow="0" w:firstColumn="1" w:lastColumn="0" w:noHBand="0" w:noVBand="1"/>
      </w:tblPr>
      <w:tblGrid>
        <w:gridCol w:w="1980"/>
        <w:gridCol w:w="1260"/>
        <w:gridCol w:w="270"/>
        <w:gridCol w:w="1260"/>
        <w:gridCol w:w="270"/>
        <w:gridCol w:w="1190"/>
        <w:gridCol w:w="270"/>
        <w:gridCol w:w="1336"/>
        <w:gridCol w:w="1544"/>
      </w:tblGrid>
      <w:tr w:rsidR="00C93C49" w:rsidRPr="00C93C49" w14:paraId="055CC89D" w14:textId="77777777" w:rsidTr="00347614">
        <w:trPr>
          <w:trHeight w:val="188"/>
          <w:jc w:val="center"/>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6AF214" w14:textId="77777777" w:rsidR="00C93C49" w:rsidRPr="00C93C49" w:rsidRDefault="00C93C49" w:rsidP="00C93C49">
            <w:pPr>
              <w:spacing w:after="0" w:line="20" w:lineRule="atLeast"/>
              <w:contextualSpacing/>
              <w:rPr>
                <w:rFonts w:ascii="Arial" w:eastAsia="Times New Roman" w:hAnsi="Arial" w:cs="Arial"/>
                <w:color w:val="000000"/>
                <w:sz w:val="20"/>
                <w:szCs w:val="20"/>
              </w:rPr>
            </w:pPr>
            <w:r w:rsidRPr="00C93C49">
              <w:rPr>
                <w:rFonts w:ascii="Arial" w:eastAsia="Times New Roman" w:hAnsi="Arial" w:cs="Arial"/>
                <w:color w:val="000000"/>
                <w:sz w:val="20"/>
                <w:szCs w:val="20"/>
              </w:rPr>
              <w:t> </w:t>
            </w:r>
          </w:p>
        </w:tc>
        <w:tc>
          <w:tcPr>
            <w:tcW w:w="1530" w:type="dxa"/>
            <w:gridSpan w:val="2"/>
            <w:tcBorders>
              <w:top w:val="single" w:sz="8" w:space="0" w:color="auto"/>
              <w:left w:val="nil"/>
              <w:bottom w:val="single" w:sz="8" w:space="0" w:color="auto"/>
              <w:right w:val="single" w:sz="8" w:space="0" w:color="auto"/>
            </w:tcBorders>
            <w:shd w:val="clear" w:color="auto" w:fill="auto"/>
            <w:noWrap/>
            <w:vAlign w:val="bottom"/>
            <w:hideMark/>
          </w:tcPr>
          <w:p w14:paraId="6ED5AAC0" w14:textId="77777777" w:rsidR="00C93C49" w:rsidRPr="00C93C49" w:rsidRDefault="00C93C49" w:rsidP="00C93C49">
            <w:pPr>
              <w:spacing w:after="0" w:line="20" w:lineRule="atLeast"/>
              <w:contextualSpacing/>
              <w:jc w:val="center"/>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Smart Meters Deployed</w:t>
            </w:r>
          </w:p>
        </w:tc>
        <w:tc>
          <w:tcPr>
            <w:tcW w:w="1530" w:type="dxa"/>
            <w:gridSpan w:val="2"/>
            <w:tcBorders>
              <w:top w:val="single" w:sz="8" w:space="0" w:color="auto"/>
              <w:left w:val="nil"/>
              <w:bottom w:val="single" w:sz="8" w:space="0" w:color="auto"/>
              <w:right w:val="single" w:sz="8" w:space="0" w:color="auto"/>
            </w:tcBorders>
            <w:shd w:val="clear" w:color="auto" w:fill="auto"/>
            <w:noWrap/>
            <w:vAlign w:val="bottom"/>
            <w:hideMark/>
          </w:tcPr>
          <w:p w14:paraId="16047E84" w14:textId="77777777" w:rsidR="00C93C49" w:rsidRPr="00C93C49" w:rsidRDefault="00C93C49" w:rsidP="00C93C49">
            <w:pPr>
              <w:spacing w:after="0" w:line="20" w:lineRule="atLeast"/>
              <w:contextualSpacing/>
              <w:jc w:val="center"/>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Smart Meters Left to Be Deployed</w:t>
            </w:r>
          </w:p>
        </w:tc>
        <w:tc>
          <w:tcPr>
            <w:tcW w:w="1460" w:type="dxa"/>
            <w:gridSpan w:val="2"/>
            <w:tcBorders>
              <w:top w:val="single" w:sz="8" w:space="0" w:color="auto"/>
              <w:left w:val="nil"/>
              <w:bottom w:val="single" w:sz="8" w:space="0" w:color="auto"/>
              <w:right w:val="single" w:sz="8" w:space="0" w:color="auto"/>
            </w:tcBorders>
            <w:shd w:val="clear" w:color="auto" w:fill="auto"/>
            <w:noWrap/>
            <w:vAlign w:val="bottom"/>
            <w:hideMark/>
          </w:tcPr>
          <w:p w14:paraId="45763DAF" w14:textId="77777777" w:rsidR="00C93C49" w:rsidRPr="00C93C49" w:rsidRDefault="00C93C49" w:rsidP="00C93C49">
            <w:pPr>
              <w:spacing w:after="0" w:line="20" w:lineRule="atLeast"/>
              <w:contextualSpacing/>
              <w:jc w:val="center"/>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Total Number of Meters</w:t>
            </w:r>
          </w:p>
        </w:tc>
        <w:tc>
          <w:tcPr>
            <w:tcW w:w="1336" w:type="dxa"/>
            <w:tcBorders>
              <w:top w:val="single" w:sz="8" w:space="0" w:color="auto"/>
              <w:left w:val="nil"/>
              <w:bottom w:val="single" w:sz="8" w:space="0" w:color="auto"/>
              <w:right w:val="single" w:sz="8" w:space="0" w:color="auto"/>
            </w:tcBorders>
            <w:shd w:val="clear" w:color="auto" w:fill="auto"/>
            <w:noWrap/>
            <w:vAlign w:val="bottom"/>
            <w:hideMark/>
          </w:tcPr>
          <w:p w14:paraId="64293119" w14:textId="77777777" w:rsidR="00C93C49" w:rsidRPr="00C93C49" w:rsidRDefault="00C93C49" w:rsidP="00C93C49">
            <w:pPr>
              <w:spacing w:after="0" w:line="20" w:lineRule="atLeast"/>
              <w:contextualSpacing/>
              <w:jc w:val="center"/>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Percentage of Meters Deployed</w:t>
            </w:r>
          </w:p>
        </w:tc>
        <w:tc>
          <w:tcPr>
            <w:tcW w:w="1544" w:type="dxa"/>
            <w:tcBorders>
              <w:top w:val="single" w:sz="8" w:space="0" w:color="auto"/>
              <w:left w:val="nil"/>
              <w:bottom w:val="single" w:sz="8" w:space="0" w:color="auto"/>
              <w:right w:val="single" w:sz="8" w:space="0" w:color="auto"/>
            </w:tcBorders>
            <w:shd w:val="clear" w:color="auto" w:fill="auto"/>
            <w:noWrap/>
            <w:vAlign w:val="bottom"/>
            <w:hideMark/>
          </w:tcPr>
          <w:p w14:paraId="1B4D73B6" w14:textId="77777777" w:rsidR="00C93C49" w:rsidRPr="00C93C49" w:rsidRDefault="00C93C49" w:rsidP="00C93C49">
            <w:pPr>
              <w:spacing w:after="0" w:line="20" w:lineRule="atLeast"/>
              <w:contextualSpacing/>
              <w:jc w:val="center"/>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Percentage of Meters Left to Be Deployed</w:t>
            </w:r>
          </w:p>
        </w:tc>
      </w:tr>
      <w:tr w:rsidR="00C93C49" w:rsidRPr="00C93C49" w14:paraId="7F3A8493" w14:textId="77777777" w:rsidTr="00347614">
        <w:trPr>
          <w:trHeight w:val="188"/>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388EB0D" w14:textId="77777777" w:rsidR="00C93C49" w:rsidRPr="00C93C49" w:rsidRDefault="00C93C49" w:rsidP="00C93C49">
            <w:pPr>
              <w:spacing w:after="0" w:line="20" w:lineRule="atLeast"/>
              <w:contextualSpacing/>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Met-Ed</w:t>
            </w:r>
          </w:p>
        </w:tc>
        <w:tc>
          <w:tcPr>
            <w:tcW w:w="1260" w:type="dxa"/>
            <w:tcBorders>
              <w:top w:val="nil"/>
              <w:left w:val="nil"/>
              <w:bottom w:val="single" w:sz="8" w:space="0" w:color="auto"/>
            </w:tcBorders>
            <w:shd w:val="clear" w:color="auto" w:fill="auto"/>
            <w:noWrap/>
            <w:vAlign w:val="center"/>
            <w:hideMark/>
          </w:tcPr>
          <w:p w14:paraId="46AE3E85" w14:textId="25BECCBA"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Times New Roman" w:hAnsi="Arial" w:cs="Arial"/>
                <w:color w:val="000000"/>
                <w:sz w:val="20"/>
                <w:szCs w:val="20"/>
              </w:rPr>
              <w:t>3</w:t>
            </w:r>
            <w:r w:rsidR="00AE3570">
              <w:rPr>
                <w:rFonts w:ascii="Arial" w:eastAsia="Times New Roman" w:hAnsi="Arial" w:cs="Arial"/>
                <w:color w:val="000000"/>
                <w:sz w:val="20"/>
                <w:szCs w:val="20"/>
              </w:rPr>
              <w:t>21,405</w:t>
            </w:r>
          </w:p>
        </w:tc>
        <w:tc>
          <w:tcPr>
            <w:tcW w:w="270" w:type="dxa"/>
            <w:tcBorders>
              <w:top w:val="nil"/>
              <w:left w:val="nil"/>
              <w:bottom w:val="single" w:sz="8" w:space="0" w:color="auto"/>
              <w:right w:val="single" w:sz="8" w:space="0" w:color="auto"/>
            </w:tcBorders>
            <w:shd w:val="clear" w:color="auto" w:fill="auto"/>
            <w:vAlign w:val="center"/>
          </w:tcPr>
          <w:p w14:paraId="25A14444" w14:textId="77777777" w:rsidR="00C93C49" w:rsidRPr="00C93C49" w:rsidRDefault="00C93C49" w:rsidP="00C93C49">
            <w:pPr>
              <w:spacing w:after="0" w:line="20" w:lineRule="atLeast"/>
              <w:contextualSpacing/>
              <w:jc w:val="right"/>
              <w:rPr>
                <w:rFonts w:ascii="Arial" w:eastAsia="Times New Roman" w:hAnsi="Arial" w:cs="Arial"/>
                <w:color w:val="000000"/>
                <w:sz w:val="20"/>
                <w:szCs w:val="20"/>
              </w:rPr>
            </w:pPr>
          </w:p>
        </w:tc>
        <w:tc>
          <w:tcPr>
            <w:tcW w:w="1260" w:type="dxa"/>
            <w:tcBorders>
              <w:top w:val="nil"/>
              <w:left w:val="nil"/>
              <w:bottom w:val="single" w:sz="8" w:space="0" w:color="auto"/>
            </w:tcBorders>
            <w:shd w:val="clear" w:color="auto" w:fill="auto"/>
            <w:noWrap/>
            <w:vAlign w:val="center"/>
            <w:hideMark/>
          </w:tcPr>
          <w:p w14:paraId="36C4B746" w14:textId="77777777"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Times New Roman" w:hAnsi="Arial" w:cs="Arial"/>
                <w:color w:val="000000"/>
                <w:sz w:val="20"/>
                <w:szCs w:val="20"/>
              </w:rPr>
              <w:t>257,420</w:t>
            </w:r>
          </w:p>
        </w:tc>
        <w:tc>
          <w:tcPr>
            <w:tcW w:w="270" w:type="dxa"/>
            <w:tcBorders>
              <w:top w:val="nil"/>
              <w:left w:val="nil"/>
              <w:bottom w:val="single" w:sz="8" w:space="0" w:color="auto"/>
              <w:right w:val="single" w:sz="8" w:space="0" w:color="auto"/>
            </w:tcBorders>
            <w:shd w:val="clear" w:color="auto" w:fill="auto"/>
            <w:vAlign w:val="center"/>
          </w:tcPr>
          <w:p w14:paraId="33B7D8B7" w14:textId="77777777" w:rsidR="00C93C49" w:rsidRPr="00C93C49" w:rsidRDefault="00C93C49" w:rsidP="00C93C49">
            <w:pPr>
              <w:spacing w:after="0" w:line="20" w:lineRule="atLeast"/>
              <w:contextualSpacing/>
              <w:jc w:val="right"/>
              <w:rPr>
                <w:rFonts w:ascii="Arial" w:eastAsia="Times New Roman" w:hAnsi="Arial" w:cs="Arial"/>
                <w:color w:val="000000"/>
                <w:sz w:val="20"/>
                <w:szCs w:val="20"/>
              </w:rPr>
            </w:pPr>
          </w:p>
        </w:tc>
        <w:tc>
          <w:tcPr>
            <w:tcW w:w="1190" w:type="dxa"/>
            <w:tcBorders>
              <w:top w:val="nil"/>
              <w:left w:val="nil"/>
              <w:bottom w:val="single" w:sz="8" w:space="0" w:color="auto"/>
            </w:tcBorders>
            <w:shd w:val="clear" w:color="auto" w:fill="auto"/>
            <w:noWrap/>
            <w:vAlign w:val="center"/>
            <w:hideMark/>
          </w:tcPr>
          <w:p w14:paraId="2F01A79E" w14:textId="64989C82"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Times New Roman" w:hAnsi="Arial" w:cs="Arial"/>
                <w:color w:val="000000"/>
                <w:sz w:val="20"/>
                <w:szCs w:val="20"/>
              </w:rPr>
              <w:t>5</w:t>
            </w:r>
            <w:r w:rsidR="00AE3570">
              <w:rPr>
                <w:rFonts w:ascii="Arial" w:eastAsia="Times New Roman" w:hAnsi="Arial" w:cs="Arial"/>
                <w:color w:val="000000"/>
                <w:sz w:val="20"/>
                <w:szCs w:val="20"/>
              </w:rPr>
              <w:t>78,825</w:t>
            </w:r>
          </w:p>
        </w:tc>
        <w:tc>
          <w:tcPr>
            <w:tcW w:w="270" w:type="dxa"/>
            <w:tcBorders>
              <w:top w:val="nil"/>
              <w:left w:val="nil"/>
              <w:bottom w:val="single" w:sz="8" w:space="0" w:color="auto"/>
              <w:right w:val="single" w:sz="8" w:space="0" w:color="auto"/>
            </w:tcBorders>
            <w:shd w:val="clear" w:color="auto" w:fill="auto"/>
            <w:vAlign w:val="center"/>
          </w:tcPr>
          <w:p w14:paraId="6D8828A5" w14:textId="77777777" w:rsidR="00C93C49" w:rsidRPr="00C93C49" w:rsidRDefault="00C93C49" w:rsidP="00C93C49">
            <w:pPr>
              <w:spacing w:after="0" w:line="20" w:lineRule="atLeast"/>
              <w:contextualSpacing/>
              <w:jc w:val="right"/>
              <w:rPr>
                <w:rFonts w:ascii="Arial" w:eastAsia="Times New Roman" w:hAnsi="Arial" w:cs="Arial"/>
                <w:color w:val="000000"/>
                <w:sz w:val="20"/>
                <w:szCs w:val="20"/>
              </w:rPr>
            </w:pPr>
          </w:p>
        </w:tc>
        <w:tc>
          <w:tcPr>
            <w:tcW w:w="1336" w:type="dxa"/>
            <w:tcBorders>
              <w:top w:val="nil"/>
              <w:left w:val="nil"/>
              <w:bottom w:val="single" w:sz="8" w:space="0" w:color="auto"/>
              <w:right w:val="single" w:sz="8" w:space="0" w:color="auto"/>
            </w:tcBorders>
            <w:shd w:val="clear" w:color="auto" w:fill="auto"/>
            <w:noWrap/>
            <w:vAlign w:val="center"/>
            <w:hideMark/>
          </w:tcPr>
          <w:p w14:paraId="1B8C3063" w14:textId="6DBA05C2"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Times New Roman" w:hAnsi="Arial" w:cs="Arial"/>
                <w:color w:val="000000"/>
                <w:sz w:val="20"/>
                <w:szCs w:val="20"/>
              </w:rPr>
              <w:t>5</w:t>
            </w:r>
            <w:r w:rsidR="009E4E66">
              <w:rPr>
                <w:rFonts w:ascii="Arial" w:eastAsia="Times New Roman" w:hAnsi="Arial" w:cs="Arial"/>
                <w:color w:val="000000"/>
                <w:sz w:val="20"/>
                <w:szCs w:val="20"/>
              </w:rPr>
              <w:t>5.53</w:t>
            </w:r>
            <w:r w:rsidRPr="00C93C49">
              <w:rPr>
                <w:rFonts w:ascii="Arial" w:eastAsia="Times New Roman" w:hAnsi="Arial" w:cs="Arial"/>
                <w:color w:val="000000"/>
                <w:sz w:val="20"/>
                <w:szCs w:val="20"/>
              </w:rPr>
              <w:t>%</w:t>
            </w:r>
          </w:p>
        </w:tc>
        <w:tc>
          <w:tcPr>
            <w:tcW w:w="1544" w:type="dxa"/>
            <w:tcBorders>
              <w:top w:val="nil"/>
              <w:left w:val="nil"/>
              <w:bottom w:val="single" w:sz="8" w:space="0" w:color="auto"/>
              <w:right w:val="single" w:sz="8" w:space="0" w:color="auto"/>
            </w:tcBorders>
            <w:shd w:val="clear" w:color="auto" w:fill="auto"/>
            <w:noWrap/>
            <w:vAlign w:val="center"/>
            <w:hideMark/>
          </w:tcPr>
          <w:p w14:paraId="6C2915E9" w14:textId="59B5E8E7"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Times New Roman" w:hAnsi="Arial" w:cs="Arial"/>
                <w:color w:val="000000"/>
                <w:sz w:val="20"/>
                <w:szCs w:val="20"/>
              </w:rPr>
              <w:t>4</w:t>
            </w:r>
            <w:r w:rsidR="009E4E66">
              <w:rPr>
                <w:rFonts w:ascii="Arial" w:eastAsia="Times New Roman" w:hAnsi="Arial" w:cs="Arial"/>
                <w:color w:val="000000"/>
                <w:sz w:val="20"/>
                <w:szCs w:val="20"/>
              </w:rPr>
              <w:t>4.47</w:t>
            </w:r>
            <w:r w:rsidRPr="00C93C49">
              <w:rPr>
                <w:rFonts w:ascii="Arial" w:eastAsia="Times New Roman" w:hAnsi="Arial" w:cs="Arial"/>
                <w:color w:val="000000"/>
                <w:sz w:val="20"/>
                <w:szCs w:val="20"/>
              </w:rPr>
              <w:t>%</w:t>
            </w:r>
          </w:p>
        </w:tc>
      </w:tr>
      <w:tr w:rsidR="00C93C49" w:rsidRPr="00C93C49" w14:paraId="5A9EE0B5" w14:textId="77777777" w:rsidTr="00347614">
        <w:trPr>
          <w:trHeight w:val="188"/>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02FD0234" w14:textId="77777777" w:rsidR="00C93C49" w:rsidRPr="00C93C49" w:rsidRDefault="00C93C49" w:rsidP="00C93C49">
            <w:pPr>
              <w:spacing w:after="0" w:line="20" w:lineRule="atLeast"/>
              <w:contextualSpacing/>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Penelec</w:t>
            </w:r>
          </w:p>
        </w:tc>
        <w:tc>
          <w:tcPr>
            <w:tcW w:w="1260" w:type="dxa"/>
            <w:tcBorders>
              <w:top w:val="single" w:sz="8" w:space="0" w:color="auto"/>
              <w:left w:val="nil"/>
              <w:bottom w:val="single" w:sz="8" w:space="0" w:color="auto"/>
            </w:tcBorders>
            <w:shd w:val="clear" w:color="auto" w:fill="auto"/>
            <w:noWrap/>
            <w:vAlign w:val="center"/>
            <w:hideMark/>
          </w:tcPr>
          <w:p w14:paraId="3F4A2FAD" w14:textId="2D63D084"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Times New Roman" w:hAnsi="Arial" w:cs="Arial"/>
                <w:color w:val="000000"/>
                <w:sz w:val="20"/>
                <w:szCs w:val="20"/>
              </w:rPr>
              <w:t>50</w:t>
            </w:r>
            <w:r w:rsidR="00AE3570">
              <w:rPr>
                <w:rFonts w:ascii="Arial" w:eastAsia="Times New Roman" w:hAnsi="Arial" w:cs="Arial"/>
                <w:color w:val="000000"/>
                <w:sz w:val="20"/>
                <w:szCs w:val="20"/>
              </w:rPr>
              <w:t>9,387</w:t>
            </w:r>
          </w:p>
        </w:tc>
        <w:tc>
          <w:tcPr>
            <w:tcW w:w="270" w:type="dxa"/>
            <w:tcBorders>
              <w:top w:val="nil"/>
              <w:left w:val="nil"/>
              <w:bottom w:val="single" w:sz="8" w:space="0" w:color="auto"/>
              <w:right w:val="single" w:sz="8" w:space="0" w:color="auto"/>
            </w:tcBorders>
            <w:shd w:val="clear" w:color="auto" w:fill="auto"/>
            <w:vAlign w:val="center"/>
          </w:tcPr>
          <w:p w14:paraId="1C13CED4" w14:textId="77777777" w:rsidR="00C93C49" w:rsidRPr="00C93C49" w:rsidRDefault="00C93C49" w:rsidP="00C93C49">
            <w:pPr>
              <w:spacing w:after="0" w:line="20" w:lineRule="atLeast"/>
              <w:contextualSpacing/>
              <w:jc w:val="right"/>
              <w:rPr>
                <w:rFonts w:ascii="Arial" w:eastAsia="Times New Roman" w:hAnsi="Arial" w:cs="Arial"/>
                <w:color w:val="000000"/>
                <w:sz w:val="20"/>
                <w:szCs w:val="20"/>
              </w:rPr>
            </w:pPr>
          </w:p>
        </w:tc>
        <w:tc>
          <w:tcPr>
            <w:tcW w:w="1260" w:type="dxa"/>
            <w:tcBorders>
              <w:top w:val="single" w:sz="8" w:space="0" w:color="auto"/>
              <w:left w:val="nil"/>
              <w:bottom w:val="single" w:sz="8" w:space="0" w:color="auto"/>
            </w:tcBorders>
            <w:shd w:val="clear" w:color="auto" w:fill="auto"/>
            <w:noWrap/>
            <w:vAlign w:val="center"/>
            <w:hideMark/>
          </w:tcPr>
          <w:p w14:paraId="3EF2505D" w14:textId="77777777"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Times New Roman" w:hAnsi="Arial" w:cs="Arial"/>
                <w:color w:val="000000"/>
                <w:sz w:val="20"/>
                <w:szCs w:val="20"/>
              </w:rPr>
              <w:t>88,107</w:t>
            </w:r>
          </w:p>
        </w:tc>
        <w:tc>
          <w:tcPr>
            <w:tcW w:w="270" w:type="dxa"/>
            <w:tcBorders>
              <w:top w:val="nil"/>
              <w:left w:val="nil"/>
              <w:bottom w:val="single" w:sz="8" w:space="0" w:color="auto"/>
              <w:right w:val="single" w:sz="8" w:space="0" w:color="auto"/>
            </w:tcBorders>
            <w:shd w:val="clear" w:color="auto" w:fill="auto"/>
            <w:vAlign w:val="center"/>
          </w:tcPr>
          <w:p w14:paraId="7101E636" w14:textId="77777777" w:rsidR="00C93C49" w:rsidRPr="00C93C49" w:rsidRDefault="00C93C49" w:rsidP="00C93C49">
            <w:pPr>
              <w:spacing w:after="0" w:line="20" w:lineRule="atLeast"/>
              <w:contextualSpacing/>
              <w:jc w:val="right"/>
              <w:rPr>
                <w:rFonts w:ascii="Arial" w:eastAsia="Times New Roman" w:hAnsi="Arial" w:cs="Arial"/>
                <w:color w:val="000000"/>
                <w:sz w:val="20"/>
                <w:szCs w:val="20"/>
              </w:rPr>
            </w:pPr>
          </w:p>
        </w:tc>
        <w:tc>
          <w:tcPr>
            <w:tcW w:w="1190" w:type="dxa"/>
            <w:tcBorders>
              <w:top w:val="single" w:sz="8" w:space="0" w:color="auto"/>
              <w:left w:val="nil"/>
              <w:bottom w:val="single" w:sz="8" w:space="0" w:color="auto"/>
            </w:tcBorders>
            <w:shd w:val="clear" w:color="auto" w:fill="auto"/>
            <w:noWrap/>
            <w:vAlign w:val="center"/>
            <w:hideMark/>
          </w:tcPr>
          <w:p w14:paraId="70E98B11" w14:textId="16F94FB4"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Times New Roman" w:hAnsi="Arial" w:cs="Arial"/>
                <w:color w:val="000000"/>
                <w:sz w:val="20"/>
                <w:szCs w:val="20"/>
              </w:rPr>
              <w:t>59</w:t>
            </w:r>
            <w:r w:rsidR="00AE3570">
              <w:rPr>
                <w:rFonts w:ascii="Arial" w:eastAsia="Times New Roman" w:hAnsi="Arial" w:cs="Arial"/>
                <w:color w:val="000000"/>
                <w:sz w:val="20"/>
                <w:szCs w:val="20"/>
              </w:rPr>
              <w:t>7,494</w:t>
            </w:r>
          </w:p>
        </w:tc>
        <w:tc>
          <w:tcPr>
            <w:tcW w:w="270" w:type="dxa"/>
            <w:tcBorders>
              <w:top w:val="nil"/>
              <w:left w:val="nil"/>
              <w:bottom w:val="single" w:sz="8" w:space="0" w:color="auto"/>
              <w:right w:val="single" w:sz="8" w:space="0" w:color="auto"/>
            </w:tcBorders>
            <w:shd w:val="clear" w:color="auto" w:fill="auto"/>
            <w:vAlign w:val="center"/>
          </w:tcPr>
          <w:p w14:paraId="4A890948" w14:textId="77777777" w:rsidR="00C93C49" w:rsidRPr="00C93C49" w:rsidRDefault="00C93C49" w:rsidP="00C93C49">
            <w:pPr>
              <w:spacing w:after="0" w:line="20" w:lineRule="atLeast"/>
              <w:contextualSpacing/>
              <w:jc w:val="right"/>
              <w:rPr>
                <w:rFonts w:ascii="Arial" w:eastAsia="Times New Roman" w:hAnsi="Arial" w:cs="Arial"/>
                <w:color w:val="000000"/>
                <w:sz w:val="20"/>
                <w:szCs w:val="20"/>
              </w:rPr>
            </w:pPr>
          </w:p>
        </w:tc>
        <w:tc>
          <w:tcPr>
            <w:tcW w:w="1336" w:type="dxa"/>
            <w:tcBorders>
              <w:top w:val="nil"/>
              <w:left w:val="nil"/>
              <w:bottom w:val="single" w:sz="8" w:space="0" w:color="auto"/>
              <w:right w:val="single" w:sz="8" w:space="0" w:color="auto"/>
            </w:tcBorders>
            <w:shd w:val="clear" w:color="auto" w:fill="auto"/>
            <w:noWrap/>
            <w:vAlign w:val="center"/>
            <w:hideMark/>
          </w:tcPr>
          <w:p w14:paraId="0635DD9C" w14:textId="5C2D3275"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Times New Roman" w:hAnsi="Arial" w:cs="Arial"/>
                <w:color w:val="000000"/>
                <w:sz w:val="20"/>
                <w:szCs w:val="20"/>
              </w:rPr>
              <w:t>85.</w:t>
            </w:r>
            <w:r w:rsidR="009E4E66">
              <w:rPr>
                <w:rFonts w:ascii="Arial" w:eastAsia="Times New Roman" w:hAnsi="Arial" w:cs="Arial"/>
                <w:color w:val="000000"/>
                <w:sz w:val="20"/>
                <w:szCs w:val="20"/>
              </w:rPr>
              <w:t>25</w:t>
            </w:r>
            <w:r w:rsidRPr="00C93C49">
              <w:rPr>
                <w:rFonts w:ascii="Arial" w:eastAsia="Times New Roman" w:hAnsi="Arial" w:cs="Arial"/>
                <w:color w:val="000000"/>
                <w:sz w:val="20"/>
                <w:szCs w:val="20"/>
              </w:rPr>
              <w:t>%</w:t>
            </w:r>
          </w:p>
        </w:tc>
        <w:tc>
          <w:tcPr>
            <w:tcW w:w="1544" w:type="dxa"/>
            <w:tcBorders>
              <w:top w:val="nil"/>
              <w:left w:val="nil"/>
              <w:bottom w:val="single" w:sz="8" w:space="0" w:color="auto"/>
              <w:right w:val="single" w:sz="8" w:space="0" w:color="auto"/>
            </w:tcBorders>
            <w:shd w:val="clear" w:color="auto" w:fill="auto"/>
            <w:noWrap/>
            <w:vAlign w:val="center"/>
            <w:hideMark/>
          </w:tcPr>
          <w:p w14:paraId="5B8363F7" w14:textId="47F3663C"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Times New Roman" w:hAnsi="Arial" w:cs="Arial"/>
                <w:color w:val="000000"/>
                <w:sz w:val="20"/>
                <w:szCs w:val="20"/>
              </w:rPr>
              <w:t>14.</w:t>
            </w:r>
            <w:r w:rsidR="009E4E66">
              <w:rPr>
                <w:rFonts w:ascii="Arial" w:eastAsia="Times New Roman" w:hAnsi="Arial" w:cs="Arial"/>
                <w:color w:val="000000"/>
                <w:sz w:val="20"/>
                <w:szCs w:val="20"/>
              </w:rPr>
              <w:t>75</w:t>
            </w:r>
            <w:r w:rsidRPr="00C93C49">
              <w:rPr>
                <w:rFonts w:ascii="Arial" w:eastAsia="Times New Roman" w:hAnsi="Arial" w:cs="Arial"/>
                <w:color w:val="000000"/>
                <w:sz w:val="20"/>
                <w:szCs w:val="20"/>
              </w:rPr>
              <w:t>%</w:t>
            </w:r>
          </w:p>
        </w:tc>
      </w:tr>
      <w:tr w:rsidR="00C93C49" w:rsidRPr="00C93C49" w14:paraId="24E9C3F9" w14:textId="77777777" w:rsidTr="00347614">
        <w:trPr>
          <w:trHeight w:val="188"/>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C1F61C3" w14:textId="77777777" w:rsidR="00C93C49" w:rsidRPr="00C93C49" w:rsidRDefault="00C93C49" w:rsidP="00C93C49">
            <w:pPr>
              <w:spacing w:after="0" w:line="20" w:lineRule="atLeast"/>
              <w:contextualSpacing/>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Penn Power</w:t>
            </w:r>
          </w:p>
        </w:tc>
        <w:tc>
          <w:tcPr>
            <w:tcW w:w="1260" w:type="dxa"/>
            <w:tcBorders>
              <w:top w:val="single" w:sz="8" w:space="0" w:color="auto"/>
              <w:left w:val="nil"/>
              <w:bottom w:val="single" w:sz="8" w:space="0" w:color="auto"/>
            </w:tcBorders>
            <w:shd w:val="clear" w:color="auto" w:fill="auto"/>
            <w:noWrap/>
            <w:vAlign w:val="center"/>
            <w:hideMark/>
          </w:tcPr>
          <w:p w14:paraId="7AF63FCA" w14:textId="4D72AE90"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Times New Roman" w:hAnsi="Arial" w:cs="Arial"/>
                <w:color w:val="000000"/>
                <w:sz w:val="20"/>
                <w:szCs w:val="20"/>
              </w:rPr>
              <w:t>168,</w:t>
            </w:r>
            <w:r w:rsidR="00AE3570">
              <w:rPr>
                <w:rFonts w:ascii="Arial" w:eastAsia="Times New Roman" w:hAnsi="Arial" w:cs="Arial"/>
                <w:color w:val="000000"/>
                <w:sz w:val="20"/>
                <w:szCs w:val="20"/>
              </w:rPr>
              <w:t>129</w:t>
            </w:r>
          </w:p>
        </w:tc>
        <w:tc>
          <w:tcPr>
            <w:tcW w:w="270" w:type="dxa"/>
            <w:tcBorders>
              <w:top w:val="nil"/>
              <w:left w:val="nil"/>
              <w:bottom w:val="single" w:sz="8" w:space="0" w:color="auto"/>
              <w:right w:val="single" w:sz="8" w:space="0" w:color="auto"/>
            </w:tcBorders>
            <w:shd w:val="clear" w:color="auto" w:fill="auto"/>
            <w:vAlign w:val="center"/>
          </w:tcPr>
          <w:p w14:paraId="53FA334D" w14:textId="77777777" w:rsidR="00C93C49" w:rsidRPr="00C93C49" w:rsidRDefault="00C93C49" w:rsidP="00C93C49">
            <w:pPr>
              <w:spacing w:after="0" w:line="20" w:lineRule="atLeast"/>
              <w:contextualSpacing/>
              <w:jc w:val="right"/>
              <w:rPr>
                <w:rFonts w:ascii="Arial" w:eastAsia="Times New Roman" w:hAnsi="Arial" w:cs="Arial"/>
                <w:color w:val="000000"/>
                <w:sz w:val="20"/>
                <w:szCs w:val="20"/>
              </w:rPr>
            </w:pPr>
          </w:p>
        </w:tc>
        <w:tc>
          <w:tcPr>
            <w:tcW w:w="1260" w:type="dxa"/>
            <w:tcBorders>
              <w:top w:val="single" w:sz="8" w:space="0" w:color="auto"/>
              <w:left w:val="nil"/>
              <w:bottom w:val="single" w:sz="8" w:space="0" w:color="auto"/>
            </w:tcBorders>
            <w:shd w:val="clear" w:color="auto" w:fill="auto"/>
            <w:noWrap/>
            <w:vAlign w:val="center"/>
            <w:hideMark/>
          </w:tcPr>
          <w:p w14:paraId="408EE1D2" w14:textId="77777777"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Times New Roman" w:hAnsi="Arial" w:cs="Arial"/>
                <w:color w:val="000000"/>
                <w:sz w:val="20"/>
                <w:szCs w:val="20"/>
              </w:rPr>
              <w:t>354</w:t>
            </w:r>
          </w:p>
        </w:tc>
        <w:tc>
          <w:tcPr>
            <w:tcW w:w="270" w:type="dxa"/>
            <w:tcBorders>
              <w:top w:val="nil"/>
              <w:left w:val="nil"/>
              <w:bottom w:val="single" w:sz="8" w:space="0" w:color="auto"/>
              <w:right w:val="single" w:sz="8" w:space="0" w:color="auto"/>
            </w:tcBorders>
            <w:shd w:val="clear" w:color="auto" w:fill="auto"/>
            <w:vAlign w:val="center"/>
          </w:tcPr>
          <w:p w14:paraId="447A0EC1" w14:textId="77777777" w:rsidR="00C93C49" w:rsidRPr="00C93C49" w:rsidRDefault="00C93C49" w:rsidP="00C93C49">
            <w:pPr>
              <w:spacing w:after="0" w:line="20" w:lineRule="atLeast"/>
              <w:contextualSpacing/>
              <w:jc w:val="right"/>
              <w:rPr>
                <w:rFonts w:ascii="Arial" w:eastAsia="Times New Roman" w:hAnsi="Arial" w:cs="Arial"/>
                <w:color w:val="000000"/>
                <w:sz w:val="20"/>
                <w:szCs w:val="20"/>
              </w:rPr>
            </w:pPr>
          </w:p>
        </w:tc>
        <w:tc>
          <w:tcPr>
            <w:tcW w:w="1190" w:type="dxa"/>
            <w:tcBorders>
              <w:top w:val="single" w:sz="8" w:space="0" w:color="auto"/>
              <w:left w:val="nil"/>
              <w:bottom w:val="single" w:sz="8" w:space="0" w:color="auto"/>
            </w:tcBorders>
            <w:shd w:val="clear" w:color="auto" w:fill="auto"/>
            <w:noWrap/>
            <w:vAlign w:val="center"/>
            <w:hideMark/>
          </w:tcPr>
          <w:p w14:paraId="1994D74F" w14:textId="29C0016F"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Times New Roman" w:hAnsi="Arial" w:cs="Arial"/>
                <w:color w:val="000000"/>
                <w:sz w:val="20"/>
                <w:szCs w:val="20"/>
              </w:rPr>
              <w:t>168,</w:t>
            </w:r>
            <w:r w:rsidR="00AE3570">
              <w:rPr>
                <w:rFonts w:ascii="Arial" w:eastAsia="Times New Roman" w:hAnsi="Arial" w:cs="Arial"/>
                <w:color w:val="000000"/>
                <w:sz w:val="20"/>
                <w:szCs w:val="20"/>
              </w:rPr>
              <w:t>483</w:t>
            </w:r>
          </w:p>
        </w:tc>
        <w:tc>
          <w:tcPr>
            <w:tcW w:w="270" w:type="dxa"/>
            <w:tcBorders>
              <w:top w:val="nil"/>
              <w:left w:val="nil"/>
              <w:bottom w:val="single" w:sz="8" w:space="0" w:color="auto"/>
              <w:right w:val="single" w:sz="8" w:space="0" w:color="auto"/>
            </w:tcBorders>
            <w:shd w:val="clear" w:color="auto" w:fill="auto"/>
            <w:vAlign w:val="center"/>
          </w:tcPr>
          <w:p w14:paraId="7E14B954" w14:textId="77777777" w:rsidR="00C93C49" w:rsidRPr="00C93C49" w:rsidRDefault="00C93C49" w:rsidP="00C93C49">
            <w:pPr>
              <w:spacing w:after="0" w:line="20" w:lineRule="atLeast"/>
              <w:contextualSpacing/>
              <w:jc w:val="right"/>
              <w:rPr>
                <w:rFonts w:ascii="Arial" w:eastAsia="Times New Roman" w:hAnsi="Arial" w:cs="Arial"/>
                <w:color w:val="000000"/>
                <w:sz w:val="20"/>
                <w:szCs w:val="20"/>
              </w:rPr>
            </w:pPr>
          </w:p>
        </w:tc>
        <w:tc>
          <w:tcPr>
            <w:tcW w:w="1336" w:type="dxa"/>
            <w:tcBorders>
              <w:top w:val="nil"/>
              <w:left w:val="nil"/>
              <w:bottom w:val="single" w:sz="8" w:space="0" w:color="auto"/>
              <w:right w:val="single" w:sz="8" w:space="0" w:color="auto"/>
            </w:tcBorders>
            <w:shd w:val="clear" w:color="auto" w:fill="auto"/>
            <w:noWrap/>
            <w:vAlign w:val="center"/>
            <w:hideMark/>
          </w:tcPr>
          <w:p w14:paraId="7C16BE3A" w14:textId="77777777"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Times New Roman" w:hAnsi="Arial" w:cs="Arial"/>
                <w:color w:val="000000"/>
                <w:sz w:val="20"/>
                <w:szCs w:val="20"/>
              </w:rPr>
              <w:t>99.79%</w:t>
            </w:r>
          </w:p>
        </w:tc>
        <w:tc>
          <w:tcPr>
            <w:tcW w:w="1544" w:type="dxa"/>
            <w:tcBorders>
              <w:top w:val="nil"/>
              <w:left w:val="nil"/>
              <w:bottom w:val="single" w:sz="8" w:space="0" w:color="auto"/>
              <w:right w:val="single" w:sz="8" w:space="0" w:color="auto"/>
            </w:tcBorders>
            <w:shd w:val="clear" w:color="auto" w:fill="auto"/>
            <w:noWrap/>
            <w:vAlign w:val="center"/>
            <w:hideMark/>
          </w:tcPr>
          <w:p w14:paraId="0F8CBADF" w14:textId="77777777"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Times New Roman" w:hAnsi="Arial" w:cs="Arial"/>
                <w:color w:val="000000"/>
                <w:sz w:val="20"/>
                <w:szCs w:val="20"/>
              </w:rPr>
              <w:t>0.21%</w:t>
            </w:r>
          </w:p>
        </w:tc>
      </w:tr>
      <w:tr w:rsidR="00C93C49" w:rsidRPr="00C93C49" w14:paraId="48649A93" w14:textId="77777777" w:rsidTr="00347614">
        <w:trPr>
          <w:trHeight w:val="188"/>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370FDB75" w14:textId="77777777" w:rsidR="00C93C49" w:rsidRPr="00C93C49" w:rsidRDefault="00C93C49" w:rsidP="00C93C49">
            <w:pPr>
              <w:spacing w:after="0" w:line="20" w:lineRule="atLeast"/>
              <w:contextualSpacing/>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West Penn Power</w:t>
            </w:r>
          </w:p>
        </w:tc>
        <w:tc>
          <w:tcPr>
            <w:tcW w:w="1260" w:type="dxa"/>
            <w:tcBorders>
              <w:top w:val="single" w:sz="8" w:space="0" w:color="auto"/>
              <w:left w:val="nil"/>
              <w:bottom w:val="single" w:sz="8" w:space="0" w:color="auto"/>
            </w:tcBorders>
            <w:shd w:val="clear" w:color="auto" w:fill="auto"/>
            <w:noWrap/>
            <w:vAlign w:val="center"/>
            <w:hideMark/>
          </w:tcPr>
          <w:p w14:paraId="7662F396" w14:textId="2F33EEF2"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Times New Roman" w:hAnsi="Arial" w:cs="Arial"/>
                <w:color w:val="000000"/>
                <w:sz w:val="20"/>
                <w:szCs w:val="20"/>
              </w:rPr>
              <w:t>3</w:t>
            </w:r>
            <w:r w:rsidR="00AE3570">
              <w:rPr>
                <w:rFonts w:ascii="Arial" w:eastAsia="Times New Roman" w:hAnsi="Arial" w:cs="Arial"/>
                <w:color w:val="000000"/>
                <w:sz w:val="20"/>
                <w:szCs w:val="20"/>
              </w:rPr>
              <w:t>55,776</w:t>
            </w:r>
          </w:p>
        </w:tc>
        <w:tc>
          <w:tcPr>
            <w:tcW w:w="270" w:type="dxa"/>
            <w:tcBorders>
              <w:top w:val="nil"/>
              <w:left w:val="nil"/>
              <w:bottom w:val="single" w:sz="8" w:space="0" w:color="auto"/>
              <w:right w:val="single" w:sz="8" w:space="0" w:color="auto"/>
            </w:tcBorders>
            <w:shd w:val="clear" w:color="auto" w:fill="auto"/>
            <w:vAlign w:val="center"/>
          </w:tcPr>
          <w:p w14:paraId="4D27CAC3" w14:textId="77777777" w:rsidR="00C93C49" w:rsidRPr="00C93C49" w:rsidRDefault="00C93C49" w:rsidP="00C93C49">
            <w:pPr>
              <w:spacing w:after="0" w:line="20" w:lineRule="atLeast"/>
              <w:contextualSpacing/>
              <w:jc w:val="right"/>
              <w:rPr>
                <w:rFonts w:ascii="Arial" w:eastAsia="Times New Roman" w:hAnsi="Arial" w:cs="Arial"/>
                <w:color w:val="000000"/>
                <w:sz w:val="20"/>
                <w:szCs w:val="20"/>
              </w:rPr>
            </w:pPr>
          </w:p>
        </w:tc>
        <w:tc>
          <w:tcPr>
            <w:tcW w:w="1260" w:type="dxa"/>
            <w:tcBorders>
              <w:top w:val="single" w:sz="8" w:space="0" w:color="auto"/>
              <w:left w:val="nil"/>
              <w:bottom w:val="single" w:sz="8" w:space="0" w:color="auto"/>
            </w:tcBorders>
            <w:shd w:val="clear" w:color="auto" w:fill="auto"/>
            <w:noWrap/>
            <w:vAlign w:val="center"/>
            <w:hideMark/>
          </w:tcPr>
          <w:p w14:paraId="0A9A6BB1" w14:textId="77777777"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Times New Roman" w:hAnsi="Arial" w:cs="Arial"/>
                <w:color w:val="000000"/>
                <w:sz w:val="20"/>
                <w:szCs w:val="20"/>
              </w:rPr>
              <w:t>379,330</w:t>
            </w:r>
          </w:p>
        </w:tc>
        <w:tc>
          <w:tcPr>
            <w:tcW w:w="270" w:type="dxa"/>
            <w:tcBorders>
              <w:top w:val="nil"/>
              <w:left w:val="nil"/>
              <w:bottom w:val="single" w:sz="8" w:space="0" w:color="auto"/>
              <w:right w:val="single" w:sz="8" w:space="0" w:color="auto"/>
            </w:tcBorders>
            <w:shd w:val="clear" w:color="auto" w:fill="auto"/>
            <w:vAlign w:val="center"/>
          </w:tcPr>
          <w:p w14:paraId="61221866" w14:textId="77777777" w:rsidR="00C93C49" w:rsidRPr="00C93C49" w:rsidRDefault="00C93C49" w:rsidP="00C93C49">
            <w:pPr>
              <w:spacing w:after="0" w:line="20" w:lineRule="atLeast"/>
              <w:contextualSpacing/>
              <w:jc w:val="right"/>
              <w:rPr>
                <w:rFonts w:ascii="Arial" w:eastAsia="Times New Roman" w:hAnsi="Arial" w:cs="Arial"/>
                <w:color w:val="000000"/>
                <w:sz w:val="20"/>
                <w:szCs w:val="20"/>
              </w:rPr>
            </w:pPr>
          </w:p>
        </w:tc>
        <w:tc>
          <w:tcPr>
            <w:tcW w:w="1190" w:type="dxa"/>
            <w:tcBorders>
              <w:top w:val="single" w:sz="8" w:space="0" w:color="auto"/>
              <w:left w:val="nil"/>
              <w:bottom w:val="single" w:sz="8" w:space="0" w:color="auto"/>
            </w:tcBorders>
            <w:shd w:val="clear" w:color="auto" w:fill="auto"/>
            <w:noWrap/>
            <w:vAlign w:val="center"/>
            <w:hideMark/>
          </w:tcPr>
          <w:p w14:paraId="740EFC9C" w14:textId="6767BFB3" w:rsidR="00C93C49" w:rsidRPr="00C93C49" w:rsidRDefault="00AE3570" w:rsidP="00C93C49">
            <w:pPr>
              <w:spacing w:after="0" w:line="20" w:lineRule="atLeast"/>
              <w:contextualSpacing/>
              <w:jc w:val="right"/>
              <w:rPr>
                <w:rFonts w:ascii="Arial" w:eastAsia="Times New Roman" w:hAnsi="Arial" w:cs="Arial"/>
                <w:color w:val="000000"/>
                <w:sz w:val="20"/>
                <w:szCs w:val="20"/>
              </w:rPr>
            </w:pPr>
            <w:r>
              <w:rPr>
                <w:rFonts w:ascii="Arial" w:eastAsia="Times New Roman" w:hAnsi="Arial" w:cs="Arial"/>
                <w:color w:val="000000"/>
                <w:sz w:val="20"/>
                <w:szCs w:val="20"/>
              </w:rPr>
              <w:t>735,106</w:t>
            </w:r>
          </w:p>
        </w:tc>
        <w:tc>
          <w:tcPr>
            <w:tcW w:w="270" w:type="dxa"/>
            <w:tcBorders>
              <w:top w:val="nil"/>
              <w:left w:val="nil"/>
              <w:bottom w:val="single" w:sz="8" w:space="0" w:color="auto"/>
              <w:right w:val="single" w:sz="8" w:space="0" w:color="auto"/>
            </w:tcBorders>
            <w:shd w:val="clear" w:color="auto" w:fill="auto"/>
            <w:vAlign w:val="center"/>
          </w:tcPr>
          <w:p w14:paraId="7DFDDAAA" w14:textId="77777777" w:rsidR="00C93C49" w:rsidRPr="00C93C49" w:rsidRDefault="00C93C49" w:rsidP="00C93C49">
            <w:pPr>
              <w:spacing w:after="0" w:line="20" w:lineRule="atLeast"/>
              <w:contextualSpacing/>
              <w:jc w:val="right"/>
              <w:rPr>
                <w:rFonts w:ascii="Arial" w:eastAsia="Times New Roman" w:hAnsi="Arial" w:cs="Arial"/>
                <w:color w:val="000000"/>
                <w:sz w:val="20"/>
                <w:szCs w:val="20"/>
              </w:rPr>
            </w:pPr>
          </w:p>
        </w:tc>
        <w:tc>
          <w:tcPr>
            <w:tcW w:w="1336" w:type="dxa"/>
            <w:tcBorders>
              <w:top w:val="nil"/>
              <w:left w:val="nil"/>
              <w:bottom w:val="single" w:sz="8" w:space="0" w:color="auto"/>
              <w:right w:val="single" w:sz="8" w:space="0" w:color="auto"/>
            </w:tcBorders>
            <w:shd w:val="clear" w:color="auto" w:fill="auto"/>
            <w:noWrap/>
            <w:vAlign w:val="center"/>
            <w:hideMark/>
          </w:tcPr>
          <w:p w14:paraId="0EBA9E7A" w14:textId="25915BE3"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Times New Roman" w:hAnsi="Arial" w:cs="Arial"/>
                <w:color w:val="000000"/>
                <w:sz w:val="20"/>
                <w:szCs w:val="20"/>
              </w:rPr>
              <w:t>4</w:t>
            </w:r>
            <w:r w:rsidR="009E4E66">
              <w:rPr>
                <w:rFonts w:ascii="Arial" w:eastAsia="Times New Roman" w:hAnsi="Arial" w:cs="Arial"/>
                <w:color w:val="000000"/>
                <w:sz w:val="20"/>
                <w:szCs w:val="20"/>
              </w:rPr>
              <w:t>8.40</w:t>
            </w:r>
            <w:r w:rsidRPr="00C93C49">
              <w:rPr>
                <w:rFonts w:ascii="Arial" w:eastAsia="Times New Roman" w:hAnsi="Arial" w:cs="Arial"/>
                <w:color w:val="000000"/>
                <w:sz w:val="20"/>
                <w:szCs w:val="20"/>
              </w:rPr>
              <w:t>%</w:t>
            </w:r>
          </w:p>
        </w:tc>
        <w:tc>
          <w:tcPr>
            <w:tcW w:w="1544" w:type="dxa"/>
            <w:tcBorders>
              <w:top w:val="nil"/>
              <w:left w:val="nil"/>
              <w:bottom w:val="single" w:sz="8" w:space="0" w:color="auto"/>
              <w:right w:val="single" w:sz="8" w:space="0" w:color="auto"/>
            </w:tcBorders>
            <w:shd w:val="clear" w:color="auto" w:fill="auto"/>
            <w:noWrap/>
            <w:vAlign w:val="center"/>
            <w:hideMark/>
          </w:tcPr>
          <w:p w14:paraId="285E6565" w14:textId="3A1D3BCA"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Times New Roman" w:hAnsi="Arial" w:cs="Arial"/>
                <w:color w:val="000000"/>
                <w:sz w:val="20"/>
                <w:szCs w:val="20"/>
              </w:rPr>
              <w:t>5</w:t>
            </w:r>
            <w:r w:rsidR="009E4E66">
              <w:rPr>
                <w:rFonts w:ascii="Arial" w:eastAsia="Times New Roman" w:hAnsi="Arial" w:cs="Arial"/>
                <w:color w:val="000000"/>
                <w:sz w:val="20"/>
                <w:szCs w:val="20"/>
              </w:rPr>
              <w:t>1.60</w:t>
            </w:r>
            <w:r w:rsidRPr="00C93C49">
              <w:rPr>
                <w:rFonts w:ascii="Arial" w:eastAsia="Times New Roman" w:hAnsi="Arial" w:cs="Arial"/>
                <w:color w:val="000000"/>
                <w:sz w:val="20"/>
                <w:szCs w:val="20"/>
              </w:rPr>
              <w:t>%</w:t>
            </w:r>
          </w:p>
        </w:tc>
      </w:tr>
      <w:tr w:rsidR="00C93C49" w:rsidRPr="00C93C49" w14:paraId="0FEE02F5" w14:textId="77777777" w:rsidTr="00347614">
        <w:trPr>
          <w:trHeight w:val="188"/>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68ACCCC" w14:textId="77777777" w:rsidR="00C93C49" w:rsidRPr="00C93C49" w:rsidRDefault="00DC3D9B" w:rsidP="00C93C49">
            <w:pPr>
              <w:spacing w:after="0" w:line="20" w:lineRule="atLeast"/>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FE-PA companies</w:t>
            </w:r>
          </w:p>
        </w:tc>
        <w:tc>
          <w:tcPr>
            <w:tcW w:w="1260" w:type="dxa"/>
            <w:tcBorders>
              <w:top w:val="single" w:sz="8" w:space="0" w:color="auto"/>
              <w:left w:val="nil"/>
              <w:bottom w:val="single" w:sz="8" w:space="0" w:color="auto"/>
            </w:tcBorders>
            <w:shd w:val="clear" w:color="auto" w:fill="auto"/>
            <w:noWrap/>
            <w:vAlign w:val="center"/>
            <w:hideMark/>
          </w:tcPr>
          <w:p w14:paraId="25DF8E52" w14:textId="0F9F252E"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Times New Roman" w:hAnsi="Arial" w:cs="Arial"/>
                <w:color w:val="000000"/>
                <w:sz w:val="20"/>
                <w:szCs w:val="20"/>
              </w:rPr>
              <w:t>1,</w:t>
            </w:r>
            <w:r w:rsidR="00AE3570">
              <w:rPr>
                <w:rFonts w:ascii="Arial" w:eastAsia="Times New Roman" w:hAnsi="Arial" w:cs="Arial"/>
                <w:color w:val="000000"/>
                <w:sz w:val="20"/>
                <w:szCs w:val="20"/>
              </w:rPr>
              <w:t>354,697</w:t>
            </w:r>
          </w:p>
        </w:tc>
        <w:tc>
          <w:tcPr>
            <w:tcW w:w="270" w:type="dxa"/>
            <w:tcBorders>
              <w:top w:val="nil"/>
              <w:left w:val="nil"/>
              <w:bottom w:val="single" w:sz="8" w:space="0" w:color="auto"/>
              <w:right w:val="single" w:sz="8" w:space="0" w:color="auto"/>
            </w:tcBorders>
            <w:shd w:val="clear" w:color="auto" w:fill="auto"/>
            <w:vAlign w:val="center"/>
          </w:tcPr>
          <w:p w14:paraId="0C639BF6" w14:textId="77777777" w:rsidR="00C93C49" w:rsidRPr="00C93C49" w:rsidRDefault="00C93C49" w:rsidP="00C93C49">
            <w:pPr>
              <w:spacing w:after="0" w:line="20" w:lineRule="atLeast"/>
              <w:contextualSpacing/>
              <w:jc w:val="right"/>
              <w:rPr>
                <w:rFonts w:ascii="Arial" w:eastAsia="Times New Roman" w:hAnsi="Arial" w:cs="Arial"/>
                <w:color w:val="000000"/>
                <w:sz w:val="20"/>
                <w:szCs w:val="20"/>
              </w:rPr>
            </w:pPr>
          </w:p>
        </w:tc>
        <w:tc>
          <w:tcPr>
            <w:tcW w:w="1260" w:type="dxa"/>
            <w:tcBorders>
              <w:top w:val="single" w:sz="8" w:space="0" w:color="auto"/>
              <w:left w:val="nil"/>
              <w:bottom w:val="single" w:sz="8" w:space="0" w:color="auto"/>
            </w:tcBorders>
            <w:shd w:val="clear" w:color="auto" w:fill="auto"/>
            <w:noWrap/>
            <w:vAlign w:val="center"/>
            <w:hideMark/>
          </w:tcPr>
          <w:p w14:paraId="6462DA5F" w14:textId="77777777"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Times New Roman" w:hAnsi="Arial" w:cs="Arial"/>
                <w:color w:val="000000"/>
                <w:sz w:val="20"/>
                <w:szCs w:val="20"/>
              </w:rPr>
              <w:t>725,211</w:t>
            </w:r>
          </w:p>
        </w:tc>
        <w:tc>
          <w:tcPr>
            <w:tcW w:w="270" w:type="dxa"/>
            <w:tcBorders>
              <w:top w:val="nil"/>
              <w:left w:val="nil"/>
              <w:bottom w:val="single" w:sz="8" w:space="0" w:color="auto"/>
              <w:right w:val="single" w:sz="8" w:space="0" w:color="auto"/>
            </w:tcBorders>
            <w:shd w:val="clear" w:color="auto" w:fill="auto"/>
            <w:vAlign w:val="center"/>
          </w:tcPr>
          <w:p w14:paraId="3F605C95" w14:textId="77777777" w:rsidR="00C93C49" w:rsidRPr="00C93C49" w:rsidRDefault="00C93C49" w:rsidP="00C93C49">
            <w:pPr>
              <w:spacing w:after="0" w:line="20" w:lineRule="atLeast"/>
              <w:contextualSpacing/>
              <w:jc w:val="right"/>
              <w:rPr>
                <w:rFonts w:ascii="Arial" w:eastAsia="Times New Roman" w:hAnsi="Arial" w:cs="Arial"/>
                <w:color w:val="000000"/>
                <w:sz w:val="20"/>
                <w:szCs w:val="20"/>
              </w:rPr>
            </w:pPr>
          </w:p>
        </w:tc>
        <w:tc>
          <w:tcPr>
            <w:tcW w:w="1190" w:type="dxa"/>
            <w:tcBorders>
              <w:top w:val="single" w:sz="8" w:space="0" w:color="auto"/>
              <w:left w:val="nil"/>
              <w:bottom w:val="single" w:sz="8" w:space="0" w:color="auto"/>
            </w:tcBorders>
            <w:shd w:val="clear" w:color="auto" w:fill="auto"/>
            <w:noWrap/>
            <w:vAlign w:val="center"/>
            <w:hideMark/>
          </w:tcPr>
          <w:p w14:paraId="6ECC9372" w14:textId="0AE8BD77"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Times New Roman" w:hAnsi="Arial" w:cs="Arial"/>
                <w:color w:val="000000"/>
                <w:sz w:val="20"/>
                <w:szCs w:val="20"/>
              </w:rPr>
              <w:t>2,0</w:t>
            </w:r>
            <w:r w:rsidR="00AE3570">
              <w:rPr>
                <w:rFonts w:ascii="Arial" w:eastAsia="Times New Roman" w:hAnsi="Arial" w:cs="Arial"/>
                <w:color w:val="000000"/>
                <w:sz w:val="20"/>
                <w:szCs w:val="20"/>
              </w:rPr>
              <w:t>79,908</w:t>
            </w:r>
          </w:p>
        </w:tc>
        <w:tc>
          <w:tcPr>
            <w:tcW w:w="270" w:type="dxa"/>
            <w:tcBorders>
              <w:top w:val="nil"/>
              <w:left w:val="nil"/>
              <w:bottom w:val="single" w:sz="8" w:space="0" w:color="auto"/>
              <w:right w:val="single" w:sz="8" w:space="0" w:color="auto"/>
            </w:tcBorders>
            <w:shd w:val="clear" w:color="auto" w:fill="auto"/>
            <w:vAlign w:val="center"/>
          </w:tcPr>
          <w:p w14:paraId="39417C05" w14:textId="77777777" w:rsidR="00C93C49" w:rsidRPr="00C93C49" w:rsidRDefault="00C93C49" w:rsidP="00C93C49">
            <w:pPr>
              <w:spacing w:after="0" w:line="20" w:lineRule="atLeast"/>
              <w:contextualSpacing/>
              <w:jc w:val="right"/>
              <w:rPr>
                <w:rFonts w:ascii="Arial" w:eastAsia="Times New Roman" w:hAnsi="Arial" w:cs="Arial"/>
                <w:color w:val="000000"/>
                <w:sz w:val="20"/>
                <w:szCs w:val="20"/>
              </w:rPr>
            </w:pPr>
          </w:p>
        </w:tc>
        <w:tc>
          <w:tcPr>
            <w:tcW w:w="1336" w:type="dxa"/>
            <w:tcBorders>
              <w:top w:val="nil"/>
              <w:left w:val="nil"/>
              <w:bottom w:val="single" w:sz="8" w:space="0" w:color="auto"/>
              <w:right w:val="single" w:sz="8" w:space="0" w:color="auto"/>
            </w:tcBorders>
            <w:shd w:val="clear" w:color="auto" w:fill="auto"/>
            <w:noWrap/>
            <w:vAlign w:val="center"/>
            <w:hideMark/>
          </w:tcPr>
          <w:p w14:paraId="203F8C2F" w14:textId="3A40F386"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Times New Roman" w:hAnsi="Arial" w:cs="Arial"/>
                <w:color w:val="000000"/>
                <w:sz w:val="20"/>
                <w:szCs w:val="20"/>
              </w:rPr>
              <w:t>6</w:t>
            </w:r>
            <w:r w:rsidR="009E4E66">
              <w:rPr>
                <w:rFonts w:ascii="Arial" w:eastAsia="Times New Roman" w:hAnsi="Arial" w:cs="Arial"/>
                <w:color w:val="000000"/>
                <w:sz w:val="20"/>
                <w:szCs w:val="20"/>
              </w:rPr>
              <w:t>5.13</w:t>
            </w:r>
            <w:r w:rsidRPr="00C93C49">
              <w:rPr>
                <w:rFonts w:ascii="Arial" w:eastAsia="Times New Roman" w:hAnsi="Arial" w:cs="Arial"/>
                <w:color w:val="000000"/>
                <w:sz w:val="20"/>
                <w:szCs w:val="20"/>
              </w:rPr>
              <w:t>%</w:t>
            </w:r>
          </w:p>
        </w:tc>
        <w:tc>
          <w:tcPr>
            <w:tcW w:w="1544" w:type="dxa"/>
            <w:tcBorders>
              <w:top w:val="nil"/>
              <w:left w:val="nil"/>
              <w:bottom w:val="single" w:sz="8" w:space="0" w:color="auto"/>
              <w:right w:val="single" w:sz="8" w:space="0" w:color="auto"/>
            </w:tcBorders>
            <w:shd w:val="clear" w:color="auto" w:fill="auto"/>
            <w:noWrap/>
            <w:vAlign w:val="center"/>
            <w:hideMark/>
          </w:tcPr>
          <w:p w14:paraId="40F19BAD" w14:textId="16DBCAE5"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Times New Roman" w:hAnsi="Arial" w:cs="Arial"/>
                <w:color w:val="000000"/>
                <w:sz w:val="20"/>
                <w:szCs w:val="20"/>
              </w:rPr>
              <w:t>3</w:t>
            </w:r>
            <w:r w:rsidR="009E4E66">
              <w:rPr>
                <w:rFonts w:ascii="Arial" w:eastAsia="Times New Roman" w:hAnsi="Arial" w:cs="Arial"/>
                <w:color w:val="000000"/>
                <w:sz w:val="20"/>
                <w:szCs w:val="20"/>
              </w:rPr>
              <w:t>4.87</w:t>
            </w:r>
            <w:r w:rsidRPr="00C93C49">
              <w:rPr>
                <w:rFonts w:ascii="Arial" w:eastAsia="Times New Roman" w:hAnsi="Arial" w:cs="Arial"/>
                <w:color w:val="000000"/>
                <w:sz w:val="20"/>
                <w:szCs w:val="20"/>
              </w:rPr>
              <w:t>%</w:t>
            </w:r>
          </w:p>
        </w:tc>
      </w:tr>
    </w:tbl>
    <w:p w14:paraId="38F432F1" w14:textId="079C6548" w:rsidR="00C93C49" w:rsidRPr="00C93C49" w:rsidRDefault="00C93C49" w:rsidP="00C93C49">
      <w:pPr>
        <w:widowControl w:val="0"/>
        <w:spacing w:after="0" w:line="20" w:lineRule="atLeast"/>
        <w:contextualSpacing/>
        <w:rPr>
          <w:rFonts w:ascii="Arial" w:eastAsia="Times New Roman" w:hAnsi="Arial" w:cs="Arial"/>
          <w:snapToGrid w:val="0"/>
          <w:sz w:val="18"/>
          <w:szCs w:val="18"/>
        </w:rPr>
      </w:pPr>
      <w:r w:rsidRPr="00C93C49">
        <w:rPr>
          <w:rFonts w:ascii="Arial" w:eastAsia="Times New Roman" w:hAnsi="Arial" w:cs="Arial"/>
          <w:snapToGrid w:val="0"/>
          <w:sz w:val="18"/>
          <w:szCs w:val="18"/>
        </w:rPr>
        <w:t>Source: Data Requests CS-9</w:t>
      </w:r>
      <w:r w:rsidR="00AE3570">
        <w:rPr>
          <w:rFonts w:ascii="Arial" w:eastAsia="Times New Roman" w:hAnsi="Arial" w:cs="Arial"/>
          <w:snapToGrid w:val="0"/>
          <w:sz w:val="18"/>
          <w:szCs w:val="18"/>
        </w:rPr>
        <w:t xml:space="preserve">, </w:t>
      </w:r>
      <w:r w:rsidRPr="00C93C49">
        <w:rPr>
          <w:rFonts w:ascii="Arial" w:eastAsia="Times New Roman" w:hAnsi="Arial" w:cs="Arial"/>
          <w:snapToGrid w:val="0"/>
          <w:sz w:val="18"/>
          <w:szCs w:val="18"/>
        </w:rPr>
        <w:t>CS-14</w:t>
      </w:r>
      <w:r w:rsidR="00FB20D3">
        <w:rPr>
          <w:rFonts w:ascii="Arial" w:eastAsia="Times New Roman" w:hAnsi="Arial" w:cs="Arial"/>
          <w:snapToGrid w:val="0"/>
          <w:sz w:val="18"/>
          <w:szCs w:val="18"/>
        </w:rPr>
        <w:t>,</w:t>
      </w:r>
      <w:r w:rsidR="00AE3570">
        <w:rPr>
          <w:rFonts w:ascii="Arial" w:eastAsia="Times New Roman" w:hAnsi="Arial" w:cs="Arial"/>
          <w:snapToGrid w:val="0"/>
          <w:sz w:val="18"/>
          <w:szCs w:val="18"/>
        </w:rPr>
        <w:t xml:space="preserve"> CS-39</w:t>
      </w:r>
      <w:r w:rsidRPr="00C93C49">
        <w:rPr>
          <w:rFonts w:ascii="Arial" w:eastAsia="Times New Roman" w:hAnsi="Arial" w:cs="Arial"/>
          <w:snapToGrid w:val="0"/>
          <w:sz w:val="18"/>
          <w:szCs w:val="18"/>
        </w:rPr>
        <w:t>, and Auditor Analysis</w:t>
      </w:r>
    </w:p>
    <w:p w14:paraId="0B531B66" w14:textId="77777777" w:rsidR="00C93C49" w:rsidRPr="00C93C49" w:rsidRDefault="00C93C49" w:rsidP="00C93C49">
      <w:pPr>
        <w:widowControl w:val="0"/>
        <w:spacing w:after="0" w:line="20" w:lineRule="atLeast"/>
        <w:ind w:firstLine="720"/>
        <w:contextualSpacing/>
        <w:rPr>
          <w:rFonts w:ascii="Arial" w:eastAsia="Times New Roman" w:hAnsi="Arial" w:cs="Arial"/>
          <w:snapToGrid w:val="0"/>
          <w:sz w:val="24"/>
          <w:szCs w:val="24"/>
        </w:rPr>
      </w:pPr>
    </w:p>
    <w:p w14:paraId="0E4ED559" w14:textId="77777777" w:rsidR="00C93C49" w:rsidRPr="00C93C49" w:rsidRDefault="00C93C49" w:rsidP="00C93C49">
      <w:pPr>
        <w:widowControl w:val="0"/>
        <w:spacing w:after="0" w:line="20" w:lineRule="atLeast"/>
        <w:ind w:firstLine="720"/>
        <w:contextualSpacing/>
        <w:rPr>
          <w:rFonts w:ascii="Arial" w:eastAsia="Times New Roman" w:hAnsi="Arial" w:cs="Arial"/>
          <w:snapToGrid w:val="0"/>
          <w:sz w:val="24"/>
          <w:szCs w:val="24"/>
        </w:rPr>
      </w:pPr>
    </w:p>
    <w:p w14:paraId="015B8124" w14:textId="77777777" w:rsidR="00C93C49" w:rsidRPr="00C93C49" w:rsidRDefault="00C93C49" w:rsidP="00C93C49">
      <w:pPr>
        <w:widowControl w:val="0"/>
        <w:spacing w:after="0" w:line="20" w:lineRule="atLeast"/>
        <w:ind w:firstLine="720"/>
        <w:contextualSpacing/>
        <w:rPr>
          <w:rFonts w:ascii="Arial" w:eastAsia="Times New Roman" w:hAnsi="Arial" w:cs="Arial"/>
          <w:snapToGrid w:val="0"/>
          <w:sz w:val="24"/>
          <w:szCs w:val="20"/>
        </w:rPr>
      </w:pPr>
      <w:r w:rsidRPr="00C93C49">
        <w:rPr>
          <w:rFonts w:ascii="Arial" w:eastAsia="Times New Roman" w:hAnsi="Arial" w:cs="Times New Roman"/>
          <w:sz w:val="24"/>
          <w:szCs w:val="24"/>
        </w:rPr>
        <w:t>Meter reading performance improved even as staffing levels decreased due to smart meter deployment.</w:t>
      </w:r>
      <w:r w:rsidRPr="00C93C49">
        <w:rPr>
          <w:rFonts w:ascii="Arial" w:eastAsia="Times New Roman" w:hAnsi="Arial" w:cs="Times New Roman"/>
          <w:b/>
          <w:sz w:val="24"/>
          <w:szCs w:val="24"/>
        </w:rPr>
        <w:t xml:space="preserve">  </w:t>
      </w:r>
      <w:r w:rsidRPr="00C93C49">
        <w:rPr>
          <w:rFonts w:ascii="Arial" w:eastAsia="Times New Roman" w:hAnsi="Arial" w:cs="Arial"/>
          <w:snapToGrid w:val="0"/>
          <w:sz w:val="24"/>
          <w:szCs w:val="20"/>
        </w:rPr>
        <w:t xml:space="preserve">As shown in Exhibits X-4, meter read rates have increased substantially while meter read error rates have decreased at all the </w:t>
      </w:r>
      <w:r w:rsidR="00DC3D9B">
        <w:rPr>
          <w:rFonts w:ascii="Arial" w:eastAsia="Times New Roman" w:hAnsi="Arial" w:cs="Arial"/>
          <w:snapToGrid w:val="0"/>
          <w:sz w:val="24"/>
          <w:szCs w:val="20"/>
        </w:rPr>
        <w:t>FE-PA companies</w:t>
      </w:r>
      <w:r w:rsidRPr="00C93C49">
        <w:rPr>
          <w:rFonts w:ascii="Arial" w:eastAsia="Times New Roman" w:hAnsi="Arial" w:cs="Arial"/>
          <w:snapToGrid w:val="0"/>
          <w:sz w:val="24"/>
          <w:szCs w:val="20"/>
        </w:rPr>
        <w:t xml:space="preserve">.  In 2017, all </w:t>
      </w:r>
      <w:r w:rsidR="00DC3D9B">
        <w:rPr>
          <w:rFonts w:ascii="Arial" w:eastAsia="Times New Roman" w:hAnsi="Arial" w:cs="Arial"/>
          <w:snapToGrid w:val="0"/>
          <w:sz w:val="24"/>
          <w:szCs w:val="20"/>
        </w:rPr>
        <w:t>FE-PA companies</w:t>
      </w:r>
      <w:r w:rsidRPr="00C93C49">
        <w:rPr>
          <w:rFonts w:ascii="Arial" w:eastAsia="Times New Roman" w:hAnsi="Arial" w:cs="Arial"/>
          <w:snapToGrid w:val="0"/>
          <w:sz w:val="24"/>
          <w:szCs w:val="20"/>
        </w:rPr>
        <w:t xml:space="preserve"> achieved the target goal for read rate of 94%.  The 2017 targets for the meter read error rates was 52 for experienced meter readers, and 75 for new readers.  All the FE-PA </w:t>
      </w:r>
      <w:r w:rsidR="004F2D3D">
        <w:rPr>
          <w:rFonts w:ascii="Arial" w:eastAsia="Times New Roman" w:hAnsi="Arial" w:cs="Arial"/>
          <w:snapToGrid w:val="0"/>
          <w:sz w:val="24"/>
          <w:szCs w:val="20"/>
        </w:rPr>
        <w:t>c</w:t>
      </w:r>
      <w:r w:rsidRPr="00C93C49">
        <w:rPr>
          <w:rFonts w:ascii="Arial" w:eastAsia="Times New Roman" w:hAnsi="Arial" w:cs="Arial"/>
          <w:snapToGrid w:val="0"/>
          <w:sz w:val="24"/>
          <w:szCs w:val="20"/>
        </w:rPr>
        <w:t>ompanies had actual performance below these targets.</w:t>
      </w:r>
    </w:p>
    <w:p w14:paraId="2E75F255" w14:textId="77777777" w:rsidR="00C93C49" w:rsidRPr="00C93C49" w:rsidRDefault="00C93C49" w:rsidP="00C93C49">
      <w:pPr>
        <w:rPr>
          <w:rFonts w:ascii="Arial" w:eastAsia="Times New Roman" w:hAnsi="Arial" w:cs="Arial"/>
          <w:b/>
          <w:snapToGrid w:val="0"/>
          <w:sz w:val="24"/>
          <w:szCs w:val="20"/>
        </w:rPr>
      </w:pPr>
      <w:r w:rsidRPr="00C93C49">
        <w:rPr>
          <w:rFonts w:ascii="Arial" w:eastAsia="Times New Roman" w:hAnsi="Arial" w:cs="Arial"/>
          <w:b/>
          <w:snapToGrid w:val="0"/>
          <w:sz w:val="24"/>
          <w:szCs w:val="20"/>
        </w:rPr>
        <w:br w:type="page"/>
      </w:r>
    </w:p>
    <w:p w14:paraId="7DDE7FD1" w14:textId="77777777" w:rsidR="00C93C49" w:rsidRPr="00C93C49" w:rsidRDefault="00C93C49" w:rsidP="00C93C49">
      <w:pPr>
        <w:widowControl w:val="0"/>
        <w:spacing w:after="0" w:line="20" w:lineRule="atLeast"/>
        <w:contextualSpacing/>
        <w:jc w:val="center"/>
        <w:rPr>
          <w:rFonts w:ascii="Arial" w:eastAsia="Times New Roman" w:hAnsi="Arial" w:cs="Arial"/>
          <w:snapToGrid w:val="0"/>
          <w:sz w:val="24"/>
          <w:szCs w:val="20"/>
        </w:rPr>
      </w:pPr>
      <w:r w:rsidRPr="00C93C49">
        <w:rPr>
          <w:rFonts w:ascii="Arial" w:eastAsia="Times New Roman" w:hAnsi="Arial" w:cs="Arial"/>
          <w:b/>
          <w:snapToGrid w:val="0"/>
          <w:sz w:val="24"/>
          <w:szCs w:val="20"/>
        </w:rPr>
        <w:t xml:space="preserve">Exhibit X – 4 </w:t>
      </w:r>
    </w:p>
    <w:p w14:paraId="5BDA7191" w14:textId="77777777" w:rsidR="00C93C49" w:rsidRPr="00C93C49" w:rsidRDefault="00C93C49" w:rsidP="00C93C49">
      <w:pPr>
        <w:spacing w:after="0" w:line="240" w:lineRule="auto"/>
        <w:jc w:val="center"/>
        <w:rPr>
          <w:rFonts w:ascii="Arial" w:eastAsia="Times New Roman" w:hAnsi="Arial" w:cs="Arial"/>
          <w:b/>
          <w:sz w:val="24"/>
          <w:szCs w:val="24"/>
        </w:rPr>
      </w:pPr>
      <w:r w:rsidRPr="00C93C49">
        <w:rPr>
          <w:rFonts w:ascii="Arial" w:eastAsia="Calibri" w:hAnsi="Arial" w:cs="Arial"/>
          <w:b/>
          <w:sz w:val="24"/>
          <w:szCs w:val="24"/>
        </w:rPr>
        <w:t>FirstEnergy Pennsylvania Companies</w:t>
      </w:r>
    </w:p>
    <w:p w14:paraId="6643BAD7"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Meter Read Rates</w:t>
      </w:r>
      <w:r w:rsidRPr="00C93C49">
        <w:rPr>
          <w:rFonts w:ascii="Arial" w:eastAsia="Times New Roman" w:hAnsi="Arial" w:cs="Arial"/>
          <w:b/>
          <w:sz w:val="24"/>
          <w:szCs w:val="24"/>
        </w:rPr>
        <w:t xml:space="preserve"> and Error Rates</w:t>
      </w:r>
    </w:p>
    <w:p w14:paraId="4F63AAEA"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For the Years 2014 through 2017</w:t>
      </w:r>
    </w:p>
    <w:p w14:paraId="3DA0A08F"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0"/>
          <w:u w:val="single"/>
        </w:rPr>
      </w:pPr>
    </w:p>
    <w:tbl>
      <w:tblPr>
        <w:tblStyle w:val="TableGrid3"/>
        <w:tblW w:w="8005" w:type="dxa"/>
        <w:jc w:val="center"/>
        <w:tblLayout w:type="fixed"/>
        <w:tblLook w:val="04A0" w:firstRow="1" w:lastRow="0" w:firstColumn="1" w:lastColumn="0" w:noHBand="0" w:noVBand="1"/>
      </w:tblPr>
      <w:tblGrid>
        <w:gridCol w:w="1975"/>
        <w:gridCol w:w="1507"/>
        <w:gridCol w:w="1508"/>
        <w:gridCol w:w="1507"/>
        <w:gridCol w:w="1508"/>
      </w:tblGrid>
      <w:tr w:rsidR="00C93C49" w:rsidRPr="00C93C49" w14:paraId="1751C296" w14:textId="77777777" w:rsidTr="00347614">
        <w:trPr>
          <w:trHeight w:val="144"/>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C67B6" w14:textId="77777777" w:rsidR="00C93C49" w:rsidRPr="00C93C49" w:rsidRDefault="00C93C49" w:rsidP="00C93C49">
            <w:pPr>
              <w:jc w:val="center"/>
              <w:rPr>
                <w:rFonts w:ascii="Arial" w:eastAsia="Calibri" w:hAnsi="Arial" w:cs="Arial"/>
                <w:b/>
              </w:rPr>
            </w:pPr>
          </w:p>
        </w:tc>
        <w:tc>
          <w:tcPr>
            <w:tcW w:w="60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663A22F" w14:textId="77777777" w:rsidR="00C93C49" w:rsidRPr="00C93C49" w:rsidRDefault="00C93C49" w:rsidP="00C93C49">
            <w:pPr>
              <w:jc w:val="center"/>
              <w:rPr>
                <w:rFonts w:ascii="Arial" w:eastAsia="Calibri" w:hAnsi="Arial" w:cs="Arial"/>
                <w:b/>
              </w:rPr>
            </w:pPr>
            <w:r w:rsidRPr="00C93C49">
              <w:rPr>
                <w:rFonts w:ascii="Arial" w:eastAsia="Calibri" w:hAnsi="Arial" w:cs="Arial"/>
                <w:b/>
              </w:rPr>
              <w:t>Meter Read Rates</w:t>
            </w:r>
          </w:p>
        </w:tc>
      </w:tr>
      <w:tr w:rsidR="00C93C49" w:rsidRPr="00C93C49" w14:paraId="147794AB" w14:textId="77777777" w:rsidTr="00347614">
        <w:trPr>
          <w:trHeight w:val="144"/>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2C258" w14:textId="77777777" w:rsidR="00C93C49" w:rsidRPr="00C93C49" w:rsidRDefault="00C93C49" w:rsidP="00C93C49">
            <w:pPr>
              <w:jc w:val="center"/>
              <w:rPr>
                <w:rFonts w:ascii="Calibri" w:eastAsia="Calibri" w:hAnsi="Calibri"/>
              </w:rPr>
            </w:pP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6793F" w14:textId="77777777" w:rsidR="00C93C49" w:rsidRPr="00C93C49" w:rsidRDefault="00C93C49" w:rsidP="00C93C49">
            <w:pPr>
              <w:jc w:val="center"/>
              <w:rPr>
                <w:rFonts w:ascii="Arial" w:eastAsia="Calibri" w:hAnsi="Arial" w:cs="Arial"/>
                <w:b/>
              </w:rPr>
            </w:pPr>
            <w:r w:rsidRPr="00C93C49">
              <w:rPr>
                <w:rFonts w:ascii="Arial" w:eastAsia="Calibri" w:hAnsi="Arial" w:cs="Arial"/>
                <w:b/>
              </w:rPr>
              <w:t>2014</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6201C" w14:textId="77777777" w:rsidR="00C93C49" w:rsidRPr="00C93C49" w:rsidRDefault="00C93C49" w:rsidP="00C93C49">
            <w:pPr>
              <w:jc w:val="center"/>
              <w:rPr>
                <w:rFonts w:ascii="Arial" w:eastAsia="Calibri" w:hAnsi="Arial" w:cs="Arial"/>
                <w:b/>
              </w:rPr>
            </w:pPr>
            <w:r w:rsidRPr="00C93C49">
              <w:rPr>
                <w:rFonts w:ascii="Arial" w:eastAsia="Calibri" w:hAnsi="Arial" w:cs="Arial"/>
                <w:b/>
              </w:rPr>
              <w:t>2015</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A8AD2" w14:textId="77777777" w:rsidR="00C93C49" w:rsidRPr="00C93C49" w:rsidRDefault="00C93C49" w:rsidP="00C93C49">
            <w:pPr>
              <w:jc w:val="center"/>
              <w:rPr>
                <w:rFonts w:ascii="Arial" w:eastAsia="Calibri" w:hAnsi="Arial" w:cs="Arial"/>
                <w:b/>
              </w:rPr>
            </w:pPr>
            <w:r w:rsidRPr="00C93C49">
              <w:rPr>
                <w:rFonts w:ascii="Arial" w:eastAsia="Calibri" w:hAnsi="Arial" w:cs="Arial"/>
                <w:b/>
              </w:rPr>
              <w:t>2016</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C5A0F" w14:textId="77777777" w:rsidR="00C93C49" w:rsidRPr="00C93C49" w:rsidRDefault="00C93C49" w:rsidP="00C93C49">
            <w:pPr>
              <w:jc w:val="center"/>
              <w:rPr>
                <w:rFonts w:ascii="Arial" w:eastAsia="Calibri" w:hAnsi="Arial" w:cs="Arial"/>
                <w:b/>
              </w:rPr>
            </w:pPr>
            <w:r w:rsidRPr="00C93C49">
              <w:rPr>
                <w:rFonts w:ascii="Arial" w:eastAsia="Calibri" w:hAnsi="Arial" w:cs="Arial"/>
                <w:b/>
              </w:rPr>
              <w:t>2017</w:t>
            </w:r>
          </w:p>
        </w:tc>
      </w:tr>
      <w:tr w:rsidR="00C93C49" w:rsidRPr="00C93C49" w14:paraId="06561BA3" w14:textId="77777777" w:rsidTr="00347614">
        <w:trPr>
          <w:trHeight w:val="144"/>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F25D5" w14:textId="77777777" w:rsidR="00C93C49" w:rsidRPr="00C93C49" w:rsidRDefault="00C93C49" w:rsidP="00C93C49">
            <w:pPr>
              <w:rPr>
                <w:rFonts w:ascii="Arial" w:eastAsia="Calibri" w:hAnsi="Arial" w:cs="Arial"/>
                <w:b/>
              </w:rPr>
            </w:pPr>
            <w:r w:rsidRPr="00C93C49">
              <w:rPr>
                <w:rFonts w:ascii="Arial" w:eastAsia="Calibri" w:hAnsi="Arial" w:cs="Arial"/>
                <w:b/>
              </w:rPr>
              <w:t>Met-Ed</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B41AE" w14:textId="77777777" w:rsidR="00C93C49" w:rsidRPr="00C93C49" w:rsidRDefault="00C93C49" w:rsidP="00C93C49">
            <w:pPr>
              <w:jc w:val="right"/>
              <w:rPr>
                <w:rFonts w:ascii="Arial" w:eastAsia="Calibri" w:hAnsi="Arial" w:cs="Arial"/>
              </w:rPr>
            </w:pPr>
            <w:r w:rsidRPr="00C93C49">
              <w:rPr>
                <w:rFonts w:ascii="Arial" w:hAnsi="Arial" w:cs="Arial"/>
                <w:sz w:val="22"/>
                <w:szCs w:val="22"/>
              </w:rPr>
              <w:t>86.84%</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3A03A" w14:textId="77777777" w:rsidR="00C93C49" w:rsidRPr="00C93C49" w:rsidRDefault="00C93C49" w:rsidP="00C93C49">
            <w:pPr>
              <w:jc w:val="right"/>
              <w:rPr>
                <w:rFonts w:ascii="Arial" w:eastAsia="Calibri" w:hAnsi="Arial" w:cs="Arial"/>
              </w:rPr>
            </w:pPr>
            <w:r w:rsidRPr="00C93C49">
              <w:rPr>
                <w:rFonts w:ascii="Arial" w:hAnsi="Arial" w:cs="Arial"/>
                <w:sz w:val="22"/>
                <w:szCs w:val="22"/>
              </w:rPr>
              <w:t>94.28%</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6C031" w14:textId="77777777" w:rsidR="00C93C49" w:rsidRPr="00C93C49" w:rsidRDefault="00C93C49" w:rsidP="00C93C49">
            <w:pPr>
              <w:jc w:val="right"/>
              <w:rPr>
                <w:rFonts w:ascii="Arial" w:eastAsia="Calibri" w:hAnsi="Arial" w:cs="Arial"/>
              </w:rPr>
            </w:pPr>
            <w:r w:rsidRPr="00C93C49">
              <w:rPr>
                <w:rFonts w:ascii="Arial" w:hAnsi="Arial" w:cs="Arial"/>
                <w:sz w:val="22"/>
                <w:szCs w:val="22"/>
              </w:rPr>
              <w:t>96.43%</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7D9AA" w14:textId="77777777" w:rsidR="00C93C49" w:rsidRPr="00C93C49" w:rsidRDefault="00C93C49" w:rsidP="00C93C49">
            <w:pPr>
              <w:jc w:val="right"/>
              <w:rPr>
                <w:rFonts w:ascii="Arial" w:eastAsia="Calibri" w:hAnsi="Arial" w:cs="Arial"/>
              </w:rPr>
            </w:pPr>
            <w:r w:rsidRPr="00C93C49">
              <w:rPr>
                <w:rFonts w:ascii="Arial" w:hAnsi="Arial" w:cs="Arial"/>
                <w:sz w:val="22"/>
                <w:szCs w:val="22"/>
              </w:rPr>
              <w:t>97.53%</w:t>
            </w:r>
          </w:p>
        </w:tc>
      </w:tr>
      <w:tr w:rsidR="00C93C49" w:rsidRPr="00C93C49" w14:paraId="21B07478" w14:textId="77777777" w:rsidTr="00347614">
        <w:trPr>
          <w:trHeight w:val="144"/>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EFDA1" w14:textId="77777777" w:rsidR="00C93C49" w:rsidRPr="00C93C49" w:rsidRDefault="00C93C49" w:rsidP="00C93C49">
            <w:pPr>
              <w:rPr>
                <w:rFonts w:ascii="Arial" w:eastAsia="Calibri" w:hAnsi="Arial" w:cs="Arial"/>
                <w:b/>
              </w:rPr>
            </w:pPr>
            <w:r w:rsidRPr="00C93C49">
              <w:rPr>
                <w:rFonts w:ascii="Arial" w:eastAsia="Calibri" w:hAnsi="Arial" w:cs="Arial"/>
                <w:b/>
              </w:rPr>
              <w:t>Penelec</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4D2EB" w14:textId="77777777" w:rsidR="00C93C49" w:rsidRPr="00C93C49" w:rsidRDefault="00C93C49" w:rsidP="00C93C49">
            <w:pPr>
              <w:jc w:val="right"/>
              <w:rPr>
                <w:rFonts w:ascii="Arial" w:eastAsia="Calibri" w:hAnsi="Arial" w:cs="Arial"/>
              </w:rPr>
            </w:pPr>
            <w:r w:rsidRPr="00C93C49">
              <w:rPr>
                <w:rFonts w:ascii="Arial" w:hAnsi="Arial" w:cs="Arial"/>
                <w:sz w:val="22"/>
                <w:szCs w:val="22"/>
              </w:rPr>
              <w:t>89.67%</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C5B83" w14:textId="77777777" w:rsidR="00C93C49" w:rsidRPr="00C93C49" w:rsidRDefault="00C93C49" w:rsidP="00C93C49">
            <w:pPr>
              <w:jc w:val="right"/>
              <w:rPr>
                <w:rFonts w:ascii="Arial" w:eastAsia="Calibri" w:hAnsi="Arial" w:cs="Arial"/>
              </w:rPr>
            </w:pPr>
            <w:r w:rsidRPr="00C93C49">
              <w:rPr>
                <w:rFonts w:ascii="Arial" w:hAnsi="Arial" w:cs="Arial"/>
                <w:sz w:val="22"/>
                <w:szCs w:val="22"/>
              </w:rPr>
              <w:t>94.12%</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F77C6" w14:textId="77777777" w:rsidR="00C93C49" w:rsidRPr="00C93C49" w:rsidRDefault="00C93C49" w:rsidP="00C93C49">
            <w:pPr>
              <w:jc w:val="right"/>
              <w:rPr>
                <w:rFonts w:ascii="Arial" w:eastAsia="Calibri" w:hAnsi="Arial" w:cs="Arial"/>
              </w:rPr>
            </w:pPr>
            <w:r w:rsidRPr="00C93C49">
              <w:rPr>
                <w:rFonts w:ascii="Arial" w:hAnsi="Arial" w:cs="Arial"/>
                <w:sz w:val="22"/>
                <w:szCs w:val="22"/>
              </w:rPr>
              <w:t>97.53%</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2AFD7" w14:textId="77777777" w:rsidR="00C93C49" w:rsidRPr="00C93C49" w:rsidRDefault="00C93C49" w:rsidP="00C93C49">
            <w:pPr>
              <w:jc w:val="right"/>
              <w:rPr>
                <w:rFonts w:ascii="Arial" w:eastAsia="Calibri" w:hAnsi="Arial" w:cs="Arial"/>
              </w:rPr>
            </w:pPr>
            <w:r w:rsidRPr="00C93C49">
              <w:rPr>
                <w:rFonts w:ascii="Arial" w:hAnsi="Arial" w:cs="Arial"/>
                <w:sz w:val="22"/>
                <w:szCs w:val="22"/>
              </w:rPr>
              <w:t>98.36%</w:t>
            </w:r>
          </w:p>
        </w:tc>
      </w:tr>
      <w:tr w:rsidR="00C93C49" w:rsidRPr="00C93C49" w14:paraId="74601FF1" w14:textId="77777777" w:rsidTr="00347614">
        <w:trPr>
          <w:trHeight w:val="144"/>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0DD43" w14:textId="77777777" w:rsidR="00C93C49" w:rsidRPr="00C93C49" w:rsidRDefault="00C93C49" w:rsidP="00C93C49">
            <w:pPr>
              <w:rPr>
                <w:rFonts w:ascii="Arial" w:eastAsia="Calibri" w:hAnsi="Arial" w:cs="Arial"/>
                <w:b/>
              </w:rPr>
            </w:pPr>
            <w:r w:rsidRPr="00C93C49">
              <w:rPr>
                <w:rFonts w:ascii="Arial" w:eastAsia="Calibri" w:hAnsi="Arial" w:cs="Arial"/>
                <w:b/>
              </w:rPr>
              <w:t>Penn Power</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5199F" w14:textId="77777777" w:rsidR="00C93C49" w:rsidRPr="00C93C49" w:rsidRDefault="00C93C49" w:rsidP="00C93C49">
            <w:pPr>
              <w:jc w:val="right"/>
              <w:rPr>
                <w:rFonts w:ascii="Arial" w:eastAsia="Calibri" w:hAnsi="Arial" w:cs="Arial"/>
              </w:rPr>
            </w:pPr>
            <w:r w:rsidRPr="00C93C49">
              <w:rPr>
                <w:rFonts w:ascii="Arial" w:hAnsi="Arial" w:cs="Arial"/>
                <w:sz w:val="22"/>
                <w:szCs w:val="22"/>
              </w:rPr>
              <w:t>73.14%</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4D122" w14:textId="77777777" w:rsidR="00C93C49" w:rsidRPr="00C93C49" w:rsidRDefault="00C93C49" w:rsidP="00C93C49">
            <w:pPr>
              <w:jc w:val="right"/>
              <w:rPr>
                <w:rFonts w:ascii="Arial" w:eastAsia="Calibri" w:hAnsi="Arial" w:cs="Arial"/>
              </w:rPr>
            </w:pPr>
            <w:r w:rsidRPr="00C93C49">
              <w:rPr>
                <w:rFonts w:ascii="Arial" w:hAnsi="Arial" w:cs="Arial"/>
                <w:sz w:val="22"/>
                <w:szCs w:val="22"/>
              </w:rPr>
              <w:t>81.39%</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80687" w14:textId="77777777" w:rsidR="00C93C49" w:rsidRPr="00C93C49" w:rsidRDefault="00C93C49" w:rsidP="00C93C49">
            <w:pPr>
              <w:jc w:val="right"/>
              <w:rPr>
                <w:rFonts w:ascii="Arial" w:eastAsia="Calibri" w:hAnsi="Arial" w:cs="Arial"/>
              </w:rPr>
            </w:pPr>
            <w:r w:rsidRPr="00C93C49">
              <w:rPr>
                <w:rFonts w:ascii="Arial" w:hAnsi="Arial" w:cs="Arial"/>
                <w:sz w:val="22"/>
                <w:szCs w:val="22"/>
              </w:rPr>
              <w:t>97.61%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F4893" w14:textId="77777777" w:rsidR="00C93C49" w:rsidRPr="00C93C49" w:rsidRDefault="00C93C49" w:rsidP="00C93C49">
            <w:pPr>
              <w:jc w:val="right"/>
              <w:rPr>
                <w:rFonts w:ascii="Arial" w:eastAsia="Calibri" w:hAnsi="Arial" w:cs="Arial"/>
              </w:rPr>
            </w:pPr>
            <w:r w:rsidRPr="00C93C49">
              <w:rPr>
                <w:rFonts w:ascii="Arial" w:hAnsi="Arial" w:cs="Arial"/>
                <w:sz w:val="22"/>
                <w:szCs w:val="22"/>
              </w:rPr>
              <w:t>99.73%</w:t>
            </w:r>
          </w:p>
        </w:tc>
      </w:tr>
      <w:tr w:rsidR="00C93C49" w:rsidRPr="00C93C49" w14:paraId="7A1C9577" w14:textId="77777777" w:rsidTr="00347614">
        <w:trPr>
          <w:trHeight w:val="144"/>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65A03" w14:textId="77777777" w:rsidR="00C93C49" w:rsidRPr="00C93C49" w:rsidRDefault="00C93C49" w:rsidP="00C93C49">
            <w:pPr>
              <w:rPr>
                <w:rFonts w:ascii="Arial" w:eastAsia="Calibri" w:hAnsi="Arial" w:cs="Arial"/>
                <w:b/>
              </w:rPr>
            </w:pPr>
            <w:r w:rsidRPr="00C93C49">
              <w:rPr>
                <w:rFonts w:ascii="Arial" w:eastAsia="Calibri" w:hAnsi="Arial" w:cs="Arial"/>
                <w:b/>
              </w:rPr>
              <w:t>West Penn Power</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7E980" w14:textId="77777777" w:rsidR="00C93C49" w:rsidRPr="00C93C49" w:rsidRDefault="00C93C49" w:rsidP="00C93C49">
            <w:pPr>
              <w:jc w:val="right"/>
              <w:rPr>
                <w:rFonts w:ascii="Arial" w:eastAsia="Calibri" w:hAnsi="Arial" w:cs="Arial"/>
              </w:rPr>
            </w:pPr>
            <w:r w:rsidRPr="00C93C49">
              <w:rPr>
                <w:rFonts w:ascii="Arial" w:hAnsi="Arial" w:cs="Arial"/>
                <w:sz w:val="22"/>
                <w:szCs w:val="22"/>
              </w:rPr>
              <w:t>90.39%</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5A720" w14:textId="77777777" w:rsidR="00C93C49" w:rsidRPr="00C93C49" w:rsidRDefault="00C93C49" w:rsidP="00C93C49">
            <w:pPr>
              <w:jc w:val="right"/>
              <w:rPr>
                <w:rFonts w:ascii="Arial" w:eastAsia="Calibri" w:hAnsi="Arial" w:cs="Arial"/>
              </w:rPr>
            </w:pPr>
            <w:r w:rsidRPr="00C93C49">
              <w:rPr>
                <w:rFonts w:ascii="Arial" w:hAnsi="Arial" w:cs="Arial"/>
                <w:sz w:val="22"/>
                <w:szCs w:val="22"/>
              </w:rPr>
              <w:t>95.29%</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91F03" w14:textId="77777777" w:rsidR="00C93C49" w:rsidRPr="00C93C49" w:rsidRDefault="00C93C49" w:rsidP="00C93C49">
            <w:pPr>
              <w:jc w:val="right"/>
              <w:rPr>
                <w:rFonts w:ascii="Arial" w:eastAsia="Calibri" w:hAnsi="Arial" w:cs="Arial"/>
              </w:rPr>
            </w:pPr>
            <w:r w:rsidRPr="00C93C49">
              <w:rPr>
                <w:rFonts w:ascii="Arial" w:hAnsi="Arial" w:cs="Arial"/>
                <w:sz w:val="22"/>
                <w:szCs w:val="22"/>
              </w:rPr>
              <w:t>96.16%</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78C42" w14:textId="77777777" w:rsidR="00C93C49" w:rsidRPr="00C93C49" w:rsidRDefault="00C93C49" w:rsidP="00C93C49">
            <w:pPr>
              <w:jc w:val="right"/>
              <w:rPr>
                <w:rFonts w:ascii="Arial" w:eastAsia="Calibri" w:hAnsi="Arial" w:cs="Arial"/>
              </w:rPr>
            </w:pPr>
            <w:r w:rsidRPr="00C93C49">
              <w:rPr>
                <w:rFonts w:ascii="Arial" w:hAnsi="Arial" w:cs="Arial"/>
                <w:sz w:val="22"/>
                <w:szCs w:val="22"/>
              </w:rPr>
              <w:t>96.41%</w:t>
            </w:r>
          </w:p>
        </w:tc>
      </w:tr>
      <w:tr w:rsidR="00C93C49" w:rsidRPr="00C93C49" w14:paraId="64E058EB" w14:textId="77777777" w:rsidTr="00347614">
        <w:trPr>
          <w:trHeight w:val="233"/>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F0019" w14:textId="77777777" w:rsidR="00C93C49" w:rsidRPr="00C93C49" w:rsidRDefault="00C93C49" w:rsidP="00C93C49">
            <w:pPr>
              <w:jc w:val="center"/>
              <w:rPr>
                <w:rFonts w:ascii="Arial" w:eastAsia="Calibri" w:hAnsi="Arial" w:cs="Arial"/>
                <w:b/>
              </w:rPr>
            </w:pPr>
          </w:p>
        </w:tc>
        <w:tc>
          <w:tcPr>
            <w:tcW w:w="6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FD3A150" w14:textId="77777777" w:rsidR="00C93C49" w:rsidRPr="00C93C49" w:rsidRDefault="00C93C49" w:rsidP="00C93C49">
            <w:pPr>
              <w:jc w:val="center"/>
              <w:rPr>
                <w:rFonts w:ascii="Arial" w:eastAsia="Calibri" w:hAnsi="Arial" w:cs="Arial"/>
                <w:b/>
              </w:rPr>
            </w:pPr>
            <w:r w:rsidRPr="00C93C49">
              <w:rPr>
                <w:rFonts w:ascii="Arial" w:eastAsia="Calibri" w:hAnsi="Arial" w:cs="Arial"/>
                <w:b/>
              </w:rPr>
              <w:t>Meter Error Rates</w:t>
            </w:r>
          </w:p>
        </w:tc>
      </w:tr>
      <w:tr w:rsidR="00C93C49" w:rsidRPr="00C93C49" w14:paraId="2B583428" w14:textId="77777777" w:rsidTr="00347614">
        <w:trPr>
          <w:trHeight w:val="17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02DEE" w14:textId="77777777" w:rsidR="00C93C49" w:rsidRPr="00C93C49" w:rsidRDefault="00C93C49" w:rsidP="00C93C49">
            <w:pPr>
              <w:jc w:val="center"/>
              <w:rPr>
                <w:rFonts w:ascii="Calibri" w:eastAsia="Calibri" w:hAnsi="Calibri"/>
              </w:rPr>
            </w:pP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EAEEC" w14:textId="77777777" w:rsidR="00C93C49" w:rsidRPr="00C93C49" w:rsidRDefault="00C93C49" w:rsidP="00C93C49">
            <w:pPr>
              <w:jc w:val="center"/>
              <w:rPr>
                <w:rFonts w:ascii="Arial" w:eastAsia="Calibri" w:hAnsi="Arial" w:cs="Arial"/>
                <w:b/>
              </w:rPr>
            </w:pPr>
            <w:r w:rsidRPr="00C93C49">
              <w:rPr>
                <w:rFonts w:ascii="Arial" w:eastAsia="Calibri" w:hAnsi="Arial" w:cs="Arial"/>
                <w:b/>
              </w:rPr>
              <w:t>2014</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954B2" w14:textId="77777777" w:rsidR="00C93C49" w:rsidRPr="00C93C49" w:rsidRDefault="00C93C49" w:rsidP="00C93C49">
            <w:pPr>
              <w:jc w:val="center"/>
              <w:rPr>
                <w:rFonts w:ascii="Arial" w:eastAsia="Calibri" w:hAnsi="Arial" w:cs="Arial"/>
                <w:b/>
              </w:rPr>
            </w:pPr>
            <w:r w:rsidRPr="00C93C49">
              <w:rPr>
                <w:rFonts w:ascii="Arial" w:eastAsia="Calibri" w:hAnsi="Arial" w:cs="Arial"/>
                <w:b/>
              </w:rPr>
              <w:t>2015</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31D03" w14:textId="77777777" w:rsidR="00C93C49" w:rsidRPr="00C93C49" w:rsidRDefault="00C93C49" w:rsidP="00C93C49">
            <w:pPr>
              <w:jc w:val="center"/>
              <w:rPr>
                <w:rFonts w:ascii="Arial" w:eastAsia="Calibri" w:hAnsi="Arial" w:cs="Arial"/>
                <w:b/>
              </w:rPr>
            </w:pPr>
            <w:r w:rsidRPr="00C93C49">
              <w:rPr>
                <w:rFonts w:ascii="Arial" w:eastAsia="Calibri" w:hAnsi="Arial" w:cs="Arial"/>
                <w:b/>
              </w:rPr>
              <w:t>2016</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CC898" w14:textId="77777777" w:rsidR="00C93C49" w:rsidRPr="00C93C49" w:rsidRDefault="00C93C49" w:rsidP="00C93C49">
            <w:pPr>
              <w:jc w:val="center"/>
              <w:rPr>
                <w:rFonts w:ascii="Arial" w:eastAsia="Calibri" w:hAnsi="Arial" w:cs="Arial"/>
                <w:b/>
              </w:rPr>
            </w:pPr>
            <w:r w:rsidRPr="00C93C49">
              <w:rPr>
                <w:rFonts w:ascii="Arial" w:eastAsia="Calibri" w:hAnsi="Arial" w:cs="Arial"/>
                <w:b/>
              </w:rPr>
              <w:t>2017</w:t>
            </w:r>
          </w:p>
        </w:tc>
      </w:tr>
      <w:tr w:rsidR="00C93C49" w:rsidRPr="00C93C49" w14:paraId="6E9A4FC3" w14:textId="77777777" w:rsidTr="00347614">
        <w:trPr>
          <w:trHeight w:val="144"/>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59A33" w14:textId="77777777" w:rsidR="00C93C49" w:rsidRPr="00C93C49" w:rsidRDefault="00C93C49" w:rsidP="00C93C49">
            <w:pPr>
              <w:rPr>
                <w:rFonts w:ascii="Arial" w:eastAsia="Calibri" w:hAnsi="Arial" w:cs="Arial"/>
                <w:b/>
              </w:rPr>
            </w:pPr>
            <w:r w:rsidRPr="00C93C49">
              <w:rPr>
                <w:rFonts w:ascii="Arial" w:eastAsia="Calibri" w:hAnsi="Arial" w:cs="Arial"/>
                <w:b/>
              </w:rPr>
              <w:t>Met-Ed</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99528" w14:textId="77777777" w:rsidR="00C93C49" w:rsidRPr="00C93C49" w:rsidRDefault="00C93C49" w:rsidP="00C93C49">
            <w:pPr>
              <w:jc w:val="right"/>
              <w:rPr>
                <w:rFonts w:ascii="Arial" w:eastAsia="Calibri" w:hAnsi="Arial" w:cs="Arial"/>
              </w:rPr>
            </w:pPr>
            <w:r w:rsidRPr="00C93C49">
              <w:rPr>
                <w:rFonts w:ascii="Arial" w:hAnsi="Arial" w:cs="Arial"/>
                <w:sz w:val="22"/>
                <w:szCs w:val="22"/>
              </w:rPr>
              <w:t>110.6</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BF878" w14:textId="77777777" w:rsidR="00C93C49" w:rsidRPr="00C93C49" w:rsidRDefault="00C93C49" w:rsidP="00C93C49">
            <w:pPr>
              <w:jc w:val="right"/>
              <w:rPr>
                <w:rFonts w:ascii="Arial" w:eastAsia="Calibri" w:hAnsi="Arial" w:cs="Arial"/>
              </w:rPr>
            </w:pPr>
            <w:r w:rsidRPr="00C93C49">
              <w:rPr>
                <w:rFonts w:ascii="Arial" w:hAnsi="Arial" w:cs="Arial"/>
                <w:sz w:val="22"/>
                <w:szCs w:val="22"/>
              </w:rPr>
              <w:t>66.5</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804BC" w14:textId="77777777" w:rsidR="00C93C49" w:rsidRPr="00C93C49" w:rsidRDefault="00C93C49" w:rsidP="00C93C49">
            <w:pPr>
              <w:jc w:val="right"/>
              <w:rPr>
                <w:rFonts w:ascii="Arial" w:eastAsia="Calibri" w:hAnsi="Arial" w:cs="Arial"/>
              </w:rPr>
            </w:pPr>
            <w:r w:rsidRPr="00C93C49">
              <w:rPr>
                <w:rFonts w:ascii="Arial" w:hAnsi="Arial" w:cs="Arial"/>
                <w:sz w:val="22"/>
                <w:szCs w:val="22"/>
              </w:rPr>
              <w:t>49.5</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A84ED" w14:textId="77777777" w:rsidR="00C93C49" w:rsidRPr="00C93C49" w:rsidRDefault="00C93C49" w:rsidP="00C93C49">
            <w:pPr>
              <w:jc w:val="right"/>
              <w:rPr>
                <w:rFonts w:ascii="Arial" w:eastAsia="Calibri" w:hAnsi="Arial" w:cs="Arial"/>
              </w:rPr>
            </w:pPr>
            <w:r w:rsidRPr="00C93C49">
              <w:rPr>
                <w:rFonts w:ascii="Arial" w:hAnsi="Arial" w:cs="Arial"/>
                <w:sz w:val="22"/>
                <w:szCs w:val="22"/>
              </w:rPr>
              <w:t>38.2</w:t>
            </w:r>
          </w:p>
        </w:tc>
      </w:tr>
      <w:tr w:rsidR="00C93C49" w:rsidRPr="00C93C49" w14:paraId="4271FB72" w14:textId="77777777" w:rsidTr="00347614">
        <w:trPr>
          <w:trHeight w:val="144"/>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2D99C" w14:textId="77777777" w:rsidR="00C93C49" w:rsidRPr="00C93C49" w:rsidRDefault="00C93C49" w:rsidP="00C93C49">
            <w:pPr>
              <w:rPr>
                <w:rFonts w:ascii="Arial" w:eastAsia="Calibri" w:hAnsi="Arial" w:cs="Arial"/>
                <w:b/>
              </w:rPr>
            </w:pPr>
            <w:r w:rsidRPr="00C93C49">
              <w:rPr>
                <w:rFonts w:ascii="Arial" w:eastAsia="Calibri" w:hAnsi="Arial" w:cs="Arial"/>
                <w:b/>
              </w:rPr>
              <w:t>Penelec</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3138E" w14:textId="77777777" w:rsidR="00C93C49" w:rsidRPr="00C93C49" w:rsidRDefault="00C93C49" w:rsidP="00C93C49">
            <w:pPr>
              <w:jc w:val="right"/>
              <w:rPr>
                <w:rFonts w:ascii="Arial" w:eastAsia="Calibri" w:hAnsi="Arial" w:cs="Arial"/>
              </w:rPr>
            </w:pPr>
            <w:r w:rsidRPr="00C93C49">
              <w:rPr>
                <w:rFonts w:ascii="Arial" w:hAnsi="Arial" w:cs="Arial"/>
                <w:sz w:val="22"/>
                <w:szCs w:val="22"/>
              </w:rPr>
              <w:t>56.1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21F46" w14:textId="77777777" w:rsidR="00C93C49" w:rsidRPr="00C93C49" w:rsidRDefault="00C93C49" w:rsidP="00C93C49">
            <w:pPr>
              <w:jc w:val="right"/>
              <w:rPr>
                <w:rFonts w:ascii="Arial" w:eastAsia="Calibri" w:hAnsi="Arial" w:cs="Arial"/>
              </w:rPr>
            </w:pPr>
            <w:r w:rsidRPr="00C93C49">
              <w:rPr>
                <w:rFonts w:ascii="Arial" w:hAnsi="Arial" w:cs="Arial"/>
                <w:sz w:val="22"/>
                <w:szCs w:val="22"/>
              </w:rPr>
              <w:t>56.9</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6C7D3" w14:textId="77777777" w:rsidR="00C93C49" w:rsidRPr="00C93C49" w:rsidRDefault="00C93C49" w:rsidP="00C93C49">
            <w:pPr>
              <w:jc w:val="right"/>
              <w:rPr>
                <w:rFonts w:ascii="Arial" w:eastAsia="Calibri" w:hAnsi="Arial" w:cs="Arial"/>
              </w:rPr>
            </w:pPr>
            <w:r w:rsidRPr="00C93C49">
              <w:rPr>
                <w:rFonts w:ascii="Arial" w:hAnsi="Arial" w:cs="Arial"/>
                <w:sz w:val="22"/>
                <w:szCs w:val="22"/>
              </w:rPr>
              <w:t>59.3</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CCC30" w14:textId="77777777" w:rsidR="00C93C49" w:rsidRPr="00C93C49" w:rsidRDefault="00C93C49" w:rsidP="00C93C49">
            <w:pPr>
              <w:jc w:val="right"/>
              <w:rPr>
                <w:rFonts w:ascii="Arial" w:eastAsia="Calibri" w:hAnsi="Arial" w:cs="Arial"/>
              </w:rPr>
            </w:pPr>
            <w:r w:rsidRPr="00C93C49">
              <w:rPr>
                <w:rFonts w:ascii="Arial" w:hAnsi="Arial" w:cs="Arial"/>
                <w:sz w:val="22"/>
                <w:szCs w:val="22"/>
              </w:rPr>
              <w:t>39.1</w:t>
            </w:r>
          </w:p>
        </w:tc>
      </w:tr>
      <w:tr w:rsidR="00C93C49" w:rsidRPr="00C93C49" w14:paraId="10A3BD96" w14:textId="77777777" w:rsidTr="00347614">
        <w:trPr>
          <w:trHeight w:val="144"/>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80C1F" w14:textId="77777777" w:rsidR="00C93C49" w:rsidRPr="00C93C49" w:rsidRDefault="00C93C49" w:rsidP="00C93C49">
            <w:pPr>
              <w:rPr>
                <w:rFonts w:ascii="Arial" w:eastAsia="Calibri" w:hAnsi="Arial" w:cs="Arial"/>
                <w:b/>
              </w:rPr>
            </w:pPr>
            <w:r w:rsidRPr="00C93C49">
              <w:rPr>
                <w:rFonts w:ascii="Arial" w:eastAsia="Calibri" w:hAnsi="Arial" w:cs="Arial"/>
                <w:b/>
              </w:rPr>
              <w:t>Penn Power</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5D494" w14:textId="77777777" w:rsidR="00C93C49" w:rsidRPr="00C93C49" w:rsidRDefault="00C93C49" w:rsidP="00C93C49">
            <w:pPr>
              <w:jc w:val="right"/>
              <w:rPr>
                <w:rFonts w:ascii="Arial" w:eastAsia="Calibri" w:hAnsi="Arial" w:cs="Arial"/>
              </w:rPr>
            </w:pPr>
            <w:r w:rsidRPr="00C93C49">
              <w:rPr>
                <w:rFonts w:ascii="Arial" w:hAnsi="Arial" w:cs="Arial"/>
                <w:sz w:val="22"/>
                <w:szCs w:val="22"/>
              </w:rPr>
              <w:t>53.9</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9315D" w14:textId="77777777" w:rsidR="00C93C49" w:rsidRPr="00C93C49" w:rsidRDefault="00C93C49" w:rsidP="00C93C49">
            <w:pPr>
              <w:jc w:val="right"/>
              <w:rPr>
                <w:rFonts w:ascii="Arial" w:eastAsia="Calibri" w:hAnsi="Arial" w:cs="Arial"/>
              </w:rPr>
            </w:pPr>
            <w:r w:rsidRPr="00C93C49">
              <w:rPr>
                <w:rFonts w:ascii="Arial" w:hAnsi="Arial" w:cs="Arial"/>
                <w:sz w:val="22"/>
                <w:szCs w:val="22"/>
              </w:rPr>
              <w:t>69.5</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7C9E0" w14:textId="77777777" w:rsidR="00C93C49" w:rsidRPr="00C93C49" w:rsidRDefault="00C93C49" w:rsidP="00C93C49">
            <w:pPr>
              <w:jc w:val="right"/>
              <w:rPr>
                <w:rFonts w:ascii="Arial" w:eastAsia="Calibri" w:hAnsi="Arial" w:cs="Arial"/>
              </w:rPr>
            </w:pPr>
            <w:r w:rsidRPr="00C93C49">
              <w:rPr>
                <w:rFonts w:ascii="Arial" w:hAnsi="Arial" w:cs="Arial"/>
                <w:sz w:val="22"/>
                <w:szCs w:val="22"/>
              </w:rPr>
              <w:t>31.1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87169" w14:textId="77777777" w:rsidR="00C93C49" w:rsidRPr="00C93C49" w:rsidRDefault="00C93C49" w:rsidP="00C93C49">
            <w:pPr>
              <w:jc w:val="right"/>
              <w:rPr>
                <w:rFonts w:ascii="Arial" w:eastAsia="Calibri" w:hAnsi="Arial" w:cs="Arial"/>
              </w:rPr>
            </w:pPr>
            <w:r w:rsidRPr="00C93C49">
              <w:rPr>
                <w:rFonts w:ascii="Arial" w:hAnsi="Arial" w:cs="Arial"/>
                <w:sz w:val="22"/>
                <w:szCs w:val="22"/>
              </w:rPr>
              <w:t>NA*</w:t>
            </w:r>
          </w:p>
        </w:tc>
      </w:tr>
      <w:tr w:rsidR="00C93C49" w:rsidRPr="00C93C49" w14:paraId="02524FE9" w14:textId="77777777" w:rsidTr="00347614">
        <w:trPr>
          <w:trHeight w:val="144"/>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CE174" w14:textId="77777777" w:rsidR="00C93C49" w:rsidRPr="00C93C49" w:rsidRDefault="00C93C49" w:rsidP="00C93C49">
            <w:pPr>
              <w:rPr>
                <w:rFonts w:ascii="Arial" w:eastAsia="Calibri" w:hAnsi="Arial" w:cs="Arial"/>
                <w:b/>
              </w:rPr>
            </w:pPr>
            <w:r w:rsidRPr="00C93C49">
              <w:rPr>
                <w:rFonts w:ascii="Arial" w:eastAsia="Calibri" w:hAnsi="Arial" w:cs="Arial"/>
                <w:b/>
              </w:rPr>
              <w:t>West Penn Power</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227A9" w14:textId="77777777" w:rsidR="00C93C49" w:rsidRPr="00C93C49" w:rsidRDefault="00C93C49" w:rsidP="00C93C49">
            <w:pPr>
              <w:jc w:val="right"/>
              <w:rPr>
                <w:rFonts w:ascii="Arial" w:eastAsia="Calibri" w:hAnsi="Arial" w:cs="Arial"/>
              </w:rPr>
            </w:pPr>
            <w:r w:rsidRPr="00C93C49">
              <w:rPr>
                <w:rFonts w:ascii="Arial" w:hAnsi="Arial" w:cs="Arial"/>
                <w:sz w:val="22"/>
                <w:szCs w:val="22"/>
              </w:rPr>
              <w:t>86.4</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85670" w14:textId="77777777" w:rsidR="00C93C49" w:rsidRPr="00C93C49" w:rsidRDefault="00C93C49" w:rsidP="00C93C49">
            <w:pPr>
              <w:jc w:val="right"/>
              <w:rPr>
                <w:rFonts w:ascii="Arial" w:eastAsia="Calibri" w:hAnsi="Arial" w:cs="Arial"/>
              </w:rPr>
            </w:pPr>
            <w:r w:rsidRPr="00C93C49">
              <w:rPr>
                <w:rFonts w:ascii="Arial" w:hAnsi="Arial" w:cs="Arial"/>
                <w:sz w:val="22"/>
                <w:szCs w:val="22"/>
              </w:rPr>
              <w:t>86.3</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8CA93" w14:textId="77777777" w:rsidR="00C93C49" w:rsidRPr="00C93C49" w:rsidRDefault="00C93C49" w:rsidP="00C93C49">
            <w:pPr>
              <w:jc w:val="right"/>
              <w:rPr>
                <w:rFonts w:ascii="Arial" w:eastAsia="Calibri" w:hAnsi="Arial" w:cs="Arial"/>
              </w:rPr>
            </w:pPr>
            <w:r w:rsidRPr="00C93C49">
              <w:rPr>
                <w:rFonts w:ascii="Arial" w:hAnsi="Arial" w:cs="Arial"/>
                <w:sz w:val="22"/>
                <w:szCs w:val="22"/>
              </w:rPr>
              <w:t>49.6</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0329C" w14:textId="77777777" w:rsidR="00C93C49" w:rsidRPr="00C93C49" w:rsidRDefault="00C93C49" w:rsidP="00C93C49">
            <w:pPr>
              <w:jc w:val="right"/>
              <w:rPr>
                <w:rFonts w:ascii="Arial" w:eastAsia="Calibri" w:hAnsi="Arial" w:cs="Arial"/>
              </w:rPr>
            </w:pPr>
            <w:r w:rsidRPr="00C93C49">
              <w:rPr>
                <w:rFonts w:ascii="Arial" w:hAnsi="Arial" w:cs="Arial"/>
                <w:sz w:val="22"/>
                <w:szCs w:val="22"/>
              </w:rPr>
              <w:t>47.4</w:t>
            </w:r>
          </w:p>
        </w:tc>
      </w:tr>
    </w:tbl>
    <w:p w14:paraId="2AD04AD4" w14:textId="77777777" w:rsidR="00C93C49" w:rsidRPr="00C93C49" w:rsidRDefault="00C93C49" w:rsidP="00C93C49">
      <w:pPr>
        <w:widowControl w:val="0"/>
        <w:spacing w:after="0" w:line="20" w:lineRule="atLeast"/>
        <w:ind w:firstLine="720"/>
        <w:contextualSpacing/>
        <w:rPr>
          <w:rFonts w:ascii="Arial" w:eastAsia="Times New Roman" w:hAnsi="Arial" w:cs="Arial"/>
          <w:snapToGrid w:val="0"/>
          <w:sz w:val="18"/>
          <w:szCs w:val="18"/>
        </w:rPr>
      </w:pPr>
      <w:r w:rsidRPr="00C93C49">
        <w:rPr>
          <w:rFonts w:ascii="Arial" w:eastAsia="Times New Roman" w:hAnsi="Arial" w:cs="Arial"/>
          <w:snapToGrid w:val="0"/>
          <w:sz w:val="18"/>
          <w:szCs w:val="18"/>
        </w:rPr>
        <w:t>NA – Not Available</w:t>
      </w:r>
    </w:p>
    <w:p w14:paraId="13D36ECD" w14:textId="77777777" w:rsidR="00C93C49" w:rsidRPr="00C93C49" w:rsidRDefault="00C93C49" w:rsidP="00C93C49">
      <w:pPr>
        <w:widowControl w:val="0"/>
        <w:spacing w:after="0" w:line="20" w:lineRule="atLeast"/>
        <w:ind w:left="720"/>
        <w:contextualSpacing/>
        <w:rPr>
          <w:rFonts w:ascii="Arial" w:eastAsia="Times New Roman" w:hAnsi="Arial" w:cs="Arial"/>
          <w:snapToGrid w:val="0"/>
          <w:sz w:val="18"/>
          <w:szCs w:val="18"/>
        </w:rPr>
      </w:pPr>
      <w:r w:rsidRPr="00C93C49">
        <w:rPr>
          <w:rFonts w:ascii="Arial" w:eastAsia="Times New Roman" w:hAnsi="Arial" w:cs="Arial"/>
          <w:snapToGrid w:val="0"/>
          <w:sz w:val="18"/>
          <w:szCs w:val="18"/>
        </w:rPr>
        <w:t>* - Penn Power did not track meter read error rates in 2017 due to almost full smart meter deployment</w:t>
      </w:r>
    </w:p>
    <w:p w14:paraId="314E7967" w14:textId="77777777" w:rsidR="00C93C49" w:rsidRPr="00C93C49" w:rsidRDefault="00C93C49" w:rsidP="00C93C49">
      <w:pPr>
        <w:widowControl w:val="0"/>
        <w:spacing w:after="0" w:line="20" w:lineRule="atLeast"/>
        <w:ind w:left="720"/>
        <w:contextualSpacing/>
        <w:rPr>
          <w:rFonts w:ascii="Arial" w:eastAsia="Times New Roman" w:hAnsi="Arial" w:cs="Arial"/>
          <w:snapToGrid w:val="0"/>
          <w:sz w:val="18"/>
          <w:szCs w:val="18"/>
        </w:rPr>
      </w:pPr>
      <w:r w:rsidRPr="00C93C49">
        <w:rPr>
          <w:rFonts w:ascii="Arial" w:eastAsia="Times New Roman" w:hAnsi="Arial" w:cs="Arial"/>
          <w:snapToGrid w:val="0"/>
          <w:sz w:val="18"/>
          <w:szCs w:val="18"/>
        </w:rPr>
        <w:t>Source: Data Requests CS-2 and CS-7</w:t>
      </w:r>
    </w:p>
    <w:p w14:paraId="2A943079"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0"/>
        </w:rPr>
      </w:pPr>
    </w:p>
    <w:p w14:paraId="12145373"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0"/>
        </w:rPr>
      </w:pPr>
    </w:p>
    <w:p w14:paraId="30D20CD0" w14:textId="77777777" w:rsidR="00C93C49" w:rsidRPr="00C93C49" w:rsidRDefault="00C93C49" w:rsidP="00C93C49">
      <w:pPr>
        <w:spacing w:after="0" w:line="20" w:lineRule="atLeast"/>
        <w:contextualSpacing/>
        <w:rPr>
          <w:rFonts w:ascii="Arial" w:hAnsi="Arial" w:cs="Arial"/>
          <w:b/>
          <w:sz w:val="24"/>
          <w:szCs w:val="24"/>
        </w:rPr>
      </w:pPr>
      <w:r w:rsidRPr="00C93C49">
        <w:rPr>
          <w:rFonts w:ascii="Arial" w:eastAsia="Times New Roman" w:hAnsi="Arial" w:cs="Times New Roman"/>
          <w:b/>
          <w:sz w:val="24"/>
          <w:szCs w:val="24"/>
          <w:u w:val="single"/>
        </w:rPr>
        <w:t>Follow-up Recommendation</w:t>
      </w:r>
      <w:r w:rsidRPr="00C93C49">
        <w:rPr>
          <w:rFonts w:ascii="Arial" w:eastAsia="Times New Roman" w:hAnsi="Arial" w:cs="Times New Roman"/>
          <w:b/>
          <w:sz w:val="24"/>
          <w:szCs w:val="24"/>
        </w:rPr>
        <w:t xml:space="preserve"> – </w:t>
      </w:r>
      <w:r w:rsidRPr="00C93C49">
        <w:rPr>
          <w:rFonts w:ascii="Arial" w:hAnsi="Arial" w:cs="Arial"/>
          <w:b/>
          <w:sz w:val="24"/>
          <w:szCs w:val="24"/>
        </w:rPr>
        <w:t>None</w:t>
      </w:r>
    </w:p>
    <w:p w14:paraId="05425D96" w14:textId="77777777" w:rsidR="00C93C49" w:rsidRPr="00C93C49" w:rsidRDefault="00C93C49" w:rsidP="00C93C49">
      <w:pPr>
        <w:spacing w:after="0" w:line="20" w:lineRule="atLeast"/>
        <w:contextualSpacing/>
        <w:rPr>
          <w:rFonts w:ascii="Arial" w:hAnsi="Arial" w:cs="Arial"/>
          <w:b/>
          <w:sz w:val="24"/>
          <w:szCs w:val="24"/>
        </w:rPr>
      </w:pPr>
    </w:p>
    <w:p w14:paraId="5E0CE4AF" w14:textId="77777777" w:rsidR="00C93C49" w:rsidRPr="00C93C49" w:rsidRDefault="00C93C49" w:rsidP="00C93C49">
      <w:pPr>
        <w:spacing w:after="0" w:line="20" w:lineRule="atLeast"/>
        <w:contextualSpacing/>
        <w:jc w:val="center"/>
        <w:rPr>
          <w:rFonts w:ascii="Arial" w:eastAsia="Times New Roman" w:hAnsi="Arial" w:cs="Times New Roman"/>
          <w:b/>
          <w:sz w:val="24"/>
          <w:szCs w:val="24"/>
          <w:u w:val="single"/>
        </w:rPr>
      </w:pPr>
    </w:p>
    <w:p w14:paraId="2FADF953" w14:textId="77777777" w:rsidR="00F672A7" w:rsidRDefault="00F672A7">
      <w:pPr>
        <w:rPr>
          <w:rFonts w:ascii="Arial" w:eastAsia="Times New Roman" w:hAnsi="Arial" w:cs="Times New Roman"/>
          <w:b/>
          <w:sz w:val="24"/>
          <w:szCs w:val="24"/>
          <w:u w:val="single"/>
        </w:rPr>
      </w:pPr>
      <w:r>
        <w:rPr>
          <w:rFonts w:ascii="Arial" w:eastAsia="Times New Roman" w:hAnsi="Arial" w:cs="Times New Roman"/>
          <w:b/>
          <w:sz w:val="24"/>
          <w:szCs w:val="24"/>
          <w:u w:val="single"/>
        </w:rPr>
        <w:br w:type="page"/>
      </w:r>
    </w:p>
    <w:p w14:paraId="4042A045" w14:textId="77777777" w:rsidR="00C93C49" w:rsidRPr="00C93C49" w:rsidRDefault="00C93C49" w:rsidP="00C93C49">
      <w:pPr>
        <w:spacing w:after="0" w:line="20" w:lineRule="atLeast"/>
        <w:contextualSpacing/>
        <w:jc w:val="center"/>
        <w:rPr>
          <w:rFonts w:ascii="Arial" w:eastAsia="Times New Roman" w:hAnsi="Arial" w:cs="Times New Roman"/>
          <w:b/>
          <w:sz w:val="24"/>
          <w:szCs w:val="24"/>
          <w:u w:val="single"/>
        </w:rPr>
      </w:pPr>
      <w:r w:rsidRPr="00C93C49">
        <w:rPr>
          <w:rFonts w:ascii="Arial" w:eastAsia="Times New Roman" w:hAnsi="Arial" w:cs="Times New Roman"/>
          <w:b/>
          <w:sz w:val="24"/>
          <w:szCs w:val="24"/>
          <w:u w:val="single"/>
        </w:rPr>
        <w:t>Finding No. X-2</w:t>
      </w:r>
    </w:p>
    <w:p w14:paraId="570B5CF8" w14:textId="77777777" w:rsidR="00C93C49" w:rsidRPr="00C93C49" w:rsidRDefault="00C93C49" w:rsidP="00C93C49">
      <w:pPr>
        <w:spacing w:after="0" w:line="20" w:lineRule="atLeast"/>
        <w:contextualSpacing/>
        <w:rPr>
          <w:rFonts w:ascii="Arial" w:eastAsia="Times New Roman" w:hAnsi="Arial" w:cs="Times New Roman"/>
          <w:sz w:val="24"/>
          <w:szCs w:val="24"/>
        </w:rPr>
      </w:pPr>
    </w:p>
    <w:p w14:paraId="69FA7121" w14:textId="77777777" w:rsidR="00C93C49" w:rsidRPr="00C93C49" w:rsidRDefault="00C93C49" w:rsidP="00C93C49">
      <w:pPr>
        <w:spacing w:after="0" w:line="20" w:lineRule="atLeast"/>
        <w:contextualSpacing/>
        <w:rPr>
          <w:rFonts w:ascii="Arial" w:eastAsia="Calibri" w:hAnsi="Arial" w:cs="Arial"/>
          <w:sz w:val="24"/>
          <w:szCs w:val="24"/>
        </w:rPr>
      </w:pPr>
      <w:r w:rsidRPr="00C93C49">
        <w:rPr>
          <w:rFonts w:ascii="Arial" w:eastAsia="Times New Roman" w:hAnsi="Arial" w:cs="Times New Roman"/>
          <w:b/>
          <w:sz w:val="24"/>
          <w:szCs w:val="24"/>
          <w:u w:val="single"/>
        </w:rPr>
        <w:t>Prior Situation</w:t>
      </w:r>
      <w:r w:rsidRPr="00C93C49">
        <w:rPr>
          <w:rFonts w:ascii="Arial" w:eastAsia="Times New Roman" w:hAnsi="Arial" w:cs="Times New Roman"/>
          <w:sz w:val="24"/>
          <w:szCs w:val="24"/>
        </w:rPr>
        <w:t xml:space="preserve"> – </w:t>
      </w:r>
      <w:r w:rsidRPr="00C93C49">
        <w:rPr>
          <w:rFonts w:ascii="Arial" w:eastAsia="Calibri" w:hAnsi="Arial" w:cs="Arial"/>
          <w:sz w:val="24"/>
          <w:szCs w:val="24"/>
        </w:rPr>
        <w:t xml:space="preserve">Pursuant to § 56.12(4)(ii), a utility may estimate the bill of a residential customer if utility personnel are unable to gain access to obtain an actual meter reading.  However, at least every six months, the </w:t>
      </w:r>
      <w:r w:rsidRPr="00C93C49">
        <w:rPr>
          <w:rFonts w:ascii="Arial" w:eastAsia="Calibri" w:hAnsi="Arial" w:cs="Arial"/>
          <w:sz w:val="24"/>
          <w:szCs w:val="24"/>
          <w:u w:val="single"/>
        </w:rPr>
        <w:t>utility must obtain either an actual meter reading or customer-supplied reading</w:t>
      </w:r>
      <w:r w:rsidRPr="00C93C49">
        <w:rPr>
          <w:rFonts w:ascii="Arial" w:eastAsia="Calibri" w:hAnsi="Arial" w:cs="Arial"/>
          <w:sz w:val="24"/>
          <w:szCs w:val="24"/>
        </w:rPr>
        <w:t xml:space="preserve"> to verify the accuracy of prior estimated bills.  The Reporting Requirements for Quality of Service Benchmarks and Standards at § 54.153(b)(3)(i) require Electric Distribution Companies (EDCs) to report the number and percentage of residential meters the company has not read in accordance with § 56.12(4)(ii).  Under § 56.12(4)(iii), a company may estimate the bill of a residential customer if company personnel are unable to gain access to obtain an actual meter reading.  However, at least once every twelve months, the </w:t>
      </w:r>
      <w:r w:rsidRPr="00C93C49">
        <w:rPr>
          <w:rFonts w:ascii="Arial" w:eastAsia="Calibri" w:hAnsi="Arial" w:cs="Arial"/>
          <w:sz w:val="24"/>
          <w:szCs w:val="24"/>
          <w:u w:val="single"/>
        </w:rPr>
        <w:t>company must acquire an actual meter reading</w:t>
      </w:r>
      <w:r w:rsidRPr="00C93C49">
        <w:rPr>
          <w:rFonts w:ascii="Arial" w:eastAsia="Calibri" w:hAnsi="Arial" w:cs="Arial"/>
          <w:sz w:val="24"/>
          <w:szCs w:val="24"/>
        </w:rPr>
        <w:t xml:space="preserve"> to verify the accuracy of either the estimated or customer-supplied readings.  The Reporting Requirements for Quality of Service Benchmarks and Standards at § 54.153(b)(3)(ii) require the EDCs to report the number and percentage of residential meters for which they failed to meet the requirements of this section.  </w:t>
      </w:r>
    </w:p>
    <w:p w14:paraId="47D2F36D" w14:textId="77777777" w:rsidR="00C93C49" w:rsidRPr="00C93C49" w:rsidRDefault="00C93C49" w:rsidP="00C93C49">
      <w:pPr>
        <w:spacing w:after="0" w:line="20" w:lineRule="atLeast"/>
        <w:contextualSpacing/>
        <w:rPr>
          <w:rFonts w:ascii="Arial" w:eastAsia="Calibri" w:hAnsi="Arial" w:cs="Arial"/>
          <w:sz w:val="24"/>
          <w:szCs w:val="24"/>
        </w:rPr>
      </w:pPr>
    </w:p>
    <w:p w14:paraId="02D180C8" w14:textId="77777777" w:rsidR="00C93C49" w:rsidRPr="00C93C49" w:rsidRDefault="00C93C49" w:rsidP="00C93C49">
      <w:pPr>
        <w:spacing w:after="0" w:line="20" w:lineRule="atLeast"/>
        <w:ind w:firstLine="720"/>
        <w:contextualSpacing/>
        <w:rPr>
          <w:rFonts w:ascii="Arial" w:eastAsia="Times New Roman" w:hAnsi="Arial" w:cs="Times New Roman"/>
          <w:sz w:val="24"/>
          <w:szCs w:val="24"/>
        </w:rPr>
      </w:pPr>
      <w:r w:rsidRPr="00C93C49">
        <w:rPr>
          <w:rFonts w:ascii="Arial" w:eastAsia="Times New Roman" w:hAnsi="Arial" w:cs="Times New Roman"/>
          <w:sz w:val="24"/>
          <w:szCs w:val="24"/>
        </w:rPr>
        <w:t xml:space="preserve">Based on a review of reported meter reading performance for the years 2008 through 2013, the auditors determined that the </w:t>
      </w:r>
      <w:r w:rsidR="00DC3D9B">
        <w:rPr>
          <w:rFonts w:ascii="Arial" w:eastAsia="Times New Roman" w:hAnsi="Arial" w:cs="Times New Roman"/>
          <w:sz w:val="24"/>
          <w:szCs w:val="24"/>
        </w:rPr>
        <w:t>FE-PA companies</w:t>
      </w:r>
      <w:r w:rsidRPr="00C93C49">
        <w:rPr>
          <w:rFonts w:ascii="Arial" w:eastAsia="Times New Roman" w:hAnsi="Arial" w:cs="Times New Roman"/>
          <w:sz w:val="24"/>
          <w:szCs w:val="24"/>
        </w:rPr>
        <w:t xml:space="preserve"> were not in compliance with PUC regulations at § 56.12(4)(ii) for reading meters within six-month periods and, West Penn Power in particular, at § 56.12(4)(iii) for reading meters within twelve-month periods.   West Penn Power experienced an increase in the number of meters not read in six months from 111 to 879 or </w:t>
      </w:r>
      <w:r w:rsidR="002567E9" w:rsidRPr="00C93C49">
        <w:rPr>
          <w:rFonts w:ascii="Arial" w:eastAsia="Times New Roman" w:hAnsi="Arial" w:cs="Times New Roman"/>
          <w:sz w:val="24"/>
          <w:szCs w:val="24"/>
        </w:rPr>
        <w:t>an</w:t>
      </w:r>
      <w:r w:rsidRPr="00C93C49">
        <w:rPr>
          <w:rFonts w:ascii="Arial" w:eastAsia="Times New Roman" w:hAnsi="Arial" w:cs="Times New Roman"/>
          <w:sz w:val="24"/>
          <w:szCs w:val="24"/>
        </w:rPr>
        <w:t xml:space="preserve"> eight-fold increase from 2008 to 2013 with a high of 2,135 in 2012.  Meanwhile, the other three </w:t>
      </w:r>
      <w:r w:rsidR="00DC3D9B">
        <w:rPr>
          <w:rFonts w:ascii="Arial" w:eastAsia="Times New Roman" w:hAnsi="Arial" w:cs="Times New Roman"/>
          <w:sz w:val="24"/>
          <w:szCs w:val="24"/>
        </w:rPr>
        <w:t>FE-PA companies</w:t>
      </w:r>
      <w:r w:rsidRPr="00C93C49">
        <w:rPr>
          <w:rFonts w:ascii="Arial" w:eastAsia="Times New Roman" w:hAnsi="Arial" w:cs="Times New Roman"/>
          <w:sz w:val="24"/>
          <w:szCs w:val="24"/>
        </w:rPr>
        <w:t xml:space="preserve"> experienced decreases in the number of meters not read in six months from 2008 to 2012 but trended negatively upward again in 2013.  Additionally, West Penn Power experienced the same issue with respect to meters not being read in a twelve</w:t>
      </w:r>
      <w:r w:rsidRPr="00C93C49">
        <w:rPr>
          <w:rFonts w:ascii="Arial" w:eastAsia="Times New Roman" w:hAnsi="Arial" w:cs="Times New Roman"/>
          <w:sz w:val="24"/>
          <w:szCs w:val="24"/>
        </w:rPr>
        <w:noBreakHyphen/>
        <w:t>month period specifically since 2010.</w:t>
      </w:r>
    </w:p>
    <w:p w14:paraId="3A462683" w14:textId="77777777" w:rsidR="00C93C49" w:rsidRPr="00C93C49" w:rsidRDefault="00C93C49" w:rsidP="00C93C49">
      <w:pPr>
        <w:spacing w:after="0" w:line="20" w:lineRule="atLeast"/>
        <w:contextualSpacing/>
        <w:rPr>
          <w:rFonts w:ascii="Arial" w:eastAsia="Times New Roman" w:hAnsi="Arial" w:cs="Times New Roman"/>
          <w:sz w:val="24"/>
          <w:szCs w:val="24"/>
        </w:rPr>
      </w:pPr>
    </w:p>
    <w:p w14:paraId="30404FBA" w14:textId="77777777" w:rsidR="00C93C49" w:rsidRPr="00C93C49" w:rsidRDefault="007A7373" w:rsidP="00C93C49">
      <w:pPr>
        <w:spacing w:after="0" w:line="20" w:lineRule="atLeast"/>
        <w:ind w:firstLine="720"/>
        <w:contextualSpacing/>
        <w:rPr>
          <w:rFonts w:ascii="Arial" w:eastAsia="Times New Roman" w:hAnsi="Arial" w:cs="Times New Roman"/>
          <w:sz w:val="24"/>
          <w:szCs w:val="24"/>
        </w:rPr>
      </w:pPr>
      <w:r w:rsidRPr="00C93C49">
        <w:rPr>
          <w:rFonts w:ascii="Arial" w:eastAsia="Times New Roman" w:hAnsi="Arial" w:cs="Times New Roman"/>
          <w:sz w:val="24"/>
          <w:szCs w:val="24"/>
        </w:rPr>
        <w:t>After</w:t>
      </w:r>
      <w:r w:rsidR="00C93C49" w:rsidRPr="00C93C49">
        <w:rPr>
          <w:rFonts w:ascii="Arial" w:eastAsia="Times New Roman" w:hAnsi="Arial" w:cs="Times New Roman"/>
          <w:sz w:val="24"/>
          <w:szCs w:val="24"/>
        </w:rPr>
        <w:t xml:space="preserve"> FirstEnergy’s merger with Allegheny Energy, West Penn Power experienced a significant increase in the number of meters not timely read in 2012 while implementing FirstEnergy’s software and integrating into FirstEnergy’s customer service information system.  The </w:t>
      </w:r>
      <w:r w:rsidR="00DC3D9B">
        <w:rPr>
          <w:rFonts w:ascii="Arial" w:eastAsia="Times New Roman" w:hAnsi="Arial" w:cs="Times New Roman"/>
          <w:sz w:val="24"/>
          <w:szCs w:val="24"/>
        </w:rPr>
        <w:t>FE-PA companies</w:t>
      </w:r>
      <w:r w:rsidR="00C93C49" w:rsidRPr="00C93C49">
        <w:rPr>
          <w:rFonts w:ascii="Arial" w:eastAsia="Times New Roman" w:hAnsi="Arial" w:cs="Times New Roman"/>
          <w:sz w:val="24"/>
          <w:szCs w:val="24"/>
        </w:rPr>
        <w:t xml:space="preserve"> reviewed the meter reading data monthly as well as at year-end as was done at Allegheny Energy.  West Penn Power experienced many glitches while implementing the new software integration, which created a backlog of metering data to be entered and processed.  This transition to a different system reportedly created a one-time anomaly.  Once fully implemented, West Penn Power anticipated that its performance for the number of meters not read in both six and twelve-month periods would improve as it returned to its pre-merger level.  </w:t>
      </w:r>
    </w:p>
    <w:p w14:paraId="2E3F5EC6" w14:textId="77777777" w:rsidR="00C93C49" w:rsidRPr="00C93C49" w:rsidRDefault="00C93C49" w:rsidP="00C93C49">
      <w:pPr>
        <w:spacing w:after="0" w:line="20" w:lineRule="atLeast"/>
        <w:contextualSpacing/>
        <w:rPr>
          <w:rFonts w:ascii="Arial" w:eastAsia="Times New Roman" w:hAnsi="Arial" w:cs="Times New Roman"/>
          <w:sz w:val="24"/>
          <w:szCs w:val="24"/>
        </w:rPr>
      </w:pPr>
    </w:p>
    <w:p w14:paraId="5023A15A" w14:textId="77777777" w:rsidR="00C93C49" w:rsidRPr="00C93C49" w:rsidRDefault="00C93C49" w:rsidP="00C93C49">
      <w:pPr>
        <w:spacing w:after="0" w:line="20" w:lineRule="atLeast"/>
        <w:contextualSpacing/>
        <w:rPr>
          <w:rFonts w:ascii="Arial" w:eastAsia="Times New Roman" w:hAnsi="Arial" w:cs="Times New Roman"/>
          <w:sz w:val="24"/>
          <w:szCs w:val="24"/>
        </w:rPr>
      </w:pPr>
      <w:r w:rsidRPr="00C93C49">
        <w:rPr>
          <w:rFonts w:ascii="Arial" w:eastAsia="Times New Roman" w:hAnsi="Arial" w:cs="Times New Roman"/>
          <w:sz w:val="24"/>
          <w:szCs w:val="24"/>
        </w:rPr>
        <w:tab/>
        <w:t xml:space="preserve">The auditors noted that the implementation of smart meter technology would significantly reduce and potentially eliminate all meters not being read within six or twelve-month periods.  However, until full implementation of smart meters was achieved, it was likely that the </w:t>
      </w:r>
      <w:r w:rsidR="00DC3D9B">
        <w:rPr>
          <w:rFonts w:ascii="Arial" w:eastAsia="Times New Roman" w:hAnsi="Arial" w:cs="Times New Roman"/>
          <w:sz w:val="24"/>
          <w:szCs w:val="24"/>
        </w:rPr>
        <w:t>FE-PA companies</w:t>
      </w:r>
      <w:r w:rsidRPr="00C93C49">
        <w:rPr>
          <w:rFonts w:ascii="Arial" w:eastAsia="Times New Roman" w:hAnsi="Arial" w:cs="Times New Roman"/>
          <w:sz w:val="24"/>
          <w:szCs w:val="24"/>
        </w:rPr>
        <w:t xml:space="preserve"> would be susceptible to meter reading problems </w:t>
      </w:r>
      <w:r w:rsidR="002567E9">
        <w:rPr>
          <w:rFonts w:ascii="Arial" w:eastAsia="Times New Roman" w:hAnsi="Arial" w:cs="Times New Roman"/>
          <w:sz w:val="24"/>
          <w:szCs w:val="24"/>
        </w:rPr>
        <w:t xml:space="preserve">of which </w:t>
      </w:r>
      <w:r w:rsidRPr="00C93C49">
        <w:rPr>
          <w:rFonts w:ascii="Arial" w:eastAsia="Times New Roman" w:hAnsi="Arial" w:cs="Times New Roman"/>
          <w:sz w:val="24"/>
          <w:szCs w:val="24"/>
        </w:rPr>
        <w:t xml:space="preserve">it may not be </w:t>
      </w:r>
      <w:r w:rsidR="003B4374" w:rsidRPr="00C93C49">
        <w:rPr>
          <w:rFonts w:ascii="Arial" w:eastAsia="Times New Roman" w:hAnsi="Arial" w:cs="Times New Roman"/>
          <w:sz w:val="24"/>
          <w:szCs w:val="24"/>
        </w:rPr>
        <w:t>aware (</w:t>
      </w:r>
      <w:r w:rsidRPr="00C93C49">
        <w:rPr>
          <w:rFonts w:ascii="Arial" w:eastAsia="Times New Roman" w:hAnsi="Arial" w:cs="Times New Roman"/>
          <w:sz w:val="24"/>
          <w:szCs w:val="24"/>
        </w:rPr>
        <w:t>e.g., fast or slow meter), including theft of service, when meters were not read by a utility contractor or employee within the six</w:t>
      </w:r>
      <w:r w:rsidR="00F050C2">
        <w:rPr>
          <w:rFonts w:ascii="Arial" w:eastAsia="Times New Roman" w:hAnsi="Arial" w:cs="Times New Roman"/>
          <w:sz w:val="24"/>
          <w:szCs w:val="24"/>
        </w:rPr>
        <w:noBreakHyphen/>
      </w:r>
      <w:r w:rsidRPr="00C93C49">
        <w:rPr>
          <w:rFonts w:ascii="Arial" w:eastAsia="Times New Roman" w:hAnsi="Arial" w:cs="Times New Roman"/>
          <w:sz w:val="24"/>
          <w:szCs w:val="24"/>
        </w:rPr>
        <w:t>month or twelve-month period and consequently not be in compliance with PUC regulations at § 56.12(4)(ii) and § 56.12(4)(iii).</w:t>
      </w:r>
    </w:p>
    <w:p w14:paraId="01F1E838" w14:textId="77777777" w:rsidR="00C93C49" w:rsidRPr="00C93C49" w:rsidRDefault="00C93C49" w:rsidP="00C93C49">
      <w:pPr>
        <w:spacing w:after="0" w:line="20" w:lineRule="atLeast"/>
        <w:contextualSpacing/>
        <w:rPr>
          <w:rFonts w:ascii="Arial" w:eastAsia="Times New Roman" w:hAnsi="Arial" w:cs="Times New Roman"/>
          <w:sz w:val="24"/>
          <w:szCs w:val="24"/>
        </w:rPr>
      </w:pPr>
    </w:p>
    <w:p w14:paraId="38665CC0" w14:textId="77777777" w:rsidR="00C93C49" w:rsidRPr="00C93C49" w:rsidRDefault="00C93C49" w:rsidP="00C93C49">
      <w:pPr>
        <w:spacing w:after="0" w:line="20" w:lineRule="atLeast"/>
        <w:contextualSpacing/>
        <w:rPr>
          <w:rFonts w:ascii="Arial" w:eastAsia="Times New Roman" w:hAnsi="Arial" w:cs="Times New Roman"/>
          <w:sz w:val="24"/>
          <w:szCs w:val="24"/>
        </w:rPr>
      </w:pPr>
      <w:r w:rsidRPr="00C93C49">
        <w:rPr>
          <w:rFonts w:ascii="Arial" w:eastAsia="Times New Roman" w:hAnsi="Arial" w:cs="Times New Roman"/>
          <w:b/>
          <w:sz w:val="24"/>
          <w:szCs w:val="24"/>
          <w:u w:val="single"/>
        </w:rPr>
        <w:t>Prior Recommendation</w:t>
      </w:r>
      <w:r w:rsidRPr="00C93C49">
        <w:rPr>
          <w:rFonts w:ascii="Arial" w:eastAsia="Times New Roman" w:hAnsi="Arial" w:cs="Times New Roman"/>
          <w:sz w:val="24"/>
          <w:szCs w:val="24"/>
        </w:rPr>
        <w:t xml:space="preserve"> – Initiate measures to comply with PUC regulations by eliminating and/or substantially reducing the number of meters not read within six and twelve-month periods.</w:t>
      </w:r>
    </w:p>
    <w:p w14:paraId="4A00F244" w14:textId="77777777" w:rsidR="00C93C49" w:rsidRPr="00C93C49" w:rsidRDefault="00C93C49" w:rsidP="00C93C49">
      <w:pPr>
        <w:spacing w:after="0" w:line="20" w:lineRule="atLeast"/>
        <w:contextualSpacing/>
        <w:rPr>
          <w:rFonts w:ascii="Arial" w:eastAsia="Times New Roman" w:hAnsi="Arial" w:cs="Arial"/>
          <w:b/>
          <w:snapToGrid w:val="0"/>
          <w:sz w:val="24"/>
          <w:szCs w:val="20"/>
        </w:rPr>
      </w:pPr>
    </w:p>
    <w:p w14:paraId="215AF43F" w14:textId="77777777" w:rsidR="00C93C49" w:rsidRPr="00C93C49" w:rsidRDefault="00C93C49" w:rsidP="00C93C49">
      <w:pPr>
        <w:spacing w:after="0" w:line="20" w:lineRule="atLeast"/>
        <w:contextualSpacing/>
        <w:rPr>
          <w:rFonts w:ascii="Arial" w:eastAsia="Times New Roman" w:hAnsi="Arial" w:cs="Arial"/>
          <w:b/>
          <w:snapToGrid w:val="0"/>
          <w:sz w:val="24"/>
          <w:szCs w:val="20"/>
        </w:rPr>
      </w:pPr>
      <w:r w:rsidRPr="00C93C49">
        <w:rPr>
          <w:rFonts w:ascii="Arial" w:eastAsia="Times New Roman" w:hAnsi="Arial" w:cs="Times New Roman"/>
          <w:b/>
          <w:sz w:val="24"/>
          <w:szCs w:val="24"/>
          <w:u w:val="single"/>
        </w:rPr>
        <w:t>Follow-up Finding and Conclusion No. X-2</w:t>
      </w:r>
      <w:r w:rsidRPr="00C93C49">
        <w:rPr>
          <w:rFonts w:ascii="Arial" w:eastAsia="Times New Roman" w:hAnsi="Arial" w:cs="Times New Roman"/>
          <w:b/>
          <w:sz w:val="24"/>
          <w:szCs w:val="24"/>
        </w:rPr>
        <w:t xml:space="preserve"> – </w:t>
      </w:r>
      <w:r w:rsidR="00215945">
        <w:rPr>
          <w:rFonts w:ascii="Arial" w:eastAsia="Times New Roman" w:hAnsi="Arial" w:cs="Times New Roman"/>
          <w:b/>
          <w:sz w:val="24"/>
          <w:szCs w:val="24"/>
        </w:rPr>
        <w:t>The number of meters not read within six and twelve-month periods has been significantly reduced</w:t>
      </w:r>
      <w:r w:rsidRPr="00C93C49">
        <w:rPr>
          <w:rFonts w:ascii="Arial" w:eastAsia="Times New Roman" w:hAnsi="Arial" w:cs="Arial"/>
          <w:b/>
          <w:snapToGrid w:val="0"/>
          <w:sz w:val="24"/>
          <w:szCs w:val="20"/>
        </w:rPr>
        <w:t>.</w:t>
      </w:r>
    </w:p>
    <w:p w14:paraId="3958CAB0" w14:textId="77777777" w:rsidR="00C93C49" w:rsidRPr="00C93C49" w:rsidRDefault="00C93C49" w:rsidP="00C93C49">
      <w:pPr>
        <w:spacing w:after="0" w:line="20" w:lineRule="atLeast"/>
        <w:contextualSpacing/>
        <w:rPr>
          <w:rFonts w:ascii="Arial" w:eastAsia="Times New Roman" w:hAnsi="Arial" w:cs="Arial"/>
          <w:b/>
          <w:snapToGrid w:val="0"/>
          <w:sz w:val="24"/>
          <w:szCs w:val="20"/>
        </w:rPr>
      </w:pPr>
    </w:p>
    <w:p w14:paraId="1E648573" w14:textId="77777777" w:rsidR="00C93C49" w:rsidRPr="00C93C49" w:rsidRDefault="00C93C49" w:rsidP="00C93C49">
      <w:pPr>
        <w:widowControl w:val="0"/>
        <w:spacing w:after="0" w:line="20" w:lineRule="atLeast"/>
        <w:contextualSpacing/>
        <w:rPr>
          <w:rFonts w:ascii="Arial" w:eastAsia="Times New Roman" w:hAnsi="Arial" w:cs="Arial"/>
          <w:snapToGrid w:val="0"/>
          <w:sz w:val="24"/>
          <w:szCs w:val="20"/>
        </w:rPr>
      </w:pPr>
      <w:r w:rsidRPr="00C93C49">
        <w:rPr>
          <w:rFonts w:ascii="Arial" w:eastAsia="Times New Roman" w:hAnsi="Arial" w:cs="Arial"/>
          <w:b/>
          <w:snapToGrid w:val="0"/>
          <w:sz w:val="24"/>
          <w:szCs w:val="20"/>
          <w:u w:val="single"/>
        </w:rPr>
        <w:t>Current Review</w:t>
      </w:r>
      <w:r w:rsidRPr="00C93C49">
        <w:rPr>
          <w:rFonts w:ascii="Arial" w:eastAsia="Times New Roman" w:hAnsi="Arial" w:cs="Arial"/>
          <w:snapToGrid w:val="0"/>
          <w:sz w:val="24"/>
          <w:szCs w:val="20"/>
        </w:rPr>
        <w:t xml:space="preserve"> </w:t>
      </w:r>
      <w:r w:rsidRPr="00C93C49">
        <w:rPr>
          <w:rFonts w:ascii="Arial" w:eastAsia="Times New Roman" w:hAnsi="Arial" w:cs="Times New Roman"/>
          <w:sz w:val="24"/>
          <w:szCs w:val="24"/>
        </w:rPr>
        <w:t>–</w:t>
      </w:r>
      <w:r w:rsidRPr="00C93C49">
        <w:rPr>
          <w:rFonts w:ascii="Arial" w:eastAsia="Times New Roman" w:hAnsi="Arial" w:cs="Arial"/>
          <w:snapToGrid w:val="0"/>
          <w:sz w:val="24"/>
          <w:szCs w:val="20"/>
        </w:rPr>
        <w:t xml:space="preserve"> As shown in Exhibit X-5, the </w:t>
      </w:r>
      <w:r w:rsidR="00DC3D9B">
        <w:rPr>
          <w:rFonts w:ascii="Arial" w:eastAsia="Times New Roman" w:hAnsi="Arial" w:cs="Arial"/>
          <w:snapToGrid w:val="0"/>
          <w:sz w:val="24"/>
          <w:szCs w:val="20"/>
        </w:rPr>
        <w:t>FE-PA companies</w:t>
      </w:r>
      <w:r w:rsidRPr="00C93C49">
        <w:rPr>
          <w:rFonts w:ascii="Arial" w:eastAsia="Times New Roman" w:hAnsi="Arial" w:cs="Arial"/>
          <w:snapToGrid w:val="0"/>
          <w:sz w:val="24"/>
          <w:szCs w:val="20"/>
        </w:rPr>
        <w:t xml:space="preserve">’ number of meters not read in six months decreased from 2014 through 2016, while the panel average increased.  The panel average increased more than two-fold, while all the </w:t>
      </w:r>
      <w:r w:rsidR="00DC3D9B">
        <w:rPr>
          <w:rFonts w:ascii="Arial" w:eastAsia="Times New Roman" w:hAnsi="Arial" w:cs="Arial"/>
          <w:snapToGrid w:val="0"/>
          <w:sz w:val="24"/>
          <w:szCs w:val="20"/>
        </w:rPr>
        <w:t>FE-PA companies</w:t>
      </w:r>
      <w:r w:rsidRPr="00C93C49">
        <w:rPr>
          <w:rFonts w:ascii="Arial" w:eastAsia="Times New Roman" w:hAnsi="Arial" w:cs="Arial"/>
          <w:snapToGrid w:val="0"/>
          <w:sz w:val="24"/>
          <w:szCs w:val="20"/>
        </w:rPr>
        <w:t xml:space="preserve"> </w:t>
      </w:r>
      <w:r w:rsidR="002567E9">
        <w:rPr>
          <w:rFonts w:ascii="Arial" w:eastAsia="Times New Roman" w:hAnsi="Arial" w:cs="Arial"/>
          <w:snapToGrid w:val="0"/>
          <w:sz w:val="24"/>
          <w:szCs w:val="20"/>
        </w:rPr>
        <w:t xml:space="preserve">averages </w:t>
      </w:r>
      <w:r w:rsidRPr="00C93C49">
        <w:rPr>
          <w:rFonts w:ascii="Arial" w:eastAsia="Times New Roman" w:hAnsi="Arial" w:cs="Arial"/>
          <w:snapToGrid w:val="0"/>
          <w:sz w:val="24"/>
          <w:szCs w:val="20"/>
        </w:rPr>
        <w:t xml:space="preserve">decreased substantially during the same period.  Likewise, as shown in Exhibit X-6, the number of meters not read by the </w:t>
      </w:r>
      <w:r w:rsidR="00DC3D9B">
        <w:rPr>
          <w:rFonts w:ascii="Arial" w:eastAsia="Times New Roman" w:hAnsi="Arial" w:cs="Arial"/>
          <w:snapToGrid w:val="0"/>
          <w:sz w:val="24"/>
          <w:szCs w:val="20"/>
        </w:rPr>
        <w:t>FE-PA companies</w:t>
      </w:r>
      <w:r w:rsidRPr="00C93C49">
        <w:rPr>
          <w:rFonts w:ascii="Arial" w:eastAsia="Times New Roman" w:hAnsi="Arial" w:cs="Arial"/>
          <w:snapToGrid w:val="0"/>
          <w:sz w:val="24"/>
          <w:szCs w:val="20"/>
        </w:rPr>
        <w:t xml:space="preserve"> in twelve months decreased from 2014 through 2016, while the panel average increased.  The panel average increased more than ten</w:t>
      </w:r>
      <w:r w:rsidRPr="00C93C49">
        <w:rPr>
          <w:rFonts w:ascii="Arial" w:eastAsia="Times New Roman" w:hAnsi="Arial" w:cs="Arial"/>
          <w:snapToGrid w:val="0"/>
          <w:sz w:val="24"/>
          <w:szCs w:val="20"/>
        </w:rPr>
        <w:noBreakHyphen/>
        <w:t xml:space="preserve">fold, while all the </w:t>
      </w:r>
      <w:r w:rsidR="00DC3D9B">
        <w:rPr>
          <w:rFonts w:ascii="Arial" w:eastAsia="Times New Roman" w:hAnsi="Arial" w:cs="Arial"/>
          <w:snapToGrid w:val="0"/>
          <w:sz w:val="24"/>
          <w:szCs w:val="20"/>
        </w:rPr>
        <w:t>FE-PA companies</w:t>
      </w:r>
      <w:r w:rsidRPr="00C93C49">
        <w:rPr>
          <w:rFonts w:ascii="Arial" w:eastAsia="Times New Roman" w:hAnsi="Arial" w:cs="Arial"/>
          <w:snapToGrid w:val="0"/>
          <w:sz w:val="24"/>
          <w:szCs w:val="20"/>
        </w:rPr>
        <w:t xml:space="preserve"> decreased substantially during the same period.  The </w:t>
      </w:r>
      <w:r w:rsidR="00DC3D9B">
        <w:rPr>
          <w:rFonts w:ascii="Arial" w:eastAsia="Times New Roman" w:hAnsi="Arial" w:cs="Arial"/>
          <w:snapToGrid w:val="0"/>
          <w:sz w:val="24"/>
          <w:szCs w:val="20"/>
        </w:rPr>
        <w:t>FE-PA companies</w:t>
      </w:r>
      <w:r w:rsidRPr="00C93C49">
        <w:rPr>
          <w:rFonts w:ascii="Arial" w:eastAsia="Times New Roman" w:hAnsi="Arial" w:cs="Arial"/>
          <w:snapToGrid w:val="0"/>
          <w:sz w:val="24"/>
          <w:szCs w:val="20"/>
        </w:rPr>
        <w:t xml:space="preserve"> have been implementing smart meter technology (as shown </w:t>
      </w:r>
      <w:r w:rsidR="00150261">
        <w:rPr>
          <w:rFonts w:ascii="Arial" w:eastAsia="Times New Roman" w:hAnsi="Arial" w:cs="Arial"/>
          <w:snapToGrid w:val="0"/>
          <w:sz w:val="24"/>
          <w:szCs w:val="20"/>
        </w:rPr>
        <w:t>previously</w:t>
      </w:r>
      <w:r w:rsidRPr="00C93C49">
        <w:rPr>
          <w:rFonts w:ascii="Arial" w:eastAsia="Times New Roman" w:hAnsi="Arial" w:cs="Arial"/>
          <w:snapToGrid w:val="0"/>
          <w:sz w:val="24"/>
          <w:szCs w:val="20"/>
        </w:rPr>
        <w:t xml:space="preserve"> in Exhibit X-3), therefore more meters are being read monthly, along with less errors.  </w:t>
      </w:r>
    </w:p>
    <w:p w14:paraId="11605982" w14:textId="77777777" w:rsidR="00C93C49" w:rsidRDefault="00C93C49" w:rsidP="00C93C49">
      <w:pPr>
        <w:spacing w:after="0" w:line="20" w:lineRule="atLeast"/>
        <w:contextualSpacing/>
        <w:rPr>
          <w:rFonts w:ascii="Arial" w:eastAsia="Times New Roman" w:hAnsi="Arial" w:cs="Arial"/>
          <w:b/>
          <w:snapToGrid w:val="0"/>
          <w:sz w:val="24"/>
          <w:szCs w:val="20"/>
        </w:rPr>
      </w:pPr>
    </w:p>
    <w:p w14:paraId="385683B4" w14:textId="77777777" w:rsidR="00F672A7" w:rsidRPr="00C93C49" w:rsidRDefault="00F672A7" w:rsidP="00C93C49">
      <w:pPr>
        <w:spacing w:after="0" w:line="20" w:lineRule="atLeast"/>
        <w:contextualSpacing/>
        <w:rPr>
          <w:rFonts w:ascii="Arial" w:eastAsia="Times New Roman" w:hAnsi="Arial" w:cs="Arial"/>
          <w:b/>
          <w:snapToGrid w:val="0"/>
          <w:sz w:val="24"/>
          <w:szCs w:val="20"/>
        </w:rPr>
      </w:pPr>
    </w:p>
    <w:p w14:paraId="6A07620F"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 xml:space="preserve">Exhibit X – 5 </w:t>
      </w:r>
    </w:p>
    <w:p w14:paraId="3849D934" w14:textId="77777777" w:rsidR="00C93C49" w:rsidRPr="00C93C49" w:rsidRDefault="00C93C49" w:rsidP="00C93C49">
      <w:pPr>
        <w:spacing w:after="0" w:line="240" w:lineRule="auto"/>
        <w:jc w:val="center"/>
        <w:rPr>
          <w:rFonts w:ascii="Arial" w:eastAsia="Times New Roman" w:hAnsi="Arial" w:cs="Arial"/>
          <w:b/>
          <w:snapToGrid w:val="0"/>
          <w:sz w:val="24"/>
          <w:szCs w:val="20"/>
        </w:rPr>
      </w:pPr>
      <w:r w:rsidRPr="00C93C49">
        <w:rPr>
          <w:rFonts w:ascii="Arial" w:eastAsia="Calibri" w:hAnsi="Arial" w:cs="Arial"/>
          <w:b/>
          <w:sz w:val="24"/>
          <w:szCs w:val="24"/>
        </w:rPr>
        <w:t xml:space="preserve">FirstEnergy Pennsylvania Companies </w:t>
      </w:r>
      <w:r w:rsidRPr="00C93C49">
        <w:rPr>
          <w:rFonts w:ascii="Arial" w:eastAsia="Times New Roman" w:hAnsi="Arial" w:cs="Arial"/>
          <w:b/>
          <w:snapToGrid w:val="0"/>
          <w:sz w:val="24"/>
          <w:szCs w:val="20"/>
        </w:rPr>
        <w:t>vs. Panel Average</w:t>
      </w:r>
    </w:p>
    <w:p w14:paraId="041E6E1F"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Number of Meters Not Read in Six Months</w:t>
      </w:r>
    </w:p>
    <w:p w14:paraId="1E7340A7"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For the Years 2014 through 2016</w:t>
      </w:r>
    </w:p>
    <w:p w14:paraId="468412A5" w14:textId="77777777" w:rsidR="00C93C49" w:rsidRPr="00C93C49" w:rsidRDefault="00C93C49" w:rsidP="00C93C49">
      <w:pPr>
        <w:widowControl w:val="0"/>
        <w:spacing w:after="0" w:line="20" w:lineRule="atLeast"/>
        <w:contextualSpacing/>
        <w:rPr>
          <w:rFonts w:ascii="Arial" w:eastAsia="Times New Roman" w:hAnsi="Arial" w:cs="Arial"/>
          <w:snapToGrid w:val="0"/>
          <w:sz w:val="24"/>
          <w:szCs w:val="20"/>
        </w:rPr>
      </w:pPr>
    </w:p>
    <w:tbl>
      <w:tblPr>
        <w:tblW w:w="4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864"/>
        <w:gridCol w:w="864"/>
        <w:gridCol w:w="864"/>
      </w:tblGrid>
      <w:tr w:rsidR="00C93C49" w:rsidRPr="00C93C49" w14:paraId="76032BD0" w14:textId="77777777" w:rsidTr="00347614">
        <w:trPr>
          <w:trHeight w:val="318"/>
          <w:jc w:val="center"/>
        </w:trPr>
        <w:tc>
          <w:tcPr>
            <w:tcW w:w="2283" w:type="dxa"/>
            <w:shd w:val="clear" w:color="auto" w:fill="auto"/>
            <w:noWrap/>
            <w:vAlign w:val="bottom"/>
            <w:hideMark/>
          </w:tcPr>
          <w:p w14:paraId="53CC24D3" w14:textId="77777777" w:rsidR="00C93C49" w:rsidRPr="00C93C49" w:rsidRDefault="00C93C49" w:rsidP="00C93C49">
            <w:pPr>
              <w:spacing w:after="0" w:line="20" w:lineRule="atLeast"/>
              <w:contextualSpacing/>
              <w:jc w:val="center"/>
              <w:rPr>
                <w:rFonts w:ascii="Arial" w:eastAsia="Times New Roman" w:hAnsi="Arial" w:cs="Arial"/>
                <w:sz w:val="24"/>
                <w:szCs w:val="24"/>
              </w:rPr>
            </w:pPr>
          </w:p>
        </w:tc>
        <w:tc>
          <w:tcPr>
            <w:tcW w:w="864" w:type="dxa"/>
            <w:shd w:val="clear" w:color="auto" w:fill="auto"/>
            <w:noWrap/>
            <w:vAlign w:val="bottom"/>
            <w:hideMark/>
          </w:tcPr>
          <w:p w14:paraId="59AD872C" w14:textId="77777777" w:rsidR="00C93C49" w:rsidRPr="00C93C49" w:rsidRDefault="00C93C49" w:rsidP="00C93C49">
            <w:pPr>
              <w:spacing w:after="0" w:line="20" w:lineRule="atLeast"/>
              <w:contextualSpacing/>
              <w:jc w:val="center"/>
              <w:rPr>
                <w:rFonts w:ascii="Arial" w:eastAsia="Times New Roman" w:hAnsi="Arial" w:cs="Arial"/>
                <w:b/>
                <w:color w:val="000000"/>
                <w:sz w:val="24"/>
                <w:szCs w:val="24"/>
              </w:rPr>
            </w:pPr>
            <w:r w:rsidRPr="00C93C49">
              <w:rPr>
                <w:rFonts w:ascii="Arial" w:eastAsia="Times New Roman" w:hAnsi="Arial" w:cs="Arial"/>
                <w:b/>
                <w:color w:val="000000"/>
                <w:sz w:val="24"/>
                <w:szCs w:val="24"/>
              </w:rPr>
              <w:t>2014</w:t>
            </w:r>
          </w:p>
        </w:tc>
        <w:tc>
          <w:tcPr>
            <w:tcW w:w="864" w:type="dxa"/>
            <w:shd w:val="clear" w:color="auto" w:fill="auto"/>
            <w:noWrap/>
            <w:vAlign w:val="bottom"/>
            <w:hideMark/>
          </w:tcPr>
          <w:p w14:paraId="712778A0" w14:textId="77777777" w:rsidR="00C93C49" w:rsidRPr="00C93C49" w:rsidRDefault="00C93C49" w:rsidP="00C93C49">
            <w:pPr>
              <w:spacing w:after="0" w:line="20" w:lineRule="atLeast"/>
              <w:contextualSpacing/>
              <w:jc w:val="center"/>
              <w:rPr>
                <w:rFonts w:ascii="Arial" w:eastAsia="Times New Roman" w:hAnsi="Arial" w:cs="Arial"/>
                <w:b/>
                <w:color w:val="000000"/>
                <w:sz w:val="24"/>
                <w:szCs w:val="24"/>
              </w:rPr>
            </w:pPr>
            <w:r w:rsidRPr="00C93C49">
              <w:rPr>
                <w:rFonts w:ascii="Arial" w:eastAsia="Times New Roman" w:hAnsi="Arial" w:cs="Arial"/>
                <w:b/>
                <w:color w:val="000000"/>
                <w:sz w:val="24"/>
                <w:szCs w:val="24"/>
              </w:rPr>
              <w:t>2015</w:t>
            </w:r>
          </w:p>
        </w:tc>
        <w:tc>
          <w:tcPr>
            <w:tcW w:w="864" w:type="dxa"/>
            <w:shd w:val="clear" w:color="auto" w:fill="auto"/>
            <w:noWrap/>
            <w:vAlign w:val="bottom"/>
            <w:hideMark/>
          </w:tcPr>
          <w:p w14:paraId="124B8392" w14:textId="77777777" w:rsidR="00C93C49" w:rsidRPr="00C93C49" w:rsidRDefault="00C93C49" w:rsidP="00C93C49">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b/>
                <w:color w:val="000000"/>
                <w:sz w:val="24"/>
                <w:szCs w:val="24"/>
              </w:rPr>
              <w:t>2016</w:t>
            </w:r>
          </w:p>
        </w:tc>
      </w:tr>
      <w:tr w:rsidR="00C93C49" w:rsidRPr="00C93C49" w14:paraId="20704422" w14:textId="77777777" w:rsidTr="00347614">
        <w:trPr>
          <w:trHeight w:val="239"/>
          <w:jc w:val="center"/>
        </w:trPr>
        <w:tc>
          <w:tcPr>
            <w:tcW w:w="2283" w:type="dxa"/>
            <w:shd w:val="clear" w:color="auto" w:fill="auto"/>
            <w:noWrap/>
            <w:vAlign w:val="center"/>
            <w:hideMark/>
          </w:tcPr>
          <w:p w14:paraId="72B4B81B" w14:textId="77777777" w:rsidR="00C93C49" w:rsidRPr="00C93C49" w:rsidRDefault="00C93C49" w:rsidP="00C93C49">
            <w:pPr>
              <w:spacing w:after="0" w:line="20" w:lineRule="atLeast"/>
              <w:contextualSpacing/>
              <w:rPr>
                <w:rFonts w:ascii="Arial" w:eastAsia="Times New Roman" w:hAnsi="Arial" w:cs="Arial"/>
                <w:b/>
                <w:color w:val="000000"/>
                <w:sz w:val="24"/>
                <w:szCs w:val="24"/>
              </w:rPr>
            </w:pPr>
            <w:r w:rsidRPr="00C93C49">
              <w:rPr>
                <w:rFonts w:ascii="Arial" w:eastAsia="Times New Roman" w:hAnsi="Arial" w:cs="Arial"/>
                <w:b/>
                <w:color w:val="000000"/>
                <w:sz w:val="24"/>
                <w:szCs w:val="24"/>
              </w:rPr>
              <w:t>Duquesne</w:t>
            </w:r>
          </w:p>
        </w:tc>
        <w:tc>
          <w:tcPr>
            <w:tcW w:w="864" w:type="dxa"/>
            <w:shd w:val="clear" w:color="auto" w:fill="auto"/>
            <w:noWrap/>
            <w:vAlign w:val="center"/>
          </w:tcPr>
          <w:p w14:paraId="1A07D33B"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1</w:t>
            </w:r>
          </w:p>
        </w:tc>
        <w:tc>
          <w:tcPr>
            <w:tcW w:w="864" w:type="dxa"/>
            <w:shd w:val="clear" w:color="auto" w:fill="auto"/>
            <w:noWrap/>
            <w:vAlign w:val="center"/>
          </w:tcPr>
          <w:p w14:paraId="393F35CE"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81</w:t>
            </w:r>
          </w:p>
        </w:tc>
        <w:tc>
          <w:tcPr>
            <w:tcW w:w="864" w:type="dxa"/>
            <w:shd w:val="clear" w:color="auto" w:fill="auto"/>
            <w:noWrap/>
            <w:vAlign w:val="center"/>
          </w:tcPr>
          <w:p w14:paraId="49000297"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462</w:t>
            </w:r>
          </w:p>
        </w:tc>
      </w:tr>
      <w:tr w:rsidR="00C93C49" w:rsidRPr="00C93C49" w14:paraId="11354C86" w14:textId="77777777" w:rsidTr="00347614">
        <w:trPr>
          <w:trHeight w:val="239"/>
          <w:jc w:val="center"/>
        </w:trPr>
        <w:tc>
          <w:tcPr>
            <w:tcW w:w="2283" w:type="dxa"/>
            <w:shd w:val="clear" w:color="auto" w:fill="auto"/>
            <w:noWrap/>
            <w:vAlign w:val="center"/>
            <w:hideMark/>
          </w:tcPr>
          <w:p w14:paraId="0DF287B3" w14:textId="77777777" w:rsidR="00C93C49" w:rsidRPr="00C93C49" w:rsidRDefault="00C93C49" w:rsidP="00C93C49">
            <w:pPr>
              <w:spacing w:after="0" w:line="20" w:lineRule="atLeast"/>
              <w:contextualSpacing/>
              <w:rPr>
                <w:rFonts w:ascii="Arial" w:eastAsia="Times New Roman" w:hAnsi="Arial" w:cs="Arial"/>
                <w:b/>
                <w:color w:val="000000"/>
                <w:sz w:val="24"/>
                <w:szCs w:val="24"/>
              </w:rPr>
            </w:pPr>
            <w:r w:rsidRPr="00C93C49">
              <w:rPr>
                <w:rFonts w:ascii="Arial" w:eastAsia="Times New Roman" w:hAnsi="Arial" w:cs="Arial"/>
                <w:b/>
                <w:color w:val="000000"/>
                <w:sz w:val="24"/>
                <w:szCs w:val="24"/>
              </w:rPr>
              <w:t>PPL</w:t>
            </w:r>
          </w:p>
        </w:tc>
        <w:tc>
          <w:tcPr>
            <w:tcW w:w="864" w:type="dxa"/>
            <w:shd w:val="clear" w:color="auto" w:fill="auto"/>
            <w:noWrap/>
            <w:vAlign w:val="center"/>
          </w:tcPr>
          <w:p w14:paraId="2C4C8C1C"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55</w:t>
            </w:r>
          </w:p>
        </w:tc>
        <w:tc>
          <w:tcPr>
            <w:tcW w:w="864" w:type="dxa"/>
            <w:shd w:val="clear" w:color="auto" w:fill="auto"/>
            <w:noWrap/>
            <w:vAlign w:val="center"/>
          </w:tcPr>
          <w:p w14:paraId="0FA7DCDA"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86</w:t>
            </w:r>
          </w:p>
        </w:tc>
        <w:tc>
          <w:tcPr>
            <w:tcW w:w="864" w:type="dxa"/>
            <w:shd w:val="clear" w:color="auto" w:fill="auto"/>
            <w:noWrap/>
            <w:vAlign w:val="center"/>
          </w:tcPr>
          <w:p w14:paraId="35D04008"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44</w:t>
            </w:r>
          </w:p>
        </w:tc>
      </w:tr>
      <w:tr w:rsidR="00C93C49" w:rsidRPr="00C93C49" w14:paraId="3FAF7D1C" w14:textId="77777777" w:rsidTr="00347614">
        <w:trPr>
          <w:trHeight w:val="239"/>
          <w:jc w:val="center"/>
        </w:trPr>
        <w:tc>
          <w:tcPr>
            <w:tcW w:w="2283" w:type="dxa"/>
            <w:shd w:val="clear" w:color="auto" w:fill="auto"/>
            <w:noWrap/>
            <w:vAlign w:val="center"/>
            <w:hideMark/>
          </w:tcPr>
          <w:p w14:paraId="44C56D72" w14:textId="77777777" w:rsidR="00C93C49" w:rsidRPr="00C93C49" w:rsidRDefault="00C93C49" w:rsidP="00C93C49">
            <w:pPr>
              <w:spacing w:after="0" w:line="20" w:lineRule="atLeast"/>
              <w:contextualSpacing/>
              <w:rPr>
                <w:rFonts w:ascii="Arial" w:eastAsia="Times New Roman" w:hAnsi="Arial" w:cs="Arial"/>
                <w:b/>
                <w:color w:val="000000"/>
                <w:sz w:val="24"/>
                <w:szCs w:val="24"/>
              </w:rPr>
            </w:pPr>
            <w:r w:rsidRPr="00C93C49">
              <w:rPr>
                <w:rFonts w:ascii="Arial" w:eastAsia="Times New Roman" w:hAnsi="Arial" w:cs="Arial"/>
                <w:b/>
                <w:color w:val="000000"/>
                <w:sz w:val="24"/>
                <w:szCs w:val="24"/>
              </w:rPr>
              <w:t>PECO</w:t>
            </w:r>
          </w:p>
        </w:tc>
        <w:tc>
          <w:tcPr>
            <w:tcW w:w="864" w:type="dxa"/>
            <w:shd w:val="clear" w:color="auto" w:fill="auto"/>
            <w:noWrap/>
            <w:vAlign w:val="center"/>
          </w:tcPr>
          <w:p w14:paraId="6504942A"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144</w:t>
            </w:r>
          </w:p>
        </w:tc>
        <w:tc>
          <w:tcPr>
            <w:tcW w:w="864" w:type="dxa"/>
            <w:shd w:val="clear" w:color="auto" w:fill="auto"/>
            <w:noWrap/>
            <w:vAlign w:val="center"/>
          </w:tcPr>
          <w:p w14:paraId="7BB502B8"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370</w:t>
            </w:r>
          </w:p>
        </w:tc>
        <w:tc>
          <w:tcPr>
            <w:tcW w:w="864" w:type="dxa"/>
            <w:shd w:val="clear" w:color="auto" w:fill="auto"/>
            <w:noWrap/>
            <w:vAlign w:val="center"/>
          </w:tcPr>
          <w:p w14:paraId="6A364986"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138</w:t>
            </w:r>
          </w:p>
        </w:tc>
      </w:tr>
      <w:tr w:rsidR="00C93C49" w:rsidRPr="00C93C49" w14:paraId="28270729" w14:textId="77777777" w:rsidTr="00347614">
        <w:trPr>
          <w:trHeight w:val="239"/>
          <w:jc w:val="center"/>
        </w:trPr>
        <w:tc>
          <w:tcPr>
            <w:tcW w:w="2283" w:type="dxa"/>
            <w:shd w:val="clear" w:color="auto" w:fill="auto"/>
            <w:noWrap/>
            <w:vAlign w:val="center"/>
            <w:hideMark/>
          </w:tcPr>
          <w:p w14:paraId="4A5F766F" w14:textId="77777777" w:rsidR="00C93C49" w:rsidRPr="00C93C49" w:rsidRDefault="00C93C49" w:rsidP="00C93C49">
            <w:pPr>
              <w:spacing w:after="0" w:line="20" w:lineRule="atLeast"/>
              <w:contextualSpacing/>
              <w:rPr>
                <w:rFonts w:ascii="Arial" w:eastAsia="Times New Roman" w:hAnsi="Arial" w:cs="Arial"/>
                <w:b/>
                <w:color w:val="000000"/>
                <w:sz w:val="24"/>
                <w:szCs w:val="24"/>
              </w:rPr>
            </w:pPr>
            <w:r w:rsidRPr="00C93C49">
              <w:rPr>
                <w:rFonts w:ascii="Arial" w:eastAsia="Times New Roman" w:hAnsi="Arial" w:cs="Arial"/>
                <w:b/>
                <w:color w:val="000000"/>
                <w:sz w:val="24"/>
                <w:szCs w:val="24"/>
              </w:rPr>
              <w:t>UGI-Electric</w:t>
            </w:r>
          </w:p>
        </w:tc>
        <w:tc>
          <w:tcPr>
            <w:tcW w:w="864" w:type="dxa"/>
            <w:shd w:val="clear" w:color="auto" w:fill="auto"/>
            <w:noWrap/>
            <w:vAlign w:val="center"/>
          </w:tcPr>
          <w:p w14:paraId="4B4F634E"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2</w:t>
            </w:r>
          </w:p>
        </w:tc>
        <w:tc>
          <w:tcPr>
            <w:tcW w:w="864" w:type="dxa"/>
            <w:shd w:val="clear" w:color="auto" w:fill="auto"/>
            <w:noWrap/>
            <w:vAlign w:val="center"/>
          </w:tcPr>
          <w:p w14:paraId="3FA17F27"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1</w:t>
            </w:r>
          </w:p>
        </w:tc>
        <w:tc>
          <w:tcPr>
            <w:tcW w:w="864" w:type="dxa"/>
            <w:shd w:val="clear" w:color="auto" w:fill="auto"/>
            <w:noWrap/>
            <w:vAlign w:val="center"/>
          </w:tcPr>
          <w:p w14:paraId="3197D083"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1</w:t>
            </w:r>
          </w:p>
        </w:tc>
      </w:tr>
      <w:tr w:rsidR="00C93C49" w:rsidRPr="00C93C49" w14:paraId="49E56C53" w14:textId="77777777" w:rsidTr="00347614">
        <w:trPr>
          <w:trHeight w:val="239"/>
          <w:jc w:val="center"/>
        </w:trPr>
        <w:tc>
          <w:tcPr>
            <w:tcW w:w="2283" w:type="dxa"/>
            <w:shd w:val="clear" w:color="auto" w:fill="auto"/>
            <w:noWrap/>
            <w:vAlign w:val="center"/>
            <w:hideMark/>
          </w:tcPr>
          <w:p w14:paraId="7C4A7400" w14:textId="77777777" w:rsidR="00C93C49" w:rsidRPr="00C93C49" w:rsidRDefault="00C93C49" w:rsidP="00C93C49">
            <w:pPr>
              <w:spacing w:after="0" w:line="20" w:lineRule="atLeast"/>
              <w:contextualSpacing/>
              <w:jc w:val="center"/>
              <w:rPr>
                <w:rFonts w:ascii="Arial" w:eastAsia="Times New Roman" w:hAnsi="Arial" w:cs="Arial"/>
                <w:b/>
                <w:color w:val="000000"/>
                <w:sz w:val="24"/>
                <w:szCs w:val="24"/>
              </w:rPr>
            </w:pPr>
            <w:r w:rsidRPr="00C93C49">
              <w:rPr>
                <w:rFonts w:ascii="Arial" w:eastAsia="Times New Roman" w:hAnsi="Arial" w:cs="Arial"/>
                <w:b/>
                <w:color w:val="000000"/>
                <w:sz w:val="24"/>
                <w:szCs w:val="24"/>
              </w:rPr>
              <w:t>Panel Average</w:t>
            </w:r>
          </w:p>
        </w:tc>
        <w:tc>
          <w:tcPr>
            <w:tcW w:w="864" w:type="dxa"/>
            <w:shd w:val="clear" w:color="auto" w:fill="auto"/>
            <w:noWrap/>
            <w:vAlign w:val="center"/>
          </w:tcPr>
          <w:p w14:paraId="4F512879"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51</w:t>
            </w:r>
          </w:p>
        </w:tc>
        <w:tc>
          <w:tcPr>
            <w:tcW w:w="864" w:type="dxa"/>
            <w:shd w:val="clear" w:color="auto" w:fill="auto"/>
            <w:noWrap/>
            <w:vAlign w:val="center"/>
          </w:tcPr>
          <w:p w14:paraId="778A8930"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135</w:t>
            </w:r>
          </w:p>
        </w:tc>
        <w:tc>
          <w:tcPr>
            <w:tcW w:w="864" w:type="dxa"/>
            <w:shd w:val="clear" w:color="auto" w:fill="auto"/>
            <w:noWrap/>
            <w:vAlign w:val="center"/>
          </w:tcPr>
          <w:p w14:paraId="18BDF179"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161</w:t>
            </w:r>
          </w:p>
        </w:tc>
      </w:tr>
      <w:tr w:rsidR="00C93C49" w:rsidRPr="00C93C49" w14:paraId="27E75591" w14:textId="77777777" w:rsidTr="00347614">
        <w:trPr>
          <w:trHeight w:val="239"/>
          <w:jc w:val="center"/>
        </w:trPr>
        <w:tc>
          <w:tcPr>
            <w:tcW w:w="2283" w:type="dxa"/>
            <w:shd w:val="clear" w:color="auto" w:fill="auto"/>
            <w:noWrap/>
            <w:vAlign w:val="center"/>
            <w:hideMark/>
          </w:tcPr>
          <w:p w14:paraId="01797CEE" w14:textId="77777777" w:rsidR="00C93C49" w:rsidRPr="00C93C49" w:rsidRDefault="00C93C49" w:rsidP="00C93C49">
            <w:pPr>
              <w:spacing w:after="0" w:line="20" w:lineRule="atLeast"/>
              <w:contextualSpacing/>
              <w:jc w:val="center"/>
              <w:rPr>
                <w:rFonts w:ascii="Arial" w:eastAsia="Times New Roman" w:hAnsi="Arial" w:cs="Arial"/>
                <w:b/>
                <w:color w:val="000000"/>
                <w:sz w:val="24"/>
                <w:szCs w:val="24"/>
              </w:rPr>
            </w:pPr>
          </w:p>
        </w:tc>
        <w:tc>
          <w:tcPr>
            <w:tcW w:w="864" w:type="dxa"/>
            <w:shd w:val="clear" w:color="auto" w:fill="auto"/>
            <w:noWrap/>
            <w:vAlign w:val="center"/>
          </w:tcPr>
          <w:p w14:paraId="2CBA6298"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p>
        </w:tc>
        <w:tc>
          <w:tcPr>
            <w:tcW w:w="864" w:type="dxa"/>
            <w:shd w:val="clear" w:color="auto" w:fill="auto"/>
            <w:noWrap/>
            <w:vAlign w:val="center"/>
          </w:tcPr>
          <w:p w14:paraId="05653A8A" w14:textId="77777777" w:rsidR="00C93C49" w:rsidRPr="00C93C49" w:rsidRDefault="00C93C49" w:rsidP="00C93C49">
            <w:pPr>
              <w:spacing w:after="0" w:line="20" w:lineRule="atLeast"/>
              <w:contextualSpacing/>
              <w:jc w:val="right"/>
              <w:rPr>
                <w:rFonts w:ascii="Arial" w:eastAsia="Times New Roman" w:hAnsi="Arial" w:cs="Arial"/>
                <w:sz w:val="24"/>
                <w:szCs w:val="24"/>
              </w:rPr>
            </w:pPr>
          </w:p>
        </w:tc>
        <w:tc>
          <w:tcPr>
            <w:tcW w:w="864" w:type="dxa"/>
            <w:shd w:val="clear" w:color="auto" w:fill="auto"/>
            <w:noWrap/>
            <w:vAlign w:val="center"/>
          </w:tcPr>
          <w:p w14:paraId="17836C88" w14:textId="77777777" w:rsidR="00C93C49" w:rsidRPr="00C93C49" w:rsidRDefault="00C93C49" w:rsidP="00C93C49">
            <w:pPr>
              <w:spacing w:after="0" w:line="20" w:lineRule="atLeast"/>
              <w:contextualSpacing/>
              <w:jc w:val="right"/>
              <w:rPr>
                <w:rFonts w:ascii="Arial" w:eastAsia="Times New Roman" w:hAnsi="Arial" w:cs="Arial"/>
                <w:sz w:val="24"/>
                <w:szCs w:val="24"/>
              </w:rPr>
            </w:pPr>
          </w:p>
        </w:tc>
      </w:tr>
      <w:tr w:rsidR="00C93C49" w:rsidRPr="00C93C49" w14:paraId="6D9E58D4" w14:textId="77777777" w:rsidTr="00347614">
        <w:trPr>
          <w:trHeight w:val="239"/>
          <w:jc w:val="center"/>
        </w:trPr>
        <w:tc>
          <w:tcPr>
            <w:tcW w:w="2283" w:type="dxa"/>
            <w:shd w:val="clear" w:color="auto" w:fill="auto"/>
            <w:noWrap/>
            <w:vAlign w:val="center"/>
            <w:hideMark/>
          </w:tcPr>
          <w:p w14:paraId="70CA67B0" w14:textId="77777777" w:rsidR="00C93C49" w:rsidRPr="00C93C49" w:rsidRDefault="00C93C49" w:rsidP="00C93C49">
            <w:pPr>
              <w:spacing w:after="0" w:line="20" w:lineRule="atLeast"/>
              <w:contextualSpacing/>
              <w:rPr>
                <w:rFonts w:ascii="Arial" w:eastAsia="Times New Roman" w:hAnsi="Arial" w:cs="Arial"/>
                <w:b/>
                <w:color w:val="000000"/>
                <w:sz w:val="24"/>
                <w:szCs w:val="24"/>
              </w:rPr>
            </w:pPr>
            <w:r w:rsidRPr="00C93C49">
              <w:rPr>
                <w:rFonts w:ascii="Arial" w:eastAsia="Times New Roman" w:hAnsi="Arial" w:cs="Arial"/>
                <w:b/>
                <w:color w:val="000000"/>
                <w:sz w:val="24"/>
                <w:szCs w:val="24"/>
              </w:rPr>
              <w:t>Met-Ed</w:t>
            </w:r>
          </w:p>
        </w:tc>
        <w:tc>
          <w:tcPr>
            <w:tcW w:w="864" w:type="dxa"/>
            <w:shd w:val="clear" w:color="auto" w:fill="auto"/>
            <w:noWrap/>
            <w:vAlign w:val="center"/>
          </w:tcPr>
          <w:p w14:paraId="1FF8C27D"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881</w:t>
            </w:r>
          </w:p>
        </w:tc>
        <w:tc>
          <w:tcPr>
            <w:tcW w:w="864" w:type="dxa"/>
            <w:shd w:val="clear" w:color="auto" w:fill="auto"/>
            <w:noWrap/>
            <w:vAlign w:val="center"/>
          </w:tcPr>
          <w:p w14:paraId="2549F4BA"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131</w:t>
            </w:r>
          </w:p>
        </w:tc>
        <w:tc>
          <w:tcPr>
            <w:tcW w:w="864" w:type="dxa"/>
            <w:shd w:val="clear" w:color="auto" w:fill="auto"/>
            <w:noWrap/>
            <w:vAlign w:val="center"/>
          </w:tcPr>
          <w:p w14:paraId="213E49B5"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71</w:t>
            </w:r>
          </w:p>
        </w:tc>
      </w:tr>
      <w:tr w:rsidR="00C93C49" w:rsidRPr="00C93C49" w14:paraId="4CEA192C" w14:textId="77777777" w:rsidTr="00347614">
        <w:trPr>
          <w:trHeight w:val="239"/>
          <w:jc w:val="center"/>
        </w:trPr>
        <w:tc>
          <w:tcPr>
            <w:tcW w:w="2283" w:type="dxa"/>
            <w:shd w:val="clear" w:color="auto" w:fill="auto"/>
            <w:noWrap/>
            <w:vAlign w:val="center"/>
            <w:hideMark/>
          </w:tcPr>
          <w:p w14:paraId="6EC2A011" w14:textId="77777777" w:rsidR="00C93C49" w:rsidRPr="00C93C49" w:rsidRDefault="00C93C49" w:rsidP="00C93C49">
            <w:pPr>
              <w:spacing w:after="0" w:line="20" w:lineRule="atLeast"/>
              <w:contextualSpacing/>
              <w:rPr>
                <w:rFonts w:ascii="Arial" w:eastAsia="Times New Roman" w:hAnsi="Arial" w:cs="Arial"/>
                <w:b/>
                <w:color w:val="000000"/>
                <w:sz w:val="24"/>
                <w:szCs w:val="24"/>
              </w:rPr>
            </w:pPr>
            <w:r w:rsidRPr="00C93C49">
              <w:rPr>
                <w:rFonts w:ascii="Arial" w:eastAsia="Times New Roman" w:hAnsi="Arial" w:cs="Arial"/>
                <w:b/>
                <w:color w:val="000000"/>
                <w:sz w:val="24"/>
                <w:szCs w:val="24"/>
              </w:rPr>
              <w:t>Penelec</w:t>
            </w:r>
          </w:p>
        </w:tc>
        <w:tc>
          <w:tcPr>
            <w:tcW w:w="864" w:type="dxa"/>
            <w:shd w:val="clear" w:color="auto" w:fill="auto"/>
            <w:noWrap/>
            <w:vAlign w:val="center"/>
          </w:tcPr>
          <w:p w14:paraId="3B83B179"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59</w:t>
            </w:r>
          </w:p>
        </w:tc>
        <w:tc>
          <w:tcPr>
            <w:tcW w:w="864" w:type="dxa"/>
            <w:shd w:val="clear" w:color="auto" w:fill="auto"/>
            <w:noWrap/>
            <w:vAlign w:val="center"/>
          </w:tcPr>
          <w:p w14:paraId="463C4E31"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51</w:t>
            </w:r>
          </w:p>
        </w:tc>
        <w:tc>
          <w:tcPr>
            <w:tcW w:w="864" w:type="dxa"/>
            <w:shd w:val="clear" w:color="auto" w:fill="auto"/>
            <w:noWrap/>
            <w:vAlign w:val="center"/>
          </w:tcPr>
          <w:p w14:paraId="12908279"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25</w:t>
            </w:r>
          </w:p>
        </w:tc>
      </w:tr>
      <w:tr w:rsidR="00C93C49" w:rsidRPr="00C93C49" w14:paraId="65C1BC9A" w14:textId="77777777" w:rsidTr="00347614">
        <w:trPr>
          <w:trHeight w:val="239"/>
          <w:jc w:val="center"/>
        </w:trPr>
        <w:tc>
          <w:tcPr>
            <w:tcW w:w="2283" w:type="dxa"/>
            <w:shd w:val="clear" w:color="auto" w:fill="auto"/>
            <w:noWrap/>
            <w:vAlign w:val="center"/>
            <w:hideMark/>
          </w:tcPr>
          <w:p w14:paraId="4BD4962F" w14:textId="77777777" w:rsidR="00C93C49" w:rsidRPr="00C93C49" w:rsidRDefault="00C93C49" w:rsidP="00C93C49">
            <w:pPr>
              <w:spacing w:after="0" w:line="20" w:lineRule="atLeast"/>
              <w:contextualSpacing/>
              <w:rPr>
                <w:rFonts w:ascii="Arial" w:eastAsia="Times New Roman" w:hAnsi="Arial" w:cs="Arial"/>
                <w:b/>
                <w:color w:val="000000"/>
                <w:sz w:val="24"/>
                <w:szCs w:val="24"/>
              </w:rPr>
            </w:pPr>
            <w:r w:rsidRPr="00C93C49">
              <w:rPr>
                <w:rFonts w:ascii="Arial" w:eastAsia="Times New Roman" w:hAnsi="Arial" w:cs="Arial"/>
                <w:b/>
                <w:color w:val="000000"/>
                <w:sz w:val="24"/>
                <w:szCs w:val="24"/>
              </w:rPr>
              <w:t>Penn Power</w:t>
            </w:r>
          </w:p>
        </w:tc>
        <w:tc>
          <w:tcPr>
            <w:tcW w:w="864" w:type="dxa"/>
            <w:shd w:val="clear" w:color="auto" w:fill="auto"/>
            <w:noWrap/>
            <w:vAlign w:val="center"/>
          </w:tcPr>
          <w:p w14:paraId="359263D0"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44</w:t>
            </w:r>
          </w:p>
        </w:tc>
        <w:tc>
          <w:tcPr>
            <w:tcW w:w="864" w:type="dxa"/>
            <w:shd w:val="clear" w:color="auto" w:fill="auto"/>
            <w:noWrap/>
            <w:vAlign w:val="center"/>
          </w:tcPr>
          <w:p w14:paraId="4C0BFB21"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46</w:t>
            </w:r>
          </w:p>
        </w:tc>
        <w:tc>
          <w:tcPr>
            <w:tcW w:w="864" w:type="dxa"/>
            <w:shd w:val="clear" w:color="auto" w:fill="auto"/>
            <w:noWrap/>
            <w:vAlign w:val="center"/>
          </w:tcPr>
          <w:p w14:paraId="02ADEF4B"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0</w:t>
            </w:r>
          </w:p>
        </w:tc>
      </w:tr>
      <w:tr w:rsidR="00C93C49" w:rsidRPr="00C93C49" w14:paraId="74C96BDF" w14:textId="77777777" w:rsidTr="00347614">
        <w:trPr>
          <w:trHeight w:val="239"/>
          <w:jc w:val="center"/>
        </w:trPr>
        <w:tc>
          <w:tcPr>
            <w:tcW w:w="2283" w:type="dxa"/>
            <w:shd w:val="clear" w:color="auto" w:fill="auto"/>
            <w:noWrap/>
            <w:vAlign w:val="center"/>
            <w:hideMark/>
          </w:tcPr>
          <w:p w14:paraId="546D4E2B" w14:textId="77777777" w:rsidR="00C93C49" w:rsidRPr="00C93C49" w:rsidRDefault="00C93C49" w:rsidP="00C93C49">
            <w:pPr>
              <w:spacing w:after="0" w:line="20" w:lineRule="atLeast"/>
              <w:contextualSpacing/>
              <w:rPr>
                <w:rFonts w:ascii="Arial" w:eastAsia="Times New Roman" w:hAnsi="Arial" w:cs="Arial"/>
                <w:b/>
                <w:color w:val="000000"/>
                <w:sz w:val="24"/>
                <w:szCs w:val="24"/>
              </w:rPr>
            </w:pPr>
            <w:r w:rsidRPr="00C93C49">
              <w:rPr>
                <w:rFonts w:ascii="Arial" w:eastAsia="Times New Roman" w:hAnsi="Arial" w:cs="Arial"/>
                <w:b/>
                <w:color w:val="000000"/>
                <w:sz w:val="24"/>
                <w:szCs w:val="24"/>
              </w:rPr>
              <w:t>West Penn Power</w:t>
            </w:r>
          </w:p>
        </w:tc>
        <w:tc>
          <w:tcPr>
            <w:tcW w:w="864" w:type="dxa"/>
            <w:shd w:val="clear" w:color="auto" w:fill="auto"/>
            <w:noWrap/>
            <w:vAlign w:val="center"/>
          </w:tcPr>
          <w:p w14:paraId="005C9986"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327</w:t>
            </w:r>
          </w:p>
        </w:tc>
        <w:tc>
          <w:tcPr>
            <w:tcW w:w="864" w:type="dxa"/>
            <w:shd w:val="clear" w:color="auto" w:fill="auto"/>
            <w:noWrap/>
            <w:vAlign w:val="center"/>
          </w:tcPr>
          <w:p w14:paraId="7B7A4B3F"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221</w:t>
            </w:r>
          </w:p>
        </w:tc>
        <w:tc>
          <w:tcPr>
            <w:tcW w:w="864" w:type="dxa"/>
            <w:shd w:val="clear" w:color="auto" w:fill="auto"/>
            <w:noWrap/>
            <w:vAlign w:val="center"/>
          </w:tcPr>
          <w:p w14:paraId="1DA5981E"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115</w:t>
            </w:r>
          </w:p>
        </w:tc>
      </w:tr>
    </w:tbl>
    <w:p w14:paraId="6E3C33F5" w14:textId="77777777" w:rsidR="00C93C49" w:rsidRPr="00C93C49" w:rsidRDefault="00C93C49" w:rsidP="00C93C49">
      <w:pPr>
        <w:widowControl w:val="0"/>
        <w:spacing w:after="0" w:line="20" w:lineRule="atLeast"/>
        <w:ind w:left="2970" w:right="2340" w:hanging="720"/>
        <w:contextualSpacing/>
        <w:rPr>
          <w:rFonts w:ascii="Arial" w:eastAsia="Times New Roman" w:hAnsi="Arial" w:cs="Arial"/>
          <w:snapToGrid w:val="0"/>
          <w:sz w:val="18"/>
          <w:szCs w:val="18"/>
        </w:rPr>
      </w:pPr>
      <w:r w:rsidRPr="00C93C49">
        <w:rPr>
          <w:rFonts w:ascii="Arial" w:eastAsia="Times New Roman" w:hAnsi="Arial" w:cs="Arial"/>
          <w:snapToGrid w:val="0"/>
          <w:sz w:val="18"/>
          <w:szCs w:val="18"/>
        </w:rPr>
        <w:t>Source:  2014-2016 PUC Customer Service Performance Reports and Auditor Analysis</w:t>
      </w:r>
    </w:p>
    <w:p w14:paraId="16A23837" w14:textId="77777777" w:rsidR="00C93C49" w:rsidRPr="00C93C49" w:rsidRDefault="00C93C49" w:rsidP="00C93C49">
      <w:pPr>
        <w:spacing w:after="0" w:line="20" w:lineRule="atLeast"/>
        <w:contextualSpacing/>
        <w:rPr>
          <w:rFonts w:ascii="Arial" w:eastAsia="Times New Roman" w:hAnsi="Arial" w:cs="Arial"/>
          <w:b/>
          <w:snapToGrid w:val="0"/>
          <w:sz w:val="24"/>
          <w:szCs w:val="20"/>
        </w:rPr>
      </w:pPr>
    </w:p>
    <w:p w14:paraId="68535358" w14:textId="77777777" w:rsidR="00C93C49" w:rsidRPr="00C93C49" w:rsidRDefault="00C93C49" w:rsidP="00C93C49">
      <w:pPr>
        <w:spacing w:after="0" w:line="20" w:lineRule="atLeast"/>
        <w:contextualSpacing/>
        <w:rPr>
          <w:rFonts w:ascii="Arial" w:eastAsia="Times New Roman" w:hAnsi="Arial" w:cs="Arial"/>
          <w:b/>
          <w:snapToGrid w:val="0"/>
          <w:sz w:val="24"/>
          <w:szCs w:val="20"/>
        </w:rPr>
      </w:pPr>
    </w:p>
    <w:p w14:paraId="5FB14E1A" w14:textId="77777777" w:rsidR="00F672A7" w:rsidRDefault="00F672A7">
      <w:pPr>
        <w:rPr>
          <w:rFonts w:ascii="Arial" w:eastAsia="Times New Roman" w:hAnsi="Arial" w:cs="Arial"/>
          <w:b/>
          <w:snapToGrid w:val="0"/>
          <w:sz w:val="24"/>
          <w:szCs w:val="20"/>
        </w:rPr>
      </w:pPr>
      <w:r>
        <w:rPr>
          <w:rFonts w:ascii="Arial" w:eastAsia="Times New Roman" w:hAnsi="Arial" w:cs="Arial"/>
          <w:b/>
          <w:snapToGrid w:val="0"/>
          <w:sz w:val="24"/>
          <w:szCs w:val="20"/>
        </w:rPr>
        <w:br w:type="page"/>
      </w:r>
    </w:p>
    <w:p w14:paraId="300E344E"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 xml:space="preserve">Exhibit X – 6 </w:t>
      </w:r>
    </w:p>
    <w:p w14:paraId="2BF96DA7" w14:textId="77777777" w:rsidR="00C93C49" w:rsidRPr="00C93C49" w:rsidRDefault="00C93C49" w:rsidP="00C93C49">
      <w:pPr>
        <w:spacing w:after="0" w:line="240" w:lineRule="auto"/>
        <w:jc w:val="center"/>
        <w:rPr>
          <w:rFonts w:ascii="Arial" w:eastAsia="Times New Roman" w:hAnsi="Arial" w:cs="Arial"/>
          <w:b/>
          <w:snapToGrid w:val="0"/>
          <w:sz w:val="24"/>
          <w:szCs w:val="20"/>
        </w:rPr>
      </w:pPr>
      <w:r w:rsidRPr="00C93C49">
        <w:rPr>
          <w:rFonts w:ascii="Arial" w:eastAsia="Calibri" w:hAnsi="Arial" w:cs="Arial"/>
          <w:b/>
          <w:sz w:val="24"/>
          <w:szCs w:val="24"/>
        </w:rPr>
        <w:t xml:space="preserve">FirstEnergy Pennsylvania Companies </w:t>
      </w:r>
      <w:r w:rsidRPr="00C93C49">
        <w:rPr>
          <w:rFonts w:ascii="Arial" w:eastAsia="Times New Roman" w:hAnsi="Arial" w:cs="Arial"/>
          <w:b/>
          <w:snapToGrid w:val="0"/>
          <w:sz w:val="24"/>
          <w:szCs w:val="20"/>
        </w:rPr>
        <w:t>vs. Panel Average</w:t>
      </w:r>
    </w:p>
    <w:p w14:paraId="1AF066ED"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Number of Meters Not Read in Twelve Months</w:t>
      </w:r>
    </w:p>
    <w:p w14:paraId="13A961F9"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For the Years 2014 through 2016</w:t>
      </w:r>
    </w:p>
    <w:p w14:paraId="6420590F" w14:textId="77777777" w:rsidR="00C93C49" w:rsidRPr="00C93C49" w:rsidRDefault="00C93C49" w:rsidP="00C93C49">
      <w:pPr>
        <w:widowControl w:val="0"/>
        <w:spacing w:after="0" w:line="20" w:lineRule="atLeast"/>
        <w:contextualSpacing/>
        <w:rPr>
          <w:rFonts w:ascii="Arial" w:eastAsia="Times New Roman" w:hAnsi="Arial" w:cs="Arial"/>
          <w:snapToGrid w:val="0"/>
          <w:sz w:val="24"/>
          <w:szCs w:val="20"/>
        </w:rPr>
      </w:pPr>
    </w:p>
    <w:tbl>
      <w:tblPr>
        <w:tblW w:w="4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864"/>
        <w:gridCol w:w="864"/>
        <w:gridCol w:w="864"/>
      </w:tblGrid>
      <w:tr w:rsidR="00C93C49" w:rsidRPr="00C93C49" w14:paraId="20F9BE24" w14:textId="77777777" w:rsidTr="00347614">
        <w:trPr>
          <w:trHeight w:val="310"/>
          <w:jc w:val="center"/>
        </w:trPr>
        <w:tc>
          <w:tcPr>
            <w:tcW w:w="2239" w:type="dxa"/>
            <w:shd w:val="clear" w:color="auto" w:fill="auto"/>
            <w:noWrap/>
            <w:vAlign w:val="bottom"/>
            <w:hideMark/>
          </w:tcPr>
          <w:p w14:paraId="480578DA" w14:textId="77777777" w:rsidR="00C93C49" w:rsidRPr="00C93C49" w:rsidRDefault="00C93C49" w:rsidP="00C93C49">
            <w:pPr>
              <w:spacing w:after="0" w:line="20" w:lineRule="atLeast"/>
              <w:contextualSpacing/>
              <w:jc w:val="center"/>
              <w:rPr>
                <w:rFonts w:ascii="Arial" w:eastAsia="Times New Roman" w:hAnsi="Arial" w:cs="Arial"/>
                <w:sz w:val="24"/>
                <w:szCs w:val="24"/>
              </w:rPr>
            </w:pPr>
          </w:p>
        </w:tc>
        <w:tc>
          <w:tcPr>
            <w:tcW w:w="864" w:type="dxa"/>
            <w:shd w:val="clear" w:color="auto" w:fill="auto"/>
            <w:noWrap/>
            <w:vAlign w:val="bottom"/>
            <w:hideMark/>
          </w:tcPr>
          <w:p w14:paraId="14FA2C53" w14:textId="77777777" w:rsidR="00C93C49" w:rsidRPr="00C93C49" w:rsidRDefault="00C93C49" w:rsidP="00C93C49">
            <w:pPr>
              <w:spacing w:after="0" w:line="20" w:lineRule="atLeast"/>
              <w:contextualSpacing/>
              <w:jc w:val="center"/>
              <w:rPr>
                <w:rFonts w:ascii="Arial" w:eastAsia="Times New Roman" w:hAnsi="Arial" w:cs="Arial"/>
                <w:b/>
                <w:color w:val="000000"/>
                <w:sz w:val="24"/>
                <w:szCs w:val="24"/>
              </w:rPr>
            </w:pPr>
            <w:r w:rsidRPr="00C93C49">
              <w:rPr>
                <w:rFonts w:ascii="Arial" w:eastAsia="Times New Roman" w:hAnsi="Arial" w:cs="Arial"/>
                <w:b/>
                <w:color w:val="000000"/>
                <w:sz w:val="24"/>
                <w:szCs w:val="24"/>
              </w:rPr>
              <w:t>2014</w:t>
            </w:r>
          </w:p>
        </w:tc>
        <w:tc>
          <w:tcPr>
            <w:tcW w:w="864" w:type="dxa"/>
            <w:shd w:val="clear" w:color="auto" w:fill="auto"/>
            <w:noWrap/>
            <w:vAlign w:val="bottom"/>
            <w:hideMark/>
          </w:tcPr>
          <w:p w14:paraId="5C83198F" w14:textId="77777777" w:rsidR="00C93C49" w:rsidRPr="00C93C49" w:rsidRDefault="00C93C49" w:rsidP="00C93C49">
            <w:pPr>
              <w:spacing w:after="0" w:line="20" w:lineRule="atLeast"/>
              <w:contextualSpacing/>
              <w:jc w:val="center"/>
              <w:rPr>
                <w:rFonts w:ascii="Arial" w:eastAsia="Times New Roman" w:hAnsi="Arial" w:cs="Arial"/>
                <w:b/>
                <w:color w:val="000000"/>
                <w:sz w:val="24"/>
                <w:szCs w:val="24"/>
              </w:rPr>
            </w:pPr>
            <w:r w:rsidRPr="00C93C49">
              <w:rPr>
                <w:rFonts w:ascii="Arial" w:eastAsia="Times New Roman" w:hAnsi="Arial" w:cs="Arial"/>
                <w:b/>
                <w:color w:val="000000"/>
                <w:sz w:val="24"/>
                <w:szCs w:val="24"/>
              </w:rPr>
              <w:t>2015</w:t>
            </w:r>
          </w:p>
        </w:tc>
        <w:tc>
          <w:tcPr>
            <w:tcW w:w="864" w:type="dxa"/>
            <w:shd w:val="clear" w:color="auto" w:fill="auto"/>
            <w:noWrap/>
            <w:vAlign w:val="bottom"/>
            <w:hideMark/>
          </w:tcPr>
          <w:p w14:paraId="2C785FA3" w14:textId="77777777" w:rsidR="00C93C49" w:rsidRPr="00C93C49" w:rsidRDefault="00C93C49" w:rsidP="00C93C49">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b/>
                <w:color w:val="000000"/>
                <w:sz w:val="24"/>
                <w:szCs w:val="24"/>
              </w:rPr>
              <w:t>2016</w:t>
            </w:r>
          </w:p>
        </w:tc>
      </w:tr>
      <w:tr w:rsidR="00C93C49" w:rsidRPr="00C93C49" w14:paraId="40FEBDD7" w14:textId="77777777" w:rsidTr="00347614">
        <w:trPr>
          <w:trHeight w:val="244"/>
          <w:jc w:val="center"/>
        </w:trPr>
        <w:tc>
          <w:tcPr>
            <w:tcW w:w="2239" w:type="dxa"/>
            <w:shd w:val="clear" w:color="auto" w:fill="auto"/>
            <w:noWrap/>
            <w:vAlign w:val="bottom"/>
            <w:hideMark/>
          </w:tcPr>
          <w:p w14:paraId="28004153" w14:textId="77777777" w:rsidR="00C93C49" w:rsidRPr="00C93C49" w:rsidRDefault="00C93C49" w:rsidP="00C93C49">
            <w:pPr>
              <w:spacing w:after="0" w:line="20" w:lineRule="atLeast"/>
              <w:contextualSpacing/>
              <w:rPr>
                <w:rFonts w:ascii="Arial" w:eastAsia="Times New Roman" w:hAnsi="Arial" w:cs="Arial"/>
                <w:b/>
                <w:color w:val="000000"/>
                <w:sz w:val="24"/>
                <w:szCs w:val="24"/>
              </w:rPr>
            </w:pPr>
            <w:r w:rsidRPr="00C93C49">
              <w:rPr>
                <w:rFonts w:ascii="Arial" w:eastAsia="Times New Roman" w:hAnsi="Arial" w:cs="Arial"/>
                <w:b/>
                <w:color w:val="000000"/>
                <w:sz w:val="24"/>
                <w:szCs w:val="24"/>
              </w:rPr>
              <w:t>Duquesne</w:t>
            </w:r>
          </w:p>
        </w:tc>
        <w:tc>
          <w:tcPr>
            <w:tcW w:w="864" w:type="dxa"/>
            <w:shd w:val="clear" w:color="auto" w:fill="auto"/>
            <w:noWrap/>
            <w:vAlign w:val="center"/>
          </w:tcPr>
          <w:p w14:paraId="2CD6C341"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0</w:t>
            </w:r>
          </w:p>
        </w:tc>
        <w:tc>
          <w:tcPr>
            <w:tcW w:w="864" w:type="dxa"/>
            <w:shd w:val="clear" w:color="auto" w:fill="auto"/>
            <w:noWrap/>
            <w:vAlign w:val="center"/>
          </w:tcPr>
          <w:p w14:paraId="460D4DA2"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3</w:t>
            </w:r>
          </w:p>
        </w:tc>
        <w:tc>
          <w:tcPr>
            <w:tcW w:w="864" w:type="dxa"/>
            <w:shd w:val="clear" w:color="auto" w:fill="auto"/>
            <w:noWrap/>
            <w:vAlign w:val="center"/>
          </w:tcPr>
          <w:p w14:paraId="07682276"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72</w:t>
            </w:r>
          </w:p>
        </w:tc>
      </w:tr>
      <w:tr w:rsidR="00C93C49" w:rsidRPr="00C93C49" w14:paraId="1F4E2C9B" w14:textId="77777777" w:rsidTr="00347614">
        <w:trPr>
          <w:trHeight w:val="244"/>
          <w:jc w:val="center"/>
        </w:trPr>
        <w:tc>
          <w:tcPr>
            <w:tcW w:w="2239" w:type="dxa"/>
            <w:shd w:val="clear" w:color="auto" w:fill="auto"/>
            <w:noWrap/>
            <w:vAlign w:val="bottom"/>
            <w:hideMark/>
          </w:tcPr>
          <w:p w14:paraId="07C5CB0F" w14:textId="77777777" w:rsidR="00C93C49" w:rsidRPr="00C93C49" w:rsidRDefault="00C93C49" w:rsidP="00C93C49">
            <w:pPr>
              <w:spacing w:after="0" w:line="20" w:lineRule="atLeast"/>
              <w:contextualSpacing/>
              <w:rPr>
                <w:rFonts w:ascii="Arial" w:eastAsia="Times New Roman" w:hAnsi="Arial" w:cs="Arial"/>
                <w:b/>
                <w:color w:val="000000"/>
                <w:sz w:val="24"/>
                <w:szCs w:val="24"/>
              </w:rPr>
            </w:pPr>
            <w:r w:rsidRPr="00C93C49">
              <w:rPr>
                <w:rFonts w:ascii="Arial" w:eastAsia="Times New Roman" w:hAnsi="Arial" w:cs="Arial"/>
                <w:b/>
                <w:color w:val="000000"/>
                <w:sz w:val="24"/>
                <w:szCs w:val="24"/>
              </w:rPr>
              <w:t>PPL</w:t>
            </w:r>
          </w:p>
        </w:tc>
        <w:tc>
          <w:tcPr>
            <w:tcW w:w="864" w:type="dxa"/>
            <w:shd w:val="clear" w:color="auto" w:fill="auto"/>
            <w:noWrap/>
            <w:vAlign w:val="center"/>
          </w:tcPr>
          <w:p w14:paraId="4A0BABC8"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6</w:t>
            </w:r>
          </w:p>
        </w:tc>
        <w:tc>
          <w:tcPr>
            <w:tcW w:w="864" w:type="dxa"/>
            <w:shd w:val="clear" w:color="auto" w:fill="auto"/>
            <w:noWrap/>
            <w:vAlign w:val="center"/>
          </w:tcPr>
          <w:p w14:paraId="3CC9ED60"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22</w:t>
            </w:r>
          </w:p>
        </w:tc>
        <w:tc>
          <w:tcPr>
            <w:tcW w:w="864" w:type="dxa"/>
            <w:shd w:val="clear" w:color="auto" w:fill="auto"/>
            <w:noWrap/>
            <w:vAlign w:val="center"/>
          </w:tcPr>
          <w:p w14:paraId="29A44DEC"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6</w:t>
            </w:r>
          </w:p>
        </w:tc>
      </w:tr>
      <w:tr w:rsidR="00C93C49" w:rsidRPr="00C93C49" w14:paraId="1E2BE6ED" w14:textId="77777777" w:rsidTr="00347614">
        <w:trPr>
          <w:trHeight w:val="244"/>
          <w:jc w:val="center"/>
        </w:trPr>
        <w:tc>
          <w:tcPr>
            <w:tcW w:w="2239" w:type="dxa"/>
            <w:shd w:val="clear" w:color="auto" w:fill="auto"/>
            <w:noWrap/>
            <w:vAlign w:val="bottom"/>
            <w:hideMark/>
          </w:tcPr>
          <w:p w14:paraId="1511EFEE" w14:textId="77777777" w:rsidR="00C93C49" w:rsidRPr="00C93C49" w:rsidRDefault="00C93C49" w:rsidP="00C93C49">
            <w:pPr>
              <w:spacing w:after="0" w:line="20" w:lineRule="atLeast"/>
              <w:contextualSpacing/>
              <w:rPr>
                <w:rFonts w:ascii="Arial" w:eastAsia="Times New Roman" w:hAnsi="Arial" w:cs="Arial"/>
                <w:b/>
                <w:color w:val="000000"/>
                <w:sz w:val="24"/>
                <w:szCs w:val="24"/>
              </w:rPr>
            </w:pPr>
            <w:r w:rsidRPr="00C93C49">
              <w:rPr>
                <w:rFonts w:ascii="Arial" w:eastAsia="Times New Roman" w:hAnsi="Arial" w:cs="Arial"/>
                <w:b/>
                <w:color w:val="000000"/>
                <w:sz w:val="24"/>
                <w:szCs w:val="24"/>
              </w:rPr>
              <w:t>PECO</w:t>
            </w:r>
          </w:p>
        </w:tc>
        <w:tc>
          <w:tcPr>
            <w:tcW w:w="864" w:type="dxa"/>
            <w:shd w:val="clear" w:color="auto" w:fill="auto"/>
            <w:noWrap/>
            <w:vAlign w:val="center"/>
          </w:tcPr>
          <w:p w14:paraId="6C2E4B16"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0</w:t>
            </w:r>
          </w:p>
        </w:tc>
        <w:tc>
          <w:tcPr>
            <w:tcW w:w="864" w:type="dxa"/>
            <w:shd w:val="clear" w:color="auto" w:fill="auto"/>
            <w:noWrap/>
            <w:vAlign w:val="center"/>
          </w:tcPr>
          <w:p w14:paraId="47036BB9"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15</w:t>
            </w:r>
          </w:p>
        </w:tc>
        <w:tc>
          <w:tcPr>
            <w:tcW w:w="864" w:type="dxa"/>
            <w:shd w:val="clear" w:color="auto" w:fill="auto"/>
            <w:noWrap/>
            <w:vAlign w:val="center"/>
          </w:tcPr>
          <w:p w14:paraId="6948853A"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15</w:t>
            </w:r>
          </w:p>
        </w:tc>
      </w:tr>
      <w:tr w:rsidR="00C93C49" w:rsidRPr="00C93C49" w14:paraId="358C12F6" w14:textId="77777777" w:rsidTr="00347614">
        <w:trPr>
          <w:trHeight w:val="244"/>
          <w:jc w:val="center"/>
        </w:trPr>
        <w:tc>
          <w:tcPr>
            <w:tcW w:w="2239" w:type="dxa"/>
            <w:shd w:val="clear" w:color="auto" w:fill="auto"/>
            <w:noWrap/>
            <w:vAlign w:val="bottom"/>
            <w:hideMark/>
          </w:tcPr>
          <w:p w14:paraId="1546D84F" w14:textId="77777777" w:rsidR="00C93C49" w:rsidRPr="00C93C49" w:rsidRDefault="00C93C49" w:rsidP="00C93C49">
            <w:pPr>
              <w:spacing w:after="0" w:line="20" w:lineRule="atLeast"/>
              <w:contextualSpacing/>
              <w:rPr>
                <w:rFonts w:ascii="Arial" w:eastAsia="Times New Roman" w:hAnsi="Arial" w:cs="Arial"/>
                <w:b/>
                <w:color w:val="000000"/>
                <w:sz w:val="24"/>
                <w:szCs w:val="24"/>
              </w:rPr>
            </w:pPr>
            <w:r w:rsidRPr="00C93C49">
              <w:rPr>
                <w:rFonts w:ascii="Arial" w:eastAsia="Times New Roman" w:hAnsi="Arial" w:cs="Arial"/>
                <w:b/>
                <w:color w:val="000000"/>
                <w:sz w:val="24"/>
                <w:szCs w:val="24"/>
              </w:rPr>
              <w:t>UGI-Electric</w:t>
            </w:r>
          </w:p>
        </w:tc>
        <w:tc>
          <w:tcPr>
            <w:tcW w:w="864" w:type="dxa"/>
            <w:shd w:val="clear" w:color="auto" w:fill="auto"/>
            <w:noWrap/>
            <w:vAlign w:val="center"/>
          </w:tcPr>
          <w:p w14:paraId="59E509BE"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2</w:t>
            </w:r>
          </w:p>
        </w:tc>
        <w:tc>
          <w:tcPr>
            <w:tcW w:w="864" w:type="dxa"/>
            <w:shd w:val="clear" w:color="auto" w:fill="auto"/>
            <w:noWrap/>
            <w:vAlign w:val="center"/>
          </w:tcPr>
          <w:p w14:paraId="42B39CF5"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1</w:t>
            </w:r>
          </w:p>
        </w:tc>
        <w:tc>
          <w:tcPr>
            <w:tcW w:w="864" w:type="dxa"/>
            <w:shd w:val="clear" w:color="auto" w:fill="auto"/>
            <w:noWrap/>
            <w:vAlign w:val="center"/>
          </w:tcPr>
          <w:p w14:paraId="7F994229"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0</w:t>
            </w:r>
          </w:p>
        </w:tc>
      </w:tr>
      <w:tr w:rsidR="00C93C49" w:rsidRPr="00C93C49" w14:paraId="08D39BD4" w14:textId="77777777" w:rsidTr="00347614">
        <w:trPr>
          <w:trHeight w:val="244"/>
          <w:jc w:val="center"/>
        </w:trPr>
        <w:tc>
          <w:tcPr>
            <w:tcW w:w="2239" w:type="dxa"/>
            <w:shd w:val="clear" w:color="auto" w:fill="auto"/>
            <w:noWrap/>
            <w:vAlign w:val="bottom"/>
            <w:hideMark/>
          </w:tcPr>
          <w:p w14:paraId="59C028C7" w14:textId="77777777" w:rsidR="00C93C49" w:rsidRPr="00C93C49" w:rsidRDefault="00C93C49" w:rsidP="00C93C49">
            <w:pPr>
              <w:spacing w:after="0" w:line="20" w:lineRule="atLeast"/>
              <w:contextualSpacing/>
              <w:jc w:val="center"/>
              <w:rPr>
                <w:rFonts w:ascii="Arial" w:eastAsia="Times New Roman" w:hAnsi="Arial" w:cs="Arial"/>
                <w:b/>
                <w:color w:val="000000"/>
                <w:sz w:val="24"/>
                <w:szCs w:val="24"/>
              </w:rPr>
            </w:pPr>
            <w:r w:rsidRPr="00C93C49">
              <w:rPr>
                <w:rFonts w:ascii="Arial" w:eastAsia="Times New Roman" w:hAnsi="Arial" w:cs="Arial"/>
                <w:b/>
                <w:color w:val="000000"/>
                <w:sz w:val="24"/>
                <w:szCs w:val="24"/>
              </w:rPr>
              <w:t>Panel Average</w:t>
            </w:r>
          </w:p>
        </w:tc>
        <w:tc>
          <w:tcPr>
            <w:tcW w:w="864" w:type="dxa"/>
            <w:shd w:val="clear" w:color="auto" w:fill="auto"/>
            <w:noWrap/>
            <w:vAlign w:val="center"/>
          </w:tcPr>
          <w:p w14:paraId="3BE94A16"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2</w:t>
            </w:r>
          </w:p>
        </w:tc>
        <w:tc>
          <w:tcPr>
            <w:tcW w:w="864" w:type="dxa"/>
            <w:shd w:val="clear" w:color="auto" w:fill="auto"/>
            <w:noWrap/>
            <w:vAlign w:val="center"/>
          </w:tcPr>
          <w:p w14:paraId="7FCC0821"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10</w:t>
            </w:r>
          </w:p>
        </w:tc>
        <w:tc>
          <w:tcPr>
            <w:tcW w:w="864" w:type="dxa"/>
            <w:shd w:val="clear" w:color="auto" w:fill="auto"/>
            <w:noWrap/>
            <w:vAlign w:val="center"/>
          </w:tcPr>
          <w:p w14:paraId="5160C788"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23</w:t>
            </w:r>
          </w:p>
        </w:tc>
      </w:tr>
      <w:tr w:rsidR="00C93C49" w:rsidRPr="00C93C49" w14:paraId="10A2C663" w14:textId="77777777" w:rsidTr="00347614">
        <w:trPr>
          <w:trHeight w:val="244"/>
          <w:jc w:val="center"/>
        </w:trPr>
        <w:tc>
          <w:tcPr>
            <w:tcW w:w="2239" w:type="dxa"/>
            <w:shd w:val="clear" w:color="auto" w:fill="auto"/>
            <w:noWrap/>
            <w:vAlign w:val="bottom"/>
            <w:hideMark/>
          </w:tcPr>
          <w:p w14:paraId="390DCB50" w14:textId="77777777" w:rsidR="00C93C49" w:rsidRPr="00C93C49" w:rsidRDefault="00C93C49" w:rsidP="00C93C49">
            <w:pPr>
              <w:spacing w:after="0" w:line="20" w:lineRule="atLeast"/>
              <w:contextualSpacing/>
              <w:jc w:val="center"/>
              <w:rPr>
                <w:rFonts w:ascii="Arial" w:eastAsia="Times New Roman" w:hAnsi="Arial" w:cs="Arial"/>
                <w:b/>
                <w:color w:val="000000"/>
                <w:sz w:val="24"/>
                <w:szCs w:val="24"/>
              </w:rPr>
            </w:pPr>
          </w:p>
        </w:tc>
        <w:tc>
          <w:tcPr>
            <w:tcW w:w="864" w:type="dxa"/>
            <w:shd w:val="clear" w:color="auto" w:fill="auto"/>
            <w:noWrap/>
            <w:vAlign w:val="center"/>
          </w:tcPr>
          <w:p w14:paraId="613D97D9" w14:textId="77777777" w:rsidR="00C93C49" w:rsidRPr="00C93C49" w:rsidRDefault="00C93C49" w:rsidP="00C93C49">
            <w:pPr>
              <w:spacing w:after="0" w:line="20" w:lineRule="atLeast"/>
              <w:contextualSpacing/>
              <w:jc w:val="right"/>
              <w:rPr>
                <w:rFonts w:ascii="Arial" w:eastAsia="Times New Roman" w:hAnsi="Arial" w:cs="Arial"/>
                <w:sz w:val="24"/>
                <w:szCs w:val="24"/>
              </w:rPr>
            </w:pPr>
          </w:p>
        </w:tc>
        <w:tc>
          <w:tcPr>
            <w:tcW w:w="864" w:type="dxa"/>
            <w:shd w:val="clear" w:color="auto" w:fill="auto"/>
            <w:noWrap/>
            <w:vAlign w:val="center"/>
          </w:tcPr>
          <w:p w14:paraId="12F74D3B" w14:textId="77777777" w:rsidR="00C93C49" w:rsidRPr="00C93C49" w:rsidRDefault="00C93C49" w:rsidP="00C93C49">
            <w:pPr>
              <w:spacing w:after="0" w:line="20" w:lineRule="atLeast"/>
              <w:contextualSpacing/>
              <w:jc w:val="right"/>
              <w:rPr>
                <w:rFonts w:ascii="Arial" w:eastAsia="Times New Roman" w:hAnsi="Arial" w:cs="Arial"/>
                <w:sz w:val="24"/>
                <w:szCs w:val="24"/>
              </w:rPr>
            </w:pPr>
          </w:p>
        </w:tc>
        <w:tc>
          <w:tcPr>
            <w:tcW w:w="864" w:type="dxa"/>
            <w:shd w:val="clear" w:color="auto" w:fill="auto"/>
            <w:noWrap/>
            <w:vAlign w:val="center"/>
          </w:tcPr>
          <w:p w14:paraId="345A8B67" w14:textId="77777777" w:rsidR="00C93C49" w:rsidRPr="00C93C49" w:rsidRDefault="00C93C49" w:rsidP="00C93C49">
            <w:pPr>
              <w:spacing w:after="0" w:line="20" w:lineRule="atLeast"/>
              <w:contextualSpacing/>
              <w:jc w:val="right"/>
              <w:rPr>
                <w:rFonts w:ascii="Arial" w:eastAsia="Times New Roman" w:hAnsi="Arial" w:cs="Arial"/>
                <w:sz w:val="24"/>
                <w:szCs w:val="24"/>
              </w:rPr>
            </w:pPr>
          </w:p>
        </w:tc>
      </w:tr>
      <w:tr w:rsidR="00C93C49" w:rsidRPr="00C93C49" w14:paraId="1BFF6073" w14:textId="77777777" w:rsidTr="00347614">
        <w:trPr>
          <w:trHeight w:val="244"/>
          <w:jc w:val="center"/>
        </w:trPr>
        <w:tc>
          <w:tcPr>
            <w:tcW w:w="2239" w:type="dxa"/>
            <w:shd w:val="clear" w:color="auto" w:fill="auto"/>
            <w:noWrap/>
            <w:vAlign w:val="bottom"/>
            <w:hideMark/>
          </w:tcPr>
          <w:p w14:paraId="4FA180E2" w14:textId="77777777" w:rsidR="00C93C49" w:rsidRPr="00C93C49" w:rsidRDefault="00C93C49" w:rsidP="00C93C49">
            <w:pPr>
              <w:spacing w:after="0" w:line="20" w:lineRule="atLeast"/>
              <w:contextualSpacing/>
              <w:rPr>
                <w:rFonts w:ascii="Arial" w:eastAsia="Times New Roman" w:hAnsi="Arial" w:cs="Arial"/>
                <w:b/>
                <w:color w:val="000000"/>
                <w:sz w:val="24"/>
                <w:szCs w:val="24"/>
              </w:rPr>
            </w:pPr>
            <w:r w:rsidRPr="00C93C49">
              <w:rPr>
                <w:rFonts w:ascii="Arial" w:eastAsia="Times New Roman" w:hAnsi="Arial" w:cs="Arial"/>
                <w:b/>
                <w:color w:val="000000"/>
                <w:sz w:val="24"/>
                <w:szCs w:val="24"/>
              </w:rPr>
              <w:t>Met-Ed</w:t>
            </w:r>
          </w:p>
        </w:tc>
        <w:tc>
          <w:tcPr>
            <w:tcW w:w="864" w:type="dxa"/>
            <w:shd w:val="clear" w:color="auto" w:fill="auto"/>
            <w:noWrap/>
            <w:vAlign w:val="center"/>
          </w:tcPr>
          <w:p w14:paraId="01DA2B6F"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139</w:t>
            </w:r>
          </w:p>
        </w:tc>
        <w:tc>
          <w:tcPr>
            <w:tcW w:w="864" w:type="dxa"/>
            <w:shd w:val="clear" w:color="auto" w:fill="auto"/>
            <w:noWrap/>
            <w:vAlign w:val="center"/>
          </w:tcPr>
          <w:p w14:paraId="29C0DFD2"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23</w:t>
            </w:r>
          </w:p>
        </w:tc>
        <w:tc>
          <w:tcPr>
            <w:tcW w:w="864" w:type="dxa"/>
            <w:shd w:val="clear" w:color="auto" w:fill="auto"/>
            <w:noWrap/>
            <w:vAlign w:val="center"/>
          </w:tcPr>
          <w:p w14:paraId="6757525B"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1</w:t>
            </w:r>
          </w:p>
        </w:tc>
      </w:tr>
      <w:tr w:rsidR="00C93C49" w:rsidRPr="00C93C49" w14:paraId="474C9F08" w14:textId="77777777" w:rsidTr="00347614">
        <w:trPr>
          <w:trHeight w:val="244"/>
          <w:jc w:val="center"/>
        </w:trPr>
        <w:tc>
          <w:tcPr>
            <w:tcW w:w="2239" w:type="dxa"/>
            <w:shd w:val="clear" w:color="auto" w:fill="auto"/>
            <w:noWrap/>
            <w:vAlign w:val="bottom"/>
            <w:hideMark/>
          </w:tcPr>
          <w:p w14:paraId="2F23EB21" w14:textId="77777777" w:rsidR="00C93C49" w:rsidRPr="00C93C49" w:rsidRDefault="00C93C49" w:rsidP="00C93C49">
            <w:pPr>
              <w:spacing w:after="0" w:line="20" w:lineRule="atLeast"/>
              <w:contextualSpacing/>
              <w:rPr>
                <w:rFonts w:ascii="Arial" w:eastAsia="Times New Roman" w:hAnsi="Arial" w:cs="Arial"/>
                <w:b/>
                <w:color w:val="000000"/>
                <w:sz w:val="24"/>
                <w:szCs w:val="24"/>
              </w:rPr>
            </w:pPr>
            <w:r w:rsidRPr="00C93C49">
              <w:rPr>
                <w:rFonts w:ascii="Arial" w:eastAsia="Times New Roman" w:hAnsi="Arial" w:cs="Arial"/>
                <w:b/>
                <w:color w:val="000000"/>
                <w:sz w:val="24"/>
                <w:szCs w:val="24"/>
              </w:rPr>
              <w:t>Penelec</w:t>
            </w:r>
          </w:p>
        </w:tc>
        <w:tc>
          <w:tcPr>
            <w:tcW w:w="864" w:type="dxa"/>
            <w:shd w:val="clear" w:color="auto" w:fill="auto"/>
            <w:noWrap/>
            <w:vAlign w:val="center"/>
          </w:tcPr>
          <w:p w14:paraId="1000122E"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3</w:t>
            </w:r>
          </w:p>
        </w:tc>
        <w:tc>
          <w:tcPr>
            <w:tcW w:w="864" w:type="dxa"/>
            <w:shd w:val="clear" w:color="auto" w:fill="auto"/>
            <w:noWrap/>
            <w:vAlign w:val="center"/>
          </w:tcPr>
          <w:p w14:paraId="6DC6233C"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2</w:t>
            </w:r>
          </w:p>
        </w:tc>
        <w:tc>
          <w:tcPr>
            <w:tcW w:w="864" w:type="dxa"/>
            <w:shd w:val="clear" w:color="auto" w:fill="auto"/>
            <w:noWrap/>
            <w:vAlign w:val="center"/>
          </w:tcPr>
          <w:p w14:paraId="65429B4C"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0</w:t>
            </w:r>
          </w:p>
        </w:tc>
      </w:tr>
      <w:tr w:rsidR="00C93C49" w:rsidRPr="00C93C49" w14:paraId="62994044" w14:textId="77777777" w:rsidTr="00347614">
        <w:trPr>
          <w:trHeight w:val="244"/>
          <w:jc w:val="center"/>
        </w:trPr>
        <w:tc>
          <w:tcPr>
            <w:tcW w:w="2239" w:type="dxa"/>
            <w:shd w:val="clear" w:color="auto" w:fill="auto"/>
            <w:noWrap/>
            <w:vAlign w:val="bottom"/>
            <w:hideMark/>
          </w:tcPr>
          <w:p w14:paraId="617DC960" w14:textId="77777777" w:rsidR="00C93C49" w:rsidRPr="00C93C49" w:rsidRDefault="00C93C49" w:rsidP="00C93C49">
            <w:pPr>
              <w:spacing w:after="0" w:line="20" w:lineRule="atLeast"/>
              <w:contextualSpacing/>
              <w:rPr>
                <w:rFonts w:ascii="Arial" w:eastAsia="Times New Roman" w:hAnsi="Arial" w:cs="Arial"/>
                <w:b/>
                <w:color w:val="000000"/>
                <w:sz w:val="24"/>
                <w:szCs w:val="24"/>
              </w:rPr>
            </w:pPr>
            <w:r w:rsidRPr="00C93C49">
              <w:rPr>
                <w:rFonts w:ascii="Arial" w:eastAsia="Times New Roman" w:hAnsi="Arial" w:cs="Arial"/>
                <w:b/>
                <w:color w:val="000000"/>
                <w:sz w:val="24"/>
                <w:szCs w:val="24"/>
              </w:rPr>
              <w:t>Penn Power</w:t>
            </w:r>
          </w:p>
        </w:tc>
        <w:tc>
          <w:tcPr>
            <w:tcW w:w="864" w:type="dxa"/>
            <w:shd w:val="clear" w:color="auto" w:fill="auto"/>
            <w:noWrap/>
            <w:vAlign w:val="center"/>
          </w:tcPr>
          <w:p w14:paraId="31A34F0D"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7</w:t>
            </w:r>
          </w:p>
        </w:tc>
        <w:tc>
          <w:tcPr>
            <w:tcW w:w="864" w:type="dxa"/>
            <w:shd w:val="clear" w:color="auto" w:fill="auto"/>
            <w:noWrap/>
            <w:vAlign w:val="center"/>
          </w:tcPr>
          <w:p w14:paraId="611C8421"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5</w:t>
            </w:r>
          </w:p>
        </w:tc>
        <w:tc>
          <w:tcPr>
            <w:tcW w:w="864" w:type="dxa"/>
            <w:shd w:val="clear" w:color="auto" w:fill="auto"/>
            <w:noWrap/>
            <w:vAlign w:val="center"/>
          </w:tcPr>
          <w:p w14:paraId="1E05E119"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0</w:t>
            </w:r>
          </w:p>
        </w:tc>
      </w:tr>
      <w:tr w:rsidR="00C93C49" w:rsidRPr="00C93C49" w14:paraId="57604887" w14:textId="77777777" w:rsidTr="00347614">
        <w:trPr>
          <w:trHeight w:val="244"/>
          <w:jc w:val="center"/>
        </w:trPr>
        <w:tc>
          <w:tcPr>
            <w:tcW w:w="2239" w:type="dxa"/>
            <w:shd w:val="clear" w:color="auto" w:fill="auto"/>
            <w:noWrap/>
            <w:vAlign w:val="bottom"/>
            <w:hideMark/>
          </w:tcPr>
          <w:p w14:paraId="2C4355C8" w14:textId="77777777" w:rsidR="00C93C49" w:rsidRPr="00C93C49" w:rsidRDefault="00C93C49" w:rsidP="00C93C49">
            <w:pPr>
              <w:spacing w:after="0" w:line="20" w:lineRule="atLeast"/>
              <w:contextualSpacing/>
              <w:rPr>
                <w:rFonts w:ascii="Arial" w:eastAsia="Times New Roman" w:hAnsi="Arial" w:cs="Arial"/>
                <w:b/>
                <w:color w:val="000000"/>
                <w:sz w:val="24"/>
                <w:szCs w:val="24"/>
              </w:rPr>
            </w:pPr>
            <w:r w:rsidRPr="00C93C49">
              <w:rPr>
                <w:rFonts w:ascii="Arial" w:eastAsia="Times New Roman" w:hAnsi="Arial" w:cs="Arial"/>
                <w:b/>
                <w:color w:val="000000"/>
                <w:sz w:val="24"/>
                <w:szCs w:val="24"/>
              </w:rPr>
              <w:t>West Penn Power</w:t>
            </w:r>
          </w:p>
        </w:tc>
        <w:tc>
          <w:tcPr>
            <w:tcW w:w="864" w:type="dxa"/>
            <w:shd w:val="clear" w:color="auto" w:fill="auto"/>
            <w:noWrap/>
            <w:vAlign w:val="center"/>
          </w:tcPr>
          <w:p w14:paraId="2E3EB4C5"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52</w:t>
            </w:r>
          </w:p>
        </w:tc>
        <w:tc>
          <w:tcPr>
            <w:tcW w:w="864" w:type="dxa"/>
            <w:shd w:val="clear" w:color="auto" w:fill="auto"/>
            <w:noWrap/>
            <w:vAlign w:val="center"/>
          </w:tcPr>
          <w:p w14:paraId="36A9BE9C"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23</w:t>
            </w:r>
          </w:p>
        </w:tc>
        <w:tc>
          <w:tcPr>
            <w:tcW w:w="864" w:type="dxa"/>
            <w:shd w:val="clear" w:color="auto" w:fill="auto"/>
            <w:noWrap/>
            <w:vAlign w:val="center"/>
          </w:tcPr>
          <w:p w14:paraId="290246BB" w14:textId="77777777" w:rsidR="00C93C49" w:rsidRPr="00C93C49" w:rsidRDefault="00C93C49" w:rsidP="00C93C49">
            <w:pPr>
              <w:spacing w:after="0" w:line="20" w:lineRule="atLeast"/>
              <w:contextualSpacing/>
              <w:jc w:val="right"/>
              <w:rPr>
                <w:rFonts w:ascii="Arial" w:eastAsia="Times New Roman" w:hAnsi="Arial" w:cs="Arial"/>
                <w:color w:val="000000"/>
                <w:sz w:val="24"/>
                <w:szCs w:val="24"/>
              </w:rPr>
            </w:pPr>
            <w:r w:rsidRPr="00C93C49">
              <w:rPr>
                <w:rFonts w:ascii="Arial" w:eastAsia="Times New Roman" w:hAnsi="Arial" w:cs="Arial"/>
                <w:color w:val="000000"/>
                <w:sz w:val="24"/>
                <w:szCs w:val="24"/>
              </w:rPr>
              <w:t>6</w:t>
            </w:r>
          </w:p>
        </w:tc>
      </w:tr>
    </w:tbl>
    <w:p w14:paraId="23CB3FA8" w14:textId="77777777" w:rsidR="00C93C49" w:rsidRPr="00C93C49" w:rsidRDefault="00C93C49" w:rsidP="00C93C49">
      <w:pPr>
        <w:widowControl w:val="0"/>
        <w:spacing w:after="0" w:line="20" w:lineRule="atLeast"/>
        <w:ind w:left="1980" w:firstLine="270"/>
        <w:contextualSpacing/>
        <w:rPr>
          <w:rFonts w:ascii="Arial" w:eastAsia="Times New Roman" w:hAnsi="Arial" w:cs="Arial"/>
          <w:snapToGrid w:val="0"/>
          <w:sz w:val="18"/>
          <w:szCs w:val="18"/>
        </w:rPr>
      </w:pPr>
      <w:r w:rsidRPr="00C93C49">
        <w:rPr>
          <w:rFonts w:ascii="Arial" w:eastAsia="Times New Roman" w:hAnsi="Arial" w:cs="Arial"/>
          <w:snapToGrid w:val="0"/>
          <w:sz w:val="18"/>
          <w:szCs w:val="18"/>
        </w:rPr>
        <w:t>NA – Not Applicable</w:t>
      </w:r>
    </w:p>
    <w:p w14:paraId="4755D6FD" w14:textId="77777777" w:rsidR="00C93C49" w:rsidRPr="00C93C49" w:rsidRDefault="00C93C49" w:rsidP="00C93C49">
      <w:pPr>
        <w:widowControl w:val="0"/>
        <w:spacing w:after="0" w:line="20" w:lineRule="atLeast"/>
        <w:ind w:left="2970" w:right="2250" w:hanging="720"/>
        <w:contextualSpacing/>
        <w:rPr>
          <w:rFonts w:ascii="Arial" w:eastAsia="Times New Roman" w:hAnsi="Arial" w:cs="Arial"/>
          <w:snapToGrid w:val="0"/>
          <w:sz w:val="18"/>
          <w:szCs w:val="18"/>
        </w:rPr>
      </w:pPr>
      <w:r w:rsidRPr="00C93C49">
        <w:rPr>
          <w:rFonts w:ascii="Arial" w:eastAsia="Times New Roman" w:hAnsi="Arial" w:cs="Arial"/>
          <w:snapToGrid w:val="0"/>
          <w:sz w:val="18"/>
          <w:szCs w:val="18"/>
        </w:rPr>
        <w:t>Source:  2014-2016 PUC Customer Service Performance Reports and Auditor Analysis</w:t>
      </w:r>
    </w:p>
    <w:p w14:paraId="43258246" w14:textId="77777777" w:rsidR="00C93C49" w:rsidRPr="00C93C49" w:rsidRDefault="00C93C49" w:rsidP="00C93C49">
      <w:pPr>
        <w:autoSpaceDE w:val="0"/>
        <w:autoSpaceDN w:val="0"/>
        <w:adjustRightInd w:val="0"/>
        <w:spacing w:after="0" w:line="20" w:lineRule="atLeast"/>
        <w:contextualSpacing/>
        <w:rPr>
          <w:rFonts w:ascii="Arial" w:eastAsia="Times New Roman" w:hAnsi="Arial" w:cs="Arial"/>
          <w:snapToGrid w:val="0"/>
          <w:sz w:val="24"/>
          <w:szCs w:val="24"/>
        </w:rPr>
      </w:pPr>
    </w:p>
    <w:p w14:paraId="11039385" w14:textId="77777777" w:rsidR="00C93C49" w:rsidRPr="00C93C49" w:rsidRDefault="00C93C49" w:rsidP="00C93C49">
      <w:pPr>
        <w:widowControl w:val="0"/>
        <w:spacing w:after="0" w:line="20" w:lineRule="atLeast"/>
        <w:contextualSpacing/>
        <w:rPr>
          <w:rFonts w:ascii="Arial" w:eastAsia="Times New Roman" w:hAnsi="Arial" w:cs="Arial"/>
          <w:snapToGrid w:val="0"/>
          <w:sz w:val="24"/>
          <w:szCs w:val="24"/>
        </w:rPr>
      </w:pPr>
    </w:p>
    <w:p w14:paraId="513F11DC" w14:textId="77777777" w:rsidR="00C93C49" w:rsidRPr="00C93C49" w:rsidRDefault="00C93C49" w:rsidP="00C93C49">
      <w:pPr>
        <w:widowControl w:val="0"/>
        <w:spacing w:after="0" w:line="20" w:lineRule="atLeast"/>
        <w:contextualSpacing/>
        <w:rPr>
          <w:rFonts w:ascii="Arial" w:eastAsia="Times New Roman" w:hAnsi="Arial" w:cs="Arial"/>
          <w:b/>
          <w:color w:val="000000"/>
          <w:sz w:val="24"/>
          <w:szCs w:val="24"/>
        </w:rPr>
      </w:pPr>
      <w:r w:rsidRPr="00C93C49">
        <w:rPr>
          <w:rFonts w:ascii="Arial" w:eastAsia="Times New Roman" w:hAnsi="Arial" w:cs="Times New Roman"/>
          <w:b/>
          <w:sz w:val="24"/>
          <w:szCs w:val="24"/>
          <w:u w:val="single"/>
        </w:rPr>
        <w:t>Follow-up Recommendation</w:t>
      </w:r>
      <w:r w:rsidRPr="00C93C49">
        <w:rPr>
          <w:rFonts w:ascii="Arial" w:eastAsia="Times New Roman" w:hAnsi="Arial" w:cs="Times New Roman"/>
          <w:b/>
          <w:sz w:val="24"/>
          <w:szCs w:val="24"/>
        </w:rPr>
        <w:t xml:space="preserve"> – </w:t>
      </w:r>
      <w:r w:rsidRPr="00C93C49">
        <w:rPr>
          <w:rFonts w:ascii="Arial" w:hAnsi="Arial" w:cs="Arial"/>
          <w:b/>
          <w:sz w:val="24"/>
          <w:szCs w:val="24"/>
        </w:rPr>
        <w:t xml:space="preserve">Continue to decrease the number of meters not read in six and twelve months to be in full compliance with </w:t>
      </w:r>
      <w:r w:rsidRPr="00C93C49">
        <w:rPr>
          <w:rFonts w:ascii="Arial" w:eastAsia="Times New Roman" w:hAnsi="Arial" w:cs="Arial"/>
          <w:b/>
          <w:color w:val="000000"/>
          <w:sz w:val="24"/>
          <w:szCs w:val="24"/>
        </w:rPr>
        <w:t>§ 56.12.</w:t>
      </w:r>
    </w:p>
    <w:p w14:paraId="7B9CF5C4" w14:textId="77777777" w:rsidR="00C93C49" w:rsidRPr="00C93C49" w:rsidRDefault="00C93C49" w:rsidP="00C93C49">
      <w:pPr>
        <w:widowControl w:val="0"/>
        <w:spacing w:after="0" w:line="20" w:lineRule="atLeast"/>
        <w:contextualSpacing/>
        <w:rPr>
          <w:rFonts w:ascii="Arial" w:eastAsia="Times New Roman" w:hAnsi="Arial" w:cs="Arial"/>
          <w:b/>
          <w:color w:val="000000"/>
          <w:sz w:val="24"/>
          <w:szCs w:val="24"/>
        </w:rPr>
      </w:pPr>
    </w:p>
    <w:p w14:paraId="4F8D6008" w14:textId="77777777" w:rsidR="00C93C49" w:rsidRPr="00C93C49" w:rsidRDefault="00C93C49" w:rsidP="00C93C49">
      <w:pPr>
        <w:spacing w:after="0" w:line="20" w:lineRule="atLeast"/>
        <w:contextualSpacing/>
        <w:jc w:val="center"/>
        <w:rPr>
          <w:rFonts w:ascii="Arial" w:eastAsia="Times New Roman" w:hAnsi="Arial" w:cs="Times New Roman"/>
          <w:b/>
          <w:sz w:val="24"/>
          <w:szCs w:val="24"/>
          <w:u w:val="single"/>
        </w:rPr>
      </w:pPr>
    </w:p>
    <w:p w14:paraId="7DA9E83F" w14:textId="77777777" w:rsidR="00C93C49" w:rsidRPr="00C93C49" w:rsidRDefault="00C93C49" w:rsidP="00C93C49">
      <w:pPr>
        <w:rPr>
          <w:rFonts w:ascii="Arial" w:eastAsia="Times New Roman" w:hAnsi="Arial" w:cs="Times New Roman"/>
          <w:b/>
          <w:sz w:val="24"/>
          <w:szCs w:val="24"/>
          <w:u w:val="single"/>
        </w:rPr>
      </w:pPr>
      <w:r w:rsidRPr="00C93C49">
        <w:rPr>
          <w:rFonts w:ascii="Arial" w:eastAsia="Times New Roman" w:hAnsi="Arial" w:cs="Times New Roman"/>
          <w:b/>
          <w:sz w:val="24"/>
          <w:szCs w:val="24"/>
          <w:u w:val="single"/>
        </w:rPr>
        <w:br w:type="page"/>
      </w:r>
    </w:p>
    <w:p w14:paraId="7A3FB4D1" w14:textId="77777777" w:rsidR="00C93C49" w:rsidRPr="00C93C49" w:rsidRDefault="00C93C49" w:rsidP="00C93C49">
      <w:pPr>
        <w:spacing w:after="0" w:line="20" w:lineRule="atLeast"/>
        <w:contextualSpacing/>
        <w:jc w:val="center"/>
        <w:rPr>
          <w:rFonts w:ascii="Arial" w:eastAsia="Times New Roman" w:hAnsi="Arial" w:cs="Times New Roman"/>
          <w:b/>
          <w:sz w:val="24"/>
          <w:szCs w:val="24"/>
          <w:u w:val="single"/>
        </w:rPr>
      </w:pPr>
      <w:r w:rsidRPr="00C93C49">
        <w:rPr>
          <w:rFonts w:ascii="Arial" w:eastAsia="Times New Roman" w:hAnsi="Arial" w:cs="Times New Roman"/>
          <w:b/>
          <w:sz w:val="24"/>
          <w:szCs w:val="24"/>
          <w:u w:val="single"/>
        </w:rPr>
        <w:t>Finding No. X-3</w:t>
      </w:r>
    </w:p>
    <w:p w14:paraId="7908A08C" w14:textId="77777777" w:rsidR="00C93C49" w:rsidRPr="00C93C49" w:rsidRDefault="00C93C49" w:rsidP="00C93C49">
      <w:pPr>
        <w:widowControl w:val="0"/>
        <w:spacing w:after="0" w:line="20" w:lineRule="atLeast"/>
        <w:contextualSpacing/>
        <w:rPr>
          <w:rFonts w:ascii="Arial" w:eastAsia="Times New Roman" w:hAnsi="Arial" w:cs="Arial"/>
          <w:b/>
          <w:color w:val="000000"/>
          <w:sz w:val="24"/>
          <w:szCs w:val="24"/>
        </w:rPr>
      </w:pPr>
    </w:p>
    <w:p w14:paraId="5B0406FB" w14:textId="77777777" w:rsidR="00C93C49" w:rsidRPr="00C93C49" w:rsidRDefault="00C93C49" w:rsidP="00C93C49">
      <w:pPr>
        <w:autoSpaceDE w:val="0"/>
        <w:autoSpaceDN w:val="0"/>
        <w:adjustRightInd w:val="0"/>
        <w:spacing w:after="0" w:line="20" w:lineRule="atLeast"/>
        <w:contextualSpacing/>
        <w:rPr>
          <w:rFonts w:ascii="Arial" w:hAnsi="Arial" w:cs="Arial"/>
          <w:sz w:val="24"/>
          <w:szCs w:val="24"/>
        </w:rPr>
      </w:pPr>
      <w:r w:rsidRPr="00C93C49">
        <w:rPr>
          <w:rFonts w:ascii="Arial" w:hAnsi="Arial" w:cs="Arial"/>
          <w:b/>
          <w:sz w:val="24"/>
          <w:szCs w:val="24"/>
          <w:u w:val="single"/>
        </w:rPr>
        <w:t>Prior Situation</w:t>
      </w:r>
      <w:r w:rsidRPr="00C93C49">
        <w:rPr>
          <w:rFonts w:ascii="Arial" w:hAnsi="Arial" w:cs="Arial"/>
          <w:sz w:val="24"/>
          <w:szCs w:val="24"/>
        </w:rPr>
        <w:t xml:space="preserve"> – </w:t>
      </w:r>
      <w:r w:rsidRPr="00C93C49">
        <w:rPr>
          <w:rFonts w:ascii="Arial" w:eastAsia="Times New Roman" w:hAnsi="Arial" w:cs="Times New Roman"/>
          <w:sz w:val="24"/>
          <w:szCs w:val="24"/>
        </w:rPr>
        <w:t xml:space="preserve">Billing reversals had been higher in recent years at each of the </w:t>
      </w:r>
      <w:r w:rsidR="00DC3D9B">
        <w:rPr>
          <w:rFonts w:ascii="Arial" w:eastAsia="Times New Roman" w:hAnsi="Arial" w:cs="Times New Roman"/>
          <w:sz w:val="24"/>
          <w:szCs w:val="24"/>
        </w:rPr>
        <w:t>FE-PA companies</w:t>
      </w:r>
      <w:r w:rsidRPr="00C93C49">
        <w:rPr>
          <w:rFonts w:ascii="Arial" w:eastAsia="Times New Roman" w:hAnsi="Arial" w:cs="Times New Roman"/>
          <w:sz w:val="24"/>
          <w:szCs w:val="24"/>
        </w:rPr>
        <w:t>, except for Penn Power.  A billing reversal was used if an adjustment was required to be performed on a customer’s account in which bills would be voided and new bills issued.  Billing reversals were shown as a percentage of total bills.  The percentages of total bills that required billing reversals are shown in Exhibit X-7.</w:t>
      </w:r>
      <w:r w:rsidRPr="00C93C49">
        <w:rPr>
          <w:rFonts w:ascii="Arial" w:hAnsi="Arial" w:cs="Arial"/>
          <w:sz w:val="24"/>
          <w:szCs w:val="24"/>
        </w:rPr>
        <w:t xml:space="preserve">  </w:t>
      </w:r>
    </w:p>
    <w:p w14:paraId="448CA938"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0"/>
        </w:rPr>
      </w:pPr>
    </w:p>
    <w:p w14:paraId="6344A19C" w14:textId="77777777" w:rsidR="00C93C49" w:rsidRPr="00C93C49" w:rsidRDefault="00C93C49" w:rsidP="00C93C49">
      <w:pPr>
        <w:widowControl w:val="0"/>
        <w:spacing w:after="0" w:line="20" w:lineRule="atLeast"/>
        <w:contextualSpacing/>
        <w:jc w:val="center"/>
        <w:rPr>
          <w:rFonts w:ascii="Arial" w:eastAsia="Times New Roman" w:hAnsi="Arial" w:cs="Arial"/>
          <w:b/>
          <w:sz w:val="24"/>
          <w:szCs w:val="20"/>
        </w:rPr>
      </w:pPr>
      <w:r w:rsidRPr="00C93C49">
        <w:rPr>
          <w:rFonts w:ascii="Arial" w:eastAsia="Times New Roman" w:hAnsi="Arial" w:cs="Arial"/>
          <w:b/>
          <w:snapToGrid w:val="0"/>
          <w:sz w:val="24"/>
          <w:szCs w:val="20"/>
        </w:rPr>
        <w:t xml:space="preserve">Exhibit X – 7 </w:t>
      </w:r>
    </w:p>
    <w:p w14:paraId="5AF8B676" w14:textId="77777777" w:rsidR="00C93C49" w:rsidRPr="00C93C49" w:rsidRDefault="00C93C49" w:rsidP="00C93C49">
      <w:pPr>
        <w:spacing w:after="0" w:line="240" w:lineRule="auto"/>
        <w:jc w:val="center"/>
        <w:rPr>
          <w:rFonts w:ascii="Arial" w:eastAsia="Times New Roman" w:hAnsi="Arial" w:cs="Arial"/>
          <w:b/>
          <w:sz w:val="24"/>
          <w:szCs w:val="24"/>
        </w:rPr>
      </w:pPr>
      <w:r w:rsidRPr="00C93C49">
        <w:rPr>
          <w:rFonts w:ascii="Arial" w:eastAsia="Calibri" w:hAnsi="Arial" w:cs="Arial"/>
          <w:b/>
          <w:sz w:val="24"/>
          <w:szCs w:val="24"/>
        </w:rPr>
        <w:t>FirstEnergy Pennsylvania Companies</w:t>
      </w:r>
    </w:p>
    <w:p w14:paraId="127CB013"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Billing Reversal Percentages</w:t>
      </w:r>
    </w:p>
    <w:p w14:paraId="547B8F42"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For the Years 2009 through 2013</w:t>
      </w:r>
    </w:p>
    <w:p w14:paraId="2333C652" w14:textId="77777777" w:rsidR="00C93C49" w:rsidRPr="00C93C49" w:rsidRDefault="00C93C49" w:rsidP="00C93C49">
      <w:pPr>
        <w:autoSpaceDE w:val="0"/>
        <w:autoSpaceDN w:val="0"/>
        <w:adjustRightInd w:val="0"/>
        <w:spacing w:after="0" w:line="20" w:lineRule="atLeast"/>
        <w:contextualSpacing/>
        <w:jc w:val="center"/>
        <w:rPr>
          <w:rFonts w:ascii="Arial" w:eastAsia="Times New Roman" w:hAnsi="Arial" w:cs="Arial"/>
          <w:color w:val="000000"/>
          <w:sz w:val="8"/>
          <w:szCs w:val="8"/>
        </w:rPr>
      </w:pPr>
    </w:p>
    <w:tbl>
      <w:tblPr>
        <w:tblW w:w="8528" w:type="dxa"/>
        <w:jc w:val="center"/>
        <w:tblLook w:val="04A0" w:firstRow="1" w:lastRow="0" w:firstColumn="1" w:lastColumn="0" w:noHBand="0" w:noVBand="1"/>
      </w:tblPr>
      <w:tblGrid>
        <w:gridCol w:w="2308"/>
        <w:gridCol w:w="1244"/>
        <w:gridCol w:w="1244"/>
        <w:gridCol w:w="1244"/>
        <w:gridCol w:w="1244"/>
        <w:gridCol w:w="1244"/>
      </w:tblGrid>
      <w:tr w:rsidR="00C93C49" w:rsidRPr="00C93C49" w14:paraId="38D10A7B" w14:textId="77777777" w:rsidTr="00347614">
        <w:trPr>
          <w:trHeight w:val="388"/>
          <w:jc w:val="center"/>
        </w:trPr>
        <w:tc>
          <w:tcPr>
            <w:tcW w:w="2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C0E7C" w14:textId="77777777" w:rsidR="00C93C49" w:rsidRPr="00C93C49" w:rsidRDefault="00C93C49" w:rsidP="00C93C49">
            <w:pPr>
              <w:spacing w:after="0" w:line="20" w:lineRule="atLeast"/>
              <w:contextualSpacing/>
              <w:rPr>
                <w:rFonts w:ascii="Arial" w:eastAsia="Times New Roman" w:hAnsi="Arial" w:cs="Arial"/>
                <w:color w:val="000000"/>
                <w:sz w:val="24"/>
                <w:szCs w:val="24"/>
              </w:rPr>
            </w:pPr>
            <w:r w:rsidRPr="00C93C49">
              <w:rPr>
                <w:rFonts w:ascii="Arial" w:eastAsia="Times New Roman" w:hAnsi="Arial" w:cs="Arial"/>
                <w:color w:val="000000"/>
                <w:sz w:val="24"/>
                <w:szCs w:val="24"/>
              </w:rPr>
              <w:t> </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14:paraId="44D46498" w14:textId="77777777" w:rsidR="00C93C49" w:rsidRPr="00C93C49" w:rsidRDefault="00C93C49" w:rsidP="00C93C49">
            <w:pPr>
              <w:spacing w:after="0" w:line="20" w:lineRule="atLeast"/>
              <w:contextualSpacing/>
              <w:jc w:val="center"/>
              <w:rPr>
                <w:rFonts w:ascii="Arial" w:eastAsia="Times New Roman" w:hAnsi="Arial" w:cs="Arial"/>
                <w:b/>
                <w:color w:val="000000"/>
                <w:sz w:val="24"/>
                <w:szCs w:val="24"/>
              </w:rPr>
            </w:pPr>
            <w:r w:rsidRPr="00C93C49">
              <w:rPr>
                <w:rFonts w:ascii="Arial" w:eastAsia="Times New Roman" w:hAnsi="Arial" w:cs="Arial"/>
                <w:b/>
                <w:color w:val="000000"/>
                <w:sz w:val="24"/>
                <w:szCs w:val="24"/>
              </w:rPr>
              <w:t>2009</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14:paraId="2323E1E1" w14:textId="77777777" w:rsidR="00C93C49" w:rsidRPr="00C93C49" w:rsidRDefault="00C93C49" w:rsidP="00C93C49">
            <w:pPr>
              <w:spacing w:after="0" w:line="20" w:lineRule="atLeast"/>
              <w:contextualSpacing/>
              <w:jc w:val="center"/>
              <w:rPr>
                <w:rFonts w:ascii="Arial" w:eastAsia="Times New Roman" w:hAnsi="Arial" w:cs="Arial"/>
                <w:b/>
                <w:color w:val="000000"/>
                <w:sz w:val="24"/>
                <w:szCs w:val="24"/>
              </w:rPr>
            </w:pPr>
            <w:r w:rsidRPr="00C93C49">
              <w:rPr>
                <w:rFonts w:ascii="Arial" w:eastAsia="Times New Roman" w:hAnsi="Arial" w:cs="Arial"/>
                <w:b/>
                <w:color w:val="000000"/>
                <w:sz w:val="24"/>
                <w:szCs w:val="24"/>
              </w:rPr>
              <w:t>2010</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14:paraId="329D333B" w14:textId="77777777" w:rsidR="00C93C49" w:rsidRPr="00C93C49" w:rsidRDefault="00C93C49" w:rsidP="00C93C49">
            <w:pPr>
              <w:spacing w:after="0" w:line="20" w:lineRule="atLeast"/>
              <w:contextualSpacing/>
              <w:jc w:val="center"/>
              <w:rPr>
                <w:rFonts w:ascii="Arial" w:eastAsia="Times New Roman" w:hAnsi="Arial" w:cs="Arial"/>
                <w:b/>
                <w:color w:val="000000"/>
                <w:sz w:val="24"/>
                <w:szCs w:val="24"/>
              </w:rPr>
            </w:pPr>
            <w:r w:rsidRPr="00C93C49">
              <w:rPr>
                <w:rFonts w:ascii="Arial" w:eastAsia="Times New Roman" w:hAnsi="Arial" w:cs="Arial"/>
                <w:b/>
                <w:color w:val="000000"/>
                <w:sz w:val="24"/>
                <w:szCs w:val="24"/>
              </w:rPr>
              <w:t>2011</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14:paraId="53C324A4" w14:textId="77777777" w:rsidR="00C93C49" w:rsidRPr="00C93C49" w:rsidRDefault="00C93C49" w:rsidP="00C93C49">
            <w:pPr>
              <w:spacing w:after="0" w:line="20" w:lineRule="atLeast"/>
              <w:contextualSpacing/>
              <w:jc w:val="center"/>
              <w:rPr>
                <w:rFonts w:ascii="Arial" w:eastAsia="Times New Roman" w:hAnsi="Arial" w:cs="Arial"/>
                <w:b/>
                <w:color w:val="000000"/>
                <w:sz w:val="24"/>
                <w:szCs w:val="24"/>
              </w:rPr>
            </w:pPr>
            <w:r w:rsidRPr="00C93C49">
              <w:rPr>
                <w:rFonts w:ascii="Arial" w:eastAsia="Times New Roman" w:hAnsi="Arial" w:cs="Arial"/>
                <w:b/>
                <w:color w:val="000000"/>
                <w:sz w:val="24"/>
                <w:szCs w:val="24"/>
              </w:rPr>
              <w:t>2012</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14:paraId="006188FD" w14:textId="77777777" w:rsidR="00C93C49" w:rsidRPr="00C93C49" w:rsidRDefault="00C93C49" w:rsidP="00C93C49">
            <w:pPr>
              <w:spacing w:after="0" w:line="20" w:lineRule="atLeast"/>
              <w:contextualSpacing/>
              <w:jc w:val="center"/>
              <w:rPr>
                <w:rFonts w:ascii="Arial" w:eastAsia="Times New Roman" w:hAnsi="Arial" w:cs="Arial"/>
                <w:b/>
                <w:color w:val="000000"/>
                <w:sz w:val="24"/>
                <w:szCs w:val="24"/>
              </w:rPr>
            </w:pPr>
            <w:r w:rsidRPr="00C93C49">
              <w:rPr>
                <w:rFonts w:ascii="Arial" w:eastAsia="Times New Roman" w:hAnsi="Arial" w:cs="Arial"/>
                <w:b/>
                <w:color w:val="000000"/>
                <w:sz w:val="24"/>
                <w:szCs w:val="24"/>
              </w:rPr>
              <w:t>2013</w:t>
            </w:r>
          </w:p>
        </w:tc>
      </w:tr>
      <w:tr w:rsidR="00C93C49" w:rsidRPr="00C93C49" w14:paraId="353091C2" w14:textId="77777777" w:rsidTr="00347614">
        <w:trPr>
          <w:trHeight w:val="388"/>
          <w:jc w:val="center"/>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14:paraId="468BEFD8" w14:textId="77777777" w:rsidR="00C93C49" w:rsidRPr="00C93C49" w:rsidRDefault="00C93C49" w:rsidP="00C93C49">
            <w:pPr>
              <w:spacing w:after="0" w:line="20" w:lineRule="atLeast"/>
              <w:contextualSpacing/>
              <w:rPr>
                <w:rFonts w:ascii="Arial" w:eastAsia="Times New Roman" w:hAnsi="Arial" w:cs="Arial"/>
                <w:b/>
                <w:color w:val="000000"/>
                <w:sz w:val="24"/>
                <w:szCs w:val="24"/>
              </w:rPr>
            </w:pPr>
            <w:r w:rsidRPr="00C93C49">
              <w:rPr>
                <w:rFonts w:ascii="Arial" w:eastAsia="Times New Roman" w:hAnsi="Arial" w:cs="Arial"/>
                <w:b/>
                <w:color w:val="000000"/>
                <w:sz w:val="24"/>
                <w:szCs w:val="24"/>
              </w:rPr>
              <w:t>Met-Ed</w:t>
            </w:r>
          </w:p>
        </w:tc>
        <w:tc>
          <w:tcPr>
            <w:tcW w:w="1244" w:type="dxa"/>
            <w:tcBorders>
              <w:top w:val="nil"/>
              <w:left w:val="nil"/>
              <w:bottom w:val="single" w:sz="4" w:space="0" w:color="auto"/>
              <w:right w:val="single" w:sz="4" w:space="0" w:color="auto"/>
            </w:tcBorders>
            <w:shd w:val="clear" w:color="auto" w:fill="auto"/>
            <w:noWrap/>
            <w:vAlign w:val="bottom"/>
            <w:hideMark/>
          </w:tcPr>
          <w:p w14:paraId="017D0D8F" w14:textId="77777777" w:rsidR="00C93C49" w:rsidRPr="00C93C49" w:rsidRDefault="00C93C49" w:rsidP="00C93C49">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1.61%</w:t>
            </w:r>
          </w:p>
        </w:tc>
        <w:tc>
          <w:tcPr>
            <w:tcW w:w="1244" w:type="dxa"/>
            <w:tcBorders>
              <w:top w:val="nil"/>
              <w:left w:val="nil"/>
              <w:bottom w:val="single" w:sz="4" w:space="0" w:color="auto"/>
              <w:right w:val="single" w:sz="4" w:space="0" w:color="auto"/>
            </w:tcBorders>
            <w:shd w:val="clear" w:color="auto" w:fill="auto"/>
            <w:noWrap/>
            <w:vAlign w:val="bottom"/>
            <w:hideMark/>
          </w:tcPr>
          <w:p w14:paraId="357DE37E" w14:textId="77777777" w:rsidR="00C93C49" w:rsidRPr="00C93C49" w:rsidRDefault="00C93C49" w:rsidP="00C93C49">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2.02%</w:t>
            </w:r>
          </w:p>
        </w:tc>
        <w:tc>
          <w:tcPr>
            <w:tcW w:w="1244" w:type="dxa"/>
            <w:tcBorders>
              <w:top w:val="nil"/>
              <w:left w:val="nil"/>
              <w:bottom w:val="single" w:sz="4" w:space="0" w:color="auto"/>
              <w:right w:val="single" w:sz="4" w:space="0" w:color="auto"/>
            </w:tcBorders>
            <w:shd w:val="clear" w:color="auto" w:fill="auto"/>
            <w:noWrap/>
            <w:vAlign w:val="bottom"/>
            <w:hideMark/>
          </w:tcPr>
          <w:p w14:paraId="398D299F" w14:textId="77777777" w:rsidR="00C93C49" w:rsidRPr="00C93C49" w:rsidRDefault="00C93C49" w:rsidP="00C93C49">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4.17%</w:t>
            </w:r>
          </w:p>
        </w:tc>
        <w:tc>
          <w:tcPr>
            <w:tcW w:w="1244" w:type="dxa"/>
            <w:tcBorders>
              <w:top w:val="nil"/>
              <w:left w:val="nil"/>
              <w:bottom w:val="single" w:sz="4" w:space="0" w:color="auto"/>
              <w:right w:val="single" w:sz="4" w:space="0" w:color="auto"/>
            </w:tcBorders>
            <w:shd w:val="clear" w:color="auto" w:fill="auto"/>
            <w:noWrap/>
            <w:vAlign w:val="bottom"/>
            <w:hideMark/>
          </w:tcPr>
          <w:p w14:paraId="77829DB0" w14:textId="77777777" w:rsidR="00C93C49" w:rsidRPr="00C93C49" w:rsidRDefault="00C93C49" w:rsidP="00C93C49">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4.94%</w:t>
            </w:r>
          </w:p>
        </w:tc>
        <w:tc>
          <w:tcPr>
            <w:tcW w:w="1244" w:type="dxa"/>
            <w:tcBorders>
              <w:top w:val="nil"/>
              <w:left w:val="nil"/>
              <w:bottom w:val="single" w:sz="4" w:space="0" w:color="auto"/>
              <w:right w:val="single" w:sz="4" w:space="0" w:color="auto"/>
            </w:tcBorders>
            <w:shd w:val="clear" w:color="auto" w:fill="auto"/>
            <w:noWrap/>
            <w:vAlign w:val="bottom"/>
            <w:hideMark/>
          </w:tcPr>
          <w:p w14:paraId="68E85C7A" w14:textId="77777777" w:rsidR="00C93C49" w:rsidRPr="00C93C49" w:rsidRDefault="00C93C49" w:rsidP="00C93C49">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3.67%</w:t>
            </w:r>
          </w:p>
        </w:tc>
      </w:tr>
      <w:tr w:rsidR="00C93C49" w:rsidRPr="00C93C49" w14:paraId="6B3AEA13" w14:textId="77777777" w:rsidTr="00347614">
        <w:trPr>
          <w:trHeight w:val="388"/>
          <w:jc w:val="center"/>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14:paraId="2354865C" w14:textId="77777777" w:rsidR="00C93C49" w:rsidRPr="00C93C49" w:rsidRDefault="00C93C49" w:rsidP="00C93C49">
            <w:pPr>
              <w:spacing w:after="0" w:line="20" w:lineRule="atLeast"/>
              <w:contextualSpacing/>
              <w:rPr>
                <w:rFonts w:ascii="Arial" w:eastAsia="Times New Roman" w:hAnsi="Arial" w:cs="Arial"/>
                <w:b/>
                <w:color w:val="000000"/>
                <w:sz w:val="24"/>
                <w:szCs w:val="24"/>
              </w:rPr>
            </w:pPr>
            <w:r w:rsidRPr="00C93C49">
              <w:rPr>
                <w:rFonts w:ascii="Arial" w:eastAsia="Times New Roman" w:hAnsi="Arial" w:cs="Arial"/>
                <w:b/>
                <w:color w:val="000000"/>
                <w:sz w:val="24"/>
                <w:szCs w:val="24"/>
              </w:rPr>
              <w:t>Penelec</w:t>
            </w:r>
          </w:p>
        </w:tc>
        <w:tc>
          <w:tcPr>
            <w:tcW w:w="1244" w:type="dxa"/>
            <w:tcBorders>
              <w:top w:val="nil"/>
              <w:left w:val="nil"/>
              <w:bottom w:val="single" w:sz="4" w:space="0" w:color="auto"/>
              <w:right w:val="single" w:sz="4" w:space="0" w:color="auto"/>
            </w:tcBorders>
            <w:shd w:val="clear" w:color="auto" w:fill="auto"/>
            <w:noWrap/>
            <w:vAlign w:val="bottom"/>
            <w:hideMark/>
          </w:tcPr>
          <w:p w14:paraId="7CB34AD0" w14:textId="77777777" w:rsidR="00C93C49" w:rsidRPr="00C93C49" w:rsidRDefault="00C93C49" w:rsidP="00C93C49">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1.94%</w:t>
            </w:r>
          </w:p>
        </w:tc>
        <w:tc>
          <w:tcPr>
            <w:tcW w:w="1244" w:type="dxa"/>
            <w:tcBorders>
              <w:top w:val="nil"/>
              <w:left w:val="nil"/>
              <w:bottom w:val="single" w:sz="4" w:space="0" w:color="auto"/>
              <w:right w:val="single" w:sz="4" w:space="0" w:color="auto"/>
            </w:tcBorders>
            <w:shd w:val="clear" w:color="auto" w:fill="auto"/>
            <w:noWrap/>
            <w:vAlign w:val="bottom"/>
            <w:hideMark/>
          </w:tcPr>
          <w:p w14:paraId="054A1423" w14:textId="77777777" w:rsidR="00C93C49" w:rsidRPr="00C93C49" w:rsidRDefault="00C93C49" w:rsidP="00C93C49">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2.03%</w:t>
            </w:r>
          </w:p>
        </w:tc>
        <w:tc>
          <w:tcPr>
            <w:tcW w:w="1244" w:type="dxa"/>
            <w:tcBorders>
              <w:top w:val="nil"/>
              <w:left w:val="nil"/>
              <w:bottom w:val="single" w:sz="4" w:space="0" w:color="auto"/>
              <w:right w:val="single" w:sz="4" w:space="0" w:color="auto"/>
            </w:tcBorders>
            <w:shd w:val="clear" w:color="auto" w:fill="auto"/>
            <w:noWrap/>
            <w:vAlign w:val="bottom"/>
            <w:hideMark/>
          </w:tcPr>
          <w:p w14:paraId="05F33EE3" w14:textId="77777777" w:rsidR="00C93C49" w:rsidRPr="00C93C49" w:rsidRDefault="00C93C49" w:rsidP="00C93C49">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3.64%</w:t>
            </w:r>
          </w:p>
        </w:tc>
        <w:tc>
          <w:tcPr>
            <w:tcW w:w="1244" w:type="dxa"/>
            <w:tcBorders>
              <w:top w:val="nil"/>
              <w:left w:val="nil"/>
              <w:bottom w:val="single" w:sz="4" w:space="0" w:color="auto"/>
              <w:right w:val="single" w:sz="4" w:space="0" w:color="auto"/>
            </w:tcBorders>
            <w:shd w:val="clear" w:color="auto" w:fill="auto"/>
            <w:noWrap/>
            <w:vAlign w:val="bottom"/>
            <w:hideMark/>
          </w:tcPr>
          <w:p w14:paraId="5FC03878" w14:textId="77777777" w:rsidR="00C93C49" w:rsidRPr="00C93C49" w:rsidRDefault="00C93C49" w:rsidP="00C93C49">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3.94%</w:t>
            </w:r>
          </w:p>
        </w:tc>
        <w:tc>
          <w:tcPr>
            <w:tcW w:w="1244" w:type="dxa"/>
            <w:tcBorders>
              <w:top w:val="nil"/>
              <w:left w:val="nil"/>
              <w:bottom w:val="single" w:sz="4" w:space="0" w:color="auto"/>
              <w:right w:val="single" w:sz="4" w:space="0" w:color="auto"/>
            </w:tcBorders>
            <w:shd w:val="clear" w:color="auto" w:fill="auto"/>
            <w:noWrap/>
            <w:vAlign w:val="bottom"/>
            <w:hideMark/>
          </w:tcPr>
          <w:p w14:paraId="6C4341A9" w14:textId="77777777" w:rsidR="00C93C49" w:rsidRPr="00C93C49" w:rsidRDefault="00C93C49" w:rsidP="00C93C49">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3.71%</w:t>
            </w:r>
          </w:p>
        </w:tc>
      </w:tr>
      <w:tr w:rsidR="00C93C49" w:rsidRPr="00C93C49" w14:paraId="69979F8D" w14:textId="77777777" w:rsidTr="00347614">
        <w:trPr>
          <w:trHeight w:val="388"/>
          <w:jc w:val="center"/>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14:paraId="4E32DA81" w14:textId="77777777" w:rsidR="00C93C49" w:rsidRPr="00C93C49" w:rsidRDefault="00C93C49" w:rsidP="00C93C49">
            <w:pPr>
              <w:spacing w:after="0" w:line="20" w:lineRule="atLeast"/>
              <w:contextualSpacing/>
              <w:rPr>
                <w:rFonts w:ascii="Arial" w:eastAsia="Times New Roman" w:hAnsi="Arial" w:cs="Arial"/>
                <w:b/>
                <w:color w:val="000000"/>
                <w:sz w:val="24"/>
                <w:szCs w:val="24"/>
              </w:rPr>
            </w:pPr>
            <w:r w:rsidRPr="00C93C49">
              <w:rPr>
                <w:rFonts w:ascii="Arial" w:eastAsia="Times New Roman" w:hAnsi="Arial" w:cs="Arial"/>
                <w:b/>
                <w:color w:val="000000"/>
                <w:sz w:val="24"/>
                <w:szCs w:val="24"/>
              </w:rPr>
              <w:t>Penn Power</w:t>
            </w:r>
          </w:p>
        </w:tc>
        <w:tc>
          <w:tcPr>
            <w:tcW w:w="1244" w:type="dxa"/>
            <w:tcBorders>
              <w:top w:val="nil"/>
              <w:left w:val="nil"/>
              <w:bottom w:val="single" w:sz="4" w:space="0" w:color="auto"/>
              <w:right w:val="single" w:sz="4" w:space="0" w:color="auto"/>
            </w:tcBorders>
            <w:shd w:val="clear" w:color="auto" w:fill="auto"/>
            <w:noWrap/>
            <w:vAlign w:val="bottom"/>
            <w:hideMark/>
          </w:tcPr>
          <w:p w14:paraId="0FF56D98" w14:textId="77777777" w:rsidR="00C93C49" w:rsidRPr="00C93C49" w:rsidRDefault="00C93C49" w:rsidP="00C93C49">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3.41%</w:t>
            </w:r>
          </w:p>
        </w:tc>
        <w:tc>
          <w:tcPr>
            <w:tcW w:w="1244" w:type="dxa"/>
            <w:tcBorders>
              <w:top w:val="nil"/>
              <w:left w:val="nil"/>
              <w:bottom w:val="single" w:sz="4" w:space="0" w:color="auto"/>
              <w:right w:val="single" w:sz="4" w:space="0" w:color="auto"/>
            </w:tcBorders>
            <w:shd w:val="clear" w:color="auto" w:fill="auto"/>
            <w:noWrap/>
            <w:vAlign w:val="bottom"/>
            <w:hideMark/>
          </w:tcPr>
          <w:p w14:paraId="557A14D1" w14:textId="77777777" w:rsidR="00C93C49" w:rsidRPr="00C93C49" w:rsidRDefault="00C93C49" w:rsidP="00C93C49">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3.71%</w:t>
            </w:r>
          </w:p>
        </w:tc>
        <w:tc>
          <w:tcPr>
            <w:tcW w:w="1244" w:type="dxa"/>
            <w:tcBorders>
              <w:top w:val="nil"/>
              <w:left w:val="nil"/>
              <w:bottom w:val="single" w:sz="4" w:space="0" w:color="auto"/>
              <w:right w:val="single" w:sz="4" w:space="0" w:color="auto"/>
            </w:tcBorders>
            <w:shd w:val="clear" w:color="auto" w:fill="auto"/>
            <w:noWrap/>
            <w:vAlign w:val="bottom"/>
            <w:hideMark/>
          </w:tcPr>
          <w:p w14:paraId="477D8365" w14:textId="77777777" w:rsidR="00C93C49" w:rsidRPr="00C93C49" w:rsidRDefault="00C93C49" w:rsidP="00C93C49">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3.54%</w:t>
            </w:r>
          </w:p>
        </w:tc>
        <w:tc>
          <w:tcPr>
            <w:tcW w:w="1244" w:type="dxa"/>
            <w:tcBorders>
              <w:top w:val="nil"/>
              <w:left w:val="nil"/>
              <w:bottom w:val="single" w:sz="4" w:space="0" w:color="auto"/>
              <w:right w:val="single" w:sz="4" w:space="0" w:color="auto"/>
            </w:tcBorders>
            <w:shd w:val="clear" w:color="auto" w:fill="auto"/>
            <w:noWrap/>
            <w:vAlign w:val="bottom"/>
            <w:hideMark/>
          </w:tcPr>
          <w:p w14:paraId="3526A1FE" w14:textId="77777777" w:rsidR="00C93C49" w:rsidRPr="00C93C49" w:rsidRDefault="00C93C49" w:rsidP="00C93C49">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2.78%</w:t>
            </w:r>
          </w:p>
        </w:tc>
        <w:tc>
          <w:tcPr>
            <w:tcW w:w="1244" w:type="dxa"/>
            <w:tcBorders>
              <w:top w:val="nil"/>
              <w:left w:val="nil"/>
              <w:bottom w:val="single" w:sz="4" w:space="0" w:color="auto"/>
              <w:right w:val="single" w:sz="4" w:space="0" w:color="auto"/>
            </w:tcBorders>
            <w:shd w:val="clear" w:color="auto" w:fill="auto"/>
            <w:noWrap/>
            <w:vAlign w:val="bottom"/>
            <w:hideMark/>
          </w:tcPr>
          <w:p w14:paraId="2621611F" w14:textId="77777777" w:rsidR="00C93C49" w:rsidRPr="00C93C49" w:rsidRDefault="00C93C49" w:rsidP="00C93C49">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2.41%</w:t>
            </w:r>
          </w:p>
        </w:tc>
      </w:tr>
      <w:tr w:rsidR="00C93C49" w:rsidRPr="00C93C49" w14:paraId="5A66960A" w14:textId="77777777" w:rsidTr="00347614">
        <w:trPr>
          <w:trHeight w:val="388"/>
          <w:jc w:val="center"/>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14:paraId="78D0D463" w14:textId="77777777" w:rsidR="00C93C49" w:rsidRPr="00C93C49" w:rsidRDefault="00C93C49" w:rsidP="00C93C49">
            <w:pPr>
              <w:spacing w:after="0" w:line="20" w:lineRule="atLeast"/>
              <w:contextualSpacing/>
              <w:rPr>
                <w:rFonts w:ascii="Arial" w:eastAsia="Times New Roman" w:hAnsi="Arial" w:cs="Arial"/>
                <w:b/>
                <w:color w:val="000000"/>
                <w:sz w:val="24"/>
                <w:szCs w:val="24"/>
              </w:rPr>
            </w:pPr>
            <w:r w:rsidRPr="00C93C49">
              <w:rPr>
                <w:rFonts w:ascii="Arial" w:eastAsia="Times New Roman" w:hAnsi="Arial" w:cs="Arial"/>
                <w:b/>
                <w:color w:val="000000"/>
                <w:sz w:val="24"/>
                <w:szCs w:val="24"/>
              </w:rPr>
              <w:t>West Penn Power</w:t>
            </w:r>
          </w:p>
        </w:tc>
        <w:tc>
          <w:tcPr>
            <w:tcW w:w="1244" w:type="dxa"/>
            <w:tcBorders>
              <w:top w:val="nil"/>
              <w:left w:val="nil"/>
              <w:bottom w:val="single" w:sz="4" w:space="0" w:color="auto"/>
              <w:right w:val="single" w:sz="4" w:space="0" w:color="auto"/>
            </w:tcBorders>
            <w:shd w:val="clear" w:color="auto" w:fill="auto"/>
            <w:noWrap/>
            <w:vAlign w:val="bottom"/>
            <w:hideMark/>
          </w:tcPr>
          <w:p w14:paraId="7E70D6F1" w14:textId="77777777" w:rsidR="00C93C49" w:rsidRPr="00C93C49" w:rsidRDefault="00C93C49" w:rsidP="00C93C49">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NA</w:t>
            </w:r>
          </w:p>
        </w:tc>
        <w:tc>
          <w:tcPr>
            <w:tcW w:w="1244" w:type="dxa"/>
            <w:tcBorders>
              <w:top w:val="nil"/>
              <w:left w:val="nil"/>
              <w:bottom w:val="single" w:sz="4" w:space="0" w:color="auto"/>
              <w:right w:val="single" w:sz="4" w:space="0" w:color="auto"/>
            </w:tcBorders>
            <w:shd w:val="clear" w:color="auto" w:fill="auto"/>
            <w:noWrap/>
            <w:vAlign w:val="bottom"/>
            <w:hideMark/>
          </w:tcPr>
          <w:p w14:paraId="49F2DADB" w14:textId="77777777" w:rsidR="00C93C49" w:rsidRPr="00C93C49" w:rsidRDefault="00C93C49" w:rsidP="00C93C49">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NA</w:t>
            </w:r>
          </w:p>
        </w:tc>
        <w:tc>
          <w:tcPr>
            <w:tcW w:w="1244" w:type="dxa"/>
            <w:tcBorders>
              <w:top w:val="nil"/>
              <w:left w:val="nil"/>
              <w:bottom w:val="single" w:sz="4" w:space="0" w:color="auto"/>
              <w:right w:val="single" w:sz="4" w:space="0" w:color="auto"/>
            </w:tcBorders>
            <w:shd w:val="clear" w:color="auto" w:fill="auto"/>
            <w:noWrap/>
            <w:vAlign w:val="bottom"/>
            <w:hideMark/>
          </w:tcPr>
          <w:p w14:paraId="04C2CE6A" w14:textId="77777777" w:rsidR="00C93C49" w:rsidRPr="00C93C49" w:rsidRDefault="00C93C49" w:rsidP="00C93C49">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NA</w:t>
            </w:r>
          </w:p>
        </w:tc>
        <w:tc>
          <w:tcPr>
            <w:tcW w:w="1244" w:type="dxa"/>
            <w:tcBorders>
              <w:top w:val="nil"/>
              <w:left w:val="nil"/>
              <w:bottom w:val="single" w:sz="4" w:space="0" w:color="auto"/>
              <w:right w:val="single" w:sz="4" w:space="0" w:color="auto"/>
            </w:tcBorders>
            <w:shd w:val="clear" w:color="auto" w:fill="auto"/>
            <w:noWrap/>
            <w:vAlign w:val="bottom"/>
            <w:hideMark/>
          </w:tcPr>
          <w:p w14:paraId="40757D98" w14:textId="77777777" w:rsidR="00C93C49" w:rsidRPr="00C93C49" w:rsidRDefault="00C93C49" w:rsidP="00C93C49">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3.41%</w:t>
            </w:r>
          </w:p>
        </w:tc>
        <w:tc>
          <w:tcPr>
            <w:tcW w:w="1244" w:type="dxa"/>
            <w:tcBorders>
              <w:top w:val="nil"/>
              <w:left w:val="nil"/>
              <w:bottom w:val="single" w:sz="4" w:space="0" w:color="auto"/>
              <w:right w:val="single" w:sz="4" w:space="0" w:color="auto"/>
            </w:tcBorders>
            <w:shd w:val="clear" w:color="auto" w:fill="auto"/>
            <w:noWrap/>
            <w:vAlign w:val="bottom"/>
            <w:hideMark/>
          </w:tcPr>
          <w:p w14:paraId="765FF5D3" w14:textId="77777777" w:rsidR="00C93C49" w:rsidRPr="00C93C49" w:rsidRDefault="00C93C49" w:rsidP="00C93C49">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3.80%</w:t>
            </w:r>
          </w:p>
        </w:tc>
      </w:tr>
      <w:tr w:rsidR="00C93C49" w:rsidRPr="00C93C49" w14:paraId="072A6273" w14:textId="77777777" w:rsidTr="00347614">
        <w:trPr>
          <w:trHeight w:val="388"/>
          <w:jc w:val="center"/>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14:paraId="2C96D72C" w14:textId="77777777" w:rsidR="00C93C49" w:rsidRPr="00C93C49" w:rsidRDefault="00C93C49" w:rsidP="00C93C49">
            <w:pPr>
              <w:spacing w:after="0" w:line="20" w:lineRule="atLeast"/>
              <w:contextualSpacing/>
              <w:rPr>
                <w:rFonts w:ascii="Arial" w:eastAsia="Times New Roman" w:hAnsi="Arial" w:cs="Arial"/>
                <w:b/>
                <w:color w:val="000000"/>
                <w:sz w:val="24"/>
                <w:szCs w:val="24"/>
              </w:rPr>
            </w:pPr>
            <w:r w:rsidRPr="00C93C49">
              <w:rPr>
                <w:rFonts w:ascii="Arial" w:eastAsia="Times New Roman" w:hAnsi="Arial" w:cs="Arial"/>
                <w:b/>
                <w:color w:val="000000"/>
                <w:sz w:val="24"/>
                <w:szCs w:val="24"/>
              </w:rPr>
              <w:t>FE-PA Companies</w:t>
            </w:r>
          </w:p>
        </w:tc>
        <w:tc>
          <w:tcPr>
            <w:tcW w:w="1244" w:type="dxa"/>
            <w:tcBorders>
              <w:top w:val="nil"/>
              <w:left w:val="nil"/>
              <w:bottom w:val="single" w:sz="4" w:space="0" w:color="auto"/>
              <w:right w:val="single" w:sz="4" w:space="0" w:color="auto"/>
            </w:tcBorders>
            <w:shd w:val="clear" w:color="auto" w:fill="auto"/>
            <w:noWrap/>
            <w:vAlign w:val="bottom"/>
            <w:hideMark/>
          </w:tcPr>
          <w:p w14:paraId="31C98F26" w14:textId="77777777" w:rsidR="00C93C49" w:rsidRPr="00C93C49" w:rsidRDefault="00C93C49" w:rsidP="00C93C49">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2.32%</w:t>
            </w:r>
          </w:p>
        </w:tc>
        <w:tc>
          <w:tcPr>
            <w:tcW w:w="1244" w:type="dxa"/>
            <w:tcBorders>
              <w:top w:val="nil"/>
              <w:left w:val="nil"/>
              <w:bottom w:val="single" w:sz="4" w:space="0" w:color="auto"/>
              <w:right w:val="single" w:sz="4" w:space="0" w:color="auto"/>
            </w:tcBorders>
            <w:shd w:val="clear" w:color="auto" w:fill="auto"/>
            <w:noWrap/>
            <w:vAlign w:val="bottom"/>
            <w:hideMark/>
          </w:tcPr>
          <w:p w14:paraId="1C856851" w14:textId="77777777" w:rsidR="00C93C49" w:rsidRPr="00C93C49" w:rsidRDefault="00C93C49" w:rsidP="00C93C49">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2.59%</w:t>
            </w:r>
          </w:p>
        </w:tc>
        <w:tc>
          <w:tcPr>
            <w:tcW w:w="1244" w:type="dxa"/>
            <w:tcBorders>
              <w:top w:val="nil"/>
              <w:left w:val="nil"/>
              <w:bottom w:val="single" w:sz="4" w:space="0" w:color="auto"/>
              <w:right w:val="single" w:sz="4" w:space="0" w:color="auto"/>
            </w:tcBorders>
            <w:shd w:val="clear" w:color="auto" w:fill="auto"/>
            <w:noWrap/>
            <w:vAlign w:val="bottom"/>
            <w:hideMark/>
          </w:tcPr>
          <w:p w14:paraId="44FFB827" w14:textId="77777777" w:rsidR="00C93C49" w:rsidRPr="00C93C49" w:rsidRDefault="00C93C49" w:rsidP="00C93C49">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3.78%</w:t>
            </w:r>
          </w:p>
        </w:tc>
        <w:tc>
          <w:tcPr>
            <w:tcW w:w="1244" w:type="dxa"/>
            <w:tcBorders>
              <w:top w:val="nil"/>
              <w:left w:val="nil"/>
              <w:bottom w:val="single" w:sz="4" w:space="0" w:color="auto"/>
              <w:right w:val="single" w:sz="4" w:space="0" w:color="auto"/>
            </w:tcBorders>
            <w:shd w:val="clear" w:color="auto" w:fill="auto"/>
            <w:noWrap/>
            <w:vAlign w:val="bottom"/>
            <w:hideMark/>
          </w:tcPr>
          <w:p w14:paraId="21488A02" w14:textId="77777777" w:rsidR="00C93C49" w:rsidRPr="00C93C49" w:rsidRDefault="00C93C49" w:rsidP="00C93C49">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3.77%</w:t>
            </w:r>
          </w:p>
        </w:tc>
        <w:tc>
          <w:tcPr>
            <w:tcW w:w="1244" w:type="dxa"/>
            <w:tcBorders>
              <w:top w:val="nil"/>
              <w:left w:val="nil"/>
              <w:bottom w:val="single" w:sz="4" w:space="0" w:color="auto"/>
              <w:right w:val="single" w:sz="4" w:space="0" w:color="auto"/>
            </w:tcBorders>
            <w:shd w:val="clear" w:color="auto" w:fill="auto"/>
            <w:noWrap/>
            <w:vAlign w:val="bottom"/>
            <w:hideMark/>
          </w:tcPr>
          <w:p w14:paraId="76E34065" w14:textId="77777777" w:rsidR="00C93C49" w:rsidRPr="00C93C49" w:rsidRDefault="00C93C49" w:rsidP="00C93C49">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3.63%</w:t>
            </w:r>
          </w:p>
        </w:tc>
      </w:tr>
    </w:tbl>
    <w:p w14:paraId="000F7DB8" w14:textId="77777777" w:rsidR="00C93C49" w:rsidRPr="00C93C49" w:rsidRDefault="00C93C49" w:rsidP="00C93C49">
      <w:pPr>
        <w:autoSpaceDE w:val="0"/>
        <w:autoSpaceDN w:val="0"/>
        <w:adjustRightInd w:val="0"/>
        <w:spacing w:after="0" w:line="20" w:lineRule="atLeast"/>
        <w:ind w:firstLine="450"/>
        <w:contextualSpacing/>
        <w:rPr>
          <w:rFonts w:ascii="Arial" w:eastAsia="Times New Roman" w:hAnsi="Arial" w:cs="Arial"/>
          <w:color w:val="000000"/>
          <w:sz w:val="18"/>
          <w:szCs w:val="18"/>
        </w:rPr>
      </w:pPr>
      <w:r w:rsidRPr="00C93C49">
        <w:rPr>
          <w:rFonts w:ascii="Arial" w:eastAsia="Times New Roman" w:hAnsi="Arial" w:cs="Arial"/>
          <w:color w:val="000000"/>
          <w:sz w:val="18"/>
          <w:szCs w:val="18"/>
        </w:rPr>
        <w:t>Source: 2014 Management Audit Report Exhibit X-5</w:t>
      </w:r>
    </w:p>
    <w:p w14:paraId="6D56A833" w14:textId="77777777" w:rsidR="00C93C49" w:rsidRPr="00C93C49" w:rsidRDefault="00C93C49" w:rsidP="00C93C49">
      <w:pPr>
        <w:autoSpaceDE w:val="0"/>
        <w:autoSpaceDN w:val="0"/>
        <w:adjustRightInd w:val="0"/>
        <w:spacing w:after="0" w:line="20" w:lineRule="atLeast"/>
        <w:contextualSpacing/>
        <w:rPr>
          <w:rFonts w:ascii="Symbol" w:eastAsia="Times New Roman" w:hAnsi="Symbol" w:cs="Symbol"/>
          <w:color w:val="000000"/>
          <w:sz w:val="24"/>
          <w:szCs w:val="24"/>
        </w:rPr>
      </w:pPr>
    </w:p>
    <w:p w14:paraId="307F9AC0" w14:textId="77777777" w:rsidR="00C93C49" w:rsidRPr="00C93C49" w:rsidRDefault="00C93C49" w:rsidP="00C93C49">
      <w:pPr>
        <w:autoSpaceDE w:val="0"/>
        <w:autoSpaceDN w:val="0"/>
        <w:adjustRightInd w:val="0"/>
        <w:spacing w:after="0" w:line="20" w:lineRule="atLeast"/>
        <w:ind w:firstLine="720"/>
        <w:contextualSpacing/>
        <w:rPr>
          <w:rFonts w:ascii="Arial" w:eastAsia="Times New Roman" w:hAnsi="Arial" w:cs="Arial"/>
          <w:color w:val="000000"/>
          <w:sz w:val="24"/>
          <w:szCs w:val="24"/>
        </w:rPr>
      </w:pPr>
      <w:r w:rsidRPr="00C93C49">
        <w:rPr>
          <w:rFonts w:ascii="Arial" w:eastAsia="Times New Roman" w:hAnsi="Arial" w:cs="Arial"/>
          <w:color w:val="000000"/>
          <w:sz w:val="24"/>
          <w:szCs w:val="24"/>
        </w:rPr>
        <w:t xml:space="preserve">There were 22 codes (e.g., a code for an over estimate) used within the Customer Accounting Department that would trigger a billing reversal.  However, </w:t>
      </w:r>
      <w:r w:rsidR="00640190" w:rsidRPr="00C93C49">
        <w:rPr>
          <w:rFonts w:ascii="Arial" w:eastAsia="Times New Roman" w:hAnsi="Arial" w:cs="Arial"/>
          <w:color w:val="000000"/>
          <w:sz w:val="24"/>
          <w:szCs w:val="24"/>
        </w:rPr>
        <w:t>a considerable number</w:t>
      </w:r>
      <w:r w:rsidRPr="00C93C49">
        <w:rPr>
          <w:rFonts w:ascii="Arial" w:eastAsia="Times New Roman" w:hAnsi="Arial" w:cs="Arial"/>
          <w:color w:val="000000"/>
          <w:sz w:val="24"/>
          <w:szCs w:val="24"/>
        </w:rPr>
        <w:t xml:space="preserve"> of billing reversals were being classified as miscellaneous.  Of those 22 codes, the auditors determined that seven of the codes were controllable </w:t>
      </w:r>
      <w:r w:rsidR="00640190">
        <w:rPr>
          <w:rFonts w:ascii="Arial" w:eastAsia="Times New Roman" w:hAnsi="Arial" w:cs="Arial"/>
          <w:color w:val="000000"/>
          <w:sz w:val="24"/>
          <w:szCs w:val="24"/>
        </w:rPr>
        <w:t xml:space="preserve">and could be </w:t>
      </w:r>
      <w:r w:rsidRPr="00C93C49">
        <w:rPr>
          <w:rFonts w:ascii="Arial" w:eastAsia="Times New Roman" w:hAnsi="Arial" w:cs="Arial"/>
          <w:color w:val="000000"/>
          <w:sz w:val="24"/>
          <w:szCs w:val="24"/>
        </w:rPr>
        <w:t xml:space="preserve">minimized or prevented.   </w:t>
      </w:r>
    </w:p>
    <w:p w14:paraId="2A60805B" w14:textId="77777777" w:rsidR="00C93C49" w:rsidRPr="00C93C49" w:rsidRDefault="00C93C49" w:rsidP="00C93C49">
      <w:pPr>
        <w:autoSpaceDE w:val="0"/>
        <w:autoSpaceDN w:val="0"/>
        <w:adjustRightInd w:val="0"/>
        <w:spacing w:after="0" w:line="20" w:lineRule="atLeast"/>
        <w:ind w:firstLine="720"/>
        <w:contextualSpacing/>
        <w:rPr>
          <w:rFonts w:ascii="Arial" w:eastAsia="Times New Roman" w:hAnsi="Arial" w:cs="Arial"/>
          <w:color w:val="000000"/>
          <w:sz w:val="24"/>
          <w:szCs w:val="24"/>
        </w:rPr>
      </w:pPr>
    </w:p>
    <w:p w14:paraId="5328FD45" w14:textId="77777777" w:rsidR="00C93C49" w:rsidRPr="00C93C49" w:rsidRDefault="00C93C49" w:rsidP="00C93C49">
      <w:pPr>
        <w:autoSpaceDE w:val="0"/>
        <w:autoSpaceDN w:val="0"/>
        <w:adjustRightInd w:val="0"/>
        <w:spacing w:after="0" w:line="20" w:lineRule="atLeast"/>
        <w:ind w:firstLine="720"/>
        <w:contextualSpacing/>
        <w:rPr>
          <w:rFonts w:ascii="Arial" w:eastAsia="Times New Roman" w:hAnsi="Arial" w:cs="Arial"/>
          <w:color w:val="000000"/>
          <w:sz w:val="24"/>
          <w:szCs w:val="24"/>
        </w:rPr>
      </w:pPr>
      <w:r w:rsidRPr="00C93C49">
        <w:rPr>
          <w:rFonts w:ascii="Arial" w:eastAsia="Times New Roman" w:hAnsi="Arial" w:cs="Arial"/>
          <w:color w:val="000000"/>
          <w:sz w:val="24"/>
          <w:szCs w:val="24"/>
        </w:rPr>
        <w:t xml:space="preserve">By eliminating the controllable billing reversals from occurring, and thereby reducing billing lag, the </w:t>
      </w:r>
      <w:r w:rsidR="00DC3D9B">
        <w:rPr>
          <w:rFonts w:ascii="Arial" w:eastAsia="Times New Roman" w:hAnsi="Arial" w:cs="Arial"/>
          <w:color w:val="000000"/>
          <w:sz w:val="24"/>
          <w:szCs w:val="24"/>
        </w:rPr>
        <w:t>FE-PA companies</w:t>
      </w:r>
      <w:r w:rsidRPr="00C93C49">
        <w:rPr>
          <w:rFonts w:ascii="Arial" w:eastAsia="Times New Roman" w:hAnsi="Arial" w:cs="Arial"/>
          <w:color w:val="000000"/>
          <w:sz w:val="24"/>
          <w:szCs w:val="24"/>
        </w:rPr>
        <w:t xml:space="preserve"> could have increased their cash flow and realized an average annual savings of approximately $27,000 to $31,000 in avoided interest from borrowing from the FirstEnergy Money Pool.  The estimates were based upon the average total bill for each of the </w:t>
      </w:r>
      <w:r w:rsidR="00DC3D9B">
        <w:rPr>
          <w:rFonts w:ascii="Arial" w:eastAsia="Times New Roman" w:hAnsi="Arial" w:cs="Arial"/>
          <w:color w:val="000000"/>
          <w:sz w:val="24"/>
          <w:szCs w:val="24"/>
        </w:rPr>
        <w:t>FE-PA companies</w:t>
      </w:r>
      <w:r w:rsidRPr="00C93C49">
        <w:rPr>
          <w:rFonts w:ascii="Arial" w:eastAsia="Times New Roman" w:hAnsi="Arial" w:cs="Arial"/>
          <w:color w:val="000000"/>
          <w:sz w:val="24"/>
          <w:szCs w:val="24"/>
        </w:rPr>
        <w:t xml:space="preserve"> and the FirstEnergy Money Pool interest rate of 1.4% as of October 2013.  </w:t>
      </w:r>
    </w:p>
    <w:p w14:paraId="66893494" w14:textId="77777777" w:rsidR="00C93C49" w:rsidRPr="00C93C49" w:rsidRDefault="00C93C49" w:rsidP="00C93C49">
      <w:pPr>
        <w:spacing w:after="0" w:line="20" w:lineRule="atLeast"/>
        <w:contextualSpacing/>
        <w:rPr>
          <w:rFonts w:ascii="Arial" w:eastAsia="Times New Roman" w:hAnsi="Arial" w:cs="Times New Roman"/>
          <w:b/>
          <w:sz w:val="24"/>
          <w:szCs w:val="24"/>
          <w:u w:val="single"/>
        </w:rPr>
      </w:pPr>
    </w:p>
    <w:p w14:paraId="38B2FCEA" w14:textId="77777777" w:rsidR="00C93C49" w:rsidRPr="00C93C49" w:rsidRDefault="00C93C49" w:rsidP="00C93C49">
      <w:pPr>
        <w:widowControl w:val="0"/>
        <w:spacing w:after="0" w:line="20" w:lineRule="atLeast"/>
        <w:contextualSpacing/>
        <w:rPr>
          <w:rFonts w:ascii="Arial" w:eastAsia="Times New Roman" w:hAnsi="Arial" w:cs="Arial"/>
          <w:b/>
          <w:color w:val="000000"/>
          <w:sz w:val="24"/>
          <w:szCs w:val="24"/>
        </w:rPr>
      </w:pPr>
      <w:r w:rsidRPr="00C93C49">
        <w:rPr>
          <w:rFonts w:ascii="Arial" w:eastAsia="Times New Roman" w:hAnsi="Arial" w:cs="Times New Roman"/>
          <w:b/>
          <w:sz w:val="24"/>
          <w:szCs w:val="24"/>
          <w:u w:val="single"/>
        </w:rPr>
        <w:t>Prior Recommendation</w:t>
      </w:r>
      <w:r w:rsidRPr="00C93C49">
        <w:rPr>
          <w:rFonts w:ascii="Arial" w:eastAsia="Times New Roman" w:hAnsi="Arial" w:cs="Times New Roman"/>
          <w:sz w:val="24"/>
          <w:szCs w:val="24"/>
        </w:rPr>
        <w:t xml:space="preserve"> – Reduce billing reversals and meter estimates by implementing appropriate process and procedure improvements, and better determining the cause by beginning to classify miscellaneous billing reversals.</w:t>
      </w:r>
    </w:p>
    <w:p w14:paraId="459D6D1B" w14:textId="77777777" w:rsidR="00C93C49" w:rsidRPr="00C93C49" w:rsidRDefault="00C93C49" w:rsidP="00C93C49">
      <w:pPr>
        <w:spacing w:after="0" w:line="20" w:lineRule="atLeast"/>
        <w:contextualSpacing/>
        <w:rPr>
          <w:rFonts w:ascii="Arial" w:eastAsia="Times New Roman" w:hAnsi="Arial" w:cs="Times New Roman"/>
          <w:b/>
          <w:sz w:val="24"/>
          <w:szCs w:val="24"/>
          <w:u w:val="single"/>
        </w:rPr>
      </w:pPr>
    </w:p>
    <w:p w14:paraId="436F8551" w14:textId="77777777" w:rsidR="00C93C49" w:rsidRPr="00C93C49" w:rsidRDefault="00C93C49" w:rsidP="00C93C49">
      <w:pPr>
        <w:spacing w:after="0" w:line="20" w:lineRule="atLeast"/>
        <w:contextualSpacing/>
        <w:rPr>
          <w:rFonts w:ascii="Arial" w:eastAsia="Times New Roman" w:hAnsi="Arial" w:cs="Arial"/>
          <w:b/>
          <w:snapToGrid w:val="0"/>
          <w:sz w:val="24"/>
          <w:szCs w:val="20"/>
        </w:rPr>
      </w:pPr>
      <w:r w:rsidRPr="00C93C49">
        <w:rPr>
          <w:rFonts w:ascii="Arial" w:eastAsia="Times New Roman" w:hAnsi="Arial" w:cs="Times New Roman"/>
          <w:b/>
          <w:sz w:val="24"/>
          <w:szCs w:val="24"/>
          <w:u w:val="single"/>
        </w:rPr>
        <w:t>Follow-up Finding and Conclusion No. X-3</w:t>
      </w:r>
      <w:r w:rsidRPr="00C93C49">
        <w:rPr>
          <w:rFonts w:ascii="Arial" w:eastAsia="Times New Roman" w:hAnsi="Arial" w:cs="Times New Roman"/>
          <w:b/>
          <w:sz w:val="24"/>
          <w:szCs w:val="24"/>
        </w:rPr>
        <w:t xml:space="preserve"> – Billing reversals at the </w:t>
      </w:r>
      <w:r w:rsidR="00DC3D9B">
        <w:rPr>
          <w:rFonts w:ascii="Arial" w:eastAsia="Times New Roman" w:hAnsi="Arial" w:cs="Times New Roman"/>
          <w:b/>
          <w:sz w:val="24"/>
          <w:szCs w:val="24"/>
        </w:rPr>
        <w:t>FE-PA companies</w:t>
      </w:r>
      <w:r w:rsidRPr="00C93C49">
        <w:rPr>
          <w:rFonts w:ascii="Arial" w:eastAsia="Times New Roman" w:hAnsi="Arial" w:cs="Times New Roman"/>
          <w:b/>
          <w:sz w:val="24"/>
          <w:szCs w:val="24"/>
        </w:rPr>
        <w:t xml:space="preserve"> are decreasing.</w:t>
      </w:r>
    </w:p>
    <w:p w14:paraId="285A4C78" w14:textId="77777777" w:rsidR="00C93C49" w:rsidRPr="00C93C49" w:rsidRDefault="00C93C49" w:rsidP="00C93C49">
      <w:pPr>
        <w:widowControl w:val="0"/>
        <w:spacing w:after="0" w:line="20" w:lineRule="atLeast"/>
        <w:contextualSpacing/>
        <w:rPr>
          <w:rFonts w:ascii="Arial" w:hAnsi="Arial" w:cs="Arial"/>
          <w:sz w:val="24"/>
          <w:szCs w:val="24"/>
        </w:rPr>
      </w:pPr>
    </w:p>
    <w:p w14:paraId="2B345B7B" w14:textId="77777777" w:rsidR="00C93C49" w:rsidRPr="00C93C49" w:rsidRDefault="00C93C49" w:rsidP="00C93C49">
      <w:pPr>
        <w:widowControl w:val="0"/>
        <w:spacing w:after="0" w:line="20" w:lineRule="atLeast"/>
        <w:contextualSpacing/>
        <w:rPr>
          <w:rFonts w:ascii="Arial" w:eastAsia="Times New Roman" w:hAnsi="Arial" w:cs="Arial"/>
          <w:snapToGrid w:val="0"/>
          <w:sz w:val="24"/>
          <w:szCs w:val="20"/>
        </w:rPr>
      </w:pPr>
      <w:r w:rsidRPr="00C93C49">
        <w:rPr>
          <w:rFonts w:ascii="Arial" w:eastAsia="Times New Roman" w:hAnsi="Arial" w:cs="Arial"/>
          <w:b/>
          <w:snapToGrid w:val="0"/>
          <w:sz w:val="24"/>
          <w:szCs w:val="20"/>
          <w:u w:val="single"/>
        </w:rPr>
        <w:t>Current Review</w:t>
      </w:r>
      <w:r w:rsidRPr="00C93C49">
        <w:rPr>
          <w:rFonts w:ascii="Arial" w:eastAsia="Times New Roman" w:hAnsi="Arial" w:cs="Arial"/>
          <w:snapToGrid w:val="0"/>
          <w:sz w:val="24"/>
          <w:szCs w:val="20"/>
        </w:rPr>
        <w:t xml:space="preserve"> – As shown in Exhibit X-8, billing reversal percentages at all the </w:t>
      </w:r>
      <w:r w:rsidR="00DC3D9B">
        <w:rPr>
          <w:rFonts w:ascii="Arial" w:eastAsia="Times New Roman" w:hAnsi="Arial" w:cs="Arial"/>
          <w:snapToGrid w:val="0"/>
          <w:sz w:val="24"/>
          <w:szCs w:val="20"/>
        </w:rPr>
        <w:t>FE-PA companies</w:t>
      </w:r>
      <w:r w:rsidRPr="00C93C49">
        <w:rPr>
          <w:rFonts w:ascii="Arial" w:eastAsia="Times New Roman" w:hAnsi="Arial" w:cs="Arial"/>
          <w:snapToGrid w:val="0"/>
          <w:sz w:val="24"/>
          <w:szCs w:val="20"/>
        </w:rPr>
        <w:t xml:space="preserve"> have decreased from 2014 through 2017 during smart meter deployment.  Met</w:t>
      </w:r>
      <w:r w:rsidRPr="00C93C49">
        <w:rPr>
          <w:rFonts w:ascii="Arial" w:eastAsia="Times New Roman" w:hAnsi="Arial" w:cs="Arial"/>
          <w:snapToGrid w:val="0"/>
          <w:sz w:val="24"/>
          <w:szCs w:val="20"/>
        </w:rPr>
        <w:noBreakHyphen/>
        <w:t>Ed and Penelec each reduced reversals by approximately 1.5%, Penn Power by over 2%, and West Penn Power by 1.16%.</w:t>
      </w:r>
    </w:p>
    <w:p w14:paraId="12A646E4" w14:textId="77777777" w:rsidR="00C93C49" w:rsidRPr="00C93C49" w:rsidRDefault="00C93C49" w:rsidP="00C93C49">
      <w:pPr>
        <w:spacing w:after="0" w:line="240" w:lineRule="auto"/>
        <w:rPr>
          <w:rFonts w:ascii="Arial" w:eastAsia="Times New Roman" w:hAnsi="Arial" w:cs="Arial"/>
          <w:b/>
          <w:snapToGrid w:val="0"/>
          <w:sz w:val="24"/>
          <w:szCs w:val="20"/>
        </w:rPr>
      </w:pPr>
    </w:p>
    <w:p w14:paraId="0FFA5E11" w14:textId="77777777" w:rsidR="00C93C49" w:rsidRPr="00C93C49" w:rsidRDefault="00C93C49" w:rsidP="00C93C49">
      <w:pPr>
        <w:spacing w:after="0" w:line="240" w:lineRule="auto"/>
        <w:rPr>
          <w:rFonts w:ascii="Arial" w:eastAsia="Times New Roman" w:hAnsi="Arial" w:cs="Arial"/>
          <w:b/>
          <w:snapToGrid w:val="0"/>
          <w:sz w:val="24"/>
          <w:szCs w:val="20"/>
        </w:rPr>
      </w:pPr>
    </w:p>
    <w:p w14:paraId="12F75F5C" w14:textId="77777777" w:rsidR="00C93C49" w:rsidRPr="00C93C49" w:rsidRDefault="00C93C49" w:rsidP="00C93C49">
      <w:pPr>
        <w:widowControl w:val="0"/>
        <w:spacing w:after="0" w:line="20" w:lineRule="atLeast"/>
        <w:contextualSpacing/>
        <w:jc w:val="center"/>
        <w:rPr>
          <w:rFonts w:ascii="Arial" w:eastAsia="Times New Roman" w:hAnsi="Arial" w:cs="Arial"/>
          <w:b/>
          <w:sz w:val="24"/>
          <w:szCs w:val="20"/>
        </w:rPr>
      </w:pPr>
      <w:r w:rsidRPr="00C93C49">
        <w:rPr>
          <w:rFonts w:ascii="Arial" w:eastAsia="Times New Roman" w:hAnsi="Arial" w:cs="Arial"/>
          <w:b/>
          <w:snapToGrid w:val="0"/>
          <w:sz w:val="24"/>
          <w:szCs w:val="20"/>
        </w:rPr>
        <w:t xml:space="preserve">Exhibit X – 8 </w:t>
      </w:r>
    </w:p>
    <w:p w14:paraId="37121434" w14:textId="77777777" w:rsidR="00C93C49" w:rsidRPr="00C93C49" w:rsidRDefault="00C93C49" w:rsidP="00C93C49">
      <w:pPr>
        <w:spacing w:after="0" w:line="240" w:lineRule="auto"/>
        <w:jc w:val="center"/>
        <w:rPr>
          <w:rFonts w:ascii="Arial" w:eastAsia="Times New Roman" w:hAnsi="Arial" w:cs="Arial"/>
          <w:b/>
          <w:sz w:val="24"/>
          <w:szCs w:val="24"/>
        </w:rPr>
      </w:pPr>
      <w:r w:rsidRPr="00C93C49">
        <w:rPr>
          <w:rFonts w:ascii="Arial" w:eastAsia="Calibri" w:hAnsi="Arial" w:cs="Arial"/>
          <w:b/>
          <w:sz w:val="24"/>
          <w:szCs w:val="24"/>
        </w:rPr>
        <w:t>FirstEnergy Pennsylvania Companies</w:t>
      </w:r>
    </w:p>
    <w:p w14:paraId="4B9DE92E"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Billing Reversal Percentages</w:t>
      </w:r>
    </w:p>
    <w:p w14:paraId="04075ED5"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For the Years 2014 through 2017</w:t>
      </w:r>
    </w:p>
    <w:p w14:paraId="29CDD20B" w14:textId="77777777" w:rsidR="00C93C49" w:rsidRPr="00C93C49" w:rsidRDefault="00C93C49" w:rsidP="00C93C49">
      <w:pPr>
        <w:widowControl w:val="0"/>
        <w:spacing w:after="0" w:line="20" w:lineRule="atLeast"/>
        <w:contextualSpacing/>
        <w:rPr>
          <w:rFonts w:ascii="Arial" w:eastAsia="Times New Roman" w:hAnsi="Arial" w:cs="Arial"/>
          <w:snapToGrid w:val="0"/>
          <w:sz w:val="24"/>
          <w:szCs w:val="20"/>
        </w:rPr>
      </w:pPr>
    </w:p>
    <w:tbl>
      <w:tblPr>
        <w:tblW w:w="7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1322"/>
        <w:gridCol w:w="1322"/>
        <w:gridCol w:w="1322"/>
        <w:gridCol w:w="1460"/>
      </w:tblGrid>
      <w:tr w:rsidR="00C93C49" w:rsidRPr="00C93C49" w14:paraId="58E84CD1" w14:textId="77777777" w:rsidTr="00347614">
        <w:trPr>
          <w:trHeight w:val="412"/>
          <w:jc w:val="center"/>
        </w:trPr>
        <w:tc>
          <w:tcPr>
            <w:tcW w:w="2451" w:type="dxa"/>
            <w:shd w:val="clear" w:color="auto" w:fill="auto"/>
            <w:noWrap/>
            <w:vAlign w:val="bottom"/>
            <w:hideMark/>
          </w:tcPr>
          <w:p w14:paraId="57FFC078" w14:textId="77777777" w:rsidR="00C93C49" w:rsidRPr="00C93C49" w:rsidRDefault="00C93C49" w:rsidP="00C93C49">
            <w:pPr>
              <w:spacing w:after="0" w:line="20" w:lineRule="atLeast"/>
              <w:contextualSpacing/>
              <w:rPr>
                <w:rFonts w:ascii="Arial" w:eastAsia="Times New Roman" w:hAnsi="Arial" w:cs="Arial"/>
                <w:sz w:val="24"/>
                <w:szCs w:val="24"/>
              </w:rPr>
            </w:pPr>
          </w:p>
        </w:tc>
        <w:tc>
          <w:tcPr>
            <w:tcW w:w="1322" w:type="dxa"/>
            <w:shd w:val="clear" w:color="auto" w:fill="auto"/>
            <w:noWrap/>
            <w:vAlign w:val="bottom"/>
            <w:hideMark/>
          </w:tcPr>
          <w:p w14:paraId="09879895" w14:textId="77777777" w:rsidR="00C93C49" w:rsidRPr="00C93C49" w:rsidRDefault="00C93C49" w:rsidP="00C93C49">
            <w:pPr>
              <w:spacing w:after="0" w:line="20" w:lineRule="atLeast"/>
              <w:contextualSpacing/>
              <w:jc w:val="center"/>
              <w:rPr>
                <w:rFonts w:ascii="Arial" w:eastAsia="Times New Roman" w:hAnsi="Arial" w:cs="Arial"/>
                <w:b/>
                <w:color w:val="000000"/>
                <w:sz w:val="24"/>
                <w:szCs w:val="24"/>
              </w:rPr>
            </w:pPr>
            <w:r w:rsidRPr="00C93C49">
              <w:rPr>
                <w:rFonts w:ascii="Arial" w:eastAsia="Times New Roman" w:hAnsi="Arial" w:cs="Arial"/>
                <w:b/>
                <w:color w:val="000000"/>
                <w:sz w:val="24"/>
                <w:szCs w:val="24"/>
              </w:rPr>
              <w:t>2014</w:t>
            </w:r>
          </w:p>
        </w:tc>
        <w:tc>
          <w:tcPr>
            <w:tcW w:w="1322" w:type="dxa"/>
            <w:shd w:val="clear" w:color="auto" w:fill="auto"/>
            <w:noWrap/>
            <w:vAlign w:val="bottom"/>
            <w:hideMark/>
          </w:tcPr>
          <w:p w14:paraId="31F54F91" w14:textId="77777777" w:rsidR="00C93C49" w:rsidRPr="00C93C49" w:rsidRDefault="00C93C49" w:rsidP="00C93C49">
            <w:pPr>
              <w:spacing w:after="0" w:line="20" w:lineRule="atLeast"/>
              <w:contextualSpacing/>
              <w:jc w:val="center"/>
              <w:rPr>
                <w:rFonts w:ascii="Arial" w:eastAsia="Times New Roman" w:hAnsi="Arial" w:cs="Arial"/>
                <w:b/>
                <w:color w:val="000000"/>
                <w:sz w:val="24"/>
                <w:szCs w:val="24"/>
              </w:rPr>
            </w:pPr>
            <w:r w:rsidRPr="00C93C49">
              <w:rPr>
                <w:rFonts w:ascii="Arial" w:eastAsia="Times New Roman" w:hAnsi="Arial" w:cs="Arial"/>
                <w:b/>
                <w:color w:val="000000"/>
                <w:sz w:val="24"/>
                <w:szCs w:val="24"/>
              </w:rPr>
              <w:t>2015</w:t>
            </w:r>
          </w:p>
        </w:tc>
        <w:tc>
          <w:tcPr>
            <w:tcW w:w="1322" w:type="dxa"/>
            <w:shd w:val="clear" w:color="auto" w:fill="auto"/>
            <w:noWrap/>
            <w:vAlign w:val="bottom"/>
            <w:hideMark/>
          </w:tcPr>
          <w:p w14:paraId="2AFA3370" w14:textId="77777777" w:rsidR="00C93C49" w:rsidRPr="00C93C49" w:rsidRDefault="00C93C49" w:rsidP="00C93C49">
            <w:pPr>
              <w:spacing w:after="0" w:line="20" w:lineRule="atLeast"/>
              <w:contextualSpacing/>
              <w:jc w:val="center"/>
              <w:rPr>
                <w:rFonts w:ascii="Arial" w:eastAsia="Times New Roman" w:hAnsi="Arial" w:cs="Arial"/>
                <w:b/>
                <w:color w:val="000000"/>
                <w:sz w:val="24"/>
                <w:szCs w:val="24"/>
              </w:rPr>
            </w:pPr>
            <w:r w:rsidRPr="00C93C49">
              <w:rPr>
                <w:rFonts w:ascii="Arial" w:eastAsia="Times New Roman" w:hAnsi="Arial" w:cs="Arial"/>
                <w:b/>
                <w:color w:val="000000"/>
                <w:sz w:val="24"/>
                <w:szCs w:val="24"/>
              </w:rPr>
              <w:t>2016</w:t>
            </w:r>
          </w:p>
        </w:tc>
        <w:tc>
          <w:tcPr>
            <w:tcW w:w="1460" w:type="dxa"/>
            <w:shd w:val="clear" w:color="auto" w:fill="auto"/>
            <w:noWrap/>
            <w:vAlign w:val="bottom"/>
            <w:hideMark/>
          </w:tcPr>
          <w:p w14:paraId="5B940748" w14:textId="77777777" w:rsidR="00C93C49" w:rsidRPr="00C93C49" w:rsidRDefault="00C93C49" w:rsidP="00C93C49">
            <w:pPr>
              <w:spacing w:after="0" w:line="20" w:lineRule="atLeast"/>
              <w:contextualSpacing/>
              <w:jc w:val="center"/>
              <w:rPr>
                <w:rFonts w:ascii="Arial" w:eastAsia="Times New Roman" w:hAnsi="Arial" w:cs="Arial"/>
                <w:b/>
                <w:color w:val="000000"/>
                <w:sz w:val="24"/>
                <w:szCs w:val="24"/>
              </w:rPr>
            </w:pPr>
            <w:r w:rsidRPr="00C93C49">
              <w:rPr>
                <w:rFonts w:ascii="Arial" w:eastAsia="Times New Roman" w:hAnsi="Arial" w:cs="Arial"/>
                <w:b/>
                <w:color w:val="000000"/>
                <w:sz w:val="24"/>
                <w:szCs w:val="24"/>
              </w:rPr>
              <w:t>2017</w:t>
            </w:r>
          </w:p>
        </w:tc>
      </w:tr>
      <w:tr w:rsidR="00C93C49" w:rsidRPr="00C93C49" w14:paraId="796C8C9E" w14:textId="77777777" w:rsidTr="00347614">
        <w:trPr>
          <w:trHeight w:val="412"/>
          <w:jc w:val="center"/>
        </w:trPr>
        <w:tc>
          <w:tcPr>
            <w:tcW w:w="2451" w:type="dxa"/>
            <w:shd w:val="clear" w:color="auto" w:fill="auto"/>
            <w:noWrap/>
            <w:vAlign w:val="bottom"/>
            <w:hideMark/>
          </w:tcPr>
          <w:p w14:paraId="62D7CAD6" w14:textId="77777777" w:rsidR="00C93C49" w:rsidRPr="00C93C49" w:rsidRDefault="00C93C49" w:rsidP="00C93C49">
            <w:pPr>
              <w:spacing w:after="0" w:line="20" w:lineRule="atLeast"/>
              <w:contextualSpacing/>
              <w:rPr>
                <w:rFonts w:ascii="Arial" w:eastAsia="Times New Roman" w:hAnsi="Arial" w:cs="Arial"/>
                <w:b/>
                <w:color w:val="000000"/>
                <w:sz w:val="24"/>
                <w:szCs w:val="24"/>
              </w:rPr>
            </w:pPr>
            <w:r w:rsidRPr="00C93C49">
              <w:rPr>
                <w:rFonts w:ascii="Arial" w:eastAsia="Times New Roman" w:hAnsi="Arial" w:cs="Arial"/>
                <w:b/>
                <w:color w:val="000000"/>
                <w:sz w:val="24"/>
                <w:szCs w:val="24"/>
              </w:rPr>
              <w:t>Met-Ed</w:t>
            </w:r>
          </w:p>
        </w:tc>
        <w:tc>
          <w:tcPr>
            <w:tcW w:w="1322" w:type="dxa"/>
            <w:shd w:val="clear" w:color="auto" w:fill="auto"/>
            <w:noWrap/>
            <w:vAlign w:val="bottom"/>
            <w:hideMark/>
          </w:tcPr>
          <w:p w14:paraId="0B8D5693" w14:textId="77777777" w:rsidR="00C93C49" w:rsidRPr="00C93C49" w:rsidRDefault="00C93C49" w:rsidP="008F32BB">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3.58%</w:t>
            </w:r>
          </w:p>
        </w:tc>
        <w:tc>
          <w:tcPr>
            <w:tcW w:w="1322" w:type="dxa"/>
            <w:shd w:val="clear" w:color="auto" w:fill="auto"/>
            <w:noWrap/>
            <w:vAlign w:val="bottom"/>
            <w:hideMark/>
          </w:tcPr>
          <w:p w14:paraId="483F0F48" w14:textId="77777777" w:rsidR="00C93C49" w:rsidRPr="00C93C49" w:rsidRDefault="00C93C49" w:rsidP="008F32BB">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2.73%</w:t>
            </w:r>
          </w:p>
        </w:tc>
        <w:tc>
          <w:tcPr>
            <w:tcW w:w="1322" w:type="dxa"/>
            <w:shd w:val="clear" w:color="auto" w:fill="auto"/>
            <w:noWrap/>
            <w:vAlign w:val="bottom"/>
            <w:hideMark/>
          </w:tcPr>
          <w:p w14:paraId="363A1ABE" w14:textId="77777777" w:rsidR="00C93C49" w:rsidRPr="00C93C49" w:rsidRDefault="00C93C49" w:rsidP="008F32BB">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2.24%</w:t>
            </w:r>
          </w:p>
        </w:tc>
        <w:tc>
          <w:tcPr>
            <w:tcW w:w="1460" w:type="dxa"/>
            <w:shd w:val="clear" w:color="auto" w:fill="auto"/>
            <w:noWrap/>
            <w:vAlign w:val="bottom"/>
            <w:hideMark/>
          </w:tcPr>
          <w:p w14:paraId="6E20BFD7" w14:textId="77777777" w:rsidR="00C93C49" w:rsidRPr="00C93C49" w:rsidRDefault="00C93C49" w:rsidP="008F32BB">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1.99%</w:t>
            </w:r>
          </w:p>
        </w:tc>
      </w:tr>
      <w:tr w:rsidR="00C93C49" w:rsidRPr="00C93C49" w14:paraId="7CCD5EF5" w14:textId="77777777" w:rsidTr="00347614">
        <w:trPr>
          <w:trHeight w:val="412"/>
          <w:jc w:val="center"/>
        </w:trPr>
        <w:tc>
          <w:tcPr>
            <w:tcW w:w="2451" w:type="dxa"/>
            <w:shd w:val="clear" w:color="auto" w:fill="auto"/>
            <w:noWrap/>
            <w:vAlign w:val="bottom"/>
            <w:hideMark/>
          </w:tcPr>
          <w:p w14:paraId="545B90CB" w14:textId="77777777" w:rsidR="00C93C49" w:rsidRPr="00C93C49" w:rsidRDefault="00C93C49" w:rsidP="00C93C49">
            <w:pPr>
              <w:spacing w:after="0" w:line="20" w:lineRule="atLeast"/>
              <w:contextualSpacing/>
              <w:rPr>
                <w:rFonts w:ascii="Arial" w:eastAsia="Times New Roman" w:hAnsi="Arial" w:cs="Arial"/>
                <w:b/>
                <w:color w:val="000000"/>
                <w:sz w:val="24"/>
                <w:szCs w:val="24"/>
              </w:rPr>
            </w:pPr>
            <w:r w:rsidRPr="00C93C49">
              <w:rPr>
                <w:rFonts w:ascii="Arial" w:eastAsia="Times New Roman" w:hAnsi="Arial" w:cs="Arial"/>
                <w:b/>
                <w:color w:val="000000"/>
                <w:sz w:val="24"/>
                <w:szCs w:val="24"/>
              </w:rPr>
              <w:t>Penelec</w:t>
            </w:r>
          </w:p>
        </w:tc>
        <w:tc>
          <w:tcPr>
            <w:tcW w:w="1322" w:type="dxa"/>
            <w:shd w:val="clear" w:color="auto" w:fill="auto"/>
            <w:noWrap/>
            <w:vAlign w:val="bottom"/>
            <w:hideMark/>
          </w:tcPr>
          <w:p w14:paraId="57CE9E47" w14:textId="77777777" w:rsidR="00C93C49" w:rsidRPr="00C93C49" w:rsidRDefault="00C93C49" w:rsidP="008F32BB">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3.53%</w:t>
            </w:r>
          </w:p>
        </w:tc>
        <w:tc>
          <w:tcPr>
            <w:tcW w:w="1322" w:type="dxa"/>
            <w:shd w:val="clear" w:color="auto" w:fill="auto"/>
            <w:noWrap/>
            <w:vAlign w:val="bottom"/>
            <w:hideMark/>
          </w:tcPr>
          <w:p w14:paraId="2C9ADE2A" w14:textId="77777777" w:rsidR="00C93C49" w:rsidRPr="00C93C49" w:rsidRDefault="00C93C49" w:rsidP="008F32BB">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2.91%</w:t>
            </w:r>
          </w:p>
        </w:tc>
        <w:tc>
          <w:tcPr>
            <w:tcW w:w="1322" w:type="dxa"/>
            <w:shd w:val="clear" w:color="auto" w:fill="auto"/>
            <w:noWrap/>
            <w:vAlign w:val="bottom"/>
            <w:hideMark/>
          </w:tcPr>
          <w:p w14:paraId="4C49B8F7" w14:textId="77777777" w:rsidR="00C93C49" w:rsidRPr="00C93C49" w:rsidRDefault="00C93C49" w:rsidP="008F32BB">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2.54%</w:t>
            </w:r>
          </w:p>
        </w:tc>
        <w:tc>
          <w:tcPr>
            <w:tcW w:w="1460" w:type="dxa"/>
            <w:shd w:val="clear" w:color="auto" w:fill="auto"/>
            <w:noWrap/>
            <w:vAlign w:val="bottom"/>
            <w:hideMark/>
          </w:tcPr>
          <w:p w14:paraId="4349AF0D" w14:textId="77777777" w:rsidR="00C93C49" w:rsidRPr="00C93C49" w:rsidRDefault="00C93C49" w:rsidP="008F32BB">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2.06%</w:t>
            </w:r>
          </w:p>
        </w:tc>
      </w:tr>
      <w:tr w:rsidR="00C93C49" w:rsidRPr="00C93C49" w14:paraId="573E5B03" w14:textId="77777777" w:rsidTr="00347614">
        <w:trPr>
          <w:trHeight w:val="412"/>
          <w:jc w:val="center"/>
        </w:trPr>
        <w:tc>
          <w:tcPr>
            <w:tcW w:w="2451" w:type="dxa"/>
            <w:shd w:val="clear" w:color="auto" w:fill="auto"/>
            <w:noWrap/>
            <w:vAlign w:val="bottom"/>
            <w:hideMark/>
          </w:tcPr>
          <w:p w14:paraId="6DC0EA04" w14:textId="77777777" w:rsidR="00C93C49" w:rsidRPr="00C93C49" w:rsidRDefault="00C93C49" w:rsidP="00C93C49">
            <w:pPr>
              <w:spacing w:after="0" w:line="20" w:lineRule="atLeast"/>
              <w:contextualSpacing/>
              <w:rPr>
                <w:rFonts w:ascii="Arial" w:eastAsia="Times New Roman" w:hAnsi="Arial" w:cs="Arial"/>
                <w:b/>
                <w:color w:val="000000"/>
                <w:sz w:val="24"/>
                <w:szCs w:val="24"/>
              </w:rPr>
            </w:pPr>
            <w:r w:rsidRPr="00C93C49">
              <w:rPr>
                <w:rFonts w:ascii="Arial" w:eastAsia="Times New Roman" w:hAnsi="Arial" w:cs="Arial"/>
                <w:b/>
                <w:color w:val="000000"/>
                <w:sz w:val="24"/>
                <w:szCs w:val="24"/>
              </w:rPr>
              <w:t>Penn Power</w:t>
            </w:r>
          </w:p>
        </w:tc>
        <w:tc>
          <w:tcPr>
            <w:tcW w:w="1322" w:type="dxa"/>
            <w:shd w:val="clear" w:color="auto" w:fill="auto"/>
            <w:noWrap/>
            <w:vAlign w:val="bottom"/>
            <w:hideMark/>
          </w:tcPr>
          <w:p w14:paraId="1CDE95F7" w14:textId="77777777" w:rsidR="00C93C49" w:rsidRPr="00C93C49" w:rsidRDefault="00C93C49" w:rsidP="008F32BB">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2.25%</w:t>
            </w:r>
          </w:p>
        </w:tc>
        <w:tc>
          <w:tcPr>
            <w:tcW w:w="1322" w:type="dxa"/>
            <w:shd w:val="clear" w:color="auto" w:fill="auto"/>
            <w:noWrap/>
            <w:vAlign w:val="bottom"/>
            <w:hideMark/>
          </w:tcPr>
          <w:p w14:paraId="222BD79C" w14:textId="77777777" w:rsidR="00C93C49" w:rsidRPr="00C93C49" w:rsidRDefault="00C93C49" w:rsidP="008F32BB">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1.92%</w:t>
            </w:r>
          </w:p>
        </w:tc>
        <w:tc>
          <w:tcPr>
            <w:tcW w:w="1322" w:type="dxa"/>
            <w:shd w:val="clear" w:color="auto" w:fill="auto"/>
            <w:noWrap/>
            <w:vAlign w:val="bottom"/>
            <w:hideMark/>
          </w:tcPr>
          <w:p w14:paraId="06FB3BF7" w14:textId="77777777" w:rsidR="00C93C49" w:rsidRPr="00C93C49" w:rsidRDefault="00C93C49" w:rsidP="008F32BB">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0.78%</w:t>
            </w:r>
          </w:p>
        </w:tc>
        <w:tc>
          <w:tcPr>
            <w:tcW w:w="1460" w:type="dxa"/>
            <w:shd w:val="clear" w:color="auto" w:fill="auto"/>
            <w:noWrap/>
            <w:vAlign w:val="bottom"/>
            <w:hideMark/>
          </w:tcPr>
          <w:p w14:paraId="6F38205C" w14:textId="77777777" w:rsidR="00C93C49" w:rsidRPr="00C93C49" w:rsidRDefault="00C93C49" w:rsidP="008F32BB">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0.23%</w:t>
            </w:r>
          </w:p>
        </w:tc>
      </w:tr>
      <w:tr w:rsidR="00C93C49" w:rsidRPr="00C93C49" w14:paraId="060EFAD5" w14:textId="77777777" w:rsidTr="00347614">
        <w:trPr>
          <w:trHeight w:val="412"/>
          <w:jc w:val="center"/>
        </w:trPr>
        <w:tc>
          <w:tcPr>
            <w:tcW w:w="2451" w:type="dxa"/>
            <w:shd w:val="clear" w:color="auto" w:fill="auto"/>
            <w:noWrap/>
            <w:vAlign w:val="bottom"/>
            <w:hideMark/>
          </w:tcPr>
          <w:p w14:paraId="0E366A05" w14:textId="77777777" w:rsidR="00C93C49" w:rsidRPr="00C93C49" w:rsidRDefault="00C93C49" w:rsidP="00C93C49">
            <w:pPr>
              <w:spacing w:after="0" w:line="20" w:lineRule="atLeast"/>
              <w:contextualSpacing/>
              <w:rPr>
                <w:rFonts w:ascii="Arial" w:eastAsia="Times New Roman" w:hAnsi="Arial" w:cs="Arial"/>
                <w:b/>
                <w:color w:val="000000"/>
                <w:sz w:val="24"/>
                <w:szCs w:val="24"/>
              </w:rPr>
            </w:pPr>
            <w:r w:rsidRPr="00C93C49">
              <w:rPr>
                <w:rFonts w:ascii="Arial" w:eastAsia="Times New Roman" w:hAnsi="Arial" w:cs="Arial"/>
                <w:b/>
                <w:color w:val="000000"/>
                <w:sz w:val="24"/>
                <w:szCs w:val="24"/>
              </w:rPr>
              <w:t>West Penn Power</w:t>
            </w:r>
          </w:p>
        </w:tc>
        <w:tc>
          <w:tcPr>
            <w:tcW w:w="1322" w:type="dxa"/>
            <w:shd w:val="clear" w:color="auto" w:fill="auto"/>
            <w:noWrap/>
            <w:vAlign w:val="bottom"/>
            <w:hideMark/>
          </w:tcPr>
          <w:p w14:paraId="588DF2D1" w14:textId="77777777" w:rsidR="00C93C49" w:rsidRPr="00C93C49" w:rsidRDefault="00C93C49" w:rsidP="008F32BB">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3.16%</w:t>
            </w:r>
          </w:p>
        </w:tc>
        <w:tc>
          <w:tcPr>
            <w:tcW w:w="1322" w:type="dxa"/>
            <w:shd w:val="clear" w:color="auto" w:fill="auto"/>
            <w:noWrap/>
            <w:vAlign w:val="bottom"/>
            <w:hideMark/>
          </w:tcPr>
          <w:p w14:paraId="58A9342F" w14:textId="77777777" w:rsidR="00C93C49" w:rsidRPr="00C93C49" w:rsidRDefault="00C93C49" w:rsidP="008F32BB">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2.66%</w:t>
            </w:r>
          </w:p>
        </w:tc>
        <w:tc>
          <w:tcPr>
            <w:tcW w:w="1322" w:type="dxa"/>
            <w:shd w:val="clear" w:color="auto" w:fill="auto"/>
            <w:noWrap/>
            <w:vAlign w:val="bottom"/>
            <w:hideMark/>
          </w:tcPr>
          <w:p w14:paraId="6E43DD5E" w14:textId="77777777" w:rsidR="00C93C49" w:rsidRPr="00C93C49" w:rsidRDefault="00C93C49" w:rsidP="008F32BB">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2.23%</w:t>
            </w:r>
          </w:p>
        </w:tc>
        <w:tc>
          <w:tcPr>
            <w:tcW w:w="1460" w:type="dxa"/>
            <w:shd w:val="clear" w:color="auto" w:fill="auto"/>
            <w:noWrap/>
            <w:vAlign w:val="bottom"/>
            <w:hideMark/>
          </w:tcPr>
          <w:p w14:paraId="3C904760" w14:textId="77777777" w:rsidR="00C93C49" w:rsidRPr="00C93C49" w:rsidRDefault="00C93C49" w:rsidP="008F32BB">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2.00%</w:t>
            </w:r>
          </w:p>
        </w:tc>
      </w:tr>
      <w:tr w:rsidR="00C93C49" w:rsidRPr="00C93C49" w14:paraId="1DB43E6C" w14:textId="77777777" w:rsidTr="00347614">
        <w:trPr>
          <w:trHeight w:val="412"/>
          <w:jc w:val="center"/>
        </w:trPr>
        <w:tc>
          <w:tcPr>
            <w:tcW w:w="2451" w:type="dxa"/>
            <w:shd w:val="clear" w:color="auto" w:fill="auto"/>
            <w:noWrap/>
            <w:vAlign w:val="bottom"/>
            <w:hideMark/>
          </w:tcPr>
          <w:p w14:paraId="07B95F66" w14:textId="77777777" w:rsidR="00C93C49" w:rsidRPr="00C93C49" w:rsidRDefault="00DC3D9B" w:rsidP="00C93C49">
            <w:pPr>
              <w:spacing w:after="0" w:line="20" w:lineRule="atLeast"/>
              <w:contextualSpacing/>
              <w:rPr>
                <w:rFonts w:ascii="Arial" w:eastAsia="Times New Roman" w:hAnsi="Arial" w:cs="Arial"/>
                <w:b/>
                <w:color w:val="000000"/>
                <w:sz w:val="24"/>
                <w:szCs w:val="24"/>
              </w:rPr>
            </w:pPr>
            <w:r>
              <w:rPr>
                <w:rFonts w:ascii="Arial" w:eastAsia="Times New Roman" w:hAnsi="Arial" w:cs="Arial"/>
                <w:b/>
                <w:color w:val="000000"/>
                <w:sz w:val="24"/>
                <w:szCs w:val="24"/>
              </w:rPr>
              <w:t>FE-PA companies</w:t>
            </w:r>
          </w:p>
        </w:tc>
        <w:tc>
          <w:tcPr>
            <w:tcW w:w="1322" w:type="dxa"/>
            <w:shd w:val="clear" w:color="auto" w:fill="auto"/>
            <w:noWrap/>
            <w:vAlign w:val="bottom"/>
            <w:hideMark/>
          </w:tcPr>
          <w:p w14:paraId="6D8D915C" w14:textId="77777777" w:rsidR="00C93C49" w:rsidRPr="00C93C49" w:rsidRDefault="00C93C49" w:rsidP="008F32BB">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3.25%</w:t>
            </w:r>
          </w:p>
        </w:tc>
        <w:tc>
          <w:tcPr>
            <w:tcW w:w="1322" w:type="dxa"/>
            <w:shd w:val="clear" w:color="auto" w:fill="auto"/>
            <w:noWrap/>
            <w:vAlign w:val="bottom"/>
            <w:hideMark/>
          </w:tcPr>
          <w:p w14:paraId="6B0E774C" w14:textId="77777777" w:rsidR="00C93C49" w:rsidRPr="00C93C49" w:rsidRDefault="00C93C49" w:rsidP="008F32BB">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2.69%</w:t>
            </w:r>
          </w:p>
        </w:tc>
        <w:tc>
          <w:tcPr>
            <w:tcW w:w="1322" w:type="dxa"/>
            <w:shd w:val="clear" w:color="auto" w:fill="auto"/>
            <w:noWrap/>
            <w:vAlign w:val="bottom"/>
            <w:hideMark/>
          </w:tcPr>
          <w:p w14:paraId="250388A3" w14:textId="77777777" w:rsidR="00C93C49" w:rsidRPr="00C93C49" w:rsidRDefault="00C93C49" w:rsidP="008F32BB">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2.21%</w:t>
            </w:r>
          </w:p>
        </w:tc>
        <w:tc>
          <w:tcPr>
            <w:tcW w:w="1460" w:type="dxa"/>
            <w:shd w:val="clear" w:color="auto" w:fill="auto"/>
            <w:noWrap/>
            <w:vAlign w:val="bottom"/>
            <w:hideMark/>
          </w:tcPr>
          <w:p w14:paraId="139D8998" w14:textId="77777777" w:rsidR="00C93C49" w:rsidRPr="00C93C49" w:rsidRDefault="00C93C49" w:rsidP="008F32BB">
            <w:pPr>
              <w:spacing w:after="0" w:line="20" w:lineRule="atLeast"/>
              <w:contextualSpacing/>
              <w:jc w:val="center"/>
              <w:rPr>
                <w:rFonts w:ascii="Arial" w:eastAsia="Times New Roman" w:hAnsi="Arial" w:cs="Arial"/>
                <w:color w:val="000000"/>
                <w:sz w:val="24"/>
                <w:szCs w:val="24"/>
              </w:rPr>
            </w:pPr>
            <w:r w:rsidRPr="00C93C49">
              <w:rPr>
                <w:rFonts w:ascii="Arial" w:eastAsia="Times New Roman" w:hAnsi="Arial" w:cs="Arial"/>
                <w:color w:val="000000"/>
                <w:sz w:val="24"/>
                <w:szCs w:val="24"/>
              </w:rPr>
              <w:t>1.87%</w:t>
            </w:r>
          </w:p>
        </w:tc>
      </w:tr>
    </w:tbl>
    <w:p w14:paraId="26CB8389" w14:textId="77777777" w:rsidR="00C93C49" w:rsidRPr="00C93C49" w:rsidRDefault="00C93C49" w:rsidP="00C93C49">
      <w:pPr>
        <w:autoSpaceDE w:val="0"/>
        <w:autoSpaceDN w:val="0"/>
        <w:adjustRightInd w:val="0"/>
        <w:spacing w:after="0" w:line="20" w:lineRule="atLeast"/>
        <w:ind w:firstLine="720"/>
        <w:contextualSpacing/>
        <w:rPr>
          <w:rFonts w:ascii="Arial" w:eastAsia="Times New Roman" w:hAnsi="Arial" w:cs="Arial"/>
          <w:color w:val="000000"/>
          <w:sz w:val="18"/>
          <w:szCs w:val="18"/>
        </w:rPr>
      </w:pPr>
      <w:r w:rsidRPr="00C93C49">
        <w:rPr>
          <w:rFonts w:ascii="Arial" w:eastAsia="Times New Roman" w:hAnsi="Arial" w:cs="Arial"/>
          <w:color w:val="000000"/>
          <w:sz w:val="18"/>
          <w:szCs w:val="18"/>
        </w:rPr>
        <w:t>Source: Data Request CS-3</w:t>
      </w:r>
    </w:p>
    <w:p w14:paraId="6881F17D" w14:textId="77777777" w:rsidR="00C93C49" w:rsidRPr="00C93C49" w:rsidRDefault="00C93C49" w:rsidP="00C93C49">
      <w:pPr>
        <w:widowControl w:val="0"/>
        <w:spacing w:after="0" w:line="20" w:lineRule="atLeast"/>
        <w:contextualSpacing/>
        <w:rPr>
          <w:rFonts w:ascii="Arial" w:eastAsia="Times New Roman" w:hAnsi="Arial" w:cs="Arial"/>
          <w:b/>
          <w:snapToGrid w:val="0"/>
          <w:sz w:val="24"/>
          <w:szCs w:val="20"/>
          <w:u w:val="single"/>
        </w:rPr>
      </w:pPr>
    </w:p>
    <w:p w14:paraId="5C1A36A1" w14:textId="77777777" w:rsidR="00C93C49" w:rsidRPr="00C93C49" w:rsidRDefault="00C93C49" w:rsidP="00C93C49">
      <w:pPr>
        <w:widowControl w:val="0"/>
        <w:spacing w:after="0" w:line="20" w:lineRule="atLeast"/>
        <w:contextualSpacing/>
        <w:rPr>
          <w:rFonts w:ascii="Arial" w:eastAsia="Times New Roman" w:hAnsi="Arial" w:cs="Arial"/>
          <w:b/>
          <w:snapToGrid w:val="0"/>
          <w:sz w:val="24"/>
          <w:szCs w:val="20"/>
          <w:u w:val="single"/>
        </w:rPr>
      </w:pPr>
    </w:p>
    <w:p w14:paraId="74AE9FBE" w14:textId="77777777" w:rsidR="00C93C49" w:rsidRPr="00C93C49" w:rsidRDefault="00C93C49" w:rsidP="00C93C49">
      <w:pPr>
        <w:widowControl w:val="0"/>
        <w:spacing w:after="0" w:line="20" w:lineRule="atLeast"/>
        <w:ind w:firstLine="720"/>
        <w:contextualSpacing/>
        <w:rPr>
          <w:rFonts w:ascii="Arial" w:eastAsia="Times New Roman" w:hAnsi="Arial" w:cs="Arial"/>
          <w:snapToGrid w:val="0"/>
          <w:sz w:val="24"/>
          <w:szCs w:val="20"/>
        </w:rPr>
      </w:pPr>
      <w:r w:rsidRPr="00C93C49">
        <w:rPr>
          <w:rFonts w:ascii="Arial" w:eastAsia="Times New Roman" w:hAnsi="Arial" w:cs="Arial"/>
          <w:snapToGrid w:val="0"/>
          <w:sz w:val="24"/>
          <w:szCs w:val="20"/>
        </w:rPr>
        <w:t xml:space="preserve">Smart meter deployment has reduced meter estimates, which has led to a decrease in billing reversals.  In addition, the </w:t>
      </w:r>
      <w:r w:rsidR="00DC3D9B">
        <w:rPr>
          <w:rFonts w:ascii="Arial" w:eastAsia="Times New Roman" w:hAnsi="Arial" w:cs="Arial"/>
          <w:snapToGrid w:val="0"/>
          <w:sz w:val="24"/>
          <w:szCs w:val="20"/>
        </w:rPr>
        <w:t>companies</w:t>
      </w:r>
      <w:r w:rsidRPr="00C93C49">
        <w:rPr>
          <w:rFonts w:ascii="Arial" w:eastAsia="Times New Roman" w:hAnsi="Arial" w:cs="Arial"/>
          <w:snapToGrid w:val="0"/>
          <w:sz w:val="24"/>
          <w:szCs w:val="20"/>
        </w:rPr>
        <w:t xml:space="preserve"> made some changes to how they identify the causes for billing reversals.  In 2015, the </w:t>
      </w:r>
      <w:r w:rsidR="00DC3D9B">
        <w:rPr>
          <w:rFonts w:ascii="Arial" w:eastAsia="Times New Roman" w:hAnsi="Arial" w:cs="Arial"/>
          <w:snapToGrid w:val="0"/>
          <w:sz w:val="24"/>
          <w:szCs w:val="20"/>
        </w:rPr>
        <w:t>FE-PA companies</w:t>
      </w:r>
      <w:r w:rsidRPr="00C93C49">
        <w:rPr>
          <w:rFonts w:ascii="Arial" w:eastAsia="Times New Roman" w:hAnsi="Arial" w:cs="Arial"/>
          <w:snapToGrid w:val="0"/>
          <w:sz w:val="24"/>
          <w:szCs w:val="20"/>
        </w:rPr>
        <w:t xml:space="preserve"> included three additional categories as causes of billing reversals: budget billing true-up, duplicate bill request, and special contract adjustment.  </w:t>
      </w:r>
      <w:r w:rsidR="00640190">
        <w:rPr>
          <w:rFonts w:ascii="Arial" w:eastAsia="Times New Roman" w:hAnsi="Arial" w:cs="Arial"/>
          <w:snapToGrid w:val="0"/>
          <w:sz w:val="24"/>
          <w:szCs w:val="20"/>
        </w:rPr>
        <w:t xml:space="preserve">The </w:t>
      </w:r>
      <w:r w:rsidR="00DC3D9B">
        <w:rPr>
          <w:rFonts w:ascii="Arial" w:eastAsia="Times New Roman" w:hAnsi="Arial" w:cs="Arial"/>
          <w:snapToGrid w:val="0"/>
          <w:sz w:val="24"/>
          <w:szCs w:val="20"/>
        </w:rPr>
        <w:t>FE-PA companies</w:t>
      </w:r>
      <w:r w:rsidRPr="00C93C49">
        <w:rPr>
          <w:rFonts w:ascii="Arial" w:eastAsia="Times New Roman" w:hAnsi="Arial" w:cs="Arial"/>
          <w:snapToGrid w:val="0"/>
          <w:sz w:val="24"/>
          <w:szCs w:val="20"/>
        </w:rPr>
        <w:t xml:space="preserve"> also eliminated the previous category called “miscellaneous”.  These changes helped focus on specific causes for remedy.</w:t>
      </w:r>
    </w:p>
    <w:p w14:paraId="6A333362" w14:textId="77777777" w:rsidR="00C93C49" w:rsidRPr="00C93C49" w:rsidRDefault="00C93C49" w:rsidP="00C93C49">
      <w:pPr>
        <w:widowControl w:val="0"/>
        <w:spacing w:after="0" w:line="20" w:lineRule="atLeast"/>
        <w:contextualSpacing/>
        <w:rPr>
          <w:rFonts w:ascii="Arial" w:eastAsia="Times New Roman" w:hAnsi="Arial" w:cs="Arial"/>
          <w:snapToGrid w:val="0"/>
          <w:sz w:val="24"/>
          <w:szCs w:val="20"/>
        </w:rPr>
      </w:pPr>
    </w:p>
    <w:p w14:paraId="49471E14" w14:textId="77777777" w:rsidR="00C93C49" w:rsidRPr="00C93C49" w:rsidRDefault="00C93C49" w:rsidP="00C93C49">
      <w:pPr>
        <w:autoSpaceDE w:val="0"/>
        <w:autoSpaceDN w:val="0"/>
        <w:adjustRightInd w:val="0"/>
        <w:spacing w:after="0" w:line="20" w:lineRule="atLeast"/>
        <w:ind w:firstLine="720"/>
        <w:contextualSpacing/>
        <w:rPr>
          <w:rFonts w:ascii="Arial" w:eastAsia="Times New Roman" w:hAnsi="Arial" w:cs="Arial"/>
          <w:color w:val="000000"/>
          <w:sz w:val="24"/>
          <w:szCs w:val="24"/>
        </w:rPr>
      </w:pPr>
      <w:r w:rsidRPr="00C93C49">
        <w:rPr>
          <w:rFonts w:ascii="Arial" w:eastAsia="Times New Roman" w:hAnsi="Arial" w:cs="Arial"/>
          <w:snapToGrid w:val="0"/>
          <w:sz w:val="24"/>
          <w:szCs w:val="20"/>
        </w:rPr>
        <w:t xml:space="preserve">The </w:t>
      </w:r>
      <w:r w:rsidR="00DC3D9B">
        <w:rPr>
          <w:rFonts w:ascii="Arial" w:eastAsia="Times New Roman" w:hAnsi="Arial" w:cs="Arial"/>
          <w:snapToGrid w:val="0"/>
          <w:sz w:val="24"/>
          <w:szCs w:val="20"/>
        </w:rPr>
        <w:t>FE-PA companies</w:t>
      </w:r>
      <w:r w:rsidRPr="00C93C49">
        <w:rPr>
          <w:rFonts w:ascii="Arial" w:eastAsia="Times New Roman" w:hAnsi="Arial" w:cs="Arial"/>
          <w:snapToGrid w:val="0"/>
          <w:sz w:val="24"/>
          <w:szCs w:val="20"/>
        </w:rPr>
        <w:t xml:space="preserve"> reduced their average annual billing reversal percentages by 22%, which has resulted in an average annual savings of approximately $5,900 to $6,800 in avoided interest expense from borrowing from the FirstEnergy Money Pool.  </w:t>
      </w:r>
      <w:r w:rsidRPr="00C93C49">
        <w:rPr>
          <w:rFonts w:ascii="Arial" w:eastAsia="Times New Roman" w:hAnsi="Arial" w:cs="Arial"/>
          <w:color w:val="000000"/>
          <w:sz w:val="24"/>
          <w:szCs w:val="24"/>
        </w:rPr>
        <w:t xml:space="preserve">The estimated savings is based upon the average total bill for each of the </w:t>
      </w:r>
      <w:r w:rsidR="00DC3D9B">
        <w:rPr>
          <w:rFonts w:ascii="Arial" w:eastAsia="Times New Roman" w:hAnsi="Arial" w:cs="Arial"/>
          <w:color w:val="000000"/>
          <w:sz w:val="24"/>
          <w:szCs w:val="24"/>
        </w:rPr>
        <w:t>companies</w:t>
      </w:r>
      <w:r w:rsidRPr="00C93C49">
        <w:rPr>
          <w:rFonts w:ascii="Arial" w:eastAsia="Times New Roman" w:hAnsi="Arial" w:cs="Arial"/>
          <w:color w:val="000000"/>
          <w:sz w:val="24"/>
          <w:szCs w:val="24"/>
        </w:rPr>
        <w:t xml:space="preserve"> and the FirstEnergy Money Pool interest rate of 1.5666% as of December 31, 2017.  Although this amount is immaterial, the average annual savings could be larger with more reductions in billing reversals or should the interest rate of the FirstEnergy Money Pool increase.</w:t>
      </w:r>
    </w:p>
    <w:p w14:paraId="4859B92F" w14:textId="77777777" w:rsidR="00C93C49" w:rsidRPr="00C93C49" w:rsidRDefault="00C93C49" w:rsidP="00C93C49">
      <w:pPr>
        <w:widowControl w:val="0"/>
        <w:spacing w:after="0" w:line="20" w:lineRule="atLeast"/>
        <w:contextualSpacing/>
        <w:rPr>
          <w:rFonts w:ascii="Arial" w:hAnsi="Arial" w:cs="Arial"/>
          <w:sz w:val="24"/>
          <w:szCs w:val="24"/>
        </w:rPr>
      </w:pPr>
    </w:p>
    <w:p w14:paraId="35222AB3" w14:textId="77777777" w:rsidR="00C93C49" w:rsidRPr="00C93C49" w:rsidRDefault="00C93C49" w:rsidP="00C93C49">
      <w:pPr>
        <w:widowControl w:val="0"/>
        <w:spacing w:after="0" w:line="20" w:lineRule="atLeast"/>
        <w:contextualSpacing/>
        <w:rPr>
          <w:rFonts w:ascii="Arial" w:eastAsia="Times New Roman" w:hAnsi="Arial" w:cs="Arial"/>
          <w:b/>
          <w:color w:val="000000"/>
          <w:sz w:val="24"/>
          <w:szCs w:val="24"/>
        </w:rPr>
      </w:pPr>
      <w:r w:rsidRPr="00C93C49">
        <w:rPr>
          <w:rFonts w:ascii="Arial" w:eastAsia="Times New Roman" w:hAnsi="Arial" w:cs="Times New Roman"/>
          <w:b/>
          <w:sz w:val="24"/>
          <w:szCs w:val="24"/>
          <w:u w:val="single"/>
        </w:rPr>
        <w:t>Follow-up Recommendation</w:t>
      </w:r>
      <w:r w:rsidRPr="00C93C49">
        <w:rPr>
          <w:rFonts w:ascii="Arial" w:eastAsia="Times New Roman" w:hAnsi="Arial" w:cs="Times New Roman"/>
          <w:b/>
          <w:sz w:val="24"/>
          <w:szCs w:val="24"/>
        </w:rPr>
        <w:t xml:space="preserve"> – </w:t>
      </w:r>
      <w:r w:rsidRPr="00C93C49">
        <w:rPr>
          <w:rFonts w:ascii="Arial" w:hAnsi="Arial" w:cs="Arial"/>
          <w:b/>
          <w:sz w:val="24"/>
          <w:szCs w:val="24"/>
        </w:rPr>
        <w:t>None</w:t>
      </w:r>
    </w:p>
    <w:p w14:paraId="7ACCDAB5" w14:textId="77777777" w:rsidR="00C93C49" w:rsidRPr="00C93C49" w:rsidRDefault="00C93C49" w:rsidP="00C93C49">
      <w:pPr>
        <w:widowControl w:val="0"/>
        <w:spacing w:after="0" w:line="20" w:lineRule="atLeast"/>
        <w:contextualSpacing/>
        <w:rPr>
          <w:rFonts w:ascii="Arial" w:hAnsi="Arial" w:cs="Arial"/>
          <w:sz w:val="24"/>
          <w:szCs w:val="24"/>
        </w:rPr>
      </w:pPr>
    </w:p>
    <w:p w14:paraId="1FEF4F1C" w14:textId="77777777" w:rsidR="00C93C49" w:rsidRPr="00C93C49" w:rsidRDefault="00C93C49" w:rsidP="00C93C49">
      <w:pPr>
        <w:spacing w:after="0" w:line="20" w:lineRule="atLeast"/>
        <w:contextualSpacing/>
        <w:jc w:val="center"/>
        <w:rPr>
          <w:rFonts w:ascii="Arial" w:eastAsia="Times New Roman" w:hAnsi="Arial" w:cs="Times New Roman"/>
          <w:b/>
          <w:sz w:val="24"/>
          <w:szCs w:val="24"/>
          <w:u w:val="single"/>
        </w:rPr>
      </w:pPr>
    </w:p>
    <w:p w14:paraId="3ABABAAA" w14:textId="77777777" w:rsidR="00F672A7" w:rsidRDefault="00F672A7">
      <w:pPr>
        <w:rPr>
          <w:rFonts w:ascii="Arial" w:eastAsia="Times New Roman" w:hAnsi="Arial" w:cs="Times New Roman"/>
          <w:b/>
          <w:sz w:val="24"/>
          <w:szCs w:val="24"/>
          <w:u w:val="single"/>
        </w:rPr>
      </w:pPr>
      <w:r>
        <w:rPr>
          <w:rFonts w:ascii="Arial" w:eastAsia="Times New Roman" w:hAnsi="Arial" w:cs="Times New Roman"/>
          <w:b/>
          <w:sz w:val="24"/>
          <w:szCs w:val="24"/>
          <w:u w:val="single"/>
        </w:rPr>
        <w:br w:type="page"/>
      </w:r>
    </w:p>
    <w:p w14:paraId="2897EF44" w14:textId="77777777" w:rsidR="00C93C49" w:rsidRPr="00C93C49" w:rsidRDefault="00C93C49" w:rsidP="00C93C49">
      <w:pPr>
        <w:spacing w:after="0" w:line="20" w:lineRule="atLeast"/>
        <w:contextualSpacing/>
        <w:jc w:val="center"/>
        <w:rPr>
          <w:rFonts w:ascii="Arial" w:eastAsia="Times New Roman" w:hAnsi="Arial" w:cs="Times New Roman"/>
          <w:b/>
          <w:sz w:val="24"/>
          <w:szCs w:val="24"/>
          <w:u w:val="single"/>
        </w:rPr>
      </w:pPr>
      <w:r w:rsidRPr="00C93C49">
        <w:rPr>
          <w:rFonts w:ascii="Arial" w:eastAsia="Times New Roman" w:hAnsi="Arial" w:cs="Times New Roman"/>
          <w:b/>
          <w:sz w:val="24"/>
          <w:szCs w:val="24"/>
          <w:u w:val="single"/>
        </w:rPr>
        <w:t>Finding No. X-4</w:t>
      </w:r>
    </w:p>
    <w:p w14:paraId="67C2BF92" w14:textId="77777777" w:rsidR="00C93C49" w:rsidRPr="00C93C49" w:rsidRDefault="00C93C49" w:rsidP="00C93C49">
      <w:pPr>
        <w:widowControl w:val="0"/>
        <w:spacing w:after="0" w:line="20" w:lineRule="atLeast"/>
        <w:contextualSpacing/>
        <w:rPr>
          <w:rFonts w:ascii="Arial" w:hAnsi="Arial" w:cs="Arial"/>
          <w:sz w:val="24"/>
          <w:szCs w:val="24"/>
        </w:rPr>
      </w:pPr>
    </w:p>
    <w:p w14:paraId="353C22E6" w14:textId="77777777" w:rsidR="00C93C49" w:rsidRPr="00C93C49" w:rsidRDefault="00C93C49" w:rsidP="00C93C49">
      <w:pPr>
        <w:autoSpaceDE w:val="0"/>
        <w:autoSpaceDN w:val="0"/>
        <w:adjustRightInd w:val="0"/>
        <w:spacing w:after="0" w:line="20" w:lineRule="atLeast"/>
        <w:contextualSpacing/>
        <w:rPr>
          <w:rFonts w:ascii="Arial" w:eastAsia="Times New Roman" w:hAnsi="Arial" w:cs="Times New Roman"/>
          <w:sz w:val="24"/>
          <w:szCs w:val="24"/>
        </w:rPr>
      </w:pPr>
      <w:r w:rsidRPr="00C93C49">
        <w:rPr>
          <w:rFonts w:ascii="Arial" w:hAnsi="Arial" w:cs="Arial"/>
          <w:b/>
          <w:sz w:val="24"/>
          <w:szCs w:val="24"/>
          <w:u w:val="single"/>
        </w:rPr>
        <w:t>Prior Situation</w:t>
      </w:r>
      <w:r w:rsidRPr="00C93C49">
        <w:rPr>
          <w:rFonts w:ascii="Arial" w:hAnsi="Arial" w:cs="Arial"/>
          <w:sz w:val="24"/>
          <w:szCs w:val="24"/>
        </w:rPr>
        <w:t xml:space="preserve"> – </w:t>
      </w:r>
      <w:r w:rsidRPr="00C93C49">
        <w:rPr>
          <w:rFonts w:ascii="Arial" w:eastAsia="Times New Roman" w:hAnsi="Arial" w:cs="Times New Roman"/>
          <w:sz w:val="24"/>
          <w:szCs w:val="24"/>
        </w:rPr>
        <w:t xml:space="preserve">FirstEnergy was experiencing high turnover rates for Customer Service Representatives (CSR) and call center performance was below average when compared to other Pennsylvania EDCs.  CSR turnover rates at FirstEnergy, which reflected both internal and </w:t>
      </w:r>
      <w:r w:rsidR="00640190" w:rsidRPr="00C93C49">
        <w:rPr>
          <w:rFonts w:ascii="Arial" w:eastAsia="Times New Roman" w:hAnsi="Arial" w:cs="Times New Roman"/>
          <w:sz w:val="24"/>
          <w:szCs w:val="24"/>
        </w:rPr>
        <w:t>third-party</w:t>
      </w:r>
      <w:r w:rsidRPr="00C93C49">
        <w:rPr>
          <w:rFonts w:ascii="Arial" w:eastAsia="Times New Roman" w:hAnsi="Arial" w:cs="Times New Roman"/>
          <w:sz w:val="24"/>
          <w:szCs w:val="24"/>
        </w:rPr>
        <w:t xml:space="preserve"> CSRs, had steadily increased from a low of 12.75% in 2009 to a high of 24.9% in 2013.  More specifically, the full-time equivalent CSR turnover rates by year were as follows:</w:t>
      </w:r>
    </w:p>
    <w:p w14:paraId="5F13A9BE" w14:textId="77777777" w:rsidR="00C93C49" w:rsidRPr="00C93C49" w:rsidRDefault="00C93C49" w:rsidP="00C93C49">
      <w:pPr>
        <w:autoSpaceDE w:val="0"/>
        <w:autoSpaceDN w:val="0"/>
        <w:adjustRightInd w:val="0"/>
        <w:spacing w:after="0" w:line="20" w:lineRule="atLeast"/>
        <w:contextualSpacing/>
        <w:rPr>
          <w:rFonts w:ascii="Arial" w:eastAsia="Times New Roman" w:hAnsi="Arial" w:cs="Times New Roman"/>
          <w:sz w:val="24"/>
          <w:szCs w:val="24"/>
        </w:rPr>
      </w:pPr>
    </w:p>
    <w:p w14:paraId="1063D636" w14:textId="77777777" w:rsidR="00C93C49" w:rsidRPr="00C93C49" w:rsidRDefault="00C93C49" w:rsidP="00D94B11">
      <w:pPr>
        <w:widowControl w:val="0"/>
        <w:numPr>
          <w:ilvl w:val="0"/>
          <w:numId w:val="18"/>
        </w:numPr>
        <w:autoSpaceDE w:val="0"/>
        <w:autoSpaceDN w:val="0"/>
        <w:adjustRightInd w:val="0"/>
        <w:spacing w:after="0" w:line="20" w:lineRule="atLeast"/>
        <w:ind w:left="1080"/>
        <w:contextualSpacing/>
        <w:rPr>
          <w:rFonts w:ascii="Arial" w:eastAsia="Times New Roman" w:hAnsi="Arial" w:cs="Arial"/>
          <w:color w:val="000000"/>
          <w:sz w:val="24"/>
          <w:szCs w:val="24"/>
        </w:rPr>
      </w:pPr>
      <w:r w:rsidRPr="00C93C49">
        <w:rPr>
          <w:rFonts w:ascii="Arial" w:eastAsia="Times New Roman" w:hAnsi="Arial" w:cs="Arial"/>
          <w:color w:val="000000"/>
          <w:sz w:val="24"/>
          <w:szCs w:val="24"/>
        </w:rPr>
        <w:t>2009 – 12.75%</w:t>
      </w:r>
    </w:p>
    <w:p w14:paraId="611D9694" w14:textId="77777777" w:rsidR="00C93C49" w:rsidRPr="00C93C49" w:rsidRDefault="00C93C49" w:rsidP="00D94B11">
      <w:pPr>
        <w:widowControl w:val="0"/>
        <w:numPr>
          <w:ilvl w:val="0"/>
          <w:numId w:val="18"/>
        </w:numPr>
        <w:autoSpaceDE w:val="0"/>
        <w:autoSpaceDN w:val="0"/>
        <w:adjustRightInd w:val="0"/>
        <w:spacing w:after="0" w:line="20" w:lineRule="atLeast"/>
        <w:ind w:left="1080"/>
        <w:contextualSpacing/>
        <w:rPr>
          <w:rFonts w:ascii="Arial" w:eastAsia="Times New Roman" w:hAnsi="Arial" w:cs="Arial"/>
          <w:color w:val="000000"/>
          <w:sz w:val="24"/>
          <w:szCs w:val="24"/>
        </w:rPr>
      </w:pPr>
      <w:r w:rsidRPr="00C93C49">
        <w:rPr>
          <w:rFonts w:ascii="Arial" w:eastAsia="Times New Roman" w:hAnsi="Arial" w:cs="Arial"/>
          <w:color w:val="000000"/>
          <w:sz w:val="24"/>
          <w:szCs w:val="24"/>
        </w:rPr>
        <w:t>2010 – 14.02%</w:t>
      </w:r>
    </w:p>
    <w:p w14:paraId="4726981D" w14:textId="77777777" w:rsidR="00C93C49" w:rsidRPr="00C93C49" w:rsidRDefault="00C93C49" w:rsidP="00D94B11">
      <w:pPr>
        <w:widowControl w:val="0"/>
        <w:numPr>
          <w:ilvl w:val="0"/>
          <w:numId w:val="18"/>
        </w:numPr>
        <w:autoSpaceDE w:val="0"/>
        <w:autoSpaceDN w:val="0"/>
        <w:adjustRightInd w:val="0"/>
        <w:spacing w:after="0" w:line="20" w:lineRule="atLeast"/>
        <w:ind w:left="1080"/>
        <w:contextualSpacing/>
        <w:rPr>
          <w:rFonts w:ascii="Arial" w:eastAsia="Times New Roman" w:hAnsi="Arial" w:cs="Arial"/>
          <w:color w:val="000000"/>
          <w:sz w:val="24"/>
          <w:szCs w:val="24"/>
        </w:rPr>
      </w:pPr>
      <w:r w:rsidRPr="00C93C49">
        <w:rPr>
          <w:rFonts w:ascii="Arial" w:eastAsia="Times New Roman" w:hAnsi="Arial" w:cs="Arial"/>
          <w:color w:val="000000"/>
          <w:sz w:val="24"/>
          <w:szCs w:val="24"/>
        </w:rPr>
        <w:t>2011 – 19.23%</w:t>
      </w:r>
    </w:p>
    <w:p w14:paraId="2EA65D0A" w14:textId="77777777" w:rsidR="00C93C49" w:rsidRPr="00C93C49" w:rsidRDefault="00C93C49" w:rsidP="00D94B11">
      <w:pPr>
        <w:widowControl w:val="0"/>
        <w:numPr>
          <w:ilvl w:val="0"/>
          <w:numId w:val="18"/>
        </w:numPr>
        <w:autoSpaceDE w:val="0"/>
        <w:autoSpaceDN w:val="0"/>
        <w:adjustRightInd w:val="0"/>
        <w:spacing w:after="0" w:line="20" w:lineRule="atLeast"/>
        <w:ind w:left="1080"/>
        <w:contextualSpacing/>
        <w:rPr>
          <w:rFonts w:ascii="Arial" w:eastAsia="Times New Roman" w:hAnsi="Arial" w:cs="Arial"/>
          <w:color w:val="000000"/>
          <w:sz w:val="24"/>
          <w:szCs w:val="24"/>
        </w:rPr>
      </w:pPr>
      <w:r w:rsidRPr="00C93C49">
        <w:rPr>
          <w:rFonts w:ascii="Arial" w:eastAsia="Times New Roman" w:hAnsi="Arial" w:cs="Arial"/>
          <w:color w:val="000000"/>
          <w:sz w:val="24"/>
          <w:szCs w:val="24"/>
        </w:rPr>
        <w:t>2012 – 22.92%</w:t>
      </w:r>
    </w:p>
    <w:p w14:paraId="3F4C0D91" w14:textId="77777777" w:rsidR="00C93C49" w:rsidRPr="00C93C49" w:rsidRDefault="00C93C49" w:rsidP="00D94B11">
      <w:pPr>
        <w:widowControl w:val="0"/>
        <w:numPr>
          <w:ilvl w:val="0"/>
          <w:numId w:val="18"/>
        </w:numPr>
        <w:autoSpaceDE w:val="0"/>
        <w:autoSpaceDN w:val="0"/>
        <w:adjustRightInd w:val="0"/>
        <w:spacing w:after="0" w:line="20" w:lineRule="atLeast"/>
        <w:ind w:left="1080"/>
        <w:contextualSpacing/>
        <w:rPr>
          <w:rFonts w:ascii="Arial" w:eastAsia="Times New Roman" w:hAnsi="Arial" w:cs="Arial"/>
          <w:color w:val="000000"/>
          <w:sz w:val="24"/>
          <w:szCs w:val="24"/>
        </w:rPr>
      </w:pPr>
      <w:r w:rsidRPr="00C93C49">
        <w:rPr>
          <w:rFonts w:ascii="Arial" w:eastAsia="Times New Roman" w:hAnsi="Arial" w:cs="Arial"/>
          <w:color w:val="000000"/>
          <w:sz w:val="24"/>
          <w:szCs w:val="24"/>
        </w:rPr>
        <w:t>2013 – 24.89%</w:t>
      </w:r>
    </w:p>
    <w:p w14:paraId="63B151B5" w14:textId="77777777" w:rsidR="00C93C49" w:rsidRPr="00C93C49" w:rsidRDefault="00C93C49" w:rsidP="00C93C49">
      <w:pPr>
        <w:widowControl w:val="0"/>
        <w:spacing w:after="0" w:line="20" w:lineRule="atLeast"/>
        <w:ind w:firstLine="720"/>
        <w:contextualSpacing/>
        <w:rPr>
          <w:rFonts w:ascii="Arial" w:eastAsia="Calibri" w:hAnsi="Arial" w:cs="Arial"/>
          <w:snapToGrid w:val="0"/>
          <w:sz w:val="24"/>
          <w:szCs w:val="24"/>
        </w:rPr>
      </w:pPr>
    </w:p>
    <w:p w14:paraId="24988B62" w14:textId="77777777" w:rsidR="00C93C49" w:rsidRPr="00C93C49" w:rsidRDefault="00C93C49" w:rsidP="00C93C49">
      <w:pPr>
        <w:widowControl w:val="0"/>
        <w:spacing w:after="0" w:line="20" w:lineRule="atLeast"/>
        <w:ind w:firstLine="720"/>
        <w:contextualSpacing/>
        <w:rPr>
          <w:rFonts w:ascii="Arial" w:eastAsia="Calibri" w:hAnsi="Arial" w:cs="Arial"/>
          <w:snapToGrid w:val="0"/>
          <w:sz w:val="24"/>
          <w:szCs w:val="24"/>
        </w:rPr>
      </w:pPr>
      <w:r w:rsidRPr="00C93C49">
        <w:rPr>
          <w:rFonts w:ascii="Arial" w:eastAsia="Calibri" w:hAnsi="Arial" w:cs="Arial"/>
          <w:snapToGrid w:val="0"/>
          <w:sz w:val="24"/>
          <w:szCs w:val="24"/>
        </w:rPr>
        <w:t xml:space="preserve">CSR turnover rates increased in 2011 and 2012 reportedly due in large part to the overtime demands associated with major weather events during this period and/or adaptation to FirstEnergy’s new Customer Service Information System in its Fairmont Contact Center.  In addition, the Reading Contact Center had to compete with other regional call centers that offered attractive starting wages for CSRs which may have resulted in higher turnover as well.  Although the Contact Center Department benefited from stable weather, improved staffing forecasting models, and improved screening during new CSR hiring in 2013, turnover rates remained significantly higher than in prior years.  </w:t>
      </w:r>
    </w:p>
    <w:p w14:paraId="0B280765" w14:textId="77777777" w:rsidR="00C93C49" w:rsidRPr="00C93C49" w:rsidRDefault="00C93C49" w:rsidP="00C93C49">
      <w:pPr>
        <w:widowControl w:val="0"/>
        <w:spacing w:after="0" w:line="20" w:lineRule="atLeast"/>
        <w:ind w:firstLine="720"/>
        <w:contextualSpacing/>
        <w:rPr>
          <w:rFonts w:ascii="Arial" w:eastAsia="Calibri" w:hAnsi="Arial" w:cs="Arial"/>
          <w:snapToGrid w:val="0"/>
          <w:sz w:val="24"/>
          <w:szCs w:val="24"/>
        </w:rPr>
      </w:pPr>
    </w:p>
    <w:p w14:paraId="19B06A89" w14:textId="77777777" w:rsidR="00C93C49" w:rsidRPr="00C93C49" w:rsidRDefault="00C93C49" w:rsidP="00C93C49">
      <w:pPr>
        <w:autoSpaceDE w:val="0"/>
        <w:autoSpaceDN w:val="0"/>
        <w:adjustRightInd w:val="0"/>
        <w:spacing w:after="0" w:line="20" w:lineRule="atLeast"/>
        <w:ind w:firstLine="720"/>
        <w:contextualSpacing/>
        <w:rPr>
          <w:rFonts w:ascii="Arial" w:eastAsia="Times New Roman" w:hAnsi="Arial" w:cs="Arial"/>
          <w:color w:val="000000"/>
          <w:sz w:val="24"/>
          <w:szCs w:val="24"/>
        </w:rPr>
      </w:pPr>
      <w:r w:rsidRPr="00C93C49">
        <w:rPr>
          <w:rFonts w:ascii="Arial" w:eastAsia="Calibri" w:hAnsi="Arial" w:cs="Arial"/>
          <w:snapToGrid w:val="0"/>
          <w:sz w:val="24"/>
          <w:szCs w:val="24"/>
        </w:rPr>
        <w:t xml:space="preserve">Achieving a CSR turnover rate closer to the level accomplished in 2009 would help improve contact center performance and avoid costs associated with hiring and training new employees.  </w:t>
      </w:r>
      <w:r w:rsidRPr="00C93C49">
        <w:rPr>
          <w:rFonts w:ascii="Arial" w:eastAsia="Times New Roman" w:hAnsi="Arial" w:cs="Arial"/>
          <w:color w:val="000000"/>
          <w:sz w:val="24"/>
          <w:szCs w:val="24"/>
        </w:rPr>
        <w:t xml:space="preserve">The hiring process and training required between 75 and 120 days.  Over a four-year period from 2010 to 2013, the estimated </w:t>
      </w:r>
      <w:r w:rsidRPr="00C93C49">
        <w:rPr>
          <w:rFonts w:ascii="Arial" w:eastAsia="Calibri" w:hAnsi="Arial" w:cs="Arial"/>
          <w:snapToGrid w:val="0"/>
          <w:sz w:val="24"/>
          <w:szCs w:val="24"/>
        </w:rPr>
        <w:t xml:space="preserve">potential savings from reducing CSR turnover for each of the </w:t>
      </w:r>
      <w:r w:rsidR="00DC3D9B">
        <w:rPr>
          <w:rFonts w:ascii="Arial" w:eastAsia="Calibri" w:hAnsi="Arial" w:cs="Arial"/>
          <w:snapToGrid w:val="0"/>
          <w:sz w:val="24"/>
          <w:szCs w:val="24"/>
        </w:rPr>
        <w:t>FE-PA companies</w:t>
      </w:r>
      <w:r w:rsidRPr="00C93C49">
        <w:rPr>
          <w:rFonts w:ascii="Arial" w:eastAsia="Calibri" w:hAnsi="Arial" w:cs="Arial"/>
          <w:snapToGrid w:val="0"/>
          <w:sz w:val="24"/>
          <w:szCs w:val="24"/>
        </w:rPr>
        <w:t xml:space="preserve"> was as shown in Exhibit X-9. </w:t>
      </w:r>
    </w:p>
    <w:p w14:paraId="1FF3D021" w14:textId="77777777" w:rsidR="00C93C49" w:rsidRPr="00C93C49" w:rsidRDefault="00C93C49" w:rsidP="00C93C49">
      <w:pPr>
        <w:autoSpaceDE w:val="0"/>
        <w:autoSpaceDN w:val="0"/>
        <w:adjustRightInd w:val="0"/>
        <w:spacing w:after="0" w:line="20" w:lineRule="atLeast"/>
        <w:contextualSpacing/>
        <w:rPr>
          <w:rFonts w:ascii="Arial" w:eastAsia="Times New Roman" w:hAnsi="Arial" w:cs="Arial"/>
          <w:b/>
          <w:bCs/>
          <w:color w:val="000000"/>
          <w:sz w:val="24"/>
          <w:szCs w:val="24"/>
        </w:rPr>
      </w:pPr>
    </w:p>
    <w:p w14:paraId="67844AF7" w14:textId="77777777" w:rsidR="00C93C49" w:rsidRPr="00C93C49" w:rsidRDefault="00C93C49" w:rsidP="00C93C49">
      <w:pPr>
        <w:autoSpaceDE w:val="0"/>
        <w:autoSpaceDN w:val="0"/>
        <w:adjustRightInd w:val="0"/>
        <w:spacing w:after="0" w:line="20" w:lineRule="atLeast"/>
        <w:contextualSpacing/>
        <w:jc w:val="center"/>
        <w:rPr>
          <w:rFonts w:ascii="Arial" w:eastAsia="Times New Roman" w:hAnsi="Arial" w:cs="Arial"/>
          <w:b/>
          <w:bCs/>
          <w:color w:val="000000"/>
          <w:sz w:val="24"/>
          <w:szCs w:val="24"/>
        </w:rPr>
      </w:pPr>
      <w:r w:rsidRPr="00C93C49">
        <w:rPr>
          <w:rFonts w:ascii="Arial" w:eastAsia="Times New Roman" w:hAnsi="Arial" w:cs="Arial"/>
          <w:b/>
          <w:bCs/>
          <w:color w:val="000000"/>
          <w:sz w:val="24"/>
          <w:szCs w:val="24"/>
        </w:rPr>
        <w:t xml:space="preserve">Exhibit X – 9 </w:t>
      </w:r>
    </w:p>
    <w:p w14:paraId="593CE2C9"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4"/>
        </w:rPr>
      </w:pPr>
      <w:r w:rsidRPr="00C93C49">
        <w:rPr>
          <w:rFonts w:ascii="Arial" w:eastAsia="Calibri" w:hAnsi="Arial" w:cs="Arial"/>
          <w:b/>
          <w:snapToGrid w:val="0"/>
          <w:sz w:val="24"/>
          <w:szCs w:val="24"/>
        </w:rPr>
        <w:t>FirstEnergy Pennsylvania Companies</w:t>
      </w:r>
    </w:p>
    <w:p w14:paraId="0FD518EE"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4"/>
        </w:rPr>
      </w:pPr>
      <w:r w:rsidRPr="00C93C49">
        <w:rPr>
          <w:rFonts w:ascii="Arial" w:eastAsia="Times New Roman" w:hAnsi="Arial" w:cs="Arial"/>
          <w:b/>
          <w:snapToGrid w:val="0"/>
          <w:sz w:val="24"/>
          <w:szCs w:val="24"/>
        </w:rPr>
        <w:t xml:space="preserve">Potential Annual Savings from Minimizing </w:t>
      </w:r>
    </w:p>
    <w:p w14:paraId="7D2A291D"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4"/>
        </w:rPr>
      </w:pPr>
      <w:r w:rsidRPr="00C93C49">
        <w:rPr>
          <w:rFonts w:ascii="Arial" w:eastAsia="Times New Roman" w:hAnsi="Arial" w:cs="Arial"/>
          <w:b/>
          <w:snapToGrid w:val="0"/>
          <w:sz w:val="24"/>
          <w:szCs w:val="24"/>
        </w:rPr>
        <w:t>Customer Service Representative Turnover</w:t>
      </w:r>
    </w:p>
    <w:p w14:paraId="557848C0"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4"/>
        </w:rPr>
      </w:pPr>
      <w:r w:rsidRPr="00C93C49">
        <w:rPr>
          <w:rFonts w:ascii="Arial" w:eastAsia="Times New Roman" w:hAnsi="Arial" w:cs="Arial"/>
          <w:b/>
          <w:snapToGrid w:val="0"/>
          <w:sz w:val="24"/>
          <w:szCs w:val="24"/>
        </w:rPr>
        <w:t>For the Years 2010 through 2013</w:t>
      </w:r>
    </w:p>
    <w:p w14:paraId="028BDA7A" w14:textId="77777777" w:rsidR="00C93C49" w:rsidRPr="00C93C49" w:rsidRDefault="00C93C49" w:rsidP="00C93C49">
      <w:pPr>
        <w:widowControl w:val="0"/>
        <w:spacing w:after="0" w:line="20" w:lineRule="atLeast"/>
        <w:contextualSpacing/>
        <w:jc w:val="center"/>
        <w:rPr>
          <w:rFonts w:ascii="Arial" w:eastAsia="Calibri" w:hAnsi="Arial" w:cs="Arial"/>
          <w:snapToGrid w:val="0"/>
          <w:sz w:val="8"/>
          <w:szCs w:val="8"/>
        </w:rPr>
      </w:pPr>
    </w:p>
    <w:tbl>
      <w:tblPr>
        <w:tblStyle w:val="TableGrid311"/>
        <w:tblW w:w="4632" w:type="dxa"/>
        <w:jc w:val="center"/>
        <w:tblLook w:val="04A0" w:firstRow="1" w:lastRow="0" w:firstColumn="1" w:lastColumn="0" w:noHBand="0" w:noVBand="1"/>
      </w:tblPr>
      <w:tblGrid>
        <w:gridCol w:w="2070"/>
        <w:gridCol w:w="1138"/>
        <w:gridCol w:w="290"/>
        <w:gridCol w:w="1134"/>
      </w:tblGrid>
      <w:tr w:rsidR="00C93C49" w:rsidRPr="00C93C49" w14:paraId="6B6A23A6" w14:textId="77777777" w:rsidTr="003F5C2A">
        <w:trPr>
          <w:trHeight w:val="288"/>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91CF0" w14:textId="77777777" w:rsidR="00C93C49" w:rsidRPr="00C93C49" w:rsidRDefault="00C93C49" w:rsidP="00C93C49">
            <w:pPr>
              <w:widowControl w:val="0"/>
              <w:spacing w:line="20" w:lineRule="atLeast"/>
              <w:contextualSpacing/>
              <w:rPr>
                <w:rFonts w:ascii="Calibri" w:eastAsia="Calibri" w:hAnsi="Calibri"/>
                <w:snapToGrid w:val="0"/>
              </w:rPr>
            </w:pP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hideMark/>
          </w:tcPr>
          <w:p w14:paraId="71E7F9E1" w14:textId="77777777" w:rsidR="00C93C49" w:rsidRPr="00C93C49" w:rsidRDefault="00C93C49" w:rsidP="00C93C49">
            <w:pPr>
              <w:widowControl w:val="0"/>
              <w:spacing w:line="20" w:lineRule="atLeast"/>
              <w:contextualSpacing/>
              <w:jc w:val="center"/>
              <w:rPr>
                <w:rFonts w:ascii="Arial" w:eastAsia="Calibri" w:hAnsi="Arial" w:cs="Arial"/>
                <w:b/>
                <w:snapToGrid w:val="0"/>
                <w:color w:val="FFFFFF"/>
              </w:rPr>
            </w:pPr>
            <w:r w:rsidRPr="00C93C49">
              <w:rPr>
                <w:rFonts w:ascii="Arial" w:eastAsia="Calibri" w:hAnsi="Arial" w:cs="Arial"/>
                <w:b/>
                <w:snapToGrid w:val="0"/>
              </w:rPr>
              <w:t>Potential Annual Savings from Avoided Turnover Costs</w:t>
            </w:r>
          </w:p>
        </w:tc>
      </w:tr>
      <w:tr w:rsidR="00C93C49" w:rsidRPr="00C93C49" w14:paraId="7CDB4B4A" w14:textId="77777777" w:rsidTr="003F5C2A">
        <w:trPr>
          <w:trHeight w:val="288"/>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67B55"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Met-Ed</w:t>
            </w:r>
          </w:p>
        </w:tc>
        <w:tc>
          <w:tcPr>
            <w:tcW w:w="1138" w:type="dxa"/>
            <w:tcBorders>
              <w:top w:val="single" w:sz="4" w:space="0" w:color="auto"/>
              <w:left w:val="single" w:sz="4" w:space="0" w:color="auto"/>
              <w:bottom w:val="single" w:sz="4" w:space="0" w:color="auto"/>
              <w:right w:val="nil"/>
            </w:tcBorders>
            <w:shd w:val="clear" w:color="auto" w:fill="auto"/>
            <w:noWrap/>
            <w:vAlign w:val="center"/>
            <w:hideMark/>
          </w:tcPr>
          <w:p w14:paraId="62165899"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 xml:space="preserve">$67,102 </w:t>
            </w:r>
          </w:p>
        </w:tc>
        <w:tc>
          <w:tcPr>
            <w:tcW w:w="290" w:type="dxa"/>
            <w:tcBorders>
              <w:top w:val="single" w:sz="4" w:space="0" w:color="auto"/>
              <w:left w:val="nil"/>
              <w:bottom w:val="single" w:sz="4" w:space="0" w:color="auto"/>
              <w:right w:val="nil"/>
            </w:tcBorders>
            <w:shd w:val="clear" w:color="auto" w:fill="auto"/>
            <w:vAlign w:val="center"/>
            <w:hideMark/>
          </w:tcPr>
          <w:p w14:paraId="0E51D4EE"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4625EC9"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 xml:space="preserve">$84,392 </w:t>
            </w:r>
          </w:p>
        </w:tc>
      </w:tr>
      <w:tr w:rsidR="00C93C49" w:rsidRPr="00C93C49" w14:paraId="6C966265" w14:textId="77777777" w:rsidTr="003F5C2A">
        <w:trPr>
          <w:trHeight w:val="288"/>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442E8"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Penelec</w:t>
            </w:r>
          </w:p>
        </w:tc>
        <w:tc>
          <w:tcPr>
            <w:tcW w:w="1138" w:type="dxa"/>
            <w:tcBorders>
              <w:top w:val="single" w:sz="4" w:space="0" w:color="auto"/>
              <w:left w:val="single" w:sz="4" w:space="0" w:color="auto"/>
              <w:bottom w:val="single" w:sz="4" w:space="0" w:color="auto"/>
              <w:right w:val="nil"/>
            </w:tcBorders>
            <w:shd w:val="clear" w:color="auto" w:fill="auto"/>
            <w:noWrap/>
            <w:vAlign w:val="center"/>
            <w:hideMark/>
          </w:tcPr>
          <w:p w14:paraId="66E77CD8"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 xml:space="preserve">$71,095 </w:t>
            </w:r>
          </w:p>
        </w:tc>
        <w:tc>
          <w:tcPr>
            <w:tcW w:w="290" w:type="dxa"/>
            <w:tcBorders>
              <w:top w:val="single" w:sz="4" w:space="0" w:color="auto"/>
              <w:left w:val="nil"/>
              <w:bottom w:val="single" w:sz="4" w:space="0" w:color="auto"/>
              <w:right w:val="nil"/>
            </w:tcBorders>
            <w:shd w:val="clear" w:color="auto" w:fill="auto"/>
            <w:vAlign w:val="center"/>
            <w:hideMark/>
          </w:tcPr>
          <w:p w14:paraId="59AD5E02"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AFC5003"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 xml:space="preserve">$89,414 </w:t>
            </w:r>
          </w:p>
        </w:tc>
      </w:tr>
      <w:tr w:rsidR="00C93C49" w:rsidRPr="00C93C49" w14:paraId="110829B7" w14:textId="77777777" w:rsidTr="003F5C2A">
        <w:trPr>
          <w:trHeight w:val="288"/>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9BEB1"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Penn Power</w:t>
            </w:r>
          </w:p>
        </w:tc>
        <w:tc>
          <w:tcPr>
            <w:tcW w:w="1138" w:type="dxa"/>
            <w:tcBorders>
              <w:top w:val="single" w:sz="4" w:space="0" w:color="auto"/>
              <w:left w:val="single" w:sz="4" w:space="0" w:color="auto"/>
              <w:bottom w:val="single" w:sz="4" w:space="0" w:color="auto"/>
              <w:right w:val="nil"/>
            </w:tcBorders>
            <w:shd w:val="clear" w:color="auto" w:fill="auto"/>
            <w:noWrap/>
            <w:vAlign w:val="center"/>
            <w:hideMark/>
          </w:tcPr>
          <w:p w14:paraId="08256BD7"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 xml:space="preserve">$19,529 </w:t>
            </w:r>
          </w:p>
        </w:tc>
        <w:tc>
          <w:tcPr>
            <w:tcW w:w="290" w:type="dxa"/>
            <w:tcBorders>
              <w:top w:val="single" w:sz="4" w:space="0" w:color="auto"/>
              <w:left w:val="nil"/>
              <w:bottom w:val="single" w:sz="4" w:space="0" w:color="auto"/>
              <w:right w:val="nil"/>
            </w:tcBorders>
            <w:shd w:val="clear" w:color="auto" w:fill="auto"/>
            <w:vAlign w:val="center"/>
            <w:hideMark/>
          </w:tcPr>
          <w:p w14:paraId="1EA6BAEC"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D5DC2D4"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 xml:space="preserve">$24,561 </w:t>
            </w:r>
          </w:p>
        </w:tc>
      </w:tr>
      <w:tr w:rsidR="00C93C49" w:rsidRPr="00C93C49" w14:paraId="379425A8" w14:textId="77777777" w:rsidTr="003F5C2A">
        <w:trPr>
          <w:trHeight w:val="288"/>
          <w:jc w:val="center"/>
        </w:trPr>
        <w:tc>
          <w:tcPr>
            <w:tcW w:w="207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1351E23"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West Penn Power</w:t>
            </w:r>
          </w:p>
        </w:tc>
        <w:tc>
          <w:tcPr>
            <w:tcW w:w="1138" w:type="dxa"/>
            <w:tcBorders>
              <w:top w:val="single" w:sz="4" w:space="0" w:color="auto"/>
              <w:left w:val="single" w:sz="4" w:space="0" w:color="auto"/>
              <w:bottom w:val="double" w:sz="4" w:space="0" w:color="auto"/>
              <w:right w:val="nil"/>
            </w:tcBorders>
            <w:shd w:val="clear" w:color="auto" w:fill="auto"/>
            <w:noWrap/>
            <w:vAlign w:val="center"/>
            <w:hideMark/>
          </w:tcPr>
          <w:p w14:paraId="6DD1D138"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 xml:space="preserve">$86,774 </w:t>
            </w:r>
          </w:p>
        </w:tc>
        <w:tc>
          <w:tcPr>
            <w:tcW w:w="290" w:type="dxa"/>
            <w:tcBorders>
              <w:top w:val="single" w:sz="4" w:space="0" w:color="auto"/>
              <w:left w:val="nil"/>
              <w:bottom w:val="double" w:sz="4" w:space="0" w:color="auto"/>
              <w:right w:val="nil"/>
            </w:tcBorders>
            <w:shd w:val="clear" w:color="auto" w:fill="auto"/>
            <w:vAlign w:val="center"/>
            <w:hideMark/>
          </w:tcPr>
          <w:p w14:paraId="25544D81"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w:t>
            </w:r>
          </w:p>
        </w:tc>
        <w:tc>
          <w:tcPr>
            <w:tcW w:w="1134" w:type="dxa"/>
            <w:tcBorders>
              <w:top w:val="single" w:sz="4" w:space="0" w:color="auto"/>
              <w:left w:val="nil"/>
              <w:bottom w:val="double" w:sz="4" w:space="0" w:color="auto"/>
              <w:right w:val="single" w:sz="4" w:space="0" w:color="auto"/>
            </w:tcBorders>
            <w:shd w:val="clear" w:color="auto" w:fill="auto"/>
            <w:noWrap/>
            <w:vAlign w:val="center"/>
            <w:hideMark/>
          </w:tcPr>
          <w:p w14:paraId="2E2E0C21"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 xml:space="preserve">$109,132 </w:t>
            </w:r>
          </w:p>
        </w:tc>
      </w:tr>
      <w:tr w:rsidR="00C93C49" w:rsidRPr="00C93C49" w14:paraId="5146EFFC" w14:textId="77777777" w:rsidTr="003F5C2A">
        <w:trPr>
          <w:trHeight w:val="288"/>
          <w:jc w:val="center"/>
        </w:trPr>
        <w:tc>
          <w:tcPr>
            <w:tcW w:w="207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9756570"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FE-PA Companies</w:t>
            </w:r>
          </w:p>
        </w:tc>
        <w:tc>
          <w:tcPr>
            <w:tcW w:w="1138" w:type="dxa"/>
            <w:tcBorders>
              <w:top w:val="double" w:sz="4" w:space="0" w:color="auto"/>
              <w:left w:val="single" w:sz="4" w:space="0" w:color="auto"/>
              <w:bottom w:val="single" w:sz="4" w:space="0" w:color="auto"/>
              <w:right w:val="nil"/>
            </w:tcBorders>
            <w:shd w:val="clear" w:color="auto" w:fill="auto"/>
            <w:noWrap/>
            <w:vAlign w:val="center"/>
            <w:hideMark/>
          </w:tcPr>
          <w:p w14:paraId="37C15780"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 xml:space="preserve">$244,500 </w:t>
            </w:r>
          </w:p>
        </w:tc>
        <w:tc>
          <w:tcPr>
            <w:tcW w:w="290" w:type="dxa"/>
            <w:tcBorders>
              <w:top w:val="double" w:sz="4" w:space="0" w:color="auto"/>
              <w:left w:val="nil"/>
              <w:bottom w:val="single" w:sz="4" w:space="0" w:color="auto"/>
              <w:right w:val="nil"/>
            </w:tcBorders>
            <w:shd w:val="clear" w:color="auto" w:fill="auto"/>
            <w:vAlign w:val="center"/>
            <w:hideMark/>
          </w:tcPr>
          <w:p w14:paraId="0F468CDD"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w:t>
            </w:r>
          </w:p>
        </w:tc>
        <w:tc>
          <w:tcPr>
            <w:tcW w:w="1134" w:type="dxa"/>
            <w:tcBorders>
              <w:top w:val="double" w:sz="4" w:space="0" w:color="auto"/>
              <w:left w:val="nil"/>
              <w:bottom w:val="single" w:sz="4" w:space="0" w:color="auto"/>
              <w:right w:val="single" w:sz="4" w:space="0" w:color="auto"/>
            </w:tcBorders>
            <w:shd w:val="clear" w:color="auto" w:fill="auto"/>
            <w:noWrap/>
            <w:vAlign w:val="center"/>
            <w:hideMark/>
          </w:tcPr>
          <w:p w14:paraId="2096B914"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 xml:space="preserve">$307,499 </w:t>
            </w:r>
          </w:p>
        </w:tc>
      </w:tr>
    </w:tbl>
    <w:p w14:paraId="29716779" w14:textId="77777777" w:rsidR="00C93C49" w:rsidRPr="00C93C49" w:rsidRDefault="00C93C49" w:rsidP="003F5C2A">
      <w:pPr>
        <w:widowControl w:val="0"/>
        <w:spacing w:after="0" w:line="20" w:lineRule="atLeast"/>
        <w:ind w:firstLine="2340"/>
        <w:contextualSpacing/>
        <w:rPr>
          <w:rFonts w:ascii="Arial" w:eastAsia="Calibri" w:hAnsi="Arial" w:cs="Arial"/>
          <w:snapToGrid w:val="0"/>
          <w:sz w:val="18"/>
          <w:szCs w:val="18"/>
        </w:rPr>
      </w:pPr>
      <w:r w:rsidRPr="00C93C49">
        <w:rPr>
          <w:rFonts w:ascii="Arial" w:eastAsia="Calibri" w:hAnsi="Arial" w:cs="Arial"/>
          <w:snapToGrid w:val="0"/>
          <w:sz w:val="18"/>
          <w:szCs w:val="18"/>
        </w:rPr>
        <w:t>Source: Exhibit X – 6 of Prior Management Audit</w:t>
      </w:r>
    </w:p>
    <w:p w14:paraId="7E9B4706" w14:textId="77777777" w:rsidR="00971033" w:rsidRDefault="00C93C49" w:rsidP="00C93C49">
      <w:pPr>
        <w:widowControl w:val="0"/>
        <w:spacing w:after="0" w:line="20" w:lineRule="atLeast"/>
        <w:ind w:firstLine="720"/>
        <w:contextualSpacing/>
        <w:rPr>
          <w:rFonts w:ascii="Arial" w:eastAsia="Calibri" w:hAnsi="Arial" w:cs="Arial"/>
          <w:snapToGrid w:val="0"/>
          <w:sz w:val="24"/>
          <w:szCs w:val="24"/>
        </w:rPr>
      </w:pPr>
      <w:r w:rsidRPr="00C93C49">
        <w:rPr>
          <w:rFonts w:ascii="Arial" w:eastAsia="Calibri" w:hAnsi="Arial" w:cs="Arial"/>
          <w:b/>
          <w:snapToGrid w:val="0"/>
          <w:sz w:val="24"/>
          <w:szCs w:val="24"/>
        </w:rPr>
        <w:tab/>
      </w:r>
    </w:p>
    <w:p w14:paraId="2600A89E" w14:textId="77777777" w:rsidR="00C93C49" w:rsidRPr="00C93C49" w:rsidRDefault="00C93C49" w:rsidP="00C93C49">
      <w:pPr>
        <w:widowControl w:val="0"/>
        <w:spacing w:after="0" w:line="20" w:lineRule="atLeast"/>
        <w:ind w:firstLine="720"/>
        <w:contextualSpacing/>
        <w:rPr>
          <w:rFonts w:ascii="Arial" w:eastAsia="Calibri" w:hAnsi="Arial" w:cs="Arial"/>
          <w:b/>
          <w:snapToGrid w:val="0"/>
          <w:sz w:val="24"/>
          <w:szCs w:val="24"/>
        </w:rPr>
      </w:pPr>
      <w:r w:rsidRPr="00C93C49">
        <w:rPr>
          <w:rFonts w:ascii="Arial" w:eastAsia="Calibri" w:hAnsi="Arial" w:cs="Arial"/>
          <w:snapToGrid w:val="0"/>
          <w:sz w:val="24"/>
          <w:szCs w:val="24"/>
        </w:rPr>
        <w:t>As shown in Exhibit X-10, the auditors compared FirstEnergy’s contact center</w:t>
      </w:r>
      <w:r w:rsidR="00314B89">
        <w:rPr>
          <w:rFonts w:ascii="Arial" w:eastAsia="Calibri" w:hAnsi="Arial" w:cs="Arial"/>
          <w:snapToGrid w:val="0"/>
          <w:sz w:val="24"/>
          <w:szCs w:val="24"/>
        </w:rPr>
        <w:t>s</w:t>
      </w:r>
      <w:r w:rsidR="00CA6457">
        <w:rPr>
          <w:rFonts w:ascii="Arial" w:eastAsia="Calibri" w:hAnsi="Arial" w:cs="Arial"/>
          <w:snapToGrid w:val="0"/>
          <w:sz w:val="24"/>
          <w:szCs w:val="24"/>
        </w:rPr>
        <w:t>’</w:t>
      </w:r>
      <w:r w:rsidRPr="00C93C49">
        <w:rPr>
          <w:rFonts w:ascii="Arial" w:eastAsia="Calibri" w:hAnsi="Arial" w:cs="Arial"/>
          <w:snapToGrid w:val="0"/>
          <w:sz w:val="24"/>
          <w:szCs w:val="24"/>
        </w:rPr>
        <w:t xml:space="preserve"> busy</w:t>
      </w:r>
      <w:r w:rsidRPr="00C93C49">
        <w:rPr>
          <w:rFonts w:ascii="Arial" w:eastAsia="Calibri" w:hAnsi="Arial" w:cs="Arial"/>
          <w:snapToGrid w:val="0"/>
          <w:sz w:val="24"/>
          <w:szCs w:val="24"/>
        </w:rPr>
        <w:noBreakHyphen/>
        <w:t xml:space="preserve">out rate, call abandonment rate, and calls answered within 30 seconds to a panel of other EDCs that appear in the BCS Customer Service Performance Reports for the years 2008 through 2013.  A lower busy-out rate and call abandonment rate, and a higher percentage of calls answered within 30 seconds are indicative of better performance.  </w:t>
      </w:r>
    </w:p>
    <w:p w14:paraId="02517D8F" w14:textId="77777777" w:rsidR="00F672A7" w:rsidRPr="00C93C49" w:rsidRDefault="00F672A7" w:rsidP="00C4057E">
      <w:pPr>
        <w:spacing w:after="0" w:line="240" w:lineRule="auto"/>
        <w:rPr>
          <w:rFonts w:ascii="Arial" w:eastAsia="Times New Roman" w:hAnsi="Arial" w:cs="Arial"/>
          <w:b/>
          <w:snapToGrid w:val="0"/>
          <w:sz w:val="24"/>
          <w:szCs w:val="20"/>
        </w:rPr>
      </w:pPr>
    </w:p>
    <w:p w14:paraId="0B4A875B" w14:textId="77777777" w:rsidR="00C93C49" w:rsidRPr="00C93C49" w:rsidRDefault="00C93C49" w:rsidP="00C93C49">
      <w:pPr>
        <w:widowControl w:val="0"/>
        <w:tabs>
          <w:tab w:val="left" w:pos="540"/>
        </w:tabs>
        <w:spacing w:after="0" w:line="20" w:lineRule="atLeast"/>
        <w:contextualSpacing/>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 xml:space="preserve">Exhibit X – 10 </w:t>
      </w:r>
    </w:p>
    <w:p w14:paraId="45376E93"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4"/>
        </w:rPr>
      </w:pPr>
      <w:r w:rsidRPr="00C93C49">
        <w:rPr>
          <w:rFonts w:ascii="Arial" w:eastAsia="Calibri" w:hAnsi="Arial" w:cs="Arial"/>
          <w:b/>
          <w:snapToGrid w:val="0"/>
          <w:sz w:val="24"/>
          <w:szCs w:val="24"/>
        </w:rPr>
        <w:t>FirstEnergy Pennsylvania Companies vs. Panel Average</w:t>
      </w:r>
    </w:p>
    <w:p w14:paraId="7A99D6EE"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4"/>
        </w:rPr>
      </w:pPr>
      <w:r w:rsidRPr="00C93C49">
        <w:rPr>
          <w:rFonts w:ascii="Arial" w:eastAsia="Times New Roman" w:hAnsi="Arial" w:cs="Arial"/>
          <w:b/>
          <w:snapToGrid w:val="0"/>
          <w:sz w:val="24"/>
          <w:szCs w:val="24"/>
        </w:rPr>
        <w:t>Busy-Out Rate, Call Abandonment Rate, and Calls Answered Within 30 Seconds</w:t>
      </w:r>
    </w:p>
    <w:p w14:paraId="7AD75BB3"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4"/>
        </w:rPr>
      </w:pPr>
      <w:r w:rsidRPr="00C93C49">
        <w:rPr>
          <w:rFonts w:ascii="Arial" w:eastAsia="Times New Roman" w:hAnsi="Arial" w:cs="Arial"/>
          <w:b/>
          <w:snapToGrid w:val="0"/>
          <w:sz w:val="24"/>
          <w:szCs w:val="24"/>
        </w:rPr>
        <w:t>For the Years 2008 through 2013</w:t>
      </w:r>
    </w:p>
    <w:p w14:paraId="32E5C9F4" w14:textId="77777777" w:rsidR="00C93C49" w:rsidRPr="00C93C49" w:rsidRDefault="00C93C49" w:rsidP="00C93C49">
      <w:pPr>
        <w:widowControl w:val="0"/>
        <w:spacing w:after="0" w:line="20" w:lineRule="atLeast"/>
        <w:contextualSpacing/>
        <w:jc w:val="center"/>
        <w:rPr>
          <w:rFonts w:ascii="Arial" w:eastAsia="Calibri" w:hAnsi="Arial" w:cs="Arial"/>
          <w:b/>
          <w:snapToGrid w:val="0"/>
          <w:sz w:val="8"/>
          <w:szCs w:val="8"/>
        </w:rPr>
      </w:pPr>
    </w:p>
    <w:tbl>
      <w:tblPr>
        <w:tblStyle w:val="TableGrid311"/>
        <w:tblW w:w="7605" w:type="dxa"/>
        <w:jc w:val="center"/>
        <w:tblLayout w:type="fixed"/>
        <w:tblLook w:val="04A0" w:firstRow="1" w:lastRow="0" w:firstColumn="1" w:lastColumn="0" w:noHBand="0" w:noVBand="1"/>
      </w:tblPr>
      <w:tblGrid>
        <w:gridCol w:w="3105"/>
        <w:gridCol w:w="750"/>
        <w:gridCol w:w="750"/>
        <w:gridCol w:w="750"/>
        <w:gridCol w:w="750"/>
        <w:gridCol w:w="750"/>
        <w:gridCol w:w="750"/>
      </w:tblGrid>
      <w:tr w:rsidR="00C93C49" w:rsidRPr="00C93C49" w14:paraId="288569C6" w14:textId="77777777" w:rsidTr="00347614">
        <w:trPr>
          <w:trHeight w:val="20"/>
          <w:jc w:val="center"/>
        </w:trPr>
        <w:tc>
          <w:tcPr>
            <w:tcW w:w="310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4816D15" w14:textId="77777777" w:rsidR="00C93C49" w:rsidRPr="00C93C49" w:rsidRDefault="00C93C49" w:rsidP="00C93C49">
            <w:pPr>
              <w:widowControl w:val="0"/>
              <w:spacing w:line="20" w:lineRule="atLeast"/>
              <w:contextualSpacing/>
              <w:jc w:val="center"/>
              <w:rPr>
                <w:rFonts w:ascii="Arial" w:eastAsia="Calibri" w:hAnsi="Arial" w:cs="Arial"/>
                <w:b/>
                <w:i/>
                <w:snapToGrid w:val="0"/>
              </w:rPr>
            </w:pPr>
            <w:r w:rsidRPr="00C93C49">
              <w:rPr>
                <w:rFonts w:ascii="Arial" w:eastAsia="Calibri" w:hAnsi="Arial" w:cs="Arial"/>
                <w:b/>
                <w:i/>
                <w:snapToGrid w:val="0"/>
              </w:rPr>
              <w:t>Busy-Out</w:t>
            </w:r>
          </w:p>
        </w:tc>
        <w:tc>
          <w:tcPr>
            <w:tcW w:w="75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6442977E"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2008</w:t>
            </w:r>
          </w:p>
        </w:tc>
        <w:tc>
          <w:tcPr>
            <w:tcW w:w="75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69BAA6F2"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2009</w:t>
            </w:r>
          </w:p>
        </w:tc>
        <w:tc>
          <w:tcPr>
            <w:tcW w:w="75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38A37A84"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2010</w:t>
            </w:r>
          </w:p>
        </w:tc>
        <w:tc>
          <w:tcPr>
            <w:tcW w:w="75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729FE34E"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2011</w:t>
            </w:r>
          </w:p>
        </w:tc>
        <w:tc>
          <w:tcPr>
            <w:tcW w:w="75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7AE020DE"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2012</w:t>
            </w:r>
          </w:p>
        </w:tc>
        <w:tc>
          <w:tcPr>
            <w:tcW w:w="75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0359D678"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2013</w:t>
            </w:r>
          </w:p>
        </w:tc>
      </w:tr>
      <w:tr w:rsidR="00C93C49" w:rsidRPr="00C93C49" w14:paraId="67460DA3" w14:textId="77777777" w:rsidTr="00347614">
        <w:trPr>
          <w:trHeight w:val="20"/>
          <w:jc w:val="center"/>
        </w:trPr>
        <w:tc>
          <w:tcPr>
            <w:tcW w:w="310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137A2E7"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Duquesne</w:t>
            </w:r>
          </w:p>
        </w:tc>
        <w:tc>
          <w:tcPr>
            <w:tcW w:w="7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E7146D1"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0%</w:t>
            </w:r>
          </w:p>
        </w:tc>
        <w:tc>
          <w:tcPr>
            <w:tcW w:w="7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AB6A409"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0%</w:t>
            </w:r>
          </w:p>
        </w:tc>
        <w:tc>
          <w:tcPr>
            <w:tcW w:w="7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BBF9429"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0%</w:t>
            </w:r>
          </w:p>
        </w:tc>
        <w:tc>
          <w:tcPr>
            <w:tcW w:w="7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FA3A6CA"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0%</w:t>
            </w:r>
          </w:p>
        </w:tc>
        <w:tc>
          <w:tcPr>
            <w:tcW w:w="7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4424835"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0%</w:t>
            </w:r>
          </w:p>
        </w:tc>
        <w:tc>
          <w:tcPr>
            <w:tcW w:w="7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DD8F544"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0%</w:t>
            </w:r>
          </w:p>
        </w:tc>
      </w:tr>
      <w:tr w:rsidR="00C93C49" w:rsidRPr="00C93C49" w14:paraId="00A38121" w14:textId="77777777" w:rsidTr="00347614">
        <w:trPr>
          <w:trHeight w:val="20"/>
          <w:jc w:val="center"/>
        </w:trPr>
        <w:tc>
          <w:tcPr>
            <w:tcW w:w="3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6218D"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PPL</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1D0F4"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3%</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9D2FD"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1%</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03683"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80A24"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9FD03"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C58B3"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1%</w:t>
            </w:r>
          </w:p>
        </w:tc>
      </w:tr>
      <w:tr w:rsidR="00C93C49" w:rsidRPr="00C93C49" w14:paraId="5FDCB4FA" w14:textId="77777777" w:rsidTr="00347614">
        <w:trPr>
          <w:trHeight w:val="20"/>
          <w:jc w:val="center"/>
        </w:trPr>
        <w:tc>
          <w:tcPr>
            <w:tcW w:w="3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D8803"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UGI-Electric</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79756"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12%</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57EB8"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2%</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B2B15"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3%</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07256"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F1F71"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5FD21"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2%</w:t>
            </w:r>
          </w:p>
        </w:tc>
      </w:tr>
      <w:tr w:rsidR="00C93C49" w:rsidRPr="00C93C49" w14:paraId="381DB7F5" w14:textId="77777777" w:rsidTr="00347614">
        <w:trPr>
          <w:trHeight w:val="20"/>
          <w:jc w:val="center"/>
        </w:trPr>
        <w:tc>
          <w:tcPr>
            <w:tcW w:w="310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3117BA6E"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PECO</w:t>
            </w:r>
          </w:p>
        </w:tc>
        <w:tc>
          <w:tcPr>
            <w:tcW w:w="7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657DF1B"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0%</w:t>
            </w:r>
          </w:p>
        </w:tc>
        <w:tc>
          <w:tcPr>
            <w:tcW w:w="7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4170426"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0%</w:t>
            </w:r>
          </w:p>
        </w:tc>
        <w:tc>
          <w:tcPr>
            <w:tcW w:w="7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206EAAA"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0%</w:t>
            </w:r>
          </w:p>
        </w:tc>
        <w:tc>
          <w:tcPr>
            <w:tcW w:w="7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E6552D2"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1%</w:t>
            </w:r>
          </w:p>
        </w:tc>
        <w:tc>
          <w:tcPr>
            <w:tcW w:w="7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1027450B"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1%</w:t>
            </w:r>
          </w:p>
        </w:tc>
        <w:tc>
          <w:tcPr>
            <w:tcW w:w="7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4D90691F"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0%</w:t>
            </w:r>
          </w:p>
        </w:tc>
      </w:tr>
      <w:tr w:rsidR="00C93C49" w:rsidRPr="00C93C49" w14:paraId="2658C934" w14:textId="77777777" w:rsidTr="00347614">
        <w:trPr>
          <w:trHeight w:val="20"/>
          <w:jc w:val="center"/>
        </w:trPr>
        <w:tc>
          <w:tcPr>
            <w:tcW w:w="3103"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672708D8"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Panel Average</w:t>
            </w:r>
          </w:p>
        </w:tc>
        <w:tc>
          <w:tcPr>
            <w:tcW w:w="7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5F8B3450"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4%</w:t>
            </w:r>
          </w:p>
        </w:tc>
        <w:tc>
          <w:tcPr>
            <w:tcW w:w="7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7A62C5D6"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1%</w:t>
            </w:r>
          </w:p>
        </w:tc>
        <w:tc>
          <w:tcPr>
            <w:tcW w:w="7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3A4CAEB5"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1%</w:t>
            </w:r>
          </w:p>
        </w:tc>
        <w:tc>
          <w:tcPr>
            <w:tcW w:w="7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2AD73B49"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0%</w:t>
            </w:r>
          </w:p>
        </w:tc>
        <w:tc>
          <w:tcPr>
            <w:tcW w:w="7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1E0A17B8"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0%</w:t>
            </w:r>
          </w:p>
        </w:tc>
        <w:tc>
          <w:tcPr>
            <w:tcW w:w="7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043CAA2A"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1%</w:t>
            </w:r>
          </w:p>
        </w:tc>
      </w:tr>
      <w:tr w:rsidR="00C93C49" w:rsidRPr="00C93C49" w14:paraId="74D809CF" w14:textId="77777777" w:rsidTr="00347614">
        <w:trPr>
          <w:trHeight w:val="20"/>
          <w:jc w:val="center"/>
        </w:trPr>
        <w:tc>
          <w:tcPr>
            <w:tcW w:w="310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72B8F5B"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FirstEnergy</w:t>
            </w:r>
          </w:p>
        </w:tc>
        <w:tc>
          <w:tcPr>
            <w:tcW w:w="7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1D276A21"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0%</w:t>
            </w:r>
          </w:p>
        </w:tc>
        <w:tc>
          <w:tcPr>
            <w:tcW w:w="7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C1F4630"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0%</w:t>
            </w:r>
          </w:p>
        </w:tc>
        <w:tc>
          <w:tcPr>
            <w:tcW w:w="7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6D45CE1"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0%</w:t>
            </w:r>
          </w:p>
        </w:tc>
        <w:tc>
          <w:tcPr>
            <w:tcW w:w="7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BFBFB7B"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6%</w:t>
            </w:r>
          </w:p>
        </w:tc>
        <w:tc>
          <w:tcPr>
            <w:tcW w:w="7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CEB6C0F"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2%</w:t>
            </w:r>
          </w:p>
        </w:tc>
        <w:tc>
          <w:tcPr>
            <w:tcW w:w="7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E9D5523"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0%</w:t>
            </w:r>
          </w:p>
        </w:tc>
      </w:tr>
      <w:tr w:rsidR="00C93C49" w:rsidRPr="00C93C49" w14:paraId="4B2E0FF4" w14:textId="77777777" w:rsidTr="00347614">
        <w:trPr>
          <w:trHeight w:val="20"/>
          <w:jc w:val="center"/>
        </w:trPr>
        <w:tc>
          <w:tcPr>
            <w:tcW w:w="310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EFD5232"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West Penn Power</w:t>
            </w:r>
          </w:p>
        </w:tc>
        <w:tc>
          <w:tcPr>
            <w:tcW w:w="75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74715B6"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0%</w:t>
            </w:r>
          </w:p>
        </w:tc>
        <w:tc>
          <w:tcPr>
            <w:tcW w:w="75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D18E73E"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0%</w:t>
            </w:r>
          </w:p>
        </w:tc>
        <w:tc>
          <w:tcPr>
            <w:tcW w:w="75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F6C26BE"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0%</w:t>
            </w:r>
          </w:p>
        </w:tc>
        <w:tc>
          <w:tcPr>
            <w:tcW w:w="75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3170C2F"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0%</w:t>
            </w:r>
          </w:p>
        </w:tc>
        <w:tc>
          <w:tcPr>
            <w:tcW w:w="75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63B33A7"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1%</w:t>
            </w:r>
          </w:p>
        </w:tc>
        <w:tc>
          <w:tcPr>
            <w:tcW w:w="75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8395991"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1%</w:t>
            </w:r>
          </w:p>
        </w:tc>
      </w:tr>
      <w:tr w:rsidR="00C93C49" w:rsidRPr="00C93C49" w14:paraId="70043E8A" w14:textId="77777777" w:rsidTr="00347614">
        <w:trPr>
          <w:trHeight w:val="20"/>
          <w:jc w:val="center"/>
        </w:trPr>
        <w:tc>
          <w:tcPr>
            <w:tcW w:w="310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4126DC48" w14:textId="77777777" w:rsidR="00C93C49" w:rsidRPr="00C93C49" w:rsidRDefault="00C93C49" w:rsidP="00C93C49">
            <w:pPr>
              <w:widowControl w:val="0"/>
              <w:spacing w:line="20" w:lineRule="atLeast"/>
              <w:contextualSpacing/>
              <w:jc w:val="center"/>
              <w:rPr>
                <w:rFonts w:ascii="Arial" w:eastAsia="Calibri" w:hAnsi="Arial" w:cs="Arial"/>
                <w:b/>
                <w:i/>
                <w:snapToGrid w:val="0"/>
              </w:rPr>
            </w:pPr>
            <w:r w:rsidRPr="00C93C49">
              <w:rPr>
                <w:rFonts w:ascii="Arial" w:eastAsia="Calibri" w:hAnsi="Arial" w:cs="Arial"/>
                <w:b/>
                <w:i/>
                <w:snapToGrid w:val="0"/>
              </w:rPr>
              <w:t>Call Abandonment</w:t>
            </w:r>
          </w:p>
        </w:tc>
        <w:tc>
          <w:tcPr>
            <w:tcW w:w="75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0ADD8B6E"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2008</w:t>
            </w:r>
          </w:p>
        </w:tc>
        <w:tc>
          <w:tcPr>
            <w:tcW w:w="75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703AA332"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2009</w:t>
            </w:r>
          </w:p>
        </w:tc>
        <w:tc>
          <w:tcPr>
            <w:tcW w:w="75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1493A3C3"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2010</w:t>
            </w:r>
          </w:p>
        </w:tc>
        <w:tc>
          <w:tcPr>
            <w:tcW w:w="75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7EFE2735"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2011</w:t>
            </w:r>
          </w:p>
        </w:tc>
        <w:tc>
          <w:tcPr>
            <w:tcW w:w="75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7733255F"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2012</w:t>
            </w:r>
          </w:p>
        </w:tc>
        <w:tc>
          <w:tcPr>
            <w:tcW w:w="75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002D96F1"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2013</w:t>
            </w:r>
          </w:p>
        </w:tc>
      </w:tr>
      <w:tr w:rsidR="00C93C49" w:rsidRPr="00C93C49" w14:paraId="7DFE44F0" w14:textId="77777777" w:rsidTr="00347614">
        <w:trPr>
          <w:trHeight w:val="20"/>
          <w:jc w:val="center"/>
        </w:trPr>
        <w:tc>
          <w:tcPr>
            <w:tcW w:w="310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DE02DAA"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Duquesne</w:t>
            </w:r>
          </w:p>
        </w:tc>
        <w:tc>
          <w:tcPr>
            <w:tcW w:w="7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C44D2CF"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4%</w:t>
            </w:r>
          </w:p>
        </w:tc>
        <w:tc>
          <w:tcPr>
            <w:tcW w:w="7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7583960"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3%</w:t>
            </w:r>
          </w:p>
        </w:tc>
        <w:tc>
          <w:tcPr>
            <w:tcW w:w="7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E9DDA1C"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3%</w:t>
            </w:r>
          </w:p>
        </w:tc>
        <w:tc>
          <w:tcPr>
            <w:tcW w:w="7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8C553E3"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3%</w:t>
            </w:r>
          </w:p>
        </w:tc>
        <w:tc>
          <w:tcPr>
            <w:tcW w:w="7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53024FF"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3%</w:t>
            </w:r>
          </w:p>
        </w:tc>
        <w:tc>
          <w:tcPr>
            <w:tcW w:w="7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3083C4D"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3%</w:t>
            </w:r>
          </w:p>
        </w:tc>
      </w:tr>
      <w:tr w:rsidR="00C93C49" w:rsidRPr="00C93C49" w14:paraId="48E37939" w14:textId="77777777" w:rsidTr="00347614">
        <w:trPr>
          <w:trHeight w:val="20"/>
          <w:jc w:val="center"/>
        </w:trPr>
        <w:tc>
          <w:tcPr>
            <w:tcW w:w="3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7ABC4"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PPL</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54C5B"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2%</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F03D8"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2%</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34590"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3%</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0AC2F"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3%</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A5F1E"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2%</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FC5CA"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6%</w:t>
            </w:r>
          </w:p>
        </w:tc>
      </w:tr>
      <w:tr w:rsidR="00C93C49" w:rsidRPr="00C93C49" w14:paraId="3262D0AB" w14:textId="77777777" w:rsidTr="00347614">
        <w:trPr>
          <w:trHeight w:val="20"/>
          <w:jc w:val="center"/>
        </w:trPr>
        <w:tc>
          <w:tcPr>
            <w:tcW w:w="3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E6B4E"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UGI-Electric</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762E2"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5%</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93FE3"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7%</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49B64"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8%</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A2073"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4%</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B9C70"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3%</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D6B87"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4%</w:t>
            </w:r>
          </w:p>
        </w:tc>
      </w:tr>
      <w:tr w:rsidR="00C93C49" w:rsidRPr="00C93C49" w14:paraId="0910F095" w14:textId="77777777" w:rsidTr="00347614">
        <w:trPr>
          <w:trHeight w:val="20"/>
          <w:jc w:val="center"/>
        </w:trPr>
        <w:tc>
          <w:tcPr>
            <w:tcW w:w="310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13EBF38F"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PECO</w:t>
            </w:r>
          </w:p>
        </w:tc>
        <w:tc>
          <w:tcPr>
            <w:tcW w:w="7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DEB7AB5"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3%</w:t>
            </w:r>
          </w:p>
        </w:tc>
        <w:tc>
          <w:tcPr>
            <w:tcW w:w="7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DCF4FB7"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3%</w:t>
            </w:r>
          </w:p>
        </w:tc>
        <w:tc>
          <w:tcPr>
            <w:tcW w:w="7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531F0C8"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6%</w:t>
            </w:r>
          </w:p>
        </w:tc>
        <w:tc>
          <w:tcPr>
            <w:tcW w:w="7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67EEDF34"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5%</w:t>
            </w:r>
          </w:p>
        </w:tc>
        <w:tc>
          <w:tcPr>
            <w:tcW w:w="7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1F5B0B8"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4%</w:t>
            </w:r>
          </w:p>
        </w:tc>
        <w:tc>
          <w:tcPr>
            <w:tcW w:w="7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9897316"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2%</w:t>
            </w:r>
          </w:p>
        </w:tc>
      </w:tr>
      <w:tr w:rsidR="00C93C49" w:rsidRPr="00C93C49" w14:paraId="4CB55046" w14:textId="77777777" w:rsidTr="00347614">
        <w:trPr>
          <w:trHeight w:val="20"/>
          <w:jc w:val="center"/>
        </w:trPr>
        <w:tc>
          <w:tcPr>
            <w:tcW w:w="3103"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69EA3295"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Panel Average</w:t>
            </w:r>
          </w:p>
        </w:tc>
        <w:tc>
          <w:tcPr>
            <w:tcW w:w="7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58A36FA5"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4%</w:t>
            </w:r>
          </w:p>
        </w:tc>
        <w:tc>
          <w:tcPr>
            <w:tcW w:w="7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10FEEDE7"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4%</w:t>
            </w:r>
          </w:p>
        </w:tc>
        <w:tc>
          <w:tcPr>
            <w:tcW w:w="7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1EF96C0B"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5%</w:t>
            </w:r>
          </w:p>
        </w:tc>
        <w:tc>
          <w:tcPr>
            <w:tcW w:w="7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61B2B384"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4%</w:t>
            </w:r>
          </w:p>
        </w:tc>
        <w:tc>
          <w:tcPr>
            <w:tcW w:w="7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1F9DC0C6"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3%</w:t>
            </w:r>
          </w:p>
        </w:tc>
        <w:tc>
          <w:tcPr>
            <w:tcW w:w="7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01F91C0A"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4%</w:t>
            </w:r>
          </w:p>
        </w:tc>
      </w:tr>
      <w:tr w:rsidR="00C93C49" w:rsidRPr="00C93C49" w14:paraId="6B1FE87B" w14:textId="77777777" w:rsidTr="00347614">
        <w:trPr>
          <w:trHeight w:val="20"/>
          <w:jc w:val="center"/>
        </w:trPr>
        <w:tc>
          <w:tcPr>
            <w:tcW w:w="310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2D56073"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FirstEnergy</w:t>
            </w:r>
          </w:p>
        </w:tc>
        <w:tc>
          <w:tcPr>
            <w:tcW w:w="7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EE21683"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3%</w:t>
            </w:r>
          </w:p>
        </w:tc>
        <w:tc>
          <w:tcPr>
            <w:tcW w:w="7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286674C"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3%</w:t>
            </w:r>
          </w:p>
        </w:tc>
        <w:tc>
          <w:tcPr>
            <w:tcW w:w="7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935A1ED"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3%</w:t>
            </w:r>
          </w:p>
        </w:tc>
        <w:tc>
          <w:tcPr>
            <w:tcW w:w="7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99200B3"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3%</w:t>
            </w:r>
          </w:p>
        </w:tc>
        <w:tc>
          <w:tcPr>
            <w:tcW w:w="7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131B9AF"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4%</w:t>
            </w:r>
          </w:p>
        </w:tc>
        <w:tc>
          <w:tcPr>
            <w:tcW w:w="7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BAD1C34"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4%</w:t>
            </w:r>
          </w:p>
        </w:tc>
      </w:tr>
      <w:tr w:rsidR="00C93C49" w:rsidRPr="00C93C49" w14:paraId="55708C94" w14:textId="77777777" w:rsidTr="00347614">
        <w:trPr>
          <w:trHeight w:val="20"/>
          <w:jc w:val="center"/>
        </w:trPr>
        <w:tc>
          <w:tcPr>
            <w:tcW w:w="310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226AA26"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West Penn Power</w:t>
            </w:r>
          </w:p>
        </w:tc>
        <w:tc>
          <w:tcPr>
            <w:tcW w:w="75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05A4A32"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6%</w:t>
            </w:r>
          </w:p>
        </w:tc>
        <w:tc>
          <w:tcPr>
            <w:tcW w:w="75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2DD4A91"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5%</w:t>
            </w:r>
          </w:p>
        </w:tc>
        <w:tc>
          <w:tcPr>
            <w:tcW w:w="75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E824D73"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5%</w:t>
            </w:r>
          </w:p>
        </w:tc>
        <w:tc>
          <w:tcPr>
            <w:tcW w:w="75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7E23E7F"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5%</w:t>
            </w:r>
          </w:p>
        </w:tc>
        <w:tc>
          <w:tcPr>
            <w:tcW w:w="75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D847982"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9%</w:t>
            </w:r>
          </w:p>
        </w:tc>
        <w:tc>
          <w:tcPr>
            <w:tcW w:w="75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E36553C"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7%</w:t>
            </w:r>
          </w:p>
        </w:tc>
      </w:tr>
      <w:tr w:rsidR="00C93C49" w:rsidRPr="00C93C49" w14:paraId="3E0399D0" w14:textId="77777777" w:rsidTr="00347614">
        <w:trPr>
          <w:trHeight w:val="20"/>
          <w:jc w:val="center"/>
        </w:trPr>
        <w:tc>
          <w:tcPr>
            <w:tcW w:w="310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9CDE2EE" w14:textId="77777777" w:rsidR="00C93C49" w:rsidRPr="00C93C49" w:rsidRDefault="00C93C49" w:rsidP="00C93C49">
            <w:pPr>
              <w:widowControl w:val="0"/>
              <w:spacing w:line="20" w:lineRule="atLeast"/>
              <w:contextualSpacing/>
              <w:jc w:val="center"/>
              <w:rPr>
                <w:rFonts w:ascii="Arial" w:eastAsia="Calibri" w:hAnsi="Arial" w:cs="Arial"/>
                <w:b/>
                <w:i/>
                <w:snapToGrid w:val="0"/>
              </w:rPr>
            </w:pPr>
            <w:r w:rsidRPr="00C93C49">
              <w:rPr>
                <w:rFonts w:ascii="Arial" w:eastAsia="Calibri" w:hAnsi="Arial" w:cs="Arial"/>
                <w:b/>
                <w:i/>
                <w:snapToGrid w:val="0"/>
              </w:rPr>
              <w:t>Answered in 30 seconds</w:t>
            </w:r>
          </w:p>
        </w:tc>
        <w:tc>
          <w:tcPr>
            <w:tcW w:w="75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4A87A425"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2008</w:t>
            </w:r>
          </w:p>
        </w:tc>
        <w:tc>
          <w:tcPr>
            <w:tcW w:w="75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50B0F78E"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2009</w:t>
            </w:r>
          </w:p>
        </w:tc>
        <w:tc>
          <w:tcPr>
            <w:tcW w:w="75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3015F3CE"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2010</w:t>
            </w:r>
          </w:p>
        </w:tc>
        <w:tc>
          <w:tcPr>
            <w:tcW w:w="75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5536EAEB"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2011</w:t>
            </w:r>
          </w:p>
        </w:tc>
        <w:tc>
          <w:tcPr>
            <w:tcW w:w="75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36DF2558"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2012</w:t>
            </w:r>
          </w:p>
        </w:tc>
        <w:tc>
          <w:tcPr>
            <w:tcW w:w="75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29A870FE"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2013</w:t>
            </w:r>
          </w:p>
        </w:tc>
      </w:tr>
      <w:tr w:rsidR="00C93C49" w:rsidRPr="00C93C49" w14:paraId="227CBFCC" w14:textId="77777777" w:rsidTr="00347614">
        <w:trPr>
          <w:trHeight w:val="20"/>
          <w:jc w:val="center"/>
        </w:trPr>
        <w:tc>
          <w:tcPr>
            <w:tcW w:w="310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B309CBA"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Duquesne</w:t>
            </w:r>
          </w:p>
        </w:tc>
        <w:tc>
          <w:tcPr>
            <w:tcW w:w="7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2F94F16"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80%</w:t>
            </w:r>
          </w:p>
        </w:tc>
        <w:tc>
          <w:tcPr>
            <w:tcW w:w="7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15BA55B"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78%</w:t>
            </w:r>
          </w:p>
        </w:tc>
        <w:tc>
          <w:tcPr>
            <w:tcW w:w="7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3E36DE7"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77%</w:t>
            </w:r>
          </w:p>
        </w:tc>
        <w:tc>
          <w:tcPr>
            <w:tcW w:w="7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6FBF93A"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76%</w:t>
            </w:r>
          </w:p>
        </w:tc>
        <w:tc>
          <w:tcPr>
            <w:tcW w:w="7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B951CC1"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77%</w:t>
            </w:r>
          </w:p>
        </w:tc>
        <w:tc>
          <w:tcPr>
            <w:tcW w:w="7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27D0D86"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80%</w:t>
            </w:r>
          </w:p>
        </w:tc>
      </w:tr>
      <w:tr w:rsidR="00C93C49" w:rsidRPr="00C93C49" w14:paraId="56250158" w14:textId="77777777" w:rsidTr="00347614">
        <w:trPr>
          <w:trHeight w:val="20"/>
          <w:jc w:val="center"/>
        </w:trPr>
        <w:tc>
          <w:tcPr>
            <w:tcW w:w="3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6C117"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PPL</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A49E1"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76%</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0EAE4"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81%</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028D5"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79%</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B64D3"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82%</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7A66E"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83%</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89125"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75%</w:t>
            </w:r>
          </w:p>
        </w:tc>
      </w:tr>
      <w:tr w:rsidR="00C93C49" w:rsidRPr="00C93C49" w14:paraId="323E21E8" w14:textId="77777777" w:rsidTr="00347614">
        <w:trPr>
          <w:trHeight w:val="20"/>
          <w:jc w:val="center"/>
        </w:trPr>
        <w:tc>
          <w:tcPr>
            <w:tcW w:w="3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1830E"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UGI-Electric</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D941E"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87%</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8092F"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80%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51216"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78%</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3B0CF"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82%</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2C55F"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85%</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AB4FD"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80%</w:t>
            </w:r>
          </w:p>
        </w:tc>
      </w:tr>
      <w:tr w:rsidR="00C93C49" w:rsidRPr="00C93C49" w14:paraId="07EC4277" w14:textId="77777777" w:rsidTr="00347614">
        <w:trPr>
          <w:trHeight w:val="20"/>
          <w:jc w:val="center"/>
        </w:trPr>
        <w:tc>
          <w:tcPr>
            <w:tcW w:w="310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14A78C83"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PECO</w:t>
            </w:r>
          </w:p>
        </w:tc>
        <w:tc>
          <w:tcPr>
            <w:tcW w:w="7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AC63F26"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80%</w:t>
            </w:r>
          </w:p>
        </w:tc>
        <w:tc>
          <w:tcPr>
            <w:tcW w:w="7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2719289"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81%</w:t>
            </w:r>
          </w:p>
        </w:tc>
        <w:tc>
          <w:tcPr>
            <w:tcW w:w="7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A0F63D0"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77%</w:t>
            </w:r>
          </w:p>
        </w:tc>
        <w:tc>
          <w:tcPr>
            <w:tcW w:w="7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3B751ECB"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80%</w:t>
            </w:r>
          </w:p>
        </w:tc>
        <w:tc>
          <w:tcPr>
            <w:tcW w:w="7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172B31E2"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85%</w:t>
            </w:r>
          </w:p>
        </w:tc>
        <w:tc>
          <w:tcPr>
            <w:tcW w:w="7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6F25604C"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85%</w:t>
            </w:r>
          </w:p>
        </w:tc>
      </w:tr>
      <w:tr w:rsidR="00C93C49" w:rsidRPr="00C93C49" w14:paraId="1AB06ECD" w14:textId="77777777" w:rsidTr="00347614">
        <w:trPr>
          <w:trHeight w:val="20"/>
          <w:jc w:val="center"/>
        </w:trPr>
        <w:tc>
          <w:tcPr>
            <w:tcW w:w="3103"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0DBE96A4"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Panel Average</w:t>
            </w:r>
          </w:p>
        </w:tc>
        <w:tc>
          <w:tcPr>
            <w:tcW w:w="7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63A5C906"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81%</w:t>
            </w:r>
          </w:p>
        </w:tc>
        <w:tc>
          <w:tcPr>
            <w:tcW w:w="7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6A1DD4E7"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80%</w:t>
            </w:r>
          </w:p>
        </w:tc>
        <w:tc>
          <w:tcPr>
            <w:tcW w:w="7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157D8713"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78%</w:t>
            </w:r>
          </w:p>
        </w:tc>
        <w:tc>
          <w:tcPr>
            <w:tcW w:w="7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0BB39FA0"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80%</w:t>
            </w:r>
          </w:p>
        </w:tc>
        <w:tc>
          <w:tcPr>
            <w:tcW w:w="7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04FF67B0"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83%</w:t>
            </w:r>
          </w:p>
        </w:tc>
        <w:tc>
          <w:tcPr>
            <w:tcW w:w="7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55398502"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80%</w:t>
            </w:r>
          </w:p>
        </w:tc>
      </w:tr>
      <w:tr w:rsidR="00C93C49" w:rsidRPr="00C93C49" w14:paraId="19DC4846" w14:textId="77777777" w:rsidTr="00347614">
        <w:trPr>
          <w:trHeight w:val="20"/>
          <w:jc w:val="center"/>
        </w:trPr>
        <w:tc>
          <w:tcPr>
            <w:tcW w:w="310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D97767A"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FirstEnergy</w:t>
            </w:r>
          </w:p>
        </w:tc>
        <w:tc>
          <w:tcPr>
            <w:tcW w:w="7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6A91584"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81%</w:t>
            </w:r>
          </w:p>
        </w:tc>
        <w:tc>
          <w:tcPr>
            <w:tcW w:w="7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FAB31B6"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78%</w:t>
            </w:r>
          </w:p>
        </w:tc>
        <w:tc>
          <w:tcPr>
            <w:tcW w:w="7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59ED4E8"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80%</w:t>
            </w:r>
          </w:p>
        </w:tc>
        <w:tc>
          <w:tcPr>
            <w:tcW w:w="7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95A8E31"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80%</w:t>
            </w:r>
          </w:p>
        </w:tc>
        <w:tc>
          <w:tcPr>
            <w:tcW w:w="7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120DB356"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78%</w:t>
            </w:r>
          </w:p>
        </w:tc>
        <w:tc>
          <w:tcPr>
            <w:tcW w:w="7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2A5B34C"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82%</w:t>
            </w:r>
          </w:p>
        </w:tc>
      </w:tr>
      <w:tr w:rsidR="00C93C49" w:rsidRPr="00C93C49" w14:paraId="1ECFA071" w14:textId="77777777" w:rsidTr="00347614">
        <w:trPr>
          <w:trHeight w:val="20"/>
          <w:jc w:val="center"/>
        </w:trPr>
        <w:tc>
          <w:tcPr>
            <w:tcW w:w="3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D5ADB"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West Penn Power</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34A98"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56%</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1642F"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60%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D5D67"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66%</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51BB3"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62%</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46F5A"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65%</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0BAEC" w14:textId="77777777" w:rsidR="00C93C49" w:rsidRPr="00C93C49" w:rsidRDefault="00C93C49" w:rsidP="00C93C49">
            <w:pPr>
              <w:widowControl w:val="0"/>
              <w:spacing w:line="20" w:lineRule="atLeast"/>
              <w:contextualSpacing/>
              <w:jc w:val="right"/>
              <w:rPr>
                <w:rFonts w:ascii="Arial" w:eastAsia="Calibri" w:hAnsi="Arial" w:cs="Arial"/>
                <w:snapToGrid w:val="0"/>
              </w:rPr>
            </w:pPr>
            <w:r w:rsidRPr="00C93C49">
              <w:rPr>
                <w:rFonts w:ascii="Arial" w:eastAsia="Calibri" w:hAnsi="Arial" w:cs="Arial"/>
                <w:snapToGrid w:val="0"/>
              </w:rPr>
              <w:t>69%</w:t>
            </w:r>
          </w:p>
        </w:tc>
      </w:tr>
    </w:tbl>
    <w:p w14:paraId="1E4AC514" w14:textId="77777777" w:rsidR="00C93C49" w:rsidRPr="00C93C49" w:rsidRDefault="00C93C49" w:rsidP="00C93C49">
      <w:pPr>
        <w:widowControl w:val="0"/>
        <w:tabs>
          <w:tab w:val="left" w:pos="540"/>
        </w:tabs>
        <w:spacing w:after="0" w:line="20" w:lineRule="atLeast"/>
        <w:ind w:firstLine="900"/>
        <w:contextualSpacing/>
        <w:rPr>
          <w:rFonts w:ascii="Arial" w:eastAsia="Calibri" w:hAnsi="Arial" w:cs="Arial"/>
          <w:snapToGrid w:val="0"/>
          <w:sz w:val="18"/>
          <w:szCs w:val="18"/>
        </w:rPr>
      </w:pPr>
      <w:r w:rsidRPr="00C93C49">
        <w:rPr>
          <w:rFonts w:ascii="Arial" w:eastAsia="Calibri" w:hAnsi="Arial" w:cs="Arial"/>
          <w:snapToGrid w:val="0"/>
          <w:sz w:val="18"/>
          <w:szCs w:val="18"/>
        </w:rPr>
        <w:t xml:space="preserve">Source: Exhibit X – 7 of Prior Management Audit </w:t>
      </w:r>
    </w:p>
    <w:p w14:paraId="35774252" w14:textId="77777777" w:rsidR="00C93C49" w:rsidRPr="00C93C49" w:rsidRDefault="00C93C49" w:rsidP="00C93C49">
      <w:pPr>
        <w:widowControl w:val="0"/>
        <w:tabs>
          <w:tab w:val="left" w:pos="540"/>
        </w:tabs>
        <w:spacing w:after="0" w:line="20" w:lineRule="atLeast"/>
        <w:contextualSpacing/>
        <w:rPr>
          <w:rFonts w:ascii="Arial" w:eastAsia="Calibri" w:hAnsi="Arial" w:cs="Arial"/>
          <w:snapToGrid w:val="0"/>
          <w:sz w:val="24"/>
          <w:szCs w:val="24"/>
        </w:rPr>
      </w:pPr>
    </w:p>
    <w:p w14:paraId="3B380427" w14:textId="77777777" w:rsidR="00C93C49" w:rsidRPr="00C93C49" w:rsidRDefault="00C93C49" w:rsidP="00C93C49">
      <w:pPr>
        <w:widowControl w:val="0"/>
        <w:spacing w:after="0" w:line="20" w:lineRule="atLeast"/>
        <w:ind w:firstLine="720"/>
        <w:contextualSpacing/>
        <w:rPr>
          <w:rFonts w:ascii="Arial" w:eastAsia="Times New Roman" w:hAnsi="Arial" w:cs="Arial"/>
          <w:b/>
          <w:snapToGrid w:val="0"/>
          <w:sz w:val="24"/>
          <w:szCs w:val="24"/>
        </w:rPr>
      </w:pPr>
      <w:r w:rsidRPr="00C93C49">
        <w:rPr>
          <w:rFonts w:ascii="Arial" w:eastAsia="Times New Roman" w:hAnsi="Arial" w:cs="Arial"/>
          <w:color w:val="000000"/>
          <w:sz w:val="24"/>
          <w:szCs w:val="24"/>
        </w:rPr>
        <w:t xml:space="preserve">West Penn Power’s contact center performance from 2008 to 2013 fell below the performance of other EDCs in Pennsylvania for the same period.  </w:t>
      </w:r>
      <w:r w:rsidR="005669B4">
        <w:rPr>
          <w:rFonts w:ascii="Arial" w:eastAsia="Times New Roman" w:hAnsi="Arial" w:cs="Arial"/>
          <w:color w:val="000000"/>
          <w:sz w:val="24"/>
          <w:szCs w:val="24"/>
        </w:rPr>
        <w:t>The</w:t>
      </w:r>
      <w:r w:rsidRPr="00C93C49">
        <w:rPr>
          <w:rFonts w:ascii="Arial" w:eastAsia="Times New Roman" w:hAnsi="Arial" w:cs="Arial"/>
          <w:color w:val="000000"/>
          <w:sz w:val="24"/>
          <w:szCs w:val="24"/>
        </w:rPr>
        <w:t xml:space="preserve"> call abandonment rate in 2013 was almost </w:t>
      </w:r>
      <w:r w:rsidR="00035C5C">
        <w:rPr>
          <w:rFonts w:ascii="Arial" w:eastAsia="Times New Roman" w:hAnsi="Arial" w:cs="Arial"/>
          <w:color w:val="000000"/>
          <w:sz w:val="24"/>
          <w:szCs w:val="24"/>
        </w:rPr>
        <w:t>twice</w:t>
      </w:r>
      <w:r w:rsidRPr="00C93C49">
        <w:rPr>
          <w:rFonts w:ascii="Arial" w:eastAsia="Times New Roman" w:hAnsi="Arial" w:cs="Arial"/>
          <w:color w:val="000000"/>
          <w:sz w:val="24"/>
          <w:szCs w:val="24"/>
        </w:rPr>
        <w:t xml:space="preserve"> the panel average, and calls answered within 30 seconds were 11% below the panel average.  </w:t>
      </w:r>
      <w:r w:rsidRPr="00C93C49">
        <w:rPr>
          <w:rFonts w:ascii="Arial" w:eastAsia="Calibri" w:hAnsi="Arial" w:cs="Arial"/>
          <w:snapToGrid w:val="0"/>
          <w:sz w:val="24"/>
          <w:szCs w:val="24"/>
        </w:rPr>
        <w:t xml:space="preserve">The Contact Center Department indicated that performance was significantly </w:t>
      </w:r>
      <w:r w:rsidR="00875D30">
        <w:rPr>
          <w:rFonts w:ascii="Arial" w:eastAsia="Calibri" w:hAnsi="Arial" w:cs="Arial"/>
          <w:snapToGrid w:val="0"/>
          <w:sz w:val="24"/>
          <w:szCs w:val="24"/>
        </w:rPr>
        <w:t>affect</w:t>
      </w:r>
      <w:r w:rsidR="00875D30" w:rsidRPr="00C93C49">
        <w:rPr>
          <w:rFonts w:ascii="Arial" w:eastAsia="Calibri" w:hAnsi="Arial" w:cs="Arial"/>
          <w:snapToGrid w:val="0"/>
          <w:sz w:val="24"/>
          <w:szCs w:val="24"/>
        </w:rPr>
        <w:t xml:space="preserve">ed </w:t>
      </w:r>
      <w:r w:rsidRPr="00C93C49">
        <w:rPr>
          <w:rFonts w:ascii="Arial" w:eastAsia="Calibri" w:hAnsi="Arial" w:cs="Arial"/>
          <w:snapToGrid w:val="0"/>
          <w:sz w:val="24"/>
          <w:szCs w:val="24"/>
        </w:rPr>
        <w:t xml:space="preserve">by major weather events in 2011 and 2012, which increased the </w:t>
      </w:r>
      <w:r w:rsidR="005669B4">
        <w:rPr>
          <w:rFonts w:ascii="Arial" w:eastAsia="Calibri" w:hAnsi="Arial" w:cs="Arial"/>
          <w:snapToGrid w:val="0"/>
          <w:sz w:val="24"/>
          <w:szCs w:val="24"/>
        </w:rPr>
        <w:t xml:space="preserve">call </w:t>
      </w:r>
      <w:r w:rsidRPr="00C93C49">
        <w:rPr>
          <w:rFonts w:ascii="Arial" w:eastAsia="Calibri" w:hAnsi="Arial" w:cs="Arial"/>
          <w:snapToGrid w:val="0"/>
          <w:sz w:val="24"/>
          <w:szCs w:val="24"/>
        </w:rPr>
        <w:t>volume</w:t>
      </w:r>
      <w:r w:rsidR="005669B4">
        <w:rPr>
          <w:rFonts w:ascii="Arial" w:eastAsia="Calibri" w:hAnsi="Arial" w:cs="Arial"/>
          <w:snapToGrid w:val="0"/>
          <w:sz w:val="24"/>
          <w:szCs w:val="24"/>
        </w:rPr>
        <w:t xml:space="preserve">.  </w:t>
      </w:r>
      <w:r w:rsidRPr="00C93C49">
        <w:rPr>
          <w:rFonts w:ascii="Arial" w:eastAsia="Calibri" w:hAnsi="Arial" w:cs="Arial"/>
          <w:snapToGrid w:val="0"/>
          <w:sz w:val="24"/>
          <w:szCs w:val="24"/>
        </w:rPr>
        <w:t xml:space="preserve">In addition, the training and implementation of a new customer service system at the Fairmont Contact Center had a negative short-term impact.  In April 2012, full integration of the Fairmont Contact Center along with a virtual call process took place, enabling calls across the system to be routed to the next available qualified CSR.  Performance was </w:t>
      </w:r>
      <w:r w:rsidR="005669B4" w:rsidRPr="00C93C49">
        <w:rPr>
          <w:rFonts w:ascii="Arial" w:eastAsia="Calibri" w:hAnsi="Arial" w:cs="Arial"/>
          <w:snapToGrid w:val="0"/>
          <w:sz w:val="24"/>
          <w:szCs w:val="24"/>
        </w:rPr>
        <w:t>affected</w:t>
      </w:r>
      <w:r w:rsidRPr="00C93C49">
        <w:rPr>
          <w:rFonts w:ascii="Arial" w:eastAsia="Calibri" w:hAnsi="Arial" w:cs="Arial"/>
          <w:snapToGrid w:val="0"/>
          <w:sz w:val="24"/>
          <w:szCs w:val="24"/>
        </w:rPr>
        <w:t xml:space="preserve"> at the time of implementation in April 2012 until July 2013.  Although all contact center performance metrics improved at year-end 2013, most of the improvements in performance occurred in the first 15 months after implementation.  According to the Contact Center Department, calls answered within 30 seconds was on track to achieve 80% performance in 2012 until Hurricane Sandy inundated the call center with outage calls thereby </w:t>
      </w:r>
      <w:r w:rsidR="005669B4" w:rsidRPr="00C93C49">
        <w:rPr>
          <w:rFonts w:ascii="Arial" w:eastAsia="Calibri" w:hAnsi="Arial" w:cs="Arial"/>
          <w:snapToGrid w:val="0"/>
          <w:sz w:val="24"/>
          <w:szCs w:val="24"/>
        </w:rPr>
        <w:t>affecting</w:t>
      </w:r>
      <w:r w:rsidRPr="00C93C49">
        <w:rPr>
          <w:rFonts w:ascii="Arial" w:eastAsia="Calibri" w:hAnsi="Arial" w:cs="Arial"/>
          <w:snapToGrid w:val="0"/>
          <w:sz w:val="24"/>
          <w:szCs w:val="24"/>
        </w:rPr>
        <w:t xml:space="preserve"> their ability to meet this metric.</w:t>
      </w:r>
    </w:p>
    <w:p w14:paraId="6F042721" w14:textId="77777777" w:rsidR="00C93C49" w:rsidRPr="00C93C49" w:rsidRDefault="00C93C49" w:rsidP="00C93C49">
      <w:pPr>
        <w:widowControl w:val="0"/>
        <w:tabs>
          <w:tab w:val="left" w:pos="720"/>
        </w:tabs>
        <w:spacing w:after="0" w:line="20" w:lineRule="atLeast"/>
        <w:contextualSpacing/>
        <w:rPr>
          <w:rFonts w:ascii="Arial" w:eastAsia="Times New Roman" w:hAnsi="Arial" w:cs="Arial"/>
          <w:b/>
          <w:snapToGrid w:val="0"/>
          <w:sz w:val="24"/>
          <w:szCs w:val="24"/>
        </w:rPr>
      </w:pPr>
    </w:p>
    <w:p w14:paraId="0D5E0A76" w14:textId="77777777" w:rsidR="00C93C49" w:rsidRPr="00C93C49" w:rsidRDefault="00C93C49" w:rsidP="00C93C49">
      <w:pPr>
        <w:widowControl w:val="0"/>
        <w:spacing w:after="0" w:line="20" w:lineRule="atLeast"/>
        <w:contextualSpacing/>
        <w:rPr>
          <w:rFonts w:ascii="Arial" w:eastAsia="Calibri" w:hAnsi="Arial" w:cs="Arial"/>
          <w:snapToGrid w:val="0"/>
          <w:sz w:val="24"/>
          <w:szCs w:val="24"/>
        </w:rPr>
      </w:pPr>
      <w:r w:rsidRPr="00C93C49">
        <w:rPr>
          <w:rFonts w:ascii="Arial" w:eastAsia="Calibri" w:hAnsi="Arial" w:cs="Arial"/>
          <w:snapToGrid w:val="0"/>
          <w:sz w:val="24"/>
          <w:szCs w:val="24"/>
        </w:rPr>
        <w:tab/>
      </w:r>
      <w:r w:rsidR="00035C5C" w:rsidRPr="00C93C49">
        <w:rPr>
          <w:rFonts w:ascii="Arial" w:eastAsia="Calibri" w:hAnsi="Arial" w:cs="Arial"/>
          <w:snapToGrid w:val="0"/>
          <w:sz w:val="24"/>
          <w:szCs w:val="24"/>
        </w:rPr>
        <w:t>Because of</w:t>
      </w:r>
      <w:r w:rsidRPr="00C93C49">
        <w:rPr>
          <w:rFonts w:ascii="Arial" w:eastAsia="Calibri" w:hAnsi="Arial" w:cs="Arial"/>
          <w:snapToGrid w:val="0"/>
          <w:sz w:val="24"/>
          <w:szCs w:val="24"/>
        </w:rPr>
        <w:t xml:space="preserve"> this major event and the associated decline in call center performance, measures were implemented to accommodate periods of significant call volumes.  These measures included analysts performing continuous real time monitoring of call volumes to maximize the use of available resources; and offering customer mobile phone applications </w:t>
      </w:r>
      <w:r w:rsidR="005669B4">
        <w:rPr>
          <w:rFonts w:ascii="Arial" w:eastAsia="Calibri" w:hAnsi="Arial" w:cs="Arial"/>
          <w:snapToGrid w:val="0"/>
          <w:sz w:val="24"/>
          <w:szCs w:val="24"/>
        </w:rPr>
        <w:t>enabling</w:t>
      </w:r>
      <w:r w:rsidRPr="00C93C49">
        <w:rPr>
          <w:rFonts w:ascii="Arial" w:eastAsia="Calibri" w:hAnsi="Arial" w:cs="Arial"/>
          <w:snapToGrid w:val="0"/>
          <w:sz w:val="24"/>
          <w:szCs w:val="24"/>
        </w:rPr>
        <w:t xml:space="preserve"> customers to report power outages.  Both measures were expected to lead to improvements in performance metrics.  </w:t>
      </w:r>
      <w:r w:rsidR="005669B4" w:rsidRPr="00C93C49">
        <w:rPr>
          <w:rFonts w:ascii="Arial" w:eastAsia="Calibri" w:hAnsi="Arial" w:cs="Arial"/>
          <w:snapToGrid w:val="0"/>
          <w:sz w:val="24"/>
          <w:szCs w:val="24"/>
        </w:rPr>
        <w:t>Other</w:t>
      </w:r>
      <w:r w:rsidRPr="00C93C49">
        <w:rPr>
          <w:rFonts w:ascii="Arial" w:eastAsia="Calibri" w:hAnsi="Arial" w:cs="Arial"/>
          <w:snapToGrid w:val="0"/>
          <w:sz w:val="24"/>
          <w:szCs w:val="24"/>
        </w:rPr>
        <w:t xml:space="preserve"> actions included daily monitoring of inbound telephone capacities and routing calls between the three major Contact Centers.  When necessary, a third-party vendor would be </w:t>
      </w:r>
      <w:r w:rsidR="005669B4" w:rsidRPr="00C93C49">
        <w:rPr>
          <w:rFonts w:ascii="Arial" w:eastAsia="Calibri" w:hAnsi="Arial" w:cs="Arial"/>
          <w:snapToGrid w:val="0"/>
          <w:sz w:val="24"/>
          <w:szCs w:val="24"/>
        </w:rPr>
        <w:t>used</w:t>
      </w:r>
      <w:r w:rsidRPr="00C93C49">
        <w:rPr>
          <w:rFonts w:ascii="Arial" w:eastAsia="Calibri" w:hAnsi="Arial" w:cs="Arial"/>
          <w:snapToGrid w:val="0"/>
          <w:sz w:val="24"/>
          <w:szCs w:val="24"/>
        </w:rPr>
        <w:t xml:space="preserve"> to realize full utilization of resources and minimize busy signals. </w:t>
      </w:r>
    </w:p>
    <w:p w14:paraId="6BC412E0" w14:textId="77777777" w:rsidR="00C93C49" w:rsidRPr="00C93C49" w:rsidRDefault="00C93C49" w:rsidP="00C93C49">
      <w:pPr>
        <w:widowControl w:val="0"/>
        <w:spacing w:after="0" w:line="20" w:lineRule="atLeast"/>
        <w:contextualSpacing/>
        <w:rPr>
          <w:rFonts w:ascii="Arial" w:hAnsi="Arial" w:cs="Arial"/>
          <w:sz w:val="24"/>
          <w:szCs w:val="24"/>
        </w:rPr>
      </w:pPr>
    </w:p>
    <w:p w14:paraId="5C151C8D" w14:textId="77777777" w:rsidR="00C93C49" w:rsidRPr="00C93C49" w:rsidRDefault="00C93C49" w:rsidP="00C93C49">
      <w:pPr>
        <w:widowControl w:val="0"/>
        <w:spacing w:after="0" w:line="20" w:lineRule="atLeast"/>
        <w:contextualSpacing/>
        <w:rPr>
          <w:rFonts w:ascii="Arial" w:eastAsia="Times New Roman" w:hAnsi="Arial" w:cs="Arial"/>
          <w:b/>
          <w:color w:val="000000"/>
          <w:sz w:val="24"/>
          <w:szCs w:val="24"/>
        </w:rPr>
      </w:pPr>
      <w:r w:rsidRPr="00C93C49">
        <w:rPr>
          <w:rFonts w:ascii="Arial" w:eastAsia="Times New Roman" w:hAnsi="Arial" w:cs="Times New Roman"/>
          <w:b/>
          <w:sz w:val="24"/>
          <w:szCs w:val="24"/>
          <w:u w:val="single"/>
        </w:rPr>
        <w:t>Prior Recommendation</w:t>
      </w:r>
      <w:r w:rsidRPr="00C93C49">
        <w:rPr>
          <w:rFonts w:ascii="Arial" w:eastAsia="Times New Roman" w:hAnsi="Arial" w:cs="Times New Roman"/>
          <w:sz w:val="24"/>
          <w:szCs w:val="24"/>
        </w:rPr>
        <w:t xml:space="preserve"> – Implement measures to improve the Contact Center performance levels including efforts to reduce Customer Service Representative turnover levels.</w:t>
      </w:r>
    </w:p>
    <w:p w14:paraId="30F52CC2" w14:textId="77777777" w:rsidR="00C93C49" w:rsidRPr="00C93C49" w:rsidRDefault="00C93C49" w:rsidP="00C93C49">
      <w:pPr>
        <w:widowControl w:val="0"/>
        <w:spacing w:after="0" w:line="20" w:lineRule="atLeast"/>
        <w:contextualSpacing/>
        <w:rPr>
          <w:rFonts w:ascii="Arial" w:hAnsi="Arial" w:cs="Arial"/>
          <w:sz w:val="24"/>
          <w:szCs w:val="24"/>
        </w:rPr>
      </w:pPr>
    </w:p>
    <w:p w14:paraId="48C2D8A8" w14:textId="77777777" w:rsidR="00C93C49" w:rsidRPr="00C93C49" w:rsidRDefault="00C93C49" w:rsidP="00C93C49">
      <w:pPr>
        <w:spacing w:after="0" w:line="20" w:lineRule="atLeast"/>
        <w:contextualSpacing/>
        <w:rPr>
          <w:rFonts w:ascii="Arial" w:eastAsia="Times New Roman" w:hAnsi="Arial" w:cs="Arial"/>
          <w:b/>
          <w:snapToGrid w:val="0"/>
          <w:sz w:val="24"/>
          <w:szCs w:val="20"/>
        </w:rPr>
      </w:pPr>
      <w:r w:rsidRPr="00C93C49">
        <w:rPr>
          <w:rFonts w:ascii="Arial" w:eastAsia="Times New Roman" w:hAnsi="Arial" w:cs="Times New Roman"/>
          <w:b/>
          <w:sz w:val="24"/>
          <w:szCs w:val="24"/>
          <w:u w:val="single"/>
        </w:rPr>
        <w:t>Follow-up Finding and Conclusion No. X-4</w:t>
      </w:r>
      <w:r w:rsidRPr="00C93C49">
        <w:rPr>
          <w:rFonts w:ascii="Arial" w:eastAsia="Times New Roman" w:hAnsi="Arial" w:cs="Times New Roman"/>
          <w:b/>
          <w:sz w:val="24"/>
          <w:szCs w:val="24"/>
        </w:rPr>
        <w:t xml:space="preserve"> – </w:t>
      </w:r>
      <w:r w:rsidRPr="00C93C49">
        <w:rPr>
          <w:rFonts w:ascii="Arial" w:eastAsia="Times New Roman" w:hAnsi="Arial" w:cs="Arial"/>
          <w:b/>
          <w:snapToGrid w:val="0"/>
          <w:sz w:val="24"/>
          <w:szCs w:val="20"/>
        </w:rPr>
        <w:t>CSR turnover and West Penn Power’s contact center performance has improved.</w:t>
      </w:r>
    </w:p>
    <w:p w14:paraId="75FE7820" w14:textId="77777777" w:rsidR="00C93C49" w:rsidRPr="00C93C49" w:rsidRDefault="00C93C49" w:rsidP="00C93C49">
      <w:pPr>
        <w:spacing w:after="0" w:line="20" w:lineRule="atLeast"/>
        <w:contextualSpacing/>
        <w:rPr>
          <w:rFonts w:ascii="Arial" w:eastAsia="Times New Roman" w:hAnsi="Arial" w:cs="Arial"/>
          <w:b/>
          <w:snapToGrid w:val="0"/>
          <w:sz w:val="24"/>
          <w:szCs w:val="20"/>
        </w:rPr>
      </w:pPr>
    </w:p>
    <w:p w14:paraId="3E534E53" w14:textId="77777777" w:rsidR="00C93C49" w:rsidRPr="00C93C49" w:rsidRDefault="00C93C49" w:rsidP="00C93C49">
      <w:pPr>
        <w:widowControl w:val="0"/>
        <w:spacing w:after="0" w:line="20" w:lineRule="atLeast"/>
        <w:contextualSpacing/>
        <w:rPr>
          <w:rFonts w:ascii="Arial" w:eastAsia="Times New Roman" w:hAnsi="Arial" w:cs="Arial"/>
          <w:snapToGrid w:val="0"/>
          <w:sz w:val="24"/>
          <w:szCs w:val="20"/>
        </w:rPr>
      </w:pPr>
      <w:r w:rsidRPr="00C93C49">
        <w:rPr>
          <w:rFonts w:ascii="Arial" w:eastAsia="Times New Roman" w:hAnsi="Arial" w:cs="Arial"/>
          <w:b/>
          <w:snapToGrid w:val="0"/>
          <w:sz w:val="24"/>
          <w:szCs w:val="20"/>
          <w:u w:val="single"/>
        </w:rPr>
        <w:t>Current Review</w:t>
      </w:r>
      <w:r w:rsidRPr="00C93C49">
        <w:rPr>
          <w:rFonts w:ascii="Arial" w:eastAsia="Times New Roman" w:hAnsi="Arial" w:cs="Arial"/>
          <w:snapToGrid w:val="0"/>
          <w:sz w:val="24"/>
          <w:szCs w:val="20"/>
        </w:rPr>
        <w:t xml:space="preserve"> – FirstEnergy has three call centers located in Ohio, Pennsylvania, and West Virginia.  The call centers are virtualized and support each of the </w:t>
      </w:r>
      <w:r w:rsidR="00DC3D9B">
        <w:rPr>
          <w:rFonts w:ascii="Arial" w:eastAsia="Times New Roman" w:hAnsi="Arial" w:cs="Arial"/>
          <w:snapToGrid w:val="0"/>
          <w:sz w:val="24"/>
          <w:szCs w:val="20"/>
        </w:rPr>
        <w:t>FE-PA companies</w:t>
      </w:r>
      <w:r w:rsidRPr="00C93C49">
        <w:rPr>
          <w:rFonts w:ascii="Arial" w:eastAsia="Times New Roman" w:hAnsi="Arial" w:cs="Arial"/>
          <w:snapToGrid w:val="0"/>
          <w:sz w:val="24"/>
          <w:szCs w:val="20"/>
        </w:rPr>
        <w:t xml:space="preserve">.  The 2014 through 2017 total call center turnover </w:t>
      </w:r>
      <w:r w:rsidR="005458F9">
        <w:rPr>
          <w:rFonts w:ascii="Arial" w:eastAsia="Times New Roman" w:hAnsi="Arial" w:cs="Arial"/>
          <w:snapToGrid w:val="0"/>
          <w:sz w:val="24"/>
          <w:szCs w:val="20"/>
        </w:rPr>
        <w:t>was</w:t>
      </w:r>
      <w:r w:rsidR="005458F9" w:rsidRPr="00C93C49">
        <w:rPr>
          <w:rFonts w:ascii="Arial" w:eastAsia="Times New Roman" w:hAnsi="Arial" w:cs="Arial"/>
          <w:snapToGrid w:val="0"/>
          <w:sz w:val="24"/>
          <w:szCs w:val="20"/>
        </w:rPr>
        <w:t xml:space="preserve"> </w:t>
      </w:r>
      <w:r w:rsidRPr="00C93C49">
        <w:rPr>
          <w:rFonts w:ascii="Arial" w:eastAsia="Times New Roman" w:hAnsi="Arial" w:cs="Arial"/>
          <w:snapToGrid w:val="0"/>
          <w:sz w:val="24"/>
          <w:szCs w:val="20"/>
        </w:rPr>
        <w:t>as follows:</w:t>
      </w:r>
    </w:p>
    <w:p w14:paraId="1CF092CE" w14:textId="77777777" w:rsidR="00C93C49" w:rsidRPr="00C93C49" w:rsidRDefault="00C93C49" w:rsidP="00C93C49">
      <w:pPr>
        <w:widowControl w:val="0"/>
        <w:spacing w:after="0" w:line="20" w:lineRule="atLeast"/>
        <w:contextualSpacing/>
        <w:rPr>
          <w:rFonts w:ascii="Arial" w:eastAsia="Times New Roman" w:hAnsi="Arial" w:cs="Arial"/>
          <w:snapToGrid w:val="0"/>
          <w:sz w:val="24"/>
          <w:szCs w:val="20"/>
        </w:rPr>
      </w:pPr>
    </w:p>
    <w:p w14:paraId="543CBBB5" w14:textId="77777777" w:rsidR="00C93C49" w:rsidRPr="00C93C49" w:rsidRDefault="00C93C49" w:rsidP="00D94B11">
      <w:pPr>
        <w:widowControl w:val="0"/>
        <w:numPr>
          <w:ilvl w:val="0"/>
          <w:numId w:val="19"/>
        </w:numPr>
        <w:spacing w:after="0" w:line="20" w:lineRule="atLeast"/>
        <w:ind w:left="1080"/>
        <w:contextualSpacing/>
        <w:rPr>
          <w:rFonts w:ascii="Arial" w:eastAsia="Times New Roman" w:hAnsi="Arial" w:cs="Arial"/>
          <w:snapToGrid w:val="0"/>
          <w:sz w:val="24"/>
          <w:szCs w:val="20"/>
        </w:rPr>
      </w:pPr>
      <w:r w:rsidRPr="00C93C49">
        <w:rPr>
          <w:rFonts w:ascii="Arial" w:eastAsia="Times New Roman" w:hAnsi="Arial" w:cs="Arial"/>
          <w:snapToGrid w:val="0"/>
          <w:sz w:val="24"/>
          <w:szCs w:val="20"/>
        </w:rPr>
        <w:t>2014 – 21.5%</w:t>
      </w:r>
    </w:p>
    <w:p w14:paraId="38F9E48C" w14:textId="77777777" w:rsidR="00C93C49" w:rsidRPr="00C93C49" w:rsidRDefault="00C93C49" w:rsidP="00D94B11">
      <w:pPr>
        <w:widowControl w:val="0"/>
        <w:numPr>
          <w:ilvl w:val="0"/>
          <w:numId w:val="19"/>
        </w:numPr>
        <w:spacing w:after="0" w:line="20" w:lineRule="atLeast"/>
        <w:ind w:left="1080"/>
        <w:contextualSpacing/>
        <w:rPr>
          <w:rFonts w:ascii="Arial" w:eastAsia="Times New Roman" w:hAnsi="Arial" w:cs="Arial"/>
          <w:snapToGrid w:val="0"/>
          <w:sz w:val="24"/>
          <w:szCs w:val="20"/>
        </w:rPr>
      </w:pPr>
      <w:r w:rsidRPr="00C93C49">
        <w:rPr>
          <w:rFonts w:ascii="Arial" w:eastAsia="Times New Roman" w:hAnsi="Arial" w:cs="Arial"/>
          <w:snapToGrid w:val="0"/>
          <w:sz w:val="24"/>
          <w:szCs w:val="20"/>
        </w:rPr>
        <w:t>2015 – 17.8%</w:t>
      </w:r>
    </w:p>
    <w:p w14:paraId="65C1A7DF" w14:textId="77777777" w:rsidR="00C93C49" w:rsidRPr="00C93C49" w:rsidRDefault="00C93C49" w:rsidP="00D94B11">
      <w:pPr>
        <w:widowControl w:val="0"/>
        <w:numPr>
          <w:ilvl w:val="0"/>
          <w:numId w:val="19"/>
        </w:numPr>
        <w:spacing w:after="0" w:line="20" w:lineRule="atLeast"/>
        <w:ind w:left="1080"/>
        <w:contextualSpacing/>
        <w:rPr>
          <w:rFonts w:ascii="Arial" w:eastAsia="Times New Roman" w:hAnsi="Arial" w:cs="Arial"/>
          <w:snapToGrid w:val="0"/>
          <w:sz w:val="24"/>
          <w:szCs w:val="20"/>
        </w:rPr>
      </w:pPr>
      <w:r w:rsidRPr="00C93C49">
        <w:rPr>
          <w:rFonts w:ascii="Arial" w:eastAsia="Times New Roman" w:hAnsi="Arial" w:cs="Arial"/>
          <w:snapToGrid w:val="0"/>
          <w:sz w:val="24"/>
          <w:szCs w:val="20"/>
        </w:rPr>
        <w:t>2016 – 14.3%</w:t>
      </w:r>
    </w:p>
    <w:p w14:paraId="51520E1F" w14:textId="77777777" w:rsidR="00C93C49" w:rsidRPr="00C93C49" w:rsidRDefault="00C93C49" w:rsidP="00D94B11">
      <w:pPr>
        <w:widowControl w:val="0"/>
        <w:numPr>
          <w:ilvl w:val="0"/>
          <w:numId w:val="19"/>
        </w:numPr>
        <w:spacing w:after="0" w:line="20" w:lineRule="atLeast"/>
        <w:ind w:left="1080"/>
        <w:contextualSpacing/>
        <w:rPr>
          <w:rFonts w:ascii="Arial" w:eastAsia="Times New Roman" w:hAnsi="Arial" w:cs="Arial"/>
          <w:snapToGrid w:val="0"/>
          <w:sz w:val="24"/>
          <w:szCs w:val="20"/>
        </w:rPr>
      </w:pPr>
      <w:r w:rsidRPr="00C93C49">
        <w:rPr>
          <w:rFonts w:ascii="Arial" w:eastAsia="Times New Roman" w:hAnsi="Arial" w:cs="Arial"/>
          <w:snapToGrid w:val="0"/>
          <w:sz w:val="24"/>
          <w:szCs w:val="20"/>
        </w:rPr>
        <w:t>2017 – 14.3%</w:t>
      </w:r>
    </w:p>
    <w:p w14:paraId="53F49B9E" w14:textId="77777777" w:rsidR="00C93C49" w:rsidRPr="00C93C49" w:rsidRDefault="00C93C49" w:rsidP="00C93C49">
      <w:pPr>
        <w:widowControl w:val="0"/>
        <w:spacing w:after="0" w:line="20" w:lineRule="atLeast"/>
        <w:contextualSpacing/>
        <w:rPr>
          <w:rFonts w:ascii="Arial" w:eastAsia="Times New Roman" w:hAnsi="Arial" w:cs="Arial"/>
          <w:snapToGrid w:val="0"/>
          <w:sz w:val="24"/>
          <w:szCs w:val="20"/>
        </w:rPr>
      </w:pPr>
    </w:p>
    <w:p w14:paraId="6A02ECDD" w14:textId="77777777" w:rsidR="00C93C49" w:rsidRPr="00C93C49" w:rsidRDefault="00C93C49" w:rsidP="00C93C49">
      <w:pPr>
        <w:widowControl w:val="0"/>
        <w:spacing w:after="0" w:line="20" w:lineRule="atLeast"/>
        <w:ind w:firstLine="720"/>
        <w:contextualSpacing/>
        <w:rPr>
          <w:rFonts w:ascii="Arial" w:eastAsia="Times New Roman" w:hAnsi="Arial" w:cs="Arial"/>
          <w:snapToGrid w:val="0"/>
          <w:sz w:val="24"/>
          <w:szCs w:val="20"/>
        </w:rPr>
      </w:pPr>
      <w:r w:rsidRPr="00C93C49">
        <w:rPr>
          <w:rFonts w:ascii="Arial" w:eastAsia="Times New Roman" w:hAnsi="Arial" w:cs="Arial"/>
          <w:snapToGrid w:val="0"/>
          <w:sz w:val="24"/>
          <w:szCs w:val="20"/>
        </w:rPr>
        <w:t>CSR attendance levels are calculated by taking the total CSR sick time and dividing by the total CSR Full Time Equivalents to determine the sick hours per scheduled CSR.  In 2016, FirstEnergy implemented a Paid Time Off program.  Sick Hours per Scheduled CSR for 2014 through 2017 are as follows:</w:t>
      </w:r>
    </w:p>
    <w:p w14:paraId="0D45CCC7" w14:textId="77777777" w:rsidR="00C93C49" w:rsidRPr="00C93C49" w:rsidRDefault="00C93C49" w:rsidP="00C93C49">
      <w:pPr>
        <w:widowControl w:val="0"/>
        <w:spacing w:after="0" w:line="20" w:lineRule="atLeast"/>
        <w:contextualSpacing/>
        <w:rPr>
          <w:rFonts w:ascii="Arial" w:eastAsia="Times New Roman" w:hAnsi="Arial" w:cs="Arial"/>
          <w:snapToGrid w:val="0"/>
          <w:sz w:val="24"/>
          <w:szCs w:val="20"/>
        </w:rPr>
      </w:pPr>
    </w:p>
    <w:p w14:paraId="49CDB6C0" w14:textId="77777777" w:rsidR="00C93C49" w:rsidRPr="00C93C49" w:rsidRDefault="00C93C49" w:rsidP="00D94B11">
      <w:pPr>
        <w:widowControl w:val="0"/>
        <w:numPr>
          <w:ilvl w:val="0"/>
          <w:numId w:val="20"/>
        </w:numPr>
        <w:spacing w:after="0" w:line="20" w:lineRule="atLeast"/>
        <w:ind w:left="1080"/>
        <w:contextualSpacing/>
        <w:rPr>
          <w:rFonts w:ascii="Arial" w:eastAsia="Times New Roman" w:hAnsi="Arial" w:cs="Arial"/>
          <w:snapToGrid w:val="0"/>
          <w:sz w:val="24"/>
          <w:szCs w:val="20"/>
        </w:rPr>
      </w:pPr>
      <w:r w:rsidRPr="00C93C49">
        <w:rPr>
          <w:rFonts w:ascii="Arial" w:eastAsia="Times New Roman" w:hAnsi="Arial" w:cs="Arial"/>
          <w:snapToGrid w:val="0"/>
          <w:sz w:val="24"/>
          <w:szCs w:val="20"/>
        </w:rPr>
        <w:t>2014 – 81</w:t>
      </w:r>
    </w:p>
    <w:p w14:paraId="73E8B006" w14:textId="77777777" w:rsidR="00C93C49" w:rsidRPr="00C93C49" w:rsidRDefault="00C93C49" w:rsidP="00D94B11">
      <w:pPr>
        <w:widowControl w:val="0"/>
        <w:numPr>
          <w:ilvl w:val="0"/>
          <w:numId w:val="20"/>
        </w:numPr>
        <w:spacing w:after="0" w:line="20" w:lineRule="atLeast"/>
        <w:ind w:left="1080"/>
        <w:contextualSpacing/>
        <w:rPr>
          <w:rFonts w:ascii="Arial" w:eastAsia="Times New Roman" w:hAnsi="Arial" w:cs="Arial"/>
          <w:snapToGrid w:val="0"/>
          <w:sz w:val="24"/>
          <w:szCs w:val="20"/>
        </w:rPr>
      </w:pPr>
      <w:r w:rsidRPr="00C93C49">
        <w:rPr>
          <w:rFonts w:ascii="Arial" w:eastAsia="Times New Roman" w:hAnsi="Arial" w:cs="Arial"/>
          <w:snapToGrid w:val="0"/>
          <w:sz w:val="24"/>
          <w:szCs w:val="20"/>
        </w:rPr>
        <w:t>2015 – 67</w:t>
      </w:r>
    </w:p>
    <w:p w14:paraId="40B5D2F0" w14:textId="77777777" w:rsidR="00C93C49" w:rsidRPr="00C93C49" w:rsidRDefault="00C93C49" w:rsidP="00D94B11">
      <w:pPr>
        <w:widowControl w:val="0"/>
        <w:numPr>
          <w:ilvl w:val="0"/>
          <w:numId w:val="20"/>
        </w:numPr>
        <w:spacing w:after="0" w:line="20" w:lineRule="atLeast"/>
        <w:ind w:left="1080"/>
        <w:contextualSpacing/>
        <w:rPr>
          <w:rFonts w:ascii="Arial" w:eastAsia="Times New Roman" w:hAnsi="Arial" w:cs="Arial"/>
          <w:snapToGrid w:val="0"/>
          <w:sz w:val="24"/>
          <w:szCs w:val="20"/>
        </w:rPr>
      </w:pPr>
      <w:r w:rsidRPr="00C93C49">
        <w:rPr>
          <w:rFonts w:ascii="Arial" w:eastAsia="Times New Roman" w:hAnsi="Arial" w:cs="Arial"/>
          <w:snapToGrid w:val="0"/>
          <w:sz w:val="24"/>
          <w:szCs w:val="20"/>
        </w:rPr>
        <w:t>2016 – 39</w:t>
      </w:r>
    </w:p>
    <w:p w14:paraId="1A6A054D" w14:textId="77777777" w:rsidR="00C93C49" w:rsidRPr="00C93C49" w:rsidRDefault="00C93C49" w:rsidP="00D94B11">
      <w:pPr>
        <w:widowControl w:val="0"/>
        <w:numPr>
          <w:ilvl w:val="0"/>
          <w:numId w:val="20"/>
        </w:numPr>
        <w:spacing w:after="0" w:line="20" w:lineRule="atLeast"/>
        <w:ind w:left="1080"/>
        <w:contextualSpacing/>
        <w:rPr>
          <w:rFonts w:ascii="Arial" w:eastAsia="Times New Roman" w:hAnsi="Arial" w:cs="Arial"/>
          <w:snapToGrid w:val="0"/>
          <w:sz w:val="24"/>
          <w:szCs w:val="20"/>
        </w:rPr>
      </w:pPr>
      <w:r w:rsidRPr="00C93C49">
        <w:rPr>
          <w:rFonts w:ascii="Arial" w:eastAsia="Times New Roman" w:hAnsi="Arial" w:cs="Arial"/>
          <w:snapToGrid w:val="0"/>
          <w:sz w:val="24"/>
          <w:szCs w:val="20"/>
        </w:rPr>
        <w:t xml:space="preserve">2017 – 43 </w:t>
      </w:r>
    </w:p>
    <w:p w14:paraId="705A12B7" w14:textId="77777777" w:rsidR="00C93C49" w:rsidRPr="00C93C49" w:rsidRDefault="00C93C49" w:rsidP="00C93C49">
      <w:pPr>
        <w:widowControl w:val="0"/>
        <w:spacing w:after="0" w:line="20" w:lineRule="atLeast"/>
        <w:contextualSpacing/>
        <w:rPr>
          <w:rFonts w:ascii="Arial" w:eastAsia="Times New Roman" w:hAnsi="Arial" w:cs="Arial"/>
          <w:snapToGrid w:val="0"/>
          <w:sz w:val="24"/>
          <w:szCs w:val="20"/>
        </w:rPr>
      </w:pPr>
    </w:p>
    <w:p w14:paraId="4A8CFC14" w14:textId="77777777" w:rsidR="00C93C49" w:rsidRPr="00C93C49" w:rsidRDefault="00C93C49" w:rsidP="00C93C49">
      <w:pPr>
        <w:widowControl w:val="0"/>
        <w:spacing w:after="0" w:line="20" w:lineRule="atLeast"/>
        <w:ind w:firstLine="720"/>
        <w:contextualSpacing/>
        <w:rPr>
          <w:rFonts w:ascii="Arial" w:eastAsia="Times New Roman" w:hAnsi="Arial" w:cs="Arial"/>
          <w:snapToGrid w:val="0"/>
          <w:sz w:val="24"/>
          <w:szCs w:val="20"/>
        </w:rPr>
      </w:pPr>
      <w:r w:rsidRPr="00C93C49">
        <w:rPr>
          <w:rFonts w:ascii="Arial" w:eastAsia="Times New Roman" w:hAnsi="Arial" w:cs="Arial"/>
          <w:snapToGrid w:val="0"/>
          <w:sz w:val="24"/>
          <w:szCs w:val="20"/>
        </w:rPr>
        <w:t>Each year, a survey is provided to CSRs to receive their feedback on areas related to resources and support, feedback and recognition, quality and work environment.  Job satisfaction for 2014 through 2017 was as follows:</w:t>
      </w:r>
    </w:p>
    <w:p w14:paraId="1DAF6003" w14:textId="77777777" w:rsidR="00C93C49" w:rsidRPr="00C93C49" w:rsidRDefault="00C93C49" w:rsidP="00C93C49">
      <w:pPr>
        <w:widowControl w:val="0"/>
        <w:spacing w:after="0" w:line="20" w:lineRule="atLeast"/>
        <w:contextualSpacing/>
        <w:rPr>
          <w:rFonts w:ascii="Arial" w:eastAsia="Times New Roman" w:hAnsi="Arial" w:cs="Arial"/>
          <w:snapToGrid w:val="0"/>
          <w:sz w:val="24"/>
          <w:szCs w:val="20"/>
        </w:rPr>
      </w:pPr>
    </w:p>
    <w:p w14:paraId="6C031746" w14:textId="77777777" w:rsidR="00C93C49" w:rsidRPr="00C93C49" w:rsidRDefault="00C93C49" w:rsidP="00D94B11">
      <w:pPr>
        <w:widowControl w:val="0"/>
        <w:numPr>
          <w:ilvl w:val="0"/>
          <w:numId w:val="21"/>
        </w:numPr>
        <w:spacing w:after="0" w:line="20" w:lineRule="atLeast"/>
        <w:ind w:left="1080"/>
        <w:contextualSpacing/>
        <w:rPr>
          <w:rFonts w:ascii="Arial" w:eastAsia="Times New Roman" w:hAnsi="Arial" w:cs="Arial"/>
          <w:snapToGrid w:val="0"/>
          <w:sz w:val="24"/>
          <w:szCs w:val="20"/>
        </w:rPr>
      </w:pPr>
      <w:r w:rsidRPr="00C93C49">
        <w:rPr>
          <w:rFonts w:ascii="Arial" w:eastAsia="Times New Roman" w:hAnsi="Arial" w:cs="Arial"/>
          <w:snapToGrid w:val="0"/>
          <w:sz w:val="24"/>
          <w:szCs w:val="20"/>
        </w:rPr>
        <w:t>2014 – 85.2%</w:t>
      </w:r>
    </w:p>
    <w:p w14:paraId="4DA0BD82" w14:textId="77777777" w:rsidR="00C93C49" w:rsidRPr="00C93C49" w:rsidRDefault="00C93C49" w:rsidP="00D94B11">
      <w:pPr>
        <w:widowControl w:val="0"/>
        <w:numPr>
          <w:ilvl w:val="0"/>
          <w:numId w:val="21"/>
        </w:numPr>
        <w:spacing w:after="0" w:line="20" w:lineRule="atLeast"/>
        <w:ind w:left="1080"/>
        <w:contextualSpacing/>
        <w:rPr>
          <w:rFonts w:ascii="Arial" w:eastAsia="Times New Roman" w:hAnsi="Arial" w:cs="Arial"/>
          <w:snapToGrid w:val="0"/>
          <w:sz w:val="24"/>
          <w:szCs w:val="20"/>
        </w:rPr>
      </w:pPr>
      <w:r w:rsidRPr="00C93C49">
        <w:rPr>
          <w:rFonts w:ascii="Arial" w:eastAsia="Times New Roman" w:hAnsi="Arial" w:cs="Arial"/>
          <w:snapToGrid w:val="0"/>
          <w:sz w:val="24"/>
          <w:szCs w:val="20"/>
        </w:rPr>
        <w:t>2015 – 85.3%</w:t>
      </w:r>
    </w:p>
    <w:p w14:paraId="2A92FF6A" w14:textId="77777777" w:rsidR="00C93C49" w:rsidRPr="00C93C49" w:rsidRDefault="00C93C49" w:rsidP="00D94B11">
      <w:pPr>
        <w:widowControl w:val="0"/>
        <w:numPr>
          <w:ilvl w:val="0"/>
          <w:numId w:val="21"/>
        </w:numPr>
        <w:spacing w:after="0" w:line="20" w:lineRule="atLeast"/>
        <w:ind w:left="1080"/>
        <w:contextualSpacing/>
        <w:rPr>
          <w:rFonts w:ascii="Arial" w:eastAsia="Times New Roman" w:hAnsi="Arial" w:cs="Arial"/>
          <w:snapToGrid w:val="0"/>
          <w:sz w:val="24"/>
          <w:szCs w:val="20"/>
        </w:rPr>
      </w:pPr>
      <w:r w:rsidRPr="00C93C49">
        <w:rPr>
          <w:rFonts w:ascii="Arial" w:eastAsia="Times New Roman" w:hAnsi="Arial" w:cs="Arial"/>
          <w:snapToGrid w:val="0"/>
          <w:sz w:val="24"/>
          <w:szCs w:val="20"/>
        </w:rPr>
        <w:t>2016 – 89.0%</w:t>
      </w:r>
    </w:p>
    <w:p w14:paraId="645D6185" w14:textId="77777777" w:rsidR="00C93C49" w:rsidRPr="00C93C49" w:rsidRDefault="00C93C49" w:rsidP="00D94B11">
      <w:pPr>
        <w:widowControl w:val="0"/>
        <w:numPr>
          <w:ilvl w:val="0"/>
          <w:numId w:val="21"/>
        </w:numPr>
        <w:spacing w:after="0" w:line="20" w:lineRule="atLeast"/>
        <w:ind w:left="1080"/>
        <w:contextualSpacing/>
        <w:rPr>
          <w:rFonts w:ascii="Arial" w:eastAsia="Times New Roman" w:hAnsi="Arial" w:cs="Arial"/>
          <w:snapToGrid w:val="0"/>
          <w:sz w:val="24"/>
          <w:szCs w:val="20"/>
        </w:rPr>
      </w:pPr>
      <w:r w:rsidRPr="00C93C49">
        <w:rPr>
          <w:rFonts w:ascii="Arial" w:eastAsia="Times New Roman" w:hAnsi="Arial" w:cs="Arial"/>
          <w:snapToGrid w:val="0"/>
          <w:sz w:val="24"/>
          <w:szCs w:val="20"/>
        </w:rPr>
        <w:t>2017 – 93.5%</w:t>
      </w:r>
    </w:p>
    <w:p w14:paraId="6D730740" w14:textId="77777777" w:rsidR="00C93C49" w:rsidRPr="00C93C49" w:rsidRDefault="00C93C49" w:rsidP="00C93C49">
      <w:pPr>
        <w:widowControl w:val="0"/>
        <w:spacing w:after="0" w:line="20" w:lineRule="atLeast"/>
        <w:contextualSpacing/>
        <w:rPr>
          <w:rFonts w:ascii="Arial" w:eastAsia="Times New Roman" w:hAnsi="Arial" w:cs="Arial"/>
          <w:snapToGrid w:val="0"/>
          <w:sz w:val="24"/>
          <w:szCs w:val="20"/>
        </w:rPr>
      </w:pPr>
    </w:p>
    <w:p w14:paraId="70EA1D94" w14:textId="77777777" w:rsidR="00C93C49" w:rsidRPr="00C93C49" w:rsidRDefault="00C93C49" w:rsidP="00C93C49">
      <w:pPr>
        <w:widowControl w:val="0"/>
        <w:spacing w:after="0" w:line="20" w:lineRule="atLeast"/>
        <w:ind w:firstLine="720"/>
        <w:contextualSpacing/>
        <w:rPr>
          <w:rFonts w:ascii="Arial" w:eastAsia="Times New Roman" w:hAnsi="Arial" w:cs="Arial"/>
          <w:snapToGrid w:val="0"/>
          <w:sz w:val="24"/>
          <w:szCs w:val="20"/>
        </w:rPr>
      </w:pPr>
      <w:r w:rsidRPr="00C93C49">
        <w:rPr>
          <w:rFonts w:ascii="Arial" w:eastAsia="Times New Roman" w:hAnsi="Arial" w:cs="Arial"/>
          <w:snapToGrid w:val="0"/>
          <w:sz w:val="24"/>
          <w:szCs w:val="20"/>
        </w:rPr>
        <w:t xml:space="preserve">As shown in Exhibit X-11, call center performance has improved, except for a slight increase in busy-out rate.   The rate of </w:t>
      </w:r>
      <w:r w:rsidR="00971033">
        <w:rPr>
          <w:rFonts w:ascii="Arial" w:eastAsia="Times New Roman" w:hAnsi="Arial" w:cs="Arial"/>
          <w:snapToGrid w:val="0"/>
          <w:sz w:val="24"/>
          <w:szCs w:val="20"/>
        </w:rPr>
        <w:t>c</w:t>
      </w:r>
      <w:r w:rsidRPr="00C93C49">
        <w:rPr>
          <w:rFonts w:ascii="Arial" w:eastAsia="Times New Roman" w:hAnsi="Arial" w:cs="Arial"/>
          <w:snapToGrid w:val="0"/>
          <w:sz w:val="24"/>
          <w:szCs w:val="20"/>
        </w:rPr>
        <w:t xml:space="preserve">alls </w:t>
      </w:r>
      <w:r w:rsidR="00971033">
        <w:rPr>
          <w:rFonts w:ascii="Arial" w:eastAsia="Times New Roman" w:hAnsi="Arial" w:cs="Arial"/>
          <w:snapToGrid w:val="0"/>
          <w:sz w:val="24"/>
          <w:szCs w:val="20"/>
        </w:rPr>
        <w:t>a</w:t>
      </w:r>
      <w:r w:rsidRPr="00C93C49">
        <w:rPr>
          <w:rFonts w:ascii="Arial" w:eastAsia="Times New Roman" w:hAnsi="Arial" w:cs="Arial"/>
          <w:snapToGrid w:val="0"/>
          <w:sz w:val="24"/>
          <w:szCs w:val="20"/>
        </w:rPr>
        <w:t xml:space="preserve">nswered </w:t>
      </w:r>
      <w:r w:rsidR="00971033">
        <w:rPr>
          <w:rFonts w:ascii="Arial" w:eastAsia="Times New Roman" w:hAnsi="Arial" w:cs="Arial"/>
          <w:snapToGrid w:val="0"/>
          <w:sz w:val="24"/>
          <w:szCs w:val="20"/>
        </w:rPr>
        <w:t>w</w:t>
      </w:r>
      <w:r w:rsidRPr="00C93C49">
        <w:rPr>
          <w:rFonts w:ascii="Arial" w:eastAsia="Times New Roman" w:hAnsi="Arial" w:cs="Arial"/>
          <w:snapToGrid w:val="0"/>
          <w:sz w:val="24"/>
          <w:szCs w:val="20"/>
        </w:rPr>
        <w:t>ithin 30</w:t>
      </w:r>
      <w:r w:rsidR="0044750B">
        <w:rPr>
          <w:rFonts w:ascii="Arial" w:eastAsia="Times New Roman" w:hAnsi="Arial" w:cs="Arial"/>
          <w:snapToGrid w:val="0"/>
          <w:sz w:val="24"/>
          <w:szCs w:val="20"/>
        </w:rPr>
        <w:t>-</w:t>
      </w:r>
      <w:r w:rsidR="00971033">
        <w:rPr>
          <w:rFonts w:ascii="Arial" w:eastAsia="Times New Roman" w:hAnsi="Arial" w:cs="Arial"/>
          <w:snapToGrid w:val="0"/>
          <w:sz w:val="24"/>
          <w:szCs w:val="20"/>
        </w:rPr>
        <w:t>s</w:t>
      </w:r>
      <w:r w:rsidRPr="00C93C49">
        <w:rPr>
          <w:rFonts w:ascii="Arial" w:eastAsia="Times New Roman" w:hAnsi="Arial" w:cs="Arial"/>
          <w:snapToGrid w:val="0"/>
          <w:sz w:val="24"/>
          <w:szCs w:val="20"/>
        </w:rPr>
        <w:t>econds remained steady at FirstEnergy and increased at West Penn Power.  The call abandonment rate remained steady and decreased at West Penn Power.  As part of the merger agreement between FirstEnergy and Allegheny Energy, West Penn Power’s performance is reported separately where 70% of calls were to be answered in a 30</w:t>
      </w:r>
      <w:r w:rsidR="002A72ED">
        <w:rPr>
          <w:rFonts w:ascii="Arial" w:eastAsia="Times New Roman" w:hAnsi="Arial" w:cs="Arial"/>
          <w:snapToGrid w:val="0"/>
          <w:sz w:val="24"/>
          <w:szCs w:val="20"/>
        </w:rPr>
        <w:noBreakHyphen/>
      </w:r>
      <w:r w:rsidRPr="00C93C49">
        <w:rPr>
          <w:rFonts w:ascii="Arial" w:eastAsia="Times New Roman" w:hAnsi="Arial" w:cs="Arial"/>
          <w:snapToGrid w:val="0"/>
          <w:sz w:val="24"/>
          <w:szCs w:val="20"/>
        </w:rPr>
        <w:t>second period by 2016.</w:t>
      </w:r>
    </w:p>
    <w:p w14:paraId="51CA1AE0"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0"/>
        </w:rPr>
      </w:pPr>
    </w:p>
    <w:p w14:paraId="5175DE56" w14:textId="77777777" w:rsidR="00C93C49" w:rsidRPr="00C93C49" w:rsidRDefault="00C93C49" w:rsidP="00C93C49">
      <w:pPr>
        <w:widowControl w:val="0"/>
        <w:tabs>
          <w:tab w:val="left" w:pos="540"/>
        </w:tabs>
        <w:spacing w:after="0" w:line="20" w:lineRule="atLeast"/>
        <w:contextualSpacing/>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 xml:space="preserve">Exhibit X – 11 </w:t>
      </w:r>
    </w:p>
    <w:p w14:paraId="31DF76B7"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4"/>
        </w:rPr>
      </w:pPr>
      <w:r w:rsidRPr="00C93C49">
        <w:rPr>
          <w:rFonts w:ascii="Arial" w:eastAsia="Calibri" w:hAnsi="Arial" w:cs="Arial"/>
          <w:b/>
          <w:snapToGrid w:val="0"/>
          <w:sz w:val="24"/>
          <w:szCs w:val="24"/>
        </w:rPr>
        <w:t>FirstEnergy Pennsylvania Companies vs. Panel Average</w:t>
      </w:r>
    </w:p>
    <w:p w14:paraId="64DA0C6A"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4"/>
        </w:rPr>
      </w:pPr>
      <w:r w:rsidRPr="00C93C49">
        <w:rPr>
          <w:rFonts w:ascii="Arial" w:eastAsia="Times New Roman" w:hAnsi="Arial" w:cs="Arial"/>
          <w:b/>
          <w:snapToGrid w:val="0"/>
          <w:sz w:val="24"/>
          <w:szCs w:val="24"/>
        </w:rPr>
        <w:t>Busy-Out Rate, Call Abandonment Rate, and Calls Answered Within 30 Seconds</w:t>
      </w:r>
    </w:p>
    <w:p w14:paraId="1C1B38B8"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4"/>
        </w:rPr>
      </w:pPr>
      <w:r w:rsidRPr="00C93C49">
        <w:rPr>
          <w:rFonts w:ascii="Arial" w:eastAsia="Times New Roman" w:hAnsi="Arial" w:cs="Arial"/>
          <w:b/>
          <w:snapToGrid w:val="0"/>
          <w:sz w:val="24"/>
          <w:szCs w:val="24"/>
        </w:rPr>
        <w:t>For the Years 2014 through 2016</w:t>
      </w:r>
    </w:p>
    <w:p w14:paraId="5B5BA822" w14:textId="77777777" w:rsidR="00C93C49" w:rsidRPr="00C93C49" w:rsidRDefault="00C93C49" w:rsidP="00C93C49">
      <w:pPr>
        <w:widowControl w:val="0"/>
        <w:spacing w:after="0" w:line="20" w:lineRule="atLeast"/>
        <w:contextualSpacing/>
        <w:jc w:val="center"/>
        <w:rPr>
          <w:rFonts w:ascii="Arial" w:eastAsia="Calibri" w:hAnsi="Arial" w:cs="Arial"/>
          <w:b/>
          <w:snapToGrid w:val="0"/>
          <w:sz w:val="8"/>
          <w:szCs w:val="8"/>
        </w:rPr>
      </w:pPr>
    </w:p>
    <w:tbl>
      <w:tblPr>
        <w:tblStyle w:val="TableGrid32"/>
        <w:tblW w:w="5355" w:type="dxa"/>
        <w:jc w:val="center"/>
        <w:tblLayout w:type="fixed"/>
        <w:tblLook w:val="04A0" w:firstRow="1" w:lastRow="0" w:firstColumn="1" w:lastColumn="0" w:noHBand="0" w:noVBand="1"/>
      </w:tblPr>
      <w:tblGrid>
        <w:gridCol w:w="3105"/>
        <w:gridCol w:w="750"/>
        <w:gridCol w:w="750"/>
        <w:gridCol w:w="750"/>
      </w:tblGrid>
      <w:tr w:rsidR="00C93C49" w:rsidRPr="00C93C49" w14:paraId="3381FBAA" w14:textId="77777777" w:rsidTr="00347614">
        <w:trPr>
          <w:trHeight w:val="20"/>
          <w:jc w:val="center"/>
        </w:trPr>
        <w:tc>
          <w:tcPr>
            <w:tcW w:w="310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664E1084" w14:textId="77777777" w:rsidR="00C93C49" w:rsidRPr="00C93C49" w:rsidRDefault="00C93C49" w:rsidP="00C93C49">
            <w:pPr>
              <w:widowControl w:val="0"/>
              <w:spacing w:line="20" w:lineRule="atLeast"/>
              <w:contextualSpacing/>
              <w:jc w:val="center"/>
              <w:rPr>
                <w:rFonts w:ascii="Arial" w:eastAsia="Calibri" w:hAnsi="Arial" w:cs="Arial"/>
                <w:b/>
                <w:i/>
                <w:snapToGrid w:val="0"/>
              </w:rPr>
            </w:pPr>
            <w:r w:rsidRPr="00C93C49">
              <w:rPr>
                <w:rFonts w:ascii="Arial" w:eastAsia="Calibri" w:hAnsi="Arial" w:cs="Arial"/>
                <w:b/>
                <w:i/>
                <w:snapToGrid w:val="0"/>
              </w:rPr>
              <w:t>Busy-Out</w:t>
            </w:r>
          </w:p>
        </w:tc>
        <w:tc>
          <w:tcPr>
            <w:tcW w:w="75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5BDC94EF"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2014</w:t>
            </w:r>
          </w:p>
        </w:tc>
        <w:tc>
          <w:tcPr>
            <w:tcW w:w="75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384A6DC4"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2015</w:t>
            </w:r>
          </w:p>
        </w:tc>
        <w:tc>
          <w:tcPr>
            <w:tcW w:w="75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1A61C2FC"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2016</w:t>
            </w:r>
          </w:p>
        </w:tc>
      </w:tr>
      <w:tr w:rsidR="00C93C49" w:rsidRPr="00C93C49" w14:paraId="7A759C45" w14:textId="77777777" w:rsidTr="00347614">
        <w:trPr>
          <w:trHeight w:val="20"/>
          <w:jc w:val="center"/>
        </w:trPr>
        <w:tc>
          <w:tcPr>
            <w:tcW w:w="310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CA0727D"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Duquesne</w:t>
            </w:r>
          </w:p>
        </w:tc>
        <w:tc>
          <w:tcPr>
            <w:tcW w:w="7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254F50F"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0%</w:t>
            </w:r>
          </w:p>
        </w:tc>
        <w:tc>
          <w:tcPr>
            <w:tcW w:w="7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04A1D83"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0%</w:t>
            </w:r>
          </w:p>
        </w:tc>
        <w:tc>
          <w:tcPr>
            <w:tcW w:w="7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65AF4FE"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0%</w:t>
            </w:r>
          </w:p>
        </w:tc>
      </w:tr>
      <w:tr w:rsidR="00C93C49" w:rsidRPr="00C93C49" w14:paraId="7C0F8772" w14:textId="77777777" w:rsidTr="00347614">
        <w:trPr>
          <w:trHeight w:val="20"/>
          <w:jc w:val="center"/>
        </w:trPr>
        <w:tc>
          <w:tcPr>
            <w:tcW w:w="3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907C5"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PPL</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BB80E"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0C05B"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06A01"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0%</w:t>
            </w:r>
          </w:p>
        </w:tc>
      </w:tr>
      <w:tr w:rsidR="00C93C49" w:rsidRPr="00C93C49" w14:paraId="08EA6FFE" w14:textId="77777777" w:rsidTr="00347614">
        <w:trPr>
          <w:trHeight w:val="20"/>
          <w:jc w:val="center"/>
        </w:trPr>
        <w:tc>
          <w:tcPr>
            <w:tcW w:w="3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C0D82"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UGI-Electric</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F200D"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1%</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D54E3"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E4ADA"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0%</w:t>
            </w:r>
          </w:p>
        </w:tc>
      </w:tr>
      <w:tr w:rsidR="00C93C49" w:rsidRPr="00C93C49" w14:paraId="62329B6A" w14:textId="77777777" w:rsidTr="00347614">
        <w:trPr>
          <w:trHeight w:val="20"/>
          <w:jc w:val="center"/>
        </w:trPr>
        <w:tc>
          <w:tcPr>
            <w:tcW w:w="310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4D71687"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PECO</w:t>
            </w:r>
          </w:p>
        </w:tc>
        <w:tc>
          <w:tcPr>
            <w:tcW w:w="7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6A87F5CF"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1%</w:t>
            </w:r>
          </w:p>
        </w:tc>
        <w:tc>
          <w:tcPr>
            <w:tcW w:w="7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CEDEBF3"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1%</w:t>
            </w:r>
          </w:p>
        </w:tc>
        <w:tc>
          <w:tcPr>
            <w:tcW w:w="7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4E81BCBE"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0%</w:t>
            </w:r>
          </w:p>
        </w:tc>
      </w:tr>
      <w:tr w:rsidR="00C93C49" w:rsidRPr="00C93C49" w14:paraId="07B94DEA" w14:textId="77777777" w:rsidTr="00347614">
        <w:trPr>
          <w:trHeight w:val="20"/>
          <w:jc w:val="center"/>
        </w:trPr>
        <w:tc>
          <w:tcPr>
            <w:tcW w:w="3105"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4A811BE8"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Panel Average</w:t>
            </w:r>
          </w:p>
        </w:tc>
        <w:tc>
          <w:tcPr>
            <w:tcW w:w="7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56186A6C"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1%</w:t>
            </w:r>
          </w:p>
        </w:tc>
        <w:tc>
          <w:tcPr>
            <w:tcW w:w="7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01B79498"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0%</w:t>
            </w:r>
          </w:p>
        </w:tc>
        <w:tc>
          <w:tcPr>
            <w:tcW w:w="7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7ACC3926"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0%</w:t>
            </w:r>
          </w:p>
        </w:tc>
      </w:tr>
      <w:tr w:rsidR="00C93C49" w:rsidRPr="00C93C49" w14:paraId="49402DA1" w14:textId="77777777" w:rsidTr="00347614">
        <w:trPr>
          <w:trHeight w:val="20"/>
          <w:jc w:val="center"/>
        </w:trPr>
        <w:tc>
          <w:tcPr>
            <w:tcW w:w="310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AEEABCC"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FirstEnergy</w:t>
            </w:r>
          </w:p>
        </w:tc>
        <w:tc>
          <w:tcPr>
            <w:tcW w:w="7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141AE3D"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0%</w:t>
            </w:r>
          </w:p>
        </w:tc>
        <w:tc>
          <w:tcPr>
            <w:tcW w:w="7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FC64130"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1%</w:t>
            </w:r>
          </w:p>
        </w:tc>
        <w:tc>
          <w:tcPr>
            <w:tcW w:w="7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3BF9EE9"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2%</w:t>
            </w:r>
          </w:p>
        </w:tc>
      </w:tr>
      <w:tr w:rsidR="00C93C49" w:rsidRPr="00C93C49" w14:paraId="0A0B139E" w14:textId="77777777" w:rsidTr="00347614">
        <w:trPr>
          <w:trHeight w:val="20"/>
          <w:jc w:val="center"/>
        </w:trPr>
        <w:tc>
          <w:tcPr>
            <w:tcW w:w="310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E23634A"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West Penn Power</w:t>
            </w:r>
          </w:p>
        </w:tc>
        <w:tc>
          <w:tcPr>
            <w:tcW w:w="75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EA4D3A3"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1%</w:t>
            </w:r>
          </w:p>
        </w:tc>
        <w:tc>
          <w:tcPr>
            <w:tcW w:w="75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458188A"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1%</w:t>
            </w:r>
          </w:p>
        </w:tc>
        <w:tc>
          <w:tcPr>
            <w:tcW w:w="75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2B23795"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3%</w:t>
            </w:r>
          </w:p>
        </w:tc>
      </w:tr>
      <w:tr w:rsidR="00C93C49" w:rsidRPr="00C93C49" w14:paraId="0D3EC2DB" w14:textId="77777777" w:rsidTr="00347614">
        <w:trPr>
          <w:trHeight w:val="20"/>
          <w:jc w:val="center"/>
        </w:trPr>
        <w:tc>
          <w:tcPr>
            <w:tcW w:w="310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65FC48A0" w14:textId="77777777" w:rsidR="00C93C49" w:rsidRPr="00C93C49" w:rsidRDefault="00C93C49" w:rsidP="00C93C49">
            <w:pPr>
              <w:widowControl w:val="0"/>
              <w:spacing w:line="20" w:lineRule="atLeast"/>
              <w:contextualSpacing/>
              <w:jc w:val="center"/>
              <w:rPr>
                <w:rFonts w:ascii="Arial" w:eastAsia="Calibri" w:hAnsi="Arial" w:cs="Arial"/>
                <w:b/>
                <w:i/>
                <w:snapToGrid w:val="0"/>
              </w:rPr>
            </w:pPr>
            <w:r w:rsidRPr="00C93C49">
              <w:rPr>
                <w:rFonts w:ascii="Arial" w:eastAsia="Calibri" w:hAnsi="Arial" w:cs="Arial"/>
                <w:b/>
                <w:i/>
                <w:snapToGrid w:val="0"/>
              </w:rPr>
              <w:t>Call Abandonment</w:t>
            </w:r>
          </w:p>
        </w:tc>
        <w:tc>
          <w:tcPr>
            <w:tcW w:w="75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1A7B03C0"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2014</w:t>
            </w:r>
          </w:p>
        </w:tc>
        <w:tc>
          <w:tcPr>
            <w:tcW w:w="75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7C4B9AF0"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2015</w:t>
            </w:r>
          </w:p>
        </w:tc>
        <w:tc>
          <w:tcPr>
            <w:tcW w:w="75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7B83E03F"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2016</w:t>
            </w:r>
          </w:p>
        </w:tc>
      </w:tr>
      <w:tr w:rsidR="00C93C49" w:rsidRPr="00C93C49" w14:paraId="016D9A72" w14:textId="77777777" w:rsidTr="00347614">
        <w:trPr>
          <w:trHeight w:val="20"/>
          <w:jc w:val="center"/>
        </w:trPr>
        <w:tc>
          <w:tcPr>
            <w:tcW w:w="310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BC609AD"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Duquesne</w:t>
            </w:r>
          </w:p>
        </w:tc>
        <w:tc>
          <w:tcPr>
            <w:tcW w:w="7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76DFB94"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4%</w:t>
            </w:r>
          </w:p>
        </w:tc>
        <w:tc>
          <w:tcPr>
            <w:tcW w:w="7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1592C6B"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10%</w:t>
            </w:r>
          </w:p>
        </w:tc>
        <w:tc>
          <w:tcPr>
            <w:tcW w:w="7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509BB92"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7%</w:t>
            </w:r>
          </w:p>
        </w:tc>
      </w:tr>
      <w:tr w:rsidR="00C93C49" w:rsidRPr="00C93C49" w14:paraId="765CE8FF" w14:textId="77777777" w:rsidTr="00347614">
        <w:trPr>
          <w:trHeight w:val="20"/>
          <w:jc w:val="center"/>
        </w:trPr>
        <w:tc>
          <w:tcPr>
            <w:tcW w:w="3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AC90D"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PPL</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FD60F"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7%</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3D6B0"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3%</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00497"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4%</w:t>
            </w:r>
          </w:p>
        </w:tc>
      </w:tr>
      <w:tr w:rsidR="00C93C49" w:rsidRPr="00C93C49" w14:paraId="27E86B50" w14:textId="77777777" w:rsidTr="00347614">
        <w:trPr>
          <w:trHeight w:val="20"/>
          <w:jc w:val="center"/>
        </w:trPr>
        <w:tc>
          <w:tcPr>
            <w:tcW w:w="3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37E2A"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UGI-Electric</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BF118"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4%</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CE568"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4%</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9AFC1"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3%</w:t>
            </w:r>
          </w:p>
        </w:tc>
      </w:tr>
      <w:tr w:rsidR="00C93C49" w:rsidRPr="00C93C49" w14:paraId="247F86FA" w14:textId="77777777" w:rsidTr="00347614">
        <w:trPr>
          <w:trHeight w:val="20"/>
          <w:jc w:val="center"/>
        </w:trPr>
        <w:tc>
          <w:tcPr>
            <w:tcW w:w="310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1A699AA1"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PECO</w:t>
            </w:r>
          </w:p>
        </w:tc>
        <w:tc>
          <w:tcPr>
            <w:tcW w:w="7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605DDFAA"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3%</w:t>
            </w:r>
          </w:p>
        </w:tc>
        <w:tc>
          <w:tcPr>
            <w:tcW w:w="7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C5A5A0C"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1%</w:t>
            </w:r>
          </w:p>
        </w:tc>
        <w:tc>
          <w:tcPr>
            <w:tcW w:w="7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13D374F"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1%</w:t>
            </w:r>
          </w:p>
        </w:tc>
      </w:tr>
      <w:tr w:rsidR="00C93C49" w:rsidRPr="00C93C49" w14:paraId="79C8DD7C" w14:textId="77777777" w:rsidTr="00347614">
        <w:trPr>
          <w:trHeight w:val="20"/>
          <w:jc w:val="center"/>
        </w:trPr>
        <w:tc>
          <w:tcPr>
            <w:tcW w:w="3105"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4B69DDEB"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Panel Average</w:t>
            </w:r>
          </w:p>
        </w:tc>
        <w:tc>
          <w:tcPr>
            <w:tcW w:w="7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37734F16"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5%</w:t>
            </w:r>
          </w:p>
        </w:tc>
        <w:tc>
          <w:tcPr>
            <w:tcW w:w="7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5DADBE88"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5%</w:t>
            </w:r>
          </w:p>
        </w:tc>
        <w:tc>
          <w:tcPr>
            <w:tcW w:w="7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6D734271"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4%</w:t>
            </w:r>
          </w:p>
        </w:tc>
      </w:tr>
      <w:tr w:rsidR="00C93C49" w:rsidRPr="00C93C49" w14:paraId="5CB2588D" w14:textId="77777777" w:rsidTr="00347614">
        <w:trPr>
          <w:trHeight w:val="20"/>
          <w:jc w:val="center"/>
        </w:trPr>
        <w:tc>
          <w:tcPr>
            <w:tcW w:w="310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9E5E8BE"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FirstEnergy</w:t>
            </w:r>
          </w:p>
        </w:tc>
        <w:tc>
          <w:tcPr>
            <w:tcW w:w="7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41E7CE3"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4%</w:t>
            </w:r>
          </w:p>
        </w:tc>
        <w:tc>
          <w:tcPr>
            <w:tcW w:w="7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0AA15B0"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5%</w:t>
            </w:r>
          </w:p>
        </w:tc>
        <w:tc>
          <w:tcPr>
            <w:tcW w:w="7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80ED948"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4%</w:t>
            </w:r>
          </w:p>
        </w:tc>
      </w:tr>
      <w:tr w:rsidR="00C93C49" w:rsidRPr="00C93C49" w14:paraId="46CC1297" w14:textId="77777777" w:rsidTr="00347614">
        <w:trPr>
          <w:trHeight w:val="20"/>
          <w:jc w:val="center"/>
        </w:trPr>
        <w:tc>
          <w:tcPr>
            <w:tcW w:w="310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0FBF84F"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West Penn Power</w:t>
            </w:r>
          </w:p>
        </w:tc>
        <w:tc>
          <w:tcPr>
            <w:tcW w:w="75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D71B56F"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8%</w:t>
            </w:r>
          </w:p>
        </w:tc>
        <w:tc>
          <w:tcPr>
            <w:tcW w:w="75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E4A28C9"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6%</w:t>
            </w:r>
          </w:p>
        </w:tc>
        <w:tc>
          <w:tcPr>
            <w:tcW w:w="75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E0B691B"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3%</w:t>
            </w:r>
          </w:p>
        </w:tc>
      </w:tr>
      <w:tr w:rsidR="00C93C49" w:rsidRPr="00C93C49" w14:paraId="23E0444A" w14:textId="77777777" w:rsidTr="00347614">
        <w:trPr>
          <w:trHeight w:val="20"/>
          <w:jc w:val="center"/>
        </w:trPr>
        <w:tc>
          <w:tcPr>
            <w:tcW w:w="310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DF20658" w14:textId="77777777" w:rsidR="00C93C49" w:rsidRPr="00C93C49" w:rsidRDefault="00C93C49" w:rsidP="00C93C49">
            <w:pPr>
              <w:widowControl w:val="0"/>
              <w:spacing w:line="20" w:lineRule="atLeast"/>
              <w:contextualSpacing/>
              <w:jc w:val="center"/>
              <w:rPr>
                <w:rFonts w:ascii="Arial" w:eastAsia="Calibri" w:hAnsi="Arial" w:cs="Arial"/>
                <w:b/>
                <w:i/>
                <w:snapToGrid w:val="0"/>
              </w:rPr>
            </w:pPr>
            <w:r w:rsidRPr="00C93C49">
              <w:rPr>
                <w:rFonts w:ascii="Arial" w:eastAsia="Calibri" w:hAnsi="Arial" w:cs="Arial"/>
                <w:b/>
                <w:i/>
                <w:snapToGrid w:val="0"/>
              </w:rPr>
              <w:t>Answered in 30 seconds</w:t>
            </w:r>
          </w:p>
        </w:tc>
        <w:tc>
          <w:tcPr>
            <w:tcW w:w="75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68EA2F7D"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2014</w:t>
            </w:r>
          </w:p>
        </w:tc>
        <w:tc>
          <w:tcPr>
            <w:tcW w:w="75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7B2CC039"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2015</w:t>
            </w:r>
          </w:p>
        </w:tc>
        <w:tc>
          <w:tcPr>
            <w:tcW w:w="75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7ED74789"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2016</w:t>
            </w:r>
          </w:p>
        </w:tc>
      </w:tr>
      <w:tr w:rsidR="00C93C49" w:rsidRPr="00C93C49" w14:paraId="641AF2E2" w14:textId="77777777" w:rsidTr="00347614">
        <w:trPr>
          <w:trHeight w:val="20"/>
          <w:jc w:val="center"/>
        </w:trPr>
        <w:tc>
          <w:tcPr>
            <w:tcW w:w="310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DA8858D"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Duquesne</w:t>
            </w:r>
          </w:p>
        </w:tc>
        <w:tc>
          <w:tcPr>
            <w:tcW w:w="7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51854AD"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80%</w:t>
            </w:r>
          </w:p>
        </w:tc>
        <w:tc>
          <w:tcPr>
            <w:tcW w:w="7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17564C3"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84%</w:t>
            </w:r>
          </w:p>
        </w:tc>
        <w:tc>
          <w:tcPr>
            <w:tcW w:w="7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FA766AE"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84%</w:t>
            </w:r>
          </w:p>
        </w:tc>
      </w:tr>
      <w:tr w:rsidR="00C93C49" w:rsidRPr="00C93C49" w14:paraId="77024F2E" w14:textId="77777777" w:rsidTr="00347614">
        <w:trPr>
          <w:trHeight w:val="20"/>
          <w:jc w:val="center"/>
        </w:trPr>
        <w:tc>
          <w:tcPr>
            <w:tcW w:w="3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4A17D"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PPL</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42CFF"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74%</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F24C0"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87%</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1CC2B"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90%</w:t>
            </w:r>
          </w:p>
        </w:tc>
      </w:tr>
      <w:tr w:rsidR="00C93C49" w:rsidRPr="00C93C49" w14:paraId="6D283602" w14:textId="77777777" w:rsidTr="00347614">
        <w:trPr>
          <w:trHeight w:val="20"/>
          <w:jc w:val="center"/>
        </w:trPr>
        <w:tc>
          <w:tcPr>
            <w:tcW w:w="3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49572"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UGI-Electric</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5F906"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80%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F4761"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80%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212CE"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83%</w:t>
            </w:r>
          </w:p>
        </w:tc>
      </w:tr>
      <w:tr w:rsidR="00C93C49" w:rsidRPr="00C93C49" w14:paraId="72F8E02D" w14:textId="77777777" w:rsidTr="00347614">
        <w:trPr>
          <w:trHeight w:val="20"/>
          <w:jc w:val="center"/>
        </w:trPr>
        <w:tc>
          <w:tcPr>
            <w:tcW w:w="310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3AACEE60"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PECO</w:t>
            </w:r>
          </w:p>
        </w:tc>
        <w:tc>
          <w:tcPr>
            <w:tcW w:w="7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1741B843"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89%</w:t>
            </w:r>
          </w:p>
        </w:tc>
        <w:tc>
          <w:tcPr>
            <w:tcW w:w="7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4F469E95"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91%</w:t>
            </w:r>
          </w:p>
        </w:tc>
        <w:tc>
          <w:tcPr>
            <w:tcW w:w="7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633E9577"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92%</w:t>
            </w:r>
          </w:p>
        </w:tc>
      </w:tr>
      <w:tr w:rsidR="00C93C49" w:rsidRPr="00C93C49" w14:paraId="55EC5A42" w14:textId="77777777" w:rsidTr="00347614">
        <w:trPr>
          <w:trHeight w:val="20"/>
          <w:jc w:val="center"/>
        </w:trPr>
        <w:tc>
          <w:tcPr>
            <w:tcW w:w="3105"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50BD1868" w14:textId="77777777" w:rsidR="00C93C49" w:rsidRPr="00C93C49" w:rsidRDefault="00C93C49" w:rsidP="00C93C49">
            <w:pPr>
              <w:widowControl w:val="0"/>
              <w:spacing w:line="20" w:lineRule="atLeast"/>
              <w:contextualSpacing/>
              <w:jc w:val="center"/>
              <w:rPr>
                <w:rFonts w:ascii="Arial" w:eastAsia="Calibri" w:hAnsi="Arial" w:cs="Arial"/>
                <w:b/>
                <w:snapToGrid w:val="0"/>
              </w:rPr>
            </w:pPr>
            <w:r w:rsidRPr="00C93C49">
              <w:rPr>
                <w:rFonts w:ascii="Arial" w:eastAsia="Calibri" w:hAnsi="Arial" w:cs="Arial"/>
                <w:b/>
                <w:snapToGrid w:val="0"/>
              </w:rPr>
              <w:t>Panel Average</w:t>
            </w:r>
          </w:p>
        </w:tc>
        <w:tc>
          <w:tcPr>
            <w:tcW w:w="7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015E2394"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81%</w:t>
            </w:r>
          </w:p>
        </w:tc>
        <w:tc>
          <w:tcPr>
            <w:tcW w:w="7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1387976C"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86%</w:t>
            </w:r>
          </w:p>
        </w:tc>
        <w:tc>
          <w:tcPr>
            <w:tcW w:w="7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53C8B59E"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87%</w:t>
            </w:r>
          </w:p>
        </w:tc>
      </w:tr>
      <w:tr w:rsidR="00C93C49" w:rsidRPr="00C93C49" w14:paraId="0564D089" w14:textId="77777777" w:rsidTr="00347614">
        <w:trPr>
          <w:trHeight w:val="20"/>
          <w:jc w:val="center"/>
        </w:trPr>
        <w:tc>
          <w:tcPr>
            <w:tcW w:w="310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74F6EB1"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FirstEnergy</w:t>
            </w:r>
          </w:p>
        </w:tc>
        <w:tc>
          <w:tcPr>
            <w:tcW w:w="7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D565889"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80%</w:t>
            </w:r>
          </w:p>
        </w:tc>
        <w:tc>
          <w:tcPr>
            <w:tcW w:w="7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48F709D"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80%</w:t>
            </w:r>
          </w:p>
        </w:tc>
        <w:tc>
          <w:tcPr>
            <w:tcW w:w="7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DDFFFCB"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81%</w:t>
            </w:r>
          </w:p>
        </w:tc>
      </w:tr>
      <w:tr w:rsidR="00C93C49" w:rsidRPr="00C93C49" w14:paraId="5A4F8AE7" w14:textId="77777777" w:rsidTr="00347614">
        <w:trPr>
          <w:trHeight w:val="20"/>
          <w:jc w:val="center"/>
        </w:trPr>
        <w:tc>
          <w:tcPr>
            <w:tcW w:w="3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0DDAE" w14:textId="77777777" w:rsidR="00C93C49" w:rsidRPr="00C93C49" w:rsidRDefault="00C93C49" w:rsidP="00C93C49">
            <w:pPr>
              <w:widowControl w:val="0"/>
              <w:spacing w:line="20" w:lineRule="atLeast"/>
              <w:contextualSpacing/>
              <w:rPr>
                <w:rFonts w:ascii="Arial" w:eastAsia="Calibri" w:hAnsi="Arial" w:cs="Arial"/>
                <w:b/>
                <w:snapToGrid w:val="0"/>
              </w:rPr>
            </w:pPr>
            <w:r w:rsidRPr="00C93C49">
              <w:rPr>
                <w:rFonts w:ascii="Arial" w:eastAsia="Calibri" w:hAnsi="Arial" w:cs="Arial"/>
                <w:b/>
                <w:snapToGrid w:val="0"/>
              </w:rPr>
              <w:t>West Penn Power</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521BF"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71%</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C6571"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76%</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C7DB6" w14:textId="77777777" w:rsidR="00C93C49" w:rsidRPr="00C93C49" w:rsidRDefault="00C93C49" w:rsidP="00C93C49">
            <w:pPr>
              <w:widowControl w:val="0"/>
              <w:spacing w:line="20" w:lineRule="atLeast"/>
              <w:contextualSpacing/>
              <w:jc w:val="center"/>
              <w:rPr>
                <w:rFonts w:ascii="Arial" w:eastAsia="Calibri" w:hAnsi="Arial" w:cs="Arial"/>
                <w:snapToGrid w:val="0"/>
              </w:rPr>
            </w:pPr>
            <w:r w:rsidRPr="00C93C49">
              <w:rPr>
                <w:rFonts w:ascii="Arial" w:eastAsia="Calibri" w:hAnsi="Arial" w:cs="Arial"/>
                <w:snapToGrid w:val="0"/>
              </w:rPr>
              <w:t>80%</w:t>
            </w:r>
          </w:p>
        </w:tc>
      </w:tr>
    </w:tbl>
    <w:p w14:paraId="3890AD50" w14:textId="77777777" w:rsidR="00C93C49" w:rsidRPr="00C93C49" w:rsidRDefault="00C93C49" w:rsidP="00C93C49">
      <w:pPr>
        <w:widowControl w:val="0"/>
        <w:spacing w:after="0" w:line="20" w:lineRule="atLeast"/>
        <w:ind w:left="2700" w:right="2070" w:hanging="720"/>
        <w:contextualSpacing/>
        <w:rPr>
          <w:rFonts w:ascii="Arial" w:eastAsia="Times New Roman" w:hAnsi="Arial" w:cs="Arial"/>
          <w:snapToGrid w:val="0"/>
          <w:sz w:val="18"/>
          <w:szCs w:val="18"/>
        </w:rPr>
      </w:pPr>
      <w:r w:rsidRPr="00C93C49">
        <w:rPr>
          <w:rFonts w:ascii="Arial" w:eastAsia="Times New Roman" w:hAnsi="Arial" w:cs="Arial"/>
          <w:snapToGrid w:val="0"/>
          <w:sz w:val="18"/>
          <w:szCs w:val="18"/>
        </w:rPr>
        <w:t>Source:  2014-2016 PUC Customer Service Performance Reports and Auditor Analysis</w:t>
      </w:r>
    </w:p>
    <w:p w14:paraId="2155B766" w14:textId="77777777" w:rsidR="00C93C49" w:rsidRPr="00C93C49" w:rsidRDefault="00C93C49" w:rsidP="00C93C49">
      <w:pPr>
        <w:spacing w:after="0" w:line="20" w:lineRule="atLeast"/>
        <w:ind w:firstLine="720"/>
        <w:contextualSpacing/>
        <w:rPr>
          <w:rFonts w:ascii="Arial" w:eastAsia="Times New Roman" w:hAnsi="Arial" w:cs="Arial"/>
          <w:snapToGrid w:val="0"/>
          <w:sz w:val="24"/>
          <w:szCs w:val="20"/>
        </w:rPr>
      </w:pPr>
    </w:p>
    <w:p w14:paraId="706975A8" w14:textId="460DB6D5" w:rsidR="00C93C49" w:rsidRPr="00C93C49" w:rsidRDefault="00C93C49" w:rsidP="00C93C49">
      <w:pPr>
        <w:spacing w:after="0" w:line="20" w:lineRule="atLeast"/>
        <w:ind w:firstLine="720"/>
        <w:contextualSpacing/>
        <w:rPr>
          <w:rFonts w:ascii="Arial" w:eastAsia="Times New Roman" w:hAnsi="Arial" w:cs="Arial"/>
          <w:snapToGrid w:val="0"/>
          <w:sz w:val="24"/>
          <w:szCs w:val="20"/>
        </w:rPr>
      </w:pPr>
      <w:r w:rsidRPr="00C93C49">
        <w:rPr>
          <w:rFonts w:ascii="Arial" w:eastAsia="Times New Roman" w:hAnsi="Arial" w:cs="Arial"/>
          <w:snapToGrid w:val="0"/>
          <w:sz w:val="24"/>
          <w:szCs w:val="20"/>
        </w:rPr>
        <w:t>In 2016, a change to the low</w:t>
      </w:r>
      <w:r w:rsidR="00971033">
        <w:rPr>
          <w:rFonts w:ascii="Arial" w:eastAsia="Times New Roman" w:hAnsi="Arial" w:cs="Arial"/>
          <w:snapToGrid w:val="0"/>
          <w:sz w:val="24"/>
          <w:szCs w:val="20"/>
        </w:rPr>
        <w:t>-</w:t>
      </w:r>
      <w:r w:rsidRPr="00C93C49">
        <w:rPr>
          <w:rFonts w:ascii="Arial" w:eastAsia="Times New Roman" w:hAnsi="Arial" w:cs="Arial"/>
          <w:snapToGrid w:val="0"/>
          <w:sz w:val="24"/>
          <w:szCs w:val="20"/>
        </w:rPr>
        <w:t>income termination notification process</w:t>
      </w:r>
      <w:r w:rsidR="00FD6472">
        <w:rPr>
          <w:rStyle w:val="FootnoteReference"/>
          <w:rFonts w:ascii="Arial" w:eastAsia="Times New Roman" w:hAnsi="Arial" w:cs="Arial"/>
          <w:snapToGrid w:val="0"/>
          <w:sz w:val="24"/>
          <w:szCs w:val="20"/>
        </w:rPr>
        <w:footnoteReference w:id="3"/>
      </w:r>
      <w:r w:rsidRPr="00C93C49">
        <w:rPr>
          <w:rFonts w:ascii="Arial" w:eastAsia="Times New Roman" w:hAnsi="Arial" w:cs="Arial"/>
          <w:snapToGrid w:val="0"/>
          <w:sz w:val="24"/>
          <w:szCs w:val="20"/>
        </w:rPr>
        <w:t xml:space="preserve"> resulted in higher call volumes on April 1st and 4th, causing extended wait times and busy signals.  On Monday, April 4, 2016, FirstEnergy contact centers received over twice the calls as the first Monday in April 2017, where 61% of the calls received were in the first three business hours.  The impact from these two days increased the busy-out rate by 1.2% for Met-Ed, Penelec, and Penn Power and 2.6% for West Penn in 2016.</w:t>
      </w:r>
      <w:r w:rsidRPr="00C93C49">
        <w:rPr>
          <w:rFonts w:ascii="Times New Roman" w:eastAsia="Times New Roman" w:hAnsi="Times New Roman" w:cs="Times New Roman"/>
          <w:snapToGrid w:val="0"/>
          <w:sz w:val="24"/>
          <w:szCs w:val="20"/>
        </w:rPr>
        <w:t xml:space="preserve">  </w:t>
      </w:r>
      <w:r w:rsidRPr="00C93C49">
        <w:rPr>
          <w:rFonts w:ascii="Arial" w:eastAsia="Times New Roman" w:hAnsi="Arial" w:cs="Arial"/>
          <w:snapToGrid w:val="0"/>
          <w:sz w:val="24"/>
          <w:szCs w:val="20"/>
        </w:rPr>
        <w:t>In 2017, FirstEnergy busy-out rates decreased when compared t</w:t>
      </w:r>
      <w:r w:rsidR="00F50E7B">
        <w:rPr>
          <w:rFonts w:ascii="Arial" w:eastAsia="Times New Roman" w:hAnsi="Arial" w:cs="Arial"/>
          <w:snapToGrid w:val="0"/>
          <w:sz w:val="24"/>
          <w:szCs w:val="20"/>
        </w:rPr>
        <w:t>o</w:t>
      </w:r>
      <w:r w:rsidRPr="00C93C49">
        <w:rPr>
          <w:rFonts w:ascii="Arial" w:eastAsia="Times New Roman" w:hAnsi="Arial" w:cs="Arial"/>
          <w:snapToGrid w:val="0"/>
          <w:sz w:val="24"/>
          <w:szCs w:val="20"/>
        </w:rPr>
        <w:t xml:space="preserve"> historical averages.  The combined busy-out rates for Met</w:t>
      </w:r>
      <w:r w:rsidRPr="00C93C49">
        <w:rPr>
          <w:rFonts w:ascii="Arial" w:eastAsia="Times New Roman" w:hAnsi="Arial" w:cs="Arial"/>
          <w:snapToGrid w:val="0"/>
          <w:sz w:val="24"/>
          <w:szCs w:val="20"/>
        </w:rPr>
        <w:noBreakHyphen/>
        <w:t>Ed, Penelec, and Penn Power were 1.1% compared to 2% in 2016.  West Penn Power’s busy-out rate was 1.5% in 2017 compared to 3.2% in 2016.  West Penn Power’s 2017 busy-out rate was significantly impacted on April 3rd by 0.4% due to an external software upgrade outside of FirstEnergy’s control.</w:t>
      </w:r>
    </w:p>
    <w:p w14:paraId="18D39150" w14:textId="77777777" w:rsidR="00C93C49" w:rsidRPr="00C93C49" w:rsidRDefault="00C93C49" w:rsidP="00C93C49">
      <w:pPr>
        <w:widowControl w:val="0"/>
        <w:spacing w:after="0" w:line="20" w:lineRule="atLeast"/>
        <w:ind w:firstLine="720"/>
        <w:contextualSpacing/>
        <w:rPr>
          <w:rFonts w:ascii="Arial" w:eastAsia="Times New Roman" w:hAnsi="Arial" w:cs="Arial"/>
          <w:snapToGrid w:val="0"/>
          <w:sz w:val="24"/>
          <w:szCs w:val="20"/>
        </w:rPr>
      </w:pPr>
    </w:p>
    <w:p w14:paraId="077A7778" w14:textId="77777777" w:rsidR="00C93C49" w:rsidRPr="00C93C49" w:rsidRDefault="00C93C49" w:rsidP="00C93C49">
      <w:pPr>
        <w:widowControl w:val="0"/>
        <w:spacing w:after="0" w:line="20" w:lineRule="atLeast"/>
        <w:ind w:firstLine="720"/>
        <w:contextualSpacing/>
        <w:rPr>
          <w:rFonts w:ascii="Arial" w:eastAsia="Times New Roman" w:hAnsi="Arial" w:cs="Arial"/>
          <w:snapToGrid w:val="0"/>
          <w:sz w:val="24"/>
          <w:szCs w:val="20"/>
        </w:rPr>
      </w:pPr>
      <w:r w:rsidRPr="00C93C49">
        <w:rPr>
          <w:rFonts w:ascii="Arial" w:eastAsia="Times New Roman" w:hAnsi="Arial" w:cs="Arial"/>
          <w:snapToGrid w:val="0"/>
          <w:sz w:val="24"/>
          <w:szCs w:val="20"/>
        </w:rPr>
        <w:t>In addition to reducing CSR turnover rates, FirstEnergy stated the following change were made to facilities and for call center personnel:</w:t>
      </w:r>
    </w:p>
    <w:p w14:paraId="0045DC10" w14:textId="77777777" w:rsidR="00C93C49" w:rsidRPr="00C93C49" w:rsidRDefault="00C93C49" w:rsidP="00C93C49">
      <w:pPr>
        <w:widowControl w:val="0"/>
        <w:spacing w:after="0" w:line="20" w:lineRule="atLeast"/>
        <w:ind w:firstLine="720"/>
        <w:contextualSpacing/>
        <w:rPr>
          <w:rFonts w:ascii="Arial" w:eastAsia="Times New Roman" w:hAnsi="Arial" w:cs="Arial"/>
          <w:snapToGrid w:val="0"/>
          <w:sz w:val="24"/>
          <w:szCs w:val="20"/>
        </w:rPr>
      </w:pPr>
    </w:p>
    <w:p w14:paraId="1317FE66" w14:textId="0D7E1A9F" w:rsidR="00C93C49" w:rsidRPr="00C93C49" w:rsidRDefault="00C93C49" w:rsidP="00D94B11">
      <w:pPr>
        <w:widowControl w:val="0"/>
        <w:numPr>
          <w:ilvl w:val="0"/>
          <w:numId w:val="22"/>
        </w:numPr>
        <w:spacing w:after="0" w:line="20" w:lineRule="atLeast"/>
        <w:ind w:left="1080"/>
        <w:contextualSpacing/>
        <w:rPr>
          <w:rFonts w:ascii="Arial" w:eastAsia="Times New Roman" w:hAnsi="Arial" w:cs="Arial"/>
          <w:snapToGrid w:val="0"/>
          <w:sz w:val="24"/>
          <w:szCs w:val="20"/>
        </w:rPr>
      </w:pPr>
      <w:r w:rsidRPr="00C93C49">
        <w:rPr>
          <w:rFonts w:ascii="Arial" w:eastAsia="Times New Roman" w:hAnsi="Arial" w:cs="Arial"/>
          <w:b/>
          <w:snapToGrid w:val="0"/>
          <w:sz w:val="24"/>
          <w:szCs w:val="20"/>
          <w:u w:val="single"/>
        </w:rPr>
        <w:t>Facilities</w:t>
      </w:r>
      <w:r w:rsidRPr="00C93C49">
        <w:rPr>
          <w:rFonts w:ascii="Arial" w:eastAsia="Times New Roman" w:hAnsi="Arial" w:cs="Arial"/>
          <w:b/>
          <w:snapToGrid w:val="0"/>
          <w:sz w:val="24"/>
          <w:szCs w:val="20"/>
        </w:rPr>
        <w:t xml:space="preserve"> – </w:t>
      </w:r>
      <w:r w:rsidRPr="00C93C49">
        <w:rPr>
          <w:rFonts w:ascii="Arial" w:eastAsia="Times New Roman" w:hAnsi="Arial" w:cs="Arial"/>
          <w:snapToGrid w:val="0"/>
          <w:sz w:val="24"/>
          <w:szCs w:val="20"/>
        </w:rPr>
        <w:t xml:space="preserve">From 2015 through 2017, and continuing through 2019, </w:t>
      </w:r>
      <w:r w:rsidR="007C326B">
        <w:rPr>
          <w:rFonts w:ascii="Arial" w:eastAsia="Times New Roman" w:hAnsi="Arial" w:cs="Arial"/>
          <w:snapToGrid w:val="0"/>
          <w:sz w:val="24"/>
          <w:szCs w:val="20"/>
        </w:rPr>
        <w:t>improvements were</w:t>
      </w:r>
      <w:r w:rsidR="000307A7">
        <w:rPr>
          <w:rFonts w:ascii="Arial" w:eastAsia="Times New Roman" w:hAnsi="Arial" w:cs="Arial"/>
          <w:snapToGrid w:val="0"/>
          <w:sz w:val="24"/>
          <w:szCs w:val="20"/>
        </w:rPr>
        <w:t xml:space="preserve"> made and are planned for </w:t>
      </w:r>
      <w:r w:rsidR="00987F7C">
        <w:rPr>
          <w:rFonts w:ascii="Arial" w:eastAsia="Times New Roman" w:hAnsi="Arial" w:cs="Arial"/>
          <w:snapToGrid w:val="0"/>
          <w:sz w:val="24"/>
          <w:szCs w:val="20"/>
        </w:rPr>
        <w:t xml:space="preserve">the </w:t>
      </w:r>
      <w:r w:rsidR="00971033">
        <w:rPr>
          <w:rFonts w:ascii="Arial" w:eastAsia="Times New Roman" w:hAnsi="Arial" w:cs="Arial"/>
          <w:snapToGrid w:val="0"/>
          <w:sz w:val="24"/>
          <w:szCs w:val="20"/>
        </w:rPr>
        <w:t>employees’ working environment</w:t>
      </w:r>
      <w:r w:rsidRPr="00C93C49">
        <w:rPr>
          <w:rFonts w:ascii="Arial" w:eastAsia="Times New Roman" w:hAnsi="Arial" w:cs="Arial"/>
          <w:snapToGrid w:val="0"/>
          <w:sz w:val="24"/>
          <w:szCs w:val="20"/>
        </w:rPr>
        <w:t xml:space="preserve">.  The upgrades included new carpet, lighting, chairs and workstations, and renovations.  In addition, improvements such as employee entrance way renovation, moveable sit-stand workstations and dual computer monitors for easier navigation were implemented. </w:t>
      </w:r>
    </w:p>
    <w:p w14:paraId="1A874575" w14:textId="77777777" w:rsidR="00C93C49" w:rsidRPr="00C93C49" w:rsidRDefault="00C93C49" w:rsidP="00C93C49">
      <w:pPr>
        <w:widowControl w:val="0"/>
        <w:spacing w:after="0" w:line="20" w:lineRule="atLeast"/>
        <w:ind w:left="360"/>
        <w:contextualSpacing/>
        <w:rPr>
          <w:rFonts w:ascii="Arial" w:eastAsia="Times New Roman" w:hAnsi="Arial" w:cs="Arial"/>
          <w:b/>
          <w:bCs/>
          <w:snapToGrid w:val="0"/>
          <w:sz w:val="24"/>
          <w:szCs w:val="20"/>
        </w:rPr>
      </w:pPr>
    </w:p>
    <w:p w14:paraId="52805667" w14:textId="77777777" w:rsidR="00C93C49" w:rsidRPr="00C93C49" w:rsidRDefault="00C93C49" w:rsidP="00D94B11">
      <w:pPr>
        <w:widowControl w:val="0"/>
        <w:numPr>
          <w:ilvl w:val="0"/>
          <w:numId w:val="22"/>
        </w:numPr>
        <w:spacing w:after="0" w:line="20" w:lineRule="atLeast"/>
        <w:ind w:left="1080"/>
        <w:contextualSpacing/>
        <w:rPr>
          <w:rFonts w:ascii="Arial" w:eastAsia="Times New Roman" w:hAnsi="Arial" w:cs="Arial"/>
          <w:snapToGrid w:val="0"/>
          <w:sz w:val="24"/>
          <w:szCs w:val="20"/>
        </w:rPr>
      </w:pPr>
      <w:r w:rsidRPr="00C93C49">
        <w:rPr>
          <w:rFonts w:ascii="Arial" w:eastAsia="Times New Roman" w:hAnsi="Arial" w:cs="Arial"/>
          <w:b/>
          <w:bCs/>
          <w:snapToGrid w:val="0"/>
          <w:sz w:val="24"/>
          <w:szCs w:val="20"/>
          <w:u w:val="single"/>
        </w:rPr>
        <w:t>Personnel</w:t>
      </w:r>
      <w:r w:rsidRPr="00C93C49">
        <w:rPr>
          <w:rFonts w:ascii="Arial" w:eastAsia="Times New Roman" w:hAnsi="Arial" w:cs="Arial"/>
          <w:b/>
          <w:bCs/>
          <w:snapToGrid w:val="0"/>
          <w:sz w:val="24"/>
          <w:szCs w:val="20"/>
        </w:rPr>
        <w:t xml:space="preserve"> – </w:t>
      </w:r>
      <w:r w:rsidRPr="00C93C49">
        <w:rPr>
          <w:rFonts w:ascii="Arial" w:eastAsia="Times New Roman" w:hAnsi="Arial" w:cs="Arial"/>
          <w:snapToGrid w:val="0"/>
          <w:sz w:val="24"/>
          <w:szCs w:val="20"/>
        </w:rPr>
        <w:t xml:space="preserve">In 2016, the call center management team launched a program called “Your Career is Calling”.  This program was designed to help employees understand their career path </w:t>
      </w:r>
      <w:r w:rsidR="009746FE">
        <w:rPr>
          <w:rFonts w:ascii="Arial" w:eastAsia="Times New Roman" w:hAnsi="Arial" w:cs="Arial"/>
          <w:snapToGrid w:val="0"/>
          <w:sz w:val="24"/>
          <w:szCs w:val="20"/>
        </w:rPr>
        <w:t>and</w:t>
      </w:r>
      <w:r w:rsidR="009746FE" w:rsidRPr="00C93C49">
        <w:rPr>
          <w:rFonts w:ascii="Arial" w:eastAsia="Times New Roman" w:hAnsi="Arial" w:cs="Arial"/>
          <w:snapToGrid w:val="0"/>
          <w:sz w:val="24"/>
          <w:szCs w:val="20"/>
        </w:rPr>
        <w:t xml:space="preserve"> </w:t>
      </w:r>
      <w:r w:rsidRPr="00C93C49">
        <w:rPr>
          <w:rFonts w:ascii="Arial" w:eastAsia="Times New Roman" w:hAnsi="Arial" w:cs="Arial"/>
          <w:snapToGrid w:val="0"/>
          <w:sz w:val="24"/>
          <w:szCs w:val="20"/>
        </w:rPr>
        <w:t xml:space="preserve">the various opportunities at the call center and all of FirstEnergy.  The program was reinforced by posters and testimonials of agents that pursued these opportunities.  Many rotational assignments and job shadowing opportunities are also available to employees to allow them insight into and to gain experience in other positions. </w:t>
      </w:r>
    </w:p>
    <w:p w14:paraId="207F8298" w14:textId="77777777" w:rsidR="00C93C49" w:rsidRDefault="00C93C49" w:rsidP="00C93C49">
      <w:pPr>
        <w:widowControl w:val="0"/>
        <w:spacing w:after="0" w:line="20" w:lineRule="atLeast"/>
        <w:contextualSpacing/>
        <w:rPr>
          <w:rFonts w:ascii="Arial" w:eastAsia="Times New Roman" w:hAnsi="Arial" w:cs="Arial"/>
          <w:b/>
          <w:bCs/>
          <w:snapToGrid w:val="0"/>
          <w:sz w:val="24"/>
          <w:szCs w:val="20"/>
        </w:rPr>
      </w:pPr>
    </w:p>
    <w:p w14:paraId="56C1D0B7" w14:textId="77777777" w:rsidR="000E61AB" w:rsidRPr="00C93C49" w:rsidRDefault="000E61AB" w:rsidP="00C93C49">
      <w:pPr>
        <w:widowControl w:val="0"/>
        <w:spacing w:after="0" w:line="20" w:lineRule="atLeast"/>
        <w:contextualSpacing/>
        <w:rPr>
          <w:rFonts w:ascii="Arial" w:eastAsia="Times New Roman" w:hAnsi="Arial" w:cs="Arial"/>
          <w:b/>
          <w:bCs/>
          <w:snapToGrid w:val="0"/>
          <w:sz w:val="24"/>
          <w:szCs w:val="20"/>
        </w:rPr>
      </w:pPr>
    </w:p>
    <w:p w14:paraId="6470F1F7" w14:textId="77777777" w:rsidR="00C93C49" w:rsidRPr="00C93C49" w:rsidRDefault="00C93C49" w:rsidP="00C93C49">
      <w:pPr>
        <w:widowControl w:val="0"/>
        <w:spacing w:after="0" w:line="20" w:lineRule="atLeast"/>
        <w:ind w:firstLine="720"/>
        <w:contextualSpacing/>
        <w:rPr>
          <w:rFonts w:ascii="Arial" w:eastAsia="Times New Roman" w:hAnsi="Arial" w:cs="Arial"/>
          <w:snapToGrid w:val="0"/>
          <w:sz w:val="24"/>
          <w:szCs w:val="20"/>
        </w:rPr>
      </w:pPr>
      <w:r w:rsidRPr="00C93C49">
        <w:rPr>
          <w:rFonts w:ascii="Arial" w:eastAsia="Times New Roman" w:hAnsi="Arial" w:cs="Arial"/>
          <w:snapToGrid w:val="0"/>
          <w:sz w:val="24"/>
          <w:szCs w:val="20"/>
        </w:rPr>
        <w:t xml:space="preserve">In addition, the following is a list of call center and website self-service system enhancements that improved both agent and the customer experience: </w:t>
      </w:r>
    </w:p>
    <w:p w14:paraId="5BFF89BD" w14:textId="77777777" w:rsidR="00C93C49" w:rsidRPr="00C93C49" w:rsidRDefault="00C93C49" w:rsidP="00C93C49">
      <w:pPr>
        <w:widowControl w:val="0"/>
        <w:spacing w:after="0" w:line="20" w:lineRule="atLeast"/>
        <w:contextualSpacing/>
        <w:rPr>
          <w:rFonts w:ascii="Arial" w:eastAsia="Times New Roman" w:hAnsi="Arial" w:cs="Arial"/>
          <w:b/>
          <w:bCs/>
          <w:snapToGrid w:val="0"/>
          <w:sz w:val="24"/>
          <w:szCs w:val="20"/>
        </w:rPr>
      </w:pPr>
    </w:p>
    <w:p w14:paraId="7553FEE9" w14:textId="77777777" w:rsidR="00C93C49" w:rsidRPr="00C93C49" w:rsidRDefault="00C93C49" w:rsidP="00D94B11">
      <w:pPr>
        <w:widowControl w:val="0"/>
        <w:numPr>
          <w:ilvl w:val="0"/>
          <w:numId w:val="23"/>
        </w:numPr>
        <w:spacing w:after="0" w:line="20" w:lineRule="atLeast"/>
        <w:ind w:left="1080"/>
        <w:contextualSpacing/>
        <w:rPr>
          <w:rFonts w:ascii="Arial" w:eastAsia="Times New Roman" w:hAnsi="Arial" w:cs="Arial"/>
          <w:snapToGrid w:val="0"/>
          <w:sz w:val="24"/>
          <w:szCs w:val="20"/>
        </w:rPr>
      </w:pPr>
      <w:r w:rsidRPr="00C93C49">
        <w:rPr>
          <w:rFonts w:ascii="Arial" w:eastAsia="Times New Roman" w:hAnsi="Arial" w:cs="Arial"/>
          <w:b/>
          <w:bCs/>
          <w:snapToGrid w:val="0"/>
          <w:sz w:val="24"/>
          <w:szCs w:val="20"/>
        </w:rPr>
        <w:t xml:space="preserve">Interactive Voice Response (IVR) Natural Language </w:t>
      </w:r>
      <w:r w:rsidRPr="00C93C49">
        <w:rPr>
          <w:rFonts w:ascii="Arial" w:eastAsia="Times New Roman" w:hAnsi="Arial" w:cs="Arial"/>
          <w:snapToGrid w:val="0"/>
          <w:sz w:val="24"/>
          <w:szCs w:val="20"/>
        </w:rPr>
        <w:t xml:space="preserve">(June 2016) – IVR allows the customer to use their own words when making a request rather than replying with specific words, phrases, or menu choices.  This natural language voice response helps navigate customers to an agent with the </w:t>
      </w:r>
      <w:r w:rsidR="005F45F3" w:rsidRPr="00C93C49">
        <w:rPr>
          <w:rFonts w:ascii="Arial" w:eastAsia="Times New Roman" w:hAnsi="Arial" w:cs="Arial"/>
          <w:snapToGrid w:val="0"/>
          <w:sz w:val="24"/>
          <w:szCs w:val="20"/>
        </w:rPr>
        <w:t>right skills</w:t>
      </w:r>
      <w:r w:rsidRPr="00C93C49">
        <w:rPr>
          <w:rFonts w:ascii="Arial" w:eastAsia="Times New Roman" w:hAnsi="Arial" w:cs="Arial"/>
          <w:snapToGrid w:val="0"/>
          <w:sz w:val="24"/>
          <w:szCs w:val="20"/>
        </w:rPr>
        <w:t xml:space="preserve"> to assist with the customer’s request or assists customers through the self-service process by understanding their speech and then interacting with the them through follow-up questions, answering their question or directing them to a specific area.</w:t>
      </w:r>
    </w:p>
    <w:p w14:paraId="32671606" w14:textId="77777777" w:rsidR="00C93C49" w:rsidRPr="00C93C49" w:rsidRDefault="00C93C49" w:rsidP="00C93C49">
      <w:pPr>
        <w:widowControl w:val="0"/>
        <w:spacing w:after="0" w:line="20" w:lineRule="atLeast"/>
        <w:ind w:left="360"/>
        <w:contextualSpacing/>
        <w:rPr>
          <w:rFonts w:ascii="Arial" w:eastAsia="Times New Roman" w:hAnsi="Arial" w:cs="Arial"/>
          <w:snapToGrid w:val="0"/>
          <w:sz w:val="24"/>
          <w:szCs w:val="20"/>
        </w:rPr>
      </w:pPr>
    </w:p>
    <w:p w14:paraId="37C4B4E1" w14:textId="77777777" w:rsidR="00C93C49" w:rsidRDefault="00C93C49" w:rsidP="00D94B11">
      <w:pPr>
        <w:widowControl w:val="0"/>
        <w:numPr>
          <w:ilvl w:val="0"/>
          <w:numId w:val="23"/>
        </w:numPr>
        <w:spacing w:after="0" w:line="20" w:lineRule="atLeast"/>
        <w:ind w:left="1080"/>
        <w:contextualSpacing/>
        <w:rPr>
          <w:rFonts w:ascii="Arial" w:eastAsia="Times New Roman" w:hAnsi="Arial" w:cs="Arial"/>
          <w:snapToGrid w:val="0"/>
          <w:sz w:val="24"/>
          <w:szCs w:val="20"/>
        </w:rPr>
      </w:pPr>
      <w:r w:rsidRPr="00C93C49">
        <w:rPr>
          <w:rFonts w:ascii="Arial" w:eastAsia="Times New Roman" w:hAnsi="Arial" w:cs="Arial"/>
          <w:b/>
          <w:bCs/>
          <w:snapToGrid w:val="0"/>
          <w:sz w:val="24"/>
          <w:szCs w:val="20"/>
        </w:rPr>
        <w:t xml:space="preserve">IVR Bill Response </w:t>
      </w:r>
      <w:r w:rsidRPr="00C93C49">
        <w:rPr>
          <w:rFonts w:ascii="Arial" w:eastAsia="Times New Roman" w:hAnsi="Arial" w:cs="Arial"/>
          <w:snapToGrid w:val="0"/>
          <w:sz w:val="24"/>
          <w:szCs w:val="20"/>
        </w:rPr>
        <w:t xml:space="preserve">(December 2016) – This system provides customers with automated explanations of significant variances in their bill based on several bill factors specific to their account. </w:t>
      </w:r>
    </w:p>
    <w:p w14:paraId="105BE745" w14:textId="77777777" w:rsidR="005F45F3" w:rsidRPr="00C93C49" w:rsidRDefault="005F45F3" w:rsidP="007C326B">
      <w:pPr>
        <w:widowControl w:val="0"/>
        <w:spacing w:after="0" w:line="20" w:lineRule="atLeast"/>
        <w:contextualSpacing/>
        <w:rPr>
          <w:rFonts w:ascii="Arial" w:eastAsia="Times New Roman" w:hAnsi="Arial" w:cs="Arial"/>
          <w:snapToGrid w:val="0"/>
          <w:sz w:val="24"/>
          <w:szCs w:val="20"/>
        </w:rPr>
      </w:pPr>
    </w:p>
    <w:p w14:paraId="30C3F924" w14:textId="77777777" w:rsidR="00C93C49" w:rsidRPr="00C93C49" w:rsidRDefault="00C93C49" w:rsidP="00D94B11">
      <w:pPr>
        <w:widowControl w:val="0"/>
        <w:numPr>
          <w:ilvl w:val="0"/>
          <w:numId w:val="23"/>
        </w:numPr>
        <w:spacing w:after="0" w:line="20" w:lineRule="atLeast"/>
        <w:ind w:left="1080"/>
        <w:contextualSpacing/>
        <w:rPr>
          <w:rFonts w:ascii="Arial" w:eastAsia="Times New Roman" w:hAnsi="Arial" w:cs="Arial"/>
          <w:snapToGrid w:val="0"/>
          <w:sz w:val="24"/>
          <w:szCs w:val="20"/>
        </w:rPr>
      </w:pPr>
      <w:r w:rsidRPr="00C93C49">
        <w:rPr>
          <w:rFonts w:ascii="Arial" w:eastAsia="Times New Roman" w:hAnsi="Arial" w:cs="Arial"/>
          <w:b/>
          <w:bCs/>
          <w:snapToGrid w:val="0"/>
          <w:sz w:val="24"/>
          <w:szCs w:val="20"/>
        </w:rPr>
        <w:t xml:space="preserve">IVR Authentication </w:t>
      </w:r>
      <w:r w:rsidRPr="00C93C49">
        <w:rPr>
          <w:rFonts w:ascii="Arial" w:eastAsia="Times New Roman" w:hAnsi="Arial" w:cs="Arial"/>
          <w:snapToGrid w:val="0"/>
          <w:sz w:val="24"/>
          <w:szCs w:val="20"/>
        </w:rPr>
        <w:t>(December 2017) – This system captures customer supplied information in the IVR to initiate the authentication process</w:t>
      </w:r>
      <w:r w:rsidR="005F45F3">
        <w:rPr>
          <w:rFonts w:ascii="Arial" w:eastAsia="Times New Roman" w:hAnsi="Arial" w:cs="Arial"/>
          <w:snapToGrid w:val="0"/>
          <w:sz w:val="24"/>
          <w:szCs w:val="20"/>
        </w:rPr>
        <w:t xml:space="preserve">. </w:t>
      </w:r>
      <w:r w:rsidRPr="00C93C49">
        <w:rPr>
          <w:rFonts w:ascii="Arial" w:eastAsia="Times New Roman" w:hAnsi="Arial" w:cs="Arial"/>
          <w:snapToGrid w:val="0"/>
          <w:sz w:val="24"/>
          <w:szCs w:val="20"/>
        </w:rPr>
        <w:t xml:space="preserve">With this process, the agent can begin the conversation by asking how to help instead of going through an authentication process with the customer. </w:t>
      </w:r>
    </w:p>
    <w:p w14:paraId="6939A0F5" w14:textId="77777777" w:rsidR="00C93C49" w:rsidRPr="00C93C49" w:rsidRDefault="00C93C49" w:rsidP="00C93C49">
      <w:pPr>
        <w:spacing w:after="0" w:line="240" w:lineRule="auto"/>
        <w:rPr>
          <w:rFonts w:ascii="Arial" w:eastAsia="Times New Roman" w:hAnsi="Arial" w:cs="Arial"/>
          <w:b/>
          <w:bCs/>
          <w:snapToGrid w:val="0"/>
          <w:sz w:val="24"/>
          <w:szCs w:val="20"/>
        </w:rPr>
      </w:pPr>
    </w:p>
    <w:p w14:paraId="62E0D0C3" w14:textId="77777777" w:rsidR="00C93C49" w:rsidRPr="00C93C49" w:rsidRDefault="00C93C49" w:rsidP="00D94B11">
      <w:pPr>
        <w:widowControl w:val="0"/>
        <w:numPr>
          <w:ilvl w:val="0"/>
          <w:numId w:val="23"/>
        </w:numPr>
        <w:spacing w:after="0" w:line="20" w:lineRule="atLeast"/>
        <w:ind w:left="1080"/>
        <w:contextualSpacing/>
        <w:rPr>
          <w:rFonts w:ascii="Arial" w:eastAsia="Times New Roman" w:hAnsi="Arial" w:cs="Arial"/>
          <w:snapToGrid w:val="0"/>
          <w:sz w:val="24"/>
          <w:szCs w:val="20"/>
        </w:rPr>
      </w:pPr>
      <w:r w:rsidRPr="00C93C49">
        <w:rPr>
          <w:rFonts w:ascii="Arial" w:eastAsia="Times New Roman" w:hAnsi="Arial" w:cs="Arial"/>
          <w:b/>
          <w:bCs/>
          <w:snapToGrid w:val="0"/>
          <w:sz w:val="24"/>
          <w:szCs w:val="20"/>
        </w:rPr>
        <w:t xml:space="preserve">Agent Phone System - Rockwell Replacement </w:t>
      </w:r>
      <w:r w:rsidRPr="00C93C49">
        <w:rPr>
          <w:rFonts w:ascii="Arial" w:eastAsia="Times New Roman" w:hAnsi="Arial" w:cs="Arial"/>
          <w:snapToGrid w:val="0"/>
          <w:sz w:val="24"/>
          <w:szCs w:val="20"/>
        </w:rPr>
        <w:t xml:space="preserve">(November 2016) – FirstEnergy replaced the Rockwell phone system with an Avaya system which included changing all phones and headsets. </w:t>
      </w:r>
    </w:p>
    <w:p w14:paraId="65B5A90C" w14:textId="77777777" w:rsidR="00C93C49" w:rsidRPr="00C93C49" w:rsidRDefault="00C93C49" w:rsidP="00C93C49">
      <w:pPr>
        <w:widowControl w:val="0"/>
        <w:spacing w:after="0" w:line="20" w:lineRule="atLeast"/>
        <w:contextualSpacing/>
        <w:rPr>
          <w:rFonts w:ascii="Arial" w:eastAsia="Times New Roman" w:hAnsi="Arial" w:cs="Arial"/>
          <w:snapToGrid w:val="0"/>
          <w:sz w:val="24"/>
          <w:szCs w:val="20"/>
        </w:rPr>
      </w:pPr>
    </w:p>
    <w:p w14:paraId="052313E5" w14:textId="77777777" w:rsidR="00C93C49" w:rsidRPr="00C93C49" w:rsidRDefault="00C93C49" w:rsidP="00D94B11">
      <w:pPr>
        <w:widowControl w:val="0"/>
        <w:numPr>
          <w:ilvl w:val="0"/>
          <w:numId w:val="23"/>
        </w:numPr>
        <w:spacing w:after="0" w:line="20" w:lineRule="atLeast"/>
        <w:ind w:left="1080"/>
        <w:contextualSpacing/>
        <w:rPr>
          <w:rFonts w:ascii="Arial" w:eastAsia="Times New Roman" w:hAnsi="Arial" w:cs="Arial"/>
          <w:snapToGrid w:val="0"/>
          <w:sz w:val="24"/>
          <w:szCs w:val="20"/>
        </w:rPr>
      </w:pPr>
      <w:r w:rsidRPr="00C93C49">
        <w:rPr>
          <w:rFonts w:ascii="Arial" w:eastAsia="Times New Roman" w:hAnsi="Arial" w:cs="Arial"/>
          <w:b/>
          <w:snapToGrid w:val="0"/>
          <w:sz w:val="24"/>
          <w:szCs w:val="20"/>
        </w:rPr>
        <w:t>Customer Relationship Management (</w:t>
      </w:r>
      <w:r w:rsidRPr="00C93C49">
        <w:rPr>
          <w:rFonts w:ascii="Arial" w:eastAsia="Times New Roman" w:hAnsi="Arial" w:cs="Arial"/>
          <w:b/>
          <w:bCs/>
          <w:snapToGrid w:val="0"/>
          <w:sz w:val="24"/>
          <w:szCs w:val="20"/>
        </w:rPr>
        <w:t xml:space="preserve">CRM) </w:t>
      </w:r>
      <w:r w:rsidRPr="00C93C49">
        <w:rPr>
          <w:rFonts w:ascii="Arial" w:eastAsia="Times New Roman" w:hAnsi="Arial" w:cs="Arial"/>
          <w:snapToGrid w:val="0"/>
          <w:sz w:val="24"/>
          <w:szCs w:val="20"/>
        </w:rPr>
        <w:t xml:space="preserve">(February 2016) – The CRM is a new front-end tool to the Customer Information System (CIS).  In 2016, the new front-end system was provided to the call center agents. This new tool streamlined work process and provided enhanced automation and scripting. CRM supports easier and more fluid training of agents, helps agents in using the CIS, and simplifies assisting customers with their requests. </w:t>
      </w:r>
    </w:p>
    <w:p w14:paraId="2DBEE633" w14:textId="77777777" w:rsidR="00C93C49" w:rsidRPr="00C93C49" w:rsidRDefault="00C93C49" w:rsidP="00C93C49">
      <w:pPr>
        <w:widowControl w:val="0"/>
        <w:spacing w:after="0" w:line="20" w:lineRule="atLeast"/>
        <w:ind w:left="360"/>
        <w:contextualSpacing/>
        <w:rPr>
          <w:rFonts w:ascii="Arial" w:eastAsia="Times New Roman" w:hAnsi="Arial" w:cs="Arial"/>
          <w:snapToGrid w:val="0"/>
          <w:sz w:val="24"/>
          <w:szCs w:val="20"/>
        </w:rPr>
      </w:pPr>
    </w:p>
    <w:p w14:paraId="0F91FA3D" w14:textId="77777777" w:rsidR="00C93C49" w:rsidRPr="00C93C49" w:rsidRDefault="00C93C49" w:rsidP="00D94B11">
      <w:pPr>
        <w:widowControl w:val="0"/>
        <w:numPr>
          <w:ilvl w:val="0"/>
          <w:numId w:val="23"/>
        </w:numPr>
        <w:spacing w:after="0" w:line="20" w:lineRule="atLeast"/>
        <w:ind w:left="1080"/>
        <w:contextualSpacing/>
        <w:rPr>
          <w:rFonts w:ascii="Arial" w:eastAsia="Times New Roman" w:hAnsi="Arial" w:cs="Arial"/>
          <w:snapToGrid w:val="0"/>
          <w:sz w:val="24"/>
          <w:szCs w:val="20"/>
        </w:rPr>
      </w:pPr>
      <w:r w:rsidRPr="00C93C49">
        <w:rPr>
          <w:rFonts w:ascii="Arial" w:eastAsia="Times New Roman" w:hAnsi="Arial" w:cs="Arial"/>
          <w:b/>
          <w:bCs/>
          <w:snapToGrid w:val="0"/>
          <w:sz w:val="24"/>
          <w:szCs w:val="20"/>
        </w:rPr>
        <w:t xml:space="preserve">Installment Plans - Website </w:t>
      </w:r>
      <w:r w:rsidRPr="00C93C49">
        <w:rPr>
          <w:rFonts w:ascii="Arial" w:eastAsia="Times New Roman" w:hAnsi="Arial" w:cs="Arial"/>
          <w:snapToGrid w:val="0"/>
          <w:sz w:val="24"/>
          <w:szCs w:val="20"/>
        </w:rPr>
        <w:t xml:space="preserve">(May 2016) – FirstEnergy added functionality to its website to assist customers with installment plans. </w:t>
      </w:r>
    </w:p>
    <w:p w14:paraId="6E39A31D" w14:textId="77777777" w:rsidR="00C93C49" w:rsidRPr="00C93C49" w:rsidRDefault="00C93C49" w:rsidP="00C93C49">
      <w:pPr>
        <w:widowControl w:val="0"/>
        <w:spacing w:after="0" w:line="20" w:lineRule="atLeast"/>
        <w:ind w:left="360"/>
        <w:contextualSpacing/>
        <w:rPr>
          <w:rFonts w:ascii="Arial" w:eastAsia="Times New Roman" w:hAnsi="Arial" w:cs="Arial"/>
          <w:snapToGrid w:val="0"/>
          <w:sz w:val="24"/>
          <w:szCs w:val="20"/>
        </w:rPr>
      </w:pPr>
    </w:p>
    <w:p w14:paraId="34338F24" w14:textId="77777777" w:rsidR="00C93C49" w:rsidRPr="00C93C49" w:rsidRDefault="00C93C49" w:rsidP="00D94B11">
      <w:pPr>
        <w:widowControl w:val="0"/>
        <w:numPr>
          <w:ilvl w:val="0"/>
          <w:numId w:val="23"/>
        </w:numPr>
        <w:spacing w:after="0" w:line="20" w:lineRule="atLeast"/>
        <w:ind w:left="1080"/>
        <w:contextualSpacing/>
        <w:rPr>
          <w:rFonts w:ascii="Arial" w:eastAsia="Times New Roman" w:hAnsi="Arial" w:cs="Arial"/>
          <w:snapToGrid w:val="0"/>
          <w:sz w:val="24"/>
          <w:szCs w:val="20"/>
        </w:rPr>
      </w:pPr>
      <w:r w:rsidRPr="00C93C49">
        <w:rPr>
          <w:rFonts w:ascii="Arial" w:eastAsia="Times New Roman" w:hAnsi="Arial" w:cs="Arial"/>
          <w:b/>
          <w:bCs/>
          <w:snapToGrid w:val="0"/>
          <w:sz w:val="24"/>
          <w:szCs w:val="20"/>
        </w:rPr>
        <w:t xml:space="preserve">Upgrade Mobile Applications and Ability </w:t>
      </w:r>
      <w:r w:rsidR="005F45F3" w:rsidRPr="00C93C49">
        <w:rPr>
          <w:rFonts w:ascii="Arial" w:eastAsia="Times New Roman" w:hAnsi="Arial" w:cs="Arial"/>
          <w:b/>
          <w:bCs/>
          <w:snapToGrid w:val="0"/>
          <w:sz w:val="24"/>
          <w:szCs w:val="20"/>
        </w:rPr>
        <w:t>for</w:t>
      </w:r>
      <w:r w:rsidRPr="00C93C49">
        <w:rPr>
          <w:rFonts w:ascii="Arial" w:eastAsia="Times New Roman" w:hAnsi="Arial" w:cs="Arial"/>
          <w:b/>
          <w:bCs/>
          <w:snapToGrid w:val="0"/>
          <w:sz w:val="24"/>
          <w:szCs w:val="20"/>
        </w:rPr>
        <w:t xml:space="preserve"> Mobile Payment </w:t>
      </w:r>
      <w:r w:rsidRPr="00C93C49">
        <w:rPr>
          <w:rFonts w:ascii="Arial" w:eastAsia="Times New Roman" w:hAnsi="Arial" w:cs="Arial"/>
          <w:snapToGrid w:val="0"/>
          <w:sz w:val="24"/>
          <w:szCs w:val="20"/>
        </w:rPr>
        <w:t xml:space="preserve">(July 2017) – FirstEnergy mobile applications were updated to align with the website design.  </w:t>
      </w:r>
    </w:p>
    <w:p w14:paraId="39071871" w14:textId="494E7C00" w:rsidR="00C93C49" w:rsidRDefault="00C93C49" w:rsidP="00C93C49">
      <w:pPr>
        <w:widowControl w:val="0"/>
        <w:spacing w:after="0" w:line="20" w:lineRule="atLeast"/>
        <w:ind w:left="360"/>
        <w:contextualSpacing/>
        <w:rPr>
          <w:rFonts w:ascii="Arial" w:eastAsia="Times New Roman" w:hAnsi="Arial" w:cs="Arial"/>
          <w:snapToGrid w:val="0"/>
          <w:sz w:val="24"/>
          <w:szCs w:val="20"/>
        </w:rPr>
      </w:pPr>
    </w:p>
    <w:p w14:paraId="62F7F007" w14:textId="77777777" w:rsidR="00BB48FA" w:rsidRPr="00C93C49" w:rsidRDefault="00BB48FA" w:rsidP="00C93C49">
      <w:pPr>
        <w:widowControl w:val="0"/>
        <w:spacing w:after="0" w:line="20" w:lineRule="atLeast"/>
        <w:ind w:left="360"/>
        <w:contextualSpacing/>
        <w:rPr>
          <w:rFonts w:ascii="Arial" w:eastAsia="Times New Roman" w:hAnsi="Arial" w:cs="Arial"/>
          <w:snapToGrid w:val="0"/>
          <w:sz w:val="24"/>
          <w:szCs w:val="20"/>
        </w:rPr>
      </w:pPr>
    </w:p>
    <w:p w14:paraId="60418203" w14:textId="77777777" w:rsidR="00C93C49" w:rsidRPr="00C93C49" w:rsidRDefault="00C93C49" w:rsidP="00C93C49">
      <w:pPr>
        <w:widowControl w:val="0"/>
        <w:spacing w:after="0" w:line="20" w:lineRule="atLeast"/>
        <w:ind w:firstLine="720"/>
        <w:contextualSpacing/>
        <w:rPr>
          <w:rFonts w:ascii="Arial" w:eastAsia="Times New Roman" w:hAnsi="Arial" w:cs="Arial"/>
          <w:snapToGrid w:val="0"/>
          <w:sz w:val="24"/>
          <w:szCs w:val="20"/>
        </w:rPr>
      </w:pPr>
      <w:r w:rsidRPr="00C93C49">
        <w:rPr>
          <w:rFonts w:ascii="Arial" w:eastAsia="Times New Roman" w:hAnsi="Arial" w:cs="Arial"/>
          <w:snapToGrid w:val="0"/>
          <w:sz w:val="24"/>
          <w:szCs w:val="20"/>
        </w:rPr>
        <w:t xml:space="preserve">Although CSR turnover rates are not at the level achieved in 2009 (i.e., 12.75%), the turnover rates in 2016 and 2017 have improved and have resulted in improvements to contact center performance that are at or better than the panel average for other Pennsylvania EDCs.  The </w:t>
      </w:r>
      <w:r w:rsidR="00DC3D9B">
        <w:rPr>
          <w:rFonts w:ascii="Arial" w:eastAsia="Times New Roman" w:hAnsi="Arial" w:cs="Arial"/>
          <w:snapToGrid w:val="0"/>
          <w:sz w:val="24"/>
          <w:szCs w:val="20"/>
        </w:rPr>
        <w:t>FE-PA companies</w:t>
      </w:r>
      <w:r w:rsidRPr="00C93C49">
        <w:rPr>
          <w:rFonts w:ascii="Arial" w:eastAsia="Times New Roman" w:hAnsi="Arial" w:cs="Arial"/>
          <w:snapToGrid w:val="0"/>
          <w:sz w:val="24"/>
          <w:szCs w:val="20"/>
        </w:rPr>
        <w:t xml:space="preserve"> experienced an average turnover reduction of 10% from 2014 through 2017, which means realized annual savings in turnover costs of approximately $24,000-$31,000 as shown in Exhibit X-12.</w:t>
      </w:r>
    </w:p>
    <w:p w14:paraId="4C259A8F" w14:textId="77777777" w:rsidR="00C93C49" w:rsidRPr="00C93C49" w:rsidRDefault="00C93C49" w:rsidP="00C93C49">
      <w:pPr>
        <w:spacing w:after="0" w:line="20" w:lineRule="atLeast"/>
        <w:contextualSpacing/>
        <w:rPr>
          <w:rFonts w:ascii="Arial" w:eastAsia="Times New Roman" w:hAnsi="Arial" w:cs="Arial"/>
          <w:snapToGrid w:val="0"/>
          <w:sz w:val="24"/>
          <w:szCs w:val="20"/>
        </w:rPr>
      </w:pPr>
    </w:p>
    <w:p w14:paraId="59A74840" w14:textId="77777777" w:rsidR="00C93C49" w:rsidRPr="00C93C49" w:rsidRDefault="00C93C49" w:rsidP="00C93C49">
      <w:pPr>
        <w:spacing w:after="0" w:line="20" w:lineRule="atLeast"/>
        <w:contextualSpacing/>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 xml:space="preserve">Exhibit X – 12 </w:t>
      </w:r>
    </w:p>
    <w:p w14:paraId="018B9319"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4"/>
        </w:rPr>
      </w:pPr>
      <w:r w:rsidRPr="00C93C49">
        <w:rPr>
          <w:rFonts w:ascii="Arial" w:eastAsia="Calibri" w:hAnsi="Arial" w:cs="Arial"/>
          <w:b/>
          <w:snapToGrid w:val="0"/>
          <w:sz w:val="24"/>
          <w:szCs w:val="24"/>
        </w:rPr>
        <w:t xml:space="preserve">FirstEnergy Pennsylvania Companies </w:t>
      </w:r>
    </w:p>
    <w:p w14:paraId="6296E35F"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4"/>
        </w:rPr>
      </w:pPr>
      <w:r w:rsidRPr="00C93C49">
        <w:rPr>
          <w:rFonts w:ascii="Arial" w:eastAsia="Times New Roman" w:hAnsi="Arial" w:cs="Arial"/>
          <w:b/>
          <w:snapToGrid w:val="0"/>
          <w:sz w:val="24"/>
          <w:szCs w:val="24"/>
        </w:rPr>
        <w:t>Annual Savings from Reduced Turnover Costs</w:t>
      </w:r>
    </w:p>
    <w:p w14:paraId="519DA3AE" w14:textId="77777777" w:rsidR="00C93C49" w:rsidRPr="00C93C49" w:rsidRDefault="00C93C49" w:rsidP="00C93C49">
      <w:pPr>
        <w:widowControl w:val="0"/>
        <w:spacing w:after="0" w:line="20" w:lineRule="atLeast"/>
        <w:contextualSpacing/>
        <w:jc w:val="center"/>
        <w:rPr>
          <w:rFonts w:ascii="Arial" w:eastAsia="Times New Roman" w:hAnsi="Arial" w:cs="Arial"/>
          <w:b/>
          <w:snapToGrid w:val="0"/>
          <w:sz w:val="24"/>
          <w:szCs w:val="24"/>
        </w:rPr>
      </w:pPr>
      <w:r w:rsidRPr="00C93C49">
        <w:rPr>
          <w:rFonts w:ascii="Arial" w:eastAsia="Times New Roman" w:hAnsi="Arial" w:cs="Arial"/>
          <w:b/>
          <w:snapToGrid w:val="0"/>
          <w:sz w:val="24"/>
          <w:szCs w:val="24"/>
        </w:rPr>
        <w:t>For the Years 2014 through 2017</w:t>
      </w:r>
    </w:p>
    <w:p w14:paraId="279D2C4B" w14:textId="77777777" w:rsidR="00C93C49" w:rsidRPr="00C4057E" w:rsidRDefault="00C93C49" w:rsidP="00C93C49">
      <w:pPr>
        <w:widowControl w:val="0"/>
        <w:spacing w:after="0" w:line="20" w:lineRule="atLeast"/>
        <w:contextualSpacing/>
        <w:jc w:val="center"/>
        <w:rPr>
          <w:rFonts w:ascii="Arial" w:eastAsia="Times New Roman" w:hAnsi="Arial" w:cs="Arial"/>
          <w:snapToGrid w:val="0"/>
          <w:sz w:val="8"/>
          <w:szCs w:val="8"/>
        </w:rPr>
      </w:pPr>
    </w:p>
    <w:tbl>
      <w:tblPr>
        <w:tblW w:w="4400" w:type="dxa"/>
        <w:jc w:val="center"/>
        <w:tblLook w:val="04A0" w:firstRow="1" w:lastRow="0" w:firstColumn="1" w:lastColumn="0" w:noHBand="0" w:noVBand="1"/>
      </w:tblPr>
      <w:tblGrid>
        <w:gridCol w:w="2420"/>
        <w:gridCol w:w="939"/>
        <w:gridCol w:w="283"/>
        <w:gridCol w:w="939"/>
      </w:tblGrid>
      <w:tr w:rsidR="00C93C49" w:rsidRPr="00C93C49" w14:paraId="1DEA8E29" w14:textId="77777777" w:rsidTr="00347614">
        <w:trPr>
          <w:trHeight w:val="248"/>
          <w:jc w:val="center"/>
        </w:trPr>
        <w:tc>
          <w:tcPr>
            <w:tcW w:w="24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B90A2B" w14:textId="77777777" w:rsidR="00C93C49" w:rsidRPr="00C93C49" w:rsidRDefault="00C93C49" w:rsidP="00C93C49">
            <w:pPr>
              <w:spacing w:after="0" w:line="20" w:lineRule="atLeast"/>
              <w:contextualSpacing/>
              <w:rPr>
                <w:rFonts w:ascii="Times New Roman" w:eastAsia="Times New Roman" w:hAnsi="Times New Roman" w:cs="Times New Roman"/>
                <w:color w:val="000000"/>
                <w:sz w:val="20"/>
                <w:szCs w:val="20"/>
              </w:rPr>
            </w:pPr>
            <w:r w:rsidRPr="00C93C49">
              <w:rPr>
                <w:rFonts w:ascii="Times New Roman" w:eastAsia="Times New Roman" w:hAnsi="Times New Roman" w:cs="Times New Roman"/>
                <w:color w:val="000000"/>
                <w:sz w:val="20"/>
                <w:szCs w:val="20"/>
              </w:rPr>
              <w:t> </w:t>
            </w:r>
          </w:p>
        </w:tc>
        <w:tc>
          <w:tcPr>
            <w:tcW w:w="1980" w:type="dxa"/>
            <w:gridSpan w:val="3"/>
            <w:tcBorders>
              <w:top w:val="single" w:sz="8" w:space="0" w:color="auto"/>
              <w:left w:val="nil"/>
              <w:bottom w:val="single" w:sz="8" w:space="0" w:color="auto"/>
              <w:right w:val="single" w:sz="8" w:space="0" w:color="000000"/>
            </w:tcBorders>
            <w:shd w:val="clear" w:color="auto" w:fill="auto"/>
            <w:vAlign w:val="center"/>
            <w:hideMark/>
          </w:tcPr>
          <w:p w14:paraId="7CC7F40D" w14:textId="77777777" w:rsidR="00C93C49" w:rsidRPr="00C93C49" w:rsidRDefault="00C93C49" w:rsidP="00C93C49">
            <w:pPr>
              <w:spacing w:after="0" w:line="20" w:lineRule="atLeast"/>
              <w:contextualSpacing/>
              <w:jc w:val="center"/>
              <w:rPr>
                <w:rFonts w:ascii="Arial" w:eastAsia="Times New Roman" w:hAnsi="Arial" w:cs="Arial"/>
                <w:b/>
                <w:bCs/>
                <w:color w:val="FFFFFF"/>
                <w:sz w:val="20"/>
                <w:szCs w:val="20"/>
              </w:rPr>
            </w:pPr>
            <w:r w:rsidRPr="00C93C49">
              <w:rPr>
                <w:rFonts w:ascii="Arial" w:eastAsia="Times New Roman" w:hAnsi="Arial" w:cs="Arial"/>
                <w:b/>
                <w:bCs/>
                <w:sz w:val="20"/>
                <w:szCs w:val="20"/>
              </w:rPr>
              <w:t>Annual Savings from Reduced Turnover Costs</w:t>
            </w:r>
          </w:p>
        </w:tc>
      </w:tr>
      <w:tr w:rsidR="00C93C49" w:rsidRPr="00C93C49" w14:paraId="0EFAD51A" w14:textId="77777777" w:rsidTr="00347614">
        <w:trPr>
          <w:trHeight w:val="136"/>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4A5C830D" w14:textId="77777777" w:rsidR="00C93C49" w:rsidRPr="00C93C49" w:rsidRDefault="00C93C49" w:rsidP="00C93C49">
            <w:pPr>
              <w:spacing w:after="0" w:line="20" w:lineRule="atLeast"/>
              <w:contextualSpacing/>
              <w:rPr>
                <w:rFonts w:ascii="Arial" w:eastAsia="Times New Roman" w:hAnsi="Arial" w:cs="Arial"/>
                <w:b/>
                <w:bCs/>
                <w:color w:val="000000"/>
                <w:sz w:val="20"/>
                <w:szCs w:val="20"/>
              </w:rPr>
            </w:pPr>
            <w:r w:rsidRPr="00C93C49">
              <w:rPr>
                <w:rFonts w:ascii="Arial" w:eastAsia="Calibri" w:hAnsi="Arial" w:cs="Arial"/>
                <w:b/>
                <w:bCs/>
                <w:color w:val="000000"/>
                <w:sz w:val="20"/>
                <w:szCs w:val="20"/>
              </w:rPr>
              <w:t>Met-Ed</w:t>
            </w:r>
          </w:p>
        </w:tc>
        <w:tc>
          <w:tcPr>
            <w:tcW w:w="939" w:type="dxa"/>
            <w:tcBorders>
              <w:top w:val="nil"/>
              <w:left w:val="nil"/>
              <w:bottom w:val="single" w:sz="8" w:space="0" w:color="auto"/>
              <w:right w:val="nil"/>
            </w:tcBorders>
            <w:shd w:val="clear" w:color="auto" w:fill="auto"/>
            <w:noWrap/>
            <w:vAlign w:val="center"/>
            <w:hideMark/>
          </w:tcPr>
          <w:p w14:paraId="5A1C607D" w14:textId="77777777"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Calibri" w:hAnsi="Arial" w:cs="Arial"/>
                <w:color w:val="000000"/>
                <w:sz w:val="20"/>
                <w:szCs w:val="20"/>
              </w:rPr>
              <w:t>$6,710</w:t>
            </w:r>
          </w:p>
        </w:tc>
        <w:tc>
          <w:tcPr>
            <w:tcW w:w="283" w:type="dxa"/>
            <w:tcBorders>
              <w:top w:val="nil"/>
              <w:left w:val="nil"/>
              <w:bottom w:val="single" w:sz="8" w:space="0" w:color="auto"/>
              <w:right w:val="nil"/>
            </w:tcBorders>
            <w:shd w:val="clear" w:color="auto" w:fill="auto"/>
            <w:vAlign w:val="center"/>
            <w:hideMark/>
          </w:tcPr>
          <w:p w14:paraId="0DAE824A" w14:textId="77777777" w:rsidR="00C93C49" w:rsidRPr="00C93C49" w:rsidRDefault="00C93C49" w:rsidP="00C93C49">
            <w:pPr>
              <w:spacing w:after="0" w:line="20" w:lineRule="atLeast"/>
              <w:contextualSpacing/>
              <w:jc w:val="center"/>
              <w:rPr>
                <w:rFonts w:ascii="Arial" w:eastAsia="Times New Roman" w:hAnsi="Arial" w:cs="Arial"/>
                <w:color w:val="000000"/>
                <w:sz w:val="20"/>
                <w:szCs w:val="20"/>
              </w:rPr>
            </w:pPr>
            <w:r w:rsidRPr="00C93C49">
              <w:rPr>
                <w:rFonts w:ascii="Arial" w:eastAsia="Calibri" w:hAnsi="Arial" w:cs="Arial"/>
                <w:color w:val="000000"/>
                <w:sz w:val="20"/>
                <w:szCs w:val="20"/>
              </w:rPr>
              <w:t>-</w:t>
            </w:r>
          </w:p>
        </w:tc>
        <w:tc>
          <w:tcPr>
            <w:tcW w:w="758" w:type="dxa"/>
            <w:tcBorders>
              <w:top w:val="nil"/>
              <w:left w:val="nil"/>
              <w:bottom w:val="single" w:sz="8" w:space="0" w:color="auto"/>
              <w:right w:val="single" w:sz="8" w:space="0" w:color="auto"/>
            </w:tcBorders>
            <w:shd w:val="clear" w:color="auto" w:fill="auto"/>
            <w:noWrap/>
            <w:vAlign w:val="center"/>
            <w:hideMark/>
          </w:tcPr>
          <w:p w14:paraId="7AC9136A" w14:textId="77777777"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Calibri" w:hAnsi="Arial" w:cs="Arial"/>
                <w:color w:val="000000"/>
                <w:sz w:val="20"/>
                <w:szCs w:val="20"/>
              </w:rPr>
              <w:t>$8,439</w:t>
            </w:r>
          </w:p>
        </w:tc>
      </w:tr>
      <w:tr w:rsidR="00C93C49" w:rsidRPr="00C93C49" w14:paraId="3AB6EBA5" w14:textId="77777777" w:rsidTr="00347614">
        <w:trPr>
          <w:trHeight w:val="136"/>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47CE0935" w14:textId="77777777" w:rsidR="00C93C49" w:rsidRPr="00C93C49" w:rsidRDefault="00C93C49" w:rsidP="00C93C49">
            <w:pPr>
              <w:spacing w:after="0" w:line="20" w:lineRule="atLeast"/>
              <w:contextualSpacing/>
              <w:rPr>
                <w:rFonts w:ascii="Arial" w:eastAsia="Times New Roman" w:hAnsi="Arial" w:cs="Arial"/>
                <w:b/>
                <w:bCs/>
                <w:color w:val="000000"/>
                <w:sz w:val="20"/>
                <w:szCs w:val="20"/>
              </w:rPr>
            </w:pPr>
            <w:r w:rsidRPr="00C93C49">
              <w:rPr>
                <w:rFonts w:ascii="Arial" w:eastAsia="Calibri" w:hAnsi="Arial" w:cs="Arial"/>
                <w:b/>
                <w:bCs/>
                <w:color w:val="000000"/>
                <w:sz w:val="20"/>
                <w:szCs w:val="20"/>
              </w:rPr>
              <w:t>Penelec</w:t>
            </w:r>
          </w:p>
        </w:tc>
        <w:tc>
          <w:tcPr>
            <w:tcW w:w="939" w:type="dxa"/>
            <w:tcBorders>
              <w:top w:val="nil"/>
              <w:left w:val="nil"/>
              <w:bottom w:val="single" w:sz="8" w:space="0" w:color="auto"/>
              <w:right w:val="nil"/>
            </w:tcBorders>
            <w:shd w:val="clear" w:color="auto" w:fill="auto"/>
            <w:noWrap/>
            <w:vAlign w:val="center"/>
            <w:hideMark/>
          </w:tcPr>
          <w:p w14:paraId="46440A06" w14:textId="77777777"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Calibri" w:hAnsi="Arial" w:cs="Arial"/>
                <w:color w:val="000000"/>
                <w:sz w:val="20"/>
                <w:szCs w:val="20"/>
              </w:rPr>
              <w:t>$7,110</w:t>
            </w:r>
          </w:p>
        </w:tc>
        <w:tc>
          <w:tcPr>
            <w:tcW w:w="283" w:type="dxa"/>
            <w:tcBorders>
              <w:top w:val="nil"/>
              <w:left w:val="nil"/>
              <w:bottom w:val="single" w:sz="8" w:space="0" w:color="auto"/>
              <w:right w:val="nil"/>
            </w:tcBorders>
            <w:shd w:val="clear" w:color="auto" w:fill="auto"/>
            <w:vAlign w:val="center"/>
            <w:hideMark/>
          </w:tcPr>
          <w:p w14:paraId="3B4164DE" w14:textId="77777777" w:rsidR="00C93C49" w:rsidRPr="00C93C49" w:rsidRDefault="00C93C49" w:rsidP="00C93C49">
            <w:pPr>
              <w:spacing w:after="0" w:line="20" w:lineRule="atLeast"/>
              <w:contextualSpacing/>
              <w:jc w:val="center"/>
              <w:rPr>
                <w:rFonts w:ascii="Arial" w:eastAsia="Times New Roman" w:hAnsi="Arial" w:cs="Arial"/>
                <w:color w:val="000000"/>
                <w:sz w:val="20"/>
                <w:szCs w:val="20"/>
              </w:rPr>
            </w:pPr>
            <w:r w:rsidRPr="00C93C49">
              <w:rPr>
                <w:rFonts w:ascii="Arial" w:eastAsia="Calibri" w:hAnsi="Arial" w:cs="Arial"/>
                <w:color w:val="000000"/>
                <w:sz w:val="20"/>
                <w:szCs w:val="20"/>
              </w:rPr>
              <w:t>-</w:t>
            </w:r>
          </w:p>
        </w:tc>
        <w:tc>
          <w:tcPr>
            <w:tcW w:w="758" w:type="dxa"/>
            <w:tcBorders>
              <w:top w:val="nil"/>
              <w:left w:val="nil"/>
              <w:bottom w:val="single" w:sz="8" w:space="0" w:color="auto"/>
              <w:right w:val="single" w:sz="8" w:space="0" w:color="auto"/>
            </w:tcBorders>
            <w:shd w:val="clear" w:color="auto" w:fill="auto"/>
            <w:noWrap/>
            <w:vAlign w:val="center"/>
            <w:hideMark/>
          </w:tcPr>
          <w:p w14:paraId="56C76693" w14:textId="77777777"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Calibri" w:hAnsi="Arial" w:cs="Arial"/>
                <w:color w:val="000000"/>
                <w:sz w:val="20"/>
                <w:szCs w:val="20"/>
              </w:rPr>
              <w:t>$8,941</w:t>
            </w:r>
          </w:p>
        </w:tc>
      </w:tr>
      <w:tr w:rsidR="00C93C49" w:rsidRPr="00C93C49" w14:paraId="57606DE5" w14:textId="77777777" w:rsidTr="00347614">
        <w:trPr>
          <w:trHeight w:val="136"/>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167AF568" w14:textId="77777777" w:rsidR="00C93C49" w:rsidRPr="00C93C49" w:rsidRDefault="00C93C49" w:rsidP="00C93C49">
            <w:pPr>
              <w:spacing w:after="0" w:line="20" w:lineRule="atLeast"/>
              <w:contextualSpacing/>
              <w:rPr>
                <w:rFonts w:ascii="Arial" w:eastAsia="Times New Roman" w:hAnsi="Arial" w:cs="Arial"/>
                <w:b/>
                <w:bCs/>
                <w:color w:val="000000"/>
                <w:sz w:val="20"/>
                <w:szCs w:val="20"/>
              </w:rPr>
            </w:pPr>
            <w:r w:rsidRPr="00C93C49">
              <w:rPr>
                <w:rFonts w:ascii="Arial" w:eastAsia="Calibri" w:hAnsi="Arial" w:cs="Arial"/>
                <w:b/>
                <w:bCs/>
                <w:color w:val="000000"/>
                <w:sz w:val="20"/>
                <w:szCs w:val="20"/>
              </w:rPr>
              <w:t>Penn Power</w:t>
            </w:r>
          </w:p>
        </w:tc>
        <w:tc>
          <w:tcPr>
            <w:tcW w:w="939" w:type="dxa"/>
            <w:tcBorders>
              <w:top w:val="nil"/>
              <w:left w:val="nil"/>
              <w:bottom w:val="single" w:sz="8" w:space="0" w:color="auto"/>
              <w:right w:val="nil"/>
            </w:tcBorders>
            <w:shd w:val="clear" w:color="auto" w:fill="auto"/>
            <w:noWrap/>
            <w:vAlign w:val="center"/>
            <w:hideMark/>
          </w:tcPr>
          <w:p w14:paraId="06254FCE" w14:textId="77777777"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Calibri" w:hAnsi="Arial" w:cs="Arial"/>
                <w:color w:val="000000"/>
                <w:sz w:val="20"/>
                <w:szCs w:val="20"/>
              </w:rPr>
              <w:t>$1,953</w:t>
            </w:r>
          </w:p>
        </w:tc>
        <w:tc>
          <w:tcPr>
            <w:tcW w:w="283" w:type="dxa"/>
            <w:tcBorders>
              <w:top w:val="nil"/>
              <w:left w:val="nil"/>
              <w:bottom w:val="single" w:sz="8" w:space="0" w:color="auto"/>
              <w:right w:val="nil"/>
            </w:tcBorders>
            <w:shd w:val="clear" w:color="auto" w:fill="auto"/>
            <w:vAlign w:val="center"/>
            <w:hideMark/>
          </w:tcPr>
          <w:p w14:paraId="60734E14" w14:textId="77777777" w:rsidR="00C93C49" w:rsidRPr="00C93C49" w:rsidRDefault="00C93C49" w:rsidP="00C93C49">
            <w:pPr>
              <w:spacing w:after="0" w:line="20" w:lineRule="atLeast"/>
              <w:contextualSpacing/>
              <w:jc w:val="center"/>
              <w:rPr>
                <w:rFonts w:ascii="Arial" w:eastAsia="Times New Roman" w:hAnsi="Arial" w:cs="Arial"/>
                <w:color w:val="000000"/>
                <w:sz w:val="20"/>
                <w:szCs w:val="20"/>
              </w:rPr>
            </w:pPr>
            <w:r w:rsidRPr="00C93C49">
              <w:rPr>
                <w:rFonts w:ascii="Arial" w:eastAsia="Calibri" w:hAnsi="Arial" w:cs="Arial"/>
                <w:color w:val="000000"/>
                <w:sz w:val="20"/>
                <w:szCs w:val="20"/>
              </w:rPr>
              <w:t>-</w:t>
            </w:r>
          </w:p>
        </w:tc>
        <w:tc>
          <w:tcPr>
            <w:tcW w:w="758" w:type="dxa"/>
            <w:tcBorders>
              <w:top w:val="nil"/>
              <w:left w:val="nil"/>
              <w:bottom w:val="single" w:sz="8" w:space="0" w:color="auto"/>
              <w:right w:val="single" w:sz="8" w:space="0" w:color="auto"/>
            </w:tcBorders>
            <w:shd w:val="clear" w:color="auto" w:fill="auto"/>
            <w:noWrap/>
            <w:vAlign w:val="center"/>
            <w:hideMark/>
          </w:tcPr>
          <w:p w14:paraId="4287309A" w14:textId="77777777"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Calibri" w:hAnsi="Arial" w:cs="Arial"/>
                <w:color w:val="000000"/>
                <w:sz w:val="20"/>
                <w:szCs w:val="20"/>
              </w:rPr>
              <w:t>$2,456</w:t>
            </w:r>
          </w:p>
        </w:tc>
      </w:tr>
      <w:tr w:rsidR="00C93C49" w:rsidRPr="00C93C49" w14:paraId="1BF294F9" w14:textId="77777777" w:rsidTr="00347614">
        <w:trPr>
          <w:trHeight w:val="136"/>
          <w:jc w:val="center"/>
        </w:trPr>
        <w:tc>
          <w:tcPr>
            <w:tcW w:w="2420" w:type="dxa"/>
            <w:tcBorders>
              <w:top w:val="single" w:sz="8" w:space="0" w:color="auto"/>
              <w:left w:val="single" w:sz="8" w:space="0" w:color="auto"/>
              <w:bottom w:val="double" w:sz="4" w:space="0" w:color="auto"/>
              <w:right w:val="single" w:sz="8" w:space="0" w:color="auto"/>
            </w:tcBorders>
            <w:shd w:val="clear" w:color="auto" w:fill="auto"/>
            <w:noWrap/>
            <w:vAlign w:val="center"/>
            <w:hideMark/>
          </w:tcPr>
          <w:p w14:paraId="2964BDE3" w14:textId="77777777" w:rsidR="00C93C49" w:rsidRPr="00C93C49" w:rsidRDefault="00C93C49" w:rsidP="00C93C49">
            <w:pPr>
              <w:spacing w:after="0" w:line="20" w:lineRule="atLeast"/>
              <w:contextualSpacing/>
              <w:rPr>
                <w:rFonts w:ascii="Arial" w:eastAsia="Times New Roman" w:hAnsi="Arial" w:cs="Arial"/>
                <w:b/>
                <w:bCs/>
                <w:color w:val="000000"/>
                <w:sz w:val="20"/>
                <w:szCs w:val="20"/>
              </w:rPr>
            </w:pPr>
            <w:r w:rsidRPr="00C93C49">
              <w:rPr>
                <w:rFonts w:ascii="Arial" w:eastAsia="Calibri" w:hAnsi="Arial" w:cs="Arial"/>
                <w:b/>
                <w:bCs/>
                <w:color w:val="000000"/>
                <w:sz w:val="20"/>
                <w:szCs w:val="20"/>
              </w:rPr>
              <w:t>West Penn Power</w:t>
            </w:r>
          </w:p>
        </w:tc>
        <w:tc>
          <w:tcPr>
            <w:tcW w:w="939" w:type="dxa"/>
            <w:tcBorders>
              <w:top w:val="single" w:sz="8" w:space="0" w:color="auto"/>
              <w:left w:val="nil"/>
              <w:bottom w:val="double" w:sz="4" w:space="0" w:color="auto"/>
              <w:right w:val="nil"/>
            </w:tcBorders>
            <w:shd w:val="clear" w:color="auto" w:fill="auto"/>
            <w:noWrap/>
            <w:vAlign w:val="center"/>
            <w:hideMark/>
          </w:tcPr>
          <w:p w14:paraId="18D5832F" w14:textId="77777777"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Calibri" w:hAnsi="Arial" w:cs="Arial"/>
                <w:color w:val="000000"/>
                <w:sz w:val="20"/>
                <w:szCs w:val="20"/>
              </w:rPr>
              <w:t>$8,677</w:t>
            </w:r>
          </w:p>
        </w:tc>
        <w:tc>
          <w:tcPr>
            <w:tcW w:w="283" w:type="dxa"/>
            <w:tcBorders>
              <w:top w:val="single" w:sz="8" w:space="0" w:color="auto"/>
              <w:left w:val="nil"/>
              <w:bottom w:val="double" w:sz="4" w:space="0" w:color="auto"/>
              <w:right w:val="nil"/>
            </w:tcBorders>
            <w:shd w:val="clear" w:color="auto" w:fill="auto"/>
            <w:vAlign w:val="center"/>
            <w:hideMark/>
          </w:tcPr>
          <w:p w14:paraId="5216741F" w14:textId="77777777" w:rsidR="00C93C49" w:rsidRPr="00C93C49" w:rsidRDefault="00C93C49" w:rsidP="00C93C49">
            <w:pPr>
              <w:spacing w:after="0" w:line="20" w:lineRule="atLeast"/>
              <w:contextualSpacing/>
              <w:jc w:val="center"/>
              <w:rPr>
                <w:rFonts w:ascii="Arial" w:eastAsia="Times New Roman" w:hAnsi="Arial" w:cs="Arial"/>
                <w:color w:val="000000"/>
                <w:sz w:val="20"/>
                <w:szCs w:val="20"/>
              </w:rPr>
            </w:pPr>
            <w:r w:rsidRPr="00C93C49">
              <w:rPr>
                <w:rFonts w:ascii="Arial" w:eastAsia="Calibri" w:hAnsi="Arial" w:cs="Arial"/>
                <w:color w:val="000000"/>
                <w:sz w:val="20"/>
                <w:szCs w:val="20"/>
              </w:rPr>
              <w:t>-</w:t>
            </w:r>
          </w:p>
        </w:tc>
        <w:tc>
          <w:tcPr>
            <w:tcW w:w="758" w:type="dxa"/>
            <w:tcBorders>
              <w:top w:val="single" w:sz="8" w:space="0" w:color="auto"/>
              <w:left w:val="nil"/>
              <w:bottom w:val="double" w:sz="4" w:space="0" w:color="auto"/>
              <w:right w:val="single" w:sz="8" w:space="0" w:color="auto"/>
            </w:tcBorders>
            <w:shd w:val="clear" w:color="auto" w:fill="auto"/>
            <w:noWrap/>
            <w:vAlign w:val="center"/>
            <w:hideMark/>
          </w:tcPr>
          <w:p w14:paraId="42719F21" w14:textId="77777777"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Calibri" w:hAnsi="Arial" w:cs="Arial"/>
                <w:color w:val="000000"/>
                <w:sz w:val="20"/>
                <w:szCs w:val="20"/>
              </w:rPr>
              <w:t>$10,913</w:t>
            </w:r>
          </w:p>
        </w:tc>
      </w:tr>
      <w:tr w:rsidR="00C93C49" w:rsidRPr="00C93C49" w14:paraId="76A74D98" w14:textId="77777777" w:rsidTr="00347614">
        <w:trPr>
          <w:trHeight w:val="136"/>
          <w:jc w:val="center"/>
        </w:trPr>
        <w:tc>
          <w:tcPr>
            <w:tcW w:w="2420" w:type="dxa"/>
            <w:tcBorders>
              <w:top w:val="double" w:sz="4" w:space="0" w:color="auto"/>
              <w:left w:val="single" w:sz="8" w:space="0" w:color="auto"/>
              <w:bottom w:val="single" w:sz="8" w:space="0" w:color="auto"/>
              <w:right w:val="single" w:sz="8" w:space="0" w:color="auto"/>
            </w:tcBorders>
            <w:shd w:val="clear" w:color="auto" w:fill="auto"/>
            <w:noWrap/>
            <w:vAlign w:val="center"/>
            <w:hideMark/>
          </w:tcPr>
          <w:p w14:paraId="4449E215" w14:textId="77777777" w:rsidR="00C93C49" w:rsidRPr="00C93C49" w:rsidRDefault="00DC3D9B" w:rsidP="00C93C49">
            <w:pPr>
              <w:spacing w:after="0" w:line="20" w:lineRule="atLeast"/>
              <w:contextualSpacing/>
              <w:rPr>
                <w:rFonts w:ascii="Arial" w:eastAsia="Times New Roman" w:hAnsi="Arial" w:cs="Arial"/>
                <w:b/>
                <w:bCs/>
                <w:color w:val="000000"/>
                <w:sz w:val="20"/>
                <w:szCs w:val="20"/>
              </w:rPr>
            </w:pPr>
            <w:r>
              <w:rPr>
                <w:rFonts w:ascii="Arial" w:eastAsia="Calibri" w:hAnsi="Arial" w:cs="Arial"/>
                <w:b/>
                <w:bCs/>
                <w:color w:val="000000"/>
                <w:sz w:val="20"/>
                <w:szCs w:val="20"/>
              </w:rPr>
              <w:t>FE-PA companies</w:t>
            </w:r>
          </w:p>
        </w:tc>
        <w:tc>
          <w:tcPr>
            <w:tcW w:w="939" w:type="dxa"/>
            <w:tcBorders>
              <w:top w:val="double" w:sz="4" w:space="0" w:color="auto"/>
              <w:left w:val="nil"/>
              <w:bottom w:val="single" w:sz="8" w:space="0" w:color="auto"/>
              <w:right w:val="nil"/>
            </w:tcBorders>
            <w:shd w:val="clear" w:color="auto" w:fill="auto"/>
            <w:noWrap/>
            <w:vAlign w:val="center"/>
            <w:hideMark/>
          </w:tcPr>
          <w:p w14:paraId="6173205C" w14:textId="77777777"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Calibri" w:hAnsi="Arial" w:cs="Arial"/>
                <w:color w:val="000000"/>
                <w:sz w:val="20"/>
                <w:szCs w:val="20"/>
              </w:rPr>
              <w:t>$24,450</w:t>
            </w:r>
          </w:p>
        </w:tc>
        <w:tc>
          <w:tcPr>
            <w:tcW w:w="283" w:type="dxa"/>
            <w:tcBorders>
              <w:top w:val="double" w:sz="4" w:space="0" w:color="auto"/>
              <w:left w:val="nil"/>
              <w:bottom w:val="single" w:sz="8" w:space="0" w:color="auto"/>
              <w:right w:val="nil"/>
            </w:tcBorders>
            <w:shd w:val="clear" w:color="auto" w:fill="auto"/>
            <w:vAlign w:val="center"/>
            <w:hideMark/>
          </w:tcPr>
          <w:p w14:paraId="18AD565F" w14:textId="77777777" w:rsidR="00C93C49" w:rsidRPr="00C93C49" w:rsidRDefault="00C93C49" w:rsidP="00C93C49">
            <w:pPr>
              <w:spacing w:after="0" w:line="20" w:lineRule="atLeast"/>
              <w:contextualSpacing/>
              <w:jc w:val="center"/>
              <w:rPr>
                <w:rFonts w:ascii="Arial" w:eastAsia="Times New Roman" w:hAnsi="Arial" w:cs="Arial"/>
                <w:color w:val="000000"/>
                <w:sz w:val="20"/>
                <w:szCs w:val="20"/>
              </w:rPr>
            </w:pPr>
            <w:r w:rsidRPr="00C93C49">
              <w:rPr>
                <w:rFonts w:ascii="Arial" w:eastAsia="Calibri" w:hAnsi="Arial" w:cs="Arial"/>
                <w:color w:val="000000"/>
                <w:sz w:val="20"/>
                <w:szCs w:val="20"/>
              </w:rPr>
              <w:t>-</w:t>
            </w:r>
          </w:p>
        </w:tc>
        <w:tc>
          <w:tcPr>
            <w:tcW w:w="758" w:type="dxa"/>
            <w:tcBorders>
              <w:top w:val="double" w:sz="4" w:space="0" w:color="auto"/>
              <w:left w:val="nil"/>
              <w:bottom w:val="single" w:sz="8" w:space="0" w:color="auto"/>
              <w:right w:val="single" w:sz="8" w:space="0" w:color="auto"/>
            </w:tcBorders>
            <w:shd w:val="clear" w:color="auto" w:fill="auto"/>
            <w:noWrap/>
            <w:vAlign w:val="center"/>
            <w:hideMark/>
          </w:tcPr>
          <w:p w14:paraId="4CD73208" w14:textId="77777777" w:rsidR="00C93C49" w:rsidRPr="00C93C49" w:rsidRDefault="00C93C49" w:rsidP="00C93C49">
            <w:pPr>
              <w:spacing w:after="0" w:line="20" w:lineRule="atLeast"/>
              <w:contextualSpacing/>
              <w:jc w:val="right"/>
              <w:rPr>
                <w:rFonts w:ascii="Arial" w:eastAsia="Times New Roman" w:hAnsi="Arial" w:cs="Arial"/>
                <w:color w:val="000000"/>
                <w:sz w:val="20"/>
                <w:szCs w:val="20"/>
              </w:rPr>
            </w:pPr>
            <w:r w:rsidRPr="00C93C49">
              <w:rPr>
                <w:rFonts w:ascii="Arial" w:eastAsia="Calibri" w:hAnsi="Arial" w:cs="Arial"/>
                <w:color w:val="000000"/>
                <w:sz w:val="20"/>
                <w:szCs w:val="20"/>
              </w:rPr>
              <w:t>$30,750</w:t>
            </w:r>
          </w:p>
        </w:tc>
      </w:tr>
    </w:tbl>
    <w:p w14:paraId="0B58C79E" w14:textId="77777777" w:rsidR="00C93C49" w:rsidRPr="00C93C49" w:rsidRDefault="00C93C49" w:rsidP="00C93C49">
      <w:pPr>
        <w:widowControl w:val="0"/>
        <w:spacing w:after="0" w:line="20" w:lineRule="atLeast"/>
        <w:ind w:left="3150" w:right="2430" w:hanging="720"/>
        <w:contextualSpacing/>
        <w:rPr>
          <w:rFonts w:ascii="Arial" w:eastAsia="Times New Roman" w:hAnsi="Arial" w:cs="Arial"/>
          <w:snapToGrid w:val="0"/>
          <w:sz w:val="18"/>
          <w:szCs w:val="18"/>
        </w:rPr>
      </w:pPr>
      <w:r w:rsidRPr="00C93C49">
        <w:rPr>
          <w:rFonts w:ascii="Arial" w:eastAsia="Times New Roman" w:hAnsi="Arial" w:cs="Arial"/>
          <w:snapToGrid w:val="0"/>
          <w:sz w:val="18"/>
          <w:szCs w:val="18"/>
        </w:rPr>
        <w:t xml:space="preserve">Source:  Data Request CS-4, </w:t>
      </w:r>
      <w:r w:rsidRPr="00C93C49">
        <w:rPr>
          <w:rFonts w:ascii="Arial" w:eastAsia="Calibri" w:hAnsi="Arial" w:cs="Arial"/>
          <w:snapToGrid w:val="0"/>
          <w:sz w:val="18"/>
          <w:szCs w:val="18"/>
        </w:rPr>
        <w:t>Exhibit X – 6 of Prior</w:t>
      </w:r>
      <w:r w:rsidR="000E61AB">
        <w:rPr>
          <w:rFonts w:ascii="Arial" w:eastAsia="Calibri" w:hAnsi="Arial" w:cs="Arial"/>
          <w:snapToGrid w:val="0"/>
          <w:sz w:val="18"/>
          <w:szCs w:val="18"/>
        </w:rPr>
        <w:t xml:space="preserve"> </w:t>
      </w:r>
      <w:r w:rsidRPr="00C93C49">
        <w:rPr>
          <w:rFonts w:ascii="Arial" w:eastAsia="Calibri" w:hAnsi="Arial" w:cs="Arial"/>
          <w:snapToGrid w:val="0"/>
          <w:sz w:val="18"/>
          <w:szCs w:val="18"/>
        </w:rPr>
        <w:t>Management Audit, and</w:t>
      </w:r>
      <w:r w:rsidRPr="00C93C49">
        <w:rPr>
          <w:rFonts w:ascii="Arial" w:eastAsia="Times New Roman" w:hAnsi="Arial" w:cs="Arial"/>
          <w:snapToGrid w:val="0"/>
          <w:sz w:val="18"/>
          <w:szCs w:val="18"/>
        </w:rPr>
        <w:t xml:space="preserve"> Auditor Analysis</w:t>
      </w:r>
    </w:p>
    <w:p w14:paraId="67EEB490" w14:textId="77777777" w:rsidR="00C93C49" w:rsidRPr="00C93C49" w:rsidRDefault="00C93C49" w:rsidP="00C93C49">
      <w:pPr>
        <w:widowControl w:val="0"/>
        <w:spacing w:after="0" w:line="20" w:lineRule="atLeast"/>
        <w:contextualSpacing/>
        <w:rPr>
          <w:rFonts w:ascii="Arial" w:hAnsi="Arial" w:cs="Arial"/>
          <w:sz w:val="24"/>
          <w:szCs w:val="24"/>
        </w:rPr>
      </w:pPr>
    </w:p>
    <w:p w14:paraId="4B91F30B" w14:textId="77777777" w:rsidR="00C93C49" w:rsidRPr="00C93C49" w:rsidRDefault="00C93C49" w:rsidP="00C93C49">
      <w:pPr>
        <w:widowControl w:val="0"/>
        <w:spacing w:after="0" w:line="20" w:lineRule="atLeast"/>
        <w:contextualSpacing/>
        <w:rPr>
          <w:rFonts w:ascii="Arial" w:hAnsi="Arial" w:cs="Arial"/>
          <w:sz w:val="24"/>
          <w:szCs w:val="24"/>
        </w:rPr>
      </w:pPr>
    </w:p>
    <w:p w14:paraId="3925DB11" w14:textId="77777777" w:rsidR="005F45F3" w:rsidRDefault="00C93C49" w:rsidP="00C4057E">
      <w:pPr>
        <w:widowControl w:val="0"/>
        <w:spacing w:after="0" w:line="20" w:lineRule="atLeast"/>
        <w:contextualSpacing/>
        <w:rPr>
          <w:rFonts w:ascii="Arial" w:hAnsi="Arial" w:cs="Arial"/>
          <w:b/>
          <w:sz w:val="24"/>
          <w:szCs w:val="24"/>
        </w:rPr>
      </w:pPr>
      <w:r w:rsidRPr="00C93C49">
        <w:rPr>
          <w:rFonts w:ascii="Arial" w:eastAsia="Times New Roman" w:hAnsi="Arial" w:cs="Times New Roman"/>
          <w:b/>
          <w:sz w:val="24"/>
          <w:szCs w:val="24"/>
          <w:u w:val="single"/>
        </w:rPr>
        <w:t>Follow-up Recommendation</w:t>
      </w:r>
      <w:r w:rsidRPr="00C93C49">
        <w:rPr>
          <w:rFonts w:ascii="Arial" w:eastAsia="Times New Roman" w:hAnsi="Arial" w:cs="Times New Roman"/>
          <w:b/>
          <w:sz w:val="24"/>
          <w:szCs w:val="24"/>
        </w:rPr>
        <w:t xml:space="preserve"> – </w:t>
      </w:r>
      <w:r w:rsidRPr="00C93C49">
        <w:rPr>
          <w:rFonts w:ascii="Arial" w:hAnsi="Arial" w:cs="Arial"/>
          <w:b/>
          <w:sz w:val="24"/>
          <w:szCs w:val="24"/>
        </w:rPr>
        <w:t>None</w:t>
      </w:r>
    </w:p>
    <w:p w14:paraId="7C51EE7E" w14:textId="77777777" w:rsidR="005F45F3" w:rsidRDefault="005F45F3">
      <w:pPr>
        <w:rPr>
          <w:rFonts w:ascii="Arial" w:hAnsi="Arial" w:cs="Arial"/>
          <w:b/>
          <w:sz w:val="24"/>
          <w:szCs w:val="24"/>
        </w:rPr>
      </w:pPr>
      <w:r>
        <w:rPr>
          <w:rFonts w:ascii="Arial" w:hAnsi="Arial" w:cs="Arial"/>
          <w:b/>
          <w:sz w:val="24"/>
          <w:szCs w:val="24"/>
        </w:rPr>
        <w:br w:type="page"/>
      </w:r>
    </w:p>
    <w:p w14:paraId="5C1FE49A" w14:textId="77777777" w:rsidR="00C93C49" w:rsidRPr="00C93C49" w:rsidRDefault="00C93C49" w:rsidP="00C93C49">
      <w:pPr>
        <w:spacing w:after="0" w:line="20" w:lineRule="atLeast"/>
        <w:contextualSpacing/>
        <w:jc w:val="center"/>
        <w:rPr>
          <w:rFonts w:ascii="Arial" w:eastAsia="Times New Roman" w:hAnsi="Arial" w:cs="Times New Roman"/>
          <w:b/>
          <w:sz w:val="24"/>
          <w:szCs w:val="24"/>
          <w:u w:val="single"/>
        </w:rPr>
      </w:pPr>
      <w:r w:rsidRPr="00C93C49">
        <w:rPr>
          <w:rFonts w:ascii="Arial" w:eastAsia="Times New Roman" w:hAnsi="Arial" w:cs="Times New Roman"/>
          <w:b/>
          <w:sz w:val="24"/>
          <w:szCs w:val="24"/>
          <w:u w:val="single"/>
        </w:rPr>
        <w:t>Finding No. X-5</w:t>
      </w:r>
    </w:p>
    <w:p w14:paraId="4E91C2FC" w14:textId="77777777" w:rsidR="00C93C49" w:rsidRPr="00C93C49" w:rsidRDefault="00C93C49" w:rsidP="00C93C49">
      <w:pPr>
        <w:spacing w:after="0" w:line="20" w:lineRule="atLeast"/>
        <w:contextualSpacing/>
        <w:rPr>
          <w:rFonts w:ascii="Arial" w:hAnsi="Arial" w:cs="Arial"/>
          <w:sz w:val="24"/>
          <w:szCs w:val="24"/>
        </w:rPr>
      </w:pPr>
    </w:p>
    <w:p w14:paraId="48F20B9F" w14:textId="77777777" w:rsidR="00C93C49" w:rsidRPr="00C93C49" w:rsidRDefault="00C93C49" w:rsidP="00C93C49">
      <w:pPr>
        <w:autoSpaceDE w:val="0"/>
        <w:autoSpaceDN w:val="0"/>
        <w:adjustRightInd w:val="0"/>
        <w:spacing w:after="0" w:line="20" w:lineRule="atLeast"/>
        <w:rPr>
          <w:rFonts w:ascii="Arial" w:eastAsia="Times New Roman" w:hAnsi="Arial" w:cs="Arial"/>
          <w:snapToGrid w:val="0"/>
          <w:sz w:val="24"/>
          <w:szCs w:val="20"/>
        </w:rPr>
      </w:pPr>
      <w:r w:rsidRPr="00C93C49">
        <w:rPr>
          <w:rFonts w:ascii="Arial" w:hAnsi="Arial" w:cs="Arial"/>
          <w:b/>
          <w:sz w:val="24"/>
          <w:szCs w:val="24"/>
          <w:u w:val="single"/>
        </w:rPr>
        <w:t>Prior Situation</w:t>
      </w:r>
      <w:r w:rsidRPr="00C93C49">
        <w:rPr>
          <w:rFonts w:ascii="Arial" w:hAnsi="Arial" w:cs="Arial"/>
          <w:sz w:val="24"/>
          <w:szCs w:val="24"/>
        </w:rPr>
        <w:t xml:space="preserve"> – </w:t>
      </w:r>
      <w:r w:rsidRPr="00C93C49">
        <w:rPr>
          <w:rFonts w:ascii="Arial" w:eastAsia="Times New Roman" w:hAnsi="Arial" w:cs="Arial"/>
          <w:color w:val="000000"/>
          <w:sz w:val="24"/>
          <w:szCs w:val="24"/>
        </w:rPr>
        <w:t>When a customer registers a dispute with a utility concerning an issue with respect to Chapter 56 regulations, a utility is to respond to the complaining party within 30 days of the initiation of the dispute pursuant to § 56.151(5).</w:t>
      </w:r>
      <w:r w:rsidRPr="00C93C49">
        <w:rPr>
          <w:rFonts w:ascii="Arial" w:eastAsia="Times New Roman" w:hAnsi="Arial" w:cs="Arial"/>
          <w:snapToGrid w:val="0"/>
          <w:sz w:val="24"/>
          <w:szCs w:val="24"/>
        </w:rPr>
        <w:t xml:space="preserve">  </w:t>
      </w:r>
      <w:r w:rsidRPr="00C93C49">
        <w:rPr>
          <w:rFonts w:ascii="Arial" w:eastAsia="Times New Roman" w:hAnsi="Arial" w:cs="Arial"/>
          <w:snapToGrid w:val="0"/>
          <w:sz w:val="24"/>
          <w:szCs w:val="20"/>
        </w:rPr>
        <w:t xml:space="preserve">As shown in Exhibit X-13, the </w:t>
      </w:r>
      <w:r w:rsidR="00DC3D9B">
        <w:rPr>
          <w:rFonts w:ascii="Arial" w:eastAsia="Times New Roman" w:hAnsi="Arial" w:cs="Arial"/>
          <w:snapToGrid w:val="0"/>
          <w:sz w:val="24"/>
          <w:szCs w:val="20"/>
        </w:rPr>
        <w:t>FE-PA companies</w:t>
      </w:r>
      <w:r w:rsidRPr="00C93C49">
        <w:rPr>
          <w:rFonts w:ascii="Arial" w:eastAsia="Times New Roman" w:hAnsi="Arial" w:cs="Arial"/>
          <w:snapToGrid w:val="0"/>
          <w:sz w:val="24"/>
          <w:szCs w:val="20"/>
        </w:rPr>
        <w:t xml:space="preserve">’ </w:t>
      </w:r>
      <w:r w:rsidR="0073368F">
        <w:rPr>
          <w:rFonts w:ascii="Arial" w:eastAsia="Times New Roman" w:hAnsi="Arial" w:cs="Arial"/>
          <w:snapToGrid w:val="0"/>
          <w:sz w:val="24"/>
          <w:szCs w:val="20"/>
        </w:rPr>
        <w:t xml:space="preserve">number of </w:t>
      </w:r>
      <w:r w:rsidRPr="00C93C49">
        <w:rPr>
          <w:rFonts w:ascii="Arial" w:eastAsia="Times New Roman" w:hAnsi="Arial" w:cs="Arial"/>
          <w:snapToGrid w:val="0"/>
          <w:sz w:val="24"/>
          <w:szCs w:val="20"/>
        </w:rPr>
        <w:t xml:space="preserve">residential disputes with a response time greater than 30 days were drastically higher in 2011, 2012, and 2013.  While improvements occurred in 2013, Met-Ed, Penelec, and West Penn Power were still significantly higher than previous years.  In general, performance improved slightly in 2013 for the </w:t>
      </w:r>
      <w:r w:rsidR="00DC3D9B">
        <w:rPr>
          <w:rFonts w:ascii="Arial" w:eastAsia="Times New Roman" w:hAnsi="Arial" w:cs="Arial"/>
          <w:snapToGrid w:val="0"/>
          <w:sz w:val="24"/>
          <w:szCs w:val="20"/>
        </w:rPr>
        <w:t>FE-PA companies</w:t>
      </w:r>
      <w:r w:rsidRPr="00C93C49">
        <w:rPr>
          <w:rFonts w:ascii="Arial" w:eastAsia="Times New Roman" w:hAnsi="Arial" w:cs="Arial"/>
          <w:snapToGrid w:val="0"/>
          <w:sz w:val="24"/>
          <w:szCs w:val="20"/>
        </w:rPr>
        <w:t xml:space="preserve"> but had not returned to levels prior to 2011.</w:t>
      </w:r>
    </w:p>
    <w:p w14:paraId="08B4B6F2" w14:textId="77777777" w:rsidR="00C93C49" w:rsidRPr="00C93C49" w:rsidRDefault="00C93C49" w:rsidP="00C93C49">
      <w:pPr>
        <w:autoSpaceDE w:val="0"/>
        <w:autoSpaceDN w:val="0"/>
        <w:adjustRightInd w:val="0"/>
        <w:spacing w:after="0" w:line="20" w:lineRule="atLeast"/>
        <w:rPr>
          <w:rFonts w:ascii="Arial" w:eastAsia="Times New Roman" w:hAnsi="Arial" w:cs="Arial"/>
          <w:color w:val="000000"/>
          <w:sz w:val="24"/>
          <w:szCs w:val="24"/>
        </w:rPr>
      </w:pPr>
    </w:p>
    <w:p w14:paraId="17DB0FC6" w14:textId="77777777" w:rsidR="00C93C49" w:rsidRPr="00C93C49" w:rsidRDefault="00C93C49" w:rsidP="00C93C49">
      <w:pPr>
        <w:autoSpaceDE w:val="0"/>
        <w:autoSpaceDN w:val="0"/>
        <w:adjustRightInd w:val="0"/>
        <w:spacing w:after="0" w:line="20" w:lineRule="atLeast"/>
        <w:rPr>
          <w:rFonts w:ascii="Arial" w:eastAsia="Times New Roman" w:hAnsi="Arial" w:cs="Arial"/>
          <w:color w:val="000000"/>
          <w:sz w:val="24"/>
          <w:szCs w:val="24"/>
        </w:rPr>
      </w:pPr>
    </w:p>
    <w:p w14:paraId="49F8D8B3" w14:textId="77777777" w:rsidR="00C93C49" w:rsidRPr="00C93C49" w:rsidRDefault="00C93C49" w:rsidP="00C93C49">
      <w:pPr>
        <w:autoSpaceDE w:val="0"/>
        <w:autoSpaceDN w:val="0"/>
        <w:adjustRightInd w:val="0"/>
        <w:spacing w:after="0" w:line="20" w:lineRule="atLeast"/>
        <w:jc w:val="center"/>
        <w:rPr>
          <w:rFonts w:ascii="Arial" w:eastAsia="Times New Roman" w:hAnsi="Arial" w:cs="Arial"/>
          <w:b/>
          <w:color w:val="000000"/>
          <w:sz w:val="24"/>
          <w:szCs w:val="24"/>
        </w:rPr>
      </w:pPr>
      <w:r w:rsidRPr="00C93C49">
        <w:rPr>
          <w:rFonts w:ascii="Arial" w:eastAsia="Times New Roman" w:hAnsi="Arial" w:cs="Arial"/>
          <w:b/>
          <w:color w:val="000000"/>
          <w:sz w:val="24"/>
          <w:szCs w:val="24"/>
        </w:rPr>
        <w:t xml:space="preserve">Exhibit X – 13 </w:t>
      </w:r>
    </w:p>
    <w:p w14:paraId="6A9E2696"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4"/>
        </w:rPr>
      </w:pPr>
      <w:r w:rsidRPr="00C93C49">
        <w:rPr>
          <w:rFonts w:ascii="Arial" w:eastAsia="Calibri" w:hAnsi="Arial" w:cs="Arial"/>
          <w:b/>
          <w:snapToGrid w:val="0"/>
          <w:sz w:val="24"/>
          <w:szCs w:val="24"/>
        </w:rPr>
        <w:t>FirstEnergy Pennsylvania Companies</w:t>
      </w:r>
    </w:p>
    <w:p w14:paraId="503B4758"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4"/>
        </w:rPr>
      </w:pPr>
      <w:r w:rsidRPr="00C93C49">
        <w:rPr>
          <w:rFonts w:ascii="Arial" w:eastAsia="Times New Roman" w:hAnsi="Arial" w:cs="Arial"/>
          <w:b/>
          <w:snapToGrid w:val="0"/>
          <w:sz w:val="24"/>
          <w:szCs w:val="24"/>
        </w:rPr>
        <w:t>Residential Disputes with a Response Time Greater Than 30 Days</w:t>
      </w:r>
    </w:p>
    <w:p w14:paraId="0D2CE8AB"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4"/>
        </w:rPr>
      </w:pPr>
      <w:r w:rsidRPr="00C93C49">
        <w:rPr>
          <w:rFonts w:ascii="Arial" w:eastAsia="Times New Roman" w:hAnsi="Arial" w:cs="Arial"/>
          <w:b/>
          <w:snapToGrid w:val="0"/>
          <w:sz w:val="24"/>
          <w:szCs w:val="24"/>
        </w:rPr>
        <w:t xml:space="preserve">For the Years 2008 through 2013 </w:t>
      </w:r>
    </w:p>
    <w:p w14:paraId="0EE6989A" w14:textId="77777777" w:rsidR="00C93C49" w:rsidRPr="00C93C49" w:rsidRDefault="00C93C49" w:rsidP="00C93C49">
      <w:pPr>
        <w:widowControl w:val="0"/>
        <w:spacing w:after="0" w:line="20" w:lineRule="atLeast"/>
        <w:jc w:val="center"/>
        <w:rPr>
          <w:rFonts w:ascii="Arial" w:eastAsia="Times New Roman" w:hAnsi="Arial" w:cs="Arial"/>
          <w:b/>
          <w:snapToGrid w:val="0"/>
          <w:sz w:val="4"/>
          <w:szCs w:val="4"/>
        </w:rPr>
      </w:pPr>
    </w:p>
    <w:tbl>
      <w:tblPr>
        <w:tblStyle w:val="TableGrid33"/>
        <w:tblW w:w="7590" w:type="dxa"/>
        <w:jc w:val="center"/>
        <w:tblLayout w:type="fixed"/>
        <w:tblLook w:val="04A0" w:firstRow="1" w:lastRow="0" w:firstColumn="1" w:lastColumn="0" w:noHBand="0" w:noVBand="1"/>
      </w:tblPr>
      <w:tblGrid>
        <w:gridCol w:w="2369"/>
        <w:gridCol w:w="870"/>
        <w:gridCol w:w="870"/>
        <w:gridCol w:w="870"/>
        <w:gridCol w:w="870"/>
        <w:gridCol w:w="870"/>
        <w:gridCol w:w="871"/>
      </w:tblGrid>
      <w:tr w:rsidR="00C93C49" w:rsidRPr="00C93C49" w14:paraId="3108CFBC" w14:textId="77777777" w:rsidTr="00347614">
        <w:trPr>
          <w:trHeight w:val="20"/>
          <w:jc w:val="center"/>
        </w:trPr>
        <w:tc>
          <w:tcPr>
            <w:tcW w:w="2369" w:type="dxa"/>
            <w:tcBorders>
              <w:top w:val="single" w:sz="4" w:space="0" w:color="auto"/>
              <w:left w:val="single" w:sz="4" w:space="0" w:color="auto"/>
              <w:bottom w:val="double" w:sz="4" w:space="0" w:color="auto"/>
              <w:right w:val="single" w:sz="4" w:space="0" w:color="auto"/>
            </w:tcBorders>
            <w:shd w:val="clear" w:color="auto" w:fill="auto"/>
            <w:noWrap/>
            <w:hideMark/>
          </w:tcPr>
          <w:p w14:paraId="3F79136D" w14:textId="77777777" w:rsidR="00C93C49" w:rsidRPr="00C93C49" w:rsidRDefault="00C93C49" w:rsidP="00C93C49">
            <w:pPr>
              <w:widowControl w:val="0"/>
              <w:spacing w:line="20" w:lineRule="atLeast"/>
              <w:rPr>
                <w:rFonts w:ascii="Calibri" w:eastAsia="Calibri" w:hAnsi="Calibri"/>
                <w:snapToGrid w:val="0"/>
              </w:rPr>
            </w:pPr>
          </w:p>
        </w:tc>
        <w:tc>
          <w:tcPr>
            <w:tcW w:w="87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2EB2161" w14:textId="77777777" w:rsidR="00C93C49" w:rsidRPr="00C93C49" w:rsidRDefault="00C93C49" w:rsidP="00C93C49">
            <w:pPr>
              <w:widowControl w:val="0"/>
              <w:spacing w:line="20" w:lineRule="atLeast"/>
              <w:jc w:val="center"/>
              <w:rPr>
                <w:rFonts w:ascii="Arial" w:eastAsia="Calibri" w:hAnsi="Arial" w:cs="Arial"/>
                <w:b/>
                <w:snapToGrid w:val="0"/>
              </w:rPr>
            </w:pPr>
            <w:r w:rsidRPr="00C93C49">
              <w:rPr>
                <w:rFonts w:ascii="Arial" w:eastAsia="Calibri" w:hAnsi="Arial" w:cs="Arial"/>
                <w:b/>
                <w:snapToGrid w:val="0"/>
              </w:rPr>
              <w:t>2008</w:t>
            </w:r>
          </w:p>
        </w:tc>
        <w:tc>
          <w:tcPr>
            <w:tcW w:w="87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316C457B" w14:textId="77777777" w:rsidR="00C93C49" w:rsidRPr="00C93C49" w:rsidRDefault="00C93C49" w:rsidP="00C93C49">
            <w:pPr>
              <w:widowControl w:val="0"/>
              <w:spacing w:line="20" w:lineRule="atLeast"/>
              <w:jc w:val="center"/>
              <w:rPr>
                <w:rFonts w:ascii="Arial" w:eastAsia="Calibri" w:hAnsi="Arial" w:cs="Arial"/>
                <w:b/>
                <w:snapToGrid w:val="0"/>
              </w:rPr>
            </w:pPr>
            <w:r w:rsidRPr="00C93C49">
              <w:rPr>
                <w:rFonts w:ascii="Arial" w:eastAsia="Calibri" w:hAnsi="Arial" w:cs="Arial"/>
                <w:b/>
                <w:snapToGrid w:val="0"/>
              </w:rPr>
              <w:t>2009</w:t>
            </w:r>
          </w:p>
        </w:tc>
        <w:tc>
          <w:tcPr>
            <w:tcW w:w="87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1B23EDA" w14:textId="77777777" w:rsidR="00C93C49" w:rsidRPr="00C93C49" w:rsidRDefault="00C93C49" w:rsidP="00C93C49">
            <w:pPr>
              <w:widowControl w:val="0"/>
              <w:spacing w:line="20" w:lineRule="atLeast"/>
              <w:jc w:val="center"/>
              <w:rPr>
                <w:rFonts w:ascii="Arial" w:eastAsia="Calibri" w:hAnsi="Arial" w:cs="Arial"/>
                <w:b/>
                <w:snapToGrid w:val="0"/>
              </w:rPr>
            </w:pPr>
            <w:r w:rsidRPr="00C93C49">
              <w:rPr>
                <w:rFonts w:ascii="Arial" w:eastAsia="Calibri" w:hAnsi="Arial" w:cs="Arial"/>
                <w:b/>
                <w:snapToGrid w:val="0"/>
              </w:rPr>
              <w:t>2010</w:t>
            </w:r>
          </w:p>
        </w:tc>
        <w:tc>
          <w:tcPr>
            <w:tcW w:w="87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4E21E964" w14:textId="77777777" w:rsidR="00C93C49" w:rsidRPr="00C93C49" w:rsidRDefault="00C93C49" w:rsidP="00C93C49">
            <w:pPr>
              <w:widowControl w:val="0"/>
              <w:spacing w:line="20" w:lineRule="atLeast"/>
              <w:jc w:val="center"/>
              <w:rPr>
                <w:rFonts w:ascii="Arial" w:eastAsia="Calibri" w:hAnsi="Arial" w:cs="Arial"/>
                <w:b/>
                <w:snapToGrid w:val="0"/>
              </w:rPr>
            </w:pPr>
            <w:r w:rsidRPr="00C93C49">
              <w:rPr>
                <w:rFonts w:ascii="Arial" w:eastAsia="Calibri" w:hAnsi="Arial" w:cs="Arial"/>
                <w:b/>
                <w:snapToGrid w:val="0"/>
              </w:rPr>
              <w:t>2011</w:t>
            </w:r>
          </w:p>
        </w:tc>
        <w:tc>
          <w:tcPr>
            <w:tcW w:w="87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6038403" w14:textId="77777777" w:rsidR="00C93C49" w:rsidRPr="00C93C49" w:rsidRDefault="00C93C49" w:rsidP="00C93C49">
            <w:pPr>
              <w:widowControl w:val="0"/>
              <w:spacing w:line="20" w:lineRule="atLeast"/>
              <w:jc w:val="center"/>
              <w:rPr>
                <w:rFonts w:ascii="Arial" w:eastAsia="Calibri" w:hAnsi="Arial" w:cs="Arial"/>
                <w:b/>
                <w:snapToGrid w:val="0"/>
              </w:rPr>
            </w:pPr>
            <w:r w:rsidRPr="00C93C49">
              <w:rPr>
                <w:rFonts w:ascii="Arial" w:eastAsia="Calibri" w:hAnsi="Arial" w:cs="Arial"/>
                <w:b/>
                <w:snapToGrid w:val="0"/>
              </w:rPr>
              <w:t>2012</w:t>
            </w:r>
          </w:p>
        </w:tc>
        <w:tc>
          <w:tcPr>
            <w:tcW w:w="871"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4FEC2308" w14:textId="77777777" w:rsidR="00C93C49" w:rsidRPr="00C93C49" w:rsidRDefault="00C93C49" w:rsidP="00C93C49">
            <w:pPr>
              <w:widowControl w:val="0"/>
              <w:spacing w:line="20" w:lineRule="atLeast"/>
              <w:jc w:val="center"/>
              <w:rPr>
                <w:rFonts w:ascii="Arial" w:eastAsia="Calibri" w:hAnsi="Arial" w:cs="Arial"/>
                <w:b/>
                <w:snapToGrid w:val="0"/>
              </w:rPr>
            </w:pPr>
            <w:r w:rsidRPr="00C93C49">
              <w:rPr>
                <w:rFonts w:ascii="Arial" w:eastAsia="Calibri" w:hAnsi="Arial" w:cs="Arial"/>
                <w:b/>
                <w:snapToGrid w:val="0"/>
              </w:rPr>
              <w:t>2013</w:t>
            </w:r>
          </w:p>
        </w:tc>
      </w:tr>
      <w:tr w:rsidR="00C93C49" w:rsidRPr="00C93C49" w14:paraId="116236A1" w14:textId="77777777" w:rsidTr="00347614">
        <w:trPr>
          <w:trHeight w:val="20"/>
          <w:jc w:val="center"/>
        </w:trPr>
        <w:tc>
          <w:tcPr>
            <w:tcW w:w="236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A16335E" w14:textId="77777777" w:rsidR="00C93C49" w:rsidRPr="00C93C49" w:rsidRDefault="00C93C49" w:rsidP="00C93C49">
            <w:pPr>
              <w:widowControl w:val="0"/>
              <w:spacing w:line="20" w:lineRule="atLeast"/>
              <w:rPr>
                <w:rFonts w:ascii="Arial" w:eastAsia="Calibri" w:hAnsi="Arial" w:cs="Arial"/>
                <w:b/>
                <w:snapToGrid w:val="0"/>
              </w:rPr>
            </w:pPr>
            <w:r w:rsidRPr="00C93C49">
              <w:rPr>
                <w:rFonts w:ascii="Arial" w:eastAsia="Calibri" w:hAnsi="Arial" w:cs="Arial"/>
                <w:b/>
                <w:snapToGrid w:val="0"/>
              </w:rPr>
              <w:t>Met-Ed</w:t>
            </w:r>
          </w:p>
        </w:tc>
        <w:tc>
          <w:tcPr>
            <w:tcW w:w="87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0BD6F59" w14:textId="77777777" w:rsidR="00C93C49" w:rsidRPr="00C93C49" w:rsidRDefault="00C93C49" w:rsidP="00C93C49">
            <w:pPr>
              <w:widowControl w:val="0"/>
              <w:spacing w:line="20" w:lineRule="atLeast"/>
              <w:jc w:val="center"/>
              <w:rPr>
                <w:rFonts w:ascii="Arial" w:eastAsia="Calibri" w:hAnsi="Arial" w:cs="Arial"/>
                <w:snapToGrid w:val="0"/>
              </w:rPr>
            </w:pPr>
            <w:r w:rsidRPr="00C93C49">
              <w:rPr>
                <w:rFonts w:ascii="Arial" w:eastAsia="Calibri" w:hAnsi="Arial" w:cs="Arial"/>
                <w:snapToGrid w:val="0"/>
              </w:rPr>
              <w:t xml:space="preserve">    2</w:t>
            </w:r>
          </w:p>
        </w:tc>
        <w:tc>
          <w:tcPr>
            <w:tcW w:w="87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E6566C5" w14:textId="77777777" w:rsidR="00C93C49" w:rsidRPr="00C93C49" w:rsidRDefault="00C93C49" w:rsidP="00C93C49">
            <w:pPr>
              <w:widowControl w:val="0"/>
              <w:spacing w:line="20" w:lineRule="atLeast"/>
              <w:jc w:val="center"/>
              <w:rPr>
                <w:rFonts w:ascii="Arial" w:eastAsia="Calibri" w:hAnsi="Arial" w:cs="Arial"/>
                <w:snapToGrid w:val="0"/>
              </w:rPr>
            </w:pPr>
            <w:r w:rsidRPr="00C93C49">
              <w:rPr>
                <w:rFonts w:ascii="Arial" w:eastAsia="Calibri" w:hAnsi="Arial" w:cs="Arial"/>
                <w:snapToGrid w:val="0"/>
              </w:rPr>
              <w:t xml:space="preserve">  2</w:t>
            </w:r>
          </w:p>
        </w:tc>
        <w:tc>
          <w:tcPr>
            <w:tcW w:w="87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132491AD" w14:textId="77777777" w:rsidR="00C93C49" w:rsidRPr="00C93C49" w:rsidRDefault="00C93C49" w:rsidP="00C93C49">
            <w:pPr>
              <w:widowControl w:val="0"/>
              <w:spacing w:line="20" w:lineRule="atLeast"/>
              <w:jc w:val="center"/>
              <w:rPr>
                <w:rFonts w:ascii="Arial" w:eastAsia="Calibri" w:hAnsi="Arial" w:cs="Arial"/>
                <w:snapToGrid w:val="0"/>
              </w:rPr>
            </w:pPr>
            <w:r w:rsidRPr="00C93C49">
              <w:rPr>
                <w:rFonts w:ascii="Arial" w:eastAsia="Calibri" w:hAnsi="Arial" w:cs="Arial"/>
                <w:snapToGrid w:val="0"/>
              </w:rPr>
              <w:t>11</w:t>
            </w:r>
          </w:p>
        </w:tc>
        <w:tc>
          <w:tcPr>
            <w:tcW w:w="87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CF54D78" w14:textId="77777777" w:rsidR="00C93C49" w:rsidRPr="00C93C49" w:rsidRDefault="00C93C49" w:rsidP="00C93C49">
            <w:pPr>
              <w:widowControl w:val="0"/>
              <w:spacing w:line="20" w:lineRule="atLeast"/>
              <w:jc w:val="center"/>
              <w:rPr>
                <w:rFonts w:ascii="Arial" w:eastAsia="Calibri" w:hAnsi="Arial" w:cs="Arial"/>
                <w:snapToGrid w:val="0"/>
              </w:rPr>
            </w:pPr>
            <w:r w:rsidRPr="00C93C49">
              <w:rPr>
                <w:rFonts w:ascii="Arial" w:eastAsia="Calibri" w:hAnsi="Arial" w:cs="Arial"/>
                <w:snapToGrid w:val="0"/>
              </w:rPr>
              <w:t>462</w:t>
            </w:r>
          </w:p>
        </w:tc>
        <w:tc>
          <w:tcPr>
            <w:tcW w:w="87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9A9FA90" w14:textId="77777777" w:rsidR="00C93C49" w:rsidRPr="00C93C49" w:rsidRDefault="00C93C49" w:rsidP="00C93C49">
            <w:pPr>
              <w:widowControl w:val="0"/>
              <w:spacing w:line="20" w:lineRule="atLeast"/>
              <w:jc w:val="center"/>
              <w:rPr>
                <w:rFonts w:ascii="Arial" w:eastAsia="Calibri" w:hAnsi="Arial" w:cs="Arial"/>
                <w:snapToGrid w:val="0"/>
              </w:rPr>
            </w:pPr>
            <w:r w:rsidRPr="00C93C49">
              <w:rPr>
                <w:rFonts w:ascii="Arial" w:eastAsia="Calibri" w:hAnsi="Arial" w:cs="Arial"/>
                <w:snapToGrid w:val="0"/>
              </w:rPr>
              <w:t>2,604</w:t>
            </w:r>
          </w:p>
        </w:tc>
        <w:tc>
          <w:tcPr>
            <w:tcW w:w="871"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8FE5DD3" w14:textId="77777777" w:rsidR="00C93C49" w:rsidRPr="00C93C49" w:rsidRDefault="00C93C49" w:rsidP="00C93C49">
            <w:pPr>
              <w:widowControl w:val="0"/>
              <w:spacing w:line="20" w:lineRule="atLeast"/>
              <w:jc w:val="center"/>
              <w:rPr>
                <w:rFonts w:ascii="Arial" w:eastAsia="Calibri" w:hAnsi="Arial" w:cs="Arial"/>
                <w:snapToGrid w:val="0"/>
              </w:rPr>
            </w:pPr>
            <w:r w:rsidRPr="00C93C49">
              <w:rPr>
                <w:rFonts w:ascii="Arial" w:eastAsia="Calibri" w:hAnsi="Arial" w:cs="Arial"/>
                <w:snapToGrid w:val="0"/>
              </w:rPr>
              <w:t>2,109</w:t>
            </w:r>
          </w:p>
        </w:tc>
      </w:tr>
      <w:tr w:rsidR="00C93C49" w:rsidRPr="00C93C49" w14:paraId="04E0BC77" w14:textId="77777777" w:rsidTr="00347614">
        <w:trPr>
          <w:trHeight w:val="20"/>
          <w:jc w:val="center"/>
        </w:trPr>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68332" w14:textId="77777777" w:rsidR="00C93C49" w:rsidRPr="00C93C49" w:rsidRDefault="00C93C49" w:rsidP="00C93C49">
            <w:pPr>
              <w:widowControl w:val="0"/>
              <w:spacing w:line="20" w:lineRule="atLeast"/>
              <w:rPr>
                <w:rFonts w:ascii="Arial" w:eastAsia="Calibri" w:hAnsi="Arial" w:cs="Arial"/>
                <w:b/>
                <w:snapToGrid w:val="0"/>
              </w:rPr>
            </w:pPr>
            <w:r w:rsidRPr="00C93C49">
              <w:rPr>
                <w:rFonts w:ascii="Arial" w:eastAsia="Calibri" w:hAnsi="Arial" w:cs="Arial"/>
                <w:b/>
                <w:snapToGrid w:val="0"/>
              </w:rPr>
              <w:t>Penelec</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404A8" w14:textId="77777777" w:rsidR="00C93C49" w:rsidRPr="00C93C49" w:rsidRDefault="00C93C49" w:rsidP="00C93C49">
            <w:pPr>
              <w:widowControl w:val="0"/>
              <w:spacing w:line="20" w:lineRule="atLeast"/>
              <w:jc w:val="center"/>
              <w:rPr>
                <w:rFonts w:ascii="Arial" w:eastAsia="Calibri" w:hAnsi="Arial" w:cs="Arial"/>
                <w:snapToGrid w:val="0"/>
              </w:rPr>
            </w:pPr>
            <w:r w:rsidRPr="00C93C49">
              <w:rPr>
                <w:rFonts w:ascii="Arial" w:eastAsia="Calibri" w:hAnsi="Arial" w:cs="Arial"/>
                <w:snapToGrid w:val="0"/>
              </w:rPr>
              <w:t xml:space="preserve">    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385A8" w14:textId="77777777" w:rsidR="00C93C49" w:rsidRPr="00C93C49" w:rsidRDefault="00C93C49" w:rsidP="00C93C49">
            <w:pPr>
              <w:widowControl w:val="0"/>
              <w:spacing w:line="20" w:lineRule="atLeast"/>
              <w:jc w:val="center"/>
              <w:rPr>
                <w:rFonts w:ascii="Arial" w:eastAsia="Calibri" w:hAnsi="Arial" w:cs="Arial"/>
                <w:snapToGrid w:val="0"/>
              </w:rPr>
            </w:pPr>
            <w:r w:rsidRPr="00C93C49">
              <w:rPr>
                <w:rFonts w:ascii="Arial" w:eastAsia="Calibri" w:hAnsi="Arial" w:cs="Arial"/>
                <w:snapToGrid w:val="0"/>
              </w:rPr>
              <w:t xml:space="preserve">  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B7C0F" w14:textId="77777777" w:rsidR="00C93C49" w:rsidRPr="00C93C49" w:rsidRDefault="00C93C49" w:rsidP="00C93C49">
            <w:pPr>
              <w:widowControl w:val="0"/>
              <w:spacing w:line="20" w:lineRule="atLeast"/>
              <w:jc w:val="center"/>
              <w:rPr>
                <w:rFonts w:ascii="Arial" w:eastAsia="Calibri" w:hAnsi="Arial" w:cs="Arial"/>
                <w:snapToGrid w:val="0"/>
              </w:rPr>
            </w:pPr>
            <w:r w:rsidRPr="00C93C49">
              <w:rPr>
                <w:rFonts w:ascii="Arial" w:eastAsia="Calibri" w:hAnsi="Arial" w:cs="Arial"/>
                <w:snapToGrid w:val="0"/>
              </w:rPr>
              <w:t>12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3395F" w14:textId="77777777" w:rsidR="00C93C49" w:rsidRPr="00C93C49" w:rsidRDefault="00C93C49" w:rsidP="00C93C49">
            <w:pPr>
              <w:widowControl w:val="0"/>
              <w:spacing w:line="20" w:lineRule="atLeast"/>
              <w:jc w:val="center"/>
              <w:rPr>
                <w:rFonts w:ascii="Arial" w:eastAsia="Calibri" w:hAnsi="Arial" w:cs="Arial"/>
                <w:snapToGrid w:val="0"/>
              </w:rPr>
            </w:pPr>
            <w:r w:rsidRPr="00C93C49">
              <w:rPr>
                <w:rFonts w:ascii="Arial" w:eastAsia="Calibri" w:hAnsi="Arial" w:cs="Arial"/>
                <w:snapToGrid w:val="0"/>
              </w:rPr>
              <w:t>500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CB6E5" w14:textId="77777777" w:rsidR="00C93C49" w:rsidRPr="00C93C49" w:rsidRDefault="00C93C49" w:rsidP="00C93C49">
            <w:pPr>
              <w:widowControl w:val="0"/>
              <w:spacing w:line="20" w:lineRule="atLeast"/>
              <w:jc w:val="center"/>
              <w:rPr>
                <w:rFonts w:ascii="Arial" w:eastAsia="Calibri" w:hAnsi="Arial" w:cs="Arial"/>
                <w:snapToGrid w:val="0"/>
              </w:rPr>
            </w:pPr>
            <w:r w:rsidRPr="00C93C49">
              <w:rPr>
                <w:rFonts w:ascii="Arial" w:eastAsia="Calibri" w:hAnsi="Arial" w:cs="Arial"/>
                <w:snapToGrid w:val="0"/>
              </w:rPr>
              <w:t>1,851</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150AC" w14:textId="77777777" w:rsidR="00C93C49" w:rsidRPr="00C93C49" w:rsidRDefault="00C93C49" w:rsidP="00C93C49">
            <w:pPr>
              <w:widowControl w:val="0"/>
              <w:spacing w:line="20" w:lineRule="atLeast"/>
              <w:jc w:val="center"/>
              <w:rPr>
                <w:rFonts w:ascii="Arial" w:eastAsia="Calibri" w:hAnsi="Arial" w:cs="Arial"/>
                <w:snapToGrid w:val="0"/>
              </w:rPr>
            </w:pPr>
            <w:r w:rsidRPr="00C93C49">
              <w:rPr>
                <w:rFonts w:ascii="Arial" w:eastAsia="Calibri" w:hAnsi="Arial" w:cs="Arial"/>
                <w:snapToGrid w:val="0"/>
              </w:rPr>
              <w:t>1,379</w:t>
            </w:r>
          </w:p>
        </w:tc>
      </w:tr>
      <w:tr w:rsidR="00C93C49" w:rsidRPr="00C93C49" w14:paraId="4D484A1F" w14:textId="77777777" w:rsidTr="00347614">
        <w:trPr>
          <w:trHeight w:val="20"/>
          <w:jc w:val="center"/>
        </w:trPr>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ADCE0" w14:textId="77777777" w:rsidR="00C93C49" w:rsidRPr="00C93C49" w:rsidRDefault="00C93C49" w:rsidP="00C93C49">
            <w:pPr>
              <w:widowControl w:val="0"/>
              <w:spacing w:line="20" w:lineRule="atLeast"/>
              <w:rPr>
                <w:rFonts w:ascii="Arial" w:eastAsia="Calibri" w:hAnsi="Arial" w:cs="Arial"/>
                <w:b/>
                <w:snapToGrid w:val="0"/>
              </w:rPr>
            </w:pPr>
            <w:r w:rsidRPr="00C93C49">
              <w:rPr>
                <w:rFonts w:ascii="Arial" w:eastAsia="Calibri" w:hAnsi="Arial" w:cs="Arial"/>
                <w:b/>
                <w:snapToGrid w:val="0"/>
              </w:rPr>
              <w:t>Penn Power</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84755" w14:textId="77777777" w:rsidR="00C93C49" w:rsidRPr="00C93C49" w:rsidRDefault="00C93C49" w:rsidP="00C93C49">
            <w:pPr>
              <w:widowControl w:val="0"/>
              <w:spacing w:line="20" w:lineRule="atLeast"/>
              <w:jc w:val="center"/>
              <w:rPr>
                <w:rFonts w:ascii="Arial" w:eastAsia="Calibri" w:hAnsi="Arial" w:cs="Arial"/>
                <w:snapToGrid w:val="0"/>
              </w:rPr>
            </w:pPr>
            <w:r w:rsidRPr="00C93C49">
              <w:rPr>
                <w:rFonts w:ascii="Arial" w:eastAsia="Calibri" w:hAnsi="Arial" w:cs="Arial"/>
                <w:snapToGrid w:val="0"/>
              </w:rPr>
              <w:t xml:space="preserve">    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54612" w14:textId="77777777" w:rsidR="00C93C49" w:rsidRPr="00C93C49" w:rsidRDefault="00C93C49" w:rsidP="00C93C49">
            <w:pPr>
              <w:widowControl w:val="0"/>
              <w:spacing w:line="20" w:lineRule="atLeast"/>
              <w:jc w:val="center"/>
              <w:rPr>
                <w:rFonts w:ascii="Arial" w:eastAsia="Calibri" w:hAnsi="Arial" w:cs="Arial"/>
                <w:snapToGrid w:val="0"/>
              </w:rPr>
            </w:pPr>
            <w:r w:rsidRPr="00C93C49">
              <w:rPr>
                <w:rFonts w:ascii="Arial" w:eastAsia="Calibri" w:hAnsi="Arial" w:cs="Arial"/>
                <w:snapToGrid w:val="0"/>
              </w:rPr>
              <w:t xml:space="preserve">  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DF13E" w14:textId="77777777" w:rsidR="00C93C49" w:rsidRPr="00C93C49" w:rsidRDefault="00C93C49" w:rsidP="00C93C49">
            <w:pPr>
              <w:widowControl w:val="0"/>
              <w:spacing w:line="20" w:lineRule="atLeast"/>
              <w:jc w:val="center"/>
              <w:rPr>
                <w:rFonts w:ascii="Arial" w:eastAsia="Calibri" w:hAnsi="Arial" w:cs="Arial"/>
                <w:snapToGrid w:val="0"/>
              </w:rPr>
            </w:pPr>
            <w:r w:rsidRPr="00C93C49">
              <w:rPr>
                <w:rFonts w:ascii="Arial" w:eastAsia="Calibri" w:hAnsi="Arial" w:cs="Arial"/>
                <w:snapToGrid w:val="0"/>
              </w:rPr>
              <w:t xml:space="preserve">  5</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C93B1" w14:textId="77777777" w:rsidR="00C93C49" w:rsidRPr="00C93C49" w:rsidRDefault="00C93C49" w:rsidP="00C93C49">
            <w:pPr>
              <w:widowControl w:val="0"/>
              <w:spacing w:line="20" w:lineRule="atLeast"/>
              <w:jc w:val="center"/>
              <w:rPr>
                <w:rFonts w:ascii="Arial" w:eastAsia="Calibri" w:hAnsi="Arial" w:cs="Arial"/>
                <w:snapToGrid w:val="0"/>
              </w:rPr>
            </w:pPr>
            <w:r w:rsidRPr="00C93C49">
              <w:rPr>
                <w:rFonts w:ascii="Arial" w:eastAsia="Calibri" w:hAnsi="Arial" w:cs="Arial"/>
                <w:snapToGrid w:val="0"/>
              </w:rPr>
              <w:t>232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AC1AB" w14:textId="77777777" w:rsidR="00C93C49" w:rsidRPr="00C93C49" w:rsidRDefault="00C93C49" w:rsidP="00C93C49">
            <w:pPr>
              <w:widowControl w:val="0"/>
              <w:spacing w:line="20" w:lineRule="atLeast"/>
              <w:jc w:val="center"/>
              <w:rPr>
                <w:rFonts w:ascii="Arial" w:eastAsia="Calibri" w:hAnsi="Arial" w:cs="Arial"/>
                <w:snapToGrid w:val="0"/>
              </w:rPr>
            </w:pPr>
            <w:r w:rsidRPr="00C93C49">
              <w:rPr>
                <w:rFonts w:ascii="Arial" w:eastAsia="Calibri" w:hAnsi="Arial" w:cs="Arial"/>
                <w:snapToGrid w:val="0"/>
              </w:rPr>
              <w:t xml:space="preserve">   274</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4AB31" w14:textId="77777777" w:rsidR="00C93C49" w:rsidRPr="00C93C49" w:rsidRDefault="00C93C49" w:rsidP="00C93C49">
            <w:pPr>
              <w:widowControl w:val="0"/>
              <w:spacing w:line="20" w:lineRule="atLeast"/>
              <w:jc w:val="center"/>
              <w:rPr>
                <w:rFonts w:ascii="Arial" w:eastAsia="Calibri" w:hAnsi="Arial" w:cs="Arial"/>
                <w:snapToGrid w:val="0"/>
              </w:rPr>
            </w:pPr>
            <w:r w:rsidRPr="00C93C49">
              <w:rPr>
                <w:rFonts w:ascii="Arial" w:eastAsia="Calibri" w:hAnsi="Arial" w:cs="Arial"/>
                <w:snapToGrid w:val="0"/>
              </w:rPr>
              <w:t xml:space="preserve">  167</w:t>
            </w:r>
          </w:p>
        </w:tc>
      </w:tr>
      <w:tr w:rsidR="00C93C49" w:rsidRPr="00C93C49" w14:paraId="2A01C328" w14:textId="77777777" w:rsidTr="00347614">
        <w:trPr>
          <w:trHeight w:val="20"/>
          <w:jc w:val="center"/>
        </w:trPr>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06080" w14:textId="77777777" w:rsidR="00C93C49" w:rsidRPr="00C93C49" w:rsidRDefault="00C93C49" w:rsidP="00C93C49">
            <w:pPr>
              <w:widowControl w:val="0"/>
              <w:spacing w:line="20" w:lineRule="atLeast"/>
              <w:rPr>
                <w:rFonts w:ascii="Arial" w:eastAsia="Calibri" w:hAnsi="Arial" w:cs="Arial"/>
                <w:b/>
                <w:snapToGrid w:val="0"/>
              </w:rPr>
            </w:pPr>
            <w:r w:rsidRPr="00C93C49">
              <w:rPr>
                <w:rFonts w:ascii="Arial" w:eastAsia="Calibri" w:hAnsi="Arial" w:cs="Arial"/>
                <w:b/>
                <w:snapToGrid w:val="0"/>
              </w:rPr>
              <w:t>West Penn Power</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2F527" w14:textId="77777777" w:rsidR="00C93C49" w:rsidRPr="00C93C49" w:rsidRDefault="00C93C49" w:rsidP="00C93C49">
            <w:pPr>
              <w:widowControl w:val="0"/>
              <w:spacing w:line="20" w:lineRule="atLeast"/>
              <w:jc w:val="center"/>
              <w:rPr>
                <w:rFonts w:ascii="Arial" w:eastAsia="Calibri" w:hAnsi="Arial" w:cs="Arial"/>
                <w:snapToGrid w:val="0"/>
              </w:rPr>
            </w:pPr>
            <w:r w:rsidRPr="00C93C49">
              <w:rPr>
                <w:rFonts w:ascii="Arial" w:eastAsia="Calibri" w:hAnsi="Arial" w:cs="Arial"/>
                <w:snapToGrid w:val="0"/>
              </w:rPr>
              <w:t xml:space="preserve">  15</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3AD29" w14:textId="77777777" w:rsidR="00C93C49" w:rsidRPr="00C93C49" w:rsidRDefault="00C93C49" w:rsidP="00C93C49">
            <w:pPr>
              <w:widowControl w:val="0"/>
              <w:spacing w:line="20" w:lineRule="atLeast"/>
              <w:jc w:val="center"/>
              <w:rPr>
                <w:rFonts w:ascii="Arial" w:eastAsia="Calibri" w:hAnsi="Arial" w:cs="Arial"/>
                <w:snapToGrid w:val="0"/>
              </w:rPr>
            </w:pPr>
            <w:r w:rsidRPr="00C93C49">
              <w:rPr>
                <w:rFonts w:ascii="Arial" w:eastAsia="Calibri" w:hAnsi="Arial" w:cs="Arial"/>
                <w:snapToGrid w:val="0"/>
              </w:rPr>
              <w:t>15</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6EF7C" w14:textId="77777777" w:rsidR="00C93C49" w:rsidRPr="00C93C49" w:rsidRDefault="00C93C49" w:rsidP="00C93C49">
            <w:pPr>
              <w:widowControl w:val="0"/>
              <w:spacing w:line="20" w:lineRule="atLeast"/>
              <w:jc w:val="center"/>
              <w:rPr>
                <w:rFonts w:ascii="Arial" w:eastAsia="Calibri" w:hAnsi="Arial" w:cs="Arial"/>
                <w:snapToGrid w:val="0"/>
              </w:rPr>
            </w:pPr>
            <w:r w:rsidRPr="00C93C49">
              <w:rPr>
                <w:rFonts w:ascii="Arial" w:eastAsia="Calibri" w:hAnsi="Arial" w:cs="Arial"/>
                <w:snapToGrid w:val="0"/>
              </w:rPr>
              <w:t>14</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E4FF9" w14:textId="77777777" w:rsidR="00C93C49" w:rsidRPr="00C93C49" w:rsidRDefault="00C93C49" w:rsidP="00C93C49">
            <w:pPr>
              <w:widowControl w:val="0"/>
              <w:spacing w:line="20" w:lineRule="atLeast"/>
              <w:jc w:val="center"/>
              <w:rPr>
                <w:rFonts w:ascii="Arial" w:eastAsia="Calibri" w:hAnsi="Arial" w:cs="Arial"/>
                <w:snapToGrid w:val="0"/>
              </w:rPr>
            </w:pPr>
            <w:r w:rsidRPr="00C93C49">
              <w:rPr>
                <w:rFonts w:ascii="Arial" w:eastAsia="Calibri" w:hAnsi="Arial" w:cs="Arial"/>
                <w:snapToGrid w:val="0"/>
              </w:rPr>
              <w:t xml:space="preserve">    3</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EDAD3" w14:textId="77777777" w:rsidR="00C93C49" w:rsidRPr="00C93C49" w:rsidRDefault="00C93C49" w:rsidP="00C93C49">
            <w:pPr>
              <w:widowControl w:val="0"/>
              <w:spacing w:line="20" w:lineRule="atLeast"/>
              <w:jc w:val="center"/>
              <w:rPr>
                <w:rFonts w:ascii="Arial" w:eastAsia="Calibri" w:hAnsi="Arial" w:cs="Arial"/>
                <w:snapToGrid w:val="0"/>
              </w:rPr>
            </w:pPr>
            <w:r w:rsidRPr="00C93C49">
              <w:rPr>
                <w:rFonts w:ascii="Arial" w:eastAsia="Calibri" w:hAnsi="Arial" w:cs="Arial"/>
                <w:snapToGrid w:val="0"/>
              </w:rPr>
              <w:t>2,338</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DA28D" w14:textId="77777777" w:rsidR="00C93C49" w:rsidRPr="00C93C49" w:rsidRDefault="00C93C49" w:rsidP="00C93C49">
            <w:pPr>
              <w:widowControl w:val="0"/>
              <w:spacing w:line="20" w:lineRule="atLeast"/>
              <w:jc w:val="center"/>
              <w:rPr>
                <w:rFonts w:ascii="Arial" w:eastAsia="Calibri" w:hAnsi="Arial" w:cs="Arial"/>
                <w:snapToGrid w:val="0"/>
              </w:rPr>
            </w:pPr>
            <w:r w:rsidRPr="00C93C49">
              <w:rPr>
                <w:rFonts w:ascii="Arial" w:eastAsia="Calibri" w:hAnsi="Arial" w:cs="Arial"/>
                <w:snapToGrid w:val="0"/>
              </w:rPr>
              <w:t>1,580</w:t>
            </w:r>
          </w:p>
        </w:tc>
      </w:tr>
    </w:tbl>
    <w:p w14:paraId="20A89765" w14:textId="77777777" w:rsidR="00C93C49" w:rsidRPr="00C93C49" w:rsidRDefault="00C93C49" w:rsidP="00C93C49">
      <w:pPr>
        <w:widowControl w:val="0"/>
        <w:tabs>
          <w:tab w:val="left" w:pos="720"/>
        </w:tabs>
        <w:spacing w:after="0" w:line="20" w:lineRule="atLeast"/>
        <w:ind w:left="900"/>
        <w:rPr>
          <w:rFonts w:ascii="Arial" w:eastAsia="Calibri" w:hAnsi="Arial" w:cs="Arial"/>
          <w:snapToGrid w:val="0"/>
          <w:sz w:val="24"/>
          <w:szCs w:val="24"/>
        </w:rPr>
      </w:pPr>
      <w:r w:rsidRPr="00C93C49">
        <w:rPr>
          <w:rFonts w:ascii="Arial" w:eastAsia="Calibri" w:hAnsi="Arial" w:cs="Arial"/>
          <w:snapToGrid w:val="0"/>
          <w:sz w:val="18"/>
          <w:szCs w:val="18"/>
        </w:rPr>
        <w:t xml:space="preserve">Source: Exhibit X – 8 from Prior Management Audit </w:t>
      </w:r>
    </w:p>
    <w:p w14:paraId="7EC4CA90" w14:textId="77777777" w:rsidR="00C93C49" w:rsidRPr="00C93C49" w:rsidRDefault="00C93C49" w:rsidP="00C93C49">
      <w:pPr>
        <w:autoSpaceDE w:val="0"/>
        <w:autoSpaceDN w:val="0"/>
        <w:adjustRightInd w:val="0"/>
        <w:spacing w:after="0" w:line="20" w:lineRule="atLeast"/>
        <w:jc w:val="center"/>
        <w:rPr>
          <w:rFonts w:ascii="Arial" w:eastAsia="Times New Roman" w:hAnsi="Arial" w:cs="Arial"/>
          <w:color w:val="000000"/>
          <w:sz w:val="24"/>
          <w:szCs w:val="24"/>
        </w:rPr>
      </w:pPr>
    </w:p>
    <w:p w14:paraId="5E9C0473" w14:textId="77777777" w:rsidR="00C93C49" w:rsidRPr="00C93C49" w:rsidRDefault="00C93C49" w:rsidP="00C93C49">
      <w:pPr>
        <w:widowControl w:val="0"/>
        <w:tabs>
          <w:tab w:val="left" w:pos="720"/>
        </w:tabs>
        <w:spacing w:after="0" w:line="20" w:lineRule="atLeast"/>
        <w:rPr>
          <w:rFonts w:ascii="Arial" w:eastAsia="Calibri" w:hAnsi="Arial" w:cs="Arial"/>
          <w:snapToGrid w:val="0"/>
          <w:sz w:val="24"/>
          <w:szCs w:val="24"/>
        </w:rPr>
      </w:pPr>
      <w:r w:rsidRPr="00C93C49">
        <w:rPr>
          <w:rFonts w:ascii="Arial" w:eastAsia="Calibri" w:hAnsi="Arial" w:cs="Arial"/>
          <w:snapToGrid w:val="0"/>
          <w:sz w:val="24"/>
          <w:szCs w:val="24"/>
        </w:rPr>
        <w:tab/>
        <w:t xml:space="preserve">The Contact Center Department indicated the focus of integrating all the prior Allegheny Energy EDCs, including West Penn Power, into the SAP Customer Care System </w:t>
      </w:r>
      <w:r w:rsidR="00AF57A1">
        <w:rPr>
          <w:rFonts w:ascii="Arial" w:eastAsia="Calibri" w:hAnsi="Arial" w:cs="Arial"/>
          <w:snapToGrid w:val="0"/>
          <w:sz w:val="24"/>
          <w:szCs w:val="24"/>
        </w:rPr>
        <w:t>affect</w:t>
      </w:r>
      <w:r w:rsidR="00AF57A1" w:rsidRPr="00C93C49">
        <w:rPr>
          <w:rFonts w:ascii="Arial" w:eastAsia="Calibri" w:hAnsi="Arial" w:cs="Arial"/>
          <w:snapToGrid w:val="0"/>
          <w:sz w:val="24"/>
          <w:szCs w:val="24"/>
        </w:rPr>
        <w:t xml:space="preserve">ed </w:t>
      </w:r>
      <w:r w:rsidRPr="00C93C49">
        <w:rPr>
          <w:rFonts w:ascii="Arial" w:eastAsia="Calibri" w:hAnsi="Arial" w:cs="Arial"/>
          <w:snapToGrid w:val="0"/>
          <w:sz w:val="24"/>
          <w:szCs w:val="24"/>
        </w:rPr>
        <w:t>the timely completion of residential disputes.  Integration began in March 2011 and was completed in April 2012.  CSRs were cross</w:t>
      </w:r>
      <w:r w:rsidR="0073368F">
        <w:rPr>
          <w:rFonts w:ascii="Arial" w:eastAsia="Calibri" w:hAnsi="Arial" w:cs="Arial"/>
          <w:snapToGrid w:val="0"/>
          <w:sz w:val="24"/>
          <w:szCs w:val="24"/>
        </w:rPr>
        <w:t>-</w:t>
      </w:r>
      <w:r w:rsidRPr="00C93C49">
        <w:rPr>
          <w:rFonts w:ascii="Arial" w:eastAsia="Calibri" w:hAnsi="Arial" w:cs="Arial"/>
          <w:snapToGrid w:val="0"/>
          <w:sz w:val="24"/>
          <w:szCs w:val="24"/>
        </w:rPr>
        <w:t xml:space="preserve">trained to handle West Penn Power customer calls and related inquiries, including the completion of reports for open disputes.  The reasons for the delay in response to disputes include higher than anticipated attrition (see CSR turnover levels addressed in Finding and Conclusion No.4), increased average handle times (AHT) due to CIS system integration issues, and resource allocations to respond to the major storm events in 2011 and 2012 (see Finding and Conclusion No. 4).  Improvements in the Contact Center operations were made by year-end 2012 in which AHTs were lowered resulting in more time to complete the residential disputes.  Despite these changes, the </w:t>
      </w:r>
      <w:r w:rsidR="00DC3D9B">
        <w:rPr>
          <w:rFonts w:ascii="Arial" w:eastAsia="Calibri" w:hAnsi="Arial" w:cs="Arial"/>
          <w:snapToGrid w:val="0"/>
          <w:sz w:val="24"/>
          <w:szCs w:val="24"/>
        </w:rPr>
        <w:t>FE-PA companies</w:t>
      </w:r>
      <w:r w:rsidRPr="00C93C49">
        <w:rPr>
          <w:rFonts w:ascii="Arial" w:eastAsia="Calibri" w:hAnsi="Arial" w:cs="Arial"/>
          <w:snapToGrid w:val="0"/>
          <w:sz w:val="24"/>
          <w:szCs w:val="24"/>
        </w:rPr>
        <w:t xml:space="preserve"> were not in compliance with § 56.151(5).</w:t>
      </w:r>
    </w:p>
    <w:p w14:paraId="22639FA6" w14:textId="77777777" w:rsidR="00C93C49" w:rsidRPr="00C93C49" w:rsidRDefault="00C93C49" w:rsidP="00C93C49">
      <w:pPr>
        <w:spacing w:after="0" w:line="20" w:lineRule="atLeast"/>
        <w:contextualSpacing/>
        <w:rPr>
          <w:rFonts w:ascii="Arial" w:eastAsia="Times New Roman" w:hAnsi="Arial" w:cs="Times New Roman"/>
          <w:b/>
          <w:sz w:val="24"/>
          <w:szCs w:val="24"/>
          <w:u w:val="single"/>
        </w:rPr>
      </w:pPr>
    </w:p>
    <w:p w14:paraId="62F05E0C" w14:textId="77777777" w:rsidR="00C93C49" w:rsidRPr="00C93C49" w:rsidRDefault="00C93C49" w:rsidP="00C93C49">
      <w:pPr>
        <w:spacing w:after="0" w:line="20" w:lineRule="atLeast"/>
        <w:contextualSpacing/>
        <w:rPr>
          <w:rFonts w:ascii="Arial" w:eastAsia="Times New Roman" w:hAnsi="Arial" w:cs="Times New Roman"/>
          <w:bCs/>
          <w:sz w:val="24"/>
          <w:szCs w:val="24"/>
        </w:rPr>
      </w:pPr>
      <w:r w:rsidRPr="00C93C49">
        <w:rPr>
          <w:rFonts w:ascii="Arial" w:eastAsia="Times New Roman" w:hAnsi="Arial" w:cs="Times New Roman"/>
          <w:b/>
          <w:sz w:val="24"/>
          <w:szCs w:val="24"/>
          <w:u w:val="single"/>
        </w:rPr>
        <w:t>Prior Recommendation</w:t>
      </w:r>
      <w:r w:rsidRPr="00C93C49">
        <w:rPr>
          <w:rFonts w:ascii="Arial" w:eastAsia="Times New Roman" w:hAnsi="Arial" w:cs="Times New Roman"/>
          <w:sz w:val="24"/>
          <w:szCs w:val="24"/>
        </w:rPr>
        <w:t xml:space="preserve"> – </w:t>
      </w:r>
      <w:r w:rsidRPr="00C93C49">
        <w:rPr>
          <w:rFonts w:ascii="Arial" w:eastAsia="Times New Roman" w:hAnsi="Arial" w:cs="Times New Roman"/>
          <w:bCs/>
          <w:sz w:val="24"/>
          <w:szCs w:val="24"/>
        </w:rPr>
        <w:t>Initiate measures to eliminate or substantially reduce the frequency of residential disputes that are not responded to in 30 days as required by</w:t>
      </w:r>
    </w:p>
    <w:p w14:paraId="3A54DBC9" w14:textId="77777777" w:rsidR="00C93C49" w:rsidRPr="00C93C49" w:rsidRDefault="00C93C49" w:rsidP="00C93C49">
      <w:pPr>
        <w:spacing w:after="0" w:line="20" w:lineRule="atLeast"/>
        <w:contextualSpacing/>
        <w:rPr>
          <w:rFonts w:ascii="Arial" w:eastAsia="Times New Roman" w:hAnsi="Arial" w:cs="Times New Roman"/>
          <w:bCs/>
          <w:sz w:val="24"/>
          <w:szCs w:val="24"/>
        </w:rPr>
      </w:pPr>
      <w:r w:rsidRPr="00C93C49">
        <w:rPr>
          <w:rFonts w:ascii="Arial" w:eastAsia="Times New Roman" w:hAnsi="Arial" w:cs="Times New Roman"/>
          <w:bCs/>
          <w:sz w:val="24"/>
          <w:szCs w:val="24"/>
        </w:rPr>
        <w:t>PUC regulations.</w:t>
      </w:r>
    </w:p>
    <w:p w14:paraId="6480774C" w14:textId="77777777" w:rsidR="00C93C49" w:rsidRPr="00C93C49" w:rsidRDefault="00C93C49" w:rsidP="00C93C49">
      <w:pPr>
        <w:spacing w:after="0" w:line="20" w:lineRule="atLeast"/>
        <w:contextualSpacing/>
        <w:rPr>
          <w:rFonts w:ascii="Arial" w:hAnsi="Arial" w:cs="Arial"/>
          <w:sz w:val="24"/>
          <w:szCs w:val="24"/>
        </w:rPr>
      </w:pPr>
    </w:p>
    <w:p w14:paraId="2F6D912D" w14:textId="77777777" w:rsidR="00C93C49" w:rsidRPr="00C93C49" w:rsidRDefault="00C93C49" w:rsidP="00C93C49">
      <w:pPr>
        <w:spacing w:after="0" w:line="20" w:lineRule="atLeast"/>
        <w:contextualSpacing/>
        <w:rPr>
          <w:rFonts w:ascii="Arial" w:eastAsia="Times New Roman" w:hAnsi="Arial" w:cs="Arial"/>
          <w:b/>
          <w:snapToGrid w:val="0"/>
          <w:sz w:val="24"/>
          <w:szCs w:val="20"/>
        </w:rPr>
      </w:pPr>
      <w:r w:rsidRPr="00C93C49">
        <w:rPr>
          <w:rFonts w:ascii="Arial" w:eastAsia="Times New Roman" w:hAnsi="Arial" w:cs="Times New Roman"/>
          <w:b/>
          <w:sz w:val="24"/>
          <w:szCs w:val="24"/>
          <w:u w:val="single"/>
        </w:rPr>
        <w:t>Follow-up Finding and Conclusion No. X-5</w:t>
      </w:r>
      <w:r w:rsidRPr="00C93C49">
        <w:rPr>
          <w:rFonts w:ascii="Arial" w:eastAsia="Times New Roman" w:hAnsi="Arial" w:cs="Times New Roman"/>
          <w:b/>
          <w:sz w:val="24"/>
          <w:szCs w:val="24"/>
        </w:rPr>
        <w:t xml:space="preserve"> – </w:t>
      </w:r>
      <w:r w:rsidRPr="00C93C49">
        <w:rPr>
          <w:rFonts w:ascii="Arial" w:eastAsia="Times New Roman" w:hAnsi="Arial" w:cs="Arial"/>
          <w:b/>
          <w:snapToGrid w:val="0"/>
          <w:sz w:val="24"/>
          <w:szCs w:val="20"/>
        </w:rPr>
        <w:t xml:space="preserve">Residential disputes with a response time greater than 30 days have been reduced to zero at all the </w:t>
      </w:r>
      <w:r w:rsidR="00DC3D9B">
        <w:rPr>
          <w:rFonts w:ascii="Arial" w:eastAsia="Times New Roman" w:hAnsi="Arial" w:cs="Arial"/>
          <w:b/>
          <w:snapToGrid w:val="0"/>
          <w:sz w:val="24"/>
          <w:szCs w:val="20"/>
        </w:rPr>
        <w:t>FE-PA companies</w:t>
      </w:r>
      <w:r w:rsidRPr="00C93C49">
        <w:rPr>
          <w:rFonts w:ascii="Arial" w:eastAsia="Times New Roman" w:hAnsi="Arial" w:cs="Arial"/>
          <w:b/>
          <w:snapToGrid w:val="0"/>
          <w:sz w:val="24"/>
          <w:szCs w:val="20"/>
        </w:rPr>
        <w:t>.</w:t>
      </w:r>
    </w:p>
    <w:p w14:paraId="19673AC6" w14:textId="77777777" w:rsidR="00C93C49" w:rsidRPr="00C93C49" w:rsidRDefault="00C93C49" w:rsidP="00C93C49">
      <w:pPr>
        <w:spacing w:after="0" w:line="20" w:lineRule="atLeast"/>
        <w:contextualSpacing/>
        <w:rPr>
          <w:rFonts w:ascii="Arial" w:eastAsia="Times New Roman" w:hAnsi="Arial" w:cs="Arial"/>
          <w:b/>
          <w:snapToGrid w:val="0"/>
          <w:sz w:val="24"/>
          <w:szCs w:val="20"/>
        </w:rPr>
      </w:pPr>
    </w:p>
    <w:p w14:paraId="28468616" w14:textId="77777777" w:rsidR="00C93C49" w:rsidRPr="00C93C49" w:rsidRDefault="00C93C49" w:rsidP="00C93C49">
      <w:pPr>
        <w:widowControl w:val="0"/>
        <w:spacing w:after="0" w:line="20" w:lineRule="atLeast"/>
        <w:rPr>
          <w:rFonts w:ascii="Arial" w:eastAsia="Times New Roman" w:hAnsi="Arial" w:cs="Arial"/>
          <w:snapToGrid w:val="0"/>
          <w:sz w:val="24"/>
          <w:szCs w:val="20"/>
        </w:rPr>
      </w:pPr>
      <w:r w:rsidRPr="00C93C49">
        <w:rPr>
          <w:rFonts w:ascii="Arial" w:eastAsia="Times New Roman" w:hAnsi="Arial" w:cs="Arial"/>
          <w:b/>
          <w:snapToGrid w:val="0"/>
          <w:sz w:val="24"/>
          <w:szCs w:val="20"/>
          <w:u w:val="single"/>
        </w:rPr>
        <w:t>Current Review</w:t>
      </w:r>
      <w:r w:rsidRPr="00C93C49">
        <w:rPr>
          <w:rFonts w:ascii="Arial" w:eastAsia="Times New Roman" w:hAnsi="Arial" w:cs="Arial"/>
          <w:snapToGrid w:val="0"/>
          <w:sz w:val="24"/>
          <w:szCs w:val="20"/>
        </w:rPr>
        <w:t xml:space="preserve"> – As shown in Exhibit X-14, </w:t>
      </w:r>
      <w:r w:rsidR="0073368F">
        <w:rPr>
          <w:rFonts w:ascii="Arial" w:eastAsia="Times New Roman" w:hAnsi="Arial" w:cs="Arial"/>
          <w:snapToGrid w:val="0"/>
          <w:sz w:val="24"/>
          <w:szCs w:val="20"/>
        </w:rPr>
        <w:t xml:space="preserve">in 2016, </w:t>
      </w:r>
      <w:r w:rsidRPr="00C93C49">
        <w:rPr>
          <w:rFonts w:ascii="Arial" w:eastAsia="Times New Roman" w:hAnsi="Arial" w:cs="Arial"/>
          <w:snapToGrid w:val="0"/>
          <w:sz w:val="24"/>
          <w:szCs w:val="20"/>
        </w:rPr>
        <w:t xml:space="preserve">the </w:t>
      </w:r>
      <w:r w:rsidR="00DC3D9B">
        <w:rPr>
          <w:rFonts w:ascii="Arial" w:eastAsia="Times New Roman" w:hAnsi="Arial" w:cs="Arial"/>
          <w:snapToGrid w:val="0"/>
          <w:sz w:val="24"/>
          <w:szCs w:val="20"/>
        </w:rPr>
        <w:t>FE-PA companies</w:t>
      </w:r>
      <w:r w:rsidRPr="00C93C49">
        <w:rPr>
          <w:rFonts w:ascii="Arial" w:eastAsia="Times New Roman" w:hAnsi="Arial" w:cs="Arial"/>
          <w:snapToGrid w:val="0"/>
          <w:sz w:val="24"/>
          <w:szCs w:val="20"/>
        </w:rPr>
        <w:t xml:space="preserve"> eliminated</w:t>
      </w:r>
      <w:r w:rsidR="0073368F">
        <w:rPr>
          <w:rFonts w:ascii="Arial" w:eastAsia="Times New Roman" w:hAnsi="Arial" w:cs="Arial"/>
          <w:snapToGrid w:val="0"/>
          <w:sz w:val="24"/>
          <w:szCs w:val="20"/>
        </w:rPr>
        <w:t xml:space="preserve"> </w:t>
      </w:r>
      <w:r w:rsidRPr="00C93C49">
        <w:rPr>
          <w:rFonts w:ascii="Arial" w:eastAsia="Times New Roman" w:hAnsi="Arial" w:cs="Arial"/>
          <w:snapToGrid w:val="0"/>
          <w:sz w:val="24"/>
          <w:szCs w:val="20"/>
        </w:rPr>
        <w:t xml:space="preserve">residential disputes with a response time greater than 30 days, and therefore, </w:t>
      </w:r>
      <w:r w:rsidRPr="00C93C49">
        <w:rPr>
          <w:rFonts w:ascii="Arial" w:eastAsia="Times New Roman" w:hAnsi="Arial" w:cs="Arial"/>
          <w:snapToGrid w:val="0"/>
          <w:sz w:val="24"/>
          <w:szCs w:val="24"/>
        </w:rPr>
        <w:t xml:space="preserve">are in compliance with </w:t>
      </w:r>
      <w:r w:rsidRPr="00C93C49">
        <w:rPr>
          <w:rFonts w:ascii="Arial" w:eastAsia="Times New Roman" w:hAnsi="Arial" w:cs="Arial"/>
          <w:color w:val="000000"/>
          <w:sz w:val="24"/>
          <w:szCs w:val="24"/>
        </w:rPr>
        <w:t>§ 56.151(5).</w:t>
      </w:r>
      <w:r w:rsidRPr="00C93C49">
        <w:rPr>
          <w:rFonts w:ascii="Arial" w:eastAsia="Times New Roman" w:hAnsi="Arial" w:cs="Arial"/>
          <w:snapToGrid w:val="0"/>
          <w:sz w:val="24"/>
          <w:szCs w:val="20"/>
        </w:rPr>
        <w:t xml:space="preserve"> To address specific performance objectives and other regulatory requirements, the </w:t>
      </w:r>
      <w:r w:rsidR="00DC3D9B">
        <w:rPr>
          <w:rFonts w:ascii="Arial" w:eastAsia="Times New Roman" w:hAnsi="Arial" w:cs="Arial"/>
          <w:snapToGrid w:val="0"/>
          <w:sz w:val="24"/>
          <w:szCs w:val="20"/>
        </w:rPr>
        <w:t>companies</w:t>
      </w:r>
      <w:r w:rsidRPr="00C93C49">
        <w:rPr>
          <w:rFonts w:ascii="Arial" w:eastAsia="Times New Roman" w:hAnsi="Arial" w:cs="Arial"/>
          <w:snapToGrid w:val="0"/>
          <w:sz w:val="24"/>
          <w:szCs w:val="20"/>
        </w:rPr>
        <w:t xml:space="preserve"> created Pennsylvania Management Reports (PMRs) in 2015 which were to be reviewed in conjunction with the ELT Reports.  Based on the various stages of development of the PMRs, they </w:t>
      </w:r>
      <w:r w:rsidR="0073368F" w:rsidRPr="00C93C49">
        <w:rPr>
          <w:rFonts w:ascii="Arial" w:eastAsia="Times New Roman" w:hAnsi="Arial" w:cs="Arial"/>
          <w:snapToGrid w:val="0"/>
          <w:sz w:val="24"/>
          <w:szCs w:val="20"/>
        </w:rPr>
        <w:t>began</w:t>
      </w:r>
      <w:r w:rsidRPr="00C93C49">
        <w:rPr>
          <w:rFonts w:ascii="Arial" w:eastAsia="Times New Roman" w:hAnsi="Arial" w:cs="Arial"/>
          <w:snapToGrid w:val="0"/>
          <w:sz w:val="24"/>
          <w:szCs w:val="20"/>
        </w:rPr>
        <w:t xml:space="preserve"> at different times.  A Residential Customer Disputes report became available during July 2015 that provides a daily status of each dispute and categorizes them into work types.  In the report, the day ranges allow for easier visibility when a dispute is moving close to the 21 days or greater point and allows management to focus resources on resolution activities.  </w:t>
      </w:r>
    </w:p>
    <w:p w14:paraId="3492D0C3"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0"/>
        </w:rPr>
      </w:pPr>
    </w:p>
    <w:p w14:paraId="7F5F8959"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0"/>
        </w:rPr>
      </w:pPr>
    </w:p>
    <w:p w14:paraId="0F252A99" w14:textId="77777777" w:rsidR="00C93C49" w:rsidRPr="00C93C49" w:rsidRDefault="00C93C49" w:rsidP="00C93C49">
      <w:pPr>
        <w:widowControl w:val="0"/>
        <w:spacing w:after="0" w:line="20" w:lineRule="atLeast"/>
        <w:jc w:val="center"/>
        <w:rPr>
          <w:rFonts w:ascii="Arial" w:eastAsia="Times New Roman" w:hAnsi="Arial" w:cs="Arial"/>
          <w:b/>
          <w:sz w:val="24"/>
          <w:szCs w:val="20"/>
        </w:rPr>
      </w:pPr>
      <w:r w:rsidRPr="00C93C49">
        <w:rPr>
          <w:rFonts w:ascii="Arial" w:eastAsia="Times New Roman" w:hAnsi="Arial" w:cs="Arial"/>
          <w:b/>
          <w:snapToGrid w:val="0"/>
          <w:sz w:val="24"/>
          <w:szCs w:val="20"/>
        </w:rPr>
        <w:t xml:space="preserve">Exhibit X – 14 </w:t>
      </w:r>
    </w:p>
    <w:p w14:paraId="1FDFEE73"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0"/>
        </w:rPr>
      </w:pPr>
      <w:r w:rsidRPr="00C93C49">
        <w:rPr>
          <w:rFonts w:ascii="Arial" w:eastAsia="Calibri" w:hAnsi="Arial" w:cs="Arial"/>
          <w:b/>
          <w:sz w:val="24"/>
          <w:szCs w:val="24"/>
        </w:rPr>
        <w:t>FirstEnergy Pennsylvania Companies</w:t>
      </w:r>
      <w:r w:rsidRPr="00C93C49">
        <w:rPr>
          <w:rFonts w:ascii="Arial" w:eastAsia="Times New Roman" w:hAnsi="Arial" w:cs="Arial"/>
          <w:b/>
          <w:snapToGrid w:val="0"/>
          <w:sz w:val="24"/>
          <w:szCs w:val="20"/>
        </w:rPr>
        <w:t xml:space="preserve"> </w:t>
      </w:r>
      <w:r w:rsidRPr="00C93C49">
        <w:rPr>
          <w:rFonts w:ascii="Arial" w:eastAsia="Calibri" w:hAnsi="Arial" w:cs="Arial"/>
          <w:b/>
          <w:snapToGrid w:val="0"/>
          <w:sz w:val="24"/>
          <w:szCs w:val="24"/>
        </w:rPr>
        <w:t>vs. Panel Average</w:t>
      </w:r>
      <w:r w:rsidRPr="00C93C49">
        <w:rPr>
          <w:rFonts w:ascii="Arial" w:eastAsia="Times New Roman" w:hAnsi="Arial" w:cs="Arial"/>
          <w:b/>
          <w:snapToGrid w:val="0"/>
          <w:sz w:val="24"/>
          <w:szCs w:val="20"/>
        </w:rPr>
        <w:t xml:space="preserve"> </w:t>
      </w:r>
    </w:p>
    <w:p w14:paraId="6CCB7476"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Residential Disputes with a Response Time Greater Than 30 Days</w:t>
      </w:r>
    </w:p>
    <w:p w14:paraId="543FC608"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For the Years 2014 through 2016</w:t>
      </w:r>
    </w:p>
    <w:p w14:paraId="2D9D01CA" w14:textId="77777777" w:rsidR="00C93C49" w:rsidRPr="00C93C49" w:rsidRDefault="00C93C49" w:rsidP="00C93C49">
      <w:pPr>
        <w:widowControl w:val="0"/>
        <w:spacing w:after="0" w:line="20" w:lineRule="atLeast"/>
        <w:rPr>
          <w:rFonts w:ascii="Arial" w:eastAsia="Times New Roman" w:hAnsi="Arial" w:cs="Arial"/>
          <w:snapToGrid w:val="0"/>
          <w:sz w:val="8"/>
          <w:szCs w:val="8"/>
        </w:rPr>
      </w:pPr>
    </w:p>
    <w:tbl>
      <w:tblPr>
        <w:tblW w:w="6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1333"/>
        <w:gridCol w:w="1333"/>
        <w:gridCol w:w="1333"/>
      </w:tblGrid>
      <w:tr w:rsidR="00C93C49" w:rsidRPr="00C93C49" w14:paraId="507956ED" w14:textId="77777777" w:rsidTr="00347614">
        <w:trPr>
          <w:trHeight w:val="20"/>
          <w:jc w:val="center"/>
        </w:trPr>
        <w:tc>
          <w:tcPr>
            <w:tcW w:w="2296" w:type="dxa"/>
            <w:shd w:val="clear" w:color="auto" w:fill="auto"/>
            <w:noWrap/>
            <w:vAlign w:val="bottom"/>
            <w:hideMark/>
          </w:tcPr>
          <w:p w14:paraId="7B5A76E6" w14:textId="77777777" w:rsidR="00C93C49" w:rsidRPr="00C93C49" w:rsidRDefault="00C93C49" w:rsidP="00C93C49">
            <w:pPr>
              <w:spacing w:after="0" w:line="20" w:lineRule="atLeast"/>
              <w:jc w:val="center"/>
              <w:rPr>
                <w:rFonts w:ascii="Arial" w:eastAsia="Times New Roman" w:hAnsi="Arial" w:cs="Arial"/>
              </w:rPr>
            </w:pPr>
          </w:p>
        </w:tc>
        <w:tc>
          <w:tcPr>
            <w:tcW w:w="1333" w:type="dxa"/>
            <w:shd w:val="clear" w:color="auto" w:fill="auto"/>
            <w:noWrap/>
            <w:vAlign w:val="bottom"/>
            <w:hideMark/>
          </w:tcPr>
          <w:p w14:paraId="5890518F" w14:textId="77777777" w:rsidR="00C93C49" w:rsidRPr="00C93C49" w:rsidRDefault="00C93C49" w:rsidP="00C93C49">
            <w:pPr>
              <w:spacing w:after="0" w:line="20" w:lineRule="atLeast"/>
              <w:jc w:val="center"/>
              <w:rPr>
                <w:rFonts w:ascii="Arial" w:eastAsia="Times New Roman" w:hAnsi="Arial" w:cs="Arial"/>
                <w:b/>
                <w:color w:val="000000"/>
              </w:rPr>
            </w:pPr>
            <w:r w:rsidRPr="00C93C49">
              <w:rPr>
                <w:rFonts w:ascii="Arial" w:eastAsia="Times New Roman" w:hAnsi="Arial" w:cs="Arial"/>
                <w:b/>
                <w:color w:val="000000"/>
              </w:rPr>
              <w:t>2014</w:t>
            </w:r>
          </w:p>
        </w:tc>
        <w:tc>
          <w:tcPr>
            <w:tcW w:w="1333" w:type="dxa"/>
            <w:shd w:val="clear" w:color="auto" w:fill="auto"/>
            <w:noWrap/>
            <w:vAlign w:val="bottom"/>
            <w:hideMark/>
          </w:tcPr>
          <w:p w14:paraId="3395CC77" w14:textId="77777777" w:rsidR="00C93C49" w:rsidRPr="00C93C49" w:rsidRDefault="00C93C49" w:rsidP="00C93C49">
            <w:pPr>
              <w:spacing w:after="0" w:line="20" w:lineRule="atLeast"/>
              <w:jc w:val="center"/>
              <w:rPr>
                <w:rFonts w:ascii="Arial" w:eastAsia="Times New Roman" w:hAnsi="Arial" w:cs="Arial"/>
                <w:b/>
                <w:color w:val="000000"/>
              </w:rPr>
            </w:pPr>
            <w:r w:rsidRPr="00C93C49">
              <w:rPr>
                <w:rFonts w:ascii="Arial" w:eastAsia="Times New Roman" w:hAnsi="Arial" w:cs="Arial"/>
                <w:b/>
                <w:color w:val="000000"/>
              </w:rPr>
              <w:t>2015</w:t>
            </w:r>
          </w:p>
        </w:tc>
        <w:tc>
          <w:tcPr>
            <w:tcW w:w="1333" w:type="dxa"/>
            <w:shd w:val="clear" w:color="auto" w:fill="auto"/>
            <w:noWrap/>
            <w:vAlign w:val="bottom"/>
            <w:hideMark/>
          </w:tcPr>
          <w:p w14:paraId="14D1D231" w14:textId="77777777" w:rsidR="00C93C49" w:rsidRPr="00C93C49" w:rsidRDefault="00C93C49" w:rsidP="00C93C49">
            <w:pPr>
              <w:spacing w:after="0" w:line="20" w:lineRule="atLeast"/>
              <w:jc w:val="center"/>
              <w:rPr>
                <w:rFonts w:ascii="Arial" w:eastAsia="Times New Roman" w:hAnsi="Arial" w:cs="Arial"/>
                <w:b/>
                <w:color w:val="000000"/>
              </w:rPr>
            </w:pPr>
            <w:r w:rsidRPr="00C93C49">
              <w:rPr>
                <w:rFonts w:ascii="Arial" w:eastAsia="Times New Roman" w:hAnsi="Arial" w:cs="Arial"/>
                <w:b/>
                <w:color w:val="000000"/>
              </w:rPr>
              <w:t>2016</w:t>
            </w:r>
          </w:p>
        </w:tc>
      </w:tr>
      <w:tr w:rsidR="00C93C49" w:rsidRPr="00C93C49" w14:paraId="2E5BCBAE" w14:textId="77777777" w:rsidTr="00347614">
        <w:trPr>
          <w:trHeight w:val="20"/>
          <w:jc w:val="center"/>
        </w:trPr>
        <w:tc>
          <w:tcPr>
            <w:tcW w:w="2296" w:type="dxa"/>
            <w:shd w:val="clear" w:color="auto" w:fill="auto"/>
            <w:noWrap/>
            <w:vAlign w:val="bottom"/>
            <w:hideMark/>
          </w:tcPr>
          <w:p w14:paraId="5A08939E" w14:textId="77777777" w:rsidR="00C93C49" w:rsidRPr="00C93C49" w:rsidRDefault="00C93C49" w:rsidP="00C93C49">
            <w:pPr>
              <w:spacing w:after="0" w:line="20" w:lineRule="atLeast"/>
              <w:rPr>
                <w:rFonts w:ascii="Arial" w:eastAsia="Times New Roman" w:hAnsi="Arial" w:cs="Arial"/>
                <w:b/>
                <w:color w:val="000000"/>
              </w:rPr>
            </w:pPr>
            <w:r w:rsidRPr="00C93C49">
              <w:rPr>
                <w:rFonts w:ascii="Arial" w:eastAsia="Times New Roman" w:hAnsi="Arial" w:cs="Arial"/>
                <w:b/>
                <w:color w:val="000000"/>
              </w:rPr>
              <w:t>Duquesne</w:t>
            </w:r>
          </w:p>
        </w:tc>
        <w:tc>
          <w:tcPr>
            <w:tcW w:w="1333" w:type="dxa"/>
            <w:shd w:val="clear" w:color="auto" w:fill="auto"/>
            <w:noWrap/>
            <w:vAlign w:val="bottom"/>
            <w:hideMark/>
          </w:tcPr>
          <w:p w14:paraId="16140638" w14:textId="77777777" w:rsidR="00C93C49" w:rsidRPr="00C93C49" w:rsidRDefault="00C93C49" w:rsidP="00C93C49">
            <w:pPr>
              <w:spacing w:after="0" w:line="20" w:lineRule="atLeast"/>
              <w:jc w:val="right"/>
              <w:rPr>
                <w:rFonts w:ascii="Arial" w:eastAsia="Times New Roman" w:hAnsi="Arial" w:cs="Arial"/>
                <w:color w:val="000000"/>
              </w:rPr>
            </w:pPr>
            <w:r w:rsidRPr="00C93C49">
              <w:rPr>
                <w:rFonts w:ascii="Arial" w:eastAsia="Times New Roman" w:hAnsi="Arial" w:cs="Arial"/>
                <w:color w:val="000000"/>
              </w:rPr>
              <w:t>39</w:t>
            </w:r>
          </w:p>
        </w:tc>
        <w:tc>
          <w:tcPr>
            <w:tcW w:w="1333" w:type="dxa"/>
            <w:shd w:val="clear" w:color="auto" w:fill="auto"/>
            <w:noWrap/>
            <w:vAlign w:val="bottom"/>
            <w:hideMark/>
          </w:tcPr>
          <w:p w14:paraId="193F4273" w14:textId="77777777" w:rsidR="00C93C49" w:rsidRPr="00C93C49" w:rsidRDefault="00C93C49" w:rsidP="00C93C49">
            <w:pPr>
              <w:spacing w:after="0" w:line="20" w:lineRule="atLeast"/>
              <w:jc w:val="right"/>
              <w:rPr>
                <w:rFonts w:ascii="Arial" w:eastAsia="Times New Roman" w:hAnsi="Arial" w:cs="Arial"/>
                <w:color w:val="000000"/>
              </w:rPr>
            </w:pPr>
            <w:r w:rsidRPr="00C93C49">
              <w:rPr>
                <w:rFonts w:ascii="Arial" w:eastAsia="Times New Roman" w:hAnsi="Arial" w:cs="Arial"/>
                <w:color w:val="000000"/>
              </w:rPr>
              <w:t>56</w:t>
            </w:r>
          </w:p>
        </w:tc>
        <w:tc>
          <w:tcPr>
            <w:tcW w:w="1333" w:type="dxa"/>
            <w:shd w:val="clear" w:color="auto" w:fill="auto"/>
            <w:noWrap/>
            <w:vAlign w:val="bottom"/>
            <w:hideMark/>
          </w:tcPr>
          <w:p w14:paraId="2AE500C8" w14:textId="77777777" w:rsidR="00C93C49" w:rsidRPr="00C93C49" w:rsidRDefault="00C93C49" w:rsidP="00C93C49">
            <w:pPr>
              <w:spacing w:after="0" w:line="20" w:lineRule="atLeast"/>
              <w:jc w:val="right"/>
              <w:rPr>
                <w:rFonts w:ascii="Arial" w:eastAsia="Times New Roman" w:hAnsi="Arial" w:cs="Arial"/>
                <w:color w:val="000000"/>
              </w:rPr>
            </w:pPr>
            <w:r w:rsidRPr="00C93C49">
              <w:rPr>
                <w:rFonts w:ascii="Arial" w:eastAsia="Times New Roman" w:hAnsi="Arial" w:cs="Arial"/>
                <w:color w:val="000000"/>
              </w:rPr>
              <w:t>57</w:t>
            </w:r>
          </w:p>
        </w:tc>
      </w:tr>
      <w:tr w:rsidR="00C93C49" w:rsidRPr="00C93C49" w14:paraId="4BEB5018" w14:textId="77777777" w:rsidTr="00347614">
        <w:trPr>
          <w:trHeight w:val="20"/>
          <w:jc w:val="center"/>
        </w:trPr>
        <w:tc>
          <w:tcPr>
            <w:tcW w:w="2296" w:type="dxa"/>
            <w:shd w:val="clear" w:color="auto" w:fill="auto"/>
            <w:noWrap/>
            <w:vAlign w:val="bottom"/>
            <w:hideMark/>
          </w:tcPr>
          <w:p w14:paraId="12A18F95" w14:textId="77777777" w:rsidR="00C93C49" w:rsidRPr="00C93C49" w:rsidRDefault="00C93C49" w:rsidP="00C93C49">
            <w:pPr>
              <w:spacing w:after="0" w:line="20" w:lineRule="atLeast"/>
              <w:rPr>
                <w:rFonts w:ascii="Arial" w:eastAsia="Times New Roman" w:hAnsi="Arial" w:cs="Arial"/>
                <w:b/>
                <w:color w:val="000000"/>
              </w:rPr>
            </w:pPr>
            <w:r w:rsidRPr="00C93C49">
              <w:rPr>
                <w:rFonts w:ascii="Arial" w:eastAsia="Times New Roman" w:hAnsi="Arial" w:cs="Arial"/>
                <w:b/>
                <w:color w:val="000000"/>
              </w:rPr>
              <w:t>PPL</w:t>
            </w:r>
          </w:p>
        </w:tc>
        <w:tc>
          <w:tcPr>
            <w:tcW w:w="1333" w:type="dxa"/>
            <w:shd w:val="clear" w:color="auto" w:fill="auto"/>
            <w:noWrap/>
            <w:vAlign w:val="bottom"/>
            <w:hideMark/>
          </w:tcPr>
          <w:p w14:paraId="5B0DF189" w14:textId="77777777" w:rsidR="00C93C49" w:rsidRPr="00C93C49" w:rsidRDefault="00C93C49" w:rsidP="00C93C49">
            <w:pPr>
              <w:spacing w:after="0" w:line="20" w:lineRule="atLeast"/>
              <w:jc w:val="right"/>
              <w:rPr>
                <w:rFonts w:ascii="Arial" w:eastAsia="Times New Roman" w:hAnsi="Arial" w:cs="Arial"/>
                <w:color w:val="000000"/>
              </w:rPr>
            </w:pPr>
            <w:r w:rsidRPr="00C93C49">
              <w:rPr>
                <w:rFonts w:ascii="Arial" w:eastAsia="Times New Roman" w:hAnsi="Arial" w:cs="Arial"/>
                <w:color w:val="000000"/>
              </w:rPr>
              <w:t>72</w:t>
            </w:r>
          </w:p>
        </w:tc>
        <w:tc>
          <w:tcPr>
            <w:tcW w:w="1333" w:type="dxa"/>
            <w:shd w:val="clear" w:color="auto" w:fill="auto"/>
            <w:noWrap/>
            <w:vAlign w:val="bottom"/>
            <w:hideMark/>
          </w:tcPr>
          <w:p w14:paraId="40F80DA1" w14:textId="77777777" w:rsidR="00C93C49" w:rsidRPr="00C93C49" w:rsidRDefault="00C93C49" w:rsidP="00C93C49">
            <w:pPr>
              <w:spacing w:after="0" w:line="20" w:lineRule="atLeast"/>
              <w:jc w:val="right"/>
              <w:rPr>
                <w:rFonts w:ascii="Arial" w:eastAsia="Times New Roman" w:hAnsi="Arial" w:cs="Arial"/>
                <w:color w:val="000000"/>
              </w:rPr>
            </w:pPr>
            <w:r w:rsidRPr="00C93C49">
              <w:rPr>
                <w:rFonts w:ascii="Arial" w:eastAsia="Times New Roman" w:hAnsi="Arial" w:cs="Arial"/>
                <w:color w:val="000000"/>
              </w:rPr>
              <w:t>100</w:t>
            </w:r>
          </w:p>
        </w:tc>
        <w:tc>
          <w:tcPr>
            <w:tcW w:w="1333" w:type="dxa"/>
            <w:shd w:val="clear" w:color="auto" w:fill="auto"/>
            <w:noWrap/>
            <w:vAlign w:val="bottom"/>
            <w:hideMark/>
          </w:tcPr>
          <w:p w14:paraId="072FB2CE" w14:textId="77777777" w:rsidR="00C93C49" w:rsidRPr="00C93C49" w:rsidRDefault="00C93C49" w:rsidP="00C93C49">
            <w:pPr>
              <w:spacing w:after="0" w:line="20" w:lineRule="atLeast"/>
              <w:jc w:val="right"/>
              <w:rPr>
                <w:rFonts w:ascii="Arial" w:eastAsia="Times New Roman" w:hAnsi="Arial" w:cs="Arial"/>
                <w:color w:val="000000"/>
              </w:rPr>
            </w:pPr>
            <w:r w:rsidRPr="00C93C49">
              <w:rPr>
                <w:rFonts w:ascii="Arial" w:eastAsia="Times New Roman" w:hAnsi="Arial" w:cs="Arial"/>
                <w:color w:val="000000"/>
              </w:rPr>
              <w:t>55</w:t>
            </w:r>
          </w:p>
        </w:tc>
      </w:tr>
      <w:tr w:rsidR="00C93C49" w:rsidRPr="00C93C49" w14:paraId="5E428A71" w14:textId="77777777" w:rsidTr="00347614">
        <w:trPr>
          <w:trHeight w:val="20"/>
          <w:jc w:val="center"/>
        </w:trPr>
        <w:tc>
          <w:tcPr>
            <w:tcW w:w="2296" w:type="dxa"/>
            <w:shd w:val="clear" w:color="auto" w:fill="auto"/>
            <w:noWrap/>
            <w:vAlign w:val="bottom"/>
            <w:hideMark/>
          </w:tcPr>
          <w:p w14:paraId="1D6C7898" w14:textId="77777777" w:rsidR="00C93C49" w:rsidRPr="00C93C49" w:rsidRDefault="00C93C49" w:rsidP="00C93C49">
            <w:pPr>
              <w:spacing w:after="0" w:line="20" w:lineRule="atLeast"/>
              <w:rPr>
                <w:rFonts w:ascii="Arial" w:eastAsia="Times New Roman" w:hAnsi="Arial" w:cs="Arial"/>
                <w:b/>
                <w:color w:val="000000"/>
              </w:rPr>
            </w:pPr>
            <w:r w:rsidRPr="00C93C49">
              <w:rPr>
                <w:rFonts w:ascii="Arial" w:eastAsia="Times New Roman" w:hAnsi="Arial" w:cs="Arial"/>
                <w:b/>
                <w:color w:val="000000"/>
              </w:rPr>
              <w:t>PECO</w:t>
            </w:r>
          </w:p>
        </w:tc>
        <w:tc>
          <w:tcPr>
            <w:tcW w:w="1333" w:type="dxa"/>
            <w:shd w:val="clear" w:color="auto" w:fill="auto"/>
            <w:noWrap/>
            <w:vAlign w:val="bottom"/>
            <w:hideMark/>
          </w:tcPr>
          <w:p w14:paraId="655B2AD2" w14:textId="77777777" w:rsidR="00C93C49" w:rsidRPr="00C93C49" w:rsidRDefault="00C93C49" w:rsidP="00C93C49">
            <w:pPr>
              <w:spacing w:after="0" w:line="20" w:lineRule="atLeast"/>
              <w:jc w:val="right"/>
              <w:rPr>
                <w:rFonts w:ascii="Arial" w:eastAsia="Times New Roman" w:hAnsi="Arial" w:cs="Arial"/>
                <w:color w:val="000000"/>
              </w:rPr>
            </w:pPr>
            <w:r w:rsidRPr="00C93C49">
              <w:rPr>
                <w:rFonts w:ascii="Arial" w:eastAsia="Times New Roman" w:hAnsi="Arial" w:cs="Arial"/>
                <w:color w:val="000000"/>
              </w:rPr>
              <w:t>132</w:t>
            </w:r>
          </w:p>
        </w:tc>
        <w:tc>
          <w:tcPr>
            <w:tcW w:w="1333" w:type="dxa"/>
            <w:shd w:val="clear" w:color="auto" w:fill="auto"/>
            <w:noWrap/>
            <w:vAlign w:val="bottom"/>
            <w:hideMark/>
          </w:tcPr>
          <w:p w14:paraId="75869EB1" w14:textId="77777777" w:rsidR="00C93C49" w:rsidRPr="00C93C49" w:rsidRDefault="00C93C49" w:rsidP="00C93C49">
            <w:pPr>
              <w:spacing w:after="0" w:line="20" w:lineRule="atLeast"/>
              <w:jc w:val="right"/>
              <w:rPr>
                <w:rFonts w:ascii="Arial" w:eastAsia="Times New Roman" w:hAnsi="Arial" w:cs="Arial"/>
                <w:color w:val="000000"/>
              </w:rPr>
            </w:pPr>
            <w:r w:rsidRPr="00C93C49">
              <w:rPr>
                <w:rFonts w:ascii="Arial" w:eastAsia="Times New Roman" w:hAnsi="Arial" w:cs="Arial"/>
                <w:color w:val="000000"/>
              </w:rPr>
              <w:t>1,853</w:t>
            </w:r>
          </w:p>
        </w:tc>
        <w:tc>
          <w:tcPr>
            <w:tcW w:w="1333" w:type="dxa"/>
            <w:shd w:val="clear" w:color="auto" w:fill="auto"/>
            <w:noWrap/>
            <w:vAlign w:val="bottom"/>
            <w:hideMark/>
          </w:tcPr>
          <w:p w14:paraId="4882D56D" w14:textId="77777777" w:rsidR="00C93C49" w:rsidRPr="00C93C49" w:rsidRDefault="00C93C49" w:rsidP="00C93C49">
            <w:pPr>
              <w:spacing w:after="0" w:line="20" w:lineRule="atLeast"/>
              <w:jc w:val="right"/>
              <w:rPr>
                <w:rFonts w:ascii="Arial" w:eastAsia="Times New Roman" w:hAnsi="Arial" w:cs="Arial"/>
                <w:color w:val="000000"/>
              </w:rPr>
            </w:pPr>
            <w:r w:rsidRPr="00C93C49">
              <w:rPr>
                <w:rFonts w:ascii="Arial" w:eastAsia="Times New Roman" w:hAnsi="Arial" w:cs="Arial"/>
                <w:color w:val="000000"/>
              </w:rPr>
              <w:t>1</w:t>
            </w:r>
          </w:p>
        </w:tc>
      </w:tr>
      <w:tr w:rsidR="00C93C49" w:rsidRPr="00C93C49" w14:paraId="7F390440" w14:textId="77777777" w:rsidTr="00347614">
        <w:trPr>
          <w:trHeight w:val="20"/>
          <w:jc w:val="center"/>
        </w:trPr>
        <w:tc>
          <w:tcPr>
            <w:tcW w:w="2296" w:type="dxa"/>
            <w:shd w:val="clear" w:color="auto" w:fill="auto"/>
            <w:noWrap/>
            <w:vAlign w:val="bottom"/>
            <w:hideMark/>
          </w:tcPr>
          <w:p w14:paraId="39C5F4B5" w14:textId="77777777" w:rsidR="00C93C49" w:rsidRPr="00C93C49" w:rsidRDefault="00C93C49" w:rsidP="00C93C49">
            <w:pPr>
              <w:spacing w:after="0" w:line="20" w:lineRule="atLeast"/>
              <w:rPr>
                <w:rFonts w:ascii="Arial" w:eastAsia="Times New Roman" w:hAnsi="Arial" w:cs="Arial"/>
                <w:b/>
                <w:color w:val="000000"/>
              </w:rPr>
            </w:pPr>
            <w:r w:rsidRPr="00C93C49">
              <w:rPr>
                <w:rFonts w:ascii="Arial" w:eastAsia="Times New Roman" w:hAnsi="Arial" w:cs="Arial"/>
                <w:b/>
                <w:color w:val="000000"/>
              </w:rPr>
              <w:t>UGI-Electric</w:t>
            </w:r>
          </w:p>
        </w:tc>
        <w:tc>
          <w:tcPr>
            <w:tcW w:w="1333" w:type="dxa"/>
            <w:shd w:val="clear" w:color="auto" w:fill="auto"/>
            <w:noWrap/>
            <w:vAlign w:val="bottom"/>
            <w:hideMark/>
          </w:tcPr>
          <w:p w14:paraId="7A498D8E" w14:textId="77777777" w:rsidR="00C93C49" w:rsidRPr="00C93C49" w:rsidRDefault="00C93C49" w:rsidP="00C93C49">
            <w:pPr>
              <w:spacing w:after="0" w:line="20" w:lineRule="atLeast"/>
              <w:jc w:val="right"/>
              <w:rPr>
                <w:rFonts w:ascii="Arial" w:eastAsia="Times New Roman" w:hAnsi="Arial" w:cs="Arial"/>
                <w:color w:val="000000"/>
              </w:rPr>
            </w:pPr>
            <w:r w:rsidRPr="00C93C49">
              <w:rPr>
                <w:rFonts w:ascii="Arial" w:eastAsia="Times New Roman" w:hAnsi="Arial" w:cs="Arial"/>
                <w:color w:val="000000"/>
              </w:rPr>
              <w:t>0</w:t>
            </w:r>
          </w:p>
        </w:tc>
        <w:tc>
          <w:tcPr>
            <w:tcW w:w="1333" w:type="dxa"/>
            <w:shd w:val="clear" w:color="auto" w:fill="auto"/>
            <w:noWrap/>
            <w:vAlign w:val="bottom"/>
            <w:hideMark/>
          </w:tcPr>
          <w:p w14:paraId="72C87D90" w14:textId="77777777" w:rsidR="00C93C49" w:rsidRPr="00C93C49" w:rsidRDefault="00C93C49" w:rsidP="00C93C49">
            <w:pPr>
              <w:spacing w:after="0" w:line="20" w:lineRule="atLeast"/>
              <w:jc w:val="right"/>
              <w:rPr>
                <w:rFonts w:ascii="Arial" w:eastAsia="Times New Roman" w:hAnsi="Arial" w:cs="Arial"/>
                <w:color w:val="000000"/>
              </w:rPr>
            </w:pPr>
            <w:r w:rsidRPr="00C93C49">
              <w:rPr>
                <w:rFonts w:ascii="Arial" w:eastAsia="Times New Roman" w:hAnsi="Arial" w:cs="Arial"/>
                <w:color w:val="000000"/>
              </w:rPr>
              <w:t>0</w:t>
            </w:r>
          </w:p>
        </w:tc>
        <w:tc>
          <w:tcPr>
            <w:tcW w:w="1333" w:type="dxa"/>
            <w:shd w:val="clear" w:color="auto" w:fill="auto"/>
            <w:noWrap/>
            <w:vAlign w:val="bottom"/>
            <w:hideMark/>
          </w:tcPr>
          <w:p w14:paraId="1085FC9E" w14:textId="77777777" w:rsidR="00C93C49" w:rsidRPr="00C93C49" w:rsidRDefault="00C93C49" w:rsidP="00C93C49">
            <w:pPr>
              <w:spacing w:after="0" w:line="20" w:lineRule="atLeast"/>
              <w:jc w:val="right"/>
              <w:rPr>
                <w:rFonts w:ascii="Arial" w:eastAsia="Times New Roman" w:hAnsi="Arial" w:cs="Arial"/>
                <w:color w:val="000000"/>
              </w:rPr>
            </w:pPr>
            <w:r w:rsidRPr="00C93C49">
              <w:rPr>
                <w:rFonts w:ascii="Arial" w:eastAsia="Times New Roman" w:hAnsi="Arial" w:cs="Arial"/>
                <w:color w:val="000000"/>
              </w:rPr>
              <w:t>0</w:t>
            </w:r>
          </w:p>
        </w:tc>
      </w:tr>
      <w:tr w:rsidR="00C93C49" w:rsidRPr="00C93C49" w14:paraId="167DEB99" w14:textId="77777777" w:rsidTr="00347614">
        <w:trPr>
          <w:trHeight w:val="20"/>
          <w:jc w:val="center"/>
        </w:trPr>
        <w:tc>
          <w:tcPr>
            <w:tcW w:w="2296" w:type="dxa"/>
            <w:shd w:val="clear" w:color="auto" w:fill="auto"/>
            <w:noWrap/>
            <w:vAlign w:val="bottom"/>
            <w:hideMark/>
          </w:tcPr>
          <w:p w14:paraId="4964F6B2" w14:textId="77777777" w:rsidR="00C93C49" w:rsidRPr="00C93C49" w:rsidRDefault="00C93C49" w:rsidP="00C93C49">
            <w:pPr>
              <w:spacing w:after="0" w:line="20" w:lineRule="atLeast"/>
              <w:jc w:val="center"/>
              <w:rPr>
                <w:rFonts w:ascii="Arial" w:eastAsia="Times New Roman" w:hAnsi="Arial" w:cs="Arial"/>
                <w:b/>
                <w:color w:val="000000"/>
              </w:rPr>
            </w:pPr>
            <w:r w:rsidRPr="00C93C49">
              <w:rPr>
                <w:rFonts w:ascii="Arial" w:eastAsia="Times New Roman" w:hAnsi="Arial" w:cs="Arial"/>
                <w:b/>
                <w:color w:val="000000"/>
              </w:rPr>
              <w:t>Panel Average</w:t>
            </w:r>
          </w:p>
        </w:tc>
        <w:tc>
          <w:tcPr>
            <w:tcW w:w="1333" w:type="dxa"/>
            <w:shd w:val="clear" w:color="auto" w:fill="auto"/>
            <w:noWrap/>
            <w:vAlign w:val="bottom"/>
            <w:hideMark/>
          </w:tcPr>
          <w:p w14:paraId="4158F6C9" w14:textId="77777777" w:rsidR="00C93C49" w:rsidRPr="00C93C49" w:rsidRDefault="00C93C49" w:rsidP="00C93C49">
            <w:pPr>
              <w:spacing w:after="0" w:line="20" w:lineRule="atLeast"/>
              <w:jc w:val="right"/>
              <w:rPr>
                <w:rFonts w:ascii="Arial" w:eastAsia="Times New Roman" w:hAnsi="Arial" w:cs="Arial"/>
                <w:color w:val="000000"/>
              </w:rPr>
            </w:pPr>
            <w:r w:rsidRPr="00C93C49">
              <w:rPr>
                <w:rFonts w:ascii="Arial" w:eastAsia="Times New Roman" w:hAnsi="Arial" w:cs="Arial"/>
                <w:color w:val="000000"/>
              </w:rPr>
              <w:t>61</w:t>
            </w:r>
          </w:p>
        </w:tc>
        <w:tc>
          <w:tcPr>
            <w:tcW w:w="1333" w:type="dxa"/>
            <w:shd w:val="clear" w:color="auto" w:fill="auto"/>
            <w:noWrap/>
            <w:vAlign w:val="bottom"/>
            <w:hideMark/>
          </w:tcPr>
          <w:p w14:paraId="0D005AFC" w14:textId="77777777" w:rsidR="00C93C49" w:rsidRPr="00C93C49" w:rsidRDefault="00C93C49" w:rsidP="00C93C49">
            <w:pPr>
              <w:spacing w:after="0" w:line="20" w:lineRule="atLeast"/>
              <w:jc w:val="right"/>
              <w:rPr>
                <w:rFonts w:ascii="Arial" w:eastAsia="Times New Roman" w:hAnsi="Arial" w:cs="Arial"/>
                <w:color w:val="000000"/>
              </w:rPr>
            </w:pPr>
            <w:r w:rsidRPr="00C93C49">
              <w:rPr>
                <w:rFonts w:ascii="Arial" w:eastAsia="Times New Roman" w:hAnsi="Arial" w:cs="Arial"/>
                <w:color w:val="000000"/>
              </w:rPr>
              <w:t>502</w:t>
            </w:r>
          </w:p>
        </w:tc>
        <w:tc>
          <w:tcPr>
            <w:tcW w:w="1333" w:type="dxa"/>
            <w:shd w:val="clear" w:color="auto" w:fill="auto"/>
            <w:noWrap/>
            <w:vAlign w:val="bottom"/>
            <w:hideMark/>
          </w:tcPr>
          <w:p w14:paraId="61AF207B" w14:textId="77777777" w:rsidR="00C93C49" w:rsidRPr="00C93C49" w:rsidRDefault="00C93C49" w:rsidP="00C93C49">
            <w:pPr>
              <w:spacing w:after="0" w:line="20" w:lineRule="atLeast"/>
              <w:jc w:val="right"/>
              <w:rPr>
                <w:rFonts w:ascii="Arial" w:eastAsia="Times New Roman" w:hAnsi="Arial" w:cs="Arial"/>
                <w:color w:val="000000"/>
              </w:rPr>
            </w:pPr>
            <w:r w:rsidRPr="00C93C49">
              <w:rPr>
                <w:rFonts w:ascii="Arial" w:eastAsia="Times New Roman" w:hAnsi="Arial" w:cs="Arial"/>
                <w:color w:val="000000"/>
              </w:rPr>
              <w:t>28</w:t>
            </w:r>
          </w:p>
        </w:tc>
      </w:tr>
      <w:tr w:rsidR="00C93C49" w:rsidRPr="00C93C49" w14:paraId="2CB02C02" w14:textId="77777777" w:rsidTr="00347614">
        <w:trPr>
          <w:trHeight w:val="20"/>
          <w:jc w:val="center"/>
        </w:trPr>
        <w:tc>
          <w:tcPr>
            <w:tcW w:w="2296" w:type="dxa"/>
            <w:shd w:val="clear" w:color="auto" w:fill="auto"/>
            <w:noWrap/>
            <w:vAlign w:val="bottom"/>
            <w:hideMark/>
          </w:tcPr>
          <w:p w14:paraId="77C4090C" w14:textId="77777777" w:rsidR="00C93C49" w:rsidRPr="00C93C49" w:rsidRDefault="00C93C49" w:rsidP="00C93C49">
            <w:pPr>
              <w:spacing w:after="0" w:line="20" w:lineRule="atLeast"/>
              <w:jc w:val="center"/>
              <w:rPr>
                <w:rFonts w:ascii="Arial" w:eastAsia="Times New Roman" w:hAnsi="Arial" w:cs="Arial"/>
                <w:b/>
                <w:color w:val="000000"/>
              </w:rPr>
            </w:pPr>
          </w:p>
        </w:tc>
        <w:tc>
          <w:tcPr>
            <w:tcW w:w="1333" w:type="dxa"/>
            <w:shd w:val="clear" w:color="auto" w:fill="auto"/>
            <w:noWrap/>
            <w:vAlign w:val="bottom"/>
            <w:hideMark/>
          </w:tcPr>
          <w:p w14:paraId="369C019A" w14:textId="77777777" w:rsidR="00C93C49" w:rsidRPr="00C93C49" w:rsidRDefault="00C93C49" w:rsidP="00C93C49">
            <w:pPr>
              <w:spacing w:after="0" w:line="20" w:lineRule="atLeast"/>
              <w:jc w:val="right"/>
              <w:rPr>
                <w:rFonts w:ascii="Arial" w:eastAsia="Times New Roman" w:hAnsi="Arial" w:cs="Arial"/>
              </w:rPr>
            </w:pPr>
          </w:p>
        </w:tc>
        <w:tc>
          <w:tcPr>
            <w:tcW w:w="1333" w:type="dxa"/>
            <w:shd w:val="clear" w:color="auto" w:fill="auto"/>
            <w:noWrap/>
            <w:vAlign w:val="bottom"/>
            <w:hideMark/>
          </w:tcPr>
          <w:p w14:paraId="19F64EAF" w14:textId="77777777" w:rsidR="00C93C49" w:rsidRPr="00C93C49" w:rsidRDefault="00C93C49" w:rsidP="00C93C49">
            <w:pPr>
              <w:spacing w:after="0" w:line="20" w:lineRule="atLeast"/>
              <w:jc w:val="right"/>
              <w:rPr>
                <w:rFonts w:ascii="Arial" w:eastAsia="Times New Roman" w:hAnsi="Arial" w:cs="Arial"/>
              </w:rPr>
            </w:pPr>
          </w:p>
        </w:tc>
        <w:tc>
          <w:tcPr>
            <w:tcW w:w="1333" w:type="dxa"/>
            <w:shd w:val="clear" w:color="auto" w:fill="auto"/>
            <w:noWrap/>
            <w:vAlign w:val="bottom"/>
            <w:hideMark/>
          </w:tcPr>
          <w:p w14:paraId="19354BF8" w14:textId="77777777" w:rsidR="00C93C49" w:rsidRPr="00C93C49" w:rsidRDefault="00C93C49" w:rsidP="00C93C49">
            <w:pPr>
              <w:spacing w:after="0" w:line="20" w:lineRule="atLeast"/>
              <w:jc w:val="right"/>
              <w:rPr>
                <w:rFonts w:ascii="Arial" w:eastAsia="Times New Roman" w:hAnsi="Arial" w:cs="Arial"/>
              </w:rPr>
            </w:pPr>
          </w:p>
        </w:tc>
      </w:tr>
      <w:tr w:rsidR="00C93C49" w:rsidRPr="00C93C49" w14:paraId="3F2DE0C9" w14:textId="77777777" w:rsidTr="00347614">
        <w:trPr>
          <w:trHeight w:val="20"/>
          <w:jc w:val="center"/>
        </w:trPr>
        <w:tc>
          <w:tcPr>
            <w:tcW w:w="2296" w:type="dxa"/>
            <w:shd w:val="clear" w:color="auto" w:fill="auto"/>
            <w:noWrap/>
            <w:vAlign w:val="bottom"/>
            <w:hideMark/>
          </w:tcPr>
          <w:p w14:paraId="7D950411" w14:textId="77777777" w:rsidR="00C93C49" w:rsidRPr="00C93C49" w:rsidRDefault="00C93C49" w:rsidP="00C93C49">
            <w:pPr>
              <w:spacing w:after="0" w:line="20" w:lineRule="atLeast"/>
              <w:rPr>
                <w:rFonts w:ascii="Arial" w:eastAsia="Times New Roman" w:hAnsi="Arial" w:cs="Arial"/>
                <w:b/>
                <w:color w:val="000000"/>
              </w:rPr>
            </w:pPr>
            <w:r w:rsidRPr="00C93C49">
              <w:rPr>
                <w:rFonts w:ascii="Arial" w:eastAsia="Times New Roman" w:hAnsi="Arial" w:cs="Arial"/>
                <w:b/>
                <w:color w:val="000000"/>
              </w:rPr>
              <w:t>Met-Ed</w:t>
            </w:r>
          </w:p>
        </w:tc>
        <w:tc>
          <w:tcPr>
            <w:tcW w:w="1333" w:type="dxa"/>
            <w:shd w:val="clear" w:color="auto" w:fill="auto"/>
            <w:noWrap/>
            <w:vAlign w:val="bottom"/>
            <w:hideMark/>
          </w:tcPr>
          <w:p w14:paraId="58C9FAFB" w14:textId="77777777" w:rsidR="00C93C49" w:rsidRPr="00C93C49" w:rsidRDefault="00C93C49" w:rsidP="00C93C49">
            <w:pPr>
              <w:spacing w:after="0" w:line="20" w:lineRule="atLeast"/>
              <w:jc w:val="right"/>
              <w:rPr>
                <w:rFonts w:ascii="Arial" w:eastAsia="Times New Roman" w:hAnsi="Arial" w:cs="Arial"/>
                <w:color w:val="000000"/>
              </w:rPr>
            </w:pPr>
            <w:r w:rsidRPr="00C93C49">
              <w:rPr>
                <w:rFonts w:ascii="Arial" w:eastAsia="Times New Roman" w:hAnsi="Arial" w:cs="Arial"/>
                <w:color w:val="000000"/>
              </w:rPr>
              <w:t>1,296</w:t>
            </w:r>
          </w:p>
        </w:tc>
        <w:tc>
          <w:tcPr>
            <w:tcW w:w="1333" w:type="dxa"/>
            <w:shd w:val="clear" w:color="auto" w:fill="auto"/>
            <w:noWrap/>
            <w:vAlign w:val="bottom"/>
            <w:hideMark/>
          </w:tcPr>
          <w:p w14:paraId="57AE644C" w14:textId="77777777" w:rsidR="00C93C49" w:rsidRPr="00C93C49" w:rsidRDefault="00C93C49" w:rsidP="00C93C49">
            <w:pPr>
              <w:spacing w:after="0" w:line="20" w:lineRule="atLeast"/>
              <w:jc w:val="right"/>
              <w:rPr>
                <w:rFonts w:ascii="Arial" w:eastAsia="Times New Roman" w:hAnsi="Arial" w:cs="Arial"/>
                <w:color w:val="000000"/>
              </w:rPr>
            </w:pPr>
            <w:r w:rsidRPr="00C93C49">
              <w:rPr>
                <w:rFonts w:ascii="Arial" w:eastAsia="Times New Roman" w:hAnsi="Arial" w:cs="Arial"/>
                <w:color w:val="000000"/>
              </w:rPr>
              <w:t>198</w:t>
            </w:r>
          </w:p>
        </w:tc>
        <w:tc>
          <w:tcPr>
            <w:tcW w:w="1333" w:type="dxa"/>
            <w:shd w:val="clear" w:color="auto" w:fill="auto"/>
            <w:noWrap/>
            <w:vAlign w:val="bottom"/>
            <w:hideMark/>
          </w:tcPr>
          <w:p w14:paraId="584A8DC7" w14:textId="77777777" w:rsidR="00C93C49" w:rsidRPr="00C93C49" w:rsidRDefault="00C93C49" w:rsidP="00C93C49">
            <w:pPr>
              <w:spacing w:after="0" w:line="20" w:lineRule="atLeast"/>
              <w:jc w:val="right"/>
              <w:rPr>
                <w:rFonts w:ascii="Arial" w:eastAsia="Times New Roman" w:hAnsi="Arial" w:cs="Arial"/>
                <w:color w:val="000000"/>
              </w:rPr>
            </w:pPr>
            <w:r w:rsidRPr="00C93C49">
              <w:rPr>
                <w:rFonts w:ascii="Arial" w:eastAsia="Times New Roman" w:hAnsi="Arial" w:cs="Arial"/>
                <w:color w:val="000000"/>
              </w:rPr>
              <w:t>0</w:t>
            </w:r>
          </w:p>
        </w:tc>
      </w:tr>
      <w:tr w:rsidR="00C93C49" w:rsidRPr="00C93C49" w14:paraId="0714A4A7" w14:textId="77777777" w:rsidTr="00347614">
        <w:trPr>
          <w:trHeight w:val="20"/>
          <w:jc w:val="center"/>
        </w:trPr>
        <w:tc>
          <w:tcPr>
            <w:tcW w:w="2296" w:type="dxa"/>
            <w:shd w:val="clear" w:color="auto" w:fill="auto"/>
            <w:noWrap/>
            <w:vAlign w:val="bottom"/>
            <w:hideMark/>
          </w:tcPr>
          <w:p w14:paraId="5E156286" w14:textId="77777777" w:rsidR="00C93C49" w:rsidRPr="00C93C49" w:rsidRDefault="00C93C49" w:rsidP="00C93C49">
            <w:pPr>
              <w:spacing w:after="0" w:line="20" w:lineRule="atLeast"/>
              <w:rPr>
                <w:rFonts w:ascii="Arial" w:eastAsia="Times New Roman" w:hAnsi="Arial" w:cs="Arial"/>
                <w:b/>
                <w:color w:val="000000"/>
              </w:rPr>
            </w:pPr>
            <w:r w:rsidRPr="00C93C49">
              <w:rPr>
                <w:rFonts w:ascii="Arial" w:eastAsia="Times New Roman" w:hAnsi="Arial" w:cs="Arial"/>
                <w:b/>
                <w:color w:val="000000"/>
              </w:rPr>
              <w:t>Penelec</w:t>
            </w:r>
          </w:p>
        </w:tc>
        <w:tc>
          <w:tcPr>
            <w:tcW w:w="1333" w:type="dxa"/>
            <w:shd w:val="clear" w:color="auto" w:fill="auto"/>
            <w:noWrap/>
            <w:vAlign w:val="bottom"/>
            <w:hideMark/>
          </w:tcPr>
          <w:p w14:paraId="757190E8" w14:textId="77777777" w:rsidR="00C93C49" w:rsidRPr="00C93C49" w:rsidRDefault="00C93C49" w:rsidP="00C93C49">
            <w:pPr>
              <w:spacing w:after="0" w:line="20" w:lineRule="atLeast"/>
              <w:jc w:val="right"/>
              <w:rPr>
                <w:rFonts w:ascii="Arial" w:eastAsia="Times New Roman" w:hAnsi="Arial" w:cs="Arial"/>
                <w:color w:val="000000"/>
              </w:rPr>
            </w:pPr>
            <w:r w:rsidRPr="00C93C49">
              <w:rPr>
                <w:rFonts w:ascii="Arial" w:eastAsia="Times New Roman" w:hAnsi="Arial" w:cs="Arial"/>
                <w:color w:val="000000"/>
              </w:rPr>
              <w:t>874</w:t>
            </w:r>
          </w:p>
        </w:tc>
        <w:tc>
          <w:tcPr>
            <w:tcW w:w="1333" w:type="dxa"/>
            <w:shd w:val="clear" w:color="auto" w:fill="auto"/>
            <w:noWrap/>
            <w:vAlign w:val="bottom"/>
            <w:hideMark/>
          </w:tcPr>
          <w:p w14:paraId="20D11982" w14:textId="77777777" w:rsidR="00C93C49" w:rsidRPr="00C93C49" w:rsidRDefault="00C93C49" w:rsidP="00C93C49">
            <w:pPr>
              <w:spacing w:after="0" w:line="20" w:lineRule="atLeast"/>
              <w:jc w:val="right"/>
              <w:rPr>
                <w:rFonts w:ascii="Arial" w:eastAsia="Times New Roman" w:hAnsi="Arial" w:cs="Arial"/>
                <w:color w:val="000000"/>
              </w:rPr>
            </w:pPr>
            <w:r w:rsidRPr="00C93C49">
              <w:rPr>
                <w:rFonts w:ascii="Arial" w:eastAsia="Times New Roman" w:hAnsi="Arial" w:cs="Arial"/>
                <w:color w:val="000000"/>
              </w:rPr>
              <w:t>128</w:t>
            </w:r>
          </w:p>
        </w:tc>
        <w:tc>
          <w:tcPr>
            <w:tcW w:w="1333" w:type="dxa"/>
            <w:shd w:val="clear" w:color="auto" w:fill="auto"/>
            <w:noWrap/>
            <w:vAlign w:val="bottom"/>
            <w:hideMark/>
          </w:tcPr>
          <w:p w14:paraId="10CC4235" w14:textId="77777777" w:rsidR="00C93C49" w:rsidRPr="00C93C49" w:rsidRDefault="00C93C49" w:rsidP="00C93C49">
            <w:pPr>
              <w:spacing w:after="0" w:line="20" w:lineRule="atLeast"/>
              <w:jc w:val="right"/>
              <w:rPr>
                <w:rFonts w:ascii="Arial" w:eastAsia="Times New Roman" w:hAnsi="Arial" w:cs="Arial"/>
                <w:color w:val="000000"/>
              </w:rPr>
            </w:pPr>
            <w:r w:rsidRPr="00C93C49">
              <w:rPr>
                <w:rFonts w:ascii="Arial" w:eastAsia="Times New Roman" w:hAnsi="Arial" w:cs="Arial"/>
                <w:color w:val="000000"/>
              </w:rPr>
              <w:t>0</w:t>
            </w:r>
          </w:p>
        </w:tc>
      </w:tr>
      <w:tr w:rsidR="00C93C49" w:rsidRPr="00C93C49" w14:paraId="45ACE1BC" w14:textId="77777777" w:rsidTr="00347614">
        <w:trPr>
          <w:trHeight w:val="20"/>
          <w:jc w:val="center"/>
        </w:trPr>
        <w:tc>
          <w:tcPr>
            <w:tcW w:w="2296" w:type="dxa"/>
            <w:shd w:val="clear" w:color="auto" w:fill="auto"/>
            <w:noWrap/>
            <w:vAlign w:val="bottom"/>
            <w:hideMark/>
          </w:tcPr>
          <w:p w14:paraId="3DFD5364" w14:textId="77777777" w:rsidR="00C93C49" w:rsidRPr="00C93C49" w:rsidRDefault="00C93C49" w:rsidP="00C93C49">
            <w:pPr>
              <w:spacing w:after="0" w:line="20" w:lineRule="atLeast"/>
              <w:rPr>
                <w:rFonts w:ascii="Arial" w:eastAsia="Times New Roman" w:hAnsi="Arial" w:cs="Arial"/>
                <w:b/>
                <w:color w:val="000000"/>
              </w:rPr>
            </w:pPr>
            <w:r w:rsidRPr="00C93C49">
              <w:rPr>
                <w:rFonts w:ascii="Arial" w:eastAsia="Times New Roman" w:hAnsi="Arial" w:cs="Arial"/>
                <w:b/>
                <w:color w:val="000000"/>
              </w:rPr>
              <w:t>Penn Power</w:t>
            </w:r>
          </w:p>
        </w:tc>
        <w:tc>
          <w:tcPr>
            <w:tcW w:w="1333" w:type="dxa"/>
            <w:shd w:val="clear" w:color="auto" w:fill="auto"/>
            <w:noWrap/>
            <w:vAlign w:val="bottom"/>
            <w:hideMark/>
          </w:tcPr>
          <w:p w14:paraId="3A74EA10" w14:textId="77777777" w:rsidR="00C93C49" w:rsidRPr="00C93C49" w:rsidRDefault="00C93C49" w:rsidP="00C93C49">
            <w:pPr>
              <w:spacing w:after="0" w:line="20" w:lineRule="atLeast"/>
              <w:jc w:val="right"/>
              <w:rPr>
                <w:rFonts w:ascii="Arial" w:eastAsia="Times New Roman" w:hAnsi="Arial" w:cs="Arial"/>
                <w:color w:val="000000"/>
              </w:rPr>
            </w:pPr>
            <w:r w:rsidRPr="00C93C49">
              <w:rPr>
                <w:rFonts w:ascii="Arial" w:eastAsia="Times New Roman" w:hAnsi="Arial" w:cs="Arial"/>
                <w:color w:val="000000"/>
              </w:rPr>
              <w:t>100</w:t>
            </w:r>
          </w:p>
        </w:tc>
        <w:tc>
          <w:tcPr>
            <w:tcW w:w="1333" w:type="dxa"/>
            <w:shd w:val="clear" w:color="auto" w:fill="auto"/>
            <w:noWrap/>
            <w:vAlign w:val="bottom"/>
            <w:hideMark/>
          </w:tcPr>
          <w:p w14:paraId="32442D46" w14:textId="77777777" w:rsidR="00C93C49" w:rsidRPr="00C93C49" w:rsidRDefault="00C93C49" w:rsidP="00C93C49">
            <w:pPr>
              <w:spacing w:after="0" w:line="20" w:lineRule="atLeast"/>
              <w:jc w:val="right"/>
              <w:rPr>
                <w:rFonts w:ascii="Arial" w:eastAsia="Times New Roman" w:hAnsi="Arial" w:cs="Arial"/>
                <w:color w:val="000000"/>
              </w:rPr>
            </w:pPr>
            <w:r w:rsidRPr="00C93C49">
              <w:rPr>
                <w:rFonts w:ascii="Arial" w:eastAsia="Times New Roman" w:hAnsi="Arial" w:cs="Arial"/>
                <w:color w:val="000000"/>
              </w:rPr>
              <w:t>26</w:t>
            </w:r>
          </w:p>
        </w:tc>
        <w:tc>
          <w:tcPr>
            <w:tcW w:w="1333" w:type="dxa"/>
            <w:shd w:val="clear" w:color="auto" w:fill="auto"/>
            <w:noWrap/>
            <w:vAlign w:val="bottom"/>
            <w:hideMark/>
          </w:tcPr>
          <w:p w14:paraId="7C899883" w14:textId="77777777" w:rsidR="00C93C49" w:rsidRPr="00C93C49" w:rsidRDefault="00C93C49" w:rsidP="00C93C49">
            <w:pPr>
              <w:spacing w:after="0" w:line="20" w:lineRule="atLeast"/>
              <w:jc w:val="right"/>
              <w:rPr>
                <w:rFonts w:ascii="Arial" w:eastAsia="Times New Roman" w:hAnsi="Arial" w:cs="Arial"/>
                <w:color w:val="000000"/>
              </w:rPr>
            </w:pPr>
            <w:r w:rsidRPr="00C93C49">
              <w:rPr>
                <w:rFonts w:ascii="Arial" w:eastAsia="Times New Roman" w:hAnsi="Arial" w:cs="Arial"/>
                <w:color w:val="000000"/>
              </w:rPr>
              <w:t>0</w:t>
            </w:r>
          </w:p>
        </w:tc>
      </w:tr>
      <w:tr w:rsidR="00C93C49" w:rsidRPr="00C93C49" w14:paraId="62453563" w14:textId="77777777" w:rsidTr="00347614">
        <w:trPr>
          <w:trHeight w:val="20"/>
          <w:jc w:val="center"/>
        </w:trPr>
        <w:tc>
          <w:tcPr>
            <w:tcW w:w="2296" w:type="dxa"/>
            <w:shd w:val="clear" w:color="auto" w:fill="auto"/>
            <w:noWrap/>
            <w:vAlign w:val="bottom"/>
            <w:hideMark/>
          </w:tcPr>
          <w:p w14:paraId="145CC4CA" w14:textId="77777777" w:rsidR="00C93C49" w:rsidRPr="00C93C49" w:rsidRDefault="00C93C49" w:rsidP="00C93C49">
            <w:pPr>
              <w:spacing w:after="0" w:line="20" w:lineRule="atLeast"/>
              <w:rPr>
                <w:rFonts w:ascii="Arial" w:eastAsia="Times New Roman" w:hAnsi="Arial" w:cs="Arial"/>
                <w:b/>
                <w:color w:val="000000"/>
              </w:rPr>
            </w:pPr>
            <w:r w:rsidRPr="00C93C49">
              <w:rPr>
                <w:rFonts w:ascii="Arial" w:eastAsia="Times New Roman" w:hAnsi="Arial" w:cs="Arial"/>
                <w:b/>
                <w:color w:val="000000"/>
              </w:rPr>
              <w:t>West Penn Power</w:t>
            </w:r>
          </w:p>
        </w:tc>
        <w:tc>
          <w:tcPr>
            <w:tcW w:w="1333" w:type="dxa"/>
            <w:shd w:val="clear" w:color="auto" w:fill="auto"/>
            <w:noWrap/>
            <w:vAlign w:val="bottom"/>
            <w:hideMark/>
          </w:tcPr>
          <w:p w14:paraId="45F6248B" w14:textId="77777777" w:rsidR="00C93C49" w:rsidRPr="00C93C49" w:rsidRDefault="00C93C49" w:rsidP="00C93C49">
            <w:pPr>
              <w:spacing w:after="0" w:line="20" w:lineRule="atLeast"/>
              <w:jc w:val="right"/>
              <w:rPr>
                <w:rFonts w:ascii="Arial" w:eastAsia="Times New Roman" w:hAnsi="Arial" w:cs="Arial"/>
                <w:color w:val="000000"/>
              </w:rPr>
            </w:pPr>
            <w:r w:rsidRPr="00C93C49">
              <w:rPr>
                <w:rFonts w:ascii="Arial" w:eastAsia="Times New Roman" w:hAnsi="Arial" w:cs="Arial"/>
                <w:color w:val="000000"/>
              </w:rPr>
              <w:t>479</w:t>
            </w:r>
          </w:p>
        </w:tc>
        <w:tc>
          <w:tcPr>
            <w:tcW w:w="1333" w:type="dxa"/>
            <w:shd w:val="clear" w:color="auto" w:fill="auto"/>
            <w:noWrap/>
            <w:vAlign w:val="bottom"/>
            <w:hideMark/>
          </w:tcPr>
          <w:p w14:paraId="0EE4B3F4" w14:textId="77777777" w:rsidR="00C93C49" w:rsidRPr="00C93C49" w:rsidRDefault="00C93C49" w:rsidP="00C93C49">
            <w:pPr>
              <w:spacing w:after="0" w:line="20" w:lineRule="atLeast"/>
              <w:jc w:val="right"/>
              <w:rPr>
                <w:rFonts w:ascii="Arial" w:eastAsia="Times New Roman" w:hAnsi="Arial" w:cs="Arial"/>
                <w:color w:val="000000"/>
              </w:rPr>
            </w:pPr>
            <w:r w:rsidRPr="00C93C49">
              <w:rPr>
                <w:rFonts w:ascii="Arial" w:eastAsia="Times New Roman" w:hAnsi="Arial" w:cs="Arial"/>
                <w:color w:val="000000"/>
              </w:rPr>
              <w:t>97</w:t>
            </w:r>
          </w:p>
        </w:tc>
        <w:tc>
          <w:tcPr>
            <w:tcW w:w="1333" w:type="dxa"/>
            <w:shd w:val="clear" w:color="auto" w:fill="auto"/>
            <w:noWrap/>
            <w:vAlign w:val="bottom"/>
            <w:hideMark/>
          </w:tcPr>
          <w:p w14:paraId="76D847BE" w14:textId="77777777" w:rsidR="00C93C49" w:rsidRPr="00C93C49" w:rsidRDefault="00C93C49" w:rsidP="00C93C49">
            <w:pPr>
              <w:spacing w:after="0" w:line="20" w:lineRule="atLeast"/>
              <w:jc w:val="right"/>
              <w:rPr>
                <w:rFonts w:ascii="Arial" w:eastAsia="Times New Roman" w:hAnsi="Arial" w:cs="Arial"/>
                <w:color w:val="000000"/>
              </w:rPr>
            </w:pPr>
            <w:r w:rsidRPr="00C93C49">
              <w:rPr>
                <w:rFonts w:ascii="Arial" w:eastAsia="Times New Roman" w:hAnsi="Arial" w:cs="Arial"/>
                <w:color w:val="000000"/>
              </w:rPr>
              <w:t>0</w:t>
            </w:r>
          </w:p>
        </w:tc>
      </w:tr>
    </w:tbl>
    <w:p w14:paraId="141E106D" w14:textId="77777777" w:rsidR="00C93C49" w:rsidRPr="00C93C49" w:rsidRDefault="00C93C49" w:rsidP="00C93C49">
      <w:pPr>
        <w:widowControl w:val="0"/>
        <w:spacing w:after="0" w:line="20" w:lineRule="atLeast"/>
        <w:ind w:firstLine="1530"/>
        <w:rPr>
          <w:rFonts w:ascii="Arial" w:eastAsia="Times New Roman" w:hAnsi="Arial" w:cs="Arial"/>
          <w:snapToGrid w:val="0"/>
          <w:sz w:val="18"/>
          <w:szCs w:val="18"/>
        </w:rPr>
      </w:pPr>
      <w:r w:rsidRPr="00C93C49">
        <w:rPr>
          <w:rFonts w:ascii="Arial" w:eastAsia="Times New Roman" w:hAnsi="Arial" w:cs="Arial"/>
          <w:snapToGrid w:val="0"/>
          <w:sz w:val="18"/>
          <w:szCs w:val="18"/>
        </w:rPr>
        <w:t xml:space="preserve">Source:  2014-2016 PUC Customer Service Performance Reports </w:t>
      </w:r>
    </w:p>
    <w:p w14:paraId="6068E9EE" w14:textId="77777777" w:rsidR="00C93C49" w:rsidRPr="00C93C49" w:rsidRDefault="00C93C49" w:rsidP="00C93C49">
      <w:pPr>
        <w:widowControl w:val="0"/>
        <w:spacing w:after="0" w:line="20" w:lineRule="atLeast"/>
        <w:rPr>
          <w:rFonts w:ascii="Arial" w:eastAsia="Times New Roman" w:hAnsi="Arial" w:cs="Arial"/>
          <w:b/>
          <w:snapToGrid w:val="0"/>
          <w:sz w:val="24"/>
          <w:szCs w:val="20"/>
          <w:u w:val="single"/>
        </w:rPr>
      </w:pPr>
    </w:p>
    <w:p w14:paraId="33E3427A" w14:textId="77777777" w:rsidR="00C93C49" w:rsidRPr="00C93C49" w:rsidRDefault="00C93C49" w:rsidP="00C93C49">
      <w:pPr>
        <w:widowControl w:val="0"/>
        <w:spacing w:after="0" w:line="20" w:lineRule="atLeast"/>
        <w:rPr>
          <w:rFonts w:ascii="Arial" w:eastAsia="Times New Roman" w:hAnsi="Arial" w:cs="Arial"/>
          <w:snapToGrid w:val="0"/>
          <w:sz w:val="24"/>
          <w:szCs w:val="20"/>
        </w:rPr>
      </w:pPr>
    </w:p>
    <w:p w14:paraId="307A1531" w14:textId="77777777" w:rsidR="00C93C49" w:rsidRPr="00C93C49" w:rsidRDefault="00C93C49" w:rsidP="00C93C49">
      <w:pPr>
        <w:widowControl w:val="0"/>
        <w:spacing w:after="0" w:line="20" w:lineRule="atLeast"/>
        <w:contextualSpacing/>
        <w:rPr>
          <w:rFonts w:ascii="Arial" w:eastAsia="Times New Roman" w:hAnsi="Arial" w:cs="Arial"/>
          <w:b/>
          <w:color w:val="000000"/>
          <w:sz w:val="24"/>
          <w:szCs w:val="24"/>
        </w:rPr>
      </w:pPr>
      <w:r w:rsidRPr="00C93C49">
        <w:rPr>
          <w:rFonts w:ascii="Arial" w:eastAsia="Times New Roman" w:hAnsi="Arial" w:cs="Times New Roman"/>
          <w:b/>
          <w:sz w:val="24"/>
          <w:szCs w:val="24"/>
          <w:u w:val="single"/>
        </w:rPr>
        <w:t>Follow-up Recommendation</w:t>
      </w:r>
      <w:r w:rsidRPr="00C93C49">
        <w:rPr>
          <w:rFonts w:ascii="Arial" w:eastAsia="Times New Roman" w:hAnsi="Arial" w:cs="Times New Roman"/>
          <w:b/>
          <w:sz w:val="24"/>
          <w:szCs w:val="24"/>
        </w:rPr>
        <w:t xml:space="preserve"> – </w:t>
      </w:r>
      <w:r w:rsidRPr="00C93C49">
        <w:rPr>
          <w:rFonts w:ascii="Arial" w:hAnsi="Arial" w:cs="Arial"/>
          <w:b/>
          <w:sz w:val="24"/>
          <w:szCs w:val="24"/>
        </w:rPr>
        <w:t>None</w:t>
      </w:r>
    </w:p>
    <w:p w14:paraId="568BCE98" w14:textId="77777777" w:rsidR="00C93C49" w:rsidRPr="00C93C49" w:rsidRDefault="00C93C49" w:rsidP="00C93C49">
      <w:pPr>
        <w:widowControl w:val="0"/>
        <w:spacing w:after="0" w:line="20" w:lineRule="atLeast"/>
        <w:rPr>
          <w:rFonts w:ascii="Arial" w:eastAsia="Times New Roman" w:hAnsi="Arial" w:cs="Arial"/>
          <w:b/>
          <w:snapToGrid w:val="0"/>
          <w:sz w:val="24"/>
          <w:szCs w:val="20"/>
          <w:u w:val="single"/>
        </w:rPr>
      </w:pPr>
    </w:p>
    <w:p w14:paraId="4C81763C" w14:textId="77777777" w:rsidR="00C93C49" w:rsidRPr="00C93C49" w:rsidRDefault="00C93C49" w:rsidP="00C93C49">
      <w:pPr>
        <w:spacing w:after="0" w:line="20" w:lineRule="atLeast"/>
        <w:contextualSpacing/>
        <w:jc w:val="center"/>
        <w:rPr>
          <w:rFonts w:ascii="Arial" w:eastAsia="Times New Roman" w:hAnsi="Arial" w:cs="Times New Roman"/>
          <w:b/>
          <w:sz w:val="24"/>
          <w:szCs w:val="24"/>
          <w:u w:val="single"/>
        </w:rPr>
      </w:pPr>
    </w:p>
    <w:p w14:paraId="1DA1AD8C" w14:textId="77777777" w:rsidR="00F672A7" w:rsidRDefault="00F672A7">
      <w:pPr>
        <w:rPr>
          <w:rFonts w:ascii="Arial" w:eastAsia="Times New Roman" w:hAnsi="Arial" w:cs="Times New Roman"/>
          <w:b/>
          <w:sz w:val="24"/>
          <w:szCs w:val="24"/>
          <w:u w:val="single"/>
        </w:rPr>
      </w:pPr>
      <w:r>
        <w:rPr>
          <w:rFonts w:ascii="Arial" w:eastAsia="Times New Roman" w:hAnsi="Arial" w:cs="Times New Roman"/>
          <w:b/>
          <w:sz w:val="24"/>
          <w:szCs w:val="24"/>
          <w:u w:val="single"/>
        </w:rPr>
        <w:br w:type="page"/>
      </w:r>
    </w:p>
    <w:p w14:paraId="5E8B8DDA" w14:textId="77777777" w:rsidR="00C93C49" w:rsidRPr="00C93C49" w:rsidRDefault="00C93C49" w:rsidP="00C93C49">
      <w:pPr>
        <w:spacing w:after="0" w:line="20" w:lineRule="atLeast"/>
        <w:contextualSpacing/>
        <w:jc w:val="center"/>
        <w:rPr>
          <w:rFonts w:ascii="Arial" w:eastAsia="Times New Roman" w:hAnsi="Arial" w:cs="Times New Roman"/>
          <w:b/>
          <w:sz w:val="24"/>
          <w:szCs w:val="24"/>
          <w:u w:val="single"/>
        </w:rPr>
      </w:pPr>
      <w:r w:rsidRPr="00C93C49">
        <w:rPr>
          <w:rFonts w:ascii="Arial" w:eastAsia="Times New Roman" w:hAnsi="Arial" w:cs="Times New Roman"/>
          <w:b/>
          <w:sz w:val="24"/>
          <w:szCs w:val="24"/>
          <w:u w:val="single"/>
        </w:rPr>
        <w:t>Finding No. X-6</w:t>
      </w:r>
    </w:p>
    <w:p w14:paraId="2ACDD4AA" w14:textId="77777777" w:rsidR="00C93C49" w:rsidRPr="00C93C49" w:rsidRDefault="00C93C49" w:rsidP="00C93C49">
      <w:pPr>
        <w:spacing w:after="0" w:line="20" w:lineRule="atLeast"/>
        <w:contextualSpacing/>
        <w:rPr>
          <w:rFonts w:ascii="Arial" w:eastAsia="Times New Roman" w:hAnsi="Arial" w:cs="Times New Roman"/>
          <w:sz w:val="24"/>
          <w:szCs w:val="24"/>
        </w:rPr>
      </w:pPr>
    </w:p>
    <w:p w14:paraId="356449E3" w14:textId="77777777" w:rsidR="00C93C49" w:rsidRPr="00C93C49" w:rsidRDefault="00C93C49" w:rsidP="00C93C49">
      <w:pPr>
        <w:autoSpaceDE w:val="0"/>
        <w:autoSpaceDN w:val="0"/>
        <w:adjustRightInd w:val="0"/>
        <w:spacing w:after="0" w:line="20" w:lineRule="atLeast"/>
        <w:rPr>
          <w:rFonts w:ascii="Arial" w:eastAsia="Times New Roman" w:hAnsi="Arial" w:cs="Arial"/>
          <w:color w:val="000000"/>
          <w:sz w:val="24"/>
          <w:szCs w:val="24"/>
        </w:rPr>
      </w:pPr>
      <w:r w:rsidRPr="00C93C49">
        <w:rPr>
          <w:rFonts w:ascii="Arial" w:eastAsia="Times New Roman" w:hAnsi="Arial" w:cs="Times New Roman"/>
          <w:b/>
          <w:sz w:val="24"/>
          <w:szCs w:val="24"/>
          <w:u w:val="single"/>
        </w:rPr>
        <w:t>Prior Situation</w:t>
      </w:r>
      <w:r w:rsidRPr="00C93C49">
        <w:rPr>
          <w:rFonts w:ascii="Arial" w:eastAsia="Times New Roman" w:hAnsi="Arial" w:cs="Times New Roman"/>
          <w:sz w:val="24"/>
          <w:szCs w:val="24"/>
        </w:rPr>
        <w:t xml:space="preserve"> – </w:t>
      </w:r>
      <w:r w:rsidRPr="00C93C49">
        <w:rPr>
          <w:rFonts w:ascii="Arial" w:eastAsia="Calibri" w:hAnsi="Arial" w:cs="Arial"/>
          <w:snapToGrid w:val="0"/>
          <w:sz w:val="24"/>
          <w:szCs w:val="24"/>
        </w:rPr>
        <w:t>Met-Ed and Penn Power experienced higher than average arrearages per residential customer than a panel of Pennsylvania EDCs.</w:t>
      </w:r>
      <w:r w:rsidRPr="00C93C49">
        <w:rPr>
          <w:rFonts w:ascii="Arial" w:eastAsia="Times New Roman" w:hAnsi="Arial" w:cs="Arial"/>
          <w:color w:val="000000"/>
          <w:sz w:val="24"/>
          <w:szCs w:val="24"/>
        </w:rPr>
        <w:t xml:space="preserve">  As shown in Exhibit X-15, Met-Ed experienced average arrearages per residential customer above a panel average of Pennsylvania EDCs in 2008, 2011, and 2012, while Penn Power exceeded the panel average for the entire period from 2008 through 2012.</w:t>
      </w:r>
    </w:p>
    <w:p w14:paraId="637351EB" w14:textId="77777777" w:rsidR="00150261" w:rsidRDefault="00150261" w:rsidP="00150261">
      <w:pPr>
        <w:spacing w:after="0" w:line="240" w:lineRule="auto"/>
        <w:rPr>
          <w:rFonts w:ascii="Arial" w:eastAsia="Calibri" w:hAnsi="Arial" w:cs="Arial"/>
          <w:b/>
          <w:snapToGrid w:val="0"/>
          <w:sz w:val="24"/>
          <w:szCs w:val="24"/>
        </w:rPr>
      </w:pPr>
    </w:p>
    <w:p w14:paraId="5A1A9703" w14:textId="77777777" w:rsidR="00150261" w:rsidRPr="00C93C49" w:rsidRDefault="00150261" w:rsidP="00150261">
      <w:pPr>
        <w:spacing w:after="0" w:line="240" w:lineRule="auto"/>
        <w:rPr>
          <w:rFonts w:ascii="Arial" w:eastAsia="Calibri" w:hAnsi="Arial" w:cs="Arial"/>
          <w:b/>
          <w:snapToGrid w:val="0"/>
          <w:sz w:val="24"/>
          <w:szCs w:val="24"/>
        </w:rPr>
      </w:pPr>
    </w:p>
    <w:p w14:paraId="4920247B" w14:textId="77777777" w:rsidR="00150261" w:rsidRPr="00C93C49" w:rsidRDefault="00150261" w:rsidP="00150261">
      <w:pPr>
        <w:widowControl w:val="0"/>
        <w:spacing w:after="0" w:line="20" w:lineRule="atLeast"/>
        <w:jc w:val="center"/>
        <w:rPr>
          <w:rFonts w:ascii="Arial" w:eastAsia="Calibri" w:hAnsi="Arial" w:cs="Arial"/>
          <w:b/>
          <w:snapToGrid w:val="0"/>
          <w:sz w:val="24"/>
          <w:szCs w:val="24"/>
        </w:rPr>
      </w:pPr>
      <w:r w:rsidRPr="00C93C49">
        <w:rPr>
          <w:rFonts w:ascii="Arial" w:eastAsia="Calibri" w:hAnsi="Arial" w:cs="Arial"/>
          <w:b/>
          <w:snapToGrid w:val="0"/>
          <w:sz w:val="24"/>
          <w:szCs w:val="24"/>
        </w:rPr>
        <w:t xml:space="preserve">Exhibit X – 15 </w:t>
      </w:r>
    </w:p>
    <w:p w14:paraId="71246D14" w14:textId="77777777" w:rsidR="00150261" w:rsidRPr="00C93C49" w:rsidRDefault="00150261" w:rsidP="00150261">
      <w:pPr>
        <w:widowControl w:val="0"/>
        <w:spacing w:after="0" w:line="20" w:lineRule="atLeast"/>
        <w:jc w:val="center"/>
        <w:rPr>
          <w:rFonts w:ascii="Arial" w:eastAsia="Times New Roman" w:hAnsi="Arial" w:cs="Arial"/>
          <w:b/>
          <w:snapToGrid w:val="0"/>
          <w:sz w:val="24"/>
          <w:szCs w:val="24"/>
        </w:rPr>
      </w:pPr>
      <w:r w:rsidRPr="00C93C49">
        <w:rPr>
          <w:rFonts w:ascii="Arial" w:eastAsia="Calibri" w:hAnsi="Arial" w:cs="Arial"/>
          <w:b/>
          <w:snapToGrid w:val="0"/>
          <w:sz w:val="24"/>
          <w:szCs w:val="24"/>
        </w:rPr>
        <w:t>FirstEnergy Pennsylvania Companies vs. Panel Average</w:t>
      </w:r>
    </w:p>
    <w:p w14:paraId="1D7995C6" w14:textId="77777777" w:rsidR="00150261" w:rsidRPr="00C93C49" w:rsidRDefault="00150261" w:rsidP="00150261">
      <w:pPr>
        <w:widowControl w:val="0"/>
        <w:spacing w:after="0" w:line="20" w:lineRule="atLeast"/>
        <w:jc w:val="center"/>
        <w:rPr>
          <w:rFonts w:ascii="Arial" w:eastAsia="Times New Roman" w:hAnsi="Arial" w:cs="Arial"/>
          <w:b/>
          <w:snapToGrid w:val="0"/>
          <w:sz w:val="24"/>
          <w:szCs w:val="24"/>
        </w:rPr>
      </w:pPr>
      <w:r w:rsidRPr="00C93C49">
        <w:rPr>
          <w:rFonts w:ascii="Arial" w:eastAsia="Times New Roman" w:hAnsi="Arial" w:cs="Arial"/>
          <w:b/>
          <w:snapToGrid w:val="0"/>
          <w:sz w:val="24"/>
          <w:szCs w:val="24"/>
        </w:rPr>
        <w:t>Average Arrears per Residential Customer</w:t>
      </w:r>
    </w:p>
    <w:p w14:paraId="5C7389FF" w14:textId="77777777" w:rsidR="00150261" w:rsidRPr="00C93C49" w:rsidRDefault="00150261" w:rsidP="00150261">
      <w:pPr>
        <w:widowControl w:val="0"/>
        <w:spacing w:after="0" w:line="20" w:lineRule="atLeast"/>
        <w:jc w:val="center"/>
        <w:rPr>
          <w:rFonts w:ascii="Arial" w:eastAsia="Times New Roman" w:hAnsi="Arial" w:cs="Arial"/>
          <w:b/>
          <w:snapToGrid w:val="0"/>
          <w:sz w:val="24"/>
          <w:szCs w:val="24"/>
        </w:rPr>
      </w:pPr>
      <w:r w:rsidRPr="00C93C49">
        <w:rPr>
          <w:rFonts w:ascii="Arial" w:eastAsia="Times New Roman" w:hAnsi="Arial" w:cs="Arial"/>
          <w:b/>
          <w:snapToGrid w:val="0"/>
          <w:sz w:val="24"/>
          <w:szCs w:val="24"/>
        </w:rPr>
        <w:t xml:space="preserve"> For the Years 2008 through 2012</w:t>
      </w:r>
    </w:p>
    <w:p w14:paraId="5781D6E6" w14:textId="77777777" w:rsidR="00150261" w:rsidRPr="00C93C49" w:rsidRDefault="00150261" w:rsidP="00150261">
      <w:pPr>
        <w:widowControl w:val="0"/>
        <w:tabs>
          <w:tab w:val="left" w:pos="720"/>
        </w:tabs>
        <w:spacing w:after="0" w:line="20" w:lineRule="atLeast"/>
        <w:rPr>
          <w:rFonts w:ascii="Arial" w:eastAsia="Calibri" w:hAnsi="Arial" w:cs="Arial"/>
          <w:b/>
          <w:snapToGrid w:val="0"/>
          <w:sz w:val="4"/>
          <w:szCs w:val="4"/>
        </w:rPr>
      </w:pPr>
    </w:p>
    <w:tbl>
      <w:tblPr>
        <w:tblStyle w:val="TableGrid34"/>
        <w:tblW w:w="6684" w:type="dxa"/>
        <w:jc w:val="center"/>
        <w:tblLook w:val="04A0" w:firstRow="1" w:lastRow="0" w:firstColumn="1" w:lastColumn="0" w:noHBand="0" w:noVBand="1"/>
      </w:tblPr>
      <w:tblGrid>
        <w:gridCol w:w="2334"/>
        <w:gridCol w:w="870"/>
        <w:gridCol w:w="870"/>
        <w:gridCol w:w="870"/>
        <w:gridCol w:w="870"/>
        <w:gridCol w:w="870"/>
      </w:tblGrid>
      <w:tr w:rsidR="00150261" w:rsidRPr="00C93C49" w14:paraId="71A12BF3" w14:textId="77777777" w:rsidTr="00703C42">
        <w:trPr>
          <w:trHeight w:val="20"/>
          <w:jc w:val="center"/>
        </w:trPr>
        <w:tc>
          <w:tcPr>
            <w:tcW w:w="2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E1889" w14:textId="77777777" w:rsidR="00150261" w:rsidRPr="00C93C49" w:rsidRDefault="00150261" w:rsidP="00703C42">
            <w:pPr>
              <w:widowControl w:val="0"/>
              <w:spacing w:line="20" w:lineRule="atLeast"/>
              <w:rPr>
                <w:rFonts w:ascii="Calibri" w:eastAsia="Calibri" w:hAnsi="Calibri"/>
                <w:snapToGrid w:val="0"/>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01796" w14:textId="77777777" w:rsidR="00150261" w:rsidRPr="00C93C49" w:rsidRDefault="00150261" w:rsidP="00703C42">
            <w:pPr>
              <w:widowControl w:val="0"/>
              <w:spacing w:line="20" w:lineRule="atLeast"/>
              <w:jc w:val="center"/>
              <w:rPr>
                <w:rFonts w:ascii="Arial" w:eastAsia="Calibri" w:hAnsi="Arial" w:cs="Arial"/>
                <w:b/>
                <w:snapToGrid w:val="0"/>
              </w:rPr>
            </w:pPr>
            <w:r w:rsidRPr="00C93C49">
              <w:rPr>
                <w:rFonts w:ascii="Arial" w:eastAsia="Calibri" w:hAnsi="Arial" w:cs="Arial"/>
                <w:b/>
                <w:snapToGrid w:val="0"/>
              </w:rPr>
              <w:t>2008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5AAD5" w14:textId="77777777" w:rsidR="00150261" w:rsidRPr="00C93C49" w:rsidRDefault="00150261" w:rsidP="00703C42">
            <w:pPr>
              <w:widowControl w:val="0"/>
              <w:spacing w:line="20" w:lineRule="atLeast"/>
              <w:jc w:val="center"/>
              <w:rPr>
                <w:rFonts w:ascii="Arial" w:eastAsia="Calibri" w:hAnsi="Arial" w:cs="Arial"/>
                <w:b/>
                <w:snapToGrid w:val="0"/>
              </w:rPr>
            </w:pPr>
            <w:r w:rsidRPr="00C93C49">
              <w:rPr>
                <w:rFonts w:ascii="Arial" w:eastAsia="Calibri" w:hAnsi="Arial" w:cs="Arial"/>
                <w:b/>
                <w:snapToGrid w:val="0"/>
              </w:rPr>
              <w:t>2009</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7A950" w14:textId="77777777" w:rsidR="00150261" w:rsidRPr="00C93C49" w:rsidRDefault="00150261" w:rsidP="00703C42">
            <w:pPr>
              <w:widowControl w:val="0"/>
              <w:spacing w:line="20" w:lineRule="atLeast"/>
              <w:jc w:val="center"/>
              <w:rPr>
                <w:rFonts w:ascii="Arial" w:eastAsia="Calibri" w:hAnsi="Arial" w:cs="Arial"/>
                <w:b/>
                <w:snapToGrid w:val="0"/>
              </w:rPr>
            </w:pPr>
            <w:r w:rsidRPr="00C93C49">
              <w:rPr>
                <w:rFonts w:ascii="Arial" w:eastAsia="Calibri" w:hAnsi="Arial" w:cs="Arial"/>
                <w:b/>
                <w:snapToGrid w:val="0"/>
              </w:rPr>
              <w:t>2010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7262D" w14:textId="77777777" w:rsidR="00150261" w:rsidRPr="00C93C49" w:rsidRDefault="00150261" w:rsidP="00703C42">
            <w:pPr>
              <w:widowControl w:val="0"/>
              <w:spacing w:line="20" w:lineRule="atLeast"/>
              <w:jc w:val="center"/>
              <w:rPr>
                <w:rFonts w:ascii="Arial" w:eastAsia="Calibri" w:hAnsi="Arial" w:cs="Arial"/>
                <w:b/>
                <w:snapToGrid w:val="0"/>
              </w:rPr>
            </w:pPr>
            <w:r w:rsidRPr="00C93C49">
              <w:rPr>
                <w:rFonts w:ascii="Arial" w:eastAsia="Calibri" w:hAnsi="Arial" w:cs="Arial"/>
                <w:b/>
                <w:snapToGrid w:val="0"/>
              </w:rPr>
              <w:t>2011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04417" w14:textId="77777777" w:rsidR="00150261" w:rsidRPr="00C93C49" w:rsidRDefault="00150261" w:rsidP="00703C42">
            <w:pPr>
              <w:widowControl w:val="0"/>
              <w:spacing w:line="20" w:lineRule="atLeast"/>
              <w:jc w:val="center"/>
              <w:rPr>
                <w:rFonts w:ascii="Arial" w:eastAsia="Calibri" w:hAnsi="Arial" w:cs="Arial"/>
                <w:b/>
                <w:snapToGrid w:val="0"/>
              </w:rPr>
            </w:pPr>
            <w:r w:rsidRPr="00C93C49">
              <w:rPr>
                <w:rFonts w:ascii="Arial" w:eastAsia="Calibri" w:hAnsi="Arial" w:cs="Arial"/>
                <w:b/>
                <w:snapToGrid w:val="0"/>
              </w:rPr>
              <w:t>2012</w:t>
            </w:r>
          </w:p>
        </w:tc>
      </w:tr>
      <w:tr w:rsidR="00150261" w:rsidRPr="00C93C49" w14:paraId="75721DA8" w14:textId="77777777" w:rsidTr="00703C42">
        <w:trPr>
          <w:trHeight w:val="20"/>
          <w:jc w:val="center"/>
        </w:trPr>
        <w:tc>
          <w:tcPr>
            <w:tcW w:w="2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00462" w14:textId="77777777" w:rsidR="00150261" w:rsidRPr="00C93C49" w:rsidRDefault="00150261" w:rsidP="00703C42">
            <w:pPr>
              <w:widowControl w:val="0"/>
              <w:spacing w:line="20" w:lineRule="atLeast"/>
              <w:rPr>
                <w:rFonts w:ascii="Arial" w:eastAsia="Calibri" w:hAnsi="Arial" w:cs="Arial"/>
                <w:b/>
                <w:snapToGrid w:val="0"/>
              </w:rPr>
            </w:pPr>
            <w:r w:rsidRPr="00C93C49">
              <w:rPr>
                <w:rFonts w:ascii="Arial" w:eastAsia="Calibri" w:hAnsi="Arial" w:cs="Arial"/>
                <w:b/>
                <w:snapToGrid w:val="0"/>
              </w:rPr>
              <w:t>Duquesne</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50E3A"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$483</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F8CC1"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$508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79F1C"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$539</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FA43A"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$509</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C219C"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$501</w:t>
            </w:r>
          </w:p>
        </w:tc>
      </w:tr>
      <w:tr w:rsidR="00150261" w:rsidRPr="00C93C49" w14:paraId="183C2055" w14:textId="77777777" w:rsidTr="00703C42">
        <w:trPr>
          <w:trHeight w:val="20"/>
          <w:jc w:val="center"/>
        </w:trPr>
        <w:tc>
          <w:tcPr>
            <w:tcW w:w="2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8BAE1" w14:textId="77777777" w:rsidR="00150261" w:rsidRPr="00C93C49" w:rsidRDefault="00150261" w:rsidP="00703C42">
            <w:pPr>
              <w:widowControl w:val="0"/>
              <w:spacing w:line="20" w:lineRule="atLeast"/>
              <w:rPr>
                <w:rFonts w:ascii="Arial" w:eastAsia="Calibri" w:hAnsi="Arial" w:cs="Arial"/>
                <w:b/>
                <w:snapToGrid w:val="0"/>
              </w:rPr>
            </w:pPr>
            <w:r w:rsidRPr="00C93C49">
              <w:rPr>
                <w:rFonts w:ascii="Arial" w:eastAsia="Calibri" w:hAnsi="Arial" w:cs="Arial"/>
                <w:b/>
                <w:snapToGrid w:val="0"/>
              </w:rPr>
              <w:t>PPL</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62587"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$437</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A7313"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$452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D813B"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$480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3B2C3"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$565</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DC645"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$593</w:t>
            </w:r>
          </w:p>
        </w:tc>
      </w:tr>
      <w:tr w:rsidR="00150261" w:rsidRPr="00C93C49" w14:paraId="129223FB" w14:textId="77777777" w:rsidTr="00703C42">
        <w:trPr>
          <w:trHeight w:val="20"/>
          <w:jc w:val="center"/>
        </w:trPr>
        <w:tc>
          <w:tcPr>
            <w:tcW w:w="2334"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5B1197F" w14:textId="77777777" w:rsidR="00150261" w:rsidRPr="00C93C49" w:rsidRDefault="00150261" w:rsidP="00703C42">
            <w:pPr>
              <w:widowControl w:val="0"/>
              <w:spacing w:line="20" w:lineRule="atLeast"/>
              <w:rPr>
                <w:rFonts w:ascii="Arial" w:eastAsia="Calibri" w:hAnsi="Arial" w:cs="Arial"/>
                <w:b/>
                <w:snapToGrid w:val="0"/>
              </w:rPr>
            </w:pPr>
            <w:r w:rsidRPr="00C93C49">
              <w:rPr>
                <w:rFonts w:ascii="Arial" w:eastAsia="Calibri" w:hAnsi="Arial" w:cs="Arial"/>
                <w:b/>
                <w:snapToGrid w:val="0"/>
              </w:rPr>
              <w:t>PECO</w:t>
            </w:r>
          </w:p>
        </w:tc>
        <w:tc>
          <w:tcPr>
            <w:tcW w:w="87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62BF4F5"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$388</w:t>
            </w:r>
          </w:p>
        </w:tc>
        <w:tc>
          <w:tcPr>
            <w:tcW w:w="87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F6109FB"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$478</w:t>
            </w:r>
          </w:p>
        </w:tc>
        <w:tc>
          <w:tcPr>
            <w:tcW w:w="87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8C8DE1E"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$449</w:t>
            </w:r>
          </w:p>
        </w:tc>
        <w:tc>
          <w:tcPr>
            <w:tcW w:w="87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3CFDE902"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$455</w:t>
            </w:r>
          </w:p>
        </w:tc>
        <w:tc>
          <w:tcPr>
            <w:tcW w:w="87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3E0CFD5"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$539</w:t>
            </w:r>
          </w:p>
        </w:tc>
      </w:tr>
      <w:tr w:rsidR="00150261" w:rsidRPr="00C93C49" w14:paraId="365A0D3F" w14:textId="77777777" w:rsidTr="00703C42">
        <w:trPr>
          <w:trHeight w:val="20"/>
          <w:jc w:val="center"/>
        </w:trPr>
        <w:tc>
          <w:tcPr>
            <w:tcW w:w="2334"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0B7B0291" w14:textId="77777777" w:rsidR="00150261" w:rsidRPr="00C93C49" w:rsidRDefault="00150261" w:rsidP="00703C42">
            <w:pPr>
              <w:widowControl w:val="0"/>
              <w:spacing w:line="20" w:lineRule="atLeast"/>
              <w:jc w:val="right"/>
              <w:rPr>
                <w:rFonts w:ascii="Arial" w:eastAsia="Calibri" w:hAnsi="Arial" w:cs="Arial"/>
                <w:b/>
                <w:snapToGrid w:val="0"/>
              </w:rPr>
            </w:pPr>
            <w:r w:rsidRPr="00C93C49">
              <w:rPr>
                <w:rFonts w:ascii="Arial" w:eastAsia="Calibri" w:hAnsi="Arial" w:cs="Arial"/>
                <w:b/>
                <w:snapToGrid w:val="0"/>
              </w:rPr>
              <w:t>Panel Average</w:t>
            </w:r>
          </w:p>
        </w:tc>
        <w:tc>
          <w:tcPr>
            <w:tcW w:w="87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091E38DD"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$436</w:t>
            </w:r>
          </w:p>
        </w:tc>
        <w:tc>
          <w:tcPr>
            <w:tcW w:w="87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67783500"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$479</w:t>
            </w:r>
          </w:p>
        </w:tc>
        <w:tc>
          <w:tcPr>
            <w:tcW w:w="87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09961C1E"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$489</w:t>
            </w:r>
          </w:p>
        </w:tc>
        <w:tc>
          <w:tcPr>
            <w:tcW w:w="87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5EC15994"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$510</w:t>
            </w:r>
          </w:p>
        </w:tc>
        <w:tc>
          <w:tcPr>
            <w:tcW w:w="870" w:type="dxa"/>
            <w:tcBorders>
              <w:top w:val="double" w:sz="4" w:space="0" w:color="auto"/>
              <w:left w:val="single" w:sz="4" w:space="0" w:color="auto"/>
              <w:bottom w:val="double" w:sz="4" w:space="0" w:color="auto"/>
              <w:right w:val="double" w:sz="4" w:space="0" w:color="auto"/>
            </w:tcBorders>
            <w:shd w:val="clear" w:color="auto" w:fill="auto"/>
            <w:noWrap/>
            <w:vAlign w:val="center"/>
            <w:hideMark/>
          </w:tcPr>
          <w:p w14:paraId="3A9662D3"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$544</w:t>
            </w:r>
          </w:p>
        </w:tc>
      </w:tr>
      <w:tr w:rsidR="00150261" w:rsidRPr="00C93C49" w14:paraId="01BF4B21" w14:textId="77777777" w:rsidTr="00703C42">
        <w:trPr>
          <w:trHeight w:val="20"/>
          <w:jc w:val="center"/>
        </w:trPr>
        <w:tc>
          <w:tcPr>
            <w:tcW w:w="2334"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7BB0680" w14:textId="77777777" w:rsidR="00150261" w:rsidRPr="00C93C49" w:rsidRDefault="00150261" w:rsidP="00703C42">
            <w:pPr>
              <w:widowControl w:val="0"/>
              <w:spacing w:line="20" w:lineRule="atLeast"/>
              <w:rPr>
                <w:rFonts w:ascii="Arial" w:eastAsia="Calibri" w:hAnsi="Arial" w:cs="Arial"/>
                <w:b/>
                <w:snapToGrid w:val="0"/>
              </w:rPr>
            </w:pPr>
            <w:r w:rsidRPr="00C93C49">
              <w:rPr>
                <w:rFonts w:ascii="Arial" w:eastAsia="Calibri" w:hAnsi="Arial" w:cs="Arial"/>
                <w:b/>
                <w:snapToGrid w:val="0"/>
              </w:rPr>
              <w:t>Met-Ed</w:t>
            </w:r>
          </w:p>
        </w:tc>
        <w:tc>
          <w:tcPr>
            <w:tcW w:w="87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1CF52376"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$441</w:t>
            </w:r>
          </w:p>
        </w:tc>
        <w:tc>
          <w:tcPr>
            <w:tcW w:w="87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35E19DF"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$443</w:t>
            </w:r>
          </w:p>
        </w:tc>
        <w:tc>
          <w:tcPr>
            <w:tcW w:w="87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C1335BC"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$488</w:t>
            </w:r>
          </w:p>
        </w:tc>
        <w:tc>
          <w:tcPr>
            <w:tcW w:w="87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18015034"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$559</w:t>
            </w:r>
          </w:p>
        </w:tc>
        <w:tc>
          <w:tcPr>
            <w:tcW w:w="87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56EABBE"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$588</w:t>
            </w:r>
          </w:p>
        </w:tc>
      </w:tr>
      <w:tr w:rsidR="00150261" w:rsidRPr="00C93C49" w14:paraId="30C82E77" w14:textId="77777777" w:rsidTr="00703C42">
        <w:trPr>
          <w:trHeight w:val="20"/>
          <w:jc w:val="center"/>
        </w:trPr>
        <w:tc>
          <w:tcPr>
            <w:tcW w:w="2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1DFD2" w14:textId="77777777" w:rsidR="00150261" w:rsidRPr="00C93C49" w:rsidRDefault="00150261" w:rsidP="00703C42">
            <w:pPr>
              <w:widowControl w:val="0"/>
              <w:spacing w:line="20" w:lineRule="atLeast"/>
              <w:rPr>
                <w:rFonts w:ascii="Arial" w:eastAsia="Calibri" w:hAnsi="Arial" w:cs="Arial"/>
                <w:b/>
                <w:snapToGrid w:val="0"/>
              </w:rPr>
            </w:pPr>
            <w:r w:rsidRPr="00C93C49">
              <w:rPr>
                <w:rFonts w:ascii="Arial" w:eastAsia="Calibri" w:hAnsi="Arial" w:cs="Arial"/>
                <w:b/>
                <w:snapToGrid w:val="0"/>
              </w:rPr>
              <w:t>Penelec</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442ED"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$364</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83B16"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$352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FB5A7"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$370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8887C"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$444</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8B519"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$508</w:t>
            </w:r>
          </w:p>
        </w:tc>
      </w:tr>
      <w:tr w:rsidR="00150261" w:rsidRPr="00C93C49" w14:paraId="609B9A5D" w14:textId="77777777" w:rsidTr="00703C42">
        <w:trPr>
          <w:trHeight w:val="20"/>
          <w:jc w:val="center"/>
        </w:trPr>
        <w:tc>
          <w:tcPr>
            <w:tcW w:w="2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B4F6B" w14:textId="77777777" w:rsidR="00150261" w:rsidRPr="00C93C49" w:rsidRDefault="00150261" w:rsidP="00703C42">
            <w:pPr>
              <w:widowControl w:val="0"/>
              <w:spacing w:line="20" w:lineRule="atLeast"/>
              <w:rPr>
                <w:rFonts w:ascii="Arial" w:eastAsia="Calibri" w:hAnsi="Arial" w:cs="Arial"/>
                <w:b/>
                <w:snapToGrid w:val="0"/>
              </w:rPr>
            </w:pPr>
            <w:r w:rsidRPr="00C93C49">
              <w:rPr>
                <w:rFonts w:ascii="Arial" w:eastAsia="Calibri" w:hAnsi="Arial" w:cs="Arial"/>
                <w:b/>
                <w:snapToGrid w:val="0"/>
              </w:rPr>
              <w:t>Penn Power</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27A95"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$494</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5A79C"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$543</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BBA5A"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$559</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8EEC1"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$563</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C36B6"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$558</w:t>
            </w:r>
          </w:p>
        </w:tc>
      </w:tr>
      <w:tr w:rsidR="00150261" w:rsidRPr="00C93C49" w14:paraId="47BF8307" w14:textId="77777777" w:rsidTr="00703C42">
        <w:trPr>
          <w:trHeight w:val="20"/>
          <w:jc w:val="center"/>
        </w:trPr>
        <w:tc>
          <w:tcPr>
            <w:tcW w:w="2334"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4C7DCF1B" w14:textId="77777777" w:rsidR="00150261" w:rsidRPr="00C93C49" w:rsidRDefault="00150261" w:rsidP="00703C42">
            <w:pPr>
              <w:widowControl w:val="0"/>
              <w:spacing w:line="20" w:lineRule="atLeast"/>
              <w:rPr>
                <w:rFonts w:ascii="Arial" w:eastAsia="Calibri" w:hAnsi="Arial" w:cs="Arial"/>
                <w:b/>
                <w:snapToGrid w:val="0"/>
              </w:rPr>
            </w:pPr>
            <w:r w:rsidRPr="00C93C49">
              <w:rPr>
                <w:rFonts w:ascii="Arial" w:eastAsia="Calibri" w:hAnsi="Arial" w:cs="Arial"/>
                <w:b/>
                <w:snapToGrid w:val="0"/>
              </w:rPr>
              <w:t>West Penn Power</w:t>
            </w:r>
          </w:p>
        </w:tc>
        <w:tc>
          <w:tcPr>
            <w:tcW w:w="87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117F192D"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$87</w:t>
            </w:r>
          </w:p>
        </w:tc>
        <w:tc>
          <w:tcPr>
            <w:tcW w:w="87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3F58912"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$98</w:t>
            </w:r>
          </w:p>
        </w:tc>
        <w:tc>
          <w:tcPr>
            <w:tcW w:w="87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D985A73"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$112</w:t>
            </w:r>
          </w:p>
        </w:tc>
        <w:tc>
          <w:tcPr>
            <w:tcW w:w="87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8D29843"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$116</w:t>
            </w:r>
          </w:p>
        </w:tc>
        <w:tc>
          <w:tcPr>
            <w:tcW w:w="87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32281BCE"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$206</w:t>
            </w:r>
          </w:p>
        </w:tc>
      </w:tr>
      <w:tr w:rsidR="00150261" w:rsidRPr="00C93C49" w14:paraId="3F43E911" w14:textId="77777777" w:rsidTr="00703C42">
        <w:trPr>
          <w:trHeight w:val="20"/>
          <w:jc w:val="center"/>
        </w:trPr>
        <w:tc>
          <w:tcPr>
            <w:tcW w:w="2334"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1912918A" w14:textId="77777777" w:rsidR="00150261" w:rsidRPr="00C93C49" w:rsidRDefault="00150261" w:rsidP="00703C42">
            <w:pPr>
              <w:widowControl w:val="0"/>
              <w:spacing w:line="20" w:lineRule="atLeast"/>
              <w:jc w:val="right"/>
              <w:rPr>
                <w:rFonts w:ascii="Arial" w:eastAsia="Calibri" w:hAnsi="Arial" w:cs="Arial"/>
                <w:b/>
                <w:snapToGrid w:val="0"/>
              </w:rPr>
            </w:pPr>
            <w:r w:rsidRPr="00C93C49">
              <w:rPr>
                <w:rFonts w:ascii="Arial" w:eastAsia="Calibri" w:hAnsi="Arial" w:cs="Arial"/>
                <w:b/>
                <w:snapToGrid w:val="0"/>
              </w:rPr>
              <w:t>FE-PA Companies</w:t>
            </w:r>
          </w:p>
        </w:tc>
        <w:tc>
          <w:tcPr>
            <w:tcW w:w="87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866277B"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$347</w:t>
            </w:r>
          </w:p>
        </w:tc>
        <w:tc>
          <w:tcPr>
            <w:tcW w:w="87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2059D69"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$359</w:t>
            </w:r>
          </w:p>
        </w:tc>
        <w:tc>
          <w:tcPr>
            <w:tcW w:w="87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C748536"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$382</w:t>
            </w:r>
          </w:p>
        </w:tc>
        <w:tc>
          <w:tcPr>
            <w:tcW w:w="87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D2727B6"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$421</w:t>
            </w:r>
          </w:p>
        </w:tc>
        <w:tc>
          <w:tcPr>
            <w:tcW w:w="87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22B3959" w14:textId="77777777" w:rsidR="00150261" w:rsidRPr="00C93C49" w:rsidRDefault="00150261" w:rsidP="00703C42">
            <w:pPr>
              <w:widowControl w:val="0"/>
              <w:spacing w:line="20" w:lineRule="atLeast"/>
              <w:jc w:val="center"/>
              <w:rPr>
                <w:rFonts w:ascii="Arial" w:eastAsia="Calibri" w:hAnsi="Arial" w:cs="Arial"/>
                <w:snapToGrid w:val="0"/>
              </w:rPr>
            </w:pPr>
            <w:r w:rsidRPr="00C93C49">
              <w:rPr>
                <w:rFonts w:ascii="Arial" w:eastAsia="Calibri" w:hAnsi="Arial" w:cs="Arial"/>
                <w:snapToGrid w:val="0"/>
              </w:rPr>
              <w:t>$465</w:t>
            </w:r>
          </w:p>
        </w:tc>
      </w:tr>
    </w:tbl>
    <w:p w14:paraId="2B5113EF" w14:textId="77777777" w:rsidR="00150261" w:rsidRPr="00C93C49" w:rsidRDefault="00150261" w:rsidP="00150261">
      <w:pPr>
        <w:widowControl w:val="0"/>
        <w:tabs>
          <w:tab w:val="left" w:pos="720"/>
        </w:tabs>
        <w:spacing w:after="0" w:line="20" w:lineRule="atLeast"/>
        <w:ind w:firstLine="1350"/>
        <w:rPr>
          <w:rFonts w:ascii="Arial" w:eastAsia="Calibri" w:hAnsi="Arial" w:cs="Arial"/>
          <w:snapToGrid w:val="0"/>
          <w:sz w:val="18"/>
          <w:szCs w:val="18"/>
        </w:rPr>
      </w:pPr>
      <w:r w:rsidRPr="00C93C49">
        <w:rPr>
          <w:rFonts w:ascii="Arial" w:eastAsia="Calibri" w:hAnsi="Arial" w:cs="Arial"/>
          <w:snapToGrid w:val="0"/>
          <w:sz w:val="18"/>
          <w:szCs w:val="18"/>
        </w:rPr>
        <w:t xml:space="preserve">Source: Exhibit X – 9 from Prior Management Audit </w:t>
      </w:r>
    </w:p>
    <w:p w14:paraId="60767ABC" w14:textId="77777777" w:rsidR="00150261" w:rsidRPr="00C93C49" w:rsidRDefault="00150261" w:rsidP="00150261">
      <w:pPr>
        <w:spacing w:after="0" w:line="20" w:lineRule="atLeast"/>
        <w:contextualSpacing/>
        <w:rPr>
          <w:rFonts w:ascii="Arial" w:eastAsia="Times New Roman" w:hAnsi="Arial" w:cs="Times New Roman"/>
          <w:b/>
          <w:sz w:val="24"/>
          <w:szCs w:val="24"/>
          <w:u w:val="single"/>
        </w:rPr>
      </w:pPr>
    </w:p>
    <w:p w14:paraId="3C4F6001" w14:textId="77777777" w:rsidR="00150261" w:rsidRPr="00C93C49" w:rsidRDefault="00150261" w:rsidP="00150261">
      <w:pPr>
        <w:spacing w:after="0" w:line="20" w:lineRule="atLeast"/>
        <w:contextualSpacing/>
        <w:rPr>
          <w:rFonts w:ascii="Arial" w:eastAsia="Times New Roman" w:hAnsi="Arial" w:cs="Times New Roman"/>
          <w:b/>
          <w:sz w:val="24"/>
          <w:szCs w:val="24"/>
          <w:u w:val="single"/>
        </w:rPr>
      </w:pPr>
    </w:p>
    <w:p w14:paraId="4C22DACF" w14:textId="77777777" w:rsidR="00C93C49" w:rsidRPr="00C93C49" w:rsidRDefault="00C93C49" w:rsidP="00C93C49">
      <w:pPr>
        <w:autoSpaceDE w:val="0"/>
        <w:autoSpaceDN w:val="0"/>
        <w:adjustRightInd w:val="0"/>
        <w:spacing w:after="0" w:line="20" w:lineRule="atLeast"/>
        <w:ind w:firstLine="720"/>
        <w:rPr>
          <w:rFonts w:ascii="Arial" w:eastAsia="Times New Roman" w:hAnsi="Arial" w:cs="Arial"/>
          <w:color w:val="000000"/>
          <w:sz w:val="24"/>
          <w:szCs w:val="24"/>
        </w:rPr>
      </w:pPr>
      <w:r w:rsidRPr="00C93C49">
        <w:rPr>
          <w:rFonts w:ascii="Arial" w:eastAsia="Times New Roman" w:hAnsi="Arial" w:cs="Arial"/>
          <w:color w:val="000000"/>
          <w:sz w:val="24"/>
          <w:szCs w:val="24"/>
        </w:rPr>
        <w:t>Met-Ed and Penn Power could have realized a combined average annual savings of approximately $24,000 in interest rate expenses by reducing arrearages to the panel average assuming the increased cash flow would have alleviated a need to borrow from the FirstEnergy Money Pool at an interest rate of 1.4% as of October 2013.</w:t>
      </w:r>
    </w:p>
    <w:p w14:paraId="703105DF" w14:textId="77777777" w:rsidR="00C93C49" w:rsidRPr="00C93C49" w:rsidRDefault="00C93C49" w:rsidP="00C93C49">
      <w:pPr>
        <w:widowControl w:val="0"/>
        <w:spacing w:after="0" w:line="20" w:lineRule="atLeast"/>
        <w:rPr>
          <w:rFonts w:ascii="Arial" w:eastAsia="Times New Roman" w:hAnsi="Arial" w:cs="Arial"/>
          <w:color w:val="000000"/>
          <w:sz w:val="24"/>
          <w:szCs w:val="24"/>
        </w:rPr>
      </w:pPr>
    </w:p>
    <w:p w14:paraId="23BB3194" w14:textId="77777777" w:rsidR="00C93C49" w:rsidRPr="00C93C49" w:rsidRDefault="00C93C49" w:rsidP="00C93C49">
      <w:pPr>
        <w:spacing w:after="0" w:line="20" w:lineRule="atLeast"/>
        <w:contextualSpacing/>
        <w:rPr>
          <w:rFonts w:ascii="Arial" w:eastAsia="Times New Roman" w:hAnsi="Arial" w:cs="Times New Roman"/>
          <w:sz w:val="24"/>
          <w:szCs w:val="24"/>
        </w:rPr>
      </w:pPr>
      <w:r w:rsidRPr="00C93C49">
        <w:rPr>
          <w:rFonts w:ascii="Arial" w:eastAsia="Times New Roman" w:hAnsi="Arial" w:cs="Times New Roman"/>
          <w:b/>
          <w:sz w:val="24"/>
          <w:szCs w:val="24"/>
          <w:u w:val="single"/>
        </w:rPr>
        <w:t>Prior Recommendation</w:t>
      </w:r>
      <w:r w:rsidRPr="00C93C49">
        <w:rPr>
          <w:rFonts w:ascii="Arial" w:eastAsia="Times New Roman" w:hAnsi="Arial" w:cs="Times New Roman"/>
          <w:sz w:val="24"/>
          <w:szCs w:val="24"/>
        </w:rPr>
        <w:t xml:space="preserve"> – Expand efforts to reduce arrearages to levels comparable with a panel of PA EDC averages.</w:t>
      </w:r>
    </w:p>
    <w:p w14:paraId="5F69AE17" w14:textId="77777777" w:rsidR="00C93C49" w:rsidRPr="00C93C49" w:rsidRDefault="00C93C49" w:rsidP="00C93C49">
      <w:pPr>
        <w:spacing w:after="0" w:line="20" w:lineRule="atLeast"/>
        <w:contextualSpacing/>
        <w:rPr>
          <w:rFonts w:ascii="Arial" w:eastAsia="Times New Roman" w:hAnsi="Arial" w:cs="Times New Roman"/>
          <w:bCs/>
          <w:sz w:val="24"/>
          <w:szCs w:val="24"/>
        </w:rPr>
      </w:pPr>
    </w:p>
    <w:p w14:paraId="74489273" w14:textId="77777777" w:rsidR="00C93C49" w:rsidRPr="00C93C49" w:rsidRDefault="00C93C49" w:rsidP="00C93C49">
      <w:pPr>
        <w:spacing w:after="0" w:line="20" w:lineRule="atLeast"/>
        <w:rPr>
          <w:rFonts w:ascii="Arial" w:eastAsia="Times New Roman" w:hAnsi="Arial" w:cs="Arial"/>
          <w:b/>
          <w:snapToGrid w:val="0"/>
          <w:sz w:val="24"/>
          <w:szCs w:val="20"/>
        </w:rPr>
      </w:pPr>
      <w:r w:rsidRPr="00C93C49">
        <w:rPr>
          <w:rFonts w:ascii="Arial" w:eastAsia="Times New Roman" w:hAnsi="Arial" w:cs="Times New Roman"/>
          <w:b/>
          <w:sz w:val="24"/>
          <w:szCs w:val="24"/>
          <w:u w:val="single"/>
        </w:rPr>
        <w:t>Follow-up Finding and Conclusion No. X-6</w:t>
      </w:r>
      <w:r w:rsidRPr="00C93C49">
        <w:rPr>
          <w:rFonts w:ascii="Arial" w:eastAsia="Times New Roman" w:hAnsi="Arial" w:cs="Times New Roman"/>
          <w:b/>
          <w:sz w:val="24"/>
          <w:szCs w:val="24"/>
        </w:rPr>
        <w:t xml:space="preserve"> – </w:t>
      </w:r>
      <w:r w:rsidRPr="00C93C49">
        <w:rPr>
          <w:rFonts w:ascii="Arial" w:eastAsia="Times New Roman" w:hAnsi="Arial" w:cs="Arial"/>
          <w:b/>
          <w:snapToGrid w:val="0"/>
          <w:sz w:val="24"/>
          <w:szCs w:val="20"/>
        </w:rPr>
        <w:t>Arrearages over 90 days have decreased; however, average arrearages were higher than a panel average of other Pennsylvania EDCs in 2016.</w:t>
      </w:r>
    </w:p>
    <w:p w14:paraId="1F274DC6" w14:textId="77777777" w:rsidR="00C93C49" w:rsidRPr="00C93C49" w:rsidRDefault="00C93C49" w:rsidP="00C93C49">
      <w:pPr>
        <w:widowControl w:val="0"/>
        <w:tabs>
          <w:tab w:val="left" w:pos="2049"/>
        </w:tabs>
        <w:spacing w:after="0" w:line="20" w:lineRule="atLeast"/>
        <w:rPr>
          <w:rFonts w:ascii="Arial" w:eastAsia="Times New Roman" w:hAnsi="Arial" w:cs="Arial"/>
          <w:b/>
          <w:snapToGrid w:val="0"/>
          <w:sz w:val="24"/>
          <w:szCs w:val="20"/>
          <w:u w:val="single"/>
        </w:rPr>
      </w:pPr>
    </w:p>
    <w:p w14:paraId="41DF727B" w14:textId="77777777" w:rsidR="00C93C49" w:rsidRPr="00C93C49" w:rsidRDefault="00C93C49" w:rsidP="00C93C49">
      <w:pPr>
        <w:widowControl w:val="0"/>
        <w:tabs>
          <w:tab w:val="left" w:pos="0"/>
        </w:tabs>
        <w:spacing w:after="0" w:line="20" w:lineRule="atLeast"/>
        <w:rPr>
          <w:rFonts w:ascii="Arial" w:eastAsia="Times New Roman" w:hAnsi="Arial" w:cs="Arial"/>
          <w:snapToGrid w:val="0"/>
          <w:sz w:val="24"/>
          <w:szCs w:val="20"/>
        </w:rPr>
      </w:pPr>
      <w:r w:rsidRPr="00C93C49">
        <w:rPr>
          <w:rFonts w:ascii="Arial" w:eastAsia="Times New Roman" w:hAnsi="Arial" w:cs="Arial"/>
          <w:b/>
          <w:snapToGrid w:val="0"/>
          <w:sz w:val="24"/>
          <w:szCs w:val="20"/>
          <w:u w:val="single"/>
        </w:rPr>
        <w:t>Current Review</w:t>
      </w:r>
      <w:r w:rsidRPr="00C93C49">
        <w:rPr>
          <w:rFonts w:ascii="Arial" w:eastAsia="Times New Roman" w:hAnsi="Arial" w:cs="Arial"/>
          <w:snapToGrid w:val="0"/>
          <w:sz w:val="24"/>
          <w:szCs w:val="20"/>
        </w:rPr>
        <w:t xml:space="preserve"> – As shown in Exhibit X-16, the </w:t>
      </w:r>
      <w:r w:rsidR="00DC3D9B">
        <w:rPr>
          <w:rFonts w:ascii="Arial" w:eastAsia="Times New Roman" w:hAnsi="Arial" w:cs="Arial"/>
          <w:snapToGrid w:val="0"/>
          <w:sz w:val="24"/>
          <w:szCs w:val="20"/>
        </w:rPr>
        <w:t>FE-PA companies</w:t>
      </w:r>
      <w:r w:rsidRPr="00C93C49">
        <w:rPr>
          <w:rFonts w:ascii="Arial" w:eastAsia="Times New Roman" w:hAnsi="Arial" w:cs="Arial"/>
          <w:snapToGrid w:val="0"/>
          <w:sz w:val="24"/>
          <w:szCs w:val="20"/>
        </w:rPr>
        <w:t xml:space="preserve"> have decreased arrearages on a percentage basis over 90 days.  However, as shown in Exhibit X-17, the </w:t>
      </w:r>
      <w:r w:rsidR="00DC3D9B">
        <w:rPr>
          <w:rFonts w:ascii="Arial" w:eastAsia="Times New Roman" w:hAnsi="Arial" w:cs="Arial"/>
          <w:snapToGrid w:val="0"/>
          <w:sz w:val="24"/>
          <w:szCs w:val="20"/>
        </w:rPr>
        <w:t>FE-PA companies</w:t>
      </w:r>
      <w:r w:rsidRPr="00C93C49">
        <w:rPr>
          <w:rFonts w:ascii="Arial" w:eastAsia="Times New Roman" w:hAnsi="Arial" w:cs="Arial"/>
          <w:snapToGrid w:val="0"/>
          <w:sz w:val="24"/>
          <w:szCs w:val="20"/>
        </w:rPr>
        <w:t xml:space="preserve"> other than West Penn Power were substantially higher in terms of average arrearages per residential customer than a panel average in 2016.  Each of the </w:t>
      </w:r>
      <w:r w:rsidR="00DC3D9B">
        <w:rPr>
          <w:rFonts w:ascii="Arial" w:eastAsia="Times New Roman" w:hAnsi="Arial" w:cs="Arial"/>
          <w:snapToGrid w:val="0"/>
          <w:sz w:val="24"/>
          <w:szCs w:val="20"/>
        </w:rPr>
        <w:t>FE-PA companies</w:t>
      </w:r>
      <w:r w:rsidRPr="00C93C49">
        <w:rPr>
          <w:rFonts w:ascii="Arial" w:eastAsia="Times New Roman" w:hAnsi="Arial" w:cs="Arial"/>
          <w:snapToGrid w:val="0"/>
          <w:sz w:val="24"/>
          <w:szCs w:val="20"/>
        </w:rPr>
        <w:t xml:space="preserve"> were close to or below the panel average in 2013 through 2015. </w:t>
      </w:r>
    </w:p>
    <w:p w14:paraId="3437B273"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0"/>
        </w:rPr>
      </w:pPr>
    </w:p>
    <w:p w14:paraId="57C5B07B" w14:textId="77777777" w:rsidR="00150261" w:rsidRDefault="00150261">
      <w:pPr>
        <w:rPr>
          <w:rFonts w:ascii="Arial" w:eastAsia="Times New Roman" w:hAnsi="Arial" w:cs="Arial"/>
          <w:snapToGrid w:val="0"/>
          <w:sz w:val="24"/>
          <w:szCs w:val="24"/>
        </w:rPr>
      </w:pPr>
      <w:r>
        <w:rPr>
          <w:rFonts w:ascii="Arial" w:eastAsia="Times New Roman" w:hAnsi="Arial" w:cs="Arial"/>
          <w:snapToGrid w:val="0"/>
          <w:sz w:val="24"/>
          <w:szCs w:val="24"/>
        </w:rPr>
        <w:br w:type="page"/>
      </w:r>
    </w:p>
    <w:p w14:paraId="56103C31" w14:textId="77777777" w:rsidR="00C93C49" w:rsidRPr="00C93C49" w:rsidRDefault="00C93C49" w:rsidP="00C93C49">
      <w:pPr>
        <w:spacing w:after="0" w:line="20" w:lineRule="atLeast"/>
        <w:jc w:val="center"/>
        <w:rPr>
          <w:rFonts w:ascii="Arial" w:eastAsia="Times New Roman" w:hAnsi="Arial" w:cs="Arial"/>
          <w:snapToGrid w:val="0"/>
          <w:sz w:val="24"/>
          <w:szCs w:val="20"/>
        </w:rPr>
      </w:pPr>
      <w:r w:rsidRPr="00C93C49">
        <w:rPr>
          <w:rFonts w:ascii="Arial" w:eastAsia="Times New Roman" w:hAnsi="Arial" w:cs="Arial"/>
          <w:b/>
          <w:snapToGrid w:val="0"/>
          <w:sz w:val="24"/>
          <w:szCs w:val="20"/>
        </w:rPr>
        <w:t>Exhibit X – 16</w:t>
      </w:r>
    </w:p>
    <w:p w14:paraId="47E21804"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0"/>
        </w:rPr>
      </w:pPr>
      <w:r w:rsidRPr="00C93C49">
        <w:rPr>
          <w:rFonts w:ascii="Arial" w:eastAsia="Calibri" w:hAnsi="Arial" w:cs="Arial"/>
          <w:b/>
          <w:sz w:val="24"/>
          <w:szCs w:val="24"/>
        </w:rPr>
        <w:t>FirstEnergy Pennsylvania Companies</w:t>
      </w:r>
      <w:r w:rsidRPr="00C93C49">
        <w:rPr>
          <w:rFonts w:ascii="Arial" w:eastAsia="Times New Roman" w:hAnsi="Arial" w:cs="Arial"/>
          <w:b/>
          <w:snapToGrid w:val="0"/>
          <w:sz w:val="24"/>
          <w:szCs w:val="20"/>
        </w:rPr>
        <w:t xml:space="preserve"> </w:t>
      </w:r>
    </w:p>
    <w:p w14:paraId="47C020BA"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Arrearages 31-60, 61-90, 91-120 and &gt;120 Days</w:t>
      </w:r>
    </w:p>
    <w:p w14:paraId="30B46027"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For the Period 2013 through 2017</w:t>
      </w:r>
    </w:p>
    <w:p w14:paraId="12D9972E" w14:textId="77777777" w:rsidR="00C93C49" w:rsidRPr="00C93C49" w:rsidRDefault="00C93C49" w:rsidP="00C93C49">
      <w:pPr>
        <w:widowControl w:val="0"/>
        <w:spacing w:after="0" w:line="20" w:lineRule="atLeast"/>
        <w:jc w:val="center"/>
        <w:rPr>
          <w:rFonts w:ascii="Arial" w:eastAsia="Times New Roman" w:hAnsi="Arial" w:cs="Arial"/>
          <w:b/>
          <w:snapToGrid w:val="0"/>
          <w:sz w:val="8"/>
          <w:szCs w:val="8"/>
        </w:rPr>
      </w:pPr>
    </w:p>
    <w:tbl>
      <w:tblPr>
        <w:tblW w:w="9487" w:type="dxa"/>
        <w:jc w:val="center"/>
        <w:tblLook w:val="04A0" w:firstRow="1" w:lastRow="0" w:firstColumn="1" w:lastColumn="0" w:noHBand="0" w:noVBand="1"/>
      </w:tblPr>
      <w:tblGrid>
        <w:gridCol w:w="1426"/>
        <w:gridCol w:w="1462"/>
        <w:gridCol w:w="1341"/>
        <w:gridCol w:w="1341"/>
        <w:gridCol w:w="1462"/>
        <w:gridCol w:w="1462"/>
        <w:gridCol w:w="993"/>
      </w:tblGrid>
      <w:tr w:rsidR="00C93C49" w:rsidRPr="00C93C49" w14:paraId="32DF0B89" w14:textId="77777777" w:rsidTr="00347614">
        <w:trPr>
          <w:trHeight w:val="224"/>
          <w:jc w:val="center"/>
        </w:trPr>
        <w:tc>
          <w:tcPr>
            <w:tcW w:w="14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897F7A"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2013</w:t>
            </w:r>
          </w:p>
        </w:tc>
        <w:tc>
          <w:tcPr>
            <w:tcW w:w="1462" w:type="dxa"/>
            <w:tcBorders>
              <w:top w:val="single" w:sz="8" w:space="0" w:color="auto"/>
              <w:left w:val="nil"/>
              <w:bottom w:val="single" w:sz="8" w:space="0" w:color="auto"/>
              <w:right w:val="single" w:sz="8" w:space="0" w:color="auto"/>
            </w:tcBorders>
            <w:shd w:val="clear" w:color="auto" w:fill="auto"/>
            <w:noWrap/>
            <w:vAlign w:val="center"/>
            <w:hideMark/>
          </w:tcPr>
          <w:p w14:paraId="75EC34E6"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31 – 60 Days</w:t>
            </w:r>
          </w:p>
        </w:tc>
        <w:tc>
          <w:tcPr>
            <w:tcW w:w="1341" w:type="dxa"/>
            <w:tcBorders>
              <w:top w:val="single" w:sz="8" w:space="0" w:color="auto"/>
              <w:left w:val="nil"/>
              <w:bottom w:val="single" w:sz="8" w:space="0" w:color="auto"/>
              <w:right w:val="single" w:sz="8" w:space="0" w:color="auto"/>
            </w:tcBorders>
            <w:shd w:val="clear" w:color="auto" w:fill="auto"/>
            <w:noWrap/>
            <w:vAlign w:val="center"/>
            <w:hideMark/>
          </w:tcPr>
          <w:p w14:paraId="01B643A2"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61 - 90 Days</w:t>
            </w:r>
          </w:p>
        </w:tc>
        <w:tc>
          <w:tcPr>
            <w:tcW w:w="1341" w:type="dxa"/>
            <w:tcBorders>
              <w:top w:val="single" w:sz="8" w:space="0" w:color="auto"/>
              <w:left w:val="nil"/>
              <w:bottom w:val="single" w:sz="8" w:space="0" w:color="auto"/>
              <w:right w:val="single" w:sz="8" w:space="0" w:color="auto"/>
            </w:tcBorders>
            <w:shd w:val="clear" w:color="auto" w:fill="auto"/>
            <w:noWrap/>
            <w:vAlign w:val="center"/>
            <w:hideMark/>
          </w:tcPr>
          <w:p w14:paraId="484D5CDE"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91 - 120 Days</w:t>
            </w:r>
          </w:p>
        </w:tc>
        <w:tc>
          <w:tcPr>
            <w:tcW w:w="1462" w:type="dxa"/>
            <w:tcBorders>
              <w:top w:val="single" w:sz="8" w:space="0" w:color="auto"/>
              <w:left w:val="nil"/>
              <w:bottom w:val="single" w:sz="8" w:space="0" w:color="auto"/>
              <w:right w:val="single" w:sz="8" w:space="0" w:color="auto"/>
            </w:tcBorders>
            <w:shd w:val="clear" w:color="auto" w:fill="auto"/>
            <w:noWrap/>
            <w:vAlign w:val="center"/>
            <w:hideMark/>
          </w:tcPr>
          <w:p w14:paraId="5AF08146"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&gt; 120 Days</w:t>
            </w:r>
          </w:p>
        </w:tc>
        <w:tc>
          <w:tcPr>
            <w:tcW w:w="14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79C35FE"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Total Amount</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ED029C4"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 over 90 days</w:t>
            </w:r>
          </w:p>
        </w:tc>
      </w:tr>
      <w:tr w:rsidR="00C93C49" w:rsidRPr="00C93C49" w14:paraId="72E73947" w14:textId="77777777" w:rsidTr="00347614">
        <w:trPr>
          <w:trHeight w:val="224"/>
          <w:jc w:val="center"/>
        </w:trPr>
        <w:tc>
          <w:tcPr>
            <w:tcW w:w="1426" w:type="dxa"/>
            <w:vMerge/>
            <w:tcBorders>
              <w:top w:val="single" w:sz="8" w:space="0" w:color="auto"/>
              <w:left w:val="single" w:sz="8" w:space="0" w:color="auto"/>
              <w:bottom w:val="single" w:sz="8" w:space="0" w:color="000000"/>
              <w:right w:val="single" w:sz="8" w:space="0" w:color="auto"/>
            </w:tcBorders>
            <w:vAlign w:val="center"/>
            <w:hideMark/>
          </w:tcPr>
          <w:p w14:paraId="31CA5D9D" w14:textId="77777777" w:rsidR="00C93C49" w:rsidRPr="00C93C49" w:rsidRDefault="00C93C49" w:rsidP="00C93C49">
            <w:pPr>
              <w:spacing w:after="0" w:line="240" w:lineRule="auto"/>
              <w:rPr>
                <w:rFonts w:ascii="Arial" w:eastAsia="Times New Roman" w:hAnsi="Arial" w:cs="Arial"/>
                <w:b/>
                <w:bCs/>
                <w:color w:val="000000"/>
                <w:sz w:val="18"/>
                <w:szCs w:val="18"/>
              </w:rPr>
            </w:pPr>
          </w:p>
        </w:tc>
        <w:tc>
          <w:tcPr>
            <w:tcW w:w="1462" w:type="dxa"/>
            <w:tcBorders>
              <w:top w:val="nil"/>
              <w:left w:val="nil"/>
              <w:bottom w:val="single" w:sz="8" w:space="0" w:color="auto"/>
              <w:right w:val="single" w:sz="8" w:space="0" w:color="auto"/>
            </w:tcBorders>
            <w:shd w:val="clear" w:color="auto" w:fill="auto"/>
            <w:noWrap/>
            <w:vAlign w:val="center"/>
            <w:hideMark/>
          </w:tcPr>
          <w:p w14:paraId="3B761784"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Amount</w:t>
            </w:r>
          </w:p>
        </w:tc>
        <w:tc>
          <w:tcPr>
            <w:tcW w:w="1341" w:type="dxa"/>
            <w:tcBorders>
              <w:top w:val="nil"/>
              <w:left w:val="nil"/>
              <w:bottom w:val="single" w:sz="8" w:space="0" w:color="auto"/>
              <w:right w:val="single" w:sz="8" w:space="0" w:color="auto"/>
            </w:tcBorders>
            <w:shd w:val="clear" w:color="auto" w:fill="auto"/>
            <w:noWrap/>
            <w:vAlign w:val="center"/>
            <w:hideMark/>
          </w:tcPr>
          <w:p w14:paraId="3C7107BB"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Amount</w:t>
            </w:r>
          </w:p>
        </w:tc>
        <w:tc>
          <w:tcPr>
            <w:tcW w:w="1341" w:type="dxa"/>
            <w:tcBorders>
              <w:top w:val="nil"/>
              <w:left w:val="nil"/>
              <w:bottom w:val="single" w:sz="8" w:space="0" w:color="auto"/>
              <w:right w:val="single" w:sz="8" w:space="0" w:color="auto"/>
            </w:tcBorders>
            <w:shd w:val="clear" w:color="auto" w:fill="auto"/>
            <w:noWrap/>
            <w:vAlign w:val="center"/>
            <w:hideMark/>
          </w:tcPr>
          <w:p w14:paraId="57427689"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Amount</w:t>
            </w:r>
          </w:p>
        </w:tc>
        <w:tc>
          <w:tcPr>
            <w:tcW w:w="1462" w:type="dxa"/>
            <w:tcBorders>
              <w:top w:val="nil"/>
              <w:left w:val="nil"/>
              <w:bottom w:val="single" w:sz="8" w:space="0" w:color="auto"/>
              <w:right w:val="single" w:sz="8" w:space="0" w:color="auto"/>
            </w:tcBorders>
            <w:shd w:val="clear" w:color="auto" w:fill="auto"/>
            <w:noWrap/>
            <w:vAlign w:val="center"/>
            <w:hideMark/>
          </w:tcPr>
          <w:p w14:paraId="2BCA4B4D"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Amount</w:t>
            </w:r>
          </w:p>
        </w:tc>
        <w:tc>
          <w:tcPr>
            <w:tcW w:w="1462" w:type="dxa"/>
            <w:vMerge/>
            <w:tcBorders>
              <w:top w:val="single" w:sz="8" w:space="0" w:color="auto"/>
              <w:left w:val="single" w:sz="8" w:space="0" w:color="auto"/>
              <w:bottom w:val="single" w:sz="8" w:space="0" w:color="000000"/>
              <w:right w:val="single" w:sz="8" w:space="0" w:color="auto"/>
            </w:tcBorders>
            <w:vAlign w:val="center"/>
            <w:hideMark/>
          </w:tcPr>
          <w:p w14:paraId="0AB7812C" w14:textId="77777777" w:rsidR="00C93C49" w:rsidRPr="00C93C49" w:rsidRDefault="00C93C49" w:rsidP="00C93C49">
            <w:pPr>
              <w:spacing w:after="0" w:line="240" w:lineRule="auto"/>
              <w:rPr>
                <w:rFonts w:ascii="Arial" w:eastAsia="Times New Roman" w:hAnsi="Arial" w:cs="Arial"/>
                <w:b/>
                <w:bCs/>
                <w:color w:val="000000"/>
                <w:sz w:val="18"/>
                <w:szCs w:val="1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3CE3314D" w14:textId="77777777" w:rsidR="00C93C49" w:rsidRPr="00C93C49" w:rsidRDefault="00C93C49" w:rsidP="00C93C49">
            <w:pPr>
              <w:spacing w:after="0" w:line="240" w:lineRule="auto"/>
              <w:rPr>
                <w:rFonts w:ascii="Arial" w:eastAsia="Times New Roman" w:hAnsi="Arial" w:cs="Arial"/>
                <w:b/>
                <w:bCs/>
                <w:color w:val="000000"/>
                <w:sz w:val="18"/>
                <w:szCs w:val="18"/>
              </w:rPr>
            </w:pPr>
          </w:p>
        </w:tc>
      </w:tr>
      <w:tr w:rsidR="00C93C49" w:rsidRPr="00C93C49" w14:paraId="2709066B" w14:textId="77777777" w:rsidTr="00347614">
        <w:trPr>
          <w:trHeight w:val="224"/>
          <w:jc w:val="center"/>
        </w:trPr>
        <w:tc>
          <w:tcPr>
            <w:tcW w:w="1426" w:type="dxa"/>
            <w:tcBorders>
              <w:top w:val="nil"/>
              <w:left w:val="single" w:sz="8" w:space="0" w:color="auto"/>
              <w:bottom w:val="single" w:sz="8" w:space="0" w:color="auto"/>
              <w:right w:val="single" w:sz="8" w:space="0" w:color="auto"/>
            </w:tcBorders>
            <w:shd w:val="clear" w:color="auto" w:fill="auto"/>
            <w:noWrap/>
            <w:vAlign w:val="center"/>
            <w:hideMark/>
          </w:tcPr>
          <w:p w14:paraId="2B8D3E9F" w14:textId="77777777" w:rsidR="00C93C49" w:rsidRPr="00C93C49" w:rsidRDefault="00C93C49" w:rsidP="00C93C49">
            <w:pPr>
              <w:spacing w:after="0" w:line="240" w:lineRule="auto"/>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Met-Ed</w:t>
            </w:r>
          </w:p>
        </w:tc>
        <w:tc>
          <w:tcPr>
            <w:tcW w:w="1462" w:type="dxa"/>
            <w:tcBorders>
              <w:top w:val="nil"/>
              <w:left w:val="nil"/>
              <w:bottom w:val="single" w:sz="8" w:space="0" w:color="auto"/>
              <w:right w:val="single" w:sz="8" w:space="0" w:color="auto"/>
            </w:tcBorders>
            <w:shd w:val="clear" w:color="auto" w:fill="auto"/>
            <w:noWrap/>
            <w:vAlign w:val="center"/>
            <w:hideMark/>
          </w:tcPr>
          <w:p w14:paraId="64A82DE7"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$2,953,835 </w:t>
            </w:r>
          </w:p>
        </w:tc>
        <w:tc>
          <w:tcPr>
            <w:tcW w:w="1341" w:type="dxa"/>
            <w:tcBorders>
              <w:top w:val="nil"/>
              <w:left w:val="nil"/>
              <w:bottom w:val="single" w:sz="8" w:space="0" w:color="auto"/>
              <w:right w:val="single" w:sz="8" w:space="0" w:color="auto"/>
            </w:tcBorders>
            <w:shd w:val="clear" w:color="auto" w:fill="auto"/>
            <w:noWrap/>
            <w:vAlign w:val="center"/>
            <w:hideMark/>
          </w:tcPr>
          <w:p w14:paraId="22F5F673"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$1,892,247 </w:t>
            </w:r>
          </w:p>
        </w:tc>
        <w:tc>
          <w:tcPr>
            <w:tcW w:w="1341" w:type="dxa"/>
            <w:tcBorders>
              <w:top w:val="nil"/>
              <w:left w:val="nil"/>
              <w:bottom w:val="single" w:sz="8" w:space="0" w:color="auto"/>
              <w:right w:val="single" w:sz="8" w:space="0" w:color="auto"/>
            </w:tcBorders>
            <w:shd w:val="clear" w:color="auto" w:fill="auto"/>
            <w:noWrap/>
            <w:vAlign w:val="center"/>
            <w:hideMark/>
          </w:tcPr>
          <w:p w14:paraId="50FC5319"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$1,464,602 </w:t>
            </w:r>
          </w:p>
        </w:tc>
        <w:tc>
          <w:tcPr>
            <w:tcW w:w="1462" w:type="dxa"/>
            <w:tcBorders>
              <w:top w:val="nil"/>
              <w:left w:val="nil"/>
              <w:bottom w:val="single" w:sz="8" w:space="0" w:color="auto"/>
              <w:right w:val="single" w:sz="8" w:space="0" w:color="auto"/>
            </w:tcBorders>
            <w:shd w:val="clear" w:color="auto" w:fill="auto"/>
            <w:noWrap/>
            <w:vAlign w:val="center"/>
            <w:hideMark/>
          </w:tcPr>
          <w:p w14:paraId="7B0CBE32"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$11,607,500 </w:t>
            </w:r>
          </w:p>
        </w:tc>
        <w:tc>
          <w:tcPr>
            <w:tcW w:w="1462" w:type="dxa"/>
            <w:tcBorders>
              <w:top w:val="nil"/>
              <w:left w:val="nil"/>
              <w:bottom w:val="single" w:sz="8" w:space="0" w:color="auto"/>
              <w:right w:val="single" w:sz="8" w:space="0" w:color="auto"/>
            </w:tcBorders>
            <w:shd w:val="clear" w:color="auto" w:fill="auto"/>
            <w:noWrap/>
            <w:vAlign w:val="center"/>
            <w:hideMark/>
          </w:tcPr>
          <w:p w14:paraId="32E97562"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$17,918,183 </w:t>
            </w:r>
          </w:p>
        </w:tc>
        <w:tc>
          <w:tcPr>
            <w:tcW w:w="993" w:type="dxa"/>
            <w:tcBorders>
              <w:top w:val="nil"/>
              <w:left w:val="nil"/>
              <w:bottom w:val="single" w:sz="8" w:space="0" w:color="auto"/>
              <w:right w:val="single" w:sz="8" w:space="0" w:color="auto"/>
            </w:tcBorders>
            <w:shd w:val="clear" w:color="auto" w:fill="auto"/>
            <w:noWrap/>
            <w:vAlign w:val="center"/>
            <w:hideMark/>
          </w:tcPr>
          <w:p w14:paraId="4148F5C3"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72.95%</w:t>
            </w:r>
          </w:p>
        </w:tc>
      </w:tr>
      <w:tr w:rsidR="00C93C49" w:rsidRPr="00C93C49" w14:paraId="349E12A4" w14:textId="77777777" w:rsidTr="00347614">
        <w:trPr>
          <w:trHeight w:val="224"/>
          <w:jc w:val="center"/>
        </w:trPr>
        <w:tc>
          <w:tcPr>
            <w:tcW w:w="1426" w:type="dxa"/>
            <w:tcBorders>
              <w:top w:val="nil"/>
              <w:left w:val="single" w:sz="8" w:space="0" w:color="auto"/>
              <w:bottom w:val="single" w:sz="8" w:space="0" w:color="auto"/>
              <w:right w:val="single" w:sz="8" w:space="0" w:color="auto"/>
            </w:tcBorders>
            <w:shd w:val="clear" w:color="auto" w:fill="auto"/>
            <w:noWrap/>
            <w:vAlign w:val="center"/>
            <w:hideMark/>
          </w:tcPr>
          <w:p w14:paraId="204802C7" w14:textId="77777777" w:rsidR="00C93C49" w:rsidRPr="00C93C49" w:rsidRDefault="00C93C49" w:rsidP="00C93C49">
            <w:pPr>
              <w:spacing w:after="0" w:line="240" w:lineRule="auto"/>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Penelec</w:t>
            </w:r>
          </w:p>
        </w:tc>
        <w:tc>
          <w:tcPr>
            <w:tcW w:w="1462" w:type="dxa"/>
            <w:tcBorders>
              <w:top w:val="nil"/>
              <w:left w:val="nil"/>
              <w:bottom w:val="single" w:sz="8" w:space="0" w:color="auto"/>
              <w:right w:val="single" w:sz="8" w:space="0" w:color="auto"/>
            </w:tcBorders>
            <w:shd w:val="clear" w:color="auto" w:fill="auto"/>
            <w:noWrap/>
            <w:vAlign w:val="center"/>
            <w:hideMark/>
          </w:tcPr>
          <w:p w14:paraId="059F3FD9"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$2,794,022 </w:t>
            </w:r>
          </w:p>
        </w:tc>
        <w:tc>
          <w:tcPr>
            <w:tcW w:w="1341" w:type="dxa"/>
            <w:tcBorders>
              <w:top w:val="nil"/>
              <w:left w:val="nil"/>
              <w:bottom w:val="single" w:sz="8" w:space="0" w:color="auto"/>
              <w:right w:val="single" w:sz="8" w:space="0" w:color="auto"/>
            </w:tcBorders>
            <w:shd w:val="clear" w:color="auto" w:fill="auto"/>
            <w:noWrap/>
            <w:vAlign w:val="center"/>
            <w:hideMark/>
          </w:tcPr>
          <w:p w14:paraId="49611A1C"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$1,692,567 </w:t>
            </w:r>
          </w:p>
        </w:tc>
        <w:tc>
          <w:tcPr>
            <w:tcW w:w="1341" w:type="dxa"/>
            <w:tcBorders>
              <w:top w:val="nil"/>
              <w:left w:val="nil"/>
              <w:bottom w:val="single" w:sz="8" w:space="0" w:color="auto"/>
              <w:right w:val="single" w:sz="8" w:space="0" w:color="auto"/>
            </w:tcBorders>
            <w:shd w:val="clear" w:color="auto" w:fill="auto"/>
            <w:noWrap/>
            <w:vAlign w:val="center"/>
            <w:hideMark/>
          </w:tcPr>
          <w:p w14:paraId="2D337971"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$1,242,675 </w:t>
            </w:r>
          </w:p>
        </w:tc>
        <w:tc>
          <w:tcPr>
            <w:tcW w:w="1462" w:type="dxa"/>
            <w:tcBorders>
              <w:top w:val="nil"/>
              <w:left w:val="nil"/>
              <w:bottom w:val="single" w:sz="8" w:space="0" w:color="auto"/>
              <w:right w:val="single" w:sz="8" w:space="0" w:color="auto"/>
            </w:tcBorders>
            <w:shd w:val="clear" w:color="auto" w:fill="auto"/>
            <w:noWrap/>
            <w:vAlign w:val="center"/>
            <w:hideMark/>
          </w:tcPr>
          <w:p w14:paraId="2AC6B2A7"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$10,438,614 </w:t>
            </w:r>
          </w:p>
        </w:tc>
        <w:tc>
          <w:tcPr>
            <w:tcW w:w="1462" w:type="dxa"/>
            <w:tcBorders>
              <w:top w:val="nil"/>
              <w:left w:val="nil"/>
              <w:bottom w:val="single" w:sz="8" w:space="0" w:color="auto"/>
              <w:right w:val="single" w:sz="8" w:space="0" w:color="auto"/>
            </w:tcBorders>
            <w:shd w:val="clear" w:color="auto" w:fill="auto"/>
            <w:noWrap/>
            <w:vAlign w:val="center"/>
            <w:hideMark/>
          </w:tcPr>
          <w:p w14:paraId="23C078E7"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$16,167,877 </w:t>
            </w:r>
          </w:p>
        </w:tc>
        <w:tc>
          <w:tcPr>
            <w:tcW w:w="993" w:type="dxa"/>
            <w:tcBorders>
              <w:top w:val="nil"/>
              <w:left w:val="nil"/>
              <w:bottom w:val="single" w:sz="8" w:space="0" w:color="auto"/>
              <w:right w:val="single" w:sz="8" w:space="0" w:color="auto"/>
            </w:tcBorders>
            <w:shd w:val="clear" w:color="auto" w:fill="auto"/>
            <w:noWrap/>
            <w:vAlign w:val="center"/>
            <w:hideMark/>
          </w:tcPr>
          <w:p w14:paraId="29EAED4B"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72.25%</w:t>
            </w:r>
          </w:p>
        </w:tc>
      </w:tr>
      <w:tr w:rsidR="00C93C49" w:rsidRPr="00C93C49" w14:paraId="7FC3A314" w14:textId="77777777" w:rsidTr="00347614">
        <w:trPr>
          <w:trHeight w:val="224"/>
          <w:jc w:val="center"/>
        </w:trPr>
        <w:tc>
          <w:tcPr>
            <w:tcW w:w="1426" w:type="dxa"/>
            <w:tcBorders>
              <w:top w:val="nil"/>
              <w:left w:val="single" w:sz="8" w:space="0" w:color="auto"/>
              <w:bottom w:val="single" w:sz="8" w:space="0" w:color="auto"/>
              <w:right w:val="single" w:sz="8" w:space="0" w:color="auto"/>
            </w:tcBorders>
            <w:shd w:val="clear" w:color="auto" w:fill="auto"/>
            <w:noWrap/>
            <w:vAlign w:val="center"/>
            <w:hideMark/>
          </w:tcPr>
          <w:p w14:paraId="2F3DE07E" w14:textId="77777777" w:rsidR="00C93C49" w:rsidRPr="00C93C49" w:rsidRDefault="00C93C49" w:rsidP="00C93C49">
            <w:pPr>
              <w:spacing w:after="0" w:line="240" w:lineRule="auto"/>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Penn Power</w:t>
            </w:r>
          </w:p>
        </w:tc>
        <w:tc>
          <w:tcPr>
            <w:tcW w:w="1462" w:type="dxa"/>
            <w:tcBorders>
              <w:top w:val="nil"/>
              <w:left w:val="nil"/>
              <w:bottom w:val="single" w:sz="8" w:space="0" w:color="auto"/>
              <w:right w:val="single" w:sz="8" w:space="0" w:color="auto"/>
            </w:tcBorders>
            <w:shd w:val="clear" w:color="auto" w:fill="auto"/>
            <w:noWrap/>
            <w:vAlign w:val="center"/>
            <w:hideMark/>
          </w:tcPr>
          <w:p w14:paraId="73D9FD1D"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$641,117 </w:t>
            </w:r>
          </w:p>
        </w:tc>
        <w:tc>
          <w:tcPr>
            <w:tcW w:w="1341" w:type="dxa"/>
            <w:tcBorders>
              <w:top w:val="nil"/>
              <w:left w:val="nil"/>
              <w:bottom w:val="single" w:sz="8" w:space="0" w:color="auto"/>
              <w:right w:val="single" w:sz="8" w:space="0" w:color="auto"/>
            </w:tcBorders>
            <w:shd w:val="clear" w:color="auto" w:fill="auto"/>
            <w:noWrap/>
            <w:vAlign w:val="center"/>
            <w:hideMark/>
          </w:tcPr>
          <w:p w14:paraId="0CD03C59"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$399,423 </w:t>
            </w:r>
          </w:p>
        </w:tc>
        <w:tc>
          <w:tcPr>
            <w:tcW w:w="1341" w:type="dxa"/>
            <w:tcBorders>
              <w:top w:val="nil"/>
              <w:left w:val="nil"/>
              <w:bottom w:val="single" w:sz="8" w:space="0" w:color="auto"/>
              <w:right w:val="single" w:sz="8" w:space="0" w:color="auto"/>
            </w:tcBorders>
            <w:shd w:val="clear" w:color="auto" w:fill="auto"/>
            <w:noWrap/>
            <w:vAlign w:val="center"/>
            <w:hideMark/>
          </w:tcPr>
          <w:p w14:paraId="2BA7CAB8"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$264,486 </w:t>
            </w:r>
          </w:p>
        </w:tc>
        <w:tc>
          <w:tcPr>
            <w:tcW w:w="1462" w:type="dxa"/>
            <w:tcBorders>
              <w:top w:val="nil"/>
              <w:left w:val="nil"/>
              <w:bottom w:val="single" w:sz="8" w:space="0" w:color="auto"/>
              <w:right w:val="single" w:sz="8" w:space="0" w:color="auto"/>
            </w:tcBorders>
            <w:shd w:val="clear" w:color="auto" w:fill="auto"/>
            <w:noWrap/>
            <w:vAlign w:val="center"/>
            <w:hideMark/>
          </w:tcPr>
          <w:p w14:paraId="5F18CB02"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$2,603,358 </w:t>
            </w:r>
          </w:p>
        </w:tc>
        <w:tc>
          <w:tcPr>
            <w:tcW w:w="1462" w:type="dxa"/>
            <w:tcBorders>
              <w:top w:val="nil"/>
              <w:left w:val="nil"/>
              <w:bottom w:val="single" w:sz="8" w:space="0" w:color="auto"/>
              <w:right w:val="single" w:sz="8" w:space="0" w:color="auto"/>
            </w:tcBorders>
            <w:shd w:val="clear" w:color="auto" w:fill="auto"/>
            <w:noWrap/>
            <w:vAlign w:val="center"/>
            <w:hideMark/>
          </w:tcPr>
          <w:p w14:paraId="55310795"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$3,908,384 </w:t>
            </w:r>
          </w:p>
        </w:tc>
        <w:tc>
          <w:tcPr>
            <w:tcW w:w="993" w:type="dxa"/>
            <w:tcBorders>
              <w:top w:val="nil"/>
              <w:left w:val="nil"/>
              <w:bottom w:val="single" w:sz="8" w:space="0" w:color="auto"/>
              <w:right w:val="single" w:sz="8" w:space="0" w:color="auto"/>
            </w:tcBorders>
            <w:shd w:val="clear" w:color="auto" w:fill="auto"/>
            <w:noWrap/>
            <w:vAlign w:val="center"/>
            <w:hideMark/>
          </w:tcPr>
          <w:p w14:paraId="54FCC2A2"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73.38%</w:t>
            </w:r>
          </w:p>
        </w:tc>
      </w:tr>
      <w:tr w:rsidR="00C93C49" w:rsidRPr="00C93C49" w14:paraId="27EB6F69" w14:textId="77777777" w:rsidTr="00347614">
        <w:trPr>
          <w:trHeight w:val="224"/>
          <w:jc w:val="center"/>
        </w:trPr>
        <w:tc>
          <w:tcPr>
            <w:tcW w:w="1426" w:type="dxa"/>
            <w:tcBorders>
              <w:top w:val="nil"/>
              <w:left w:val="single" w:sz="8" w:space="0" w:color="auto"/>
              <w:bottom w:val="single" w:sz="8" w:space="0" w:color="auto"/>
              <w:right w:val="single" w:sz="8" w:space="0" w:color="auto"/>
            </w:tcBorders>
            <w:shd w:val="clear" w:color="auto" w:fill="auto"/>
            <w:noWrap/>
            <w:vAlign w:val="center"/>
            <w:hideMark/>
          </w:tcPr>
          <w:p w14:paraId="0F543B7E" w14:textId="77777777" w:rsidR="00C93C49" w:rsidRPr="00C93C49" w:rsidRDefault="00C93C49" w:rsidP="00C93C49">
            <w:pPr>
              <w:spacing w:after="0" w:line="240" w:lineRule="auto"/>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West Penn Power</w:t>
            </w:r>
          </w:p>
        </w:tc>
        <w:tc>
          <w:tcPr>
            <w:tcW w:w="1462" w:type="dxa"/>
            <w:tcBorders>
              <w:top w:val="nil"/>
              <w:left w:val="nil"/>
              <w:bottom w:val="nil"/>
              <w:right w:val="single" w:sz="8" w:space="0" w:color="auto"/>
            </w:tcBorders>
            <w:shd w:val="clear" w:color="auto" w:fill="auto"/>
            <w:noWrap/>
            <w:vAlign w:val="center"/>
            <w:hideMark/>
          </w:tcPr>
          <w:p w14:paraId="2D7B02C1"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$2,118,660 </w:t>
            </w:r>
          </w:p>
        </w:tc>
        <w:tc>
          <w:tcPr>
            <w:tcW w:w="1341" w:type="dxa"/>
            <w:tcBorders>
              <w:top w:val="nil"/>
              <w:left w:val="nil"/>
              <w:bottom w:val="nil"/>
              <w:right w:val="single" w:sz="8" w:space="0" w:color="auto"/>
            </w:tcBorders>
            <w:shd w:val="clear" w:color="auto" w:fill="auto"/>
            <w:noWrap/>
            <w:vAlign w:val="center"/>
            <w:hideMark/>
          </w:tcPr>
          <w:p w14:paraId="63255F82"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$1,351,919 </w:t>
            </w:r>
          </w:p>
        </w:tc>
        <w:tc>
          <w:tcPr>
            <w:tcW w:w="1341" w:type="dxa"/>
            <w:tcBorders>
              <w:top w:val="nil"/>
              <w:left w:val="nil"/>
              <w:bottom w:val="nil"/>
              <w:right w:val="single" w:sz="8" w:space="0" w:color="auto"/>
            </w:tcBorders>
            <w:shd w:val="clear" w:color="auto" w:fill="auto"/>
            <w:noWrap/>
            <w:vAlign w:val="center"/>
            <w:hideMark/>
          </w:tcPr>
          <w:p w14:paraId="2BCDDD50"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$911,981 </w:t>
            </w:r>
          </w:p>
        </w:tc>
        <w:tc>
          <w:tcPr>
            <w:tcW w:w="1462" w:type="dxa"/>
            <w:tcBorders>
              <w:top w:val="nil"/>
              <w:left w:val="nil"/>
              <w:bottom w:val="nil"/>
              <w:right w:val="single" w:sz="8" w:space="0" w:color="auto"/>
            </w:tcBorders>
            <w:shd w:val="clear" w:color="auto" w:fill="auto"/>
            <w:noWrap/>
            <w:vAlign w:val="center"/>
            <w:hideMark/>
          </w:tcPr>
          <w:p w14:paraId="13B00CCC"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$5,220,864 </w:t>
            </w:r>
          </w:p>
        </w:tc>
        <w:tc>
          <w:tcPr>
            <w:tcW w:w="1462" w:type="dxa"/>
            <w:tcBorders>
              <w:top w:val="nil"/>
              <w:left w:val="nil"/>
              <w:bottom w:val="nil"/>
              <w:right w:val="single" w:sz="8" w:space="0" w:color="auto"/>
            </w:tcBorders>
            <w:shd w:val="clear" w:color="auto" w:fill="auto"/>
            <w:noWrap/>
            <w:vAlign w:val="center"/>
            <w:hideMark/>
          </w:tcPr>
          <w:p w14:paraId="63E7B391"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$9,603,424 </w:t>
            </w:r>
          </w:p>
        </w:tc>
        <w:tc>
          <w:tcPr>
            <w:tcW w:w="993" w:type="dxa"/>
            <w:tcBorders>
              <w:top w:val="nil"/>
              <w:left w:val="nil"/>
              <w:bottom w:val="single" w:sz="8" w:space="0" w:color="auto"/>
              <w:right w:val="single" w:sz="8" w:space="0" w:color="auto"/>
            </w:tcBorders>
            <w:shd w:val="clear" w:color="auto" w:fill="auto"/>
            <w:noWrap/>
            <w:vAlign w:val="center"/>
            <w:hideMark/>
          </w:tcPr>
          <w:p w14:paraId="4AE0AA20"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63.86%</w:t>
            </w:r>
          </w:p>
        </w:tc>
      </w:tr>
      <w:tr w:rsidR="00C93C49" w:rsidRPr="00C93C49" w14:paraId="203964D6" w14:textId="77777777" w:rsidTr="00347614">
        <w:trPr>
          <w:trHeight w:val="358"/>
          <w:jc w:val="center"/>
        </w:trPr>
        <w:tc>
          <w:tcPr>
            <w:tcW w:w="1426" w:type="dxa"/>
            <w:tcBorders>
              <w:top w:val="nil"/>
              <w:left w:val="single" w:sz="8" w:space="0" w:color="auto"/>
              <w:bottom w:val="single" w:sz="8" w:space="0" w:color="auto"/>
              <w:right w:val="single" w:sz="8" w:space="0" w:color="auto"/>
            </w:tcBorders>
            <w:shd w:val="clear" w:color="auto" w:fill="auto"/>
            <w:vAlign w:val="center"/>
            <w:hideMark/>
          </w:tcPr>
          <w:p w14:paraId="0E1DC432" w14:textId="77777777" w:rsidR="00C93C49" w:rsidRPr="00C93C49" w:rsidRDefault="00C93C49" w:rsidP="00C93C49">
            <w:pPr>
              <w:spacing w:after="0" w:line="240" w:lineRule="auto"/>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FE-PA Companies</w:t>
            </w:r>
          </w:p>
        </w:tc>
        <w:tc>
          <w:tcPr>
            <w:tcW w:w="1462" w:type="dxa"/>
            <w:tcBorders>
              <w:top w:val="single" w:sz="8" w:space="0" w:color="auto"/>
              <w:left w:val="nil"/>
              <w:bottom w:val="single" w:sz="8" w:space="0" w:color="auto"/>
              <w:right w:val="single" w:sz="8" w:space="0" w:color="auto"/>
            </w:tcBorders>
            <w:shd w:val="clear" w:color="auto" w:fill="auto"/>
            <w:noWrap/>
            <w:vAlign w:val="center"/>
            <w:hideMark/>
          </w:tcPr>
          <w:p w14:paraId="26FC7CB8" w14:textId="77777777" w:rsidR="00C93C49" w:rsidRPr="00C93C49" w:rsidRDefault="00C93C49" w:rsidP="00C93C49">
            <w:pPr>
              <w:spacing w:after="0" w:line="240" w:lineRule="auto"/>
              <w:jc w:val="right"/>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 xml:space="preserve">$8,507,633 </w:t>
            </w:r>
          </w:p>
        </w:tc>
        <w:tc>
          <w:tcPr>
            <w:tcW w:w="1341" w:type="dxa"/>
            <w:tcBorders>
              <w:top w:val="single" w:sz="8" w:space="0" w:color="auto"/>
              <w:left w:val="nil"/>
              <w:bottom w:val="single" w:sz="8" w:space="0" w:color="auto"/>
              <w:right w:val="single" w:sz="8" w:space="0" w:color="auto"/>
            </w:tcBorders>
            <w:shd w:val="clear" w:color="auto" w:fill="auto"/>
            <w:noWrap/>
            <w:vAlign w:val="center"/>
            <w:hideMark/>
          </w:tcPr>
          <w:p w14:paraId="3F496E6B" w14:textId="77777777" w:rsidR="00C93C49" w:rsidRPr="00C93C49" w:rsidRDefault="00C93C49" w:rsidP="00C93C49">
            <w:pPr>
              <w:spacing w:after="0" w:line="240" w:lineRule="auto"/>
              <w:jc w:val="right"/>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 xml:space="preserve">$5,336,156 </w:t>
            </w:r>
          </w:p>
        </w:tc>
        <w:tc>
          <w:tcPr>
            <w:tcW w:w="1341" w:type="dxa"/>
            <w:tcBorders>
              <w:top w:val="single" w:sz="8" w:space="0" w:color="auto"/>
              <w:left w:val="nil"/>
              <w:bottom w:val="single" w:sz="8" w:space="0" w:color="auto"/>
              <w:right w:val="single" w:sz="8" w:space="0" w:color="auto"/>
            </w:tcBorders>
            <w:shd w:val="clear" w:color="auto" w:fill="auto"/>
            <w:noWrap/>
            <w:vAlign w:val="center"/>
            <w:hideMark/>
          </w:tcPr>
          <w:p w14:paraId="7F1DD4F6" w14:textId="77777777" w:rsidR="00C93C49" w:rsidRPr="00C93C49" w:rsidRDefault="00C93C49" w:rsidP="00C93C49">
            <w:pPr>
              <w:spacing w:after="0" w:line="240" w:lineRule="auto"/>
              <w:jc w:val="right"/>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 xml:space="preserve">$3,883,744 </w:t>
            </w:r>
          </w:p>
        </w:tc>
        <w:tc>
          <w:tcPr>
            <w:tcW w:w="1462" w:type="dxa"/>
            <w:tcBorders>
              <w:top w:val="single" w:sz="8" w:space="0" w:color="auto"/>
              <w:left w:val="nil"/>
              <w:bottom w:val="single" w:sz="8" w:space="0" w:color="auto"/>
              <w:right w:val="single" w:sz="8" w:space="0" w:color="auto"/>
            </w:tcBorders>
            <w:shd w:val="clear" w:color="auto" w:fill="auto"/>
            <w:noWrap/>
            <w:vAlign w:val="center"/>
            <w:hideMark/>
          </w:tcPr>
          <w:p w14:paraId="367FD642" w14:textId="77777777" w:rsidR="00C93C49" w:rsidRPr="00C93C49" w:rsidRDefault="00C93C49" w:rsidP="00C93C49">
            <w:pPr>
              <w:spacing w:after="0" w:line="240" w:lineRule="auto"/>
              <w:jc w:val="right"/>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 xml:space="preserve">$29,870,335 </w:t>
            </w:r>
          </w:p>
        </w:tc>
        <w:tc>
          <w:tcPr>
            <w:tcW w:w="1462" w:type="dxa"/>
            <w:tcBorders>
              <w:top w:val="single" w:sz="8" w:space="0" w:color="auto"/>
              <w:left w:val="nil"/>
              <w:bottom w:val="single" w:sz="8" w:space="0" w:color="auto"/>
              <w:right w:val="single" w:sz="8" w:space="0" w:color="auto"/>
            </w:tcBorders>
            <w:shd w:val="clear" w:color="auto" w:fill="auto"/>
            <w:noWrap/>
            <w:vAlign w:val="center"/>
            <w:hideMark/>
          </w:tcPr>
          <w:p w14:paraId="614B633D" w14:textId="77777777" w:rsidR="00C93C49" w:rsidRPr="00C93C49" w:rsidRDefault="00C93C49" w:rsidP="00C93C49">
            <w:pPr>
              <w:spacing w:after="0" w:line="240" w:lineRule="auto"/>
              <w:jc w:val="right"/>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 xml:space="preserve">$47,597,869 </w:t>
            </w:r>
          </w:p>
        </w:tc>
        <w:tc>
          <w:tcPr>
            <w:tcW w:w="993" w:type="dxa"/>
            <w:tcBorders>
              <w:top w:val="nil"/>
              <w:left w:val="nil"/>
              <w:bottom w:val="single" w:sz="8" w:space="0" w:color="auto"/>
              <w:right w:val="single" w:sz="8" w:space="0" w:color="auto"/>
            </w:tcBorders>
            <w:shd w:val="clear" w:color="auto" w:fill="auto"/>
            <w:noWrap/>
            <w:vAlign w:val="center"/>
            <w:hideMark/>
          </w:tcPr>
          <w:p w14:paraId="242AFD05"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70.92%</w:t>
            </w:r>
          </w:p>
        </w:tc>
      </w:tr>
      <w:tr w:rsidR="00C93C49" w:rsidRPr="00C93C49" w14:paraId="1C6E6CB2" w14:textId="77777777" w:rsidTr="00347614">
        <w:trPr>
          <w:trHeight w:val="224"/>
          <w:jc w:val="center"/>
        </w:trPr>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14:paraId="54DE2C2D"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2014</w:t>
            </w:r>
          </w:p>
        </w:tc>
        <w:tc>
          <w:tcPr>
            <w:tcW w:w="1462" w:type="dxa"/>
            <w:tcBorders>
              <w:top w:val="nil"/>
              <w:left w:val="nil"/>
              <w:bottom w:val="single" w:sz="8" w:space="0" w:color="auto"/>
              <w:right w:val="single" w:sz="8" w:space="0" w:color="auto"/>
            </w:tcBorders>
            <w:shd w:val="clear" w:color="auto" w:fill="auto"/>
            <w:noWrap/>
            <w:vAlign w:val="center"/>
            <w:hideMark/>
          </w:tcPr>
          <w:p w14:paraId="6A518A4B"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31 - 60 Days</w:t>
            </w:r>
          </w:p>
        </w:tc>
        <w:tc>
          <w:tcPr>
            <w:tcW w:w="1341" w:type="dxa"/>
            <w:tcBorders>
              <w:top w:val="nil"/>
              <w:left w:val="nil"/>
              <w:bottom w:val="single" w:sz="8" w:space="0" w:color="auto"/>
              <w:right w:val="single" w:sz="8" w:space="0" w:color="auto"/>
            </w:tcBorders>
            <w:shd w:val="clear" w:color="auto" w:fill="auto"/>
            <w:noWrap/>
            <w:vAlign w:val="center"/>
            <w:hideMark/>
          </w:tcPr>
          <w:p w14:paraId="5533582E"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61 - 90 Days</w:t>
            </w:r>
          </w:p>
        </w:tc>
        <w:tc>
          <w:tcPr>
            <w:tcW w:w="1341" w:type="dxa"/>
            <w:tcBorders>
              <w:top w:val="nil"/>
              <w:left w:val="nil"/>
              <w:bottom w:val="single" w:sz="8" w:space="0" w:color="auto"/>
              <w:right w:val="single" w:sz="8" w:space="0" w:color="auto"/>
            </w:tcBorders>
            <w:shd w:val="clear" w:color="auto" w:fill="auto"/>
            <w:noWrap/>
            <w:vAlign w:val="center"/>
            <w:hideMark/>
          </w:tcPr>
          <w:p w14:paraId="2DCABCFF"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91 - 120 Days</w:t>
            </w:r>
          </w:p>
        </w:tc>
        <w:tc>
          <w:tcPr>
            <w:tcW w:w="1462" w:type="dxa"/>
            <w:tcBorders>
              <w:top w:val="nil"/>
              <w:left w:val="nil"/>
              <w:bottom w:val="single" w:sz="8" w:space="0" w:color="auto"/>
              <w:right w:val="single" w:sz="8" w:space="0" w:color="auto"/>
            </w:tcBorders>
            <w:shd w:val="clear" w:color="auto" w:fill="auto"/>
            <w:noWrap/>
            <w:vAlign w:val="center"/>
            <w:hideMark/>
          </w:tcPr>
          <w:p w14:paraId="55C145C5"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&gt; 120 Days</w:t>
            </w:r>
          </w:p>
        </w:tc>
        <w:tc>
          <w:tcPr>
            <w:tcW w:w="14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9E8D2D"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Total Amount</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9AE5CB"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 over 90 days</w:t>
            </w:r>
          </w:p>
        </w:tc>
      </w:tr>
      <w:tr w:rsidR="00C93C49" w:rsidRPr="00C93C49" w14:paraId="57D16B72" w14:textId="77777777" w:rsidTr="00347614">
        <w:trPr>
          <w:trHeight w:val="224"/>
          <w:jc w:val="center"/>
        </w:trPr>
        <w:tc>
          <w:tcPr>
            <w:tcW w:w="1426" w:type="dxa"/>
            <w:vMerge/>
            <w:tcBorders>
              <w:top w:val="nil"/>
              <w:left w:val="single" w:sz="8" w:space="0" w:color="auto"/>
              <w:bottom w:val="single" w:sz="8" w:space="0" w:color="000000"/>
              <w:right w:val="single" w:sz="8" w:space="0" w:color="auto"/>
            </w:tcBorders>
            <w:vAlign w:val="center"/>
            <w:hideMark/>
          </w:tcPr>
          <w:p w14:paraId="534CBB3C" w14:textId="77777777" w:rsidR="00C93C49" w:rsidRPr="00C93C49" w:rsidRDefault="00C93C49" w:rsidP="00C93C49">
            <w:pPr>
              <w:spacing w:after="0" w:line="240" w:lineRule="auto"/>
              <w:rPr>
                <w:rFonts w:ascii="Arial" w:eastAsia="Times New Roman" w:hAnsi="Arial" w:cs="Arial"/>
                <w:b/>
                <w:bCs/>
                <w:color w:val="000000"/>
                <w:sz w:val="18"/>
                <w:szCs w:val="18"/>
              </w:rPr>
            </w:pPr>
          </w:p>
        </w:tc>
        <w:tc>
          <w:tcPr>
            <w:tcW w:w="1462" w:type="dxa"/>
            <w:tcBorders>
              <w:top w:val="nil"/>
              <w:left w:val="nil"/>
              <w:bottom w:val="single" w:sz="8" w:space="0" w:color="auto"/>
              <w:right w:val="single" w:sz="8" w:space="0" w:color="auto"/>
            </w:tcBorders>
            <w:shd w:val="clear" w:color="auto" w:fill="auto"/>
            <w:noWrap/>
            <w:vAlign w:val="center"/>
            <w:hideMark/>
          </w:tcPr>
          <w:p w14:paraId="41B7CD14"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Amount</w:t>
            </w:r>
          </w:p>
        </w:tc>
        <w:tc>
          <w:tcPr>
            <w:tcW w:w="1341" w:type="dxa"/>
            <w:tcBorders>
              <w:top w:val="nil"/>
              <w:left w:val="nil"/>
              <w:bottom w:val="single" w:sz="8" w:space="0" w:color="auto"/>
              <w:right w:val="single" w:sz="8" w:space="0" w:color="auto"/>
            </w:tcBorders>
            <w:shd w:val="clear" w:color="auto" w:fill="auto"/>
            <w:noWrap/>
            <w:vAlign w:val="center"/>
            <w:hideMark/>
          </w:tcPr>
          <w:p w14:paraId="434361C4"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Amount</w:t>
            </w:r>
          </w:p>
        </w:tc>
        <w:tc>
          <w:tcPr>
            <w:tcW w:w="1341" w:type="dxa"/>
            <w:tcBorders>
              <w:top w:val="nil"/>
              <w:left w:val="nil"/>
              <w:bottom w:val="single" w:sz="8" w:space="0" w:color="auto"/>
              <w:right w:val="single" w:sz="8" w:space="0" w:color="auto"/>
            </w:tcBorders>
            <w:shd w:val="clear" w:color="auto" w:fill="auto"/>
            <w:noWrap/>
            <w:vAlign w:val="center"/>
            <w:hideMark/>
          </w:tcPr>
          <w:p w14:paraId="0B0A6C74"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Amount</w:t>
            </w:r>
          </w:p>
        </w:tc>
        <w:tc>
          <w:tcPr>
            <w:tcW w:w="1462" w:type="dxa"/>
            <w:tcBorders>
              <w:top w:val="nil"/>
              <w:left w:val="nil"/>
              <w:bottom w:val="single" w:sz="8" w:space="0" w:color="auto"/>
              <w:right w:val="single" w:sz="8" w:space="0" w:color="auto"/>
            </w:tcBorders>
            <w:shd w:val="clear" w:color="auto" w:fill="auto"/>
            <w:noWrap/>
            <w:vAlign w:val="center"/>
            <w:hideMark/>
          </w:tcPr>
          <w:p w14:paraId="29EF6639"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Amount</w:t>
            </w:r>
          </w:p>
        </w:tc>
        <w:tc>
          <w:tcPr>
            <w:tcW w:w="1462" w:type="dxa"/>
            <w:vMerge/>
            <w:tcBorders>
              <w:top w:val="nil"/>
              <w:left w:val="single" w:sz="8" w:space="0" w:color="auto"/>
              <w:bottom w:val="single" w:sz="8" w:space="0" w:color="000000"/>
              <w:right w:val="single" w:sz="8" w:space="0" w:color="auto"/>
            </w:tcBorders>
            <w:vAlign w:val="center"/>
            <w:hideMark/>
          </w:tcPr>
          <w:p w14:paraId="60316881" w14:textId="77777777" w:rsidR="00C93C49" w:rsidRPr="00C93C49" w:rsidRDefault="00C93C49" w:rsidP="00C93C49">
            <w:pPr>
              <w:spacing w:after="0" w:line="240" w:lineRule="auto"/>
              <w:rPr>
                <w:rFonts w:ascii="Arial" w:eastAsia="Times New Roman" w:hAnsi="Arial" w:cs="Arial"/>
                <w:b/>
                <w:bCs/>
                <w:color w:val="000000"/>
                <w:sz w:val="18"/>
                <w:szCs w:val="18"/>
              </w:rPr>
            </w:pPr>
          </w:p>
        </w:tc>
        <w:tc>
          <w:tcPr>
            <w:tcW w:w="993" w:type="dxa"/>
            <w:vMerge/>
            <w:tcBorders>
              <w:top w:val="nil"/>
              <w:left w:val="single" w:sz="8" w:space="0" w:color="auto"/>
              <w:bottom w:val="single" w:sz="8" w:space="0" w:color="000000"/>
              <w:right w:val="single" w:sz="8" w:space="0" w:color="auto"/>
            </w:tcBorders>
            <w:vAlign w:val="center"/>
            <w:hideMark/>
          </w:tcPr>
          <w:p w14:paraId="628307DC" w14:textId="77777777" w:rsidR="00C93C49" w:rsidRPr="00C93C49" w:rsidRDefault="00C93C49" w:rsidP="00C93C49">
            <w:pPr>
              <w:spacing w:after="0" w:line="240" w:lineRule="auto"/>
              <w:rPr>
                <w:rFonts w:ascii="Arial" w:eastAsia="Times New Roman" w:hAnsi="Arial" w:cs="Arial"/>
                <w:b/>
                <w:bCs/>
                <w:color w:val="000000"/>
                <w:sz w:val="18"/>
                <w:szCs w:val="18"/>
              </w:rPr>
            </w:pPr>
          </w:p>
        </w:tc>
      </w:tr>
      <w:tr w:rsidR="00C93C49" w:rsidRPr="00C93C49" w14:paraId="52E5936F" w14:textId="77777777" w:rsidTr="00347614">
        <w:trPr>
          <w:trHeight w:val="224"/>
          <w:jc w:val="center"/>
        </w:trPr>
        <w:tc>
          <w:tcPr>
            <w:tcW w:w="1426" w:type="dxa"/>
            <w:tcBorders>
              <w:top w:val="nil"/>
              <w:left w:val="single" w:sz="8" w:space="0" w:color="auto"/>
              <w:bottom w:val="single" w:sz="8" w:space="0" w:color="auto"/>
              <w:right w:val="single" w:sz="8" w:space="0" w:color="auto"/>
            </w:tcBorders>
            <w:shd w:val="clear" w:color="auto" w:fill="auto"/>
            <w:noWrap/>
            <w:vAlign w:val="center"/>
            <w:hideMark/>
          </w:tcPr>
          <w:p w14:paraId="1813DD2B" w14:textId="77777777" w:rsidR="00C93C49" w:rsidRPr="00C93C49" w:rsidRDefault="00C93C49" w:rsidP="00C93C49">
            <w:pPr>
              <w:spacing w:after="0" w:line="240" w:lineRule="auto"/>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Met-Ed</w:t>
            </w:r>
          </w:p>
        </w:tc>
        <w:tc>
          <w:tcPr>
            <w:tcW w:w="1462" w:type="dxa"/>
            <w:tcBorders>
              <w:top w:val="nil"/>
              <w:left w:val="nil"/>
              <w:bottom w:val="single" w:sz="8" w:space="0" w:color="auto"/>
              <w:right w:val="single" w:sz="8" w:space="0" w:color="auto"/>
            </w:tcBorders>
            <w:shd w:val="clear" w:color="auto" w:fill="auto"/>
            <w:noWrap/>
            <w:vAlign w:val="center"/>
            <w:hideMark/>
          </w:tcPr>
          <w:p w14:paraId="4D186B8C"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$3,086,435 </w:t>
            </w:r>
          </w:p>
        </w:tc>
        <w:tc>
          <w:tcPr>
            <w:tcW w:w="1341" w:type="dxa"/>
            <w:tcBorders>
              <w:top w:val="nil"/>
              <w:left w:val="nil"/>
              <w:bottom w:val="single" w:sz="8" w:space="0" w:color="auto"/>
              <w:right w:val="single" w:sz="8" w:space="0" w:color="auto"/>
            </w:tcBorders>
            <w:shd w:val="clear" w:color="auto" w:fill="auto"/>
            <w:noWrap/>
            <w:vAlign w:val="center"/>
            <w:hideMark/>
          </w:tcPr>
          <w:p w14:paraId="3CE2CB27"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$1,698,081 </w:t>
            </w:r>
          </w:p>
        </w:tc>
        <w:tc>
          <w:tcPr>
            <w:tcW w:w="1341" w:type="dxa"/>
            <w:tcBorders>
              <w:top w:val="nil"/>
              <w:left w:val="nil"/>
              <w:bottom w:val="single" w:sz="8" w:space="0" w:color="auto"/>
              <w:right w:val="single" w:sz="8" w:space="0" w:color="auto"/>
            </w:tcBorders>
            <w:shd w:val="clear" w:color="auto" w:fill="auto"/>
            <w:noWrap/>
            <w:vAlign w:val="center"/>
            <w:hideMark/>
          </w:tcPr>
          <w:p w14:paraId="63986338"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$1,466,163 </w:t>
            </w:r>
          </w:p>
        </w:tc>
        <w:tc>
          <w:tcPr>
            <w:tcW w:w="1462" w:type="dxa"/>
            <w:tcBorders>
              <w:top w:val="nil"/>
              <w:left w:val="nil"/>
              <w:bottom w:val="single" w:sz="8" w:space="0" w:color="auto"/>
              <w:right w:val="single" w:sz="8" w:space="0" w:color="auto"/>
            </w:tcBorders>
            <w:shd w:val="clear" w:color="auto" w:fill="auto"/>
            <w:noWrap/>
            <w:vAlign w:val="center"/>
            <w:hideMark/>
          </w:tcPr>
          <w:p w14:paraId="68234331"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$11,847,574 </w:t>
            </w:r>
          </w:p>
        </w:tc>
        <w:tc>
          <w:tcPr>
            <w:tcW w:w="1462" w:type="dxa"/>
            <w:tcBorders>
              <w:top w:val="nil"/>
              <w:left w:val="nil"/>
              <w:bottom w:val="single" w:sz="8" w:space="0" w:color="auto"/>
              <w:right w:val="single" w:sz="8" w:space="0" w:color="auto"/>
            </w:tcBorders>
            <w:shd w:val="clear" w:color="auto" w:fill="auto"/>
            <w:noWrap/>
            <w:vAlign w:val="center"/>
            <w:hideMark/>
          </w:tcPr>
          <w:p w14:paraId="2BD5A590"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$18,098,253 </w:t>
            </w:r>
          </w:p>
        </w:tc>
        <w:tc>
          <w:tcPr>
            <w:tcW w:w="993" w:type="dxa"/>
            <w:tcBorders>
              <w:top w:val="nil"/>
              <w:left w:val="nil"/>
              <w:bottom w:val="single" w:sz="8" w:space="0" w:color="auto"/>
              <w:right w:val="single" w:sz="8" w:space="0" w:color="auto"/>
            </w:tcBorders>
            <w:shd w:val="clear" w:color="auto" w:fill="auto"/>
            <w:noWrap/>
            <w:vAlign w:val="center"/>
            <w:hideMark/>
          </w:tcPr>
          <w:p w14:paraId="3E3D5B55"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73.56%</w:t>
            </w:r>
          </w:p>
        </w:tc>
      </w:tr>
      <w:tr w:rsidR="00C93C49" w:rsidRPr="00C93C49" w14:paraId="040486AE" w14:textId="77777777" w:rsidTr="00347614">
        <w:trPr>
          <w:trHeight w:val="224"/>
          <w:jc w:val="center"/>
        </w:trPr>
        <w:tc>
          <w:tcPr>
            <w:tcW w:w="1426" w:type="dxa"/>
            <w:tcBorders>
              <w:top w:val="nil"/>
              <w:left w:val="single" w:sz="8" w:space="0" w:color="auto"/>
              <w:bottom w:val="single" w:sz="8" w:space="0" w:color="auto"/>
              <w:right w:val="single" w:sz="8" w:space="0" w:color="auto"/>
            </w:tcBorders>
            <w:shd w:val="clear" w:color="auto" w:fill="auto"/>
            <w:noWrap/>
            <w:vAlign w:val="center"/>
            <w:hideMark/>
          </w:tcPr>
          <w:p w14:paraId="4C55F512" w14:textId="77777777" w:rsidR="00C93C49" w:rsidRPr="00C93C49" w:rsidRDefault="00C93C49" w:rsidP="00C93C49">
            <w:pPr>
              <w:spacing w:after="0" w:line="240" w:lineRule="auto"/>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Penelec</w:t>
            </w:r>
          </w:p>
        </w:tc>
        <w:tc>
          <w:tcPr>
            <w:tcW w:w="1462" w:type="dxa"/>
            <w:tcBorders>
              <w:top w:val="nil"/>
              <w:left w:val="nil"/>
              <w:bottom w:val="single" w:sz="8" w:space="0" w:color="auto"/>
              <w:right w:val="single" w:sz="8" w:space="0" w:color="auto"/>
            </w:tcBorders>
            <w:shd w:val="clear" w:color="auto" w:fill="auto"/>
            <w:noWrap/>
            <w:vAlign w:val="center"/>
            <w:hideMark/>
          </w:tcPr>
          <w:p w14:paraId="18A79506"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$3,113,954 </w:t>
            </w:r>
          </w:p>
        </w:tc>
        <w:tc>
          <w:tcPr>
            <w:tcW w:w="1341" w:type="dxa"/>
            <w:tcBorders>
              <w:top w:val="nil"/>
              <w:left w:val="nil"/>
              <w:bottom w:val="single" w:sz="8" w:space="0" w:color="auto"/>
              <w:right w:val="single" w:sz="8" w:space="0" w:color="auto"/>
            </w:tcBorders>
            <w:shd w:val="clear" w:color="auto" w:fill="auto"/>
            <w:noWrap/>
            <w:vAlign w:val="center"/>
            <w:hideMark/>
          </w:tcPr>
          <w:p w14:paraId="700CC6B7"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$1,701,760 </w:t>
            </w:r>
          </w:p>
        </w:tc>
        <w:tc>
          <w:tcPr>
            <w:tcW w:w="1341" w:type="dxa"/>
            <w:tcBorders>
              <w:top w:val="nil"/>
              <w:left w:val="nil"/>
              <w:bottom w:val="single" w:sz="8" w:space="0" w:color="auto"/>
              <w:right w:val="single" w:sz="8" w:space="0" w:color="auto"/>
            </w:tcBorders>
            <w:shd w:val="clear" w:color="auto" w:fill="auto"/>
            <w:noWrap/>
            <w:vAlign w:val="center"/>
            <w:hideMark/>
          </w:tcPr>
          <w:p w14:paraId="35305BE2"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$1,346,556 </w:t>
            </w:r>
          </w:p>
        </w:tc>
        <w:tc>
          <w:tcPr>
            <w:tcW w:w="1462" w:type="dxa"/>
            <w:tcBorders>
              <w:top w:val="nil"/>
              <w:left w:val="nil"/>
              <w:bottom w:val="single" w:sz="8" w:space="0" w:color="auto"/>
              <w:right w:val="single" w:sz="8" w:space="0" w:color="auto"/>
            </w:tcBorders>
            <w:shd w:val="clear" w:color="auto" w:fill="auto"/>
            <w:noWrap/>
            <w:vAlign w:val="center"/>
            <w:hideMark/>
          </w:tcPr>
          <w:p w14:paraId="1B41BB41"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$11,552,283 </w:t>
            </w:r>
          </w:p>
        </w:tc>
        <w:tc>
          <w:tcPr>
            <w:tcW w:w="1462" w:type="dxa"/>
            <w:tcBorders>
              <w:top w:val="nil"/>
              <w:left w:val="nil"/>
              <w:bottom w:val="single" w:sz="8" w:space="0" w:color="auto"/>
              <w:right w:val="single" w:sz="8" w:space="0" w:color="auto"/>
            </w:tcBorders>
            <w:shd w:val="clear" w:color="auto" w:fill="auto"/>
            <w:noWrap/>
            <w:vAlign w:val="center"/>
            <w:hideMark/>
          </w:tcPr>
          <w:p w14:paraId="43B97166"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$17,714,552 </w:t>
            </w:r>
          </w:p>
        </w:tc>
        <w:tc>
          <w:tcPr>
            <w:tcW w:w="993" w:type="dxa"/>
            <w:tcBorders>
              <w:top w:val="nil"/>
              <w:left w:val="nil"/>
              <w:bottom w:val="single" w:sz="8" w:space="0" w:color="auto"/>
              <w:right w:val="single" w:sz="8" w:space="0" w:color="auto"/>
            </w:tcBorders>
            <w:shd w:val="clear" w:color="auto" w:fill="auto"/>
            <w:noWrap/>
            <w:vAlign w:val="center"/>
            <w:hideMark/>
          </w:tcPr>
          <w:p w14:paraId="3C402627"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72.81%</w:t>
            </w:r>
          </w:p>
        </w:tc>
      </w:tr>
      <w:tr w:rsidR="00C93C49" w:rsidRPr="00C93C49" w14:paraId="77DED9B0" w14:textId="77777777" w:rsidTr="00347614">
        <w:trPr>
          <w:trHeight w:val="224"/>
          <w:jc w:val="center"/>
        </w:trPr>
        <w:tc>
          <w:tcPr>
            <w:tcW w:w="1426" w:type="dxa"/>
            <w:tcBorders>
              <w:top w:val="nil"/>
              <w:left w:val="single" w:sz="8" w:space="0" w:color="auto"/>
              <w:bottom w:val="single" w:sz="8" w:space="0" w:color="auto"/>
              <w:right w:val="single" w:sz="8" w:space="0" w:color="auto"/>
            </w:tcBorders>
            <w:shd w:val="clear" w:color="auto" w:fill="auto"/>
            <w:noWrap/>
            <w:vAlign w:val="center"/>
            <w:hideMark/>
          </w:tcPr>
          <w:p w14:paraId="3CAF72E4" w14:textId="77777777" w:rsidR="00C93C49" w:rsidRPr="00C93C49" w:rsidRDefault="00C93C49" w:rsidP="00C93C49">
            <w:pPr>
              <w:spacing w:after="0" w:line="240" w:lineRule="auto"/>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Penn Power</w:t>
            </w:r>
          </w:p>
        </w:tc>
        <w:tc>
          <w:tcPr>
            <w:tcW w:w="1462" w:type="dxa"/>
            <w:tcBorders>
              <w:top w:val="nil"/>
              <w:left w:val="nil"/>
              <w:bottom w:val="single" w:sz="8" w:space="0" w:color="auto"/>
              <w:right w:val="single" w:sz="8" w:space="0" w:color="auto"/>
            </w:tcBorders>
            <w:shd w:val="clear" w:color="auto" w:fill="auto"/>
            <w:noWrap/>
            <w:vAlign w:val="center"/>
            <w:hideMark/>
          </w:tcPr>
          <w:p w14:paraId="31D758B7"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$738,082 </w:t>
            </w:r>
          </w:p>
        </w:tc>
        <w:tc>
          <w:tcPr>
            <w:tcW w:w="1341" w:type="dxa"/>
            <w:tcBorders>
              <w:top w:val="nil"/>
              <w:left w:val="nil"/>
              <w:bottom w:val="single" w:sz="8" w:space="0" w:color="auto"/>
              <w:right w:val="single" w:sz="8" w:space="0" w:color="auto"/>
            </w:tcBorders>
            <w:shd w:val="clear" w:color="auto" w:fill="auto"/>
            <w:noWrap/>
            <w:vAlign w:val="center"/>
            <w:hideMark/>
          </w:tcPr>
          <w:p w14:paraId="2D732DB0"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$370,195 </w:t>
            </w:r>
          </w:p>
        </w:tc>
        <w:tc>
          <w:tcPr>
            <w:tcW w:w="1341" w:type="dxa"/>
            <w:tcBorders>
              <w:top w:val="nil"/>
              <w:left w:val="nil"/>
              <w:bottom w:val="single" w:sz="8" w:space="0" w:color="auto"/>
              <w:right w:val="single" w:sz="8" w:space="0" w:color="auto"/>
            </w:tcBorders>
            <w:shd w:val="clear" w:color="auto" w:fill="auto"/>
            <w:noWrap/>
            <w:vAlign w:val="center"/>
            <w:hideMark/>
          </w:tcPr>
          <w:p w14:paraId="36AC7E2C"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$280,693 </w:t>
            </w:r>
          </w:p>
        </w:tc>
        <w:tc>
          <w:tcPr>
            <w:tcW w:w="1462" w:type="dxa"/>
            <w:tcBorders>
              <w:top w:val="nil"/>
              <w:left w:val="nil"/>
              <w:bottom w:val="single" w:sz="8" w:space="0" w:color="auto"/>
              <w:right w:val="single" w:sz="8" w:space="0" w:color="auto"/>
            </w:tcBorders>
            <w:shd w:val="clear" w:color="auto" w:fill="auto"/>
            <w:noWrap/>
            <w:vAlign w:val="center"/>
            <w:hideMark/>
          </w:tcPr>
          <w:p w14:paraId="12713188"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$2,490,792 </w:t>
            </w:r>
          </w:p>
        </w:tc>
        <w:tc>
          <w:tcPr>
            <w:tcW w:w="1462" w:type="dxa"/>
            <w:tcBorders>
              <w:top w:val="nil"/>
              <w:left w:val="nil"/>
              <w:bottom w:val="single" w:sz="8" w:space="0" w:color="auto"/>
              <w:right w:val="single" w:sz="8" w:space="0" w:color="auto"/>
            </w:tcBorders>
            <w:shd w:val="clear" w:color="auto" w:fill="auto"/>
            <w:noWrap/>
            <w:vAlign w:val="center"/>
            <w:hideMark/>
          </w:tcPr>
          <w:p w14:paraId="1B85F631"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$3,879,763 </w:t>
            </w:r>
          </w:p>
        </w:tc>
        <w:tc>
          <w:tcPr>
            <w:tcW w:w="993" w:type="dxa"/>
            <w:tcBorders>
              <w:top w:val="nil"/>
              <w:left w:val="nil"/>
              <w:bottom w:val="single" w:sz="8" w:space="0" w:color="auto"/>
              <w:right w:val="single" w:sz="8" w:space="0" w:color="auto"/>
            </w:tcBorders>
            <w:shd w:val="clear" w:color="auto" w:fill="auto"/>
            <w:noWrap/>
            <w:vAlign w:val="center"/>
            <w:hideMark/>
          </w:tcPr>
          <w:p w14:paraId="7D4269B9"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71.43%</w:t>
            </w:r>
          </w:p>
        </w:tc>
      </w:tr>
      <w:tr w:rsidR="00C93C49" w:rsidRPr="00C93C49" w14:paraId="62966F59" w14:textId="77777777" w:rsidTr="00347614">
        <w:trPr>
          <w:trHeight w:val="224"/>
          <w:jc w:val="center"/>
        </w:trPr>
        <w:tc>
          <w:tcPr>
            <w:tcW w:w="1426" w:type="dxa"/>
            <w:tcBorders>
              <w:top w:val="nil"/>
              <w:left w:val="single" w:sz="8" w:space="0" w:color="auto"/>
              <w:bottom w:val="single" w:sz="8" w:space="0" w:color="auto"/>
              <w:right w:val="single" w:sz="8" w:space="0" w:color="auto"/>
            </w:tcBorders>
            <w:shd w:val="clear" w:color="auto" w:fill="auto"/>
            <w:noWrap/>
            <w:vAlign w:val="center"/>
            <w:hideMark/>
          </w:tcPr>
          <w:p w14:paraId="3B521BF7" w14:textId="77777777" w:rsidR="00C93C49" w:rsidRPr="00C93C49" w:rsidRDefault="00C93C49" w:rsidP="00C93C49">
            <w:pPr>
              <w:spacing w:after="0" w:line="240" w:lineRule="auto"/>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West Penn Power</w:t>
            </w:r>
          </w:p>
        </w:tc>
        <w:tc>
          <w:tcPr>
            <w:tcW w:w="1462" w:type="dxa"/>
            <w:tcBorders>
              <w:top w:val="nil"/>
              <w:left w:val="nil"/>
              <w:bottom w:val="single" w:sz="8" w:space="0" w:color="auto"/>
              <w:right w:val="single" w:sz="8" w:space="0" w:color="auto"/>
            </w:tcBorders>
            <w:shd w:val="clear" w:color="auto" w:fill="auto"/>
            <w:noWrap/>
            <w:vAlign w:val="center"/>
            <w:hideMark/>
          </w:tcPr>
          <w:p w14:paraId="5807A347"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$2,519,019 </w:t>
            </w:r>
          </w:p>
        </w:tc>
        <w:tc>
          <w:tcPr>
            <w:tcW w:w="1341" w:type="dxa"/>
            <w:tcBorders>
              <w:top w:val="nil"/>
              <w:left w:val="nil"/>
              <w:bottom w:val="single" w:sz="8" w:space="0" w:color="auto"/>
              <w:right w:val="single" w:sz="8" w:space="0" w:color="auto"/>
            </w:tcBorders>
            <w:shd w:val="clear" w:color="auto" w:fill="auto"/>
            <w:noWrap/>
            <w:vAlign w:val="center"/>
            <w:hideMark/>
          </w:tcPr>
          <w:p w14:paraId="380FBEC0"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$1,292,063 </w:t>
            </w:r>
          </w:p>
        </w:tc>
        <w:tc>
          <w:tcPr>
            <w:tcW w:w="1341" w:type="dxa"/>
            <w:tcBorders>
              <w:top w:val="nil"/>
              <w:left w:val="nil"/>
              <w:bottom w:val="single" w:sz="8" w:space="0" w:color="auto"/>
              <w:right w:val="single" w:sz="8" w:space="0" w:color="auto"/>
            </w:tcBorders>
            <w:shd w:val="clear" w:color="auto" w:fill="auto"/>
            <w:noWrap/>
            <w:vAlign w:val="center"/>
            <w:hideMark/>
          </w:tcPr>
          <w:p w14:paraId="4F158B10"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$853,681 </w:t>
            </w:r>
          </w:p>
        </w:tc>
        <w:tc>
          <w:tcPr>
            <w:tcW w:w="1462" w:type="dxa"/>
            <w:tcBorders>
              <w:top w:val="nil"/>
              <w:left w:val="nil"/>
              <w:bottom w:val="single" w:sz="8" w:space="0" w:color="auto"/>
              <w:right w:val="single" w:sz="8" w:space="0" w:color="auto"/>
            </w:tcBorders>
            <w:shd w:val="clear" w:color="auto" w:fill="auto"/>
            <w:noWrap/>
            <w:vAlign w:val="center"/>
            <w:hideMark/>
          </w:tcPr>
          <w:p w14:paraId="0884D150"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$6,544,725 </w:t>
            </w:r>
          </w:p>
        </w:tc>
        <w:tc>
          <w:tcPr>
            <w:tcW w:w="1462" w:type="dxa"/>
            <w:tcBorders>
              <w:top w:val="nil"/>
              <w:left w:val="nil"/>
              <w:bottom w:val="single" w:sz="8" w:space="0" w:color="auto"/>
              <w:right w:val="single" w:sz="8" w:space="0" w:color="auto"/>
            </w:tcBorders>
            <w:shd w:val="clear" w:color="auto" w:fill="auto"/>
            <w:noWrap/>
            <w:vAlign w:val="center"/>
            <w:hideMark/>
          </w:tcPr>
          <w:p w14:paraId="6A5E9E23"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$11,209,487 </w:t>
            </w:r>
          </w:p>
        </w:tc>
        <w:tc>
          <w:tcPr>
            <w:tcW w:w="993" w:type="dxa"/>
            <w:tcBorders>
              <w:top w:val="nil"/>
              <w:left w:val="nil"/>
              <w:bottom w:val="single" w:sz="8" w:space="0" w:color="auto"/>
              <w:right w:val="single" w:sz="8" w:space="0" w:color="auto"/>
            </w:tcBorders>
            <w:shd w:val="clear" w:color="auto" w:fill="auto"/>
            <w:noWrap/>
            <w:vAlign w:val="center"/>
            <w:hideMark/>
          </w:tcPr>
          <w:p w14:paraId="4AE587C5"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66.00%</w:t>
            </w:r>
          </w:p>
        </w:tc>
      </w:tr>
      <w:tr w:rsidR="00C93C49" w:rsidRPr="00C93C49" w14:paraId="36898E5C" w14:textId="77777777" w:rsidTr="00347614">
        <w:trPr>
          <w:trHeight w:val="313"/>
          <w:jc w:val="center"/>
        </w:trPr>
        <w:tc>
          <w:tcPr>
            <w:tcW w:w="1426" w:type="dxa"/>
            <w:tcBorders>
              <w:top w:val="nil"/>
              <w:left w:val="single" w:sz="8" w:space="0" w:color="auto"/>
              <w:bottom w:val="single" w:sz="8" w:space="0" w:color="auto"/>
              <w:right w:val="single" w:sz="8" w:space="0" w:color="auto"/>
            </w:tcBorders>
            <w:shd w:val="clear" w:color="auto" w:fill="auto"/>
            <w:vAlign w:val="center"/>
            <w:hideMark/>
          </w:tcPr>
          <w:p w14:paraId="403AA0EB" w14:textId="77777777" w:rsidR="00C93C49" w:rsidRPr="00C93C49" w:rsidRDefault="00C93C49" w:rsidP="00C93C49">
            <w:pPr>
              <w:spacing w:after="0" w:line="240" w:lineRule="auto"/>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FE-PA Companies</w:t>
            </w:r>
          </w:p>
        </w:tc>
        <w:tc>
          <w:tcPr>
            <w:tcW w:w="1462" w:type="dxa"/>
            <w:tcBorders>
              <w:top w:val="nil"/>
              <w:left w:val="nil"/>
              <w:bottom w:val="single" w:sz="8" w:space="0" w:color="auto"/>
              <w:right w:val="single" w:sz="8" w:space="0" w:color="auto"/>
            </w:tcBorders>
            <w:shd w:val="clear" w:color="auto" w:fill="auto"/>
            <w:noWrap/>
            <w:vAlign w:val="center"/>
            <w:hideMark/>
          </w:tcPr>
          <w:p w14:paraId="243C2D51" w14:textId="77777777" w:rsidR="00C93C49" w:rsidRPr="00C93C49" w:rsidRDefault="00C93C49" w:rsidP="00C93C49">
            <w:pPr>
              <w:spacing w:after="0" w:line="240" w:lineRule="auto"/>
              <w:jc w:val="right"/>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 xml:space="preserve">$9,457,491 </w:t>
            </w:r>
          </w:p>
        </w:tc>
        <w:tc>
          <w:tcPr>
            <w:tcW w:w="1341" w:type="dxa"/>
            <w:tcBorders>
              <w:top w:val="nil"/>
              <w:left w:val="nil"/>
              <w:bottom w:val="single" w:sz="8" w:space="0" w:color="auto"/>
              <w:right w:val="single" w:sz="8" w:space="0" w:color="auto"/>
            </w:tcBorders>
            <w:shd w:val="clear" w:color="auto" w:fill="auto"/>
            <w:noWrap/>
            <w:vAlign w:val="center"/>
            <w:hideMark/>
          </w:tcPr>
          <w:p w14:paraId="33A33D04" w14:textId="77777777" w:rsidR="00C93C49" w:rsidRPr="00C93C49" w:rsidRDefault="00C93C49" w:rsidP="00C93C49">
            <w:pPr>
              <w:spacing w:after="0" w:line="240" w:lineRule="auto"/>
              <w:jc w:val="right"/>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 xml:space="preserve">$5,062,099 </w:t>
            </w:r>
          </w:p>
        </w:tc>
        <w:tc>
          <w:tcPr>
            <w:tcW w:w="1341" w:type="dxa"/>
            <w:tcBorders>
              <w:top w:val="nil"/>
              <w:left w:val="nil"/>
              <w:bottom w:val="single" w:sz="8" w:space="0" w:color="auto"/>
              <w:right w:val="single" w:sz="8" w:space="0" w:color="auto"/>
            </w:tcBorders>
            <w:shd w:val="clear" w:color="auto" w:fill="auto"/>
            <w:noWrap/>
            <w:vAlign w:val="center"/>
            <w:hideMark/>
          </w:tcPr>
          <w:p w14:paraId="18688BF6" w14:textId="77777777" w:rsidR="00C93C49" w:rsidRPr="00C93C49" w:rsidRDefault="00C93C49" w:rsidP="00C93C49">
            <w:pPr>
              <w:spacing w:after="0" w:line="240" w:lineRule="auto"/>
              <w:jc w:val="right"/>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 xml:space="preserve">$3,947,092 </w:t>
            </w:r>
          </w:p>
        </w:tc>
        <w:tc>
          <w:tcPr>
            <w:tcW w:w="1462" w:type="dxa"/>
            <w:tcBorders>
              <w:top w:val="nil"/>
              <w:left w:val="nil"/>
              <w:bottom w:val="single" w:sz="8" w:space="0" w:color="auto"/>
              <w:right w:val="single" w:sz="8" w:space="0" w:color="auto"/>
            </w:tcBorders>
            <w:shd w:val="clear" w:color="auto" w:fill="auto"/>
            <w:noWrap/>
            <w:vAlign w:val="center"/>
            <w:hideMark/>
          </w:tcPr>
          <w:p w14:paraId="7DCE171C" w14:textId="77777777" w:rsidR="00C93C49" w:rsidRPr="00C93C49" w:rsidRDefault="00C93C49" w:rsidP="00C93C49">
            <w:pPr>
              <w:spacing w:after="0" w:line="240" w:lineRule="auto"/>
              <w:jc w:val="right"/>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 xml:space="preserve">$32,435,373 </w:t>
            </w:r>
          </w:p>
        </w:tc>
        <w:tc>
          <w:tcPr>
            <w:tcW w:w="1462" w:type="dxa"/>
            <w:tcBorders>
              <w:top w:val="nil"/>
              <w:left w:val="nil"/>
              <w:bottom w:val="single" w:sz="8" w:space="0" w:color="auto"/>
              <w:right w:val="single" w:sz="8" w:space="0" w:color="auto"/>
            </w:tcBorders>
            <w:shd w:val="clear" w:color="auto" w:fill="auto"/>
            <w:noWrap/>
            <w:vAlign w:val="center"/>
            <w:hideMark/>
          </w:tcPr>
          <w:p w14:paraId="66597698" w14:textId="77777777" w:rsidR="00C93C49" w:rsidRPr="00C93C49" w:rsidRDefault="00C93C49" w:rsidP="00C93C49">
            <w:pPr>
              <w:spacing w:after="0" w:line="240" w:lineRule="auto"/>
              <w:jc w:val="right"/>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 xml:space="preserve">$50,902,056 </w:t>
            </w:r>
          </w:p>
        </w:tc>
        <w:tc>
          <w:tcPr>
            <w:tcW w:w="993" w:type="dxa"/>
            <w:tcBorders>
              <w:top w:val="nil"/>
              <w:left w:val="nil"/>
              <w:bottom w:val="single" w:sz="8" w:space="0" w:color="auto"/>
              <w:right w:val="single" w:sz="8" w:space="0" w:color="auto"/>
            </w:tcBorders>
            <w:shd w:val="clear" w:color="auto" w:fill="auto"/>
            <w:noWrap/>
            <w:vAlign w:val="center"/>
            <w:hideMark/>
          </w:tcPr>
          <w:p w14:paraId="112794F1"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71.48%</w:t>
            </w:r>
          </w:p>
        </w:tc>
      </w:tr>
      <w:tr w:rsidR="00C93C49" w:rsidRPr="00C93C49" w14:paraId="027DAA5D" w14:textId="77777777" w:rsidTr="00347614">
        <w:trPr>
          <w:trHeight w:val="224"/>
          <w:jc w:val="center"/>
        </w:trPr>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14:paraId="56272AB9"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2015</w:t>
            </w:r>
          </w:p>
        </w:tc>
        <w:tc>
          <w:tcPr>
            <w:tcW w:w="1462" w:type="dxa"/>
            <w:tcBorders>
              <w:top w:val="nil"/>
              <w:left w:val="nil"/>
              <w:bottom w:val="single" w:sz="8" w:space="0" w:color="auto"/>
              <w:right w:val="single" w:sz="8" w:space="0" w:color="auto"/>
            </w:tcBorders>
            <w:shd w:val="clear" w:color="auto" w:fill="auto"/>
            <w:noWrap/>
            <w:vAlign w:val="center"/>
            <w:hideMark/>
          </w:tcPr>
          <w:p w14:paraId="379EEA1A"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31 - 60 Days</w:t>
            </w:r>
          </w:p>
        </w:tc>
        <w:tc>
          <w:tcPr>
            <w:tcW w:w="1341" w:type="dxa"/>
            <w:tcBorders>
              <w:top w:val="nil"/>
              <w:left w:val="nil"/>
              <w:bottom w:val="single" w:sz="8" w:space="0" w:color="auto"/>
              <w:right w:val="single" w:sz="8" w:space="0" w:color="auto"/>
            </w:tcBorders>
            <w:shd w:val="clear" w:color="auto" w:fill="auto"/>
            <w:noWrap/>
            <w:vAlign w:val="center"/>
            <w:hideMark/>
          </w:tcPr>
          <w:p w14:paraId="6687BAB0"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61 - 90 Days</w:t>
            </w:r>
          </w:p>
        </w:tc>
        <w:tc>
          <w:tcPr>
            <w:tcW w:w="1341" w:type="dxa"/>
            <w:tcBorders>
              <w:top w:val="nil"/>
              <w:left w:val="nil"/>
              <w:bottom w:val="single" w:sz="8" w:space="0" w:color="auto"/>
              <w:right w:val="single" w:sz="8" w:space="0" w:color="auto"/>
            </w:tcBorders>
            <w:shd w:val="clear" w:color="auto" w:fill="auto"/>
            <w:noWrap/>
            <w:vAlign w:val="center"/>
            <w:hideMark/>
          </w:tcPr>
          <w:p w14:paraId="0011EA94"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91 - 120 Days</w:t>
            </w:r>
          </w:p>
        </w:tc>
        <w:tc>
          <w:tcPr>
            <w:tcW w:w="1462" w:type="dxa"/>
            <w:tcBorders>
              <w:top w:val="nil"/>
              <w:left w:val="nil"/>
              <w:bottom w:val="single" w:sz="8" w:space="0" w:color="auto"/>
              <w:right w:val="single" w:sz="8" w:space="0" w:color="auto"/>
            </w:tcBorders>
            <w:shd w:val="clear" w:color="auto" w:fill="auto"/>
            <w:noWrap/>
            <w:vAlign w:val="center"/>
            <w:hideMark/>
          </w:tcPr>
          <w:p w14:paraId="4A60CDD0"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&gt; 120 Days</w:t>
            </w:r>
          </w:p>
        </w:tc>
        <w:tc>
          <w:tcPr>
            <w:tcW w:w="14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C4782E"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Total Amount</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437F76"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 over 90 days</w:t>
            </w:r>
          </w:p>
        </w:tc>
      </w:tr>
      <w:tr w:rsidR="00C93C49" w:rsidRPr="00C93C49" w14:paraId="479C648B" w14:textId="77777777" w:rsidTr="00347614">
        <w:trPr>
          <w:trHeight w:val="224"/>
          <w:jc w:val="center"/>
        </w:trPr>
        <w:tc>
          <w:tcPr>
            <w:tcW w:w="1426" w:type="dxa"/>
            <w:vMerge/>
            <w:tcBorders>
              <w:top w:val="nil"/>
              <w:left w:val="single" w:sz="8" w:space="0" w:color="auto"/>
              <w:bottom w:val="single" w:sz="8" w:space="0" w:color="000000"/>
              <w:right w:val="single" w:sz="8" w:space="0" w:color="auto"/>
            </w:tcBorders>
            <w:vAlign w:val="center"/>
            <w:hideMark/>
          </w:tcPr>
          <w:p w14:paraId="29FD52C1" w14:textId="77777777" w:rsidR="00C93C49" w:rsidRPr="00C93C49" w:rsidRDefault="00C93C49" w:rsidP="00C93C49">
            <w:pPr>
              <w:spacing w:after="0" w:line="240" w:lineRule="auto"/>
              <w:rPr>
                <w:rFonts w:ascii="Arial" w:eastAsia="Times New Roman" w:hAnsi="Arial" w:cs="Arial"/>
                <w:b/>
                <w:bCs/>
                <w:color w:val="000000"/>
                <w:sz w:val="18"/>
                <w:szCs w:val="18"/>
              </w:rPr>
            </w:pPr>
          </w:p>
        </w:tc>
        <w:tc>
          <w:tcPr>
            <w:tcW w:w="1462" w:type="dxa"/>
            <w:tcBorders>
              <w:top w:val="nil"/>
              <w:left w:val="nil"/>
              <w:bottom w:val="single" w:sz="8" w:space="0" w:color="auto"/>
              <w:right w:val="single" w:sz="8" w:space="0" w:color="auto"/>
            </w:tcBorders>
            <w:shd w:val="clear" w:color="auto" w:fill="auto"/>
            <w:noWrap/>
            <w:vAlign w:val="center"/>
            <w:hideMark/>
          </w:tcPr>
          <w:p w14:paraId="765C8CF4"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Amount</w:t>
            </w:r>
          </w:p>
        </w:tc>
        <w:tc>
          <w:tcPr>
            <w:tcW w:w="1341" w:type="dxa"/>
            <w:tcBorders>
              <w:top w:val="nil"/>
              <w:left w:val="nil"/>
              <w:bottom w:val="single" w:sz="8" w:space="0" w:color="auto"/>
              <w:right w:val="single" w:sz="8" w:space="0" w:color="auto"/>
            </w:tcBorders>
            <w:shd w:val="clear" w:color="auto" w:fill="auto"/>
            <w:noWrap/>
            <w:vAlign w:val="center"/>
            <w:hideMark/>
          </w:tcPr>
          <w:p w14:paraId="5798717D"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Amount</w:t>
            </w:r>
          </w:p>
        </w:tc>
        <w:tc>
          <w:tcPr>
            <w:tcW w:w="1341" w:type="dxa"/>
            <w:tcBorders>
              <w:top w:val="nil"/>
              <w:left w:val="nil"/>
              <w:bottom w:val="single" w:sz="8" w:space="0" w:color="auto"/>
              <w:right w:val="single" w:sz="8" w:space="0" w:color="auto"/>
            </w:tcBorders>
            <w:shd w:val="clear" w:color="auto" w:fill="auto"/>
            <w:noWrap/>
            <w:vAlign w:val="center"/>
            <w:hideMark/>
          </w:tcPr>
          <w:p w14:paraId="0E46A433"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Amount</w:t>
            </w:r>
          </w:p>
        </w:tc>
        <w:tc>
          <w:tcPr>
            <w:tcW w:w="1462" w:type="dxa"/>
            <w:tcBorders>
              <w:top w:val="nil"/>
              <w:left w:val="nil"/>
              <w:bottom w:val="single" w:sz="8" w:space="0" w:color="auto"/>
              <w:right w:val="single" w:sz="8" w:space="0" w:color="auto"/>
            </w:tcBorders>
            <w:shd w:val="clear" w:color="auto" w:fill="auto"/>
            <w:noWrap/>
            <w:vAlign w:val="center"/>
            <w:hideMark/>
          </w:tcPr>
          <w:p w14:paraId="4715FF8F"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Amount</w:t>
            </w:r>
          </w:p>
        </w:tc>
        <w:tc>
          <w:tcPr>
            <w:tcW w:w="1462" w:type="dxa"/>
            <w:vMerge/>
            <w:tcBorders>
              <w:top w:val="nil"/>
              <w:left w:val="single" w:sz="8" w:space="0" w:color="auto"/>
              <w:bottom w:val="single" w:sz="8" w:space="0" w:color="000000"/>
              <w:right w:val="single" w:sz="8" w:space="0" w:color="auto"/>
            </w:tcBorders>
            <w:vAlign w:val="center"/>
            <w:hideMark/>
          </w:tcPr>
          <w:p w14:paraId="31F9F248" w14:textId="77777777" w:rsidR="00C93C49" w:rsidRPr="00C93C49" w:rsidRDefault="00C93C49" w:rsidP="00C93C49">
            <w:pPr>
              <w:spacing w:after="0" w:line="240" w:lineRule="auto"/>
              <w:rPr>
                <w:rFonts w:ascii="Arial" w:eastAsia="Times New Roman" w:hAnsi="Arial" w:cs="Arial"/>
                <w:b/>
                <w:bCs/>
                <w:color w:val="000000"/>
                <w:sz w:val="18"/>
                <w:szCs w:val="18"/>
              </w:rPr>
            </w:pPr>
          </w:p>
        </w:tc>
        <w:tc>
          <w:tcPr>
            <w:tcW w:w="993" w:type="dxa"/>
            <w:vMerge/>
            <w:tcBorders>
              <w:top w:val="nil"/>
              <w:left w:val="single" w:sz="8" w:space="0" w:color="auto"/>
              <w:bottom w:val="single" w:sz="8" w:space="0" w:color="000000"/>
              <w:right w:val="single" w:sz="8" w:space="0" w:color="auto"/>
            </w:tcBorders>
            <w:vAlign w:val="center"/>
            <w:hideMark/>
          </w:tcPr>
          <w:p w14:paraId="5CD08C1F" w14:textId="77777777" w:rsidR="00C93C49" w:rsidRPr="00C93C49" w:rsidRDefault="00C93C49" w:rsidP="00C93C49">
            <w:pPr>
              <w:spacing w:after="0" w:line="240" w:lineRule="auto"/>
              <w:rPr>
                <w:rFonts w:ascii="Arial" w:eastAsia="Times New Roman" w:hAnsi="Arial" w:cs="Arial"/>
                <w:b/>
                <w:bCs/>
                <w:color w:val="000000"/>
                <w:sz w:val="18"/>
                <w:szCs w:val="18"/>
              </w:rPr>
            </w:pPr>
          </w:p>
        </w:tc>
      </w:tr>
      <w:tr w:rsidR="00C93C49" w:rsidRPr="00C93C49" w14:paraId="34011A4E" w14:textId="77777777" w:rsidTr="00347614">
        <w:trPr>
          <w:trHeight w:val="224"/>
          <w:jc w:val="center"/>
        </w:trPr>
        <w:tc>
          <w:tcPr>
            <w:tcW w:w="1426" w:type="dxa"/>
            <w:tcBorders>
              <w:top w:val="nil"/>
              <w:left w:val="single" w:sz="8" w:space="0" w:color="auto"/>
              <w:bottom w:val="single" w:sz="8" w:space="0" w:color="auto"/>
              <w:right w:val="single" w:sz="8" w:space="0" w:color="auto"/>
            </w:tcBorders>
            <w:shd w:val="clear" w:color="auto" w:fill="auto"/>
            <w:noWrap/>
            <w:vAlign w:val="center"/>
            <w:hideMark/>
          </w:tcPr>
          <w:p w14:paraId="55C9F5D2" w14:textId="77777777" w:rsidR="00C93C49" w:rsidRPr="00C93C49" w:rsidRDefault="00C93C49" w:rsidP="00C93C49">
            <w:pPr>
              <w:spacing w:after="0" w:line="240" w:lineRule="auto"/>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Met-Ed</w:t>
            </w:r>
          </w:p>
        </w:tc>
        <w:tc>
          <w:tcPr>
            <w:tcW w:w="1462" w:type="dxa"/>
            <w:tcBorders>
              <w:top w:val="nil"/>
              <w:left w:val="nil"/>
              <w:bottom w:val="single" w:sz="8" w:space="0" w:color="auto"/>
              <w:right w:val="single" w:sz="8" w:space="0" w:color="auto"/>
            </w:tcBorders>
            <w:shd w:val="clear" w:color="auto" w:fill="auto"/>
            <w:noWrap/>
            <w:vAlign w:val="center"/>
            <w:hideMark/>
          </w:tcPr>
          <w:p w14:paraId="3FE86483"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$3,852,024 </w:t>
            </w:r>
          </w:p>
        </w:tc>
        <w:tc>
          <w:tcPr>
            <w:tcW w:w="1341" w:type="dxa"/>
            <w:tcBorders>
              <w:top w:val="nil"/>
              <w:left w:val="nil"/>
              <w:bottom w:val="single" w:sz="8" w:space="0" w:color="auto"/>
              <w:right w:val="single" w:sz="8" w:space="0" w:color="auto"/>
            </w:tcBorders>
            <w:shd w:val="clear" w:color="auto" w:fill="auto"/>
            <w:noWrap/>
            <w:vAlign w:val="center"/>
            <w:hideMark/>
          </w:tcPr>
          <w:p w14:paraId="5164CCA8"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$1,937,979 </w:t>
            </w:r>
          </w:p>
        </w:tc>
        <w:tc>
          <w:tcPr>
            <w:tcW w:w="1341" w:type="dxa"/>
            <w:tcBorders>
              <w:top w:val="nil"/>
              <w:left w:val="nil"/>
              <w:bottom w:val="single" w:sz="8" w:space="0" w:color="auto"/>
              <w:right w:val="single" w:sz="8" w:space="0" w:color="auto"/>
            </w:tcBorders>
            <w:shd w:val="clear" w:color="auto" w:fill="auto"/>
            <w:noWrap/>
            <w:vAlign w:val="center"/>
            <w:hideMark/>
          </w:tcPr>
          <w:p w14:paraId="230C256C"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$1,234,610 </w:t>
            </w:r>
          </w:p>
        </w:tc>
        <w:tc>
          <w:tcPr>
            <w:tcW w:w="1462" w:type="dxa"/>
            <w:tcBorders>
              <w:top w:val="nil"/>
              <w:left w:val="nil"/>
              <w:bottom w:val="single" w:sz="8" w:space="0" w:color="auto"/>
              <w:right w:val="single" w:sz="8" w:space="0" w:color="auto"/>
            </w:tcBorders>
            <w:shd w:val="clear" w:color="auto" w:fill="auto"/>
            <w:noWrap/>
            <w:vAlign w:val="center"/>
            <w:hideMark/>
          </w:tcPr>
          <w:p w14:paraId="2404524A"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$8,938,486 </w:t>
            </w:r>
          </w:p>
        </w:tc>
        <w:tc>
          <w:tcPr>
            <w:tcW w:w="1462" w:type="dxa"/>
            <w:tcBorders>
              <w:top w:val="nil"/>
              <w:left w:val="nil"/>
              <w:bottom w:val="single" w:sz="8" w:space="0" w:color="auto"/>
              <w:right w:val="single" w:sz="8" w:space="0" w:color="auto"/>
            </w:tcBorders>
            <w:shd w:val="clear" w:color="auto" w:fill="auto"/>
            <w:noWrap/>
            <w:vAlign w:val="center"/>
            <w:hideMark/>
          </w:tcPr>
          <w:p w14:paraId="54D5A13F"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$15,963,100 </w:t>
            </w:r>
          </w:p>
        </w:tc>
        <w:tc>
          <w:tcPr>
            <w:tcW w:w="993" w:type="dxa"/>
            <w:tcBorders>
              <w:top w:val="nil"/>
              <w:left w:val="nil"/>
              <w:bottom w:val="single" w:sz="8" w:space="0" w:color="auto"/>
              <w:right w:val="single" w:sz="8" w:space="0" w:color="auto"/>
            </w:tcBorders>
            <w:shd w:val="clear" w:color="auto" w:fill="auto"/>
            <w:noWrap/>
            <w:vAlign w:val="center"/>
            <w:hideMark/>
          </w:tcPr>
          <w:p w14:paraId="2297C8DA"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63.73%</w:t>
            </w:r>
          </w:p>
        </w:tc>
      </w:tr>
      <w:tr w:rsidR="00C93C49" w:rsidRPr="00C93C49" w14:paraId="153045A1" w14:textId="77777777" w:rsidTr="00347614">
        <w:trPr>
          <w:trHeight w:val="224"/>
          <w:jc w:val="center"/>
        </w:trPr>
        <w:tc>
          <w:tcPr>
            <w:tcW w:w="1426" w:type="dxa"/>
            <w:tcBorders>
              <w:top w:val="nil"/>
              <w:left w:val="single" w:sz="8" w:space="0" w:color="auto"/>
              <w:bottom w:val="single" w:sz="8" w:space="0" w:color="auto"/>
              <w:right w:val="single" w:sz="8" w:space="0" w:color="auto"/>
            </w:tcBorders>
            <w:shd w:val="clear" w:color="auto" w:fill="auto"/>
            <w:noWrap/>
            <w:vAlign w:val="center"/>
            <w:hideMark/>
          </w:tcPr>
          <w:p w14:paraId="295AE446" w14:textId="77777777" w:rsidR="00C93C49" w:rsidRPr="00C93C49" w:rsidRDefault="00C93C49" w:rsidP="00C93C49">
            <w:pPr>
              <w:spacing w:after="0" w:line="240" w:lineRule="auto"/>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Penelec</w:t>
            </w:r>
          </w:p>
        </w:tc>
        <w:tc>
          <w:tcPr>
            <w:tcW w:w="1462" w:type="dxa"/>
            <w:tcBorders>
              <w:top w:val="nil"/>
              <w:left w:val="nil"/>
              <w:bottom w:val="single" w:sz="8" w:space="0" w:color="auto"/>
              <w:right w:val="single" w:sz="8" w:space="0" w:color="auto"/>
            </w:tcBorders>
            <w:shd w:val="clear" w:color="auto" w:fill="auto"/>
            <w:noWrap/>
            <w:vAlign w:val="center"/>
            <w:hideMark/>
          </w:tcPr>
          <w:p w14:paraId="1EF42547"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$4,022,482 </w:t>
            </w:r>
          </w:p>
        </w:tc>
        <w:tc>
          <w:tcPr>
            <w:tcW w:w="1341" w:type="dxa"/>
            <w:tcBorders>
              <w:top w:val="nil"/>
              <w:left w:val="nil"/>
              <w:bottom w:val="single" w:sz="8" w:space="0" w:color="auto"/>
              <w:right w:val="single" w:sz="8" w:space="0" w:color="auto"/>
            </w:tcBorders>
            <w:shd w:val="clear" w:color="auto" w:fill="auto"/>
            <w:noWrap/>
            <w:vAlign w:val="center"/>
            <w:hideMark/>
          </w:tcPr>
          <w:p w14:paraId="1746D216"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$1,952,129 </w:t>
            </w:r>
          </w:p>
        </w:tc>
        <w:tc>
          <w:tcPr>
            <w:tcW w:w="1341" w:type="dxa"/>
            <w:tcBorders>
              <w:top w:val="nil"/>
              <w:left w:val="nil"/>
              <w:bottom w:val="single" w:sz="8" w:space="0" w:color="auto"/>
              <w:right w:val="single" w:sz="8" w:space="0" w:color="auto"/>
            </w:tcBorders>
            <w:shd w:val="clear" w:color="auto" w:fill="auto"/>
            <w:noWrap/>
            <w:vAlign w:val="center"/>
            <w:hideMark/>
          </w:tcPr>
          <w:p w14:paraId="12F65FCD"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$1,142,997 </w:t>
            </w:r>
          </w:p>
        </w:tc>
        <w:tc>
          <w:tcPr>
            <w:tcW w:w="1462" w:type="dxa"/>
            <w:tcBorders>
              <w:top w:val="nil"/>
              <w:left w:val="nil"/>
              <w:bottom w:val="single" w:sz="8" w:space="0" w:color="auto"/>
              <w:right w:val="single" w:sz="8" w:space="0" w:color="auto"/>
            </w:tcBorders>
            <w:shd w:val="clear" w:color="auto" w:fill="auto"/>
            <w:noWrap/>
            <w:vAlign w:val="center"/>
            <w:hideMark/>
          </w:tcPr>
          <w:p w14:paraId="10C5EBBB"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$9,029,041 </w:t>
            </w:r>
          </w:p>
        </w:tc>
        <w:tc>
          <w:tcPr>
            <w:tcW w:w="1462" w:type="dxa"/>
            <w:tcBorders>
              <w:top w:val="nil"/>
              <w:left w:val="nil"/>
              <w:bottom w:val="single" w:sz="8" w:space="0" w:color="auto"/>
              <w:right w:val="single" w:sz="8" w:space="0" w:color="auto"/>
            </w:tcBorders>
            <w:shd w:val="clear" w:color="auto" w:fill="auto"/>
            <w:noWrap/>
            <w:vAlign w:val="center"/>
            <w:hideMark/>
          </w:tcPr>
          <w:p w14:paraId="13F11783"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$16,146,649 </w:t>
            </w:r>
          </w:p>
        </w:tc>
        <w:tc>
          <w:tcPr>
            <w:tcW w:w="993" w:type="dxa"/>
            <w:tcBorders>
              <w:top w:val="nil"/>
              <w:left w:val="nil"/>
              <w:bottom w:val="single" w:sz="8" w:space="0" w:color="auto"/>
              <w:right w:val="single" w:sz="8" w:space="0" w:color="auto"/>
            </w:tcBorders>
            <w:shd w:val="clear" w:color="auto" w:fill="auto"/>
            <w:noWrap/>
            <w:vAlign w:val="center"/>
            <w:hideMark/>
          </w:tcPr>
          <w:p w14:paraId="231FC75F"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63.00%</w:t>
            </w:r>
          </w:p>
        </w:tc>
      </w:tr>
      <w:tr w:rsidR="00C93C49" w:rsidRPr="00C93C49" w14:paraId="64080FCF" w14:textId="77777777" w:rsidTr="00347614">
        <w:trPr>
          <w:trHeight w:val="224"/>
          <w:jc w:val="center"/>
        </w:trPr>
        <w:tc>
          <w:tcPr>
            <w:tcW w:w="1426" w:type="dxa"/>
            <w:tcBorders>
              <w:top w:val="nil"/>
              <w:left w:val="single" w:sz="8" w:space="0" w:color="auto"/>
              <w:bottom w:val="single" w:sz="8" w:space="0" w:color="auto"/>
              <w:right w:val="single" w:sz="8" w:space="0" w:color="auto"/>
            </w:tcBorders>
            <w:shd w:val="clear" w:color="auto" w:fill="auto"/>
            <w:noWrap/>
            <w:vAlign w:val="center"/>
            <w:hideMark/>
          </w:tcPr>
          <w:p w14:paraId="77EBFB37" w14:textId="77777777" w:rsidR="00C93C49" w:rsidRPr="00C93C49" w:rsidRDefault="00C93C49" w:rsidP="00C93C49">
            <w:pPr>
              <w:spacing w:after="0" w:line="240" w:lineRule="auto"/>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Penn Power</w:t>
            </w:r>
          </w:p>
        </w:tc>
        <w:tc>
          <w:tcPr>
            <w:tcW w:w="1462" w:type="dxa"/>
            <w:tcBorders>
              <w:top w:val="nil"/>
              <w:left w:val="nil"/>
              <w:bottom w:val="single" w:sz="8" w:space="0" w:color="auto"/>
              <w:right w:val="single" w:sz="8" w:space="0" w:color="auto"/>
            </w:tcBorders>
            <w:shd w:val="clear" w:color="auto" w:fill="auto"/>
            <w:noWrap/>
            <w:vAlign w:val="center"/>
            <w:hideMark/>
          </w:tcPr>
          <w:p w14:paraId="331162FE"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$1,257,452 </w:t>
            </w:r>
          </w:p>
        </w:tc>
        <w:tc>
          <w:tcPr>
            <w:tcW w:w="1341" w:type="dxa"/>
            <w:tcBorders>
              <w:top w:val="nil"/>
              <w:left w:val="nil"/>
              <w:bottom w:val="single" w:sz="8" w:space="0" w:color="auto"/>
              <w:right w:val="single" w:sz="8" w:space="0" w:color="auto"/>
            </w:tcBorders>
            <w:shd w:val="clear" w:color="auto" w:fill="auto"/>
            <w:noWrap/>
            <w:vAlign w:val="center"/>
            <w:hideMark/>
          </w:tcPr>
          <w:p w14:paraId="3D0F8769"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$589,512 </w:t>
            </w:r>
          </w:p>
        </w:tc>
        <w:tc>
          <w:tcPr>
            <w:tcW w:w="1341" w:type="dxa"/>
            <w:tcBorders>
              <w:top w:val="nil"/>
              <w:left w:val="nil"/>
              <w:bottom w:val="single" w:sz="8" w:space="0" w:color="auto"/>
              <w:right w:val="single" w:sz="8" w:space="0" w:color="auto"/>
            </w:tcBorders>
            <w:shd w:val="clear" w:color="auto" w:fill="auto"/>
            <w:noWrap/>
            <w:vAlign w:val="center"/>
            <w:hideMark/>
          </w:tcPr>
          <w:p w14:paraId="17CA9885"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$330,395 </w:t>
            </w:r>
          </w:p>
        </w:tc>
        <w:tc>
          <w:tcPr>
            <w:tcW w:w="1462" w:type="dxa"/>
            <w:tcBorders>
              <w:top w:val="nil"/>
              <w:left w:val="nil"/>
              <w:bottom w:val="single" w:sz="8" w:space="0" w:color="auto"/>
              <w:right w:val="single" w:sz="8" w:space="0" w:color="auto"/>
            </w:tcBorders>
            <w:shd w:val="clear" w:color="auto" w:fill="auto"/>
            <w:noWrap/>
            <w:vAlign w:val="center"/>
            <w:hideMark/>
          </w:tcPr>
          <w:p w14:paraId="5249E3D5"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$2,269,860 </w:t>
            </w:r>
          </w:p>
        </w:tc>
        <w:tc>
          <w:tcPr>
            <w:tcW w:w="1462" w:type="dxa"/>
            <w:tcBorders>
              <w:top w:val="nil"/>
              <w:left w:val="nil"/>
              <w:bottom w:val="single" w:sz="8" w:space="0" w:color="auto"/>
              <w:right w:val="single" w:sz="8" w:space="0" w:color="auto"/>
            </w:tcBorders>
            <w:shd w:val="clear" w:color="auto" w:fill="auto"/>
            <w:noWrap/>
            <w:vAlign w:val="center"/>
            <w:hideMark/>
          </w:tcPr>
          <w:p w14:paraId="77B64116"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$4,447,219 </w:t>
            </w:r>
          </w:p>
        </w:tc>
        <w:tc>
          <w:tcPr>
            <w:tcW w:w="993" w:type="dxa"/>
            <w:tcBorders>
              <w:top w:val="nil"/>
              <w:left w:val="nil"/>
              <w:bottom w:val="single" w:sz="8" w:space="0" w:color="auto"/>
              <w:right w:val="single" w:sz="8" w:space="0" w:color="auto"/>
            </w:tcBorders>
            <w:shd w:val="clear" w:color="auto" w:fill="auto"/>
            <w:noWrap/>
            <w:vAlign w:val="center"/>
            <w:hideMark/>
          </w:tcPr>
          <w:p w14:paraId="25EBD99D"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58.47%</w:t>
            </w:r>
          </w:p>
        </w:tc>
      </w:tr>
      <w:tr w:rsidR="00C93C49" w:rsidRPr="00C93C49" w14:paraId="4731A501" w14:textId="77777777" w:rsidTr="00347614">
        <w:trPr>
          <w:trHeight w:val="224"/>
          <w:jc w:val="center"/>
        </w:trPr>
        <w:tc>
          <w:tcPr>
            <w:tcW w:w="1426" w:type="dxa"/>
            <w:tcBorders>
              <w:top w:val="nil"/>
              <w:left w:val="single" w:sz="8" w:space="0" w:color="auto"/>
              <w:bottom w:val="single" w:sz="8" w:space="0" w:color="auto"/>
              <w:right w:val="single" w:sz="8" w:space="0" w:color="auto"/>
            </w:tcBorders>
            <w:shd w:val="clear" w:color="auto" w:fill="auto"/>
            <w:noWrap/>
            <w:vAlign w:val="center"/>
            <w:hideMark/>
          </w:tcPr>
          <w:p w14:paraId="245365BF" w14:textId="77777777" w:rsidR="00C93C49" w:rsidRPr="00C93C49" w:rsidRDefault="00C93C49" w:rsidP="00C93C49">
            <w:pPr>
              <w:spacing w:after="0" w:line="240" w:lineRule="auto"/>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West Penn Power</w:t>
            </w:r>
          </w:p>
        </w:tc>
        <w:tc>
          <w:tcPr>
            <w:tcW w:w="1462" w:type="dxa"/>
            <w:tcBorders>
              <w:top w:val="nil"/>
              <w:left w:val="nil"/>
              <w:bottom w:val="single" w:sz="8" w:space="0" w:color="auto"/>
              <w:right w:val="single" w:sz="8" w:space="0" w:color="auto"/>
            </w:tcBorders>
            <w:shd w:val="clear" w:color="auto" w:fill="auto"/>
            <w:noWrap/>
            <w:vAlign w:val="center"/>
            <w:hideMark/>
          </w:tcPr>
          <w:p w14:paraId="2E73194B"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$3,566,691 </w:t>
            </w:r>
          </w:p>
        </w:tc>
        <w:tc>
          <w:tcPr>
            <w:tcW w:w="1341" w:type="dxa"/>
            <w:tcBorders>
              <w:top w:val="nil"/>
              <w:left w:val="nil"/>
              <w:bottom w:val="single" w:sz="8" w:space="0" w:color="auto"/>
              <w:right w:val="single" w:sz="8" w:space="0" w:color="auto"/>
            </w:tcBorders>
            <w:shd w:val="clear" w:color="auto" w:fill="auto"/>
            <w:noWrap/>
            <w:vAlign w:val="center"/>
            <w:hideMark/>
          </w:tcPr>
          <w:p w14:paraId="109E21F9"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$1,713,109 </w:t>
            </w:r>
          </w:p>
        </w:tc>
        <w:tc>
          <w:tcPr>
            <w:tcW w:w="1341" w:type="dxa"/>
            <w:tcBorders>
              <w:top w:val="nil"/>
              <w:left w:val="nil"/>
              <w:bottom w:val="single" w:sz="8" w:space="0" w:color="auto"/>
              <w:right w:val="single" w:sz="8" w:space="0" w:color="auto"/>
            </w:tcBorders>
            <w:shd w:val="clear" w:color="auto" w:fill="auto"/>
            <w:noWrap/>
            <w:vAlign w:val="center"/>
            <w:hideMark/>
          </w:tcPr>
          <w:p w14:paraId="1D8A0B20"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$1,035,153 </w:t>
            </w:r>
          </w:p>
        </w:tc>
        <w:tc>
          <w:tcPr>
            <w:tcW w:w="1462" w:type="dxa"/>
            <w:tcBorders>
              <w:top w:val="nil"/>
              <w:left w:val="nil"/>
              <w:bottom w:val="single" w:sz="8" w:space="0" w:color="auto"/>
              <w:right w:val="single" w:sz="8" w:space="0" w:color="auto"/>
            </w:tcBorders>
            <w:shd w:val="clear" w:color="auto" w:fill="auto"/>
            <w:noWrap/>
            <w:vAlign w:val="center"/>
            <w:hideMark/>
          </w:tcPr>
          <w:p w14:paraId="53D990E8"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$6,128,385 </w:t>
            </w:r>
          </w:p>
        </w:tc>
        <w:tc>
          <w:tcPr>
            <w:tcW w:w="1462" w:type="dxa"/>
            <w:tcBorders>
              <w:top w:val="nil"/>
              <w:left w:val="nil"/>
              <w:bottom w:val="single" w:sz="8" w:space="0" w:color="auto"/>
              <w:right w:val="single" w:sz="8" w:space="0" w:color="auto"/>
            </w:tcBorders>
            <w:shd w:val="clear" w:color="auto" w:fill="auto"/>
            <w:noWrap/>
            <w:vAlign w:val="center"/>
            <w:hideMark/>
          </w:tcPr>
          <w:p w14:paraId="5C98FCA8"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$12,443,337 </w:t>
            </w:r>
          </w:p>
        </w:tc>
        <w:tc>
          <w:tcPr>
            <w:tcW w:w="993" w:type="dxa"/>
            <w:tcBorders>
              <w:top w:val="nil"/>
              <w:left w:val="nil"/>
              <w:bottom w:val="single" w:sz="8" w:space="0" w:color="auto"/>
              <w:right w:val="single" w:sz="8" w:space="0" w:color="auto"/>
            </w:tcBorders>
            <w:shd w:val="clear" w:color="auto" w:fill="auto"/>
            <w:noWrap/>
            <w:vAlign w:val="center"/>
            <w:hideMark/>
          </w:tcPr>
          <w:p w14:paraId="742193D7"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57.57%</w:t>
            </w:r>
          </w:p>
        </w:tc>
      </w:tr>
      <w:tr w:rsidR="00C93C49" w:rsidRPr="00C93C49" w14:paraId="0149B0EB" w14:textId="77777777" w:rsidTr="00347614">
        <w:trPr>
          <w:trHeight w:val="340"/>
          <w:jc w:val="center"/>
        </w:trPr>
        <w:tc>
          <w:tcPr>
            <w:tcW w:w="1426" w:type="dxa"/>
            <w:tcBorders>
              <w:top w:val="nil"/>
              <w:left w:val="single" w:sz="8" w:space="0" w:color="auto"/>
              <w:bottom w:val="single" w:sz="8" w:space="0" w:color="auto"/>
              <w:right w:val="single" w:sz="8" w:space="0" w:color="auto"/>
            </w:tcBorders>
            <w:shd w:val="clear" w:color="auto" w:fill="auto"/>
            <w:vAlign w:val="center"/>
            <w:hideMark/>
          </w:tcPr>
          <w:p w14:paraId="5693E19E" w14:textId="77777777" w:rsidR="00C93C49" w:rsidRPr="00C93C49" w:rsidRDefault="00C93C49" w:rsidP="00C93C49">
            <w:pPr>
              <w:spacing w:after="0" w:line="240" w:lineRule="auto"/>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FE-PA Companies</w:t>
            </w:r>
          </w:p>
        </w:tc>
        <w:tc>
          <w:tcPr>
            <w:tcW w:w="1462" w:type="dxa"/>
            <w:tcBorders>
              <w:top w:val="nil"/>
              <w:left w:val="nil"/>
              <w:bottom w:val="single" w:sz="8" w:space="0" w:color="auto"/>
              <w:right w:val="single" w:sz="8" w:space="0" w:color="auto"/>
            </w:tcBorders>
            <w:shd w:val="clear" w:color="auto" w:fill="auto"/>
            <w:noWrap/>
            <w:vAlign w:val="center"/>
            <w:hideMark/>
          </w:tcPr>
          <w:p w14:paraId="02434477" w14:textId="77777777" w:rsidR="00C93C49" w:rsidRPr="00C93C49" w:rsidRDefault="00C93C49" w:rsidP="00C93C49">
            <w:pPr>
              <w:spacing w:after="0" w:line="240" w:lineRule="auto"/>
              <w:jc w:val="right"/>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 xml:space="preserve">$12,698,649 </w:t>
            </w:r>
          </w:p>
        </w:tc>
        <w:tc>
          <w:tcPr>
            <w:tcW w:w="1341" w:type="dxa"/>
            <w:tcBorders>
              <w:top w:val="nil"/>
              <w:left w:val="nil"/>
              <w:bottom w:val="single" w:sz="8" w:space="0" w:color="auto"/>
              <w:right w:val="single" w:sz="8" w:space="0" w:color="auto"/>
            </w:tcBorders>
            <w:shd w:val="clear" w:color="auto" w:fill="auto"/>
            <w:noWrap/>
            <w:vAlign w:val="center"/>
            <w:hideMark/>
          </w:tcPr>
          <w:p w14:paraId="69A64971" w14:textId="77777777" w:rsidR="00C93C49" w:rsidRPr="00C93C49" w:rsidRDefault="00C93C49" w:rsidP="00C93C49">
            <w:pPr>
              <w:spacing w:after="0" w:line="240" w:lineRule="auto"/>
              <w:jc w:val="right"/>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 xml:space="preserve">$6,192,729 </w:t>
            </w:r>
          </w:p>
        </w:tc>
        <w:tc>
          <w:tcPr>
            <w:tcW w:w="1341" w:type="dxa"/>
            <w:tcBorders>
              <w:top w:val="nil"/>
              <w:left w:val="nil"/>
              <w:bottom w:val="single" w:sz="8" w:space="0" w:color="auto"/>
              <w:right w:val="single" w:sz="8" w:space="0" w:color="auto"/>
            </w:tcBorders>
            <w:shd w:val="clear" w:color="auto" w:fill="auto"/>
            <w:noWrap/>
            <w:vAlign w:val="center"/>
            <w:hideMark/>
          </w:tcPr>
          <w:p w14:paraId="2B5C6772" w14:textId="77777777" w:rsidR="00C93C49" w:rsidRPr="00C93C49" w:rsidRDefault="00C93C49" w:rsidP="00C93C49">
            <w:pPr>
              <w:spacing w:after="0" w:line="240" w:lineRule="auto"/>
              <w:jc w:val="right"/>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 xml:space="preserve">$3,743,155 </w:t>
            </w:r>
          </w:p>
        </w:tc>
        <w:tc>
          <w:tcPr>
            <w:tcW w:w="1462" w:type="dxa"/>
            <w:tcBorders>
              <w:top w:val="nil"/>
              <w:left w:val="nil"/>
              <w:bottom w:val="single" w:sz="8" w:space="0" w:color="auto"/>
              <w:right w:val="single" w:sz="8" w:space="0" w:color="auto"/>
            </w:tcBorders>
            <w:shd w:val="clear" w:color="auto" w:fill="auto"/>
            <w:noWrap/>
            <w:vAlign w:val="center"/>
            <w:hideMark/>
          </w:tcPr>
          <w:p w14:paraId="12F94068" w14:textId="77777777" w:rsidR="00C93C49" w:rsidRPr="00C93C49" w:rsidRDefault="00C93C49" w:rsidP="00C93C49">
            <w:pPr>
              <w:spacing w:after="0" w:line="240" w:lineRule="auto"/>
              <w:jc w:val="right"/>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 xml:space="preserve">$26,365,772 </w:t>
            </w:r>
          </w:p>
        </w:tc>
        <w:tc>
          <w:tcPr>
            <w:tcW w:w="1462" w:type="dxa"/>
            <w:tcBorders>
              <w:top w:val="nil"/>
              <w:left w:val="nil"/>
              <w:bottom w:val="single" w:sz="8" w:space="0" w:color="auto"/>
              <w:right w:val="single" w:sz="8" w:space="0" w:color="auto"/>
            </w:tcBorders>
            <w:shd w:val="clear" w:color="auto" w:fill="auto"/>
            <w:noWrap/>
            <w:vAlign w:val="center"/>
            <w:hideMark/>
          </w:tcPr>
          <w:p w14:paraId="7F288DE6" w14:textId="77777777" w:rsidR="00C93C49" w:rsidRPr="00C93C49" w:rsidRDefault="00C93C49" w:rsidP="00C93C49">
            <w:pPr>
              <w:spacing w:after="0" w:line="240" w:lineRule="auto"/>
              <w:jc w:val="right"/>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 xml:space="preserve">$49,000,305 </w:t>
            </w:r>
          </w:p>
        </w:tc>
        <w:tc>
          <w:tcPr>
            <w:tcW w:w="993" w:type="dxa"/>
            <w:tcBorders>
              <w:top w:val="nil"/>
              <w:left w:val="nil"/>
              <w:bottom w:val="single" w:sz="8" w:space="0" w:color="auto"/>
              <w:right w:val="single" w:sz="8" w:space="0" w:color="auto"/>
            </w:tcBorders>
            <w:shd w:val="clear" w:color="auto" w:fill="auto"/>
            <w:noWrap/>
            <w:vAlign w:val="center"/>
            <w:hideMark/>
          </w:tcPr>
          <w:p w14:paraId="51D8B2A1"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61.45%</w:t>
            </w:r>
          </w:p>
        </w:tc>
      </w:tr>
      <w:tr w:rsidR="00C93C49" w:rsidRPr="00C93C49" w14:paraId="23EC0ED5" w14:textId="77777777" w:rsidTr="00347614">
        <w:trPr>
          <w:trHeight w:val="224"/>
          <w:jc w:val="center"/>
        </w:trPr>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14:paraId="0314E677"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2016</w:t>
            </w:r>
          </w:p>
        </w:tc>
        <w:tc>
          <w:tcPr>
            <w:tcW w:w="1462" w:type="dxa"/>
            <w:tcBorders>
              <w:top w:val="nil"/>
              <w:left w:val="nil"/>
              <w:bottom w:val="single" w:sz="8" w:space="0" w:color="auto"/>
              <w:right w:val="single" w:sz="8" w:space="0" w:color="auto"/>
            </w:tcBorders>
            <w:shd w:val="clear" w:color="auto" w:fill="auto"/>
            <w:noWrap/>
            <w:vAlign w:val="center"/>
            <w:hideMark/>
          </w:tcPr>
          <w:p w14:paraId="53DA1475"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31 - 60 Days</w:t>
            </w:r>
          </w:p>
        </w:tc>
        <w:tc>
          <w:tcPr>
            <w:tcW w:w="1341" w:type="dxa"/>
            <w:tcBorders>
              <w:top w:val="nil"/>
              <w:left w:val="nil"/>
              <w:bottom w:val="single" w:sz="8" w:space="0" w:color="auto"/>
              <w:right w:val="single" w:sz="8" w:space="0" w:color="auto"/>
            </w:tcBorders>
            <w:shd w:val="clear" w:color="auto" w:fill="auto"/>
            <w:noWrap/>
            <w:vAlign w:val="center"/>
            <w:hideMark/>
          </w:tcPr>
          <w:p w14:paraId="704FBECD"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61 - 90 Days</w:t>
            </w:r>
          </w:p>
        </w:tc>
        <w:tc>
          <w:tcPr>
            <w:tcW w:w="1341" w:type="dxa"/>
            <w:tcBorders>
              <w:top w:val="nil"/>
              <w:left w:val="nil"/>
              <w:bottom w:val="single" w:sz="8" w:space="0" w:color="auto"/>
              <w:right w:val="single" w:sz="8" w:space="0" w:color="auto"/>
            </w:tcBorders>
            <w:shd w:val="clear" w:color="auto" w:fill="auto"/>
            <w:noWrap/>
            <w:vAlign w:val="center"/>
            <w:hideMark/>
          </w:tcPr>
          <w:p w14:paraId="3E57BE73"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91 - 120 Days</w:t>
            </w:r>
          </w:p>
        </w:tc>
        <w:tc>
          <w:tcPr>
            <w:tcW w:w="1462" w:type="dxa"/>
            <w:tcBorders>
              <w:top w:val="nil"/>
              <w:left w:val="nil"/>
              <w:bottom w:val="single" w:sz="8" w:space="0" w:color="auto"/>
              <w:right w:val="single" w:sz="8" w:space="0" w:color="auto"/>
            </w:tcBorders>
            <w:shd w:val="clear" w:color="auto" w:fill="auto"/>
            <w:noWrap/>
            <w:vAlign w:val="center"/>
            <w:hideMark/>
          </w:tcPr>
          <w:p w14:paraId="473224E8"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&gt; 120 Days</w:t>
            </w:r>
          </w:p>
        </w:tc>
        <w:tc>
          <w:tcPr>
            <w:tcW w:w="14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BEBE08"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Total Amount</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8D2C5F"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 over 90 days</w:t>
            </w:r>
          </w:p>
        </w:tc>
      </w:tr>
      <w:tr w:rsidR="00C93C49" w:rsidRPr="00C93C49" w14:paraId="033A0E88" w14:textId="77777777" w:rsidTr="00347614">
        <w:trPr>
          <w:trHeight w:val="224"/>
          <w:jc w:val="center"/>
        </w:trPr>
        <w:tc>
          <w:tcPr>
            <w:tcW w:w="1426" w:type="dxa"/>
            <w:vMerge/>
            <w:tcBorders>
              <w:top w:val="nil"/>
              <w:left w:val="single" w:sz="8" w:space="0" w:color="auto"/>
              <w:bottom w:val="single" w:sz="8" w:space="0" w:color="000000"/>
              <w:right w:val="single" w:sz="8" w:space="0" w:color="auto"/>
            </w:tcBorders>
            <w:vAlign w:val="center"/>
            <w:hideMark/>
          </w:tcPr>
          <w:p w14:paraId="3201BE72" w14:textId="77777777" w:rsidR="00C93C49" w:rsidRPr="00C93C49" w:rsidRDefault="00C93C49" w:rsidP="00C93C49">
            <w:pPr>
              <w:spacing w:after="0" w:line="240" w:lineRule="auto"/>
              <w:rPr>
                <w:rFonts w:ascii="Arial" w:eastAsia="Times New Roman" w:hAnsi="Arial" w:cs="Arial"/>
                <w:b/>
                <w:bCs/>
                <w:color w:val="000000"/>
                <w:sz w:val="18"/>
                <w:szCs w:val="18"/>
              </w:rPr>
            </w:pPr>
          </w:p>
        </w:tc>
        <w:tc>
          <w:tcPr>
            <w:tcW w:w="1462" w:type="dxa"/>
            <w:tcBorders>
              <w:top w:val="nil"/>
              <w:left w:val="nil"/>
              <w:bottom w:val="single" w:sz="8" w:space="0" w:color="auto"/>
              <w:right w:val="single" w:sz="8" w:space="0" w:color="auto"/>
            </w:tcBorders>
            <w:shd w:val="clear" w:color="auto" w:fill="auto"/>
            <w:noWrap/>
            <w:vAlign w:val="center"/>
            <w:hideMark/>
          </w:tcPr>
          <w:p w14:paraId="07F3F6AE"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Amount</w:t>
            </w:r>
          </w:p>
        </w:tc>
        <w:tc>
          <w:tcPr>
            <w:tcW w:w="1341" w:type="dxa"/>
            <w:tcBorders>
              <w:top w:val="nil"/>
              <w:left w:val="nil"/>
              <w:bottom w:val="single" w:sz="8" w:space="0" w:color="auto"/>
              <w:right w:val="single" w:sz="8" w:space="0" w:color="auto"/>
            </w:tcBorders>
            <w:shd w:val="clear" w:color="auto" w:fill="auto"/>
            <w:noWrap/>
            <w:vAlign w:val="center"/>
            <w:hideMark/>
          </w:tcPr>
          <w:p w14:paraId="354B2DD4"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Amount</w:t>
            </w:r>
          </w:p>
        </w:tc>
        <w:tc>
          <w:tcPr>
            <w:tcW w:w="1341" w:type="dxa"/>
            <w:tcBorders>
              <w:top w:val="nil"/>
              <w:left w:val="nil"/>
              <w:bottom w:val="single" w:sz="8" w:space="0" w:color="auto"/>
              <w:right w:val="single" w:sz="8" w:space="0" w:color="auto"/>
            </w:tcBorders>
            <w:shd w:val="clear" w:color="auto" w:fill="auto"/>
            <w:noWrap/>
            <w:vAlign w:val="center"/>
            <w:hideMark/>
          </w:tcPr>
          <w:p w14:paraId="2029F5D5"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Amount</w:t>
            </w:r>
          </w:p>
        </w:tc>
        <w:tc>
          <w:tcPr>
            <w:tcW w:w="1462" w:type="dxa"/>
            <w:tcBorders>
              <w:top w:val="nil"/>
              <w:left w:val="nil"/>
              <w:bottom w:val="single" w:sz="8" w:space="0" w:color="auto"/>
              <w:right w:val="single" w:sz="8" w:space="0" w:color="auto"/>
            </w:tcBorders>
            <w:shd w:val="clear" w:color="auto" w:fill="auto"/>
            <w:noWrap/>
            <w:vAlign w:val="center"/>
            <w:hideMark/>
          </w:tcPr>
          <w:p w14:paraId="04C8C1BA"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Amount</w:t>
            </w:r>
          </w:p>
        </w:tc>
        <w:tc>
          <w:tcPr>
            <w:tcW w:w="1462" w:type="dxa"/>
            <w:vMerge/>
            <w:tcBorders>
              <w:top w:val="nil"/>
              <w:left w:val="single" w:sz="8" w:space="0" w:color="auto"/>
              <w:bottom w:val="single" w:sz="8" w:space="0" w:color="000000"/>
              <w:right w:val="single" w:sz="8" w:space="0" w:color="auto"/>
            </w:tcBorders>
            <w:vAlign w:val="center"/>
            <w:hideMark/>
          </w:tcPr>
          <w:p w14:paraId="24BCABC7" w14:textId="77777777" w:rsidR="00C93C49" w:rsidRPr="00C93C49" w:rsidRDefault="00C93C49" w:rsidP="00C93C49">
            <w:pPr>
              <w:spacing w:after="0" w:line="240" w:lineRule="auto"/>
              <w:rPr>
                <w:rFonts w:ascii="Arial" w:eastAsia="Times New Roman" w:hAnsi="Arial" w:cs="Arial"/>
                <w:b/>
                <w:bCs/>
                <w:color w:val="000000"/>
                <w:sz w:val="18"/>
                <w:szCs w:val="18"/>
              </w:rPr>
            </w:pPr>
          </w:p>
        </w:tc>
        <w:tc>
          <w:tcPr>
            <w:tcW w:w="993" w:type="dxa"/>
            <w:vMerge/>
            <w:tcBorders>
              <w:top w:val="nil"/>
              <w:left w:val="single" w:sz="8" w:space="0" w:color="auto"/>
              <w:bottom w:val="single" w:sz="8" w:space="0" w:color="000000"/>
              <w:right w:val="single" w:sz="8" w:space="0" w:color="auto"/>
            </w:tcBorders>
            <w:vAlign w:val="center"/>
            <w:hideMark/>
          </w:tcPr>
          <w:p w14:paraId="7516B566" w14:textId="77777777" w:rsidR="00C93C49" w:rsidRPr="00C93C49" w:rsidRDefault="00C93C49" w:rsidP="00C93C49">
            <w:pPr>
              <w:spacing w:after="0" w:line="240" w:lineRule="auto"/>
              <w:rPr>
                <w:rFonts w:ascii="Arial" w:eastAsia="Times New Roman" w:hAnsi="Arial" w:cs="Arial"/>
                <w:b/>
                <w:bCs/>
                <w:color w:val="000000"/>
                <w:sz w:val="18"/>
                <w:szCs w:val="18"/>
              </w:rPr>
            </w:pPr>
          </w:p>
        </w:tc>
      </w:tr>
      <w:tr w:rsidR="00C93C49" w:rsidRPr="00C93C49" w14:paraId="3C764EB0" w14:textId="77777777" w:rsidTr="00347614">
        <w:trPr>
          <w:trHeight w:val="224"/>
          <w:jc w:val="center"/>
        </w:trPr>
        <w:tc>
          <w:tcPr>
            <w:tcW w:w="1426" w:type="dxa"/>
            <w:tcBorders>
              <w:top w:val="nil"/>
              <w:left w:val="single" w:sz="8" w:space="0" w:color="auto"/>
              <w:bottom w:val="single" w:sz="8" w:space="0" w:color="auto"/>
              <w:right w:val="single" w:sz="8" w:space="0" w:color="auto"/>
            </w:tcBorders>
            <w:shd w:val="clear" w:color="auto" w:fill="auto"/>
            <w:noWrap/>
            <w:vAlign w:val="center"/>
            <w:hideMark/>
          </w:tcPr>
          <w:p w14:paraId="654C3046" w14:textId="77777777" w:rsidR="00C93C49" w:rsidRPr="00C93C49" w:rsidRDefault="00C93C49" w:rsidP="00C93C49">
            <w:pPr>
              <w:spacing w:after="0" w:line="240" w:lineRule="auto"/>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Met-Ed</w:t>
            </w:r>
          </w:p>
        </w:tc>
        <w:tc>
          <w:tcPr>
            <w:tcW w:w="1462" w:type="dxa"/>
            <w:tcBorders>
              <w:top w:val="nil"/>
              <w:left w:val="nil"/>
              <w:bottom w:val="single" w:sz="8" w:space="0" w:color="auto"/>
              <w:right w:val="single" w:sz="8" w:space="0" w:color="auto"/>
            </w:tcBorders>
            <w:shd w:val="clear" w:color="auto" w:fill="auto"/>
            <w:noWrap/>
            <w:vAlign w:val="center"/>
            <w:hideMark/>
          </w:tcPr>
          <w:p w14:paraId="36E4E877"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$3,617,779 </w:t>
            </w:r>
          </w:p>
        </w:tc>
        <w:tc>
          <w:tcPr>
            <w:tcW w:w="1341" w:type="dxa"/>
            <w:tcBorders>
              <w:top w:val="nil"/>
              <w:left w:val="nil"/>
              <w:bottom w:val="single" w:sz="8" w:space="0" w:color="auto"/>
              <w:right w:val="single" w:sz="8" w:space="0" w:color="auto"/>
            </w:tcBorders>
            <w:shd w:val="clear" w:color="auto" w:fill="auto"/>
            <w:noWrap/>
            <w:vAlign w:val="center"/>
            <w:hideMark/>
          </w:tcPr>
          <w:p w14:paraId="06B6F174"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$2,199,939 </w:t>
            </w:r>
          </w:p>
        </w:tc>
        <w:tc>
          <w:tcPr>
            <w:tcW w:w="1341" w:type="dxa"/>
            <w:tcBorders>
              <w:top w:val="nil"/>
              <w:left w:val="nil"/>
              <w:bottom w:val="single" w:sz="8" w:space="0" w:color="auto"/>
              <w:right w:val="single" w:sz="8" w:space="0" w:color="auto"/>
            </w:tcBorders>
            <w:shd w:val="clear" w:color="auto" w:fill="auto"/>
            <w:noWrap/>
            <w:vAlign w:val="center"/>
            <w:hideMark/>
          </w:tcPr>
          <w:p w14:paraId="3359A8E9"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$1,071,275 </w:t>
            </w:r>
          </w:p>
        </w:tc>
        <w:tc>
          <w:tcPr>
            <w:tcW w:w="1462" w:type="dxa"/>
            <w:tcBorders>
              <w:top w:val="nil"/>
              <w:left w:val="nil"/>
              <w:bottom w:val="single" w:sz="8" w:space="0" w:color="auto"/>
              <w:right w:val="single" w:sz="8" w:space="0" w:color="auto"/>
            </w:tcBorders>
            <w:shd w:val="clear" w:color="auto" w:fill="auto"/>
            <w:noWrap/>
            <w:vAlign w:val="center"/>
            <w:hideMark/>
          </w:tcPr>
          <w:p w14:paraId="11B1CE36"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$7,118,700 </w:t>
            </w:r>
          </w:p>
        </w:tc>
        <w:tc>
          <w:tcPr>
            <w:tcW w:w="1462" w:type="dxa"/>
            <w:tcBorders>
              <w:top w:val="nil"/>
              <w:left w:val="nil"/>
              <w:bottom w:val="single" w:sz="8" w:space="0" w:color="auto"/>
              <w:right w:val="single" w:sz="8" w:space="0" w:color="auto"/>
            </w:tcBorders>
            <w:shd w:val="clear" w:color="auto" w:fill="auto"/>
            <w:noWrap/>
            <w:vAlign w:val="center"/>
            <w:hideMark/>
          </w:tcPr>
          <w:p w14:paraId="6D409FBE"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$14,007,693 </w:t>
            </w:r>
          </w:p>
        </w:tc>
        <w:tc>
          <w:tcPr>
            <w:tcW w:w="993" w:type="dxa"/>
            <w:tcBorders>
              <w:top w:val="nil"/>
              <w:left w:val="nil"/>
              <w:bottom w:val="single" w:sz="8" w:space="0" w:color="auto"/>
              <w:right w:val="single" w:sz="8" w:space="0" w:color="auto"/>
            </w:tcBorders>
            <w:shd w:val="clear" w:color="auto" w:fill="auto"/>
            <w:noWrap/>
            <w:vAlign w:val="center"/>
            <w:hideMark/>
          </w:tcPr>
          <w:p w14:paraId="633D29B7"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58.47%</w:t>
            </w:r>
          </w:p>
        </w:tc>
      </w:tr>
      <w:tr w:rsidR="00C93C49" w:rsidRPr="00C93C49" w14:paraId="14FF33C7" w14:textId="77777777" w:rsidTr="00347614">
        <w:trPr>
          <w:trHeight w:val="224"/>
          <w:jc w:val="center"/>
        </w:trPr>
        <w:tc>
          <w:tcPr>
            <w:tcW w:w="1426" w:type="dxa"/>
            <w:tcBorders>
              <w:top w:val="nil"/>
              <w:left w:val="single" w:sz="8" w:space="0" w:color="auto"/>
              <w:bottom w:val="single" w:sz="8" w:space="0" w:color="auto"/>
              <w:right w:val="single" w:sz="8" w:space="0" w:color="auto"/>
            </w:tcBorders>
            <w:shd w:val="clear" w:color="auto" w:fill="auto"/>
            <w:noWrap/>
            <w:vAlign w:val="center"/>
            <w:hideMark/>
          </w:tcPr>
          <w:p w14:paraId="21B57D6C" w14:textId="77777777" w:rsidR="00C93C49" w:rsidRPr="00C93C49" w:rsidRDefault="00C93C49" w:rsidP="00C93C49">
            <w:pPr>
              <w:spacing w:after="0" w:line="240" w:lineRule="auto"/>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Penelec</w:t>
            </w:r>
          </w:p>
        </w:tc>
        <w:tc>
          <w:tcPr>
            <w:tcW w:w="1462" w:type="dxa"/>
            <w:tcBorders>
              <w:top w:val="nil"/>
              <w:left w:val="nil"/>
              <w:bottom w:val="single" w:sz="8" w:space="0" w:color="auto"/>
              <w:right w:val="single" w:sz="8" w:space="0" w:color="auto"/>
            </w:tcBorders>
            <w:shd w:val="clear" w:color="auto" w:fill="auto"/>
            <w:noWrap/>
            <w:vAlign w:val="center"/>
            <w:hideMark/>
          </w:tcPr>
          <w:p w14:paraId="4A9956A6"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$4,221,379 </w:t>
            </w:r>
          </w:p>
        </w:tc>
        <w:tc>
          <w:tcPr>
            <w:tcW w:w="1341" w:type="dxa"/>
            <w:tcBorders>
              <w:top w:val="nil"/>
              <w:left w:val="nil"/>
              <w:bottom w:val="single" w:sz="8" w:space="0" w:color="auto"/>
              <w:right w:val="single" w:sz="8" w:space="0" w:color="auto"/>
            </w:tcBorders>
            <w:shd w:val="clear" w:color="auto" w:fill="auto"/>
            <w:noWrap/>
            <w:vAlign w:val="center"/>
            <w:hideMark/>
          </w:tcPr>
          <w:p w14:paraId="779E03E8"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$2,551,776 </w:t>
            </w:r>
          </w:p>
        </w:tc>
        <w:tc>
          <w:tcPr>
            <w:tcW w:w="1341" w:type="dxa"/>
            <w:tcBorders>
              <w:top w:val="nil"/>
              <w:left w:val="nil"/>
              <w:bottom w:val="single" w:sz="8" w:space="0" w:color="auto"/>
              <w:right w:val="single" w:sz="8" w:space="0" w:color="auto"/>
            </w:tcBorders>
            <w:shd w:val="clear" w:color="auto" w:fill="auto"/>
            <w:noWrap/>
            <w:vAlign w:val="center"/>
            <w:hideMark/>
          </w:tcPr>
          <w:p w14:paraId="0408C0D0"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$1,240,216 </w:t>
            </w:r>
          </w:p>
        </w:tc>
        <w:tc>
          <w:tcPr>
            <w:tcW w:w="1462" w:type="dxa"/>
            <w:tcBorders>
              <w:top w:val="nil"/>
              <w:left w:val="nil"/>
              <w:bottom w:val="single" w:sz="8" w:space="0" w:color="auto"/>
              <w:right w:val="single" w:sz="8" w:space="0" w:color="auto"/>
            </w:tcBorders>
            <w:shd w:val="clear" w:color="auto" w:fill="auto"/>
            <w:noWrap/>
            <w:vAlign w:val="center"/>
            <w:hideMark/>
          </w:tcPr>
          <w:p w14:paraId="5ED9A3D5"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$8,366,335 </w:t>
            </w:r>
          </w:p>
        </w:tc>
        <w:tc>
          <w:tcPr>
            <w:tcW w:w="1462" w:type="dxa"/>
            <w:tcBorders>
              <w:top w:val="nil"/>
              <w:left w:val="nil"/>
              <w:bottom w:val="single" w:sz="8" w:space="0" w:color="auto"/>
              <w:right w:val="single" w:sz="8" w:space="0" w:color="auto"/>
            </w:tcBorders>
            <w:shd w:val="clear" w:color="auto" w:fill="auto"/>
            <w:noWrap/>
            <w:vAlign w:val="center"/>
            <w:hideMark/>
          </w:tcPr>
          <w:p w14:paraId="5E6F0C07"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$16,379,705 </w:t>
            </w:r>
          </w:p>
        </w:tc>
        <w:tc>
          <w:tcPr>
            <w:tcW w:w="993" w:type="dxa"/>
            <w:tcBorders>
              <w:top w:val="nil"/>
              <w:left w:val="nil"/>
              <w:bottom w:val="single" w:sz="8" w:space="0" w:color="auto"/>
              <w:right w:val="single" w:sz="8" w:space="0" w:color="auto"/>
            </w:tcBorders>
            <w:shd w:val="clear" w:color="auto" w:fill="auto"/>
            <w:noWrap/>
            <w:vAlign w:val="center"/>
            <w:hideMark/>
          </w:tcPr>
          <w:p w14:paraId="652D46BA"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58.65%</w:t>
            </w:r>
          </w:p>
        </w:tc>
      </w:tr>
      <w:tr w:rsidR="00C93C49" w:rsidRPr="00C93C49" w14:paraId="0A24421B" w14:textId="77777777" w:rsidTr="00347614">
        <w:trPr>
          <w:trHeight w:val="224"/>
          <w:jc w:val="center"/>
        </w:trPr>
        <w:tc>
          <w:tcPr>
            <w:tcW w:w="1426" w:type="dxa"/>
            <w:tcBorders>
              <w:top w:val="nil"/>
              <w:left w:val="single" w:sz="8" w:space="0" w:color="auto"/>
              <w:bottom w:val="single" w:sz="8" w:space="0" w:color="auto"/>
              <w:right w:val="single" w:sz="8" w:space="0" w:color="auto"/>
            </w:tcBorders>
            <w:shd w:val="clear" w:color="auto" w:fill="auto"/>
            <w:noWrap/>
            <w:vAlign w:val="center"/>
            <w:hideMark/>
          </w:tcPr>
          <w:p w14:paraId="1D72037B" w14:textId="77777777" w:rsidR="00C93C49" w:rsidRPr="00C93C49" w:rsidRDefault="00C93C49" w:rsidP="00C93C49">
            <w:pPr>
              <w:spacing w:after="0" w:line="240" w:lineRule="auto"/>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Penn Power</w:t>
            </w:r>
          </w:p>
        </w:tc>
        <w:tc>
          <w:tcPr>
            <w:tcW w:w="1462" w:type="dxa"/>
            <w:tcBorders>
              <w:top w:val="nil"/>
              <w:left w:val="nil"/>
              <w:bottom w:val="single" w:sz="8" w:space="0" w:color="auto"/>
              <w:right w:val="single" w:sz="8" w:space="0" w:color="auto"/>
            </w:tcBorders>
            <w:shd w:val="clear" w:color="auto" w:fill="auto"/>
            <w:noWrap/>
            <w:vAlign w:val="center"/>
            <w:hideMark/>
          </w:tcPr>
          <w:p w14:paraId="39FC4346"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$1,049,416 </w:t>
            </w:r>
          </w:p>
        </w:tc>
        <w:tc>
          <w:tcPr>
            <w:tcW w:w="1341" w:type="dxa"/>
            <w:tcBorders>
              <w:top w:val="nil"/>
              <w:left w:val="nil"/>
              <w:bottom w:val="single" w:sz="8" w:space="0" w:color="auto"/>
              <w:right w:val="single" w:sz="8" w:space="0" w:color="auto"/>
            </w:tcBorders>
            <w:shd w:val="clear" w:color="auto" w:fill="auto"/>
            <w:noWrap/>
            <w:vAlign w:val="center"/>
            <w:hideMark/>
          </w:tcPr>
          <w:p w14:paraId="1DADBA1C"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$615,235 </w:t>
            </w:r>
          </w:p>
        </w:tc>
        <w:tc>
          <w:tcPr>
            <w:tcW w:w="1341" w:type="dxa"/>
            <w:tcBorders>
              <w:top w:val="nil"/>
              <w:left w:val="nil"/>
              <w:bottom w:val="single" w:sz="8" w:space="0" w:color="auto"/>
              <w:right w:val="single" w:sz="8" w:space="0" w:color="auto"/>
            </w:tcBorders>
            <w:shd w:val="clear" w:color="auto" w:fill="auto"/>
            <w:noWrap/>
            <w:vAlign w:val="center"/>
            <w:hideMark/>
          </w:tcPr>
          <w:p w14:paraId="2CC98A4E"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$338,529 </w:t>
            </w:r>
          </w:p>
        </w:tc>
        <w:tc>
          <w:tcPr>
            <w:tcW w:w="1462" w:type="dxa"/>
            <w:tcBorders>
              <w:top w:val="nil"/>
              <w:left w:val="nil"/>
              <w:bottom w:val="single" w:sz="8" w:space="0" w:color="auto"/>
              <w:right w:val="single" w:sz="8" w:space="0" w:color="auto"/>
            </w:tcBorders>
            <w:shd w:val="clear" w:color="auto" w:fill="auto"/>
            <w:noWrap/>
            <w:vAlign w:val="center"/>
            <w:hideMark/>
          </w:tcPr>
          <w:p w14:paraId="4ACBACC6"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$2,529,508 </w:t>
            </w:r>
          </w:p>
        </w:tc>
        <w:tc>
          <w:tcPr>
            <w:tcW w:w="1462" w:type="dxa"/>
            <w:tcBorders>
              <w:top w:val="nil"/>
              <w:left w:val="nil"/>
              <w:bottom w:val="single" w:sz="8" w:space="0" w:color="auto"/>
              <w:right w:val="single" w:sz="8" w:space="0" w:color="auto"/>
            </w:tcBorders>
            <w:shd w:val="clear" w:color="auto" w:fill="auto"/>
            <w:noWrap/>
            <w:vAlign w:val="center"/>
            <w:hideMark/>
          </w:tcPr>
          <w:p w14:paraId="02B00AFD"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$4,532,688 </w:t>
            </w:r>
          </w:p>
        </w:tc>
        <w:tc>
          <w:tcPr>
            <w:tcW w:w="993" w:type="dxa"/>
            <w:tcBorders>
              <w:top w:val="nil"/>
              <w:left w:val="nil"/>
              <w:bottom w:val="single" w:sz="8" w:space="0" w:color="auto"/>
              <w:right w:val="single" w:sz="8" w:space="0" w:color="auto"/>
            </w:tcBorders>
            <w:shd w:val="clear" w:color="auto" w:fill="auto"/>
            <w:noWrap/>
            <w:vAlign w:val="center"/>
            <w:hideMark/>
          </w:tcPr>
          <w:p w14:paraId="36A24455"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63.27%</w:t>
            </w:r>
          </w:p>
        </w:tc>
      </w:tr>
      <w:tr w:rsidR="00C93C49" w:rsidRPr="00C93C49" w14:paraId="1E7EFA92" w14:textId="77777777" w:rsidTr="00347614">
        <w:trPr>
          <w:trHeight w:val="224"/>
          <w:jc w:val="center"/>
        </w:trPr>
        <w:tc>
          <w:tcPr>
            <w:tcW w:w="1426" w:type="dxa"/>
            <w:tcBorders>
              <w:top w:val="nil"/>
              <w:left w:val="single" w:sz="8" w:space="0" w:color="auto"/>
              <w:bottom w:val="single" w:sz="8" w:space="0" w:color="auto"/>
              <w:right w:val="single" w:sz="8" w:space="0" w:color="auto"/>
            </w:tcBorders>
            <w:shd w:val="clear" w:color="auto" w:fill="auto"/>
            <w:noWrap/>
            <w:vAlign w:val="center"/>
            <w:hideMark/>
          </w:tcPr>
          <w:p w14:paraId="2C08CC65" w14:textId="77777777" w:rsidR="00C93C49" w:rsidRPr="00C93C49" w:rsidRDefault="00C93C49" w:rsidP="00C93C49">
            <w:pPr>
              <w:spacing w:after="0" w:line="240" w:lineRule="auto"/>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West Penn Power</w:t>
            </w:r>
          </w:p>
        </w:tc>
        <w:tc>
          <w:tcPr>
            <w:tcW w:w="1462" w:type="dxa"/>
            <w:tcBorders>
              <w:top w:val="nil"/>
              <w:left w:val="nil"/>
              <w:bottom w:val="single" w:sz="8" w:space="0" w:color="auto"/>
              <w:right w:val="single" w:sz="8" w:space="0" w:color="auto"/>
            </w:tcBorders>
            <w:shd w:val="clear" w:color="auto" w:fill="auto"/>
            <w:noWrap/>
            <w:vAlign w:val="center"/>
            <w:hideMark/>
          </w:tcPr>
          <w:p w14:paraId="6895F636"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$4,374,066 </w:t>
            </w:r>
          </w:p>
        </w:tc>
        <w:tc>
          <w:tcPr>
            <w:tcW w:w="1341" w:type="dxa"/>
            <w:tcBorders>
              <w:top w:val="nil"/>
              <w:left w:val="nil"/>
              <w:bottom w:val="single" w:sz="8" w:space="0" w:color="auto"/>
              <w:right w:val="single" w:sz="8" w:space="0" w:color="auto"/>
            </w:tcBorders>
            <w:shd w:val="clear" w:color="auto" w:fill="auto"/>
            <w:noWrap/>
            <w:vAlign w:val="center"/>
            <w:hideMark/>
          </w:tcPr>
          <w:p w14:paraId="5C13664F"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$2,492,403 </w:t>
            </w:r>
          </w:p>
        </w:tc>
        <w:tc>
          <w:tcPr>
            <w:tcW w:w="1341" w:type="dxa"/>
            <w:tcBorders>
              <w:top w:val="nil"/>
              <w:left w:val="nil"/>
              <w:bottom w:val="single" w:sz="8" w:space="0" w:color="auto"/>
              <w:right w:val="single" w:sz="8" w:space="0" w:color="auto"/>
            </w:tcBorders>
            <w:shd w:val="clear" w:color="auto" w:fill="auto"/>
            <w:noWrap/>
            <w:vAlign w:val="center"/>
            <w:hideMark/>
          </w:tcPr>
          <w:p w14:paraId="6F48C5BB"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$1,233,689 </w:t>
            </w:r>
          </w:p>
        </w:tc>
        <w:tc>
          <w:tcPr>
            <w:tcW w:w="1462" w:type="dxa"/>
            <w:tcBorders>
              <w:top w:val="nil"/>
              <w:left w:val="nil"/>
              <w:bottom w:val="single" w:sz="8" w:space="0" w:color="auto"/>
              <w:right w:val="single" w:sz="8" w:space="0" w:color="auto"/>
            </w:tcBorders>
            <w:shd w:val="clear" w:color="auto" w:fill="auto"/>
            <w:noWrap/>
            <w:vAlign w:val="center"/>
            <w:hideMark/>
          </w:tcPr>
          <w:p w14:paraId="55D67963"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$6,396,007 </w:t>
            </w:r>
          </w:p>
        </w:tc>
        <w:tc>
          <w:tcPr>
            <w:tcW w:w="1462" w:type="dxa"/>
            <w:tcBorders>
              <w:top w:val="nil"/>
              <w:left w:val="nil"/>
              <w:bottom w:val="single" w:sz="8" w:space="0" w:color="auto"/>
              <w:right w:val="single" w:sz="8" w:space="0" w:color="auto"/>
            </w:tcBorders>
            <w:shd w:val="clear" w:color="auto" w:fill="auto"/>
            <w:noWrap/>
            <w:vAlign w:val="center"/>
            <w:hideMark/>
          </w:tcPr>
          <w:p w14:paraId="1FFBBEE2"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$14,496,165 </w:t>
            </w:r>
          </w:p>
        </w:tc>
        <w:tc>
          <w:tcPr>
            <w:tcW w:w="993" w:type="dxa"/>
            <w:tcBorders>
              <w:top w:val="nil"/>
              <w:left w:val="nil"/>
              <w:bottom w:val="single" w:sz="8" w:space="0" w:color="auto"/>
              <w:right w:val="single" w:sz="8" w:space="0" w:color="auto"/>
            </w:tcBorders>
            <w:shd w:val="clear" w:color="auto" w:fill="auto"/>
            <w:noWrap/>
            <w:vAlign w:val="center"/>
            <w:hideMark/>
          </w:tcPr>
          <w:p w14:paraId="17D69781"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52.63%</w:t>
            </w:r>
          </w:p>
        </w:tc>
      </w:tr>
      <w:tr w:rsidR="00C93C49" w:rsidRPr="00C93C49" w14:paraId="3E666B77" w14:textId="77777777" w:rsidTr="00347614">
        <w:trPr>
          <w:trHeight w:val="385"/>
          <w:jc w:val="center"/>
        </w:trPr>
        <w:tc>
          <w:tcPr>
            <w:tcW w:w="1426" w:type="dxa"/>
            <w:tcBorders>
              <w:top w:val="nil"/>
              <w:left w:val="single" w:sz="8" w:space="0" w:color="auto"/>
              <w:bottom w:val="single" w:sz="8" w:space="0" w:color="auto"/>
              <w:right w:val="single" w:sz="8" w:space="0" w:color="auto"/>
            </w:tcBorders>
            <w:shd w:val="clear" w:color="auto" w:fill="auto"/>
            <w:vAlign w:val="center"/>
            <w:hideMark/>
          </w:tcPr>
          <w:p w14:paraId="085F6A31" w14:textId="77777777" w:rsidR="00C93C49" w:rsidRPr="00C93C49" w:rsidRDefault="00C93C49" w:rsidP="00C93C49">
            <w:pPr>
              <w:spacing w:after="0" w:line="240" w:lineRule="auto"/>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FE-PA Companies</w:t>
            </w:r>
          </w:p>
        </w:tc>
        <w:tc>
          <w:tcPr>
            <w:tcW w:w="1462" w:type="dxa"/>
            <w:tcBorders>
              <w:top w:val="nil"/>
              <w:left w:val="nil"/>
              <w:bottom w:val="single" w:sz="8" w:space="0" w:color="auto"/>
              <w:right w:val="single" w:sz="8" w:space="0" w:color="auto"/>
            </w:tcBorders>
            <w:shd w:val="clear" w:color="auto" w:fill="auto"/>
            <w:noWrap/>
            <w:vAlign w:val="center"/>
            <w:hideMark/>
          </w:tcPr>
          <w:p w14:paraId="4F79814A" w14:textId="77777777" w:rsidR="00C93C49" w:rsidRPr="00C93C49" w:rsidRDefault="00C93C49" w:rsidP="00C93C49">
            <w:pPr>
              <w:spacing w:after="0" w:line="240" w:lineRule="auto"/>
              <w:jc w:val="right"/>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 xml:space="preserve">$13,262,639 </w:t>
            </w:r>
          </w:p>
        </w:tc>
        <w:tc>
          <w:tcPr>
            <w:tcW w:w="1341" w:type="dxa"/>
            <w:tcBorders>
              <w:top w:val="nil"/>
              <w:left w:val="nil"/>
              <w:bottom w:val="single" w:sz="8" w:space="0" w:color="auto"/>
              <w:right w:val="single" w:sz="8" w:space="0" w:color="auto"/>
            </w:tcBorders>
            <w:shd w:val="clear" w:color="auto" w:fill="auto"/>
            <w:noWrap/>
            <w:vAlign w:val="center"/>
            <w:hideMark/>
          </w:tcPr>
          <w:p w14:paraId="0361C329" w14:textId="77777777" w:rsidR="00C93C49" w:rsidRPr="00C93C49" w:rsidRDefault="00C93C49" w:rsidP="00C93C49">
            <w:pPr>
              <w:spacing w:after="0" w:line="240" w:lineRule="auto"/>
              <w:jc w:val="right"/>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 xml:space="preserve">$7,859,353 </w:t>
            </w:r>
          </w:p>
        </w:tc>
        <w:tc>
          <w:tcPr>
            <w:tcW w:w="1341" w:type="dxa"/>
            <w:tcBorders>
              <w:top w:val="nil"/>
              <w:left w:val="nil"/>
              <w:bottom w:val="single" w:sz="8" w:space="0" w:color="auto"/>
              <w:right w:val="single" w:sz="8" w:space="0" w:color="auto"/>
            </w:tcBorders>
            <w:shd w:val="clear" w:color="auto" w:fill="auto"/>
            <w:noWrap/>
            <w:vAlign w:val="center"/>
            <w:hideMark/>
          </w:tcPr>
          <w:p w14:paraId="5888B61D" w14:textId="77777777" w:rsidR="00C93C49" w:rsidRPr="00C93C49" w:rsidRDefault="00C93C49" w:rsidP="00C93C49">
            <w:pPr>
              <w:spacing w:after="0" w:line="240" w:lineRule="auto"/>
              <w:jc w:val="right"/>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 xml:space="preserve">$3,883,709 </w:t>
            </w:r>
          </w:p>
        </w:tc>
        <w:tc>
          <w:tcPr>
            <w:tcW w:w="1462" w:type="dxa"/>
            <w:tcBorders>
              <w:top w:val="nil"/>
              <w:left w:val="nil"/>
              <w:bottom w:val="single" w:sz="8" w:space="0" w:color="auto"/>
              <w:right w:val="single" w:sz="8" w:space="0" w:color="auto"/>
            </w:tcBorders>
            <w:shd w:val="clear" w:color="auto" w:fill="auto"/>
            <w:noWrap/>
            <w:vAlign w:val="center"/>
            <w:hideMark/>
          </w:tcPr>
          <w:p w14:paraId="0FBF558C" w14:textId="77777777" w:rsidR="00C93C49" w:rsidRPr="00C93C49" w:rsidRDefault="00C93C49" w:rsidP="00C93C49">
            <w:pPr>
              <w:spacing w:after="0" w:line="240" w:lineRule="auto"/>
              <w:jc w:val="right"/>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 xml:space="preserve">$24,410,550 </w:t>
            </w:r>
          </w:p>
        </w:tc>
        <w:tc>
          <w:tcPr>
            <w:tcW w:w="1462" w:type="dxa"/>
            <w:tcBorders>
              <w:top w:val="nil"/>
              <w:left w:val="nil"/>
              <w:bottom w:val="single" w:sz="8" w:space="0" w:color="auto"/>
              <w:right w:val="single" w:sz="8" w:space="0" w:color="auto"/>
            </w:tcBorders>
            <w:shd w:val="clear" w:color="auto" w:fill="auto"/>
            <w:noWrap/>
            <w:vAlign w:val="center"/>
            <w:hideMark/>
          </w:tcPr>
          <w:p w14:paraId="3A419BA0" w14:textId="77777777" w:rsidR="00C93C49" w:rsidRPr="00C93C49" w:rsidRDefault="00C93C49" w:rsidP="00C93C49">
            <w:pPr>
              <w:spacing w:after="0" w:line="240" w:lineRule="auto"/>
              <w:jc w:val="right"/>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 xml:space="preserve">$49,416,251 </w:t>
            </w:r>
          </w:p>
        </w:tc>
        <w:tc>
          <w:tcPr>
            <w:tcW w:w="993" w:type="dxa"/>
            <w:tcBorders>
              <w:top w:val="nil"/>
              <w:left w:val="nil"/>
              <w:bottom w:val="single" w:sz="8" w:space="0" w:color="auto"/>
              <w:right w:val="single" w:sz="8" w:space="0" w:color="auto"/>
            </w:tcBorders>
            <w:shd w:val="clear" w:color="auto" w:fill="auto"/>
            <w:noWrap/>
            <w:vAlign w:val="center"/>
            <w:hideMark/>
          </w:tcPr>
          <w:p w14:paraId="01FC12B5"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57.26%</w:t>
            </w:r>
          </w:p>
        </w:tc>
      </w:tr>
      <w:tr w:rsidR="00C93C49" w:rsidRPr="00C93C49" w14:paraId="5FDA88B7" w14:textId="77777777" w:rsidTr="00347614">
        <w:trPr>
          <w:trHeight w:val="224"/>
          <w:jc w:val="center"/>
        </w:trPr>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14:paraId="7A359988"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2017</w:t>
            </w:r>
          </w:p>
        </w:tc>
        <w:tc>
          <w:tcPr>
            <w:tcW w:w="1462" w:type="dxa"/>
            <w:tcBorders>
              <w:top w:val="nil"/>
              <w:left w:val="nil"/>
              <w:bottom w:val="single" w:sz="8" w:space="0" w:color="auto"/>
              <w:right w:val="single" w:sz="8" w:space="0" w:color="auto"/>
            </w:tcBorders>
            <w:shd w:val="clear" w:color="auto" w:fill="auto"/>
            <w:noWrap/>
            <w:vAlign w:val="center"/>
            <w:hideMark/>
          </w:tcPr>
          <w:p w14:paraId="754FFD6D"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31 - 60 Days</w:t>
            </w:r>
          </w:p>
        </w:tc>
        <w:tc>
          <w:tcPr>
            <w:tcW w:w="1341" w:type="dxa"/>
            <w:tcBorders>
              <w:top w:val="nil"/>
              <w:left w:val="nil"/>
              <w:bottom w:val="single" w:sz="8" w:space="0" w:color="auto"/>
              <w:right w:val="single" w:sz="8" w:space="0" w:color="auto"/>
            </w:tcBorders>
            <w:shd w:val="clear" w:color="auto" w:fill="auto"/>
            <w:noWrap/>
            <w:vAlign w:val="center"/>
            <w:hideMark/>
          </w:tcPr>
          <w:p w14:paraId="18BA24BA"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61 - 90 Days</w:t>
            </w:r>
          </w:p>
        </w:tc>
        <w:tc>
          <w:tcPr>
            <w:tcW w:w="1341" w:type="dxa"/>
            <w:tcBorders>
              <w:top w:val="nil"/>
              <w:left w:val="nil"/>
              <w:bottom w:val="single" w:sz="8" w:space="0" w:color="auto"/>
              <w:right w:val="single" w:sz="8" w:space="0" w:color="auto"/>
            </w:tcBorders>
            <w:shd w:val="clear" w:color="auto" w:fill="auto"/>
            <w:noWrap/>
            <w:vAlign w:val="center"/>
            <w:hideMark/>
          </w:tcPr>
          <w:p w14:paraId="381FBD3A"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91 - 120 Days</w:t>
            </w:r>
          </w:p>
        </w:tc>
        <w:tc>
          <w:tcPr>
            <w:tcW w:w="1462" w:type="dxa"/>
            <w:tcBorders>
              <w:top w:val="nil"/>
              <w:left w:val="nil"/>
              <w:bottom w:val="single" w:sz="8" w:space="0" w:color="auto"/>
              <w:right w:val="single" w:sz="8" w:space="0" w:color="auto"/>
            </w:tcBorders>
            <w:shd w:val="clear" w:color="auto" w:fill="auto"/>
            <w:noWrap/>
            <w:vAlign w:val="center"/>
            <w:hideMark/>
          </w:tcPr>
          <w:p w14:paraId="34AB22C0"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&gt; 120 Days</w:t>
            </w:r>
          </w:p>
        </w:tc>
        <w:tc>
          <w:tcPr>
            <w:tcW w:w="14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6100EF"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Total Amount</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6D9ADB"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 over 90 days</w:t>
            </w:r>
          </w:p>
        </w:tc>
      </w:tr>
      <w:tr w:rsidR="00C93C49" w:rsidRPr="00C93C49" w14:paraId="7CF62150" w14:textId="77777777" w:rsidTr="00347614">
        <w:trPr>
          <w:trHeight w:val="224"/>
          <w:jc w:val="center"/>
        </w:trPr>
        <w:tc>
          <w:tcPr>
            <w:tcW w:w="1426" w:type="dxa"/>
            <w:vMerge/>
            <w:tcBorders>
              <w:top w:val="nil"/>
              <w:left w:val="single" w:sz="8" w:space="0" w:color="auto"/>
              <w:bottom w:val="single" w:sz="8" w:space="0" w:color="000000"/>
              <w:right w:val="single" w:sz="8" w:space="0" w:color="auto"/>
            </w:tcBorders>
            <w:vAlign w:val="center"/>
            <w:hideMark/>
          </w:tcPr>
          <w:p w14:paraId="5DBBC76B" w14:textId="77777777" w:rsidR="00C93C49" w:rsidRPr="00C93C49" w:rsidRDefault="00C93C49" w:rsidP="00C93C49">
            <w:pPr>
              <w:spacing w:after="0" w:line="240" w:lineRule="auto"/>
              <w:rPr>
                <w:rFonts w:ascii="Arial" w:eastAsia="Times New Roman" w:hAnsi="Arial" w:cs="Arial"/>
                <w:b/>
                <w:bCs/>
                <w:color w:val="000000"/>
                <w:sz w:val="18"/>
                <w:szCs w:val="18"/>
              </w:rPr>
            </w:pPr>
          </w:p>
        </w:tc>
        <w:tc>
          <w:tcPr>
            <w:tcW w:w="1462" w:type="dxa"/>
            <w:tcBorders>
              <w:top w:val="nil"/>
              <w:left w:val="nil"/>
              <w:bottom w:val="single" w:sz="8" w:space="0" w:color="auto"/>
              <w:right w:val="single" w:sz="8" w:space="0" w:color="auto"/>
            </w:tcBorders>
            <w:shd w:val="clear" w:color="auto" w:fill="auto"/>
            <w:noWrap/>
            <w:vAlign w:val="center"/>
            <w:hideMark/>
          </w:tcPr>
          <w:p w14:paraId="07DE4624"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Amount</w:t>
            </w:r>
          </w:p>
        </w:tc>
        <w:tc>
          <w:tcPr>
            <w:tcW w:w="1341" w:type="dxa"/>
            <w:tcBorders>
              <w:top w:val="nil"/>
              <w:left w:val="nil"/>
              <w:bottom w:val="single" w:sz="8" w:space="0" w:color="auto"/>
              <w:right w:val="single" w:sz="8" w:space="0" w:color="auto"/>
            </w:tcBorders>
            <w:shd w:val="clear" w:color="auto" w:fill="auto"/>
            <w:noWrap/>
            <w:vAlign w:val="center"/>
            <w:hideMark/>
          </w:tcPr>
          <w:p w14:paraId="753586A0"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Amount</w:t>
            </w:r>
          </w:p>
        </w:tc>
        <w:tc>
          <w:tcPr>
            <w:tcW w:w="1341" w:type="dxa"/>
            <w:tcBorders>
              <w:top w:val="nil"/>
              <w:left w:val="nil"/>
              <w:bottom w:val="single" w:sz="8" w:space="0" w:color="auto"/>
              <w:right w:val="single" w:sz="8" w:space="0" w:color="auto"/>
            </w:tcBorders>
            <w:shd w:val="clear" w:color="auto" w:fill="auto"/>
            <w:noWrap/>
            <w:vAlign w:val="center"/>
            <w:hideMark/>
          </w:tcPr>
          <w:p w14:paraId="217AA721"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Amount</w:t>
            </w:r>
          </w:p>
        </w:tc>
        <w:tc>
          <w:tcPr>
            <w:tcW w:w="1462" w:type="dxa"/>
            <w:tcBorders>
              <w:top w:val="nil"/>
              <w:left w:val="nil"/>
              <w:bottom w:val="single" w:sz="8" w:space="0" w:color="auto"/>
              <w:right w:val="single" w:sz="8" w:space="0" w:color="auto"/>
            </w:tcBorders>
            <w:shd w:val="clear" w:color="auto" w:fill="auto"/>
            <w:noWrap/>
            <w:vAlign w:val="center"/>
            <w:hideMark/>
          </w:tcPr>
          <w:p w14:paraId="796A7254"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Amount</w:t>
            </w:r>
          </w:p>
        </w:tc>
        <w:tc>
          <w:tcPr>
            <w:tcW w:w="1462" w:type="dxa"/>
            <w:vMerge/>
            <w:tcBorders>
              <w:top w:val="nil"/>
              <w:left w:val="single" w:sz="8" w:space="0" w:color="auto"/>
              <w:bottom w:val="single" w:sz="8" w:space="0" w:color="000000"/>
              <w:right w:val="single" w:sz="8" w:space="0" w:color="auto"/>
            </w:tcBorders>
            <w:vAlign w:val="center"/>
            <w:hideMark/>
          </w:tcPr>
          <w:p w14:paraId="03B0FC73" w14:textId="77777777" w:rsidR="00C93C49" w:rsidRPr="00C93C49" w:rsidRDefault="00C93C49" w:rsidP="00C93C49">
            <w:pPr>
              <w:spacing w:after="0" w:line="240" w:lineRule="auto"/>
              <w:rPr>
                <w:rFonts w:ascii="Arial" w:eastAsia="Times New Roman" w:hAnsi="Arial" w:cs="Arial"/>
                <w:b/>
                <w:bCs/>
                <w:color w:val="000000"/>
                <w:sz w:val="18"/>
                <w:szCs w:val="18"/>
              </w:rPr>
            </w:pPr>
          </w:p>
        </w:tc>
        <w:tc>
          <w:tcPr>
            <w:tcW w:w="993" w:type="dxa"/>
            <w:vMerge/>
            <w:tcBorders>
              <w:top w:val="nil"/>
              <w:left w:val="single" w:sz="8" w:space="0" w:color="auto"/>
              <w:bottom w:val="single" w:sz="8" w:space="0" w:color="000000"/>
              <w:right w:val="single" w:sz="8" w:space="0" w:color="auto"/>
            </w:tcBorders>
            <w:vAlign w:val="center"/>
            <w:hideMark/>
          </w:tcPr>
          <w:p w14:paraId="37D18C0A" w14:textId="77777777" w:rsidR="00C93C49" w:rsidRPr="00C93C49" w:rsidRDefault="00C93C49" w:rsidP="00C93C49">
            <w:pPr>
              <w:spacing w:after="0" w:line="240" w:lineRule="auto"/>
              <w:rPr>
                <w:rFonts w:ascii="Arial" w:eastAsia="Times New Roman" w:hAnsi="Arial" w:cs="Arial"/>
                <w:b/>
                <w:bCs/>
                <w:color w:val="000000"/>
                <w:sz w:val="18"/>
                <w:szCs w:val="18"/>
              </w:rPr>
            </w:pPr>
          </w:p>
        </w:tc>
      </w:tr>
      <w:tr w:rsidR="00C93C49" w:rsidRPr="00C93C49" w14:paraId="3E1599D8" w14:textId="77777777" w:rsidTr="00347614">
        <w:trPr>
          <w:trHeight w:val="224"/>
          <w:jc w:val="center"/>
        </w:trPr>
        <w:tc>
          <w:tcPr>
            <w:tcW w:w="1426" w:type="dxa"/>
            <w:tcBorders>
              <w:top w:val="nil"/>
              <w:left w:val="single" w:sz="8" w:space="0" w:color="auto"/>
              <w:bottom w:val="single" w:sz="8" w:space="0" w:color="auto"/>
              <w:right w:val="single" w:sz="8" w:space="0" w:color="auto"/>
            </w:tcBorders>
            <w:shd w:val="clear" w:color="auto" w:fill="auto"/>
            <w:noWrap/>
            <w:vAlign w:val="center"/>
            <w:hideMark/>
          </w:tcPr>
          <w:p w14:paraId="0968F76C" w14:textId="77777777" w:rsidR="00C93C49" w:rsidRPr="00C93C49" w:rsidRDefault="00C93C49" w:rsidP="00C93C49">
            <w:pPr>
              <w:spacing w:after="0" w:line="240" w:lineRule="auto"/>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Met-Ed</w:t>
            </w:r>
          </w:p>
        </w:tc>
        <w:tc>
          <w:tcPr>
            <w:tcW w:w="1462" w:type="dxa"/>
            <w:tcBorders>
              <w:top w:val="nil"/>
              <w:left w:val="nil"/>
              <w:bottom w:val="single" w:sz="8" w:space="0" w:color="auto"/>
              <w:right w:val="single" w:sz="8" w:space="0" w:color="auto"/>
            </w:tcBorders>
            <w:shd w:val="clear" w:color="auto" w:fill="auto"/>
            <w:noWrap/>
            <w:vAlign w:val="center"/>
            <w:hideMark/>
          </w:tcPr>
          <w:p w14:paraId="1AE8995E"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$4,144,334 </w:t>
            </w:r>
          </w:p>
        </w:tc>
        <w:tc>
          <w:tcPr>
            <w:tcW w:w="1341" w:type="dxa"/>
            <w:tcBorders>
              <w:top w:val="nil"/>
              <w:left w:val="nil"/>
              <w:bottom w:val="single" w:sz="8" w:space="0" w:color="auto"/>
              <w:right w:val="single" w:sz="8" w:space="0" w:color="auto"/>
            </w:tcBorders>
            <w:shd w:val="clear" w:color="auto" w:fill="auto"/>
            <w:noWrap/>
            <w:vAlign w:val="center"/>
            <w:hideMark/>
          </w:tcPr>
          <w:p w14:paraId="6850684A"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$2,217,704 </w:t>
            </w:r>
          </w:p>
        </w:tc>
        <w:tc>
          <w:tcPr>
            <w:tcW w:w="1341" w:type="dxa"/>
            <w:tcBorders>
              <w:top w:val="nil"/>
              <w:left w:val="nil"/>
              <w:bottom w:val="single" w:sz="8" w:space="0" w:color="auto"/>
              <w:right w:val="single" w:sz="8" w:space="0" w:color="auto"/>
            </w:tcBorders>
            <w:shd w:val="clear" w:color="auto" w:fill="auto"/>
            <w:noWrap/>
            <w:vAlign w:val="center"/>
            <w:hideMark/>
          </w:tcPr>
          <w:p w14:paraId="6FBDC11C"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$1,303,137 </w:t>
            </w:r>
          </w:p>
        </w:tc>
        <w:tc>
          <w:tcPr>
            <w:tcW w:w="1462" w:type="dxa"/>
            <w:tcBorders>
              <w:top w:val="nil"/>
              <w:left w:val="nil"/>
              <w:bottom w:val="single" w:sz="8" w:space="0" w:color="auto"/>
              <w:right w:val="single" w:sz="8" w:space="0" w:color="auto"/>
            </w:tcBorders>
            <w:shd w:val="clear" w:color="auto" w:fill="auto"/>
            <w:noWrap/>
            <w:vAlign w:val="center"/>
            <w:hideMark/>
          </w:tcPr>
          <w:p w14:paraId="5DA65465"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$5,873,155 </w:t>
            </w:r>
          </w:p>
        </w:tc>
        <w:tc>
          <w:tcPr>
            <w:tcW w:w="1462" w:type="dxa"/>
            <w:tcBorders>
              <w:top w:val="nil"/>
              <w:left w:val="nil"/>
              <w:bottom w:val="single" w:sz="8" w:space="0" w:color="auto"/>
              <w:right w:val="single" w:sz="8" w:space="0" w:color="auto"/>
            </w:tcBorders>
            <w:shd w:val="clear" w:color="auto" w:fill="auto"/>
            <w:noWrap/>
            <w:vAlign w:val="center"/>
            <w:hideMark/>
          </w:tcPr>
          <w:p w14:paraId="51007F08"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$13,538,329 </w:t>
            </w:r>
          </w:p>
        </w:tc>
        <w:tc>
          <w:tcPr>
            <w:tcW w:w="993" w:type="dxa"/>
            <w:tcBorders>
              <w:top w:val="nil"/>
              <w:left w:val="nil"/>
              <w:bottom w:val="single" w:sz="8" w:space="0" w:color="auto"/>
              <w:right w:val="single" w:sz="8" w:space="0" w:color="auto"/>
            </w:tcBorders>
            <w:shd w:val="clear" w:color="auto" w:fill="auto"/>
            <w:noWrap/>
            <w:vAlign w:val="center"/>
            <w:hideMark/>
          </w:tcPr>
          <w:p w14:paraId="1B1635AB"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53.01%</w:t>
            </w:r>
          </w:p>
        </w:tc>
      </w:tr>
      <w:tr w:rsidR="00C93C49" w:rsidRPr="00C93C49" w14:paraId="0BE276B4" w14:textId="77777777" w:rsidTr="00347614">
        <w:trPr>
          <w:trHeight w:val="224"/>
          <w:jc w:val="center"/>
        </w:trPr>
        <w:tc>
          <w:tcPr>
            <w:tcW w:w="1426" w:type="dxa"/>
            <w:tcBorders>
              <w:top w:val="nil"/>
              <w:left w:val="single" w:sz="8" w:space="0" w:color="auto"/>
              <w:bottom w:val="single" w:sz="8" w:space="0" w:color="auto"/>
              <w:right w:val="single" w:sz="8" w:space="0" w:color="auto"/>
            </w:tcBorders>
            <w:shd w:val="clear" w:color="auto" w:fill="auto"/>
            <w:noWrap/>
            <w:vAlign w:val="center"/>
            <w:hideMark/>
          </w:tcPr>
          <w:p w14:paraId="5DBBBA33" w14:textId="77777777" w:rsidR="00C93C49" w:rsidRPr="00C93C49" w:rsidRDefault="00C93C49" w:rsidP="00C93C49">
            <w:pPr>
              <w:spacing w:after="0" w:line="240" w:lineRule="auto"/>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Penelec</w:t>
            </w:r>
          </w:p>
        </w:tc>
        <w:tc>
          <w:tcPr>
            <w:tcW w:w="1462" w:type="dxa"/>
            <w:tcBorders>
              <w:top w:val="nil"/>
              <w:left w:val="nil"/>
              <w:bottom w:val="single" w:sz="8" w:space="0" w:color="auto"/>
              <w:right w:val="single" w:sz="8" w:space="0" w:color="auto"/>
            </w:tcBorders>
            <w:shd w:val="clear" w:color="auto" w:fill="auto"/>
            <w:noWrap/>
            <w:vAlign w:val="center"/>
            <w:hideMark/>
          </w:tcPr>
          <w:p w14:paraId="05E3225A"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$4,552,065 </w:t>
            </w:r>
          </w:p>
        </w:tc>
        <w:tc>
          <w:tcPr>
            <w:tcW w:w="1341" w:type="dxa"/>
            <w:tcBorders>
              <w:top w:val="nil"/>
              <w:left w:val="nil"/>
              <w:bottom w:val="single" w:sz="8" w:space="0" w:color="auto"/>
              <w:right w:val="single" w:sz="8" w:space="0" w:color="auto"/>
            </w:tcBorders>
            <w:shd w:val="clear" w:color="auto" w:fill="auto"/>
            <w:noWrap/>
            <w:vAlign w:val="center"/>
            <w:hideMark/>
          </w:tcPr>
          <w:p w14:paraId="75A998C7"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$2,546,403 </w:t>
            </w:r>
          </w:p>
        </w:tc>
        <w:tc>
          <w:tcPr>
            <w:tcW w:w="1341" w:type="dxa"/>
            <w:tcBorders>
              <w:top w:val="nil"/>
              <w:left w:val="nil"/>
              <w:bottom w:val="single" w:sz="8" w:space="0" w:color="auto"/>
              <w:right w:val="single" w:sz="8" w:space="0" w:color="auto"/>
            </w:tcBorders>
            <w:shd w:val="clear" w:color="auto" w:fill="auto"/>
            <w:noWrap/>
            <w:vAlign w:val="center"/>
            <w:hideMark/>
          </w:tcPr>
          <w:p w14:paraId="06571271"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$1,511,201 </w:t>
            </w:r>
          </w:p>
        </w:tc>
        <w:tc>
          <w:tcPr>
            <w:tcW w:w="1462" w:type="dxa"/>
            <w:tcBorders>
              <w:top w:val="nil"/>
              <w:left w:val="nil"/>
              <w:bottom w:val="single" w:sz="8" w:space="0" w:color="auto"/>
              <w:right w:val="single" w:sz="8" w:space="0" w:color="auto"/>
            </w:tcBorders>
            <w:shd w:val="clear" w:color="auto" w:fill="auto"/>
            <w:noWrap/>
            <w:vAlign w:val="center"/>
            <w:hideMark/>
          </w:tcPr>
          <w:p w14:paraId="556B2E2D"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$7,072,981 </w:t>
            </w:r>
          </w:p>
        </w:tc>
        <w:tc>
          <w:tcPr>
            <w:tcW w:w="1462" w:type="dxa"/>
            <w:tcBorders>
              <w:top w:val="nil"/>
              <w:left w:val="nil"/>
              <w:bottom w:val="single" w:sz="8" w:space="0" w:color="auto"/>
              <w:right w:val="single" w:sz="8" w:space="0" w:color="auto"/>
            </w:tcBorders>
            <w:shd w:val="clear" w:color="auto" w:fill="auto"/>
            <w:noWrap/>
            <w:vAlign w:val="center"/>
            <w:hideMark/>
          </w:tcPr>
          <w:p w14:paraId="0BD745E0"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$15,682,650 </w:t>
            </w:r>
          </w:p>
        </w:tc>
        <w:tc>
          <w:tcPr>
            <w:tcW w:w="993" w:type="dxa"/>
            <w:tcBorders>
              <w:top w:val="nil"/>
              <w:left w:val="nil"/>
              <w:bottom w:val="single" w:sz="8" w:space="0" w:color="auto"/>
              <w:right w:val="single" w:sz="8" w:space="0" w:color="auto"/>
            </w:tcBorders>
            <w:shd w:val="clear" w:color="auto" w:fill="auto"/>
            <w:noWrap/>
            <w:vAlign w:val="center"/>
            <w:hideMark/>
          </w:tcPr>
          <w:p w14:paraId="5CA04777"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54.74%</w:t>
            </w:r>
          </w:p>
        </w:tc>
      </w:tr>
      <w:tr w:rsidR="00C93C49" w:rsidRPr="00C93C49" w14:paraId="546654EB" w14:textId="77777777" w:rsidTr="00347614">
        <w:trPr>
          <w:trHeight w:val="224"/>
          <w:jc w:val="center"/>
        </w:trPr>
        <w:tc>
          <w:tcPr>
            <w:tcW w:w="1426" w:type="dxa"/>
            <w:tcBorders>
              <w:top w:val="nil"/>
              <w:left w:val="single" w:sz="8" w:space="0" w:color="auto"/>
              <w:bottom w:val="single" w:sz="8" w:space="0" w:color="auto"/>
              <w:right w:val="single" w:sz="8" w:space="0" w:color="auto"/>
            </w:tcBorders>
            <w:shd w:val="clear" w:color="auto" w:fill="auto"/>
            <w:noWrap/>
            <w:vAlign w:val="center"/>
            <w:hideMark/>
          </w:tcPr>
          <w:p w14:paraId="09F07C09" w14:textId="77777777" w:rsidR="00C93C49" w:rsidRPr="00C93C49" w:rsidRDefault="00C93C49" w:rsidP="00C93C49">
            <w:pPr>
              <w:spacing w:after="0" w:line="240" w:lineRule="auto"/>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Penn Power</w:t>
            </w:r>
          </w:p>
        </w:tc>
        <w:tc>
          <w:tcPr>
            <w:tcW w:w="1462" w:type="dxa"/>
            <w:tcBorders>
              <w:top w:val="nil"/>
              <w:left w:val="nil"/>
              <w:bottom w:val="single" w:sz="8" w:space="0" w:color="auto"/>
              <w:right w:val="single" w:sz="8" w:space="0" w:color="auto"/>
            </w:tcBorders>
            <w:shd w:val="clear" w:color="auto" w:fill="auto"/>
            <w:noWrap/>
            <w:vAlign w:val="center"/>
            <w:hideMark/>
          </w:tcPr>
          <w:p w14:paraId="69D311ED"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$1,136,386 </w:t>
            </w:r>
          </w:p>
        </w:tc>
        <w:tc>
          <w:tcPr>
            <w:tcW w:w="1341" w:type="dxa"/>
            <w:tcBorders>
              <w:top w:val="nil"/>
              <w:left w:val="nil"/>
              <w:bottom w:val="single" w:sz="8" w:space="0" w:color="auto"/>
              <w:right w:val="single" w:sz="8" w:space="0" w:color="auto"/>
            </w:tcBorders>
            <w:shd w:val="clear" w:color="auto" w:fill="auto"/>
            <w:noWrap/>
            <w:vAlign w:val="center"/>
            <w:hideMark/>
          </w:tcPr>
          <w:p w14:paraId="616394D3"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$643,333 </w:t>
            </w:r>
          </w:p>
        </w:tc>
        <w:tc>
          <w:tcPr>
            <w:tcW w:w="1341" w:type="dxa"/>
            <w:tcBorders>
              <w:top w:val="nil"/>
              <w:left w:val="nil"/>
              <w:bottom w:val="single" w:sz="8" w:space="0" w:color="auto"/>
              <w:right w:val="single" w:sz="8" w:space="0" w:color="auto"/>
            </w:tcBorders>
            <w:shd w:val="clear" w:color="auto" w:fill="auto"/>
            <w:noWrap/>
            <w:vAlign w:val="center"/>
            <w:hideMark/>
          </w:tcPr>
          <w:p w14:paraId="445159CA"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$370,198 </w:t>
            </w:r>
          </w:p>
        </w:tc>
        <w:tc>
          <w:tcPr>
            <w:tcW w:w="1462" w:type="dxa"/>
            <w:tcBorders>
              <w:top w:val="nil"/>
              <w:left w:val="nil"/>
              <w:bottom w:val="single" w:sz="8" w:space="0" w:color="auto"/>
              <w:right w:val="single" w:sz="8" w:space="0" w:color="auto"/>
            </w:tcBorders>
            <w:shd w:val="clear" w:color="auto" w:fill="auto"/>
            <w:noWrap/>
            <w:vAlign w:val="center"/>
            <w:hideMark/>
          </w:tcPr>
          <w:p w14:paraId="7FEE6CE0"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$1,979,651 </w:t>
            </w:r>
          </w:p>
        </w:tc>
        <w:tc>
          <w:tcPr>
            <w:tcW w:w="1462" w:type="dxa"/>
            <w:tcBorders>
              <w:top w:val="nil"/>
              <w:left w:val="nil"/>
              <w:bottom w:val="single" w:sz="8" w:space="0" w:color="auto"/>
              <w:right w:val="single" w:sz="8" w:space="0" w:color="auto"/>
            </w:tcBorders>
            <w:shd w:val="clear" w:color="auto" w:fill="auto"/>
            <w:noWrap/>
            <w:vAlign w:val="center"/>
            <w:hideMark/>
          </w:tcPr>
          <w:p w14:paraId="78D3CD0D"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$4,129,569 </w:t>
            </w:r>
          </w:p>
        </w:tc>
        <w:tc>
          <w:tcPr>
            <w:tcW w:w="993" w:type="dxa"/>
            <w:tcBorders>
              <w:top w:val="nil"/>
              <w:left w:val="nil"/>
              <w:bottom w:val="single" w:sz="8" w:space="0" w:color="auto"/>
              <w:right w:val="single" w:sz="8" w:space="0" w:color="auto"/>
            </w:tcBorders>
            <w:shd w:val="clear" w:color="auto" w:fill="auto"/>
            <w:noWrap/>
            <w:vAlign w:val="center"/>
            <w:hideMark/>
          </w:tcPr>
          <w:p w14:paraId="706E5957"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56.90%</w:t>
            </w:r>
          </w:p>
        </w:tc>
      </w:tr>
      <w:tr w:rsidR="00C93C49" w:rsidRPr="00C93C49" w14:paraId="239E2BEC" w14:textId="77777777" w:rsidTr="00347614">
        <w:trPr>
          <w:trHeight w:val="224"/>
          <w:jc w:val="center"/>
        </w:trPr>
        <w:tc>
          <w:tcPr>
            <w:tcW w:w="1426" w:type="dxa"/>
            <w:tcBorders>
              <w:top w:val="nil"/>
              <w:left w:val="single" w:sz="8" w:space="0" w:color="auto"/>
              <w:bottom w:val="single" w:sz="8" w:space="0" w:color="auto"/>
              <w:right w:val="single" w:sz="8" w:space="0" w:color="auto"/>
            </w:tcBorders>
            <w:shd w:val="clear" w:color="auto" w:fill="auto"/>
            <w:noWrap/>
            <w:vAlign w:val="center"/>
            <w:hideMark/>
          </w:tcPr>
          <w:p w14:paraId="74D48E04" w14:textId="77777777" w:rsidR="00C93C49" w:rsidRPr="00C93C49" w:rsidRDefault="00C93C49" w:rsidP="00C93C49">
            <w:pPr>
              <w:spacing w:after="0" w:line="240" w:lineRule="auto"/>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West Penn Power</w:t>
            </w:r>
          </w:p>
        </w:tc>
        <w:tc>
          <w:tcPr>
            <w:tcW w:w="1462" w:type="dxa"/>
            <w:tcBorders>
              <w:top w:val="nil"/>
              <w:left w:val="nil"/>
              <w:bottom w:val="single" w:sz="8" w:space="0" w:color="auto"/>
              <w:right w:val="single" w:sz="8" w:space="0" w:color="auto"/>
            </w:tcBorders>
            <w:shd w:val="clear" w:color="auto" w:fill="auto"/>
            <w:noWrap/>
            <w:vAlign w:val="center"/>
            <w:hideMark/>
          </w:tcPr>
          <w:p w14:paraId="195916B5"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$4,395,276 </w:t>
            </w:r>
          </w:p>
        </w:tc>
        <w:tc>
          <w:tcPr>
            <w:tcW w:w="1341" w:type="dxa"/>
            <w:tcBorders>
              <w:top w:val="nil"/>
              <w:left w:val="nil"/>
              <w:bottom w:val="single" w:sz="8" w:space="0" w:color="auto"/>
              <w:right w:val="single" w:sz="8" w:space="0" w:color="auto"/>
            </w:tcBorders>
            <w:shd w:val="clear" w:color="auto" w:fill="auto"/>
            <w:noWrap/>
            <w:vAlign w:val="center"/>
            <w:hideMark/>
          </w:tcPr>
          <w:p w14:paraId="09C8DCEC"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$2,409,638 </w:t>
            </w:r>
          </w:p>
        </w:tc>
        <w:tc>
          <w:tcPr>
            <w:tcW w:w="1341" w:type="dxa"/>
            <w:tcBorders>
              <w:top w:val="nil"/>
              <w:left w:val="nil"/>
              <w:bottom w:val="single" w:sz="8" w:space="0" w:color="auto"/>
              <w:right w:val="single" w:sz="8" w:space="0" w:color="auto"/>
            </w:tcBorders>
            <w:shd w:val="clear" w:color="auto" w:fill="auto"/>
            <w:noWrap/>
            <w:vAlign w:val="center"/>
            <w:hideMark/>
          </w:tcPr>
          <w:p w14:paraId="79D001ED"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$1,488,602 </w:t>
            </w:r>
          </w:p>
        </w:tc>
        <w:tc>
          <w:tcPr>
            <w:tcW w:w="1462" w:type="dxa"/>
            <w:tcBorders>
              <w:top w:val="nil"/>
              <w:left w:val="nil"/>
              <w:bottom w:val="single" w:sz="8" w:space="0" w:color="auto"/>
              <w:right w:val="single" w:sz="8" w:space="0" w:color="auto"/>
            </w:tcBorders>
            <w:shd w:val="clear" w:color="auto" w:fill="auto"/>
            <w:noWrap/>
            <w:vAlign w:val="center"/>
            <w:hideMark/>
          </w:tcPr>
          <w:p w14:paraId="3BE6EA24"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$6,303,524 </w:t>
            </w:r>
          </w:p>
        </w:tc>
        <w:tc>
          <w:tcPr>
            <w:tcW w:w="1462" w:type="dxa"/>
            <w:tcBorders>
              <w:top w:val="nil"/>
              <w:left w:val="nil"/>
              <w:bottom w:val="single" w:sz="8" w:space="0" w:color="auto"/>
              <w:right w:val="single" w:sz="8" w:space="0" w:color="auto"/>
            </w:tcBorders>
            <w:shd w:val="clear" w:color="auto" w:fill="auto"/>
            <w:noWrap/>
            <w:vAlign w:val="center"/>
            <w:hideMark/>
          </w:tcPr>
          <w:p w14:paraId="24B14976" w14:textId="77777777" w:rsidR="00C93C49" w:rsidRPr="00C93C49" w:rsidRDefault="00C93C49" w:rsidP="00C93C49">
            <w:pPr>
              <w:spacing w:after="0" w:line="240" w:lineRule="auto"/>
              <w:jc w:val="right"/>
              <w:rPr>
                <w:rFonts w:ascii="Arial" w:eastAsia="Times New Roman" w:hAnsi="Arial" w:cs="Arial"/>
                <w:color w:val="000000"/>
                <w:sz w:val="18"/>
                <w:szCs w:val="18"/>
              </w:rPr>
            </w:pPr>
            <w:r w:rsidRPr="00C93C49">
              <w:rPr>
                <w:rFonts w:ascii="Arial" w:eastAsia="Times New Roman" w:hAnsi="Arial" w:cs="Arial"/>
                <w:color w:val="000000"/>
                <w:sz w:val="18"/>
                <w:szCs w:val="18"/>
              </w:rPr>
              <w:t xml:space="preserve">$14,597,040 </w:t>
            </w:r>
          </w:p>
        </w:tc>
        <w:tc>
          <w:tcPr>
            <w:tcW w:w="993" w:type="dxa"/>
            <w:tcBorders>
              <w:top w:val="nil"/>
              <w:left w:val="nil"/>
              <w:bottom w:val="single" w:sz="8" w:space="0" w:color="auto"/>
              <w:right w:val="single" w:sz="8" w:space="0" w:color="auto"/>
            </w:tcBorders>
            <w:shd w:val="clear" w:color="auto" w:fill="auto"/>
            <w:noWrap/>
            <w:vAlign w:val="center"/>
            <w:hideMark/>
          </w:tcPr>
          <w:p w14:paraId="405BFA4D"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53.38%</w:t>
            </w:r>
          </w:p>
        </w:tc>
      </w:tr>
      <w:tr w:rsidR="00C93C49" w:rsidRPr="00C93C49" w14:paraId="275B9EED" w14:textId="77777777" w:rsidTr="00347614">
        <w:trPr>
          <w:trHeight w:val="340"/>
          <w:jc w:val="center"/>
        </w:trPr>
        <w:tc>
          <w:tcPr>
            <w:tcW w:w="1426" w:type="dxa"/>
            <w:tcBorders>
              <w:top w:val="nil"/>
              <w:left w:val="single" w:sz="8" w:space="0" w:color="auto"/>
              <w:bottom w:val="single" w:sz="8" w:space="0" w:color="auto"/>
              <w:right w:val="single" w:sz="8" w:space="0" w:color="auto"/>
            </w:tcBorders>
            <w:shd w:val="clear" w:color="auto" w:fill="auto"/>
            <w:vAlign w:val="center"/>
            <w:hideMark/>
          </w:tcPr>
          <w:p w14:paraId="0607CF4F" w14:textId="77777777" w:rsidR="00C93C49" w:rsidRPr="00C93C49" w:rsidRDefault="00C93C49" w:rsidP="00C93C49">
            <w:pPr>
              <w:spacing w:after="0" w:line="240" w:lineRule="auto"/>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FE-PA Companies</w:t>
            </w:r>
          </w:p>
        </w:tc>
        <w:tc>
          <w:tcPr>
            <w:tcW w:w="1462" w:type="dxa"/>
            <w:tcBorders>
              <w:top w:val="nil"/>
              <w:left w:val="nil"/>
              <w:bottom w:val="single" w:sz="8" w:space="0" w:color="auto"/>
              <w:right w:val="single" w:sz="8" w:space="0" w:color="auto"/>
            </w:tcBorders>
            <w:shd w:val="clear" w:color="auto" w:fill="auto"/>
            <w:noWrap/>
            <w:vAlign w:val="center"/>
            <w:hideMark/>
          </w:tcPr>
          <w:p w14:paraId="74A8C39E" w14:textId="77777777" w:rsidR="00C93C49" w:rsidRPr="00C93C49" w:rsidRDefault="00C93C49" w:rsidP="00C93C49">
            <w:pPr>
              <w:spacing w:after="0" w:line="240" w:lineRule="auto"/>
              <w:jc w:val="right"/>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 xml:space="preserve">$14,228,061 </w:t>
            </w:r>
          </w:p>
        </w:tc>
        <w:tc>
          <w:tcPr>
            <w:tcW w:w="1341" w:type="dxa"/>
            <w:tcBorders>
              <w:top w:val="nil"/>
              <w:left w:val="nil"/>
              <w:bottom w:val="single" w:sz="8" w:space="0" w:color="auto"/>
              <w:right w:val="single" w:sz="8" w:space="0" w:color="auto"/>
            </w:tcBorders>
            <w:shd w:val="clear" w:color="auto" w:fill="auto"/>
            <w:noWrap/>
            <w:vAlign w:val="center"/>
            <w:hideMark/>
          </w:tcPr>
          <w:p w14:paraId="09656DE7" w14:textId="77777777" w:rsidR="00C93C49" w:rsidRPr="00C93C49" w:rsidRDefault="00C93C49" w:rsidP="00C93C49">
            <w:pPr>
              <w:spacing w:after="0" w:line="240" w:lineRule="auto"/>
              <w:jc w:val="right"/>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 xml:space="preserve">$7,817,079 </w:t>
            </w:r>
          </w:p>
        </w:tc>
        <w:tc>
          <w:tcPr>
            <w:tcW w:w="1341" w:type="dxa"/>
            <w:tcBorders>
              <w:top w:val="nil"/>
              <w:left w:val="nil"/>
              <w:bottom w:val="single" w:sz="8" w:space="0" w:color="auto"/>
              <w:right w:val="single" w:sz="8" w:space="0" w:color="auto"/>
            </w:tcBorders>
            <w:shd w:val="clear" w:color="auto" w:fill="auto"/>
            <w:noWrap/>
            <w:vAlign w:val="center"/>
            <w:hideMark/>
          </w:tcPr>
          <w:p w14:paraId="1335E0CE" w14:textId="77777777" w:rsidR="00C93C49" w:rsidRPr="00C93C49" w:rsidRDefault="00C93C49" w:rsidP="00C93C49">
            <w:pPr>
              <w:spacing w:after="0" w:line="240" w:lineRule="auto"/>
              <w:jc w:val="right"/>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 xml:space="preserve">$4,673,138 </w:t>
            </w:r>
          </w:p>
        </w:tc>
        <w:tc>
          <w:tcPr>
            <w:tcW w:w="1462" w:type="dxa"/>
            <w:tcBorders>
              <w:top w:val="nil"/>
              <w:left w:val="nil"/>
              <w:bottom w:val="single" w:sz="8" w:space="0" w:color="auto"/>
              <w:right w:val="single" w:sz="8" w:space="0" w:color="auto"/>
            </w:tcBorders>
            <w:shd w:val="clear" w:color="auto" w:fill="auto"/>
            <w:noWrap/>
            <w:vAlign w:val="center"/>
            <w:hideMark/>
          </w:tcPr>
          <w:p w14:paraId="14FE06EB" w14:textId="77777777" w:rsidR="00C93C49" w:rsidRPr="00C93C49" w:rsidRDefault="00C93C49" w:rsidP="00C93C49">
            <w:pPr>
              <w:spacing w:after="0" w:line="240" w:lineRule="auto"/>
              <w:jc w:val="right"/>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 xml:space="preserve">$21,229,312 </w:t>
            </w:r>
          </w:p>
        </w:tc>
        <w:tc>
          <w:tcPr>
            <w:tcW w:w="1462" w:type="dxa"/>
            <w:tcBorders>
              <w:top w:val="nil"/>
              <w:left w:val="nil"/>
              <w:bottom w:val="single" w:sz="8" w:space="0" w:color="auto"/>
              <w:right w:val="single" w:sz="8" w:space="0" w:color="auto"/>
            </w:tcBorders>
            <w:shd w:val="clear" w:color="auto" w:fill="auto"/>
            <w:noWrap/>
            <w:vAlign w:val="center"/>
            <w:hideMark/>
          </w:tcPr>
          <w:p w14:paraId="705C352B" w14:textId="77777777" w:rsidR="00C93C49" w:rsidRPr="00C93C49" w:rsidRDefault="00C93C49" w:rsidP="00C93C49">
            <w:pPr>
              <w:spacing w:after="0" w:line="240" w:lineRule="auto"/>
              <w:jc w:val="right"/>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 xml:space="preserve">$47,947,589 </w:t>
            </w:r>
          </w:p>
        </w:tc>
        <w:tc>
          <w:tcPr>
            <w:tcW w:w="993" w:type="dxa"/>
            <w:tcBorders>
              <w:top w:val="nil"/>
              <w:left w:val="nil"/>
              <w:bottom w:val="single" w:sz="8" w:space="0" w:color="auto"/>
              <w:right w:val="single" w:sz="8" w:space="0" w:color="auto"/>
            </w:tcBorders>
            <w:shd w:val="clear" w:color="auto" w:fill="auto"/>
            <w:noWrap/>
            <w:vAlign w:val="center"/>
            <w:hideMark/>
          </w:tcPr>
          <w:p w14:paraId="1C709D9F" w14:textId="77777777" w:rsidR="00C93C49" w:rsidRPr="00C93C49" w:rsidRDefault="00C93C49" w:rsidP="00C93C49">
            <w:pPr>
              <w:spacing w:after="0" w:line="240" w:lineRule="auto"/>
              <w:jc w:val="center"/>
              <w:rPr>
                <w:rFonts w:ascii="Arial" w:eastAsia="Times New Roman" w:hAnsi="Arial" w:cs="Arial"/>
                <w:b/>
                <w:bCs/>
                <w:color w:val="000000"/>
                <w:sz w:val="18"/>
                <w:szCs w:val="18"/>
              </w:rPr>
            </w:pPr>
            <w:r w:rsidRPr="00C93C49">
              <w:rPr>
                <w:rFonts w:ascii="Arial" w:eastAsia="Times New Roman" w:hAnsi="Arial" w:cs="Arial"/>
                <w:b/>
                <w:bCs/>
                <w:color w:val="000000"/>
                <w:sz w:val="18"/>
                <w:szCs w:val="18"/>
              </w:rPr>
              <w:t>54.02%</w:t>
            </w:r>
          </w:p>
        </w:tc>
      </w:tr>
    </w:tbl>
    <w:p w14:paraId="00ECAC7D" w14:textId="77777777" w:rsidR="00C93C49" w:rsidRPr="00C93C49" w:rsidRDefault="00C93C49" w:rsidP="00C93C49">
      <w:pPr>
        <w:autoSpaceDE w:val="0"/>
        <w:autoSpaceDN w:val="0"/>
        <w:adjustRightInd w:val="0"/>
        <w:spacing w:after="0" w:line="20" w:lineRule="atLeast"/>
        <w:ind w:left="-90"/>
        <w:rPr>
          <w:rFonts w:ascii="Arial" w:eastAsia="Times New Roman" w:hAnsi="Arial" w:cs="Arial"/>
          <w:snapToGrid w:val="0"/>
          <w:sz w:val="18"/>
          <w:szCs w:val="18"/>
        </w:rPr>
      </w:pPr>
      <w:r w:rsidRPr="00C93C49">
        <w:rPr>
          <w:rFonts w:ascii="Arial" w:eastAsia="Times New Roman" w:hAnsi="Arial" w:cs="Arial"/>
          <w:snapToGrid w:val="0"/>
          <w:sz w:val="18"/>
          <w:szCs w:val="18"/>
        </w:rPr>
        <w:t>Source: Data Request CS-5 and Auditor Analysis</w:t>
      </w:r>
    </w:p>
    <w:p w14:paraId="12A1E857" w14:textId="77777777" w:rsidR="00C93C49" w:rsidRPr="00C93C49" w:rsidRDefault="00C93C49" w:rsidP="00C93C49">
      <w:pPr>
        <w:widowControl w:val="0"/>
        <w:spacing w:after="0" w:line="20" w:lineRule="atLeast"/>
        <w:ind w:left="360"/>
        <w:jc w:val="center"/>
        <w:rPr>
          <w:rFonts w:ascii="Arial" w:eastAsia="Times New Roman" w:hAnsi="Arial" w:cs="Arial"/>
          <w:b/>
          <w:snapToGrid w:val="0"/>
          <w:sz w:val="24"/>
          <w:szCs w:val="20"/>
        </w:rPr>
      </w:pPr>
    </w:p>
    <w:p w14:paraId="685B1C88"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0"/>
        </w:rPr>
      </w:pPr>
    </w:p>
    <w:p w14:paraId="0A628B54" w14:textId="77777777" w:rsidR="00C93C49" w:rsidRPr="00C93C49" w:rsidRDefault="00C93C49" w:rsidP="00C93C49">
      <w:pPr>
        <w:widowControl w:val="0"/>
        <w:spacing w:after="0" w:line="20" w:lineRule="atLeast"/>
        <w:jc w:val="center"/>
        <w:rPr>
          <w:rFonts w:ascii="Arial" w:eastAsia="Times New Roman" w:hAnsi="Arial" w:cs="Arial"/>
          <w:b/>
          <w:sz w:val="24"/>
          <w:szCs w:val="20"/>
        </w:rPr>
      </w:pPr>
      <w:r w:rsidRPr="00C93C49">
        <w:rPr>
          <w:rFonts w:ascii="Arial" w:eastAsia="Times New Roman" w:hAnsi="Arial" w:cs="Arial"/>
          <w:b/>
          <w:snapToGrid w:val="0"/>
          <w:sz w:val="24"/>
          <w:szCs w:val="20"/>
        </w:rPr>
        <w:t xml:space="preserve">Exhibit X – 17 </w:t>
      </w:r>
    </w:p>
    <w:p w14:paraId="0187BF54"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0"/>
        </w:rPr>
      </w:pPr>
      <w:r w:rsidRPr="00C93C49">
        <w:rPr>
          <w:rFonts w:ascii="Arial" w:eastAsia="Calibri" w:hAnsi="Arial" w:cs="Arial"/>
          <w:b/>
          <w:sz w:val="24"/>
          <w:szCs w:val="24"/>
        </w:rPr>
        <w:t>FirstEnergy Pennsylvania Companies</w:t>
      </w:r>
      <w:r w:rsidRPr="00C93C49">
        <w:rPr>
          <w:rFonts w:ascii="Arial" w:eastAsia="Times New Roman" w:hAnsi="Arial" w:cs="Arial"/>
          <w:b/>
          <w:snapToGrid w:val="0"/>
          <w:sz w:val="24"/>
          <w:szCs w:val="20"/>
        </w:rPr>
        <w:t xml:space="preserve"> vs. Panel Average </w:t>
      </w:r>
    </w:p>
    <w:p w14:paraId="4FC3BAA1"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Average Arrearages per Residential Customer</w:t>
      </w:r>
    </w:p>
    <w:p w14:paraId="22DB8669"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For the Period 2013 through 2016</w:t>
      </w:r>
    </w:p>
    <w:p w14:paraId="5AC039DE" w14:textId="77777777" w:rsidR="00C93C49" w:rsidRPr="00C93C49" w:rsidRDefault="00C93C49" w:rsidP="00C93C49">
      <w:pPr>
        <w:autoSpaceDE w:val="0"/>
        <w:autoSpaceDN w:val="0"/>
        <w:adjustRightInd w:val="0"/>
        <w:spacing w:after="0" w:line="20" w:lineRule="atLeast"/>
        <w:rPr>
          <w:rFonts w:ascii="Arial" w:eastAsia="Times New Roman" w:hAnsi="Arial" w:cs="Arial"/>
          <w:snapToGrid w:val="0"/>
          <w:sz w:val="8"/>
          <w:szCs w:val="8"/>
        </w:rPr>
      </w:pPr>
    </w:p>
    <w:tbl>
      <w:tblPr>
        <w:tblW w:w="5926" w:type="dxa"/>
        <w:jc w:val="center"/>
        <w:tblLook w:val="04A0" w:firstRow="1" w:lastRow="0" w:firstColumn="1" w:lastColumn="0" w:noHBand="0" w:noVBand="1"/>
      </w:tblPr>
      <w:tblGrid>
        <w:gridCol w:w="2150"/>
        <w:gridCol w:w="944"/>
        <w:gridCol w:w="944"/>
        <w:gridCol w:w="944"/>
        <w:gridCol w:w="944"/>
      </w:tblGrid>
      <w:tr w:rsidR="00C93C49" w:rsidRPr="00C93C49" w14:paraId="79D11700" w14:textId="77777777" w:rsidTr="00347614">
        <w:trPr>
          <w:trHeight w:val="20"/>
          <w:jc w:val="center"/>
        </w:trPr>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8DDAE" w14:textId="77777777" w:rsidR="00C93C49" w:rsidRPr="00C93C49" w:rsidRDefault="00C93C49" w:rsidP="00C93C49">
            <w:pPr>
              <w:spacing w:after="0" w:line="20" w:lineRule="atLeast"/>
              <w:rPr>
                <w:rFonts w:ascii="Arial" w:eastAsia="Times New Roman" w:hAnsi="Arial" w:cs="Arial"/>
                <w:color w:val="000000"/>
              </w:rPr>
            </w:pPr>
            <w:r w:rsidRPr="00C93C49">
              <w:rPr>
                <w:rFonts w:ascii="Arial" w:eastAsia="Times New Roman" w:hAnsi="Arial" w:cs="Arial"/>
                <w:color w:val="000000"/>
              </w:rPr>
              <w:t> </w:t>
            </w:r>
          </w:p>
        </w:tc>
        <w:tc>
          <w:tcPr>
            <w:tcW w:w="944" w:type="dxa"/>
            <w:tcBorders>
              <w:top w:val="single" w:sz="4" w:space="0" w:color="auto"/>
              <w:left w:val="nil"/>
              <w:bottom w:val="single" w:sz="4" w:space="0" w:color="auto"/>
              <w:right w:val="single" w:sz="4" w:space="0" w:color="auto"/>
            </w:tcBorders>
            <w:vAlign w:val="bottom"/>
          </w:tcPr>
          <w:p w14:paraId="06DD227F" w14:textId="77777777" w:rsidR="00C93C49" w:rsidRPr="00C93C49" w:rsidRDefault="00C93C49" w:rsidP="00C93C49">
            <w:pPr>
              <w:spacing w:after="0" w:line="20" w:lineRule="atLeast"/>
              <w:jc w:val="center"/>
              <w:rPr>
                <w:rFonts w:ascii="Arial" w:eastAsia="Times New Roman" w:hAnsi="Arial" w:cs="Arial"/>
                <w:b/>
                <w:bCs/>
                <w:color w:val="000000"/>
              </w:rPr>
            </w:pPr>
            <w:r w:rsidRPr="00C93C49">
              <w:rPr>
                <w:rFonts w:ascii="Arial" w:eastAsia="Times New Roman" w:hAnsi="Arial" w:cs="Arial"/>
                <w:b/>
                <w:bCs/>
                <w:color w:val="000000"/>
              </w:rPr>
              <w:t>2013</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12425" w14:textId="77777777" w:rsidR="00C93C49" w:rsidRPr="00C93C49" w:rsidRDefault="00C93C49" w:rsidP="00C93C49">
            <w:pPr>
              <w:spacing w:after="0" w:line="20" w:lineRule="atLeast"/>
              <w:jc w:val="center"/>
              <w:rPr>
                <w:rFonts w:ascii="Arial" w:eastAsia="Times New Roman" w:hAnsi="Arial" w:cs="Arial"/>
                <w:b/>
                <w:bCs/>
                <w:color w:val="000000"/>
              </w:rPr>
            </w:pPr>
            <w:r w:rsidRPr="00C93C49">
              <w:rPr>
                <w:rFonts w:ascii="Arial" w:eastAsia="Times New Roman" w:hAnsi="Arial" w:cs="Arial"/>
                <w:b/>
                <w:bCs/>
                <w:color w:val="000000"/>
              </w:rPr>
              <w:t>2014</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14:paraId="3154A09E" w14:textId="77777777" w:rsidR="00C93C49" w:rsidRPr="00C93C49" w:rsidRDefault="00C93C49" w:rsidP="00C93C49">
            <w:pPr>
              <w:spacing w:after="0" w:line="20" w:lineRule="atLeast"/>
              <w:jc w:val="center"/>
              <w:rPr>
                <w:rFonts w:ascii="Arial" w:eastAsia="Times New Roman" w:hAnsi="Arial" w:cs="Arial"/>
                <w:b/>
                <w:bCs/>
                <w:color w:val="000000"/>
              </w:rPr>
            </w:pPr>
            <w:r w:rsidRPr="00C93C49">
              <w:rPr>
                <w:rFonts w:ascii="Arial" w:eastAsia="Times New Roman" w:hAnsi="Arial" w:cs="Arial"/>
                <w:b/>
                <w:bCs/>
                <w:color w:val="000000"/>
              </w:rPr>
              <w:t>2015</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14:paraId="16A2ACEF" w14:textId="77777777" w:rsidR="00C93C49" w:rsidRPr="00C93C49" w:rsidRDefault="00C93C49" w:rsidP="00C93C49">
            <w:pPr>
              <w:spacing w:after="0" w:line="20" w:lineRule="atLeast"/>
              <w:jc w:val="center"/>
              <w:rPr>
                <w:rFonts w:ascii="Arial" w:eastAsia="Times New Roman" w:hAnsi="Arial" w:cs="Arial"/>
                <w:b/>
                <w:bCs/>
                <w:color w:val="000000"/>
              </w:rPr>
            </w:pPr>
            <w:r w:rsidRPr="00C93C49">
              <w:rPr>
                <w:rFonts w:ascii="Arial" w:eastAsia="Times New Roman" w:hAnsi="Arial" w:cs="Arial"/>
                <w:b/>
                <w:bCs/>
                <w:color w:val="000000"/>
              </w:rPr>
              <w:t>2016</w:t>
            </w:r>
          </w:p>
        </w:tc>
      </w:tr>
      <w:tr w:rsidR="00C93C49" w:rsidRPr="00C93C49" w14:paraId="19ABE5F0" w14:textId="77777777" w:rsidTr="00347614">
        <w:trPr>
          <w:trHeight w:val="20"/>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656C5475" w14:textId="77777777" w:rsidR="00C93C49" w:rsidRPr="00C93C49" w:rsidRDefault="00C93C49" w:rsidP="00C93C49">
            <w:pPr>
              <w:spacing w:after="0" w:line="20" w:lineRule="atLeast"/>
              <w:rPr>
                <w:rFonts w:ascii="Arial" w:eastAsia="Times New Roman" w:hAnsi="Arial" w:cs="Arial"/>
                <w:b/>
                <w:color w:val="000000"/>
              </w:rPr>
            </w:pPr>
            <w:r w:rsidRPr="00C93C49">
              <w:rPr>
                <w:rFonts w:ascii="Arial" w:eastAsia="Times New Roman" w:hAnsi="Arial" w:cs="Arial"/>
                <w:b/>
                <w:color w:val="000000"/>
              </w:rPr>
              <w:t>Duquesne Light</w:t>
            </w:r>
          </w:p>
        </w:tc>
        <w:tc>
          <w:tcPr>
            <w:tcW w:w="944" w:type="dxa"/>
            <w:tcBorders>
              <w:top w:val="single" w:sz="4" w:space="0" w:color="auto"/>
              <w:left w:val="nil"/>
              <w:bottom w:val="single" w:sz="4" w:space="0" w:color="auto"/>
              <w:right w:val="single" w:sz="4" w:space="0" w:color="auto"/>
            </w:tcBorders>
            <w:vAlign w:val="bottom"/>
          </w:tcPr>
          <w:p w14:paraId="07F0F748" w14:textId="77777777" w:rsidR="00C93C49" w:rsidRPr="00C93C49" w:rsidRDefault="00C93C49" w:rsidP="00C93C49">
            <w:pPr>
              <w:spacing w:after="0" w:line="20" w:lineRule="atLeast"/>
              <w:jc w:val="center"/>
              <w:rPr>
                <w:rFonts w:ascii="Arial" w:eastAsia="Times New Roman" w:hAnsi="Arial" w:cs="Arial"/>
                <w:bCs/>
                <w:color w:val="000000"/>
              </w:rPr>
            </w:pPr>
            <w:r w:rsidRPr="00C93C49">
              <w:rPr>
                <w:rFonts w:ascii="Arial" w:eastAsia="Times New Roman" w:hAnsi="Arial" w:cs="Arial"/>
                <w:bCs/>
                <w:color w:val="000000"/>
              </w:rPr>
              <w:t>$513</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424B326A" w14:textId="77777777" w:rsidR="00C93C49" w:rsidRPr="00C93C49" w:rsidRDefault="00C93C49" w:rsidP="00C93C49">
            <w:pPr>
              <w:spacing w:after="0" w:line="20" w:lineRule="atLeast"/>
              <w:jc w:val="center"/>
              <w:rPr>
                <w:rFonts w:ascii="Arial" w:eastAsia="Times New Roman" w:hAnsi="Arial" w:cs="Arial"/>
                <w:color w:val="000000"/>
              </w:rPr>
            </w:pPr>
            <w:r w:rsidRPr="00C93C49">
              <w:rPr>
                <w:rFonts w:ascii="Arial" w:eastAsia="Times New Roman" w:hAnsi="Arial" w:cs="Arial"/>
                <w:color w:val="000000"/>
              </w:rPr>
              <w:t>$563</w:t>
            </w:r>
          </w:p>
        </w:tc>
        <w:tc>
          <w:tcPr>
            <w:tcW w:w="944" w:type="dxa"/>
            <w:tcBorders>
              <w:top w:val="nil"/>
              <w:left w:val="nil"/>
              <w:bottom w:val="single" w:sz="4" w:space="0" w:color="auto"/>
              <w:right w:val="single" w:sz="4" w:space="0" w:color="auto"/>
            </w:tcBorders>
            <w:shd w:val="clear" w:color="auto" w:fill="auto"/>
            <w:noWrap/>
            <w:vAlign w:val="bottom"/>
            <w:hideMark/>
          </w:tcPr>
          <w:p w14:paraId="59D9DB42" w14:textId="77777777" w:rsidR="00C93C49" w:rsidRPr="00C93C49" w:rsidRDefault="00C93C49" w:rsidP="00C93C49">
            <w:pPr>
              <w:spacing w:after="0" w:line="20" w:lineRule="atLeast"/>
              <w:jc w:val="center"/>
              <w:rPr>
                <w:rFonts w:ascii="Arial" w:eastAsia="Times New Roman" w:hAnsi="Arial" w:cs="Arial"/>
                <w:color w:val="000000"/>
              </w:rPr>
            </w:pPr>
            <w:r w:rsidRPr="00C93C49">
              <w:rPr>
                <w:rFonts w:ascii="Arial" w:eastAsia="Times New Roman" w:hAnsi="Arial" w:cs="Arial"/>
                <w:color w:val="000000"/>
              </w:rPr>
              <w:t>$371</w:t>
            </w:r>
          </w:p>
        </w:tc>
        <w:tc>
          <w:tcPr>
            <w:tcW w:w="944" w:type="dxa"/>
            <w:tcBorders>
              <w:top w:val="nil"/>
              <w:left w:val="nil"/>
              <w:bottom w:val="single" w:sz="4" w:space="0" w:color="auto"/>
              <w:right w:val="single" w:sz="4" w:space="0" w:color="auto"/>
            </w:tcBorders>
            <w:shd w:val="clear" w:color="auto" w:fill="auto"/>
            <w:noWrap/>
            <w:vAlign w:val="bottom"/>
            <w:hideMark/>
          </w:tcPr>
          <w:p w14:paraId="15BD4926" w14:textId="77777777" w:rsidR="00C93C49" w:rsidRPr="00C93C49" w:rsidRDefault="00C93C49" w:rsidP="00C93C49">
            <w:pPr>
              <w:spacing w:after="0" w:line="20" w:lineRule="atLeast"/>
              <w:jc w:val="center"/>
              <w:rPr>
                <w:rFonts w:ascii="Arial" w:eastAsia="Times New Roman" w:hAnsi="Arial" w:cs="Arial"/>
                <w:color w:val="000000"/>
              </w:rPr>
            </w:pPr>
            <w:r w:rsidRPr="00C93C49">
              <w:rPr>
                <w:rFonts w:ascii="Arial" w:eastAsia="Times New Roman" w:hAnsi="Arial" w:cs="Arial"/>
                <w:color w:val="000000"/>
              </w:rPr>
              <w:t>$299</w:t>
            </w:r>
          </w:p>
        </w:tc>
      </w:tr>
      <w:tr w:rsidR="00C93C49" w:rsidRPr="00C93C49" w14:paraId="13F83099" w14:textId="77777777" w:rsidTr="00347614">
        <w:trPr>
          <w:trHeight w:val="20"/>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72A0E554" w14:textId="77777777" w:rsidR="00C93C49" w:rsidRPr="00C93C49" w:rsidRDefault="00C93C49" w:rsidP="00C93C49">
            <w:pPr>
              <w:spacing w:after="0" w:line="20" w:lineRule="atLeast"/>
              <w:rPr>
                <w:rFonts w:ascii="Arial" w:eastAsia="Times New Roman" w:hAnsi="Arial" w:cs="Arial"/>
                <w:b/>
                <w:color w:val="000000"/>
              </w:rPr>
            </w:pPr>
            <w:r w:rsidRPr="00C93C49">
              <w:rPr>
                <w:rFonts w:ascii="Arial" w:eastAsia="Times New Roman" w:hAnsi="Arial" w:cs="Arial"/>
                <w:b/>
                <w:color w:val="000000"/>
              </w:rPr>
              <w:t>PECO</w:t>
            </w:r>
          </w:p>
        </w:tc>
        <w:tc>
          <w:tcPr>
            <w:tcW w:w="944" w:type="dxa"/>
            <w:tcBorders>
              <w:top w:val="single" w:sz="4" w:space="0" w:color="auto"/>
              <w:left w:val="nil"/>
              <w:bottom w:val="single" w:sz="4" w:space="0" w:color="auto"/>
              <w:right w:val="single" w:sz="4" w:space="0" w:color="auto"/>
            </w:tcBorders>
            <w:vAlign w:val="bottom"/>
          </w:tcPr>
          <w:p w14:paraId="218AA9C0" w14:textId="77777777" w:rsidR="00C93C49" w:rsidRPr="00C93C49" w:rsidRDefault="00C93C49" w:rsidP="00C93C49">
            <w:pPr>
              <w:spacing w:after="0" w:line="20" w:lineRule="atLeast"/>
              <w:jc w:val="center"/>
              <w:rPr>
                <w:rFonts w:ascii="Arial" w:eastAsia="Times New Roman" w:hAnsi="Arial" w:cs="Arial"/>
                <w:bCs/>
                <w:color w:val="000000"/>
              </w:rPr>
            </w:pPr>
            <w:r w:rsidRPr="00C93C49">
              <w:rPr>
                <w:rFonts w:ascii="Arial" w:eastAsia="Times New Roman" w:hAnsi="Arial" w:cs="Arial"/>
                <w:bCs/>
                <w:color w:val="000000"/>
              </w:rPr>
              <w:t>$439</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5F9EE352" w14:textId="77777777" w:rsidR="00C93C49" w:rsidRPr="00C93C49" w:rsidRDefault="00C93C49" w:rsidP="00C93C49">
            <w:pPr>
              <w:spacing w:after="0" w:line="20" w:lineRule="atLeast"/>
              <w:jc w:val="center"/>
              <w:rPr>
                <w:rFonts w:ascii="Arial" w:eastAsia="Times New Roman" w:hAnsi="Arial" w:cs="Arial"/>
                <w:color w:val="000000"/>
              </w:rPr>
            </w:pPr>
            <w:r w:rsidRPr="00C93C49">
              <w:rPr>
                <w:rFonts w:ascii="Arial" w:eastAsia="Times New Roman" w:hAnsi="Arial" w:cs="Arial"/>
                <w:color w:val="000000"/>
              </w:rPr>
              <w:t>$380</w:t>
            </w:r>
          </w:p>
        </w:tc>
        <w:tc>
          <w:tcPr>
            <w:tcW w:w="944" w:type="dxa"/>
            <w:tcBorders>
              <w:top w:val="nil"/>
              <w:left w:val="nil"/>
              <w:bottom w:val="single" w:sz="4" w:space="0" w:color="auto"/>
              <w:right w:val="single" w:sz="4" w:space="0" w:color="auto"/>
            </w:tcBorders>
            <w:shd w:val="clear" w:color="auto" w:fill="auto"/>
            <w:noWrap/>
            <w:vAlign w:val="bottom"/>
            <w:hideMark/>
          </w:tcPr>
          <w:p w14:paraId="6D839FF2" w14:textId="77777777" w:rsidR="00C93C49" w:rsidRPr="00C93C49" w:rsidRDefault="00C93C49" w:rsidP="00C93C49">
            <w:pPr>
              <w:spacing w:after="0" w:line="20" w:lineRule="atLeast"/>
              <w:jc w:val="center"/>
              <w:rPr>
                <w:rFonts w:ascii="Arial" w:eastAsia="Times New Roman" w:hAnsi="Arial" w:cs="Arial"/>
                <w:color w:val="000000"/>
              </w:rPr>
            </w:pPr>
            <w:r w:rsidRPr="00C93C49">
              <w:rPr>
                <w:rFonts w:ascii="Arial" w:eastAsia="Times New Roman" w:hAnsi="Arial" w:cs="Arial"/>
                <w:color w:val="000000"/>
              </w:rPr>
              <w:t>$335</w:t>
            </w:r>
          </w:p>
        </w:tc>
        <w:tc>
          <w:tcPr>
            <w:tcW w:w="944" w:type="dxa"/>
            <w:tcBorders>
              <w:top w:val="nil"/>
              <w:left w:val="nil"/>
              <w:bottom w:val="single" w:sz="4" w:space="0" w:color="auto"/>
              <w:right w:val="single" w:sz="4" w:space="0" w:color="auto"/>
            </w:tcBorders>
            <w:shd w:val="clear" w:color="auto" w:fill="auto"/>
            <w:noWrap/>
            <w:vAlign w:val="bottom"/>
            <w:hideMark/>
          </w:tcPr>
          <w:p w14:paraId="6D9BFAFA" w14:textId="77777777" w:rsidR="00C93C49" w:rsidRPr="00C93C49" w:rsidRDefault="00C93C49" w:rsidP="00C93C49">
            <w:pPr>
              <w:spacing w:after="0" w:line="20" w:lineRule="atLeast"/>
              <w:jc w:val="center"/>
              <w:rPr>
                <w:rFonts w:ascii="Arial" w:eastAsia="Times New Roman" w:hAnsi="Arial" w:cs="Arial"/>
                <w:color w:val="000000"/>
              </w:rPr>
            </w:pPr>
            <w:r w:rsidRPr="00C93C49">
              <w:rPr>
                <w:rFonts w:ascii="Arial" w:eastAsia="Times New Roman" w:hAnsi="Arial" w:cs="Arial"/>
                <w:color w:val="000000"/>
              </w:rPr>
              <w:t>$286</w:t>
            </w:r>
          </w:p>
        </w:tc>
      </w:tr>
      <w:tr w:rsidR="00C93C49" w:rsidRPr="00C93C49" w14:paraId="0CC50447" w14:textId="77777777" w:rsidTr="00347614">
        <w:trPr>
          <w:trHeight w:val="20"/>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336D2716" w14:textId="77777777" w:rsidR="00C93C49" w:rsidRPr="00C93C49" w:rsidRDefault="00C93C49" w:rsidP="00C93C49">
            <w:pPr>
              <w:spacing w:after="0" w:line="20" w:lineRule="atLeast"/>
              <w:rPr>
                <w:rFonts w:ascii="Arial" w:eastAsia="Times New Roman" w:hAnsi="Arial" w:cs="Arial"/>
                <w:b/>
                <w:color w:val="000000"/>
              </w:rPr>
            </w:pPr>
            <w:r w:rsidRPr="00C93C49">
              <w:rPr>
                <w:rFonts w:ascii="Arial" w:eastAsia="Times New Roman" w:hAnsi="Arial" w:cs="Arial"/>
                <w:b/>
                <w:color w:val="000000"/>
              </w:rPr>
              <w:t>PPL</w:t>
            </w:r>
          </w:p>
        </w:tc>
        <w:tc>
          <w:tcPr>
            <w:tcW w:w="944" w:type="dxa"/>
            <w:tcBorders>
              <w:top w:val="single" w:sz="4" w:space="0" w:color="auto"/>
              <w:left w:val="nil"/>
              <w:bottom w:val="single" w:sz="4" w:space="0" w:color="auto"/>
              <w:right w:val="single" w:sz="4" w:space="0" w:color="auto"/>
            </w:tcBorders>
            <w:vAlign w:val="bottom"/>
          </w:tcPr>
          <w:p w14:paraId="7D815819" w14:textId="77777777" w:rsidR="00C93C49" w:rsidRPr="00C93C49" w:rsidRDefault="00C93C49" w:rsidP="00C93C49">
            <w:pPr>
              <w:spacing w:after="0" w:line="20" w:lineRule="atLeast"/>
              <w:jc w:val="center"/>
              <w:rPr>
                <w:rFonts w:ascii="Arial" w:eastAsia="Times New Roman" w:hAnsi="Arial" w:cs="Arial"/>
                <w:bCs/>
                <w:color w:val="000000"/>
              </w:rPr>
            </w:pPr>
            <w:r w:rsidRPr="00C93C49">
              <w:rPr>
                <w:rFonts w:ascii="Arial" w:eastAsia="Times New Roman" w:hAnsi="Arial" w:cs="Arial"/>
                <w:bCs/>
                <w:color w:val="000000"/>
              </w:rPr>
              <w:t>$620</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661DA081" w14:textId="77777777" w:rsidR="00C93C49" w:rsidRPr="00C93C49" w:rsidRDefault="00C93C49" w:rsidP="00C93C49">
            <w:pPr>
              <w:spacing w:after="0" w:line="20" w:lineRule="atLeast"/>
              <w:jc w:val="center"/>
              <w:rPr>
                <w:rFonts w:ascii="Arial" w:eastAsia="Times New Roman" w:hAnsi="Arial" w:cs="Arial"/>
                <w:color w:val="000000"/>
              </w:rPr>
            </w:pPr>
            <w:r w:rsidRPr="00C93C49">
              <w:rPr>
                <w:rFonts w:ascii="Arial" w:eastAsia="Times New Roman" w:hAnsi="Arial" w:cs="Arial"/>
                <w:color w:val="000000"/>
              </w:rPr>
              <w:t>$618</w:t>
            </w:r>
          </w:p>
        </w:tc>
        <w:tc>
          <w:tcPr>
            <w:tcW w:w="944" w:type="dxa"/>
            <w:tcBorders>
              <w:top w:val="nil"/>
              <w:left w:val="nil"/>
              <w:bottom w:val="single" w:sz="4" w:space="0" w:color="auto"/>
              <w:right w:val="single" w:sz="4" w:space="0" w:color="auto"/>
            </w:tcBorders>
            <w:shd w:val="clear" w:color="auto" w:fill="auto"/>
            <w:noWrap/>
            <w:vAlign w:val="bottom"/>
            <w:hideMark/>
          </w:tcPr>
          <w:p w14:paraId="19A36496" w14:textId="77777777" w:rsidR="00C93C49" w:rsidRPr="00C93C49" w:rsidRDefault="00C93C49" w:rsidP="00C93C49">
            <w:pPr>
              <w:spacing w:after="0" w:line="20" w:lineRule="atLeast"/>
              <w:jc w:val="center"/>
              <w:rPr>
                <w:rFonts w:ascii="Arial" w:eastAsia="Times New Roman" w:hAnsi="Arial" w:cs="Arial"/>
                <w:color w:val="000000"/>
              </w:rPr>
            </w:pPr>
            <w:r w:rsidRPr="00C93C49">
              <w:rPr>
                <w:rFonts w:ascii="Arial" w:eastAsia="Times New Roman" w:hAnsi="Arial" w:cs="Arial"/>
                <w:color w:val="000000"/>
              </w:rPr>
              <w:t>$632</w:t>
            </w:r>
          </w:p>
        </w:tc>
        <w:tc>
          <w:tcPr>
            <w:tcW w:w="944" w:type="dxa"/>
            <w:tcBorders>
              <w:top w:val="nil"/>
              <w:left w:val="nil"/>
              <w:bottom w:val="single" w:sz="4" w:space="0" w:color="auto"/>
              <w:right w:val="single" w:sz="4" w:space="0" w:color="auto"/>
            </w:tcBorders>
            <w:shd w:val="clear" w:color="auto" w:fill="auto"/>
            <w:noWrap/>
            <w:vAlign w:val="bottom"/>
            <w:hideMark/>
          </w:tcPr>
          <w:p w14:paraId="2C567B4D" w14:textId="77777777" w:rsidR="00C93C49" w:rsidRPr="00C93C49" w:rsidRDefault="00C93C49" w:rsidP="00C93C49">
            <w:pPr>
              <w:spacing w:after="0" w:line="20" w:lineRule="atLeast"/>
              <w:jc w:val="center"/>
              <w:rPr>
                <w:rFonts w:ascii="Arial" w:eastAsia="Times New Roman" w:hAnsi="Arial" w:cs="Arial"/>
                <w:color w:val="000000"/>
              </w:rPr>
            </w:pPr>
            <w:r w:rsidRPr="00C93C49">
              <w:rPr>
                <w:rFonts w:ascii="Arial" w:eastAsia="Times New Roman" w:hAnsi="Arial" w:cs="Arial"/>
                <w:color w:val="000000"/>
              </w:rPr>
              <w:t>$471</w:t>
            </w:r>
          </w:p>
        </w:tc>
      </w:tr>
      <w:tr w:rsidR="00C93C49" w:rsidRPr="00C93C49" w14:paraId="4DFD90CC" w14:textId="77777777" w:rsidTr="00347614">
        <w:trPr>
          <w:trHeight w:val="20"/>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7D41E052" w14:textId="77777777" w:rsidR="00C93C49" w:rsidRPr="00C93C49" w:rsidRDefault="00C93C49" w:rsidP="00C93C49">
            <w:pPr>
              <w:spacing w:after="0" w:line="20" w:lineRule="atLeast"/>
              <w:jc w:val="center"/>
              <w:rPr>
                <w:rFonts w:ascii="Arial" w:eastAsia="Times New Roman" w:hAnsi="Arial" w:cs="Arial"/>
                <w:b/>
                <w:color w:val="000000"/>
              </w:rPr>
            </w:pPr>
            <w:r w:rsidRPr="00C93C49">
              <w:rPr>
                <w:rFonts w:ascii="Arial" w:eastAsia="Times New Roman" w:hAnsi="Arial" w:cs="Arial"/>
                <w:b/>
                <w:color w:val="000000"/>
              </w:rPr>
              <w:t>Panel Average</w:t>
            </w:r>
          </w:p>
        </w:tc>
        <w:tc>
          <w:tcPr>
            <w:tcW w:w="944" w:type="dxa"/>
            <w:tcBorders>
              <w:top w:val="single" w:sz="4" w:space="0" w:color="auto"/>
              <w:left w:val="nil"/>
              <w:bottom w:val="single" w:sz="4" w:space="0" w:color="auto"/>
              <w:right w:val="single" w:sz="4" w:space="0" w:color="auto"/>
            </w:tcBorders>
            <w:vAlign w:val="bottom"/>
          </w:tcPr>
          <w:p w14:paraId="6347A365" w14:textId="77777777" w:rsidR="00C93C49" w:rsidRPr="00C93C49" w:rsidRDefault="00C93C49" w:rsidP="00C93C49">
            <w:pPr>
              <w:spacing w:after="0" w:line="20" w:lineRule="atLeast"/>
              <w:jc w:val="center"/>
              <w:rPr>
                <w:rFonts w:ascii="Arial" w:eastAsia="Times New Roman" w:hAnsi="Arial" w:cs="Arial"/>
                <w:bCs/>
                <w:color w:val="000000"/>
              </w:rPr>
            </w:pPr>
            <w:r w:rsidRPr="00C93C49">
              <w:rPr>
                <w:rFonts w:ascii="Arial" w:eastAsia="Times New Roman" w:hAnsi="Arial" w:cs="Arial"/>
                <w:bCs/>
                <w:color w:val="000000"/>
              </w:rPr>
              <w:t>$524</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4E545266" w14:textId="77777777" w:rsidR="00C93C49" w:rsidRPr="00C93C49" w:rsidRDefault="00C93C49" w:rsidP="00C93C49">
            <w:pPr>
              <w:spacing w:after="0" w:line="20" w:lineRule="atLeast"/>
              <w:jc w:val="center"/>
              <w:rPr>
                <w:rFonts w:ascii="Arial" w:eastAsia="Times New Roman" w:hAnsi="Arial" w:cs="Arial"/>
                <w:color w:val="000000"/>
              </w:rPr>
            </w:pPr>
            <w:r w:rsidRPr="00C93C49">
              <w:rPr>
                <w:rFonts w:ascii="Arial" w:eastAsia="Times New Roman" w:hAnsi="Arial" w:cs="Arial"/>
                <w:color w:val="000000"/>
              </w:rPr>
              <w:t>$520</w:t>
            </w:r>
          </w:p>
        </w:tc>
        <w:tc>
          <w:tcPr>
            <w:tcW w:w="944" w:type="dxa"/>
            <w:tcBorders>
              <w:top w:val="nil"/>
              <w:left w:val="nil"/>
              <w:bottom w:val="single" w:sz="4" w:space="0" w:color="auto"/>
              <w:right w:val="single" w:sz="4" w:space="0" w:color="auto"/>
            </w:tcBorders>
            <w:shd w:val="clear" w:color="auto" w:fill="auto"/>
            <w:noWrap/>
            <w:vAlign w:val="bottom"/>
            <w:hideMark/>
          </w:tcPr>
          <w:p w14:paraId="13EA04CD" w14:textId="77777777" w:rsidR="00C93C49" w:rsidRPr="00C93C49" w:rsidRDefault="00C93C49" w:rsidP="00C93C49">
            <w:pPr>
              <w:spacing w:after="0" w:line="20" w:lineRule="atLeast"/>
              <w:jc w:val="center"/>
              <w:rPr>
                <w:rFonts w:ascii="Arial" w:eastAsia="Times New Roman" w:hAnsi="Arial" w:cs="Arial"/>
                <w:color w:val="000000"/>
              </w:rPr>
            </w:pPr>
            <w:r w:rsidRPr="00C93C49">
              <w:rPr>
                <w:rFonts w:ascii="Arial" w:eastAsia="Times New Roman" w:hAnsi="Arial" w:cs="Arial"/>
                <w:color w:val="000000"/>
              </w:rPr>
              <w:t>$446</w:t>
            </w:r>
          </w:p>
        </w:tc>
        <w:tc>
          <w:tcPr>
            <w:tcW w:w="944" w:type="dxa"/>
            <w:tcBorders>
              <w:top w:val="nil"/>
              <w:left w:val="nil"/>
              <w:bottom w:val="single" w:sz="4" w:space="0" w:color="auto"/>
              <w:right w:val="single" w:sz="4" w:space="0" w:color="auto"/>
            </w:tcBorders>
            <w:shd w:val="clear" w:color="auto" w:fill="auto"/>
            <w:noWrap/>
            <w:vAlign w:val="bottom"/>
            <w:hideMark/>
          </w:tcPr>
          <w:p w14:paraId="13C6D59C" w14:textId="77777777" w:rsidR="00C93C49" w:rsidRPr="00C93C49" w:rsidRDefault="00C93C49" w:rsidP="00C93C49">
            <w:pPr>
              <w:spacing w:after="0" w:line="20" w:lineRule="atLeast"/>
              <w:jc w:val="center"/>
              <w:rPr>
                <w:rFonts w:ascii="Arial" w:eastAsia="Times New Roman" w:hAnsi="Arial" w:cs="Arial"/>
                <w:color w:val="000000"/>
              </w:rPr>
            </w:pPr>
            <w:r w:rsidRPr="00C93C49">
              <w:rPr>
                <w:rFonts w:ascii="Arial" w:eastAsia="Times New Roman" w:hAnsi="Arial" w:cs="Arial"/>
                <w:color w:val="000000"/>
              </w:rPr>
              <w:t>$352</w:t>
            </w:r>
          </w:p>
        </w:tc>
      </w:tr>
      <w:tr w:rsidR="00C93C49" w:rsidRPr="00C93C49" w14:paraId="466951F3" w14:textId="77777777" w:rsidTr="00347614">
        <w:trPr>
          <w:trHeight w:val="20"/>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13A8B4C2" w14:textId="77777777" w:rsidR="00C93C49" w:rsidRPr="00C93C49" w:rsidRDefault="00C93C49" w:rsidP="00C93C49">
            <w:pPr>
              <w:spacing w:after="0" w:line="20" w:lineRule="atLeast"/>
              <w:rPr>
                <w:rFonts w:ascii="Arial" w:eastAsia="Times New Roman" w:hAnsi="Arial" w:cs="Arial"/>
                <w:b/>
                <w:color w:val="000000"/>
              </w:rPr>
            </w:pPr>
            <w:r w:rsidRPr="00C93C49">
              <w:rPr>
                <w:rFonts w:ascii="Arial" w:eastAsia="Times New Roman" w:hAnsi="Arial" w:cs="Arial"/>
                <w:b/>
                <w:color w:val="000000"/>
              </w:rPr>
              <w:t> </w:t>
            </w:r>
          </w:p>
        </w:tc>
        <w:tc>
          <w:tcPr>
            <w:tcW w:w="944" w:type="dxa"/>
            <w:tcBorders>
              <w:top w:val="single" w:sz="4" w:space="0" w:color="auto"/>
              <w:left w:val="nil"/>
              <w:bottom w:val="single" w:sz="4" w:space="0" w:color="auto"/>
              <w:right w:val="single" w:sz="4" w:space="0" w:color="auto"/>
            </w:tcBorders>
          </w:tcPr>
          <w:p w14:paraId="4A2B375D" w14:textId="77777777" w:rsidR="00C93C49" w:rsidRPr="00C93C49" w:rsidRDefault="00C93C49" w:rsidP="00C93C49">
            <w:pPr>
              <w:spacing w:after="0" w:line="20" w:lineRule="atLeast"/>
              <w:jc w:val="center"/>
              <w:rPr>
                <w:rFonts w:ascii="Arial" w:eastAsia="Times New Roman" w:hAnsi="Arial" w:cs="Arial"/>
                <w:b/>
                <w:bCs/>
                <w:color w:val="000000"/>
              </w:rPr>
            </w:pP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76F7D029" w14:textId="77777777" w:rsidR="00C93C49" w:rsidRPr="00C93C49" w:rsidRDefault="00C93C49" w:rsidP="00C93C49">
            <w:pPr>
              <w:spacing w:after="0" w:line="20" w:lineRule="atLeast"/>
              <w:jc w:val="center"/>
              <w:rPr>
                <w:rFonts w:ascii="Arial" w:eastAsia="Times New Roman" w:hAnsi="Arial" w:cs="Arial"/>
                <w:color w:val="000000"/>
              </w:rPr>
            </w:pPr>
          </w:p>
        </w:tc>
        <w:tc>
          <w:tcPr>
            <w:tcW w:w="944" w:type="dxa"/>
            <w:tcBorders>
              <w:top w:val="nil"/>
              <w:left w:val="nil"/>
              <w:bottom w:val="single" w:sz="4" w:space="0" w:color="auto"/>
              <w:right w:val="single" w:sz="4" w:space="0" w:color="auto"/>
            </w:tcBorders>
            <w:shd w:val="clear" w:color="auto" w:fill="auto"/>
            <w:noWrap/>
            <w:vAlign w:val="bottom"/>
            <w:hideMark/>
          </w:tcPr>
          <w:p w14:paraId="1BF9ABE2" w14:textId="77777777" w:rsidR="00C93C49" w:rsidRPr="00C93C49" w:rsidRDefault="00C93C49" w:rsidP="00C93C49">
            <w:pPr>
              <w:spacing w:after="0" w:line="20" w:lineRule="atLeast"/>
              <w:jc w:val="center"/>
              <w:rPr>
                <w:rFonts w:ascii="Arial" w:eastAsia="Times New Roman" w:hAnsi="Arial" w:cs="Arial"/>
                <w:color w:val="000000"/>
              </w:rPr>
            </w:pPr>
          </w:p>
        </w:tc>
        <w:tc>
          <w:tcPr>
            <w:tcW w:w="944" w:type="dxa"/>
            <w:tcBorders>
              <w:top w:val="nil"/>
              <w:left w:val="nil"/>
              <w:bottom w:val="single" w:sz="4" w:space="0" w:color="auto"/>
              <w:right w:val="single" w:sz="4" w:space="0" w:color="auto"/>
            </w:tcBorders>
            <w:shd w:val="clear" w:color="auto" w:fill="auto"/>
            <w:noWrap/>
            <w:vAlign w:val="bottom"/>
            <w:hideMark/>
          </w:tcPr>
          <w:p w14:paraId="5443C1A9" w14:textId="77777777" w:rsidR="00C93C49" w:rsidRPr="00C93C49" w:rsidRDefault="00C93C49" w:rsidP="00C93C49">
            <w:pPr>
              <w:spacing w:after="0" w:line="20" w:lineRule="atLeast"/>
              <w:jc w:val="center"/>
              <w:rPr>
                <w:rFonts w:ascii="Arial" w:eastAsia="Times New Roman" w:hAnsi="Arial" w:cs="Arial"/>
                <w:color w:val="000000"/>
              </w:rPr>
            </w:pPr>
          </w:p>
        </w:tc>
      </w:tr>
      <w:tr w:rsidR="00C93C49" w:rsidRPr="00C93C49" w14:paraId="7EF15803" w14:textId="77777777" w:rsidTr="00347614">
        <w:trPr>
          <w:trHeight w:val="20"/>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5179C426" w14:textId="77777777" w:rsidR="00C93C49" w:rsidRPr="00C93C49" w:rsidRDefault="00C93C49" w:rsidP="00C93C49">
            <w:pPr>
              <w:spacing w:after="0" w:line="20" w:lineRule="atLeast"/>
              <w:rPr>
                <w:rFonts w:ascii="Arial" w:eastAsia="Times New Roman" w:hAnsi="Arial" w:cs="Arial"/>
                <w:b/>
                <w:color w:val="000000"/>
              </w:rPr>
            </w:pPr>
            <w:r w:rsidRPr="00C93C49">
              <w:rPr>
                <w:rFonts w:ascii="Arial" w:eastAsia="Times New Roman" w:hAnsi="Arial" w:cs="Arial"/>
                <w:b/>
                <w:color w:val="000000"/>
              </w:rPr>
              <w:t>Met-Ed</w:t>
            </w:r>
          </w:p>
        </w:tc>
        <w:tc>
          <w:tcPr>
            <w:tcW w:w="944" w:type="dxa"/>
            <w:tcBorders>
              <w:top w:val="single" w:sz="4" w:space="0" w:color="auto"/>
              <w:left w:val="nil"/>
              <w:bottom w:val="single" w:sz="4" w:space="0" w:color="auto"/>
              <w:right w:val="single" w:sz="4" w:space="0" w:color="auto"/>
            </w:tcBorders>
            <w:vAlign w:val="bottom"/>
          </w:tcPr>
          <w:p w14:paraId="4766BCB9" w14:textId="77777777" w:rsidR="00C93C49" w:rsidRPr="00C93C49" w:rsidRDefault="00C93C49" w:rsidP="00C93C49">
            <w:pPr>
              <w:spacing w:after="0" w:line="20" w:lineRule="atLeast"/>
              <w:jc w:val="center"/>
              <w:rPr>
                <w:rFonts w:ascii="Arial" w:eastAsia="Times New Roman" w:hAnsi="Arial" w:cs="Arial"/>
                <w:color w:val="000000"/>
              </w:rPr>
            </w:pPr>
            <w:r w:rsidRPr="00C93C49">
              <w:rPr>
                <w:rFonts w:ascii="Arial" w:eastAsia="Times New Roman" w:hAnsi="Arial" w:cs="Arial"/>
                <w:color w:val="000000"/>
              </w:rPr>
              <w:t>$528</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4B62D3A8" w14:textId="77777777" w:rsidR="00C93C49" w:rsidRPr="00C93C49" w:rsidRDefault="00C93C49" w:rsidP="00C93C49">
            <w:pPr>
              <w:spacing w:after="0" w:line="20" w:lineRule="atLeast"/>
              <w:jc w:val="center"/>
              <w:rPr>
                <w:rFonts w:ascii="Arial" w:eastAsia="Times New Roman" w:hAnsi="Arial" w:cs="Arial"/>
                <w:color w:val="000000"/>
              </w:rPr>
            </w:pPr>
            <w:r w:rsidRPr="00C93C49">
              <w:rPr>
                <w:rFonts w:ascii="Arial" w:eastAsia="Times New Roman" w:hAnsi="Arial" w:cs="Arial"/>
                <w:color w:val="000000"/>
              </w:rPr>
              <w:t>$494</w:t>
            </w:r>
          </w:p>
        </w:tc>
        <w:tc>
          <w:tcPr>
            <w:tcW w:w="944" w:type="dxa"/>
            <w:tcBorders>
              <w:top w:val="nil"/>
              <w:left w:val="nil"/>
              <w:bottom w:val="single" w:sz="4" w:space="0" w:color="auto"/>
              <w:right w:val="single" w:sz="4" w:space="0" w:color="auto"/>
            </w:tcBorders>
            <w:shd w:val="clear" w:color="auto" w:fill="auto"/>
            <w:noWrap/>
            <w:vAlign w:val="bottom"/>
            <w:hideMark/>
          </w:tcPr>
          <w:p w14:paraId="295EB4B1" w14:textId="77777777" w:rsidR="00C93C49" w:rsidRPr="00C93C49" w:rsidRDefault="00C93C49" w:rsidP="00C93C49">
            <w:pPr>
              <w:spacing w:after="0" w:line="20" w:lineRule="atLeast"/>
              <w:jc w:val="center"/>
              <w:rPr>
                <w:rFonts w:ascii="Arial" w:eastAsia="Times New Roman" w:hAnsi="Arial" w:cs="Arial"/>
                <w:color w:val="000000"/>
              </w:rPr>
            </w:pPr>
            <w:r w:rsidRPr="00C93C49">
              <w:rPr>
                <w:rFonts w:ascii="Arial" w:eastAsia="Times New Roman" w:hAnsi="Arial" w:cs="Arial"/>
                <w:color w:val="000000"/>
              </w:rPr>
              <w:t>$453</w:t>
            </w:r>
          </w:p>
        </w:tc>
        <w:tc>
          <w:tcPr>
            <w:tcW w:w="944" w:type="dxa"/>
            <w:tcBorders>
              <w:top w:val="nil"/>
              <w:left w:val="nil"/>
              <w:bottom w:val="single" w:sz="4" w:space="0" w:color="auto"/>
              <w:right w:val="single" w:sz="4" w:space="0" w:color="auto"/>
            </w:tcBorders>
            <w:shd w:val="clear" w:color="auto" w:fill="auto"/>
            <w:noWrap/>
            <w:vAlign w:val="bottom"/>
            <w:hideMark/>
          </w:tcPr>
          <w:p w14:paraId="3146A9EB" w14:textId="77777777" w:rsidR="00C93C49" w:rsidRPr="00C93C49" w:rsidRDefault="00C93C49" w:rsidP="00C93C49">
            <w:pPr>
              <w:spacing w:after="0" w:line="20" w:lineRule="atLeast"/>
              <w:jc w:val="center"/>
              <w:rPr>
                <w:rFonts w:ascii="Arial" w:eastAsia="Times New Roman" w:hAnsi="Arial" w:cs="Arial"/>
                <w:color w:val="000000"/>
              </w:rPr>
            </w:pPr>
            <w:r w:rsidRPr="00C93C49">
              <w:rPr>
                <w:rFonts w:ascii="Arial" w:eastAsia="Times New Roman" w:hAnsi="Arial" w:cs="Arial"/>
                <w:color w:val="000000"/>
              </w:rPr>
              <w:t>$404</w:t>
            </w:r>
          </w:p>
        </w:tc>
      </w:tr>
      <w:tr w:rsidR="00C93C49" w:rsidRPr="00C93C49" w14:paraId="5504A06C" w14:textId="77777777" w:rsidTr="00347614">
        <w:trPr>
          <w:trHeight w:val="20"/>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0BCA5B69" w14:textId="77777777" w:rsidR="00C93C49" w:rsidRPr="00C93C49" w:rsidRDefault="00C93C49" w:rsidP="00C93C49">
            <w:pPr>
              <w:spacing w:after="0" w:line="20" w:lineRule="atLeast"/>
              <w:rPr>
                <w:rFonts w:ascii="Arial" w:eastAsia="Times New Roman" w:hAnsi="Arial" w:cs="Arial"/>
                <w:b/>
                <w:color w:val="000000"/>
              </w:rPr>
            </w:pPr>
            <w:r w:rsidRPr="00C93C49">
              <w:rPr>
                <w:rFonts w:ascii="Arial" w:eastAsia="Times New Roman" w:hAnsi="Arial" w:cs="Arial"/>
                <w:b/>
                <w:color w:val="000000"/>
              </w:rPr>
              <w:t>Penelec</w:t>
            </w:r>
          </w:p>
        </w:tc>
        <w:tc>
          <w:tcPr>
            <w:tcW w:w="944" w:type="dxa"/>
            <w:tcBorders>
              <w:top w:val="single" w:sz="4" w:space="0" w:color="auto"/>
              <w:left w:val="nil"/>
              <w:bottom w:val="single" w:sz="4" w:space="0" w:color="auto"/>
              <w:right w:val="single" w:sz="4" w:space="0" w:color="auto"/>
            </w:tcBorders>
            <w:vAlign w:val="bottom"/>
          </w:tcPr>
          <w:p w14:paraId="6D218968" w14:textId="77777777" w:rsidR="00C93C49" w:rsidRPr="00C93C49" w:rsidRDefault="00C93C49" w:rsidP="00C93C49">
            <w:pPr>
              <w:spacing w:after="0" w:line="20" w:lineRule="atLeast"/>
              <w:jc w:val="center"/>
              <w:rPr>
                <w:rFonts w:ascii="Arial" w:eastAsia="Times New Roman" w:hAnsi="Arial" w:cs="Arial"/>
                <w:color w:val="000000"/>
              </w:rPr>
            </w:pPr>
            <w:r w:rsidRPr="00C93C49">
              <w:rPr>
                <w:rFonts w:ascii="Arial" w:eastAsia="Times New Roman" w:hAnsi="Arial" w:cs="Arial"/>
                <w:color w:val="000000"/>
              </w:rPr>
              <w:t>$457</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3AA158D0" w14:textId="77777777" w:rsidR="00C93C49" w:rsidRPr="00C93C49" w:rsidRDefault="00C93C49" w:rsidP="00C93C49">
            <w:pPr>
              <w:spacing w:after="0" w:line="20" w:lineRule="atLeast"/>
              <w:jc w:val="center"/>
              <w:rPr>
                <w:rFonts w:ascii="Arial" w:eastAsia="Times New Roman" w:hAnsi="Arial" w:cs="Arial"/>
                <w:color w:val="000000"/>
              </w:rPr>
            </w:pPr>
            <w:r w:rsidRPr="00C93C49">
              <w:rPr>
                <w:rFonts w:ascii="Arial" w:eastAsia="Times New Roman" w:hAnsi="Arial" w:cs="Arial"/>
                <w:color w:val="000000"/>
              </w:rPr>
              <w:t>$432</w:t>
            </w:r>
          </w:p>
        </w:tc>
        <w:tc>
          <w:tcPr>
            <w:tcW w:w="944" w:type="dxa"/>
            <w:tcBorders>
              <w:top w:val="nil"/>
              <w:left w:val="nil"/>
              <w:bottom w:val="single" w:sz="4" w:space="0" w:color="auto"/>
              <w:right w:val="single" w:sz="4" w:space="0" w:color="auto"/>
            </w:tcBorders>
            <w:shd w:val="clear" w:color="auto" w:fill="auto"/>
            <w:noWrap/>
            <w:vAlign w:val="bottom"/>
            <w:hideMark/>
          </w:tcPr>
          <w:p w14:paraId="5AD8EB1E" w14:textId="77777777" w:rsidR="00C93C49" w:rsidRPr="00C93C49" w:rsidRDefault="00C93C49" w:rsidP="00C93C49">
            <w:pPr>
              <w:spacing w:after="0" w:line="20" w:lineRule="atLeast"/>
              <w:jc w:val="center"/>
              <w:rPr>
                <w:rFonts w:ascii="Arial" w:eastAsia="Times New Roman" w:hAnsi="Arial" w:cs="Arial"/>
                <w:color w:val="000000"/>
              </w:rPr>
            </w:pPr>
            <w:r w:rsidRPr="00C93C49">
              <w:rPr>
                <w:rFonts w:ascii="Arial" w:eastAsia="Times New Roman" w:hAnsi="Arial" w:cs="Arial"/>
                <w:color w:val="000000"/>
              </w:rPr>
              <w:t>$407</w:t>
            </w:r>
          </w:p>
        </w:tc>
        <w:tc>
          <w:tcPr>
            <w:tcW w:w="944" w:type="dxa"/>
            <w:tcBorders>
              <w:top w:val="nil"/>
              <w:left w:val="nil"/>
              <w:bottom w:val="single" w:sz="4" w:space="0" w:color="auto"/>
              <w:right w:val="single" w:sz="4" w:space="0" w:color="auto"/>
            </w:tcBorders>
            <w:shd w:val="clear" w:color="auto" w:fill="auto"/>
            <w:noWrap/>
            <w:vAlign w:val="bottom"/>
            <w:hideMark/>
          </w:tcPr>
          <w:p w14:paraId="4EC0C9A5" w14:textId="77777777" w:rsidR="00C93C49" w:rsidRPr="00C93C49" w:rsidRDefault="00C93C49" w:rsidP="00C93C49">
            <w:pPr>
              <w:spacing w:after="0" w:line="20" w:lineRule="atLeast"/>
              <w:jc w:val="center"/>
              <w:rPr>
                <w:rFonts w:ascii="Arial" w:eastAsia="Times New Roman" w:hAnsi="Arial" w:cs="Arial"/>
                <w:color w:val="000000"/>
              </w:rPr>
            </w:pPr>
            <w:r w:rsidRPr="00C93C49">
              <w:rPr>
                <w:rFonts w:ascii="Arial" w:eastAsia="Times New Roman" w:hAnsi="Arial" w:cs="Arial"/>
                <w:color w:val="000000"/>
              </w:rPr>
              <w:t>$403</w:t>
            </w:r>
          </w:p>
        </w:tc>
      </w:tr>
      <w:tr w:rsidR="00C93C49" w:rsidRPr="00C93C49" w14:paraId="7F950387" w14:textId="77777777" w:rsidTr="00347614">
        <w:trPr>
          <w:trHeight w:val="20"/>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2D8B3523" w14:textId="77777777" w:rsidR="00C93C49" w:rsidRPr="00C93C49" w:rsidRDefault="00C93C49" w:rsidP="00C93C49">
            <w:pPr>
              <w:spacing w:after="0" w:line="20" w:lineRule="atLeast"/>
              <w:rPr>
                <w:rFonts w:ascii="Arial" w:eastAsia="Times New Roman" w:hAnsi="Arial" w:cs="Arial"/>
                <w:b/>
                <w:color w:val="000000"/>
              </w:rPr>
            </w:pPr>
            <w:r w:rsidRPr="00C93C49">
              <w:rPr>
                <w:rFonts w:ascii="Arial" w:eastAsia="Times New Roman" w:hAnsi="Arial" w:cs="Arial"/>
                <w:b/>
                <w:color w:val="000000"/>
              </w:rPr>
              <w:t>Penn Power</w:t>
            </w:r>
          </w:p>
        </w:tc>
        <w:tc>
          <w:tcPr>
            <w:tcW w:w="944" w:type="dxa"/>
            <w:tcBorders>
              <w:top w:val="single" w:sz="4" w:space="0" w:color="auto"/>
              <w:left w:val="nil"/>
              <w:bottom w:val="single" w:sz="4" w:space="0" w:color="auto"/>
              <w:right w:val="single" w:sz="4" w:space="0" w:color="auto"/>
            </w:tcBorders>
            <w:vAlign w:val="bottom"/>
          </w:tcPr>
          <w:p w14:paraId="50825AC1" w14:textId="77777777" w:rsidR="00C93C49" w:rsidRPr="00C93C49" w:rsidRDefault="00C93C49" w:rsidP="00C93C49">
            <w:pPr>
              <w:spacing w:after="0" w:line="20" w:lineRule="atLeast"/>
              <w:jc w:val="center"/>
              <w:rPr>
                <w:rFonts w:ascii="Arial" w:eastAsia="Times New Roman" w:hAnsi="Arial" w:cs="Arial"/>
                <w:color w:val="000000"/>
              </w:rPr>
            </w:pPr>
            <w:r w:rsidRPr="00C93C49">
              <w:rPr>
                <w:rFonts w:ascii="Arial" w:eastAsia="Times New Roman" w:hAnsi="Arial" w:cs="Arial"/>
                <w:color w:val="000000"/>
              </w:rPr>
              <w:t>$468</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33E06C31" w14:textId="77777777" w:rsidR="00C93C49" w:rsidRPr="00C93C49" w:rsidRDefault="00C93C49" w:rsidP="00C93C49">
            <w:pPr>
              <w:spacing w:after="0" w:line="20" w:lineRule="atLeast"/>
              <w:jc w:val="center"/>
              <w:rPr>
                <w:rFonts w:ascii="Arial" w:eastAsia="Times New Roman" w:hAnsi="Arial" w:cs="Arial"/>
                <w:color w:val="000000"/>
              </w:rPr>
            </w:pPr>
            <w:r w:rsidRPr="00C93C49">
              <w:rPr>
                <w:rFonts w:ascii="Arial" w:eastAsia="Times New Roman" w:hAnsi="Arial" w:cs="Arial"/>
                <w:color w:val="000000"/>
              </w:rPr>
              <w:t>$431</w:t>
            </w:r>
          </w:p>
        </w:tc>
        <w:tc>
          <w:tcPr>
            <w:tcW w:w="944" w:type="dxa"/>
            <w:tcBorders>
              <w:top w:val="nil"/>
              <w:left w:val="nil"/>
              <w:bottom w:val="single" w:sz="4" w:space="0" w:color="auto"/>
              <w:right w:val="single" w:sz="4" w:space="0" w:color="auto"/>
            </w:tcBorders>
            <w:shd w:val="clear" w:color="auto" w:fill="auto"/>
            <w:noWrap/>
            <w:vAlign w:val="bottom"/>
            <w:hideMark/>
          </w:tcPr>
          <w:p w14:paraId="43A3519E" w14:textId="77777777" w:rsidR="00C93C49" w:rsidRPr="00C93C49" w:rsidRDefault="00C93C49" w:rsidP="00C93C49">
            <w:pPr>
              <w:spacing w:after="0" w:line="20" w:lineRule="atLeast"/>
              <w:jc w:val="center"/>
              <w:rPr>
                <w:rFonts w:ascii="Arial" w:eastAsia="Times New Roman" w:hAnsi="Arial" w:cs="Arial"/>
                <w:color w:val="000000"/>
              </w:rPr>
            </w:pPr>
            <w:r w:rsidRPr="00C93C49">
              <w:rPr>
                <w:rFonts w:ascii="Arial" w:eastAsia="Times New Roman" w:hAnsi="Arial" w:cs="Arial"/>
                <w:color w:val="000000"/>
              </w:rPr>
              <w:t>$426</w:t>
            </w:r>
          </w:p>
        </w:tc>
        <w:tc>
          <w:tcPr>
            <w:tcW w:w="944" w:type="dxa"/>
            <w:tcBorders>
              <w:top w:val="nil"/>
              <w:left w:val="nil"/>
              <w:bottom w:val="single" w:sz="4" w:space="0" w:color="auto"/>
              <w:right w:val="single" w:sz="4" w:space="0" w:color="auto"/>
            </w:tcBorders>
            <w:shd w:val="clear" w:color="auto" w:fill="auto"/>
            <w:noWrap/>
            <w:vAlign w:val="bottom"/>
            <w:hideMark/>
          </w:tcPr>
          <w:p w14:paraId="6B7EEE9E" w14:textId="77777777" w:rsidR="00C93C49" w:rsidRPr="00C93C49" w:rsidRDefault="00C93C49" w:rsidP="00C93C49">
            <w:pPr>
              <w:spacing w:after="0" w:line="20" w:lineRule="atLeast"/>
              <w:jc w:val="center"/>
              <w:rPr>
                <w:rFonts w:ascii="Arial" w:eastAsia="Times New Roman" w:hAnsi="Arial" w:cs="Arial"/>
                <w:color w:val="000000"/>
              </w:rPr>
            </w:pPr>
            <w:r w:rsidRPr="00C93C49">
              <w:rPr>
                <w:rFonts w:ascii="Arial" w:eastAsia="Times New Roman" w:hAnsi="Arial" w:cs="Arial"/>
                <w:color w:val="000000"/>
              </w:rPr>
              <w:t>$452</w:t>
            </w:r>
          </w:p>
        </w:tc>
      </w:tr>
      <w:tr w:rsidR="00C93C49" w:rsidRPr="00C93C49" w14:paraId="0DA87A75" w14:textId="77777777" w:rsidTr="00347614">
        <w:trPr>
          <w:trHeight w:val="20"/>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12B5540C" w14:textId="77777777" w:rsidR="00C93C49" w:rsidRPr="00C93C49" w:rsidRDefault="00C93C49" w:rsidP="00C93C49">
            <w:pPr>
              <w:spacing w:after="0" w:line="20" w:lineRule="atLeast"/>
              <w:rPr>
                <w:rFonts w:ascii="Arial" w:eastAsia="Times New Roman" w:hAnsi="Arial" w:cs="Arial"/>
                <w:b/>
                <w:color w:val="000000"/>
              </w:rPr>
            </w:pPr>
            <w:r w:rsidRPr="00C93C49">
              <w:rPr>
                <w:rFonts w:ascii="Arial" w:eastAsia="Times New Roman" w:hAnsi="Arial" w:cs="Arial"/>
                <w:b/>
                <w:color w:val="000000"/>
              </w:rPr>
              <w:t>West Penn Power</w:t>
            </w:r>
          </w:p>
        </w:tc>
        <w:tc>
          <w:tcPr>
            <w:tcW w:w="944" w:type="dxa"/>
            <w:tcBorders>
              <w:top w:val="single" w:sz="4" w:space="0" w:color="auto"/>
              <w:left w:val="nil"/>
              <w:bottom w:val="single" w:sz="4" w:space="0" w:color="auto"/>
              <w:right w:val="single" w:sz="4" w:space="0" w:color="auto"/>
            </w:tcBorders>
            <w:vAlign w:val="bottom"/>
          </w:tcPr>
          <w:p w14:paraId="51660987" w14:textId="77777777" w:rsidR="00C93C49" w:rsidRPr="00C93C49" w:rsidRDefault="00C93C49" w:rsidP="00C93C49">
            <w:pPr>
              <w:spacing w:after="0" w:line="20" w:lineRule="atLeast"/>
              <w:jc w:val="center"/>
              <w:rPr>
                <w:rFonts w:ascii="Arial" w:eastAsia="Times New Roman" w:hAnsi="Arial" w:cs="Arial"/>
                <w:color w:val="000000"/>
              </w:rPr>
            </w:pPr>
            <w:r w:rsidRPr="00C93C49">
              <w:rPr>
                <w:rFonts w:ascii="Arial" w:eastAsia="Times New Roman" w:hAnsi="Arial" w:cs="Arial"/>
                <w:color w:val="000000"/>
              </w:rPr>
              <w:t>$284</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87096" w14:textId="77777777" w:rsidR="00C93C49" w:rsidRPr="00C93C49" w:rsidRDefault="00C93C49" w:rsidP="00C93C49">
            <w:pPr>
              <w:spacing w:after="0" w:line="20" w:lineRule="atLeast"/>
              <w:jc w:val="center"/>
              <w:rPr>
                <w:rFonts w:ascii="Arial" w:eastAsia="Times New Roman" w:hAnsi="Arial" w:cs="Arial"/>
                <w:color w:val="000000"/>
              </w:rPr>
            </w:pPr>
            <w:r w:rsidRPr="00C93C49">
              <w:rPr>
                <w:rFonts w:ascii="Arial" w:eastAsia="Times New Roman" w:hAnsi="Arial" w:cs="Arial"/>
                <w:color w:val="000000"/>
              </w:rPr>
              <w:t>$302</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14:paraId="5753FD96" w14:textId="77777777" w:rsidR="00C93C49" w:rsidRPr="00C93C49" w:rsidRDefault="00C93C49" w:rsidP="00C93C49">
            <w:pPr>
              <w:spacing w:after="0" w:line="20" w:lineRule="atLeast"/>
              <w:jc w:val="center"/>
              <w:rPr>
                <w:rFonts w:ascii="Arial" w:eastAsia="Times New Roman" w:hAnsi="Arial" w:cs="Arial"/>
                <w:color w:val="000000"/>
              </w:rPr>
            </w:pPr>
            <w:r w:rsidRPr="00C93C49">
              <w:rPr>
                <w:rFonts w:ascii="Arial" w:eastAsia="Times New Roman" w:hAnsi="Arial" w:cs="Arial"/>
                <w:color w:val="000000"/>
              </w:rPr>
              <w:t>$319</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14:paraId="4C344E31" w14:textId="77777777" w:rsidR="00C93C49" w:rsidRPr="00C93C49" w:rsidRDefault="00C93C49" w:rsidP="00C93C49">
            <w:pPr>
              <w:spacing w:after="0" w:line="20" w:lineRule="atLeast"/>
              <w:jc w:val="center"/>
              <w:rPr>
                <w:rFonts w:ascii="Arial" w:eastAsia="Times New Roman" w:hAnsi="Arial" w:cs="Arial"/>
                <w:color w:val="000000"/>
              </w:rPr>
            </w:pPr>
            <w:r w:rsidRPr="00C93C49">
              <w:rPr>
                <w:rFonts w:ascii="Arial" w:eastAsia="Times New Roman" w:hAnsi="Arial" w:cs="Arial"/>
                <w:color w:val="000000"/>
              </w:rPr>
              <w:t>$356</w:t>
            </w:r>
          </w:p>
        </w:tc>
      </w:tr>
    </w:tbl>
    <w:p w14:paraId="136E8704" w14:textId="77777777" w:rsidR="00C93C49" w:rsidRPr="00C93C49" w:rsidRDefault="00C93C49" w:rsidP="00C93C49">
      <w:pPr>
        <w:autoSpaceDE w:val="0"/>
        <w:autoSpaceDN w:val="0"/>
        <w:adjustRightInd w:val="0"/>
        <w:spacing w:after="0" w:line="20" w:lineRule="atLeast"/>
        <w:ind w:left="2430" w:right="1710" w:hanging="720"/>
        <w:rPr>
          <w:rFonts w:ascii="Arial" w:eastAsia="Times New Roman" w:hAnsi="Arial" w:cs="Arial"/>
          <w:snapToGrid w:val="0"/>
          <w:sz w:val="18"/>
          <w:szCs w:val="18"/>
        </w:rPr>
      </w:pPr>
      <w:r w:rsidRPr="00C93C49">
        <w:rPr>
          <w:rFonts w:ascii="Arial" w:eastAsia="Times New Roman" w:hAnsi="Arial" w:cs="Arial"/>
          <w:snapToGrid w:val="0"/>
          <w:sz w:val="18"/>
          <w:szCs w:val="18"/>
        </w:rPr>
        <w:t>Source:  2014-2016 Reports on Universal Service Programs and Collection Performance</w:t>
      </w:r>
    </w:p>
    <w:p w14:paraId="123E53E3" w14:textId="77777777" w:rsidR="00C93C49" w:rsidRPr="00C93C49" w:rsidRDefault="00C93C49" w:rsidP="00C93C49">
      <w:pPr>
        <w:autoSpaceDE w:val="0"/>
        <w:autoSpaceDN w:val="0"/>
        <w:adjustRightInd w:val="0"/>
        <w:spacing w:after="0" w:line="20" w:lineRule="atLeast"/>
        <w:rPr>
          <w:rFonts w:ascii="Arial" w:eastAsia="Times New Roman" w:hAnsi="Arial" w:cs="Arial"/>
          <w:snapToGrid w:val="0"/>
          <w:sz w:val="24"/>
          <w:szCs w:val="24"/>
        </w:rPr>
      </w:pPr>
    </w:p>
    <w:p w14:paraId="7C24DE1D" w14:textId="77777777" w:rsidR="00C93C49" w:rsidRPr="00C93C49" w:rsidRDefault="00C93C49" w:rsidP="00C93C49">
      <w:pPr>
        <w:widowControl w:val="0"/>
        <w:spacing w:after="0" w:line="20" w:lineRule="atLeast"/>
        <w:rPr>
          <w:rFonts w:ascii="Arial" w:eastAsia="Times New Roman" w:hAnsi="Arial" w:cs="Arial"/>
          <w:snapToGrid w:val="0"/>
          <w:sz w:val="24"/>
          <w:szCs w:val="20"/>
        </w:rPr>
      </w:pPr>
    </w:p>
    <w:p w14:paraId="2D69F6A6" w14:textId="77777777" w:rsidR="00150261" w:rsidRPr="00C93C49" w:rsidRDefault="00150261" w:rsidP="00150261">
      <w:pPr>
        <w:widowControl w:val="0"/>
        <w:spacing w:after="0" w:line="20" w:lineRule="atLeast"/>
        <w:ind w:firstLine="720"/>
        <w:rPr>
          <w:rFonts w:ascii="Arial" w:eastAsia="Times New Roman" w:hAnsi="Arial" w:cs="Arial"/>
          <w:snapToGrid w:val="0"/>
          <w:sz w:val="24"/>
          <w:szCs w:val="24"/>
        </w:rPr>
      </w:pPr>
      <w:r w:rsidRPr="00C93C49">
        <w:rPr>
          <w:rFonts w:ascii="Arial" w:eastAsia="Times New Roman" w:hAnsi="Arial" w:cs="Arial"/>
          <w:snapToGrid w:val="0"/>
          <w:sz w:val="24"/>
          <w:szCs w:val="24"/>
        </w:rPr>
        <w:t xml:space="preserve">A Deposit on Active (DOA) program for the </w:t>
      </w:r>
      <w:r w:rsidR="00DC3D9B">
        <w:rPr>
          <w:rFonts w:ascii="Arial" w:eastAsia="Times New Roman" w:hAnsi="Arial" w:cs="Arial"/>
          <w:snapToGrid w:val="0"/>
          <w:sz w:val="24"/>
          <w:szCs w:val="24"/>
        </w:rPr>
        <w:t>FE-PA companies</w:t>
      </w:r>
      <w:r w:rsidRPr="00C93C49">
        <w:rPr>
          <w:rFonts w:ascii="Arial" w:eastAsia="Times New Roman" w:hAnsi="Arial" w:cs="Arial"/>
          <w:snapToGrid w:val="0"/>
          <w:sz w:val="24"/>
          <w:szCs w:val="24"/>
        </w:rPr>
        <w:t xml:space="preserve"> was implemented beginning in April 2012 and completed in December 2013.  This is an automated process that evaluates accounts of existing customers </w:t>
      </w:r>
      <w:r w:rsidR="00FB756A" w:rsidRPr="00C93C49">
        <w:rPr>
          <w:rFonts w:ascii="Arial" w:eastAsia="Times New Roman" w:hAnsi="Arial" w:cs="Arial"/>
          <w:snapToGrid w:val="0"/>
          <w:sz w:val="24"/>
          <w:szCs w:val="24"/>
        </w:rPr>
        <w:t>using</w:t>
      </w:r>
      <w:r w:rsidRPr="00C93C49">
        <w:rPr>
          <w:rFonts w:ascii="Arial" w:eastAsia="Times New Roman" w:hAnsi="Arial" w:cs="Arial"/>
          <w:snapToGrid w:val="0"/>
          <w:sz w:val="24"/>
          <w:szCs w:val="24"/>
        </w:rPr>
        <w:t xml:space="preserve"> specific criteria and automatically assesses a deposit where appropriate.  Customers that qualify will receive a warning letter informing them that a deposit will be assessed if the account is not brought current.  If two bills go past due after the warning is issued, and the customer </w:t>
      </w:r>
      <w:r w:rsidR="00FB756A" w:rsidRPr="00C93C49">
        <w:rPr>
          <w:rFonts w:ascii="Arial" w:eastAsia="Times New Roman" w:hAnsi="Arial" w:cs="Arial"/>
          <w:snapToGrid w:val="0"/>
          <w:sz w:val="24"/>
          <w:szCs w:val="24"/>
        </w:rPr>
        <w:t>does not</w:t>
      </w:r>
      <w:r w:rsidRPr="00C93C49">
        <w:rPr>
          <w:rFonts w:ascii="Arial" w:eastAsia="Times New Roman" w:hAnsi="Arial" w:cs="Arial"/>
          <w:snapToGrid w:val="0"/>
          <w:sz w:val="24"/>
          <w:szCs w:val="24"/>
        </w:rPr>
        <w:t xml:space="preserve"> pay the past due amount or set up a payment arrangement, a deposit will be assessed on their next bill.  Customers who pay beyond the grace period of the due date and meet the other criteria are also subject to receive a warning letter and potential deposit assessment.</w:t>
      </w:r>
    </w:p>
    <w:p w14:paraId="5527F860" w14:textId="77777777" w:rsidR="00150261" w:rsidRPr="00C93C49" w:rsidRDefault="00150261" w:rsidP="00150261">
      <w:pPr>
        <w:autoSpaceDE w:val="0"/>
        <w:autoSpaceDN w:val="0"/>
        <w:adjustRightInd w:val="0"/>
        <w:spacing w:after="0" w:line="20" w:lineRule="atLeast"/>
        <w:rPr>
          <w:rFonts w:ascii="Arial" w:eastAsia="Times New Roman" w:hAnsi="Arial" w:cs="Arial"/>
          <w:b/>
          <w:bCs/>
          <w:snapToGrid w:val="0"/>
          <w:sz w:val="24"/>
          <w:szCs w:val="24"/>
        </w:rPr>
      </w:pPr>
    </w:p>
    <w:p w14:paraId="79704BF2" w14:textId="77777777" w:rsidR="00150261" w:rsidRPr="00C93C49" w:rsidRDefault="00150261" w:rsidP="00150261">
      <w:pPr>
        <w:autoSpaceDE w:val="0"/>
        <w:autoSpaceDN w:val="0"/>
        <w:adjustRightInd w:val="0"/>
        <w:spacing w:after="0" w:line="20" w:lineRule="atLeast"/>
        <w:ind w:firstLine="720"/>
        <w:rPr>
          <w:rFonts w:ascii="Arial" w:eastAsia="Times New Roman" w:hAnsi="Arial" w:cs="Arial"/>
          <w:snapToGrid w:val="0"/>
          <w:sz w:val="24"/>
          <w:szCs w:val="24"/>
        </w:rPr>
      </w:pPr>
      <w:r w:rsidRPr="00C93C49">
        <w:rPr>
          <w:rFonts w:ascii="Arial" w:eastAsia="Times New Roman" w:hAnsi="Arial" w:cs="Arial"/>
          <w:snapToGrid w:val="0"/>
          <w:sz w:val="24"/>
          <w:szCs w:val="24"/>
        </w:rPr>
        <w:t xml:space="preserve">At the time the DOA Program was implemented in Pennsylvania, a customer was entitled to a one-time waiver of the deposit under the following circumstances: </w:t>
      </w:r>
    </w:p>
    <w:p w14:paraId="641E7148" w14:textId="77777777" w:rsidR="00150261" w:rsidRPr="00C93C49" w:rsidRDefault="00150261" w:rsidP="00150261">
      <w:pPr>
        <w:autoSpaceDE w:val="0"/>
        <w:autoSpaceDN w:val="0"/>
        <w:adjustRightInd w:val="0"/>
        <w:spacing w:after="0" w:line="20" w:lineRule="atLeast"/>
        <w:ind w:firstLine="720"/>
        <w:rPr>
          <w:rFonts w:ascii="Arial" w:eastAsia="Times New Roman" w:hAnsi="Arial" w:cs="Arial"/>
          <w:snapToGrid w:val="0"/>
          <w:sz w:val="24"/>
          <w:szCs w:val="24"/>
        </w:rPr>
      </w:pPr>
    </w:p>
    <w:p w14:paraId="7EECC66C" w14:textId="77777777" w:rsidR="00150261" w:rsidRPr="00C93C49" w:rsidRDefault="00150261" w:rsidP="00150261">
      <w:pPr>
        <w:widowControl w:val="0"/>
        <w:numPr>
          <w:ilvl w:val="0"/>
          <w:numId w:val="25"/>
        </w:numPr>
        <w:autoSpaceDE w:val="0"/>
        <w:autoSpaceDN w:val="0"/>
        <w:adjustRightInd w:val="0"/>
        <w:spacing w:after="0" w:line="20" w:lineRule="atLeast"/>
        <w:ind w:left="1080"/>
        <w:contextualSpacing/>
        <w:rPr>
          <w:rFonts w:ascii="Arial" w:eastAsia="Times New Roman" w:hAnsi="Arial" w:cs="Arial"/>
          <w:snapToGrid w:val="0"/>
          <w:sz w:val="24"/>
          <w:szCs w:val="24"/>
        </w:rPr>
      </w:pPr>
      <w:r w:rsidRPr="00C93C49">
        <w:rPr>
          <w:rFonts w:ascii="Arial" w:eastAsia="Times New Roman" w:hAnsi="Arial" w:cs="Arial"/>
          <w:snapToGrid w:val="0"/>
          <w:sz w:val="24"/>
          <w:szCs w:val="24"/>
        </w:rPr>
        <w:t xml:space="preserve">Customer enrolls in Direct Debit. </w:t>
      </w:r>
    </w:p>
    <w:p w14:paraId="5C851352" w14:textId="77777777" w:rsidR="00150261" w:rsidRPr="00C93C49" w:rsidRDefault="00150261" w:rsidP="00150261">
      <w:pPr>
        <w:widowControl w:val="0"/>
        <w:numPr>
          <w:ilvl w:val="0"/>
          <w:numId w:val="25"/>
        </w:numPr>
        <w:autoSpaceDE w:val="0"/>
        <w:autoSpaceDN w:val="0"/>
        <w:adjustRightInd w:val="0"/>
        <w:spacing w:after="0" w:line="20" w:lineRule="atLeast"/>
        <w:ind w:left="1080"/>
        <w:contextualSpacing/>
        <w:rPr>
          <w:rFonts w:ascii="Arial" w:eastAsia="Times New Roman" w:hAnsi="Arial" w:cs="Arial"/>
          <w:snapToGrid w:val="0"/>
          <w:sz w:val="24"/>
          <w:szCs w:val="24"/>
        </w:rPr>
      </w:pPr>
      <w:r w:rsidRPr="00C93C49">
        <w:rPr>
          <w:rFonts w:ascii="Arial" w:eastAsia="Times New Roman" w:hAnsi="Arial" w:cs="Arial"/>
          <w:snapToGrid w:val="0"/>
          <w:sz w:val="24"/>
          <w:szCs w:val="24"/>
        </w:rPr>
        <w:t xml:space="preserve">Customer pays the full balance. </w:t>
      </w:r>
    </w:p>
    <w:p w14:paraId="784314D1" w14:textId="77777777" w:rsidR="00150261" w:rsidRPr="00C93C49" w:rsidRDefault="00150261" w:rsidP="00150261">
      <w:pPr>
        <w:widowControl w:val="0"/>
        <w:numPr>
          <w:ilvl w:val="0"/>
          <w:numId w:val="25"/>
        </w:numPr>
        <w:autoSpaceDE w:val="0"/>
        <w:autoSpaceDN w:val="0"/>
        <w:adjustRightInd w:val="0"/>
        <w:spacing w:after="0" w:line="20" w:lineRule="atLeast"/>
        <w:ind w:left="1080"/>
        <w:contextualSpacing/>
        <w:rPr>
          <w:rFonts w:ascii="Arial" w:eastAsia="Times New Roman" w:hAnsi="Arial" w:cs="Arial"/>
          <w:snapToGrid w:val="0"/>
          <w:sz w:val="24"/>
          <w:szCs w:val="24"/>
        </w:rPr>
      </w:pPr>
      <w:r w:rsidRPr="00C93C49">
        <w:rPr>
          <w:rFonts w:ascii="Arial" w:eastAsia="Times New Roman" w:hAnsi="Arial" w:cs="Arial"/>
          <w:snapToGrid w:val="0"/>
          <w:sz w:val="24"/>
          <w:szCs w:val="24"/>
        </w:rPr>
        <w:t>Customer pays the past due balance or establishes an installment plan to satisfy past due.</w:t>
      </w:r>
    </w:p>
    <w:p w14:paraId="40828292" w14:textId="77777777" w:rsidR="00150261" w:rsidRPr="00C93C49" w:rsidRDefault="00150261" w:rsidP="00150261">
      <w:pPr>
        <w:spacing w:after="0" w:line="20" w:lineRule="atLeast"/>
        <w:ind w:left="360"/>
        <w:jc w:val="center"/>
        <w:rPr>
          <w:rFonts w:ascii="Arial" w:eastAsia="Times New Roman" w:hAnsi="Arial" w:cs="Arial"/>
          <w:b/>
          <w:snapToGrid w:val="0"/>
          <w:sz w:val="24"/>
          <w:szCs w:val="20"/>
        </w:rPr>
      </w:pPr>
    </w:p>
    <w:p w14:paraId="69D80390" w14:textId="77777777" w:rsidR="00C93C49" w:rsidRPr="00C93C49" w:rsidRDefault="00C93C49" w:rsidP="00C047B3">
      <w:pPr>
        <w:autoSpaceDE w:val="0"/>
        <w:autoSpaceDN w:val="0"/>
        <w:adjustRightInd w:val="0"/>
        <w:spacing w:after="0" w:line="20" w:lineRule="atLeast"/>
        <w:ind w:firstLine="720"/>
        <w:rPr>
          <w:rFonts w:ascii="Arial" w:eastAsia="Times New Roman" w:hAnsi="Arial" w:cs="Arial"/>
          <w:snapToGrid w:val="0"/>
          <w:sz w:val="24"/>
          <w:szCs w:val="24"/>
        </w:rPr>
      </w:pPr>
      <w:r w:rsidRPr="00C93C49">
        <w:rPr>
          <w:rFonts w:ascii="Arial" w:eastAsia="Times New Roman" w:hAnsi="Arial" w:cs="Arial"/>
          <w:snapToGrid w:val="0"/>
          <w:sz w:val="24"/>
          <w:szCs w:val="24"/>
        </w:rPr>
        <w:t>A multi-level control was put into place to control the number of waivers granted:</w:t>
      </w:r>
    </w:p>
    <w:p w14:paraId="1F0D9411" w14:textId="77777777" w:rsidR="00C93C49" w:rsidRPr="00C93C49" w:rsidRDefault="00C93C49" w:rsidP="00C93C49">
      <w:pPr>
        <w:autoSpaceDE w:val="0"/>
        <w:autoSpaceDN w:val="0"/>
        <w:adjustRightInd w:val="0"/>
        <w:spacing w:after="0" w:line="20" w:lineRule="atLeast"/>
        <w:rPr>
          <w:rFonts w:ascii="Arial" w:eastAsia="Times New Roman" w:hAnsi="Arial" w:cs="Arial"/>
          <w:snapToGrid w:val="0"/>
          <w:sz w:val="24"/>
          <w:szCs w:val="24"/>
        </w:rPr>
      </w:pPr>
      <w:r w:rsidRPr="00C93C49">
        <w:rPr>
          <w:rFonts w:ascii="Arial" w:eastAsia="Times New Roman" w:hAnsi="Arial" w:cs="Arial"/>
          <w:snapToGrid w:val="0"/>
          <w:sz w:val="24"/>
          <w:szCs w:val="24"/>
        </w:rPr>
        <w:t xml:space="preserve"> </w:t>
      </w:r>
    </w:p>
    <w:p w14:paraId="66F6011A" w14:textId="77777777" w:rsidR="00C93C49" w:rsidRPr="00C93C49" w:rsidRDefault="00C93C49" w:rsidP="00D94B11">
      <w:pPr>
        <w:widowControl w:val="0"/>
        <w:numPr>
          <w:ilvl w:val="0"/>
          <w:numId w:val="26"/>
        </w:numPr>
        <w:autoSpaceDE w:val="0"/>
        <w:autoSpaceDN w:val="0"/>
        <w:adjustRightInd w:val="0"/>
        <w:spacing w:after="0" w:line="20" w:lineRule="atLeast"/>
        <w:ind w:left="1170"/>
        <w:contextualSpacing/>
        <w:rPr>
          <w:rFonts w:ascii="Arial" w:eastAsia="Times New Roman" w:hAnsi="Arial" w:cs="Arial"/>
          <w:snapToGrid w:val="0"/>
          <w:sz w:val="24"/>
          <w:szCs w:val="24"/>
        </w:rPr>
      </w:pPr>
      <w:r w:rsidRPr="00C93C49">
        <w:rPr>
          <w:rFonts w:ascii="Arial" w:eastAsia="Times New Roman" w:hAnsi="Arial" w:cs="Arial"/>
          <w:snapToGrid w:val="0"/>
          <w:sz w:val="24"/>
          <w:szCs w:val="24"/>
        </w:rPr>
        <w:t>First Level</w:t>
      </w:r>
    </w:p>
    <w:p w14:paraId="069533BE" w14:textId="77777777" w:rsidR="00C93C49" w:rsidRPr="00C93C49" w:rsidRDefault="00C93C49" w:rsidP="00D94B11">
      <w:pPr>
        <w:widowControl w:val="0"/>
        <w:numPr>
          <w:ilvl w:val="1"/>
          <w:numId w:val="26"/>
        </w:numPr>
        <w:autoSpaceDE w:val="0"/>
        <w:autoSpaceDN w:val="0"/>
        <w:adjustRightInd w:val="0"/>
        <w:spacing w:after="0" w:line="20" w:lineRule="atLeast"/>
        <w:contextualSpacing/>
        <w:rPr>
          <w:rFonts w:ascii="Arial" w:eastAsia="Times New Roman" w:hAnsi="Arial" w:cs="Arial"/>
          <w:snapToGrid w:val="0"/>
          <w:sz w:val="24"/>
          <w:szCs w:val="24"/>
        </w:rPr>
      </w:pPr>
      <w:r w:rsidRPr="00C93C49">
        <w:rPr>
          <w:rFonts w:ascii="Arial" w:eastAsia="Times New Roman" w:hAnsi="Arial" w:cs="Arial"/>
          <w:snapToGrid w:val="0"/>
          <w:sz w:val="24"/>
          <w:szCs w:val="24"/>
        </w:rPr>
        <w:t>A transaction was created for use by CSRs when considering the waiver of a deposit.  The transaction:</w:t>
      </w:r>
    </w:p>
    <w:p w14:paraId="24EEA5B7" w14:textId="77777777" w:rsidR="00C93C49" w:rsidRPr="00C93C49" w:rsidRDefault="00C93C49" w:rsidP="00D94B11">
      <w:pPr>
        <w:widowControl w:val="0"/>
        <w:numPr>
          <w:ilvl w:val="2"/>
          <w:numId w:val="26"/>
        </w:numPr>
        <w:autoSpaceDE w:val="0"/>
        <w:autoSpaceDN w:val="0"/>
        <w:adjustRightInd w:val="0"/>
        <w:spacing w:after="0" w:line="20" w:lineRule="atLeast"/>
        <w:ind w:left="1800"/>
        <w:contextualSpacing/>
        <w:rPr>
          <w:rFonts w:ascii="Arial" w:eastAsia="Times New Roman" w:hAnsi="Arial" w:cs="Arial"/>
          <w:snapToGrid w:val="0"/>
          <w:sz w:val="24"/>
          <w:szCs w:val="24"/>
        </w:rPr>
      </w:pPr>
      <w:r w:rsidRPr="00C93C49">
        <w:rPr>
          <w:rFonts w:ascii="Arial" w:eastAsia="Times New Roman" w:hAnsi="Arial" w:cs="Arial"/>
          <w:snapToGrid w:val="0"/>
          <w:sz w:val="24"/>
          <w:szCs w:val="24"/>
        </w:rPr>
        <w:t>Reviews the account and alerts the representative that the customer has already had a deposit waiver and provides the representative with the date of the waiver.</w:t>
      </w:r>
    </w:p>
    <w:p w14:paraId="72581EF7" w14:textId="77777777" w:rsidR="00C93C49" w:rsidRPr="00C93C49" w:rsidRDefault="00C93C49" w:rsidP="00D94B11">
      <w:pPr>
        <w:widowControl w:val="0"/>
        <w:numPr>
          <w:ilvl w:val="2"/>
          <w:numId w:val="26"/>
        </w:numPr>
        <w:autoSpaceDE w:val="0"/>
        <w:autoSpaceDN w:val="0"/>
        <w:adjustRightInd w:val="0"/>
        <w:spacing w:after="0" w:line="20" w:lineRule="atLeast"/>
        <w:ind w:left="1800"/>
        <w:contextualSpacing/>
        <w:rPr>
          <w:rFonts w:ascii="Arial" w:eastAsia="Times New Roman" w:hAnsi="Arial" w:cs="Arial"/>
          <w:b/>
          <w:snapToGrid w:val="0"/>
          <w:sz w:val="24"/>
          <w:szCs w:val="20"/>
        </w:rPr>
      </w:pPr>
      <w:r w:rsidRPr="00C93C49">
        <w:rPr>
          <w:rFonts w:ascii="Arial" w:eastAsia="Times New Roman" w:hAnsi="Arial" w:cs="Arial"/>
          <w:snapToGrid w:val="0"/>
          <w:sz w:val="24"/>
          <w:szCs w:val="24"/>
        </w:rPr>
        <w:t>Under certain circumstances, it may be appropriate to offer a customer a second waiver.  The representative can by-pass this alert and offer the customer a waiver once they have supervisor approval.</w:t>
      </w:r>
    </w:p>
    <w:p w14:paraId="39A8E07E" w14:textId="77777777" w:rsidR="00C93C49" w:rsidRPr="00C93C49" w:rsidRDefault="00C93C49" w:rsidP="00C93C49">
      <w:pPr>
        <w:widowControl w:val="0"/>
        <w:autoSpaceDE w:val="0"/>
        <w:autoSpaceDN w:val="0"/>
        <w:adjustRightInd w:val="0"/>
        <w:spacing w:after="0" w:line="20" w:lineRule="atLeast"/>
        <w:contextualSpacing/>
        <w:rPr>
          <w:rFonts w:ascii="Arial" w:eastAsia="Times New Roman" w:hAnsi="Arial" w:cs="Arial"/>
          <w:b/>
          <w:snapToGrid w:val="0"/>
          <w:sz w:val="24"/>
          <w:szCs w:val="20"/>
        </w:rPr>
      </w:pPr>
    </w:p>
    <w:p w14:paraId="1EB917DE" w14:textId="77777777" w:rsidR="00C93C49" w:rsidRPr="00C93C49" w:rsidRDefault="00C93C49" w:rsidP="00D94B11">
      <w:pPr>
        <w:widowControl w:val="0"/>
        <w:numPr>
          <w:ilvl w:val="0"/>
          <w:numId w:val="26"/>
        </w:numPr>
        <w:autoSpaceDE w:val="0"/>
        <w:autoSpaceDN w:val="0"/>
        <w:adjustRightInd w:val="0"/>
        <w:spacing w:after="0" w:line="20" w:lineRule="atLeast"/>
        <w:ind w:left="1080"/>
        <w:contextualSpacing/>
        <w:rPr>
          <w:rFonts w:ascii="Arial" w:eastAsia="Times New Roman" w:hAnsi="Arial" w:cs="Arial"/>
          <w:snapToGrid w:val="0"/>
          <w:sz w:val="24"/>
          <w:szCs w:val="24"/>
        </w:rPr>
      </w:pPr>
      <w:r w:rsidRPr="00C93C49">
        <w:rPr>
          <w:rFonts w:ascii="Arial" w:eastAsia="Times New Roman" w:hAnsi="Arial" w:cs="Arial"/>
          <w:snapToGrid w:val="0"/>
          <w:sz w:val="24"/>
          <w:szCs w:val="24"/>
        </w:rPr>
        <w:t>Second Level</w:t>
      </w:r>
    </w:p>
    <w:p w14:paraId="3DD56E2C" w14:textId="77777777" w:rsidR="00C93C49" w:rsidRPr="00C93C49" w:rsidRDefault="00C93C49" w:rsidP="00D94B11">
      <w:pPr>
        <w:widowControl w:val="0"/>
        <w:numPr>
          <w:ilvl w:val="1"/>
          <w:numId w:val="26"/>
        </w:numPr>
        <w:autoSpaceDE w:val="0"/>
        <w:autoSpaceDN w:val="0"/>
        <w:adjustRightInd w:val="0"/>
        <w:spacing w:after="0" w:line="20" w:lineRule="atLeast"/>
        <w:contextualSpacing/>
        <w:rPr>
          <w:rFonts w:ascii="Arial" w:eastAsia="Times New Roman" w:hAnsi="Arial" w:cs="Arial"/>
          <w:snapToGrid w:val="0"/>
          <w:sz w:val="24"/>
          <w:szCs w:val="24"/>
        </w:rPr>
      </w:pPr>
      <w:r w:rsidRPr="00C93C49">
        <w:rPr>
          <w:rFonts w:ascii="Arial" w:eastAsia="Times New Roman" w:hAnsi="Arial" w:cs="Arial"/>
          <w:snapToGrid w:val="0"/>
          <w:sz w:val="24"/>
          <w:szCs w:val="24"/>
        </w:rPr>
        <w:t>A report is run monthly to determine the number of waivers granted to customers where a deposit was assessed through the DOA Program.  This report is evaluated by Revenue Operations management.</w:t>
      </w:r>
    </w:p>
    <w:p w14:paraId="3FF0759C" w14:textId="77777777" w:rsidR="00C93C49" w:rsidRPr="00C93C49" w:rsidRDefault="00C93C49" w:rsidP="00D94B11">
      <w:pPr>
        <w:widowControl w:val="0"/>
        <w:numPr>
          <w:ilvl w:val="1"/>
          <w:numId w:val="26"/>
        </w:numPr>
        <w:autoSpaceDE w:val="0"/>
        <w:autoSpaceDN w:val="0"/>
        <w:adjustRightInd w:val="0"/>
        <w:spacing w:after="0" w:line="20" w:lineRule="atLeast"/>
        <w:contextualSpacing/>
        <w:rPr>
          <w:rFonts w:ascii="Arial" w:eastAsia="Times New Roman" w:hAnsi="Arial" w:cs="Arial"/>
          <w:snapToGrid w:val="0"/>
          <w:sz w:val="24"/>
          <w:szCs w:val="24"/>
        </w:rPr>
      </w:pPr>
      <w:r w:rsidRPr="00C93C49">
        <w:rPr>
          <w:rFonts w:ascii="Arial" w:eastAsia="Times New Roman" w:hAnsi="Arial" w:cs="Arial"/>
          <w:snapToGrid w:val="0"/>
          <w:sz w:val="24"/>
          <w:szCs w:val="24"/>
        </w:rPr>
        <w:t>An acceptable level of 2% or less of DOA waivers has been established.</w:t>
      </w:r>
    </w:p>
    <w:p w14:paraId="06DCC388" w14:textId="77777777" w:rsidR="00C93C49" w:rsidRPr="00C93C49" w:rsidRDefault="00C93C49" w:rsidP="00D94B11">
      <w:pPr>
        <w:widowControl w:val="0"/>
        <w:numPr>
          <w:ilvl w:val="1"/>
          <w:numId w:val="26"/>
        </w:numPr>
        <w:autoSpaceDE w:val="0"/>
        <w:autoSpaceDN w:val="0"/>
        <w:adjustRightInd w:val="0"/>
        <w:spacing w:after="0" w:line="20" w:lineRule="atLeast"/>
        <w:contextualSpacing/>
        <w:rPr>
          <w:rFonts w:ascii="Arial" w:eastAsia="Times New Roman" w:hAnsi="Arial" w:cs="Arial"/>
          <w:snapToGrid w:val="0"/>
          <w:sz w:val="24"/>
          <w:szCs w:val="24"/>
        </w:rPr>
      </w:pPr>
      <w:r w:rsidRPr="00C93C49">
        <w:rPr>
          <w:rFonts w:ascii="Arial" w:eastAsia="Times New Roman" w:hAnsi="Arial" w:cs="Arial"/>
          <w:snapToGrid w:val="0"/>
          <w:sz w:val="24"/>
          <w:szCs w:val="24"/>
        </w:rPr>
        <w:t>If the level of waivers exceeds the 2% level, contact center management is notified of the exception.</w:t>
      </w:r>
    </w:p>
    <w:p w14:paraId="5E45F46C" w14:textId="5A481BAF" w:rsidR="00C93C49" w:rsidRDefault="00C93C49" w:rsidP="00C93C49">
      <w:pPr>
        <w:widowControl w:val="0"/>
        <w:autoSpaceDE w:val="0"/>
        <w:autoSpaceDN w:val="0"/>
        <w:adjustRightInd w:val="0"/>
        <w:spacing w:after="0" w:line="20" w:lineRule="atLeast"/>
        <w:contextualSpacing/>
        <w:rPr>
          <w:rFonts w:ascii="Arial" w:eastAsia="Times New Roman" w:hAnsi="Arial" w:cs="Arial"/>
          <w:snapToGrid w:val="0"/>
          <w:sz w:val="24"/>
          <w:szCs w:val="24"/>
        </w:rPr>
      </w:pPr>
    </w:p>
    <w:p w14:paraId="1B5AF778" w14:textId="77777777" w:rsidR="00BB48FA" w:rsidRPr="00C93C49" w:rsidRDefault="00BB48FA" w:rsidP="00C93C49">
      <w:pPr>
        <w:widowControl w:val="0"/>
        <w:autoSpaceDE w:val="0"/>
        <w:autoSpaceDN w:val="0"/>
        <w:adjustRightInd w:val="0"/>
        <w:spacing w:after="0" w:line="20" w:lineRule="atLeast"/>
        <w:contextualSpacing/>
        <w:rPr>
          <w:rFonts w:ascii="Arial" w:eastAsia="Times New Roman" w:hAnsi="Arial" w:cs="Arial"/>
          <w:snapToGrid w:val="0"/>
          <w:sz w:val="24"/>
          <w:szCs w:val="24"/>
        </w:rPr>
      </w:pPr>
    </w:p>
    <w:p w14:paraId="3CBEC008" w14:textId="77777777" w:rsidR="00C93C49" w:rsidRPr="00C93C49" w:rsidRDefault="00C93C49" w:rsidP="00C93C49">
      <w:pPr>
        <w:autoSpaceDE w:val="0"/>
        <w:autoSpaceDN w:val="0"/>
        <w:adjustRightInd w:val="0"/>
        <w:spacing w:after="0" w:line="20" w:lineRule="atLeast"/>
        <w:ind w:firstLine="720"/>
        <w:rPr>
          <w:rFonts w:ascii="Arial" w:eastAsia="Times New Roman" w:hAnsi="Arial" w:cs="Arial"/>
          <w:snapToGrid w:val="0"/>
          <w:sz w:val="24"/>
          <w:szCs w:val="24"/>
        </w:rPr>
      </w:pPr>
      <w:r w:rsidRPr="00C93C49">
        <w:rPr>
          <w:rFonts w:ascii="Arial" w:eastAsia="Times New Roman" w:hAnsi="Arial" w:cs="Arial"/>
          <w:snapToGrid w:val="0"/>
          <w:sz w:val="24"/>
          <w:szCs w:val="24"/>
        </w:rPr>
        <w:t xml:space="preserve">The waiver opportunity was discontinued in June 2015.  The one-time waiver deposit was included during the implementation of the DOA program.  To allow for customer adaptation and understanding of the new DOA program, the </w:t>
      </w:r>
      <w:r w:rsidR="00DC3D9B">
        <w:rPr>
          <w:rFonts w:ascii="Arial" w:eastAsia="Times New Roman" w:hAnsi="Arial" w:cs="Arial"/>
          <w:snapToGrid w:val="0"/>
          <w:sz w:val="24"/>
          <w:szCs w:val="24"/>
        </w:rPr>
        <w:t>FE-PA companies</w:t>
      </w:r>
      <w:r w:rsidRPr="00C93C49">
        <w:rPr>
          <w:rFonts w:ascii="Arial" w:eastAsia="Times New Roman" w:hAnsi="Arial" w:cs="Arial"/>
          <w:snapToGrid w:val="0"/>
          <w:sz w:val="24"/>
          <w:szCs w:val="24"/>
        </w:rPr>
        <w:t xml:space="preserve"> allow</w:t>
      </w:r>
      <w:r w:rsidR="00FB756A">
        <w:rPr>
          <w:rFonts w:ascii="Arial" w:eastAsia="Times New Roman" w:hAnsi="Arial" w:cs="Arial"/>
          <w:snapToGrid w:val="0"/>
          <w:sz w:val="24"/>
          <w:szCs w:val="24"/>
        </w:rPr>
        <w:t>ed</w:t>
      </w:r>
      <w:r w:rsidRPr="00C93C49">
        <w:rPr>
          <w:rFonts w:ascii="Arial" w:eastAsia="Times New Roman" w:hAnsi="Arial" w:cs="Arial"/>
          <w:snapToGrid w:val="0"/>
          <w:sz w:val="24"/>
          <w:szCs w:val="24"/>
        </w:rPr>
        <w:t xml:space="preserve"> a one-time waiver of the deposit.  It was also determined that the one-time waiver process would continue for approximately two years to allow for the full dissemination and exposure of the DOA Program.</w:t>
      </w:r>
    </w:p>
    <w:p w14:paraId="7CD9C2DA" w14:textId="77777777" w:rsidR="00C93C49" w:rsidRPr="00C93C49" w:rsidRDefault="00C93C49" w:rsidP="00C93C49">
      <w:pPr>
        <w:spacing w:after="0" w:line="20" w:lineRule="atLeast"/>
        <w:jc w:val="center"/>
        <w:rPr>
          <w:rFonts w:ascii="Arial" w:eastAsia="Times New Roman" w:hAnsi="Arial" w:cs="Arial"/>
          <w:snapToGrid w:val="0"/>
          <w:sz w:val="24"/>
          <w:szCs w:val="24"/>
        </w:rPr>
      </w:pPr>
    </w:p>
    <w:p w14:paraId="49151E21" w14:textId="77777777" w:rsidR="00C93C49" w:rsidRPr="00C93C49" w:rsidRDefault="00C93C49" w:rsidP="00C93C49">
      <w:pPr>
        <w:widowControl w:val="0"/>
        <w:spacing w:after="0" w:line="20" w:lineRule="atLeast"/>
        <w:ind w:firstLine="720"/>
        <w:rPr>
          <w:rFonts w:ascii="Arial" w:eastAsia="Times New Roman" w:hAnsi="Arial" w:cs="Arial"/>
          <w:snapToGrid w:val="0"/>
          <w:sz w:val="24"/>
          <w:szCs w:val="20"/>
        </w:rPr>
      </w:pPr>
      <w:r w:rsidRPr="00C93C49">
        <w:rPr>
          <w:rFonts w:ascii="Arial" w:eastAsia="Times New Roman" w:hAnsi="Arial" w:cs="Arial"/>
          <w:snapToGrid w:val="0"/>
          <w:sz w:val="24"/>
          <w:szCs w:val="20"/>
        </w:rPr>
        <w:t xml:space="preserve">The </w:t>
      </w:r>
      <w:r w:rsidR="00DC3D9B">
        <w:rPr>
          <w:rFonts w:ascii="Arial" w:eastAsia="Times New Roman" w:hAnsi="Arial" w:cs="Arial"/>
          <w:snapToGrid w:val="0"/>
          <w:sz w:val="24"/>
          <w:szCs w:val="20"/>
        </w:rPr>
        <w:t>FE-PA companies</w:t>
      </w:r>
      <w:r w:rsidRPr="00C93C49">
        <w:rPr>
          <w:rFonts w:ascii="Arial" w:eastAsia="Times New Roman" w:hAnsi="Arial" w:cs="Arial"/>
          <w:snapToGrid w:val="0"/>
          <w:sz w:val="24"/>
          <w:szCs w:val="20"/>
        </w:rPr>
        <w:t xml:space="preserve"> stated they have established control reports to provide consistent monitoring of security deposit waivers and length of installment plans, which are reviewed with management, and to assist in coaching for non-adherence when necessary. The number of waiver of security deposits has increased year over year, from 13,631 in 2013 to 32,830 in 2017.  The number of security deposit waivers increased considerably</w:t>
      </w:r>
      <w:r w:rsidR="00FB756A">
        <w:rPr>
          <w:rFonts w:ascii="Arial" w:eastAsia="Times New Roman" w:hAnsi="Arial" w:cs="Arial"/>
          <w:snapToGrid w:val="0"/>
          <w:sz w:val="24"/>
          <w:szCs w:val="20"/>
        </w:rPr>
        <w:t>,</w:t>
      </w:r>
      <w:r w:rsidRPr="00C93C49">
        <w:rPr>
          <w:rFonts w:ascii="Arial" w:eastAsia="Times New Roman" w:hAnsi="Arial" w:cs="Arial"/>
          <w:snapToGrid w:val="0"/>
          <w:sz w:val="24"/>
          <w:szCs w:val="20"/>
        </w:rPr>
        <w:t xml:space="preserve"> starting in 2015 due to the </w:t>
      </w:r>
      <w:r w:rsidR="00DC3D9B">
        <w:rPr>
          <w:rFonts w:ascii="Arial" w:eastAsia="Times New Roman" w:hAnsi="Arial" w:cs="Arial"/>
          <w:snapToGrid w:val="0"/>
          <w:sz w:val="24"/>
          <w:szCs w:val="20"/>
        </w:rPr>
        <w:t>FE-PA companies</w:t>
      </w:r>
      <w:r w:rsidRPr="00C93C49">
        <w:rPr>
          <w:rFonts w:ascii="Arial" w:eastAsia="Times New Roman" w:hAnsi="Arial" w:cs="Arial"/>
          <w:snapToGrid w:val="0"/>
          <w:sz w:val="24"/>
          <w:szCs w:val="20"/>
        </w:rPr>
        <w:t xml:space="preserve"> complying with a regulatory change to waive security deposits assessed to low-income customers.  In addition, the </w:t>
      </w:r>
      <w:r w:rsidR="00DC3D9B">
        <w:rPr>
          <w:rFonts w:ascii="Arial" w:eastAsia="Times New Roman" w:hAnsi="Arial" w:cs="Arial"/>
          <w:snapToGrid w:val="0"/>
          <w:sz w:val="24"/>
          <w:szCs w:val="20"/>
        </w:rPr>
        <w:t>FE-PA companies</w:t>
      </w:r>
      <w:r w:rsidRPr="00C93C49">
        <w:rPr>
          <w:rFonts w:ascii="Arial" w:eastAsia="Times New Roman" w:hAnsi="Arial" w:cs="Arial"/>
          <w:snapToGrid w:val="0"/>
          <w:sz w:val="24"/>
          <w:szCs w:val="20"/>
        </w:rPr>
        <w:t xml:space="preserve"> have reportedly targeted older receivables and higher account balances, while field arrears management activities maintained a focus on delinquent account balances over sixty days. </w:t>
      </w:r>
    </w:p>
    <w:p w14:paraId="4A31B86C" w14:textId="77777777" w:rsidR="00C93C49" w:rsidRPr="00C93C49" w:rsidRDefault="00C93C49" w:rsidP="00C93C49">
      <w:pPr>
        <w:spacing w:after="0" w:line="240" w:lineRule="auto"/>
        <w:rPr>
          <w:rFonts w:ascii="Arial" w:eastAsia="Times New Roman" w:hAnsi="Arial" w:cs="Arial"/>
          <w:snapToGrid w:val="0"/>
          <w:sz w:val="24"/>
          <w:szCs w:val="24"/>
        </w:rPr>
      </w:pPr>
    </w:p>
    <w:p w14:paraId="707CD84E" w14:textId="77777777" w:rsidR="00C93C49" w:rsidRPr="00C93C49" w:rsidRDefault="00C93C49" w:rsidP="00C93C49">
      <w:pPr>
        <w:widowControl w:val="0"/>
        <w:spacing w:after="0" w:line="20" w:lineRule="atLeast"/>
        <w:ind w:firstLine="720"/>
        <w:rPr>
          <w:rFonts w:ascii="Arial" w:eastAsia="Times New Roman" w:hAnsi="Arial" w:cs="Arial"/>
          <w:snapToGrid w:val="0"/>
          <w:sz w:val="24"/>
          <w:szCs w:val="20"/>
        </w:rPr>
      </w:pPr>
      <w:r w:rsidRPr="00C93C49">
        <w:rPr>
          <w:rFonts w:ascii="Arial" w:eastAsia="Times New Roman" w:hAnsi="Arial" w:cs="Arial"/>
          <w:snapToGrid w:val="0"/>
          <w:sz w:val="24"/>
          <w:szCs w:val="20"/>
        </w:rPr>
        <w:t xml:space="preserve">Outside the moratorium period, the </w:t>
      </w:r>
      <w:r w:rsidR="00DC3D9B">
        <w:rPr>
          <w:rFonts w:ascii="Arial" w:eastAsia="Times New Roman" w:hAnsi="Arial" w:cs="Arial"/>
          <w:snapToGrid w:val="0"/>
          <w:sz w:val="24"/>
          <w:szCs w:val="20"/>
        </w:rPr>
        <w:t>FE-PA companies</w:t>
      </w:r>
      <w:r w:rsidRPr="00C93C49">
        <w:rPr>
          <w:rFonts w:ascii="Arial" w:eastAsia="Times New Roman" w:hAnsi="Arial" w:cs="Arial"/>
          <w:snapToGrid w:val="0"/>
          <w:sz w:val="24"/>
          <w:szCs w:val="20"/>
        </w:rPr>
        <w:t xml:space="preserve"> emphasize collection for all accounts, including those classified as low-income.  During the moratorium period, the focus shifts to delinquent accounts that are not reported as low-income and accounts without household income information because they have not responded to attempts to obtain household income</w:t>
      </w:r>
      <w:r w:rsidR="00FB756A">
        <w:rPr>
          <w:rFonts w:ascii="Arial" w:eastAsia="Times New Roman" w:hAnsi="Arial" w:cs="Arial"/>
          <w:snapToGrid w:val="0"/>
          <w:sz w:val="24"/>
          <w:szCs w:val="20"/>
        </w:rPr>
        <w:t xml:space="preserve"> data</w:t>
      </w:r>
      <w:r w:rsidRPr="00C93C49">
        <w:rPr>
          <w:rFonts w:ascii="Arial" w:eastAsia="Times New Roman" w:hAnsi="Arial" w:cs="Arial"/>
          <w:snapToGrid w:val="0"/>
          <w:sz w:val="24"/>
          <w:szCs w:val="20"/>
        </w:rPr>
        <w:t xml:space="preserve">.  Lastly, the </w:t>
      </w:r>
      <w:r w:rsidR="00DC3D9B">
        <w:rPr>
          <w:rFonts w:ascii="Arial" w:eastAsia="Times New Roman" w:hAnsi="Arial" w:cs="Arial"/>
          <w:snapToGrid w:val="0"/>
          <w:sz w:val="24"/>
          <w:szCs w:val="20"/>
        </w:rPr>
        <w:t>FE-PA companies</w:t>
      </w:r>
      <w:r w:rsidRPr="00C93C49">
        <w:rPr>
          <w:rFonts w:ascii="Arial" w:eastAsia="Times New Roman" w:hAnsi="Arial" w:cs="Arial"/>
          <w:snapToGrid w:val="0"/>
          <w:sz w:val="24"/>
          <w:szCs w:val="20"/>
        </w:rPr>
        <w:t xml:space="preserve"> partnered with a third-party vendor for outbound dialing services and continue to have success contacting customers for collection activity.</w:t>
      </w:r>
    </w:p>
    <w:p w14:paraId="008316B6" w14:textId="77777777" w:rsidR="00C93C49" w:rsidRPr="00C93C49" w:rsidRDefault="00C93C49" w:rsidP="00C93C49">
      <w:pPr>
        <w:spacing w:after="0" w:line="20" w:lineRule="atLeast"/>
        <w:rPr>
          <w:rFonts w:ascii="Arial" w:eastAsia="Times New Roman" w:hAnsi="Arial" w:cs="Arial"/>
          <w:snapToGrid w:val="0"/>
          <w:sz w:val="24"/>
          <w:szCs w:val="20"/>
        </w:rPr>
      </w:pPr>
    </w:p>
    <w:p w14:paraId="400AE6A9" w14:textId="77777777" w:rsidR="00C93C49" w:rsidRDefault="00C93C49" w:rsidP="00C93C49">
      <w:pPr>
        <w:widowControl w:val="0"/>
        <w:spacing w:after="0" w:line="20" w:lineRule="atLeast"/>
        <w:ind w:firstLine="720"/>
        <w:rPr>
          <w:rFonts w:ascii="Arial" w:eastAsia="Times New Roman" w:hAnsi="Arial" w:cs="Arial"/>
          <w:snapToGrid w:val="0"/>
          <w:sz w:val="24"/>
          <w:szCs w:val="20"/>
        </w:rPr>
      </w:pPr>
      <w:r w:rsidRPr="00C93C49">
        <w:rPr>
          <w:rFonts w:ascii="Arial" w:eastAsia="Times New Roman" w:hAnsi="Arial" w:cs="Arial"/>
          <w:snapToGrid w:val="0"/>
          <w:sz w:val="24"/>
          <w:szCs w:val="20"/>
        </w:rPr>
        <w:t xml:space="preserve">As shown in Exhibits X-18 through X-20, the </w:t>
      </w:r>
      <w:r w:rsidR="00DC3D9B">
        <w:rPr>
          <w:rFonts w:ascii="Arial" w:eastAsia="Times New Roman" w:hAnsi="Arial" w:cs="Arial"/>
          <w:snapToGrid w:val="0"/>
          <w:sz w:val="24"/>
          <w:szCs w:val="20"/>
        </w:rPr>
        <w:t>FE-PA companies</w:t>
      </w:r>
      <w:r w:rsidRPr="00C93C49">
        <w:rPr>
          <w:rFonts w:ascii="Arial" w:eastAsia="Times New Roman" w:hAnsi="Arial" w:cs="Arial"/>
          <w:snapToGrid w:val="0"/>
          <w:sz w:val="24"/>
          <w:szCs w:val="20"/>
        </w:rPr>
        <w:t>’ outside collection agency performance has been low from 2014 through 2017</w:t>
      </w:r>
      <w:r w:rsidR="00624089">
        <w:rPr>
          <w:rFonts w:ascii="Arial" w:eastAsia="Times New Roman" w:hAnsi="Arial" w:cs="Arial"/>
          <w:snapToGrid w:val="0"/>
          <w:sz w:val="24"/>
          <w:szCs w:val="20"/>
        </w:rPr>
        <w:t xml:space="preserve"> when compared to the </w:t>
      </w:r>
      <w:r w:rsidR="00493122">
        <w:rPr>
          <w:rFonts w:ascii="Arial" w:eastAsia="Times New Roman" w:hAnsi="Arial" w:cs="Arial"/>
          <w:snapToGrid w:val="0"/>
          <w:sz w:val="24"/>
          <w:szCs w:val="20"/>
        </w:rPr>
        <w:t xml:space="preserve">gross </w:t>
      </w:r>
      <w:r w:rsidR="00624089">
        <w:rPr>
          <w:rFonts w:ascii="Arial" w:eastAsia="Times New Roman" w:hAnsi="Arial" w:cs="Arial"/>
          <w:snapToGrid w:val="0"/>
          <w:sz w:val="24"/>
          <w:szCs w:val="20"/>
        </w:rPr>
        <w:t>collection goals</w:t>
      </w:r>
      <w:r w:rsidRPr="00C93C49">
        <w:rPr>
          <w:rFonts w:ascii="Arial" w:eastAsia="Times New Roman" w:hAnsi="Arial" w:cs="Arial"/>
          <w:snapToGrid w:val="0"/>
          <w:sz w:val="24"/>
          <w:szCs w:val="20"/>
        </w:rPr>
        <w:t>.  Secondary agency performance is expected to be lower due to their efforts being later in the collection process, but final bill and primary collection should be much higher.  FirstEnergy uses one collection agency for final bill</w:t>
      </w:r>
      <w:r w:rsidR="00624089">
        <w:rPr>
          <w:rFonts w:ascii="Arial" w:eastAsia="Times New Roman" w:hAnsi="Arial" w:cs="Arial"/>
          <w:snapToGrid w:val="0"/>
          <w:sz w:val="24"/>
          <w:szCs w:val="20"/>
        </w:rPr>
        <w:t xml:space="preserve"> collections</w:t>
      </w:r>
      <w:r w:rsidRPr="00C93C49">
        <w:rPr>
          <w:rFonts w:ascii="Arial" w:eastAsia="Times New Roman" w:hAnsi="Arial" w:cs="Arial"/>
          <w:snapToGrid w:val="0"/>
          <w:sz w:val="24"/>
          <w:szCs w:val="20"/>
        </w:rPr>
        <w:t>, two collection agencies for primary</w:t>
      </w:r>
      <w:r w:rsidR="00624089">
        <w:rPr>
          <w:rFonts w:ascii="Arial" w:eastAsia="Times New Roman" w:hAnsi="Arial" w:cs="Arial"/>
          <w:snapToGrid w:val="0"/>
          <w:sz w:val="24"/>
          <w:szCs w:val="20"/>
        </w:rPr>
        <w:t xml:space="preserve"> collections</w:t>
      </w:r>
      <w:r w:rsidRPr="00C93C49">
        <w:rPr>
          <w:rFonts w:ascii="Arial" w:eastAsia="Times New Roman" w:hAnsi="Arial" w:cs="Arial"/>
          <w:snapToGrid w:val="0"/>
          <w:sz w:val="24"/>
          <w:szCs w:val="20"/>
        </w:rPr>
        <w:t>, and two collection agencies for secondary</w:t>
      </w:r>
      <w:r w:rsidR="00624089">
        <w:rPr>
          <w:rFonts w:ascii="Arial" w:eastAsia="Times New Roman" w:hAnsi="Arial" w:cs="Arial"/>
          <w:snapToGrid w:val="0"/>
          <w:sz w:val="24"/>
          <w:szCs w:val="20"/>
        </w:rPr>
        <w:t xml:space="preserve"> collections</w:t>
      </w:r>
      <w:r w:rsidRPr="00C93C49">
        <w:rPr>
          <w:rFonts w:ascii="Arial" w:eastAsia="Times New Roman" w:hAnsi="Arial" w:cs="Arial"/>
          <w:snapToGrid w:val="0"/>
          <w:sz w:val="24"/>
          <w:szCs w:val="20"/>
        </w:rPr>
        <w:t xml:space="preserve">.  </w:t>
      </w:r>
    </w:p>
    <w:p w14:paraId="7D3FB11E" w14:textId="77777777" w:rsidR="00FB756A" w:rsidRDefault="00FB756A" w:rsidP="00C93C49">
      <w:pPr>
        <w:widowControl w:val="0"/>
        <w:spacing w:after="0" w:line="20" w:lineRule="atLeast"/>
        <w:ind w:firstLine="720"/>
        <w:rPr>
          <w:rFonts w:ascii="Arial" w:eastAsia="Times New Roman" w:hAnsi="Arial" w:cs="Arial"/>
          <w:snapToGrid w:val="0"/>
          <w:sz w:val="24"/>
          <w:szCs w:val="20"/>
        </w:rPr>
      </w:pPr>
    </w:p>
    <w:p w14:paraId="0F7ABB65" w14:textId="77777777" w:rsidR="00FB756A" w:rsidRDefault="00FB756A" w:rsidP="00C93C49">
      <w:pPr>
        <w:widowControl w:val="0"/>
        <w:spacing w:after="0" w:line="20" w:lineRule="atLeast"/>
        <w:ind w:firstLine="720"/>
        <w:rPr>
          <w:rFonts w:ascii="Arial" w:eastAsia="Times New Roman" w:hAnsi="Arial" w:cs="Arial"/>
          <w:snapToGrid w:val="0"/>
          <w:sz w:val="24"/>
          <w:szCs w:val="20"/>
        </w:rPr>
      </w:pPr>
    </w:p>
    <w:p w14:paraId="7273CFF4" w14:textId="77777777" w:rsidR="00C63B7F" w:rsidRDefault="00C63B7F">
      <w:pPr>
        <w:rPr>
          <w:rFonts w:ascii="Arial" w:eastAsia="Times New Roman" w:hAnsi="Arial" w:cs="Arial"/>
          <w:snapToGrid w:val="0"/>
          <w:sz w:val="24"/>
          <w:szCs w:val="20"/>
        </w:rPr>
      </w:pPr>
      <w:r>
        <w:rPr>
          <w:rFonts w:ascii="Arial" w:eastAsia="Times New Roman" w:hAnsi="Arial" w:cs="Arial"/>
          <w:snapToGrid w:val="0"/>
          <w:sz w:val="24"/>
          <w:szCs w:val="20"/>
        </w:rPr>
        <w:br w:type="page"/>
      </w:r>
    </w:p>
    <w:p w14:paraId="5FFDC1AB" w14:textId="77777777" w:rsidR="00C93C49" w:rsidRPr="00C93C49" w:rsidRDefault="00C93C49" w:rsidP="00C93C49">
      <w:pPr>
        <w:widowControl w:val="0"/>
        <w:spacing w:after="0" w:line="20" w:lineRule="atLeast"/>
        <w:jc w:val="center"/>
        <w:rPr>
          <w:rFonts w:ascii="Arial" w:eastAsia="Times New Roman" w:hAnsi="Arial" w:cs="Arial"/>
          <w:b/>
          <w:sz w:val="24"/>
          <w:szCs w:val="20"/>
        </w:rPr>
      </w:pPr>
      <w:r w:rsidRPr="00C93C49">
        <w:rPr>
          <w:rFonts w:ascii="Arial" w:eastAsia="Times New Roman" w:hAnsi="Arial" w:cs="Arial"/>
          <w:b/>
          <w:snapToGrid w:val="0"/>
          <w:sz w:val="24"/>
          <w:szCs w:val="20"/>
        </w:rPr>
        <w:t xml:space="preserve">Exhibit X – 18 </w:t>
      </w:r>
    </w:p>
    <w:p w14:paraId="24FBAB0B"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0"/>
        </w:rPr>
      </w:pPr>
      <w:r w:rsidRPr="00C93C49">
        <w:rPr>
          <w:rFonts w:ascii="Arial" w:eastAsia="Calibri" w:hAnsi="Arial" w:cs="Arial"/>
          <w:b/>
          <w:sz w:val="24"/>
          <w:szCs w:val="24"/>
        </w:rPr>
        <w:t>FirstEnergy Pennsylvania Companies</w:t>
      </w:r>
      <w:r w:rsidRPr="00C93C49">
        <w:rPr>
          <w:rFonts w:ascii="Arial" w:eastAsia="Times New Roman" w:hAnsi="Arial" w:cs="Arial"/>
          <w:b/>
          <w:snapToGrid w:val="0"/>
          <w:sz w:val="24"/>
          <w:szCs w:val="20"/>
        </w:rPr>
        <w:t xml:space="preserve"> </w:t>
      </w:r>
    </w:p>
    <w:p w14:paraId="65DD8A61"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Final Bill Collection Performance</w:t>
      </w:r>
    </w:p>
    <w:p w14:paraId="7F128CB7" w14:textId="77777777" w:rsidR="00C93C49" w:rsidRPr="00C93C49" w:rsidRDefault="00C93C49" w:rsidP="00C93C49">
      <w:pPr>
        <w:widowControl w:val="0"/>
        <w:tabs>
          <w:tab w:val="center" w:pos="4680"/>
          <w:tab w:val="left" w:pos="7260"/>
        </w:tabs>
        <w:spacing w:after="0" w:line="20" w:lineRule="atLeast"/>
        <w:rPr>
          <w:rFonts w:ascii="Arial" w:eastAsia="Times New Roman" w:hAnsi="Arial" w:cs="Arial"/>
          <w:b/>
          <w:snapToGrid w:val="0"/>
          <w:sz w:val="24"/>
          <w:szCs w:val="20"/>
        </w:rPr>
      </w:pPr>
      <w:r w:rsidRPr="00C93C49">
        <w:rPr>
          <w:rFonts w:ascii="Arial" w:eastAsia="Times New Roman" w:hAnsi="Arial" w:cs="Arial"/>
          <w:b/>
          <w:snapToGrid w:val="0"/>
          <w:sz w:val="24"/>
          <w:szCs w:val="20"/>
        </w:rPr>
        <w:tab/>
        <w:t>For the Period 2014 through 2017</w:t>
      </w:r>
    </w:p>
    <w:p w14:paraId="05AD54C0" w14:textId="77777777" w:rsidR="00C93C49" w:rsidRPr="00C93C49" w:rsidRDefault="00C93C49" w:rsidP="00C93C49">
      <w:pPr>
        <w:widowControl w:val="0"/>
        <w:tabs>
          <w:tab w:val="center" w:pos="4680"/>
          <w:tab w:val="left" w:pos="7260"/>
        </w:tabs>
        <w:spacing w:after="0" w:line="20" w:lineRule="atLeast"/>
        <w:rPr>
          <w:rFonts w:ascii="Arial" w:eastAsia="Times New Roman" w:hAnsi="Arial" w:cs="Arial"/>
          <w:b/>
          <w:snapToGrid w:val="0"/>
          <w:sz w:val="24"/>
          <w:szCs w:val="20"/>
        </w:rPr>
      </w:pPr>
    </w:p>
    <w:tbl>
      <w:tblPr>
        <w:tblW w:w="8748" w:type="dxa"/>
        <w:jc w:val="center"/>
        <w:tblLook w:val="04A0" w:firstRow="1" w:lastRow="0" w:firstColumn="1" w:lastColumn="0" w:noHBand="0" w:noVBand="1"/>
      </w:tblPr>
      <w:tblGrid>
        <w:gridCol w:w="2035"/>
        <w:gridCol w:w="1329"/>
        <w:gridCol w:w="1305"/>
        <w:gridCol w:w="1440"/>
        <w:gridCol w:w="1284"/>
        <w:gridCol w:w="1355"/>
      </w:tblGrid>
      <w:tr w:rsidR="00C93C49" w:rsidRPr="00C93C49" w14:paraId="61635DAD" w14:textId="77777777" w:rsidTr="00347614">
        <w:trPr>
          <w:trHeight w:val="254"/>
          <w:jc w:val="center"/>
        </w:trPr>
        <w:tc>
          <w:tcPr>
            <w:tcW w:w="2035" w:type="dxa"/>
            <w:tcBorders>
              <w:top w:val="single" w:sz="8" w:space="0" w:color="auto"/>
              <w:left w:val="single" w:sz="8" w:space="0" w:color="auto"/>
              <w:bottom w:val="single" w:sz="8" w:space="0" w:color="auto"/>
              <w:right w:val="single" w:sz="8" w:space="0" w:color="auto"/>
            </w:tcBorders>
            <w:shd w:val="clear" w:color="auto" w:fill="auto"/>
            <w:noWrap/>
            <w:hideMark/>
          </w:tcPr>
          <w:p w14:paraId="6598FE6C" w14:textId="77777777" w:rsidR="00C93C49" w:rsidRPr="00C93C49" w:rsidRDefault="00C93C49" w:rsidP="00C93C49">
            <w:pPr>
              <w:spacing w:after="0" w:line="240" w:lineRule="auto"/>
              <w:rPr>
                <w:rFonts w:ascii="Times New Roman" w:eastAsia="Times New Roman" w:hAnsi="Times New Roman" w:cs="Times New Roman"/>
                <w:color w:val="000000"/>
                <w:sz w:val="20"/>
                <w:szCs w:val="20"/>
              </w:rPr>
            </w:pPr>
            <w:r w:rsidRPr="00C93C49">
              <w:rPr>
                <w:rFonts w:ascii="Times New Roman" w:eastAsia="Times New Roman" w:hAnsi="Times New Roman" w:cs="Times New Roman"/>
                <w:color w:val="000000"/>
                <w:sz w:val="20"/>
                <w:szCs w:val="20"/>
              </w:rPr>
              <w:t> </w:t>
            </w:r>
          </w:p>
        </w:tc>
        <w:tc>
          <w:tcPr>
            <w:tcW w:w="1329" w:type="dxa"/>
            <w:tcBorders>
              <w:top w:val="single" w:sz="8" w:space="0" w:color="auto"/>
              <w:left w:val="nil"/>
              <w:bottom w:val="single" w:sz="8" w:space="0" w:color="auto"/>
              <w:right w:val="single" w:sz="8" w:space="0" w:color="auto"/>
            </w:tcBorders>
            <w:shd w:val="clear" w:color="auto" w:fill="auto"/>
            <w:noWrap/>
            <w:vAlign w:val="bottom"/>
            <w:hideMark/>
          </w:tcPr>
          <w:p w14:paraId="396569AC" w14:textId="77777777" w:rsidR="00C93C49" w:rsidRPr="00C93C49" w:rsidRDefault="00C93C49" w:rsidP="00C93C49">
            <w:pPr>
              <w:spacing w:after="0" w:line="240" w:lineRule="auto"/>
              <w:jc w:val="center"/>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Placements</w:t>
            </w:r>
          </w:p>
        </w:tc>
        <w:tc>
          <w:tcPr>
            <w:tcW w:w="1305" w:type="dxa"/>
            <w:tcBorders>
              <w:top w:val="single" w:sz="8" w:space="0" w:color="auto"/>
              <w:left w:val="nil"/>
              <w:bottom w:val="single" w:sz="8" w:space="0" w:color="auto"/>
              <w:right w:val="single" w:sz="8" w:space="0" w:color="auto"/>
            </w:tcBorders>
            <w:shd w:val="clear" w:color="auto" w:fill="auto"/>
            <w:noWrap/>
            <w:vAlign w:val="bottom"/>
            <w:hideMark/>
          </w:tcPr>
          <w:p w14:paraId="0293CFAB" w14:textId="77777777" w:rsidR="00C93C49" w:rsidRPr="00C93C49" w:rsidRDefault="00C93C49" w:rsidP="00C93C49">
            <w:pPr>
              <w:spacing w:after="0" w:line="240" w:lineRule="auto"/>
              <w:jc w:val="center"/>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Gross Recoveries</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14:paraId="7B9280F9" w14:textId="77777777" w:rsidR="00C93C49" w:rsidRPr="00C93C49" w:rsidRDefault="00C93C49" w:rsidP="00C93C49">
            <w:pPr>
              <w:spacing w:after="0" w:line="240" w:lineRule="auto"/>
              <w:jc w:val="center"/>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Gross Recovery %</w:t>
            </w:r>
          </w:p>
        </w:tc>
        <w:tc>
          <w:tcPr>
            <w:tcW w:w="1284" w:type="dxa"/>
            <w:tcBorders>
              <w:top w:val="single" w:sz="8" w:space="0" w:color="auto"/>
              <w:left w:val="nil"/>
              <w:bottom w:val="single" w:sz="8" w:space="0" w:color="auto"/>
              <w:right w:val="single" w:sz="8" w:space="0" w:color="auto"/>
            </w:tcBorders>
            <w:shd w:val="clear" w:color="auto" w:fill="auto"/>
            <w:noWrap/>
            <w:vAlign w:val="bottom"/>
            <w:hideMark/>
          </w:tcPr>
          <w:p w14:paraId="3E6AD6F5" w14:textId="77777777" w:rsidR="00C93C49" w:rsidRPr="00C93C49" w:rsidRDefault="00C93C49" w:rsidP="00C93C49">
            <w:pPr>
              <w:spacing w:after="0" w:line="240" w:lineRule="auto"/>
              <w:jc w:val="center"/>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Net Recoveries</w:t>
            </w:r>
          </w:p>
        </w:tc>
        <w:tc>
          <w:tcPr>
            <w:tcW w:w="1355" w:type="dxa"/>
            <w:tcBorders>
              <w:top w:val="single" w:sz="8" w:space="0" w:color="auto"/>
              <w:left w:val="nil"/>
              <w:bottom w:val="single" w:sz="8" w:space="0" w:color="auto"/>
              <w:right w:val="single" w:sz="8" w:space="0" w:color="auto"/>
            </w:tcBorders>
            <w:shd w:val="clear" w:color="auto" w:fill="auto"/>
            <w:noWrap/>
            <w:vAlign w:val="bottom"/>
            <w:hideMark/>
          </w:tcPr>
          <w:p w14:paraId="23C54135" w14:textId="77777777" w:rsidR="00C93C49" w:rsidRPr="00C93C49" w:rsidRDefault="00C93C49" w:rsidP="00C93C49">
            <w:pPr>
              <w:spacing w:after="0" w:line="240" w:lineRule="auto"/>
              <w:jc w:val="center"/>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Net Recovery %</w:t>
            </w:r>
          </w:p>
        </w:tc>
      </w:tr>
      <w:tr w:rsidR="00C93C49" w:rsidRPr="00C93C49" w14:paraId="2A008B45" w14:textId="77777777" w:rsidTr="00347614">
        <w:trPr>
          <w:trHeight w:val="254"/>
          <w:jc w:val="center"/>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14:paraId="3C0DA45E" w14:textId="77777777" w:rsidR="00C93C49" w:rsidRPr="00C93C49" w:rsidRDefault="00C93C49" w:rsidP="00C93C49">
            <w:pPr>
              <w:spacing w:after="0" w:line="240" w:lineRule="auto"/>
              <w:jc w:val="center"/>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FE-PA Companies</w:t>
            </w:r>
          </w:p>
        </w:tc>
        <w:tc>
          <w:tcPr>
            <w:tcW w:w="1329" w:type="dxa"/>
            <w:tcBorders>
              <w:top w:val="nil"/>
              <w:left w:val="nil"/>
              <w:bottom w:val="single" w:sz="8" w:space="0" w:color="auto"/>
              <w:right w:val="single" w:sz="8" w:space="0" w:color="auto"/>
            </w:tcBorders>
            <w:shd w:val="clear" w:color="auto" w:fill="auto"/>
            <w:noWrap/>
            <w:hideMark/>
          </w:tcPr>
          <w:p w14:paraId="726780EA" w14:textId="77777777" w:rsidR="00C93C49" w:rsidRPr="00C93C49" w:rsidRDefault="00C93C49" w:rsidP="00C93C49">
            <w:pPr>
              <w:spacing w:after="0" w:line="240" w:lineRule="auto"/>
              <w:rPr>
                <w:rFonts w:ascii="Times New Roman" w:eastAsia="Times New Roman" w:hAnsi="Times New Roman" w:cs="Times New Roman"/>
                <w:color w:val="000000"/>
                <w:sz w:val="20"/>
                <w:szCs w:val="20"/>
              </w:rPr>
            </w:pPr>
            <w:r w:rsidRPr="00C93C49">
              <w:rPr>
                <w:rFonts w:ascii="Times New Roman" w:eastAsia="Times New Roman" w:hAnsi="Times New Roman" w:cs="Times New Roman"/>
                <w:color w:val="000000"/>
                <w:sz w:val="20"/>
                <w:szCs w:val="20"/>
              </w:rPr>
              <w:t> </w:t>
            </w:r>
          </w:p>
        </w:tc>
        <w:tc>
          <w:tcPr>
            <w:tcW w:w="1305" w:type="dxa"/>
            <w:tcBorders>
              <w:top w:val="nil"/>
              <w:left w:val="nil"/>
              <w:bottom w:val="single" w:sz="8" w:space="0" w:color="auto"/>
              <w:right w:val="single" w:sz="8" w:space="0" w:color="auto"/>
            </w:tcBorders>
            <w:shd w:val="clear" w:color="auto" w:fill="auto"/>
            <w:noWrap/>
            <w:hideMark/>
          </w:tcPr>
          <w:p w14:paraId="07C977E3" w14:textId="77777777" w:rsidR="00C93C49" w:rsidRPr="00C93C49" w:rsidRDefault="00C93C49" w:rsidP="00C93C49">
            <w:pPr>
              <w:spacing w:after="0" w:line="240" w:lineRule="auto"/>
              <w:rPr>
                <w:rFonts w:ascii="Times New Roman" w:eastAsia="Times New Roman" w:hAnsi="Times New Roman" w:cs="Times New Roman"/>
                <w:color w:val="000000"/>
                <w:sz w:val="20"/>
                <w:szCs w:val="20"/>
              </w:rPr>
            </w:pPr>
            <w:r w:rsidRPr="00C93C49">
              <w:rPr>
                <w:rFonts w:ascii="Times New Roman" w:eastAsia="Times New Roman" w:hAnsi="Times New Roman" w:cs="Times New Roman"/>
                <w:color w:val="000000"/>
                <w:sz w:val="20"/>
                <w:szCs w:val="20"/>
              </w:rPr>
              <w:t> </w:t>
            </w:r>
          </w:p>
        </w:tc>
        <w:tc>
          <w:tcPr>
            <w:tcW w:w="1440" w:type="dxa"/>
            <w:tcBorders>
              <w:top w:val="nil"/>
              <w:left w:val="nil"/>
              <w:bottom w:val="single" w:sz="8" w:space="0" w:color="auto"/>
              <w:right w:val="single" w:sz="8" w:space="0" w:color="auto"/>
            </w:tcBorders>
            <w:shd w:val="clear" w:color="auto" w:fill="auto"/>
            <w:noWrap/>
            <w:hideMark/>
          </w:tcPr>
          <w:p w14:paraId="57090213" w14:textId="77777777" w:rsidR="00C93C49" w:rsidRPr="00C93C49" w:rsidRDefault="00C93C49" w:rsidP="00C93C49">
            <w:pPr>
              <w:spacing w:after="0" w:line="240" w:lineRule="auto"/>
              <w:rPr>
                <w:rFonts w:ascii="Times New Roman" w:eastAsia="Times New Roman" w:hAnsi="Times New Roman" w:cs="Times New Roman"/>
                <w:color w:val="000000"/>
                <w:sz w:val="20"/>
                <w:szCs w:val="20"/>
              </w:rPr>
            </w:pPr>
            <w:r w:rsidRPr="00C93C49">
              <w:rPr>
                <w:rFonts w:ascii="Times New Roman" w:eastAsia="Times New Roman" w:hAnsi="Times New Roman" w:cs="Times New Roman"/>
                <w:color w:val="000000"/>
                <w:sz w:val="20"/>
                <w:szCs w:val="20"/>
              </w:rPr>
              <w:t> </w:t>
            </w:r>
          </w:p>
        </w:tc>
        <w:tc>
          <w:tcPr>
            <w:tcW w:w="1284" w:type="dxa"/>
            <w:tcBorders>
              <w:top w:val="nil"/>
              <w:left w:val="nil"/>
              <w:bottom w:val="single" w:sz="8" w:space="0" w:color="auto"/>
              <w:right w:val="single" w:sz="8" w:space="0" w:color="auto"/>
            </w:tcBorders>
            <w:shd w:val="clear" w:color="auto" w:fill="auto"/>
            <w:noWrap/>
            <w:hideMark/>
          </w:tcPr>
          <w:p w14:paraId="0FA17F1A" w14:textId="77777777" w:rsidR="00C93C49" w:rsidRPr="00C93C49" w:rsidRDefault="00C93C49" w:rsidP="00C93C49">
            <w:pPr>
              <w:spacing w:after="0" w:line="240" w:lineRule="auto"/>
              <w:rPr>
                <w:rFonts w:ascii="Times New Roman" w:eastAsia="Times New Roman" w:hAnsi="Times New Roman" w:cs="Times New Roman"/>
                <w:color w:val="000000"/>
                <w:sz w:val="20"/>
                <w:szCs w:val="20"/>
              </w:rPr>
            </w:pPr>
            <w:r w:rsidRPr="00C93C49">
              <w:rPr>
                <w:rFonts w:ascii="Times New Roman" w:eastAsia="Times New Roman" w:hAnsi="Times New Roman" w:cs="Times New Roman"/>
                <w:color w:val="000000"/>
                <w:sz w:val="20"/>
                <w:szCs w:val="20"/>
              </w:rPr>
              <w:t> </w:t>
            </w:r>
          </w:p>
        </w:tc>
        <w:tc>
          <w:tcPr>
            <w:tcW w:w="1355" w:type="dxa"/>
            <w:tcBorders>
              <w:top w:val="nil"/>
              <w:left w:val="nil"/>
              <w:bottom w:val="single" w:sz="8" w:space="0" w:color="auto"/>
              <w:right w:val="single" w:sz="8" w:space="0" w:color="auto"/>
            </w:tcBorders>
            <w:shd w:val="clear" w:color="auto" w:fill="auto"/>
            <w:noWrap/>
            <w:hideMark/>
          </w:tcPr>
          <w:p w14:paraId="4195C703" w14:textId="77777777" w:rsidR="00C93C49" w:rsidRPr="00C93C49" w:rsidRDefault="00C93C49" w:rsidP="00C93C49">
            <w:pPr>
              <w:spacing w:after="0" w:line="240" w:lineRule="auto"/>
              <w:rPr>
                <w:rFonts w:ascii="Times New Roman" w:eastAsia="Times New Roman" w:hAnsi="Times New Roman" w:cs="Times New Roman"/>
                <w:color w:val="000000"/>
                <w:sz w:val="20"/>
                <w:szCs w:val="20"/>
              </w:rPr>
            </w:pPr>
            <w:r w:rsidRPr="00C93C49">
              <w:rPr>
                <w:rFonts w:ascii="Times New Roman" w:eastAsia="Times New Roman" w:hAnsi="Times New Roman" w:cs="Times New Roman"/>
                <w:color w:val="000000"/>
                <w:sz w:val="20"/>
                <w:szCs w:val="20"/>
              </w:rPr>
              <w:t> </w:t>
            </w:r>
          </w:p>
        </w:tc>
      </w:tr>
      <w:tr w:rsidR="00C93C49" w:rsidRPr="00C93C49" w14:paraId="05D23E22" w14:textId="77777777" w:rsidTr="00347614">
        <w:trPr>
          <w:trHeight w:val="254"/>
          <w:jc w:val="center"/>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14:paraId="71EB8CFC" w14:textId="77777777" w:rsidR="00C93C49" w:rsidRPr="00C93C49" w:rsidRDefault="00C93C49" w:rsidP="00C93C49">
            <w:pPr>
              <w:spacing w:after="0" w:line="240" w:lineRule="auto"/>
              <w:jc w:val="center"/>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2014</w:t>
            </w:r>
          </w:p>
        </w:tc>
        <w:tc>
          <w:tcPr>
            <w:tcW w:w="1329" w:type="dxa"/>
            <w:tcBorders>
              <w:top w:val="nil"/>
              <w:left w:val="nil"/>
              <w:bottom w:val="single" w:sz="8" w:space="0" w:color="auto"/>
              <w:right w:val="single" w:sz="8" w:space="0" w:color="auto"/>
            </w:tcBorders>
            <w:shd w:val="clear" w:color="auto" w:fill="auto"/>
            <w:noWrap/>
            <w:vAlign w:val="center"/>
            <w:hideMark/>
          </w:tcPr>
          <w:p w14:paraId="748CA537"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$51,329,839 </w:t>
            </w:r>
          </w:p>
        </w:tc>
        <w:tc>
          <w:tcPr>
            <w:tcW w:w="1305" w:type="dxa"/>
            <w:tcBorders>
              <w:top w:val="nil"/>
              <w:left w:val="nil"/>
              <w:bottom w:val="single" w:sz="8" w:space="0" w:color="auto"/>
              <w:right w:val="single" w:sz="8" w:space="0" w:color="auto"/>
            </w:tcBorders>
            <w:shd w:val="clear" w:color="auto" w:fill="auto"/>
            <w:noWrap/>
            <w:vAlign w:val="center"/>
            <w:hideMark/>
          </w:tcPr>
          <w:p w14:paraId="52AB30FB"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$1,655,696 </w:t>
            </w:r>
          </w:p>
        </w:tc>
        <w:tc>
          <w:tcPr>
            <w:tcW w:w="1440" w:type="dxa"/>
            <w:tcBorders>
              <w:top w:val="nil"/>
              <w:left w:val="nil"/>
              <w:bottom w:val="single" w:sz="8" w:space="0" w:color="auto"/>
              <w:right w:val="single" w:sz="8" w:space="0" w:color="auto"/>
            </w:tcBorders>
            <w:shd w:val="clear" w:color="auto" w:fill="auto"/>
            <w:noWrap/>
            <w:vAlign w:val="center"/>
            <w:hideMark/>
          </w:tcPr>
          <w:p w14:paraId="0C82ECB8"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3.23%</w:t>
            </w:r>
          </w:p>
        </w:tc>
        <w:tc>
          <w:tcPr>
            <w:tcW w:w="1284" w:type="dxa"/>
            <w:tcBorders>
              <w:top w:val="nil"/>
              <w:left w:val="nil"/>
              <w:bottom w:val="single" w:sz="8" w:space="0" w:color="auto"/>
              <w:right w:val="single" w:sz="8" w:space="0" w:color="auto"/>
            </w:tcBorders>
            <w:shd w:val="clear" w:color="auto" w:fill="auto"/>
            <w:noWrap/>
            <w:vAlign w:val="center"/>
            <w:hideMark/>
          </w:tcPr>
          <w:p w14:paraId="15C01907"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$1,523,240 </w:t>
            </w:r>
          </w:p>
        </w:tc>
        <w:tc>
          <w:tcPr>
            <w:tcW w:w="1355" w:type="dxa"/>
            <w:tcBorders>
              <w:top w:val="nil"/>
              <w:left w:val="nil"/>
              <w:bottom w:val="single" w:sz="8" w:space="0" w:color="auto"/>
              <w:right w:val="single" w:sz="8" w:space="0" w:color="auto"/>
            </w:tcBorders>
            <w:shd w:val="clear" w:color="auto" w:fill="auto"/>
            <w:noWrap/>
            <w:vAlign w:val="center"/>
            <w:hideMark/>
          </w:tcPr>
          <w:p w14:paraId="058CCE47"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2.97%</w:t>
            </w:r>
          </w:p>
        </w:tc>
      </w:tr>
      <w:tr w:rsidR="00C93C49" w:rsidRPr="00C93C49" w14:paraId="65AED980" w14:textId="77777777" w:rsidTr="00347614">
        <w:trPr>
          <w:trHeight w:val="254"/>
          <w:jc w:val="center"/>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14:paraId="6DA644A3" w14:textId="77777777" w:rsidR="00C93C49" w:rsidRPr="00C93C49" w:rsidRDefault="00C93C49" w:rsidP="00C93C49">
            <w:pPr>
              <w:spacing w:after="0" w:line="240" w:lineRule="auto"/>
              <w:jc w:val="center"/>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2015</w:t>
            </w:r>
          </w:p>
        </w:tc>
        <w:tc>
          <w:tcPr>
            <w:tcW w:w="1329" w:type="dxa"/>
            <w:tcBorders>
              <w:top w:val="nil"/>
              <w:left w:val="nil"/>
              <w:bottom w:val="single" w:sz="8" w:space="0" w:color="auto"/>
              <w:right w:val="single" w:sz="8" w:space="0" w:color="auto"/>
            </w:tcBorders>
            <w:shd w:val="clear" w:color="auto" w:fill="auto"/>
            <w:noWrap/>
            <w:vAlign w:val="center"/>
            <w:hideMark/>
          </w:tcPr>
          <w:p w14:paraId="1EA41A74"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$52,283,423 </w:t>
            </w:r>
          </w:p>
        </w:tc>
        <w:tc>
          <w:tcPr>
            <w:tcW w:w="1305" w:type="dxa"/>
            <w:tcBorders>
              <w:top w:val="nil"/>
              <w:left w:val="nil"/>
              <w:bottom w:val="single" w:sz="8" w:space="0" w:color="auto"/>
              <w:right w:val="single" w:sz="8" w:space="0" w:color="auto"/>
            </w:tcBorders>
            <w:shd w:val="clear" w:color="auto" w:fill="auto"/>
            <w:noWrap/>
            <w:vAlign w:val="center"/>
            <w:hideMark/>
          </w:tcPr>
          <w:p w14:paraId="189783B9"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$1,795,187 </w:t>
            </w:r>
          </w:p>
        </w:tc>
        <w:tc>
          <w:tcPr>
            <w:tcW w:w="1440" w:type="dxa"/>
            <w:tcBorders>
              <w:top w:val="nil"/>
              <w:left w:val="nil"/>
              <w:bottom w:val="single" w:sz="8" w:space="0" w:color="auto"/>
              <w:right w:val="single" w:sz="8" w:space="0" w:color="auto"/>
            </w:tcBorders>
            <w:shd w:val="clear" w:color="auto" w:fill="auto"/>
            <w:noWrap/>
            <w:vAlign w:val="center"/>
            <w:hideMark/>
          </w:tcPr>
          <w:p w14:paraId="07A510CD"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3.43%</w:t>
            </w:r>
          </w:p>
        </w:tc>
        <w:tc>
          <w:tcPr>
            <w:tcW w:w="1284" w:type="dxa"/>
            <w:tcBorders>
              <w:top w:val="nil"/>
              <w:left w:val="nil"/>
              <w:bottom w:val="single" w:sz="8" w:space="0" w:color="auto"/>
              <w:right w:val="single" w:sz="8" w:space="0" w:color="auto"/>
            </w:tcBorders>
            <w:shd w:val="clear" w:color="auto" w:fill="auto"/>
            <w:noWrap/>
            <w:vAlign w:val="center"/>
            <w:hideMark/>
          </w:tcPr>
          <w:p w14:paraId="62822B9D"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$1,651,572 </w:t>
            </w:r>
          </w:p>
        </w:tc>
        <w:tc>
          <w:tcPr>
            <w:tcW w:w="1355" w:type="dxa"/>
            <w:tcBorders>
              <w:top w:val="nil"/>
              <w:left w:val="nil"/>
              <w:bottom w:val="single" w:sz="8" w:space="0" w:color="auto"/>
              <w:right w:val="single" w:sz="8" w:space="0" w:color="auto"/>
            </w:tcBorders>
            <w:shd w:val="clear" w:color="auto" w:fill="auto"/>
            <w:noWrap/>
            <w:vAlign w:val="center"/>
            <w:hideMark/>
          </w:tcPr>
          <w:p w14:paraId="36D00725"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3.16%</w:t>
            </w:r>
          </w:p>
        </w:tc>
      </w:tr>
      <w:tr w:rsidR="00C93C49" w:rsidRPr="00C93C49" w14:paraId="3D739A0F" w14:textId="77777777" w:rsidTr="00347614">
        <w:trPr>
          <w:trHeight w:val="254"/>
          <w:jc w:val="center"/>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14:paraId="7FDAF324" w14:textId="77777777" w:rsidR="00C93C49" w:rsidRPr="00C93C49" w:rsidRDefault="00C93C49" w:rsidP="00C93C49">
            <w:pPr>
              <w:spacing w:after="0" w:line="240" w:lineRule="auto"/>
              <w:jc w:val="center"/>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2016</w:t>
            </w:r>
          </w:p>
        </w:tc>
        <w:tc>
          <w:tcPr>
            <w:tcW w:w="1329" w:type="dxa"/>
            <w:tcBorders>
              <w:top w:val="nil"/>
              <w:left w:val="nil"/>
              <w:bottom w:val="single" w:sz="8" w:space="0" w:color="auto"/>
              <w:right w:val="single" w:sz="8" w:space="0" w:color="auto"/>
            </w:tcBorders>
            <w:shd w:val="clear" w:color="auto" w:fill="auto"/>
            <w:noWrap/>
            <w:vAlign w:val="center"/>
            <w:hideMark/>
          </w:tcPr>
          <w:p w14:paraId="0DAE9EA6"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$52,729,040 </w:t>
            </w:r>
          </w:p>
        </w:tc>
        <w:tc>
          <w:tcPr>
            <w:tcW w:w="1305" w:type="dxa"/>
            <w:tcBorders>
              <w:top w:val="nil"/>
              <w:left w:val="nil"/>
              <w:bottom w:val="single" w:sz="8" w:space="0" w:color="auto"/>
              <w:right w:val="single" w:sz="8" w:space="0" w:color="auto"/>
            </w:tcBorders>
            <w:shd w:val="clear" w:color="auto" w:fill="auto"/>
            <w:noWrap/>
            <w:vAlign w:val="center"/>
            <w:hideMark/>
          </w:tcPr>
          <w:p w14:paraId="7F08EF70"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$1,918,000 </w:t>
            </w:r>
          </w:p>
        </w:tc>
        <w:tc>
          <w:tcPr>
            <w:tcW w:w="1440" w:type="dxa"/>
            <w:tcBorders>
              <w:top w:val="nil"/>
              <w:left w:val="nil"/>
              <w:bottom w:val="single" w:sz="8" w:space="0" w:color="auto"/>
              <w:right w:val="single" w:sz="8" w:space="0" w:color="auto"/>
            </w:tcBorders>
            <w:shd w:val="clear" w:color="auto" w:fill="auto"/>
            <w:noWrap/>
            <w:vAlign w:val="center"/>
            <w:hideMark/>
          </w:tcPr>
          <w:p w14:paraId="14D6912E"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3.64%</w:t>
            </w:r>
          </w:p>
        </w:tc>
        <w:tc>
          <w:tcPr>
            <w:tcW w:w="1284" w:type="dxa"/>
            <w:tcBorders>
              <w:top w:val="nil"/>
              <w:left w:val="nil"/>
              <w:bottom w:val="single" w:sz="8" w:space="0" w:color="auto"/>
              <w:right w:val="single" w:sz="8" w:space="0" w:color="auto"/>
            </w:tcBorders>
            <w:shd w:val="clear" w:color="auto" w:fill="auto"/>
            <w:noWrap/>
            <w:vAlign w:val="center"/>
            <w:hideMark/>
          </w:tcPr>
          <w:p w14:paraId="068C3DFF"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$1,764,560 </w:t>
            </w:r>
          </w:p>
        </w:tc>
        <w:tc>
          <w:tcPr>
            <w:tcW w:w="1355" w:type="dxa"/>
            <w:tcBorders>
              <w:top w:val="nil"/>
              <w:left w:val="nil"/>
              <w:bottom w:val="single" w:sz="8" w:space="0" w:color="auto"/>
              <w:right w:val="single" w:sz="8" w:space="0" w:color="auto"/>
            </w:tcBorders>
            <w:shd w:val="clear" w:color="auto" w:fill="auto"/>
            <w:noWrap/>
            <w:vAlign w:val="center"/>
            <w:hideMark/>
          </w:tcPr>
          <w:p w14:paraId="4D332086"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3.35%</w:t>
            </w:r>
          </w:p>
        </w:tc>
      </w:tr>
      <w:tr w:rsidR="00C93C49" w:rsidRPr="00C93C49" w14:paraId="467BD6A5" w14:textId="77777777" w:rsidTr="00347614">
        <w:trPr>
          <w:trHeight w:val="254"/>
          <w:jc w:val="center"/>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14:paraId="16EA0213" w14:textId="77777777" w:rsidR="00C93C49" w:rsidRPr="00C93C49" w:rsidRDefault="00C93C49" w:rsidP="00C93C49">
            <w:pPr>
              <w:spacing w:after="0" w:line="240" w:lineRule="auto"/>
              <w:jc w:val="center"/>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2017</w:t>
            </w:r>
          </w:p>
        </w:tc>
        <w:tc>
          <w:tcPr>
            <w:tcW w:w="1329" w:type="dxa"/>
            <w:tcBorders>
              <w:top w:val="nil"/>
              <w:left w:val="nil"/>
              <w:bottom w:val="single" w:sz="8" w:space="0" w:color="auto"/>
              <w:right w:val="single" w:sz="8" w:space="0" w:color="auto"/>
            </w:tcBorders>
            <w:shd w:val="clear" w:color="auto" w:fill="auto"/>
            <w:noWrap/>
            <w:vAlign w:val="center"/>
            <w:hideMark/>
          </w:tcPr>
          <w:p w14:paraId="2A5E5777"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$53,466,025 </w:t>
            </w:r>
          </w:p>
        </w:tc>
        <w:tc>
          <w:tcPr>
            <w:tcW w:w="1305" w:type="dxa"/>
            <w:tcBorders>
              <w:top w:val="nil"/>
              <w:left w:val="nil"/>
              <w:bottom w:val="single" w:sz="8" w:space="0" w:color="auto"/>
              <w:right w:val="single" w:sz="8" w:space="0" w:color="auto"/>
            </w:tcBorders>
            <w:shd w:val="clear" w:color="auto" w:fill="auto"/>
            <w:noWrap/>
            <w:vAlign w:val="center"/>
            <w:hideMark/>
          </w:tcPr>
          <w:p w14:paraId="004E2B6E"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$1,759,697 </w:t>
            </w:r>
          </w:p>
        </w:tc>
        <w:tc>
          <w:tcPr>
            <w:tcW w:w="1440" w:type="dxa"/>
            <w:tcBorders>
              <w:top w:val="nil"/>
              <w:left w:val="nil"/>
              <w:bottom w:val="single" w:sz="8" w:space="0" w:color="auto"/>
              <w:right w:val="single" w:sz="8" w:space="0" w:color="auto"/>
            </w:tcBorders>
            <w:shd w:val="clear" w:color="auto" w:fill="auto"/>
            <w:noWrap/>
            <w:vAlign w:val="center"/>
            <w:hideMark/>
          </w:tcPr>
          <w:p w14:paraId="51E4BB1B"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3.29%</w:t>
            </w:r>
          </w:p>
        </w:tc>
        <w:tc>
          <w:tcPr>
            <w:tcW w:w="1284" w:type="dxa"/>
            <w:tcBorders>
              <w:top w:val="nil"/>
              <w:left w:val="nil"/>
              <w:bottom w:val="single" w:sz="8" w:space="0" w:color="auto"/>
              <w:right w:val="single" w:sz="8" w:space="0" w:color="auto"/>
            </w:tcBorders>
            <w:shd w:val="clear" w:color="auto" w:fill="auto"/>
            <w:noWrap/>
            <w:vAlign w:val="center"/>
            <w:hideMark/>
          </w:tcPr>
          <w:p w14:paraId="4EEAD1BA"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$1,618,922 </w:t>
            </w:r>
          </w:p>
        </w:tc>
        <w:tc>
          <w:tcPr>
            <w:tcW w:w="1355" w:type="dxa"/>
            <w:tcBorders>
              <w:top w:val="nil"/>
              <w:left w:val="nil"/>
              <w:bottom w:val="single" w:sz="8" w:space="0" w:color="auto"/>
              <w:right w:val="single" w:sz="8" w:space="0" w:color="auto"/>
            </w:tcBorders>
            <w:shd w:val="clear" w:color="auto" w:fill="auto"/>
            <w:noWrap/>
            <w:vAlign w:val="center"/>
            <w:hideMark/>
          </w:tcPr>
          <w:p w14:paraId="217CA969"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3.03%</w:t>
            </w:r>
          </w:p>
        </w:tc>
      </w:tr>
      <w:tr w:rsidR="00C93C49" w:rsidRPr="00C93C49" w14:paraId="0EE3E8AA" w14:textId="77777777" w:rsidTr="00347614">
        <w:trPr>
          <w:trHeight w:val="254"/>
          <w:jc w:val="center"/>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14:paraId="17E645F2" w14:textId="77777777" w:rsidR="00C93C49" w:rsidRPr="00C93C49" w:rsidRDefault="00C93C49" w:rsidP="00C93C49">
            <w:pPr>
              <w:spacing w:after="0" w:line="240" w:lineRule="auto"/>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Met-Ed</w:t>
            </w:r>
          </w:p>
        </w:tc>
        <w:tc>
          <w:tcPr>
            <w:tcW w:w="1329" w:type="dxa"/>
            <w:tcBorders>
              <w:top w:val="nil"/>
              <w:left w:val="nil"/>
              <w:bottom w:val="single" w:sz="8" w:space="0" w:color="auto"/>
              <w:right w:val="single" w:sz="8" w:space="0" w:color="auto"/>
            </w:tcBorders>
            <w:shd w:val="clear" w:color="auto" w:fill="auto"/>
            <w:noWrap/>
            <w:hideMark/>
          </w:tcPr>
          <w:p w14:paraId="78160BC2" w14:textId="77777777" w:rsidR="00C93C49" w:rsidRPr="00C93C49" w:rsidRDefault="00C93C49" w:rsidP="00C93C49">
            <w:pPr>
              <w:spacing w:after="0" w:line="240" w:lineRule="auto"/>
              <w:rPr>
                <w:rFonts w:ascii="Times New Roman" w:eastAsia="Times New Roman" w:hAnsi="Times New Roman" w:cs="Times New Roman"/>
                <w:color w:val="000000"/>
                <w:sz w:val="20"/>
                <w:szCs w:val="20"/>
              </w:rPr>
            </w:pPr>
            <w:r w:rsidRPr="00C93C49">
              <w:rPr>
                <w:rFonts w:ascii="Times New Roman" w:eastAsia="Times New Roman" w:hAnsi="Times New Roman" w:cs="Times New Roman"/>
                <w:color w:val="000000"/>
                <w:sz w:val="20"/>
                <w:szCs w:val="20"/>
              </w:rPr>
              <w:t> </w:t>
            </w:r>
          </w:p>
        </w:tc>
        <w:tc>
          <w:tcPr>
            <w:tcW w:w="1305" w:type="dxa"/>
            <w:tcBorders>
              <w:top w:val="nil"/>
              <w:left w:val="nil"/>
              <w:bottom w:val="single" w:sz="8" w:space="0" w:color="auto"/>
              <w:right w:val="single" w:sz="8" w:space="0" w:color="auto"/>
            </w:tcBorders>
            <w:shd w:val="clear" w:color="auto" w:fill="auto"/>
            <w:noWrap/>
            <w:hideMark/>
          </w:tcPr>
          <w:p w14:paraId="00CE102F" w14:textId="77777777" w:rsidR="00C93C49" w:rsidRPr="00C93C49" w:rsidRDefault="00C93C49" w:rsidP="00C93C49">
            <w:pPr>
              <w:spacing w:after="0" w:line="240" w:lineRule="auto"/>
              <w:rPr>
                <w:rFonts w:ascii="Times New Roman" w:eastAsia="Times New Roman" w:hAnsi="Times New Roman" w:cs="Times New Roman"/>
                <w:color w:val="000000"/>
                <w:sz w:val="20"/>
                <w:szCs w:val="20"/>
              </w:rPr>
            </w:pPr>
            <w:r w:rsidRPr="00C93C49">
              <w:rPr>
                <w:rFonts w:ascii="Times New Roman" w:eastAsia="Times New Roman" w:hAnsi="Times New Roman" w:cs="Times New Roman"/>
                <w:color w:val="000000"/>
                <w:sz w:val="20"/>
                <w:szCs w:val="20"/>
              </w:rPr>
              <w:t> </w:t>
            </w:r>
          </w:p>
        </w:tc>
        <w:tc>
          <w:tcPr>
            <w:tcW w:w="1440" w:type="dxa"/>
            <w:tcBorders>
              <w:top w:val="nil"/>
              <w:left w:val="nil"/>
              <w:bottom w:val="single" w:sz="8" w:space="0" w:color="auto"/>
              <w:right w:val="single" w:sz="8" w:space="0" w:color="auto"/>
            </w:tcBorders>
            <w:shd w:val="clear" w:color="auto" w:fill="auto"/>
            <w:noWrap/>
            <w:hideMark/>
          </w:tcPr>
          <w:p w14:paraId="7C4F948A" w14:textId="77777777" w:rsidR="00C93C49" w:rsidRPr="00C93C49" w:rsidRDefault="00C93C49" w:rsidP="00C93C49">
            <w:pPr>
              <w:spacing w:after="0" w:line="240" w:lineRule="auto"/>
              <w:rPr>
                <w:rFonts w:ascii="Times New Roman" w:eastAsia="Times New Roman" w:hAnsi="Times New Roman" w:cs="Times New Roman"/>
                <w:b/>
                <w:color w:val="000000"/>
                <w:sz w:val="20"/>
                <w:szCs w:val="20"/>
              </w:rPr>
            </w:pPr>
            <w:r w:rsidRPr="00C93C49">
              <w:rPr>
                <w:rFonts w:ascii="Times New Roman" w:eastAsia="Times New Roman" w:hAnsi="Times New Roman" w:cs="Times New Roman"/>
                <w:b/>
                <w:color w:val="000000"/>
                <w:sz w:val="20"/>
                <w:szCs w:val="20"/>
              </w:rPr>
              <w:t> </w:t>
            </w:r>
          </w:p>
        </w:tc>
        <w:tc>
          <w:tcPr>
            <w:tcW w:w="1284" w:type="dxa"/>
            <w:tcBorders>
              <w:top w:val="nil"/>
              <w:left w:val="nil"/>
              <w:bottom w:val="single" w:sz="8" w:space="0" w:color="auto"/>
              <w:right w:val="single" w:sz="8" w:space="0" w:color="auto"/>
            </w:tcBorders>
            <w:shd w:val="clear" w:color="auto" w:fill="auto"/>
            <w:noWrap/>
            <w:hideMark/>
          </w:tcPr>
          <w:p w14:paraId="14027E8D" w14:textId="77777777" w:rsidR="00C93C49" w:rsidRPr="00C93C49" w:rsidRDefault="00C93C49" w:rsidP="00C93C49">
            <w:pPr>
              <w:spacing w:after="0" w:line="240" w:lineRule="auto"/>
              <w:rPr>
                <w:rFonts w:ascii="Times New Roman" w:eastAsia="Times New Roman" w:hAnsi="Times New Roman" w:cs="Times New Roman"/>
                <w:color w:val="000000"/>
                <w:sz w:val="20"/>
                <w:szCs w:val="20"/>
              </w:rPr>
            </w:pPr>
            <w:r w:rsidRPr="00C93C49">
              <w:rPr>
                <w:rFonts w:ascii="Times New Roman" w:eastAsia="Times New Roman" w:hAnsi="Times New Roman" w:cs="Times New Roman"/>
                <w:color w:val="000000"/>
                <w:sz w:val="20"/>
                <w:szCs w:val="20"/>
              </w:rPr>
              <w:t> </w:t>
            </w:r>
          </w:p>
        </w:tc>
        <w:tc>
          <w:tcPr>
            <w:tcW w:w="1355" w:type="dxa"/>
            <w:tcBorders>
              <w:top w:val="nil"/>
              <w:left w:val="nil"/>
              <w:bottom w:val="single" w:sz="8" w:space="0" w:color="auto"/>
              <w:right w:val="single" w:sz="8" w:space="0" w:color="auto"/>
            </w:tcBorders>
            <w:shd w:val="clear" w:color="auto" w:fill="auto"/>
            <w:noWrap/>
            <w:hideMark/>
          </w:tcPr>
          <w:p w14:paraId="3EBDB560" w14:textId="77777777" w:rsidR="00C93C49" w:rsidRPr="00C93C49" w:rsidRDefault="00C93C49" w:rsidP="00C93C49">
            <w:pPr>
              <w:spacing w:after="0" w:line="240" w:lineRule="auto"/>
              <w:rPr>
                <w:rFonts w:ascii="Times New Roman" w:eastAsia="Times New Roman" w:hAnsi="Times New Roman" w:cs="Times New Roman"/>
                <w:b/>
                <w:color w:val="000000"/>
                <w:sz w:val="20"/>
                <w:szCs w:val="20"/>
              </w:rPr>
            </w:pPr>
            <w:r w:rsidRPr="00C93C49">
              <w:rPr>
                <w:rFonts w:ascii="Times New Roman" w:eastAsia="Times New Roman" w:hAnsi="Times New Roman" w:cs="Times New Roman"/>
                <w:b/>
                <w:color w:val="000000"/>
                <w:sz w:val="20"/>
                <w:szCs w:val="20"/>
              </w:rPr>
              <w:t> </w:t>
            </w:r>
          </w:p>
        </w:tc>
      </w:tr>
      <w:tr w:rsidR="00C93C49" w:rsidRPr="00C93C49" w14:paraId="343D86E6" w14:textId="77777777" w:rsidTr="00347614">
        <w:trPr>
          <w:trHeight w:val="254"/>
          <w:jc w:val="center"/>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14:paraId="58616B7E" w14:textId="77777777" w:rsidR="00C93C49" w:rsidRPr="00C93C49" w:rsidRDefault="00C93C49" w:rsidP="00C93C49">
            <w:pPr>
              <w:spacing w:after="0" w:line="240" w:lineRule="auto"/>
              <w:jc w:val="center"/>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2014</w:t>
            </w:r>
          </w:p>
        </w:tc>
        <w:tc>
          <w:tcPr>
            <w:tcW w:w="1329" w:type="dxa"/>
            <w:tcBorders>
              <w:top w:val="nil"/>
              <w:left w:val="nil"/>
              <w:bottom w:val="single" w:sz="8" w:space="0" w:color="auto"/>
              <w:right w:val="single" w:sz="8" w:space="0" w:color="auto"/>
            </w:tcBorders>
            <w:shd w:val="clear" w:color="auto" w:fill="auto"/>
            <w:noWrap/>
            <w:vAlign w:val="center"/>
            <w:hideMark/>
          </w:tcPr>
          <w:p w14:paraId="2C65A148"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$19,637,989 </w:t>
            </w:r>
          </w:p>
        </w:tc>
        <w:tc>
          <w:tcPr>
            <w:tcW w:w="1305" w:type="dxa"/>
            <w:tcBorders>
              <w:top w:val="nil"/>
              <w:left w:val="nil"/>
              <w:bottom w:val="single" w:sz="8" w:space="0" w:color="auto"/>
              <w:right w:val="single" w:sz="8" w:space="0" w:color="auto"/>
            </w:tcBorders>
            <w:shd w:val="clear" w:color="auto" w:fill="auto"/>
            <w:noWrap/>
            <w:vAlign w:val="center"/>
            <w:hideMark/>
          </w:tcPr>
          <w:p w14:paraId="51E91F32"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$600,301 </w:t>
            </w:r>
          </w:p>
        </w:tc>
        <w:tc>
          <w:tcPr>
            <w:tcW w:w="1440" w:type="dxa"/>
            <w:tcBorders>
              <w:top w:val="nil"/>
              <w:left w:val="nil"/>
              <w:bottom w:val="single" w:sz="8" w:space="0" w:color="auto"/>
              <w:right w:val="single" w:sz="8" w:space="0" w:color="auto"/>
            </w:tcBorders>
            <w:shd w:val="clear" w:color="auto" w:fill="auto"/>
            <w:noWrap/>
            <w:vAlign w:val="center"/>
            <w:hideMark/>
          </w:tcPr>
          <w:p w14:paraId="775EAB69"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3.70%</w:t>
            </w:r>
          </w:p>
        </w:tc>
        <w:tc>
          <w:tcPr>
            <w:tcW w:w="1284" w:type="dxa"/>
            <w:tcBorders>
              <w:top w:val="nil"/>
              <w:left w:val="nil"/>
              <w:bottom w:val="single" w:sz="8" w:space="0" w:color="auto"/>
              <w:right w:val="single" w:sz="8" w:space="0" w:color="auto"/>
            </w:tcBorders>
            <w:shd w:val="clear" w:color="auto" w:fill="auto"/>
            <w:noWrap/>
            <w:vAlign w:val="center"/>
            <w:hideMark/>
          </w:tcPr>
          <w:p w14:paraId="05E2CAB7"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$552,277 </w:t>
            </w:r>
          </w:p>
        </w:tc>
        <w:tc>
          <w:tcPr>
            <w:tcW w:w="1355" w:type="dxa"/>
            <w:tcBorders>
              <w:top w:val="nil"/>
              <w:left w:val="nil"/>
              <w:bottom w:val="single" w:sz="8" w:space="0" w:color="auto"/>
              <w:right w:val="single" w:sz="8" w:space="0" w:color="auto"/>
            </w:tcBorders>
            <w:shd w:val="clear" w:color="auto" w:fill="auto"/>
            <w:noWrap/>
            <w:vAlign w:val="center"/>
            <w:hideMark/>
          </w:tcPr>
          <w:p w14:paraId="688793C9"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3.40%</w:t>
            </w:r>
          </w:p>
        </w:tc>
      </w:tr>
      <w:tr w:rsidR="00C93C49" w:rsidRPr="00C93C49" w14:paraId="0077BB44" w14:textId="77777777" w:rsidTr="00347614">
        <w:trPr>
          <w:trHeight w:val="254"/>
          <w:jc w:val="center"/>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14:paraId="376CE937" w14:textId="77777777" w:rsidR="00C93C49" w:rsidRPr="00C93C49" w:rsidRDefault="00C93C49" w:rsidP="00C93C49">
            <w:pPr>
              <w:spacing w:after="0" w:line="240" w:lineRule="auto"/>
              <w:jc w:val="center"/>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2015</w:t>
            </w:r>
          </w:p>
        </w:tc>
        <w:tc>
          <w:tcPr>
            <w:tcW w:w="1329" w:type="dxa"/>
            <w:tcBorders>
              <w:top w:val="nil"/>
              <w:left w:val="nil"/>
              <w:bottom w:val="single" w:sz="8" w:space="0" w:color="auto"/>
              <w:right w:val="single" w:sz="8" w:space="0" w:color="auto"/>
            </w:tcBorders>
            <w:shd w:val="clear" w:color="auto" w:fill="auto"/>
            <w:noWrap/>
            <w:vAlign w:val="center"/>
            <w:hideMark/>
          </w:tcPr>
          <w:p w14:paraId="683BBDA4"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$18,911,644 </w:t>
            </w:r>
          </w:p>
        </w:tc>
        <w:tc>
          <w:tcPr>
            <w:tcW w:w="1305" w:type="dxa"/>
            <w:tcBorders>
              <w:top w:val="nil"/>
              <w:left w:val="nil"/>
              <w:bottom w:val="single" w:sz="8" w:space="0" w:color="auto"/>
              <w:right w:val="single" w:sz="8" w:space="0" w:color="auto"/>
            </w:tcBorders>
            <w:shd w:val="clear" w:color="auto" w:fill="auto"/>
            <w:noWrap/>
            <w:vAlign w:val="center"/>
            <w:hideMark/>
          </w:tcPr>
          <w:p w14:paraId="56E7348A"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$605,241 </w:t>
            </w:r>
          </w:p>
        </w:tc>
        <w:tc>
          <w:tcPr>
            <w:tcW w:w="1440" w:type="dxa"/>
            <w:tcBorders>
              <w:top w:val="nil"/>
              <w:left w:val="nil"/>
              <w:bottom w:val="single" w:sz="8" w:space="0" w:color="auto"/>
              <w:right w:val="single" w:sz="8" w:space="0" w:color="auto"/>
            </w:tcBorders>
            <w:shd w:val="clear" w:color="auto" w:fill="auto"/>
            <w:noWrap/>
            <w:vAlign w:val="center"/>
            <w:hideMark/>
          </w:tcPr>
          <w:p w14:paraId="7ED7648D"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3.65%</w:t>
            </w:r>
          </w:p>
        </w:tc>
        <w:tc>
          <w:tcPr>
            <w:tcW w:w="1284" w:type="dxa"/>
            <w:tcBorders>
              <w:top w:val="nil"/>
              <w:left w:val="nil"/>
              <w:bottom w:val="single" w:sz="8" w:space="0" w:color="auto"/>
              <w:right w:val="single" w:sz="8" w:space="0" w:color="auto"/>
            </w:tcBorders>
            <w:shd w:val="clear" w:color="auto" w:fill="auto"/>
            <w:noWrap/>
            <w:vAlign w:val="center"/>
            <w:hideMark/>
          </w:tcPr>
          <w:p w14:paraId="28396DEF"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$556,822 </w:t>
            </w:r>
          </w:p>
        </w:tc>
        <w:tc>
          <w:tcPr>
            <w:tcW w:w="1355" w:type="dxa"/>
            <w:tcBorders>
              <w:top w:val="nil"/>
              <w:left w:val="nil"/>
              <w:bottom w:val="single" w:sz="8" w:space="0" w:color="auto"/>
              <w:right w:val="single" w:sz="8" w:space="0" w:color="auto"/>
            </w:tcBorders>
            <w:shd w:val="clear" w:color="auto" w:fill="auto"/>
            <w:noWrap/>
            <w:vAlign w:val="center"/>
            <w:hideMark/>
          </w:tcPr>
          <w:p w14:paraId="3E3B3547"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3.36%</w:t>
            </w:r>
          </w:p>
        </w:tc>
      </w:tr>
      <w:tr w:rsidR="00C93C49" w:rsidRPr="00C93C49" w14:paraId="6247FC3B" w14:textId="77777777" w:rsidTr="00347614">
        <w:trPr>
          <w:trHeight w:val="254"/>
          <w:jc w:val="center"/>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14:paraId="0C57C459" w14:textId="77777777" w:rsidR="00C93C49" w:rsidRPr="00C93C49" w:rsidRDefault="00C93C49" w:rsidP="00C93C49">
            <w:pPr>
              <w:spacing w:after="0" w:line="240" w:lineRule="auto"/>
              <w:jc w:val="center"/>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2016</w:t>
            </w:r>
          </w:p>
        </w:tc>
        <w:tc>
          <w:tcPr>
            <w:tcW w:w="1329" w:type="dxa"/>
            <w:tcBorders>
              <w:top w:val="nil"/>
              <w:left w:val="nil"/>
              <w:bottom w:val="single" w:sz="8" w:space="0" w:color="auto"/>
              <w:right w:val="single" w:sz="8" w:space="0" w:color="auto"/>
            </w:tcBorders>
            <w:shd w:val="clear" w:color="auto" w:fill="auto"/>
            <w:noWrap/>
            <w:vAlign w:val="center"/>
            <w:hideMark/>
          </w:tcPr>
          <w:p w14:paraId="1E1436FE"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$17,376,674 </w:t>
            </w:r>
          </w:p>
        </w:tc>
        <w:tc>
          <w:tcPr>
            <w:tcW w:w="1305" w:type="dxa"/>
            <w:tcBorders>
              <w:top w:val="nil"/>
              <w:left w:val="nil"/>
              <w:bottom w:val="single" w:sz="8" w:space="0" w:color="auto"/>
              <w:right w:val="single" w:sz="8" w:space="0" w:color="auto"/>
            </w:tcBorders>
            <w:shd w:val="clear" w:color="auto" w:fill="auto"/>
            <w:noWrap/>
            <w:vAlign w:val="center"/>
            <w:hideMark/>
          </w:tcPr>
          <w:p w14:paraId="088E7725"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$616,373 </w:t>
            </w:r>
          </w:p>
        </w:tc>
        <w:tc>
          <w:tcPr>
            <w:tcW w:w="1440" w:type="dxa"/>
            <w:tcBorders>
              <w:top w:val="nil"/>
              <w:left w:val="nil"/>
              <w:bottom w:val="single" w:sz="8" w:space="0" w:color="auto"/>
              <w:right w:val="single" w:sz="8" w:space="0" w:color="auto"/>
            </w:tcBorders>
            <w:shd w:val="clear" w:color="auto" w:fill="auto"/>
            <w:noWrap/>
            <w:vAlign w:val="center"/>
            <w:hideMark/>
          </w:tcPr>
          <w:p w14:paraId="5C7D7F7F"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3.78%</w:t>
            </w:r>
          </w:p>
        </w:tc>
        <w:tc>
          <w:tcPr>
            <w:tcW w:w="1284" w:type="dxa"/>
            <w:tcBorders>
              <w:top w:val="nil"/>
              <w:left w:val="nil"/>
              <w:bottom w:val="single" w:sz="8" w:space="0" w:color="auto"/>
              <w:right w:val="single" w:sz="8" w:space="0" w:color="auto"/>
            </w:tcBorders>
            <w:shd w:val="clear" w:color="auto" w:fill="auto"/>
            <w:noWrap/>
            <w:vAlign w:val="center"/>
            <w:hideMark/>
          </w:tcPr>
          <w:p w14:paraId="55912468"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$567,063 </w:t>
            </w:r>
          </w:p>
        </w:tc>
        <w:tc>
          <w:tcPr>
            <w:tcW w:w="1355" w:type="dxa"/>
            <w:tcBorders>
              <w:top w:val="nil"/>
              <w:left w:val="nil"/>
              <w:bottom w:val="single" w:sz="8" w:space="0" w:color="auto"/>
              <w:right w:val="single" w:sz="8" w:space="0" w:color="auto"/>
            </w:tcBorders>
            <w:shd w:val="clear" w:color="auto" w:fill="auto"/>
            <w:noWrap/>
            <w:vAlign w:val="center"/>
            <w:hideMark/>
          </w:tcPr>
          <w:p w14:paraId="3C2E9647"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3.48%</w:t>
            </w:r>
          </w:p>
        </w:tc>
      </w:tr>
      <w:tr w:rsidR="00C93C49" w:rsidRPr="00C93C49" w14:paraId="45E95EA7" w14:textId="77777777" w:rsidTr="00347614">
        <w:trPr>
          <w:trHeight w:val="254"/>
          <w:jc w:val="center"/>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14:paraId="7EA4467C" w14:textId="77777777" w:rsidR="00C93C49" w:rsidRPr="00C93C49" w:rsidRDefault="00C93C49" w:rsidP="00C93C49">
            <w:pPr>
              <w:spacing w:after="0" w:line="240" w:lineRule="auto"/>
              <w:jc w:val="center"/>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2017</w:t>
            </w:r>
          </w:p>
        </w:tc>
        <w:tc>
          <w:tcPr>
            <w:tcW w:w="1329" w:type="dxa"/>
            <w:tcBorders>
              <w:top w:val="nil"/>
              <w:left w:val="nil"/>
              <w:bottom w:val="single" w:sz="8" w:space="0" w:color="auto"/>
              <w:right w:val="single" w:sz="8" w:space="0" w:color="auto"/>
            </w:tcBorders>
            <w:shd w:val="clear" w:color="auto" w:fill="auto"/>
            <w:noWrap/>
            <w:vAlign w:val="center"/>
            <w:hideMark/>
          </w:tcPr>
          <w:p w14:paraId="7F310831"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$16,479,120 </w:t>
            </w:r>
          </w:p>
        </w:tc>
        <w:tc>
          <w:tcPr>
            <w:tcW w:w="1305" w:type="dxa"/>
            <w:tcBorders>
              <w:top w:val="nil"/>
              <w:left w:val="nil"/>
              <w:bottom w:val="single" w:sz="8" w:space="0" w:color="auto"/>
              <w:right w:val="single" w:sz="8" w:space="0" w:color="auto"/>
            </w:tcBorders>
            <w:shd w:val="clear" w:color="auto" w:fill="auto"/>
            <w:noWrap/>
            <w:vAlign w:val="center"/>
            <w:hideMark/>
          </w:tcPr>
          <w:p w14:paraId="17143777"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$566,632 </w:t>
            </w:r>
          </w:p>
        </w:tc>
        <w:tc>
          <w:tcPr>
            <w:tcW w:w="1440" w:type="dxa"/>
            <w:tcBorders>
              <w:top w:val="nil"/>
              <w:left w:val="nil"/>
              <w:bottom w:val="single" w:sz="8" w:space="0" w:color="auto"/>
              <w:right w:val="single" w:sz="8" w:space="0" w:color="auto"/>
            </w:tcBorders>
            <w:shd w:val="clear" w:color="auto" w:fill="auto"/>
            <w:noWrap/>
            <w:vAlign w:val="center"/>
            <w:hideMark/>
          </w:tcPr>
          <w:p w14:paraId="7DA086DA"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3.42%</w:t>
            </w:r>
          </w:p>
        </w:tc>
        <w:tc>
          <w:tcPr>
            <w:tcW w:w="1284" w:type="dxa"/>
            <w:tcBorders>
              <w:top w:val="nil"/>
              <w:left w:val="nil"/>
              <w:bottom w:val="single" w:sz="8" w:space="0" w:color="auto"/>
              <w:right w:val="single" w:sz="8" w:space="0" w:color="auto"/>
            </w:tcBorders>
            <w:shd w:val="clear" w:color="auto" w:fill="auto"/>
            <w:noWrap/>
            <w:vAlign w:val="center"/>
            <w:hideMark/>
          </w:tcPr>
          <w:p w14:paraId="126242FF"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$521,302 </w:t>
            </w:r>
          </w:p>
        </w:tc>
        <w:tc>
          <w:tcPr>
            <w:tcW w:w="1355" w:type="dxa"/>
            <w:tcBorders>
              <w:top w:val="nil"/>
              <w:left w:val="nil"/>
              <w:bottom w:val="single" w:sz="8" w:space="0" w:color="auto"/>
              <w:right w:val="single" w:sz="8" w:space="0" w:color="auto"/>
            </w:tcBorders>
            <w:shd w:val="clear" w:color="auto" w:fill="auto"/>
            <w:noWrap/>
            <w:vAlign w:val="center"/>
            <w:hideMark/>
          </w:tcPr>
          <w:p w14:paraId="5EB0F665"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3.15%</w:t>
            </w:r>
          </w:p>
        </w:tc>
      </w:tr>
      <w:tr w:rsidR="00C93C49" w:rsidRPr="00C93C49" w14:paraId="4562B955" w14:textId="77777777" w:rsidTr="00347614">
        <w:trPr>
          <w:trHeight w:val="254"/>
          <w:jc w:val="center"/>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14:paraId="24E0FDF8" w14:textId="77777777" w:rsidR="00C93C49" w:rsidRPr="00C93C49" w:rsidRDefault="00C93C49" w:rsidP="00C93C49">
            <w:pPr>
              <w:spacing w:after="0" w:line="240" w:lineRule="auto"/>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Penelec</w:t>
            </w:r>
          </w:p>
        </w:tc>
        <w:tc>
          <w:tcPr>
            <w:tcW w:w="1329" w:type="dxa"/>
            <w:tcBorders>
              <w:top w:val="nil"/>
              <w:left w:val="nil"/>
              <w:bottom w:val="single" w:sz="8" w:space="0" w:color="auto"/>
              <w:right w:val="single" w:sz="8" w:space="0" w:color="auto"/>
            </w:tcBorders>
            <w:shd w:val="clear" w:color="auto" w:fill="auto"/>
            <w:noWrap/>
            <w:hideMark/>
          </w:tcPr>
          <w:p w14:paraId="667BC9A4" w14:textId="77777777" w:rsidR="00C93C49" w:rsidRPr="00C93C49" w:rsidRDefault="00C93C49" w:rsidP="00C93C49">
            <w:pPr>
              <w:spacing w:after="0" w:line="240" w:lineRule="auto"/>
              <w:rPr>
                <w:rFonts w:ascii="Times New Roman" w:eastAsia="Times New Roman" w:hAnsi="Times New Roman" w:cs="Times New Roman"/>
                <w:color w:val="000000"/>
                <w:sz w:val="20"/>
                <w:szCs w:val="20"/>
              </w:rPr>
            </w:pPr>
            <w:r w:rsidRPr="00C93C49">
              <w:rPr>
                <w:rFonts w:ascii="Times New Roman" w:eastAsia="Times New Roman" w:hAnsi="Times New Roman" w:cs="Times New Roman"/>
                <w:color w:val="000000"/>
                <w:sz w:val="20"/>
                <w:szCs w:val="20"/>
              </w:rPr>
              <w:t> </w:t>
            </w:r>
          </w:p>
        </w:tc>
        <w:tc>
          <w:tcPr>
            <w:tcW w:w="1305" w:type="dxa"/>
            <w:tcBorders>
              <w:top w:val="nil"/>
              <w:left w:val="nil"/>
              <w:bottom w:val="single" w:sz="8" w:space="0" w:color="auto"/>
              <w:right w:val="single" w:sz="8" w:space="0" w:color="auto"/>
            </w:tcBorders>
            <w:shd w:val="clear" w:color="auto" w:fill="auto"/>
            <w:noWrap/>
            <w:hideMark/>
          </w:tcPr>
          <w:p w14:paraId="35F37B69" w14:textId="77777777" w:rsidR="00C93C49" w:rsidRPr="00C93C49" w:rsidRDefault="00C93C49" w:rsidP="00C93C49">
            <w:pPr>
              <w:spacing w:after="0" w:line="240" w:lineRule="auto"/>
              <w:rPr>
                <w:rFonts w:ascii="Times New Roman" w:eastAsia="Times New Roman" w:hAnsi="Times New Roman" w:cs="Times New Roman"/>
                <w:color w:val="000000"/>
                <w:sz w:val="20"/>
                <w:szCs w:val="20"/>
              </w:rPr>
            </w:pPr>
            <w:r w:rsidRPr="00C93C49">
              <w:rPr>
                <w:rFonts w:ascii="Times New Roman" w:eastAsia="Times New Roman" w:hAnsi="Times New Roman" w:cs="Times New Roman"/>
                <w:color w:val="000000"/>
                <w:sz w:val="20"/>
                <w:szCs w:val="20"/>
              </w:rPr>
              <w:t> </w:t>
            </w:r>
          </w:p>
        </w:tc>
        <w:tc>
          <w:tcPr>
            <w:tcW w:w="1440" w:type="dxa"/>
            <w:tcBorders>
              <w:top w:val="nil"/>
              <w:left w:val="nil"/>
              <w:bottom w:val="single" w:sz="8" w:space="0" w:color="auto"/>
              <w:right w:val="single" w:sz="8" w:space="0" w:color="auto"/>
            </w:tcBorders>
            <w:shd w:val="clear" w:color="auto" w:fill="auto"/>
            <w:noWrap/>
            <w:hideMark/>
          </w:tcPr>
          <w:p w14:paraId="58D23506" w14:textId="77777777" w:rsidR="00C93C49" w:rsidRPr="00C93C49" w:rsidRDefault="00C93C49" w:rsidP="00C93C49">
            <w:pPr>
              <w:spacing w:after="0" w:line="240" w:lineRule="auto"/>
              <w:rPr>
                <w:rFonts w:ascii="Times New Roman" w:eastAsia="Times New Roman" w:hAnsi="Times New Roman" w:cs="Times New Roman"/>
                <w:b/>
                <w:color w:val="000000"/>
                <w:sz w:val="20"/>
                <w:szCs w:val="20"/>
              </w:rPr>
            </w:pPr>
            <w:r w:rsidRPr="00C93C49">
              <w:rPr>
                <w:rFonts w:ascii="Times New Roman" w:eastAsia="Times New Roman" w:hAnsi="Times New Roman" w:cs="Times New Roman"/>
                <w:b/>
                <w:color w:val="000000"/>
                <w:sz w:val="20"/>
                <w:szCs w:val="20"/>
              </w:rPr>
              <w:t> </w:t>
            </w:r>
          </w:p>
        </w:tc>
        <w:tc>
          <w:tcPr>
            <w:tcW w:w="1284" w:type="dxa"/>
            <w:tcBorders>
              <w:top w:val="nil"/>
              <w:left w:val="nil"/>
              <w:bottom w:val="single" w:sz="8" w:space="0" w:color="auto"/>
              <w:right w:val="single" w:sz="8" w:space="0" w:color="auto"/>
            </w:tcBorders>
            <w:shd w:val="clear" w:color="auto" w:fill="auto"/>
            <w:noWrap/>
            <w:hideMark/>
          </w:tcPr>
          <w:p w14:paraId="134904C5" w14:textId="77777777" w:rsidR="00C93C49" w:rsidRPr="00C93C49" w:rsidRDefault="00C93C49" w:rsidP="00C93C49">
            <w:pPr>
              <w:spacing w:after="0" w:line="240" w:lineRule="auto"/>
              <w:rPr>
                <w:rFonts w:ascii="Times New Roman" w:eastAsia="Times New Roman" w:hAnsi="Times New Roman" w:cs="Times New Roman"/>
                <w:color w:val="000000"/>
                <w:sz w:val="20"/>
                <w:szCs w:val="20"/>
              </w:rPr>
            </w:pPr>
            <w:r w:rsidRPr="00C93C49">
              <w:rPr>
                <w:rFonts w:ascii="Times New Roman" w:eastAsia="Times New Roman" w:hAnsi="Times New Roman" w:cs="Times New Roman"/>
                <w:color w:val="000000"/>
                <w:sz w:val="20"/>
                <w:szCs w:val="20"/>
              </w:rPr>
              <w:t> </w:t>
            </w:r>
          </w:p>
        </w:tc>
        <w:tc>
          <w:tcPr>
            <w:tcW w:w="1355" w:type="dxa"/>
            <w:tcBorders>
              <w:top w:val="nil"/>
              <w:left w:val="nil"/>
              <w:bottom w:val="single" w:sz="8" w:space="0" w:color="auto"/>
              <w:right w:val="single" w:sz="8" w:space="0" w:color="auto"/>
            </w:tcBorders>
            <w:shd w:val="clear" w:color="auto" w:fill="auto"/>
            <w:noWrap/>
            <w:hideMark/>
          </w:tcPr>
          <w:p w14:paraId="7348A805" w14:textId="77777777" w:rsidR="00C93C49" w:rsidRPr="00C93C49" w:rsidRDefault="00C93C49" w:rsidP="00C93C49">
            <w:pPr>
              <w:spacing w:after="0" w:line="240" w:lineRule="auto"/>
              <w:rPr>
                <w:rFonts w:ascii="Times New Roman" w:eastAsia="Times New Roman" w:hAnsi="Times New Roman" w:cs="Times New Roman"/>
                <w:b/>
                <w:color w:val="000000"/>
                <w:sz w:val="20"/>
                <w:szCs w:val="20"/>
              </w:rPr>
            </w:pPr>
            <w:r w:rsidRPr="00C93C49">
              <w:rPr>
                <w:rFonts w:ascii="Times New Roman" w:eastAsia="Times New Roman" w:hAnsi="Times New Roman" w:cs="Times New Roman"/>
                <w:b/>
                <w:color w:val="000000"/>
                <w:sz w:val="20"/>
                <w:szCs w:val="20"/>
              </w:rPr>
              <w:t> </w:t>
            </w:r>
          </w:p>
        </w:tc>
      </w:tr>
      <w:tr w:rsidR="00C93C49" w:rsidRPr="00C93C49" w14:paraId="669D0AA6" w14:textId="77777777" w:rsidTr="00347614">
        <w:trPr>
          <w:trHeight w:val="254"/>
          <w:jc w:val="center"/>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14:paraId="776CD2E8" w14:textId="77777777" w:rsidR="00C93C49" w:rsidRPr="00C93C49" w:rsidRDefault="00C93C49" w:rsidP="00C93C49">
            <w:pPr>
              <w:spacing w:after="0" w:line="240" w:lineRule="auto"/>
              <w:jc w:val="center"/>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2014</w:t>
            </w:r>
          </w:p>
        </w:tc>
        <w:tc>
          <w:tcPr>
            <w:tcW w:w="1329" w:type="dxa"/>
            <w:tcBorders>
              <w:top w:val="nil"/>
              <w:left w:val="nil"/>
              <w:bottom w:val="single" w:sz="8" w:space="0" w:color="auto"/>
              <w:right w:val="single" w:sz="8" w:space="0" w:color="auto"/>
            </w:tcBorders>
            <w:shd w:val="clear" w:color="auto" w:fill="auto"/>
            <w:noWrap/>
            <w:vAlign w:val="center"/>
            <w:hideMark/>
          </w:tcPr>
          <w:p w14:paraId="24E4171A"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$16,231,367 </w:t>
            </w:r>
          </w:p>
        </w:tc>
        <w:tc>
          <w:tcPr>
            <w:tcW w:w="1305" w:type="dxa"/>
            <w:tcBorders>
              <w:top w:val="nil"/>
              <w:left w:val="nil"/>
              <w:bottom w:val="single" w:sz="8" w:space="0" w:color="auto"/>
              <w:right w:val="single" w:sz="8" w:space="0" w:color="auto"/>
            </w:tcBorders>
            <w:shd w:val="clear" w:color="auto" w:fill="auto"/>
            <w:noWrap/>
            <w:vAlign w:val="center"/>
            <w:hideMark/>
          </w:tcPr>
          <w:p w14:paraId="5D570DFF"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$516,672 </w:t>
            </w:r>
          </w:p>
        </w:tc>
        <w:tc>
          <w:tcPr>
            <w:tcW w:w="1440" w:type="dxa"/>
            <w:tcBorders>
              <w:top w:val="nil"/>
              <w:left w:val="nil"/>
              <w:bottom w:val="single" w:sz="8" w:space="0" w:color="auto"/>
              <w:right w:val="single" w:sz="8" w:space="0" w:color="auto"/>
            </w:tcBorders>
            <w:shd w:val="clear" w:color="auto" w:fill="auto"/>
            <w:noWrap/>
            <w:vAlign w:val="center"/>
            <w:hideMark/>
          </w:tcPr>
          <w:p w14:paraId="6FC0C966"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2.63%</w:t>
            </w:r>
          </w:p>
        </w:tc>
        <w:tc>
          <w:tcPr>
            <w:tcW w:w="1284" w:type="dxa"/>
            <w:tcBorders>
              <w:top w:val="nil"/>
              <w:left w:val="nil"/>
              <w:bottom w:val="single" w:sz="8" w:space="0" w:color="auto"/>
              <w:right w:val="single" w:sz="8" w:space="0" w:color="auto"/>
            </w:tcBorders>
            <w:shd w:val="clear" w:color="auto" w:fill="auto"/>
            <w:noWrap/>
            <w:vAlign w:val="center"/>
            <w:hideMark/>
          </w:tcPr>
          <w:p w14:paraId="51FB3F1F"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$475,338 </w:t>
            </w:r>
          </w:p>
        </w:tc>
        <w:tc>
          <w:tcPr>
            <w:tcW w:w="1355" w:type="dxa"/>
            <w:tcBorders>
              <w:top w:val="nil"/>
              <w:left w:val="nil"/>
              <w:bottom w:val="single" w:sz="8" w:space="0" w:color="auto"/>
              <w:right w:val="single" w:sz="8" w:space="0" w:color="auto"/>
            </w:tcBorders>
            <w:shd w:val="clear" w:color="auto" w:fill="auto"/>
            <w:noWrap/>
            <w:vAlign w:val="center"/>
            <w:hideMark/>
          </w:tcPr>
          <w:p w14:paraId="2EB165D9"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2.42%</w:t>
            </w:r>
          </w:p>
        </w:tc>
      </w:tr>
      <w:tr w:rsidR="00C93C49" w:rsidRPr="00C93C49" w14:paraId="798E48AA" w14:textId="77777777" w:rsidTr="00347614">
        <w:trPr>
          <w:trHeight w:val="254"/>
          <w:jc w:val="center"/>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14:paraId="31AE73D2" w14:textId="77777777" w:rsidR="00C93C49" w:rsidRPr="00C93C49" w:rsidRDefault="00C93C49" w:rsidP="00C93C49">
            <w:pPr>
              <w:spacing w:after="0" w:line="240" w:lineRule="auto"/>
              <w:jc w:val="center"/>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2015</w:t>
            </w:r>
          </w:p>
        </w:tc>
        <w:tc>
          <w:tcPr>
            <w:tcW w:w="1329" w:type="dxa"/>
            <w:tcBorders>
              <w:top w:val="nil"/>
              <w:left w:val="nil"/>
              <w:bottom w:val="single" w:sz="8" w:space="0" w:color="auto"/>
              <w:right w:val="single" w:sz="8" w:space="0" w:color="auto"/>
            </w:tcBorders>
            <w:shd w:val="clear" w:color="auto" w:fill="auto"/>
            <w:noWrap/>
            <w:vAlign w:val="center"/>
            <w:hideMark/>
          </w:tcPr>
          <w:p w14:paraId="0C9E2040"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$16,595,634 </w:t>
            </w:r>
          </w:p>
        </w:tc>
        <w:tc>
          <w:tcPr>
            <w:tcW w:w="1305" w:type="dxa"/>
            <w:tcBorders>
              <w:top w:val="nil"/>
              <w:left w:val="nil"/>
              <w:bottom w:val="single" w:sz="8" w:space="0" w:color="auto"/>
              <w:right w:val="single" w:sz="8" w:space="0" w:color="auto"/>
            </w:tcBorders>
            <w:shd w:val="clear" w:color="auto" w:fill="auto"/>
            <w:noWrap/>
            <w:vAlign w:val="center"/>
            <w:hideMark/>
          </w:tcPr>
          <w:p w14:paraId="2947EC60"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$538,415 </w:t>
            </w:r>
          </w:p>
        </w:tc>
        <w:tc>
          <w:tcPr>
            <w:tcW w:w="1440" w:type="dxa"/>
            <w:tcBorders>
              <w:top w:val="nil"/>
              <w:left w:val="nil"/>
              <w:bottom w:val="single" w:sz="8" w:space="0" w:color="auto"/>
              <w:right w:val="single" w:sz="8" w:space="0" w:color="auto"/>
            </w:tcBorders>
            <w:shd w:val="clear" w:color="auto" w:fill="auto"/>
            <w:noWrap/>
            <w:vAlign w:val="center"/>
            <w:hideMark/>
          </w:tcPr>
          <w:p w14:paraId="4743F066"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2.85%</w:t>
            </w:r>
          </w:p>
        </w:tc>
        <w:tc>
          <w:tcPr>
            <w:tcW w:w="1284" w:type="dxa"/>
            <w:tcBorders>
              <w:top w:val="nil"/>
              <w:left w:val="nil"/>
              <w:bottom w:val="single" w:sz="8" w:space="0" w:color="auto"/>
              <w:right w:val="single" w:sz="8" w:space="0" w:color="auto"/>
            </w:tcBorders>
            <w:shd w:val="clear" w:color="auto" w:fill="auto"/>
            <w:noWrap/>
            <w:vAlign w:val="center"/>
            <w:hideMark/>
          </w:tcPr>
          <w:p w14:paraId="146A4483"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$495,342 </w:t>
            </w:r>
          </w:p>
        </w:tc>
        <w:tc>
          <w:tcPr>
            <w:tcW w:w="1355" w:type="dxa"/>
            <w:tcBorders>
              <w:top w:val="nil"/>
              <w:left w:val="nil"/>
              <w:bottom w:val="single" w:sz="8" w:space="0" w:color="auto"/>
              <w:right w:val="single" w:sz="8" w:space="0" w:color="auto"/>
            </w:tcBorders>
            <w:shd w:val="clear" w:color="auto" w:fill="auto"/>
            <w:noWrap/>
            <w:vAlign w:val="center"/>
            <w:hideMark/>
          </w:tcPr>
          <w:p w14:paraId="4BD305B2"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2.62%</w:t>
            </w:r>
          </w:p>
        </w:tc>
      </w:tr>
      <w:tr w:rsidR="00C93C49" w:rsidRPr="00C93C49" w14:paraId="1AFE6B37" w14:textId="77777777" w:rsidTr="00347614">
        <w:trPr>
          <w:trHeight w:val="254"/>
          <w:jc w:val="center"/>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14:paraId="62869B24" w14:textId="77777777" w:rsidR="00C93C49" w:rsidRPr="00C93C49" w:rsidRDefault="00C93C49" w:rsidP="00C93C49">
            <w:pPr>
              <w:spacing w:after="0" w:line="240" w:lineRule="auto"/>
              <w:jc w:val="center"/>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2016</w:t>
            </w:r>
          </w:p>
        </w:tc>
        <w:tc>
          <w:tcPr>
            <w:tcW w:w="1329" w:type="dxa"/>
            <w:tcBorders>
              <w:top w:val="nil"/>
              <w:left w:val="nil"/>
              <w:bottom w:val="single" w:sz="8" w:space="0" w:color="auto"/>
              <w:right w:val="single" w:sz="8" w:space="0" w:color="auto"/>
            </w:tcBorders>
            <w:shd w:val="clear" w:color="auto" w:fill="auto"/>
            <w:noWrap/>
            <w:vAlign w:val="center"/>
            <w:hideMark/>
          </w:tcPr>
          <w:p w14:paraId="60FA97CE"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$16,301,503 </w:t>
            </w:r>
          </w:p>
        </w:tc>
        <w:tc>
          <w:tcPr>
            <w:tcW w:w="1305" w:type="dxa"/>
            <w:tcBorders>
              <w:top w:val="nil"/>
              <w:left w:val="nil"/>
              <w:bottom w:val="single" w:sz="8" w:space="0" w:color="auto"/>
              <w:right w:val="single" w:sz="8" w:space="0" w:color="auto"/>
            </w:tcBorders>
            <w:shd w:val="clear" w:color="auto" w:fill="auto"/>
            <w:noWrap/>
            <w:vAlign w:val="center"/>
            <w:hideMark/>
          </w:tcPr>
          <w:p w14:paraId="089EB0FA"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$556,608 </w:t>
            </w:r>
          </w:p>
        </w:tc>
        <w:tc>
          <w:tcPr>
            <w:tcW w:w="1440" w:type="dxa"/>
            <w:tcBorders>
              <w:top w:val="nil"/>
              <w:left w:val="nil"/>
              <w:bottom w:val="single" w:sz="8" w:space="0" w:color="auto"/>
              <w:right w:val="single" w:sz="8" w:space="0" w:color="auto"/>
            </w:tcBorders>
            <w:shd w:val="clear" w:color="auto" w:fill="auto"/>
            <w:noWrap/>
            <w:vAlign w:val="center"/>
            <w:hideMark/>
          </w:tcPr>
          <w:p w14:paraId="4AF812F4"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3.20%</w:t>
            </w:r>
          </w:p>
        </w:tc>
        <w:tc>
          <w:tcPr>
            <w:tcW w:w="1284" w:type="dxa"/>
            <w:tcBorders>
              <w:top w:val="nil"/>
              <w:left w:val="nil"/>
              <w:bottom w:val="single" w:sz="8" w:space="0" w:color="auto"/>
              <w:right w:val="single" w:sz="8" w:space="0" w:color="auto"/>
            </w:tcBorders>
            <w:shd w:val="clear" w:color="auto" w:fill="auto"/>
            <w:noWrap/>
            <w:vAlign w:val="center"/>
            <w:hideMark/>
          </w:tcPr>
          <w:p w14:paraId="29FBF3F5"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$512,079 </w:t>
            </w:r>
          </w:p>
        </w:tc>
        <w:tc>
          <w:tcPr>
            <w:tcW w:w="1355" w:type="dxa"/>
            <w:tcBorders>
              <w:top w:val="nil"/>
              <w:left w:val="nil"/>
              <w:bottom w:val="single" w:sz="8" w:space="0" w:color="auto"/>
              <w:right w:val="single" w:sz="8" w:space="0" w:color="auto"/>
            </w:tcBorders>
            <w:shd w:val="clear" w:color="auto" w:fill="auto"/>
            <w:noWrap/>
            <w:vAlign w:val="center"/>
            <w:hideMark/>
          </w:tcPr>
          <w:p w14:paraId="41CAC543"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2.95%</w:t>
            </w:r>
          </w:p>
        </w:tc>
      </w:tr>
      <w:tr w:rsidR="00C93C49" w:rsidRPr="00C93C49" w14:paraId="102075B0" w14:textId="77777777" w:rsidTr="00347614">
        <w:trPr>
          <w:trHeight w:val="254"/>
          <w:jc w:val="center"/>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14:paraId="2D63E896" w14:textId="77777777" w:rsidR="00C93C49" w:rsidRPr="00C93C49" w:rsidRDefault="00C93C49" w:rsidP="00C93C49">
            <w:pPr>
              <w:spacing w:after="0" w:line="240" w:lineRule="auto"/>
              <w:jc w:val="center"/>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2017</w:t>
            </w:r>
          </w:p>
        </w:tc>
        <w:tc>
          <w:tcPr>
            <w:tcW w:w="1329" w:type="dxa"/>
            <w:tcBorders>
              <w:top w:val="nil"/>
              <w:left w:val="nil"/>
              <w:bottom w:val="single" w:sz="8" w:space="0" w:color="auto"/>
              <w:right w:val="single" w:sz="8" w:space="0" w:color="auto"/>
            </w:tcBorders>
            <w:shd w:val="clear" w:color="auto" w:fill="auto"/>
            <w:noWrap/>
            <w:vAlign w:val="center"/>
            <w:hideMark/>
          </w:tcPr>
          <w:p w14:paraId="6CDE8088"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$16,557,760 </w:t>
            </w:r>
          </w:p>
        </w:tc>
        <w:tc>
          <w:tcPr>
            <w:tcW w:w="1305" w:type="dxa"/>
            <w:tcBorders>
              <w:top w:val="nil"/>
              <w:left w:val="nil"/>
              <w:bottom w:val="single" w:sz="8" w:space="0" w:color="auto"/>
              <w:right w:val="single" w:sz="8" w:space="0" w:color="auto"/>
            </w:tcBorders>
            <w:shd w:val="clear" w:color="auto" w:fill="auto"/>
            <w:noWrap/>
            <w:vAlign w:val="center"/>
            <w:hideMark/>
          </w:tcPr>
          <w:p w14:paraId="2EF5CA88"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$531,845 </w:t>
            </w:r>
          </w:p>
        </w:tc>
        <w:tc>
          <w:tcPr>
            <w:tcW w:w="1440" w:type="dxa"/>
            <w:tcBorders>
              <w:top w:val="nil"/>
              <w:left w:val="nil"/>
              <w:bottom w:val="single" w:sz="8" w:space="0" w:color="auto"/>
              <w:right w:val="single" w:sz="8" w:space="0" w:color="auto"/>
            </w:tcBorders>
            <w:shd w:val="clear" w:color="auto" w:fill="auto"/>
            <w:noWrap/>
            <w:vAlign w:val="center"/>
            <w:hideMark/>
          </w:tcPr>
          <w:p w14:paraId="26679741"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3.23%</w:t>
            </w:r>
          </w:p>
        </w:tc>
        <w:tc>
          <w:tcPr>
            <w:tcW w:w="1284" w:type="dxa"/>
            <w:tcBorders>
              <w:top w:val="nil"/>
              <w:left w:val="nil"/>
              <w:bottom w:val="single" w:sz="8" w:space="0" w:color="auto"/>
              <w:right w:val="single" w:sz="8" w:space="0" w:color="auto"/>
            </w:tcBorders>
            <w:shd w:val="clear" w:color="auto" w:fill="auto"/>
            <w:noWrap/>
            <w:vAlign w:val="center"/>
            <w:hideMark/>
          </w:tcPr>
          <w:p w14:paraId="6F2255E7"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$489,297 </w:t>
            </w:r>
          </w:p>
        </w:tc>
        <w:tc>
          <w:tcPr>
            <w:tcW w:w="1355" w:type="dxa"/>
            <w:tcBorders>
              <w:top w:val="nil"/>
              <w:left w:val="nil"/>
              <w:bottom w:val="single" w:sz="8" w:space="0" w:color="auto"/>
              <w:right w:val="single" w:sz="8" w:space="0" w:color="auto"/>
            </w:tcBorders>
            <w:shd w:val="clear" w:color="auto" w:fill="auto"/>
            <w:noWrap/>
            <w:vAlign w:val="center"/>
            <w:hideMark/>
          </w:tcPr>
          <w:p w14:paraId="13466F17"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2.97%</w:t>
            </w:r>
          </w:p>
        </w:tc>
      </w:tr>
      <w:tr w:rsidR="00C93C49" w:rsidRPr="00C93C49" w14:paraId="68D1732E" w14:textId="77777777" w:rsidTr="00347614">
        <w:trPr>
          <w:trHeight w:val="254"/>
          <w:jc w:val="center"/>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14:paraId="484F9A7B" w14:textId="77777777" w:rsidR="00C93C49" w:rsidRPr="00C93C49" w:rsidRDefault="00C93C49" w:rsidP="00C93C49">
            <w:pPr>
              <w:spacing w:after="0" w:line="240" w:lineRule="auto"/>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Penn Power</w:t>
            </w:r>
          </w:p>
        </w:tc>
        <w:tc>
          <w:tcPr>
            <w:tcW w:w="1329" w:type="dxa"/>
            <w:tcBorders>
              <w:top w:val="nil"/>
              <w:left w:val="nil"/>
              <w:bottom w:val="single" w:sz="8" w:space="0" w:color="auto"/>
              <w:right w:val="single" w:sz="8" w:space="0" w:color="auto"/>
            </w:tcBorders>
            <w:shd w:val="clear" w:color="auto" w:fill="auto"/>
            <w:noWrap/>
            <w:hideMark/>
          </w:tcPr>
          <w:p w14:paraId="30E64DB5" w14:textId="77777777" w:rsidR="00C93C49" w:rsidRPr="00C93C49" w:rsidRDefault="00C93C49" w:rsidP="00C93C49">
            <w:pPr>
              <w:spacing w:after="0" w:line="240" w:lineRule="auto"/>
              <w:rPr>
                <w:rFonts w:ascii="Times New Roman" w:eastAsia="Times New Roman" w:hAnsi="Times New Roman" w:cs="Times New Roman"/>
                <w:color w:val="000000"/>
                <w:sz w:val="20"/>
                <w:szCs w:val="20"/>
              </w:rPr>
            </w:pPr>
            <w:r w:rsidRPr="00C93C49">
              <w:rPr>
                <w:rFonts w:ascii="Times New Roman" w:eastAsia="Times New Roman" w:hAnsi="Times New Roman" w:cs="Times New Roman"/>
                <w:color w:val="000000"/>
                <w:sz w:val="20"/>
                <w:szCs w:val="20"/>
              </w:rPr>
              <w:t> </w:t>
            </w:r>
          </w:p>
        </w:tc>
        <w:tc>
          <w:tcPr>
            <w:tcW w:w="1305" w:type="dxa"/>
            <w:tcBorders>
              <w:top w:val="nil"/>
              <w:left w:val="nil"/>
              <w:bottom w:val="single" w:sz="8" w:space="0" w:color="auto"/>
              <w:right w:val="single" w:sz="8" w:space="0" w:color="auto"/>
            </w:tcBorders>
            <w:shd w:val="clear" w:color="auto" w:fill="auto"/>
            <w:noWrap/>
            <w:hideMark/>
          </w:tcPr>
          <w:p w14:paraId="0E3FD73F" w14:textId="77777777" w:rsidR="00C93C49" w:rsidRPr="00C93C49" w:rsidRDefault="00C93C49" w:rsidP="00C93C49">
            <w:pPr>
              <w:spacing w:after="0" w:line="240" w:lineRule="auto"/>
              <w:rPr>
                <w:rFonts w:ascii="Times New Roman" w:eastAsia="Times New Roman" w:hAnsi="Times New Roman" w:cs="Times New Roman"/>
                <w:color w:val="000000"/>
                <w:sz w:val="20"/>
                <w:szCs w:val="20"/>
              </w:rPr>
            </w:pPr>
            <w:r w:rsidRPr="00C93C49">
              <w:rPr>
                <w:rFonts w:ascii="Times New Roman" w:eastAsia="Times New Roman" w:hAnsi="Times New Roman" w:cs="Times New Roman"/>
                <w:color w:val="000000"/>
                <w:sz w:val="20"/>
                <w:szCs w:val="20"/>
              </w:rPr>
              <w:t> </w:t>
            </w:r>
          </w:p>
        </w:tc>
        <w:tc>
          <w:tcPr>
            <w:tcW w:w="1440" w:type="dxa"/>
            <w:tcBorders>
              <w:top w:val="nil"/>
              <w:left w:val="nil"/>
              <w:bottom w:val="single" w:sz="8" w:space="0" w:color="auto"/>
              <w:right w:val="single" w:sz="8" w:space="0" w:color="auto"/>
            </w:tcBorders>
            <w:shd w:val="clear" w:color="auto" w:fill="auto"/>
            <w:noWrap/>
            <w:hideMark/>
          </w:tcPr>
          <w:p w14:paraId="42315218" w14:textId="77777777" w:rsidR="00C93C49" w:rsidRPr="00C93C49" w:rsidRDefault="00C93C49" w:rsidP="00C93C49">
            <w:pPr>
              <w:spacing w:after="0" w:line="240" w:lineRule="auto"/>
              <w:rPr>
                <w:rFonts w:ascii="Times New Roman" w:eastAsia="Times New Roman" w:hAnsi="Times New Roman" w:cs="Times New Roman"/>
                <w:b/>
                <w:color w:val="000000"/>
                <w:sz w:val="20"/>
                <w:szCs w:val="20"/>
              </w:rPr>
            </w:pPr>
            <w:r w:rsidRPr="00C93C49">
              <w:rPr>
                <w:rFonts w:ascii="Times New Roman" w:eastAsia="Times New Roman" w:hAnsi="Times New Roman" w:cs="Times New Roman"/>
                <w:b/>
                <w:color w:val="000000"/>
                <w:sz w:val="20"/>
                <w:szCs w:val="20"/>
              </w:rPr>
              <w:t> </w:t>
            </w:r>
          </w:p>
        </w:tc>
        <w:tc>
          <w:tcPr>
            <w:tcW w:w="1284" w:type="dxa"/>
            <w:tcBorders>
              <w:top w:val="nil"/>
              <w:left w:val="nil"/>
              <w:bottom w:val="single" w:sz="8" w:space="0" w:color="auto"/>
              <w:right w:val="single" w:sz="8" w:space="0" w:color="auto"/>
            </w:tcBorders>
            <w:shd w:val="clear" w:color="auto" w:fill="auto"/>
            <w:noWrap/>
            <w:hideMark/>
          </w:tcPr>
          <w:p w14:paraId="7927441F" w14:textId="77777777" w:rsidR="00C93C49" w:rsidRPr="00C93C49" w:rsidRDefault="00C93C49" w:rsidP="00C93C49">
            <w:pPr>
              <w:spacing w:after="0" w:line="240" w:lineRule="auto"/>
              <w:rPr>
                <w:rFonts w:ascii="Times New Roman" w:eastAsia="Times New Roman" w:hAnsi="Times New Roman" w:cs="Times New Roman"/>
                <w:color w:val="000000"/>
                <w:sz w:val="20"/>
                <w:szCs w:val="20"/>
              </w:rPr>
            </w:pPr>
            <w:r w:rsidRPr="00C93C49">
              <w:rPr>
                <w:rFonts w:ascii="Times New Roman" w:eastAsia="Times New Roman" w:hAnsi="Times New Roman" w:cs="Times New Roman"/>
                <w:color w:val="000000"/>
                <w:sz w:val="20"/>
                <w:szCs w:val="20"/>
              </w:rPr>
              <w:t> </w:t>
            </w:r>
          </w:p>
        </w:tc>
        <w:tc>
          <w:tcPr>
            <w:tcW w:w="1355" w:type="dxa"/>
            <w:tcBorders>
              <w:top w:val="nil"/>
              <w:left w:val="nil"/>
              <w:bottom w:val="single" w:sz="8" w:space="0" w:color="auto"/>
              <w:right w:val="single" w:sz="8" w:space="0" w:color="auto"/>
            </w:tcBorders>
            <w:shd w:val="clear" w:color="auto" w:fill="auto"/>
            <w:noWrap/>
            <w:hideMark/>
          </w:tcPr>
          <w:p w14:paraId="726D5E8E" w14:textId="77777777" w:rsidR="00C93C49" w:rsidRPr="00C93C49" w:rsidRDefault="00C93C49" w:rsidP="00C93C49">
            <w:pPr>
              <w:spacing w:after="0" w:line="240" w:lineRule="auto"/>
              <w:rPr>
                <w:rFonts w:ascii="Times New Roman" w:eastAsia="Times New Roman" w:hAnsi="Times New Roman" w:cs="Times New Roman"/>
                <w:b/>
                <w:color w:val="000000"/>
                <w:sz w:val="20"/>
                <w:szCs w:val="20"/>
              </w:rPr>
            </w:pPr>
            <w:r w:rsidRPr="00C93C49">
              <w:rPr>
                <w:rFonts w:ascii="Times New Roman" w:eastAsia="Times New Roman" w:hAnsi="Times New Roman" w:cs="Times New Roman"/>
                <w:b/>
                <w:color w:val="000000"/>
                <w:sz w:val="20"/>
                <w:szCs w:val="20"/>
              </w:rPr>
              <w:t> </w:t>
            </w:r>
          </w:p>
        </w:tc>
      </w:tr>
      <w:tr w:rsidR="00C93C49" w:rsidRPr="00C93C49" w14:paraId="6A7CE798" w14:textId="77777777" w:rsidTr="00347614">
        <w:trPr>
          <w:trHeight w:val="254"/>
          <w:jc w:val="center"/>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14:paraId="463CA6D1" w14:textId="77777777" w:rsidR="00C93C49" w:rsidRPr="00C93C49" w:rsidRDefault="00C93C49" w:rsidP="00C93C49">
            <w:pPr>
              <w:spacing w:after="0" w:line="240" w:lineRule="auto"/>
              <w:jc w:val="center"/>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2014</w:t>
            </w:r>
          </w:p>
        </w:tc>
        <w:tc>
          <w:tcPr>
            <w:tcW w:w="1329" w:type="dxa"/>
            <w:tcBorders>
              <w:top w:val="nil"/>
              <w:left w:val="nil"/>
              <w:bottom w:val="single" w:sz="8" w:space="0" w:color="auto"/>
              <w:right w:val="single" w:sz="8" w:space="0" w:color="auto"/>
            </w:tcBorders>
            <w:shd w:val="clear" w:color="auto" w:fill="auto"/>
            <w:noWrap/>
            <w:vAlign w:val="center"/>
            <w:hideMark/>
          </w:tcPr>
          <w:p w14:paraId="1FD88A7A"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$2,872,056 </w:t>
            </w:r>
          </w:p>
        </w:tc>
        <w:tc>
          <w:tcPr>
            <w:tcW w:w="1305" w:type="dxa"/>
            <w:tcBorders>
              <w:top w:val="nil"/>
              <w:left w:val="nil"/>
              <w:bottom w:val="single" w:sz="8" w:space="0" w:color="auto"/>
              <w:right w:val="single" w:sz="8" w:space="0" w:color="auto"/>
            </w:tcBorders>
            <w:shd w:val="clear" w:color="auto" w:fill="auto"/>
            <w:noWrap/>
            <w:vAlign w:val="center"/>
            <w:hideMark/>
          </w:tcPr>
          <w:p w14:paraId="51452909"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$75,610 </w:t>
            </w:r>
          </w:p>
        </w:tc>
        <w:tc>
          <w:tcPr>
            <w:tcW w:w="1440" w:type="dxa"/>
            <w:tcBorders>
              <w:top w:val="nil"/>
              <w:left w:val="nil"/>
              <w:bottom w:val="single" w:sz="8" w:space="0" w:color="auto"/>
              <w:right w:val="single" w:sz="8" w:space="0" w:color="auto"/>
            </w:tcBorders>
            <w:shd w:val="clear" w:color="auto" w:fill="auto"/>
            <w:noWrap/>
            <w:vAlign w:val="center"/>
            <w:hideMark/>
          </w:tcPr>
          <w:p w14:paraId="65441961"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2.63%</w:t>
            </w:r>
          </w:p>
        </w:tc>
        <w:tc>
          <w:tcPr>
            <w:tcW w:w="1284" w:type="dxa"/>
            <w:tcBorders>
              <w:top w:val="nil"/>
              <w:left w:val="nil"/>
              <w:bottom w:val="single" w:sz="8" w:space="0" w:color="auto"/>
              <w:right w:val="single" w:sz="8" w:space="0" w:color="auto"/>
            </w:tcBorders>
            <w:shd w:val="clear" w:color="auto" w:fill="auto"/>
            <w:noWrap/>
            <w:vAlign w:val="center"/>
            <w:hideMark/>
          </w:tcPr>
          <w:p w14:paraId="008E99A6"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$69,561 </w:t>
            </w:r>
          </w:p>
        </w:tc>
        <w:tc>
          <w:tcPr>
            <w:tcW w:w="1355" w:type="dxa"/>
            <w:tcBorders>
              <w:top w:val="nil"/>
              <w:left w:val="nil"/>
              <w:bottom w:val="single" w:sz="8" w:space="0" w:color="auto"/>
              <w:right w:val="single" w:sz="8" w:space="0" w:color="auto"/>
            </w:tcBorders>
            <w:shd w:val="clear" w:color="auto" w:fill="auto"/>
            <w:noWrap/>
            <w:vAlign w:val="center"/>
            <w:hideMark/>
          </w:tcPr>
          <w:p w14:paraId="79A92EFF"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2.42%</w:t>
            </w:r>
          </w:p>
        </w:tc>
      </w:tr>
      <w:tr w:rsidR="00C93C49" w:rsidRPr="00C93C49" w14:paraId="005953A6" w14:textId="77777777" w:rsidTr="00347614">
        <w:trPr>
          <w:trHeight w:val="254"/>
          <w:jc w:val="center"/>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14:paraId="54CD9A71" w14:textId="77777777" w:rsidR="00C93C49" w:rsidRPr="00C93C49" w:rsidRDefault="00C93C49" w:rsidP="00C93C49">
            <w:pPr>
              <w:spacing w:after="0" w:line="240" w:lineRule="auto"/>
              <w:jc w:val="center"/>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2015</w:t>
            </w:r>
          </w:p>
        </w:tc>
        <w:tc>
          <w:tcPr>
            <w:tcW w:w="1329" w:type="dxa"/>
            <w:tcBorders>
              <w:top w:val="nil"/>
              <w:left w:val="nil"/>
              <w:bottom w:val="single" w:sz="8" w:space="0" w:color="auto"/>
              <w:right w:val="single" w:sz="8" w:space="0" w:color="auto"/>
            </w:tcBorders>
            <w:shd w:val="clear" w:color="auto" w:fill="auto"/>
            <w:noWrap/>
            <w:vAlign w:val="center"/>
            <w:hideMark/>
          </w:tcPr>
          <w:p w14:paraId="6EAAD44A"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$3,297,565 </w:t>
            </w:r>
          </w:p>
        </w:tc>
        <w:tc>
          <w:tcPr>
            <w:tcW w:w="1305" w:type="dxa"/>
            <w:tcBorders>
              <w:top w:val="nil"/>
              <w:left w:val="nil"/>
              <w:bottom w:val="single" w:sz="8" w:space="0" w:color="auto"/>
              <w:right w:val="single" w:sz="8" w:space="0" w:color="auto"/>
            </w:tcBorders>
            <w:shd w:val="clear" w:color="auto" w:fill="auto"/>
            <w:noWrap/>
            <w:vAlign w:val="center"/>
            <w:hideMark/>
          </w:tcPr>
          <w:p w14:paraId="2A9F02A9"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$116,032 </w:t>
            </w:r>
          </w:p>
        </w:tc>
        <w:tc>
          <w:tcPr>
            <w:tcW w:w="1440" w:type="dxa"/>
            <w:tcBorders>
              <w:top w:val="nil"/>
              <w:left w:val="nil"/>
              <w:bottom w:val="single" w:sz="8" w:space="0" w:color="auto"/>
              <w:right w:val="single" w:sz="8" w:space="0" w:color="auto"/>
            </w:tcBorders>
            <w:shd w:val="clear" w:color="auto" w:fill="auto"/>
            <w:noWrap/>
            <w:vAlign w:val="center"/>
            <w:hideMark/>
          </w:tcPr>
          <w:p w14:paraId="3135D6E7"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3.52%</w:t>
            </w:r>
          </w:p>
        </w:tc>
        <w:tc>
          <w:tcPr>
            <w:tcW w:w="1284" w:type="dxa"/>
            <w:tcBorders>
              <w:top w:val="nil"/>
              <w:left w:val="nil"/>
              <w:bottom w:val="single" w:sz="8" w:space="0" w:color="auto"/>
              <w:right w:val="single" w:sz="8" w:space="0" w:color="auto"/>
            </w:tcBorders>
            <w:shd w:val="clear" w:color="auto" w:fill="auto"/>
            <w:noWrap/>
            <w:vAlign w:val="center"/>
            <w:hideMark/>
          </w:tcPr>
          <w:p w14:paraId="798216A9"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$106,749 </w:t>
            </w:r>
          </w:p>
        </w:tc>
        <w:tc>
          <w:tcPr>
            <w:tcW w:w="1355" w:type="dxa"/>
            <w:tcBorders>
              <w:top w:val="nil"/>
              <w:left w:val="nil"/>
              <w:bottom w:val="single" w:sz="8" w:space="0" w:color="auto"/>
              <w:right w:val="single" w:sz="8" w:space="0" w:color="auto"/>
            </w:tcBorders>
            <w:shd w:val="clear" w:color="auto" w:fill="auto"/>
            <w:noWrap/>
            <w:vAlign w:val="center"/>
            <w:hideMark/>
          </w:tcPr>
          <w:p w14:paraId="0EAC3AD2"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3.24%</w:t>
            </w:r>
          </w:p>
        </w:tc>
      </w:tr>
      <w:tr w:rsidR="00C93C49" w:rsidRPr="00C93C49" w14:paraId="4E75563F" w14:textId="77777777" w:rsidTr="00347614">
        <w:trPr>
          <w:trHeight w:val="254"/>
          <w:jc w:val="center"/>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14:paraId="7DEAB41C" w14:textId="77777777" w:rsidR="00C93C49" w:rsidRPr="00C93C49" w:rsidRDefault="00C93C49" w:rsidP="00C93C49">
            <w:pPr>
              <w:spacing w:after="0" w:line="240" w:lineRule="auto"/>
              <w:jc w:val="center"/>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2016</w:t>
            </w:r>
          </w:p>
        </w:tc>
        <w:tc>
          <w:tcPr>
            <w:tcW w:w="1329" w:type="dxa"/>
            <w:tcBorders>
              <w:top w:val="nil"/>
              <w:left w:val="nil"/>
              <w:bottom w:val="single" w:sz="8" w:space="0" w:color="auto"/>
              <w:right w:val="single" w:sz="8" w:space="0" w:color="auto"/>
            </w:tcBorders>
            <w:shd w:val="clear" w:color="auto" w:fill="auto"/>
            <w:noWrap/>
            <w:vAlign w:val="center"/>
            <w:hideMark/>
          </w:tcPr>
          <w:p w14:paraId="300C87D7"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$3,466,381 </w:t>
            </w:r>
          </w:p>
        </w:tc>
        <w:tc>
          <w:tcPr>
            <w:tcW w:w="1305" w:type="dxa"/>
            <w:tcBorders>
              <w:top w:val="nil"/>
              <w:left w:val="nil"/>
              <w:bottom w:val="single" w:sz="8" w:space="0" w:color="auto"/>
              <w:right w:val="single" w:sz="8" w:space="0" w:color="auto"/>
            </w:tcBorders>
            <w:shd w:val="clear" w:color="auto" w:fill="auto"/>
            <w:noWrap/>
            <w:vAlign w:val="center"/>
            <w:hideMark/>
          </w:tcPr>
          <w:p w14:paraId="6BC41A18"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$154,678 </w:t>
            </w:r>
          </w:p>
        </w:tc>
        <w:tc>
          <w:tcPr>
            <w:tcW w:w="1440" w:type="dxa"/>
            <w:tcBorders>
              <w:top w:val="nil"/>
              <w:left w:val="nil"/>
              <w:bottom w:val="single" w:sz="8" w:space="0" w:color="auto"/>
              <w:right w:val="single" w:sz="8" w:space="0" w:color="auto"/>
            </w:tcBorders>
            <w:shd w:val="clear" w:color="auto" w:fill="auto"/>
            <w:noWrap/>
            <w:vAlign w:val="center"/>
            <w:hideMark/>
          </w:tcPr>
          <w:p w14:paraId="5D2A0680"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4.46%</w:t>
            </w:r>
          </w:p>
        </w:tc>
        <w:tc>
          <w:tcPr>
            <w:tcW w:w="1284" w:type="dxa"/>
            <w:tcBorders>
              <w:top w:val="nil"/>
              <w:left w:val="nil"/>
              <w:bottom w:val="single" w:sz="8" w:space="0" w:color="auto"/>
              <w:right w:val="single" w:sz="8" w:space="0" w:color="auto"/>
            </w:tcBorders>
            <w:shd w:val="clear" w:color="auto" w:fill="auto"/>
            <w:noWrap/>
            <w:vAlign w:val="center"/>
            <w:hideMark/>
          </w:tcPr>
          <w:p w14:paraId="3048390A"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$142,304 </w:t>
            </w:r>
          </w:p>
        </w:tc>
        <w:tc>
          <w:tcPr>
            <w:tcW w:w="1355" w:type="dxa"/>
            <w:tcBorders>
              <w:top w:val="nil"/>
              <w:left w:val="nil"/>
              <w:bottom w:val="single" w:sz="8" w:space="0" w:color="auto"/>
              <w:right w:val="single" w:sz="8" w:space="0" w:color="auto"/>
            </w:tcBorders>
            <w:shd w:val="clear" w:color="auto" w:fill="auto"/>
            <w:noWrap/>
            <w:vAlign w:val="center"/>
            <w:hideMark/>
          </w:tcPr>
          <w:p w14:paraId="5DC0F49F"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4.11%</w:t>
            </w:r>
          </w:p>
        </w:tc>
      </w:tr>
      <w:tr w:rsidR="00C93C49" w:rsidRPr="00C93C49" w14:paraId="228A4646" w14:textId="77777777" w:rsidTr="00347614">
        <w:trPr>
          <w:trHeight w:val="254"/>
          <w:jc w:val="center"/>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14:paraId="067A8A9A" w14:textId="77777777" w:rsidR="00C93C49" w:rsidRPr="00C93C49" w:rsidRDefault="00C93C49" w:rsidP="00C93C49">
            <w:pPr>
              <w:spacing w:after="0" w:line="240" w:lineRule="auto"/>
              <w:jc w:val="center"/>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2017</w:t>
            </w:r>
          </w:p>
        </w:tc>
        <w:tc>
          <w:tcPr>
            <w:tcW w:w="1329" w:type="dxa"/>
            <w:tcBorders>
              <w:top w:val="nil"/>
              <w:left w:val="nil"/>
              <w:bottom w:val="single" w:sz="8" w:space="0" w:color="auto"/>
              <w:right w:val="single" w:sz="8" w:space="0" w:color="auto"/>
            </w:tcBorders>
            <w:shd w:val="clear" w:color="auto" w:fill="auto"/>
            <w:noWrap/>
            <w:vAlign w:val="center"/>
            <w:hideMark/>
          </w:tcPr>
          <w:p w14:paraId="2623F603"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$3,722,892 </w:t>
            </w:r>
          </w:p>
        </w:tc>
        <w:tc>
          <w:tcPr>
            <w:tcW w:w="1305" w:type="dxa"/>
            <w:tcBorders>
              <w:top w:val="nil"/>
              <w:left w:val="nil"/>
              <w:bottom w:val="single" w:sz="8" w:space="0" w:color="auto"/>
              <w:right w:val="single" w:sz="8" w:space="0" w:color="auto"/>
            </w:tcBorders>
            <w:shd w:val="clear" w:color="auto" w:fill="auto"/>
            <w:noWrap/>
            <w:vAlign w:val="center"/>
            <w:hideMark/>
          </w:tcPr>
          <w:p w14:paraId="4CA1902E"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$135,672 </w:t>
            </w:r>
          </w:p>
        </w:tc>
        <w:tc>
          <w:tcPr>
            <w:tcW w:w="1440" w:type="dxa"/>
            <w:tcBorders>
              <w:top w:val="nil"/>
              <w:left w:val="nil"/>
              <w:bottom w:val="single" w:sz="8" w:space="0" w:color="auto"/>
              <w:right w:val="single" w:sz="8" w:space="0" w:color="auto"/>
            </w:tcBorders>
            <w:shd w:val="clear" w:color="auto" w:fill="auto"/>
            <w:noWrap/>
            <w:vAlign w:val="center"/>
            <w:hideMark/>
          </w:tcPr>
          <w:p w14:paraId="6D250C4D"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3.64%</w:t>
            </w:r>
          </w:p>
        </w:tc>
        <w:tc>
          <w:tcPr>
            <w:tcW w:w="1284" w:type="dxa"/>
            <w:tcBorders>
              <w:top w:val="nil"/>
              <w:left w:val="nil"/>
              <w:bottom w:val="single" w:sz="8" w:space="0" w:color="auto"/>
              <w:right w:val="single" w:sz="8" w:space="0" w:color="auto"/>
            </w:tcBorders>
            <w:shd w:val="clear" w:color="auto" w:fill="auto"/>
            <w:noWrap/>
            <w:vAlign w:val="center"/>
            <w:hideMark/>
          </w:tcPr>
          <w:p w14:paraId="4155CCC6"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$124,818 </w:t>
            </w:r>
          </w:p>
        </w:tc>
        <w:tc>
          <w:tcPr>
            <w:tcW w:w="1355" w:type="dxa"/>
            <w:tcBorders>
              <w:top w:val="nil"/>
              <w:left w:val="nil"/>
              <w:bottom w:val="single" w:sz="8" w:space="0" w:color="auto"/>
              <w:right w:val="single" w:sz="8" w:space="0" w:color="auto"/>
            </w:tcBorders>
            <w:shd w:val="clear" w:color="auto" w:fill="auto"/>
            <w:noWrap/>
            <w:vAlign w:val="center"/>
            <w:hideMark/>
          </w:tcPr>
          <w:p w14:paraId="139DA9DD"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3.35%</w:t>
            </w:r>
          </w:p>
        </w:tc>
      </w:tr>
      <w:tr w:rsidR="00C93C49" w:rsidRPr="00C93C49" w14:paraId="00E67F45" w14:textId="77777777" w:rsidTr="00347614">
        <w:trPr>
          <w:trHeight w:val="254"/>
          <w:jc w:val="center"/>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14:paraId="2DB6ADBE" w14:textId="77777777" w:rsidR="00C93C49" w:rsidRPr="00C93C49" w:rsidRDefault="00C93C49" w:rsidP="00C93C49">
            <w:pPr>
              <w:spacing w:after="0" w:line="240" w:lineRule="auto"/>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West Penn Power</w:t>
            </w:r>
          </w:p>
        </w:tc>
        <w:tc>
          <w:tcPr>
            <w:tcW w:w="1329" w:type="dxa"/>
            <w:tcBorders>
              <w:top w:val="nil"/>
              <w:left w:val="nil"/>
              <w:bottom w:val="single" w:sz="8" w:space="0" w:color="auto"/>
              <w:right w:val="single" w:sz="8" w:space="0" w:color="auto"/>
            </w:tcBorders>
            <w:shd w:val="clear" w:color="auto" w:fill="auto"/>
            <w:noWrap/>
            <w:hideMark/>
          </w:tcPr>
          <w:p w14:paraId="54342258" w14:textId="77777777" w:rsidR="00C93C49" w:rsidRPr="00C93C49" w:rsidRDefault="00C93C49" w:rsidP="00C93C49">
            <w:pPr>
              <w:spacing w:after="0" w:line="240" w:lineRule="auto"/>
              <w:rPr>
                <w:rFonts w:ascii="Times New Roman" w:eastAsia="Times New Roman" w:hAnsi="Times New Roman" w:cs="Times New Roman"/>
                <w:color w:val="000000"/>
                <w:sz w:val="20"/>
                <w:szCs w:val="20"/>
              </w:rPr>
            </w:pPr>
            <w:r w:rsidRPr="00C93C49">
              <w:rPr>
                <w:rFonts w:ascii="Times New Roman" w:eastAsia="Times New Roman" w:hAnsi="Times New Roman" w:cs="Times New Roman"/>
                <w:color w:val="000000"/>
                <w:sz w:val="20"/>
                <w:szCs w:val="20"/>
              </w:rPr>
              <w:t> </w:t>
            </w:r>
          </w:p>
        </w:tc>
        <w:tc>
          <w:tcPr>
            <w:tcW w:w="1305" w:type="dxa"/>
            <w:tcBorders>
              <w:top w:val="nil"/>
              <w:left w:val="nil"/>
              <w:bottom w:val="single" w:sz="8" w:space="0" w:color="auto"/>
              <w:right w:val="single" w:sz="8" w:space="0" w:color="auto"/>
            </w:tcBorders>
            <w:shd w:val="clear" w:color="auto" w:fill="auto"/>
            <w:noWrap/>
            <w:hideMark/>
          </w:tcPr>
          <w:p w14:paraId="6F167F61" w14:textId="77777777" w:rsidR="00C93C49" w:rsidRPr="00C93C49" w:rsidRDefault="00C93C49" w:rsidP="00C93C49">
            <w:pPr>
              <w:spacing w:after="0" w:line="240" w:lineRule="auto"/>
              <w:rPr>
                <w:rFonts w:ascii="Times New Roman" w:eastAsia="Times New Roman" w:hAnsi="Times New Roman" w:cs="Times New Roman"/>
                <w:color w:val="000000"/>
                <w:sz w:val="20"/>
                <w:szCs w:val="20"/>
              </w:rPr>
            </w:pPr>
            <w:r w:rsidRPr="00C93C49">
              <w:rPr>
                <w:rFonts w:ascii="Times New Roman" w:eastAsia="Times New Roman" w:hAnsi="Times New Roman" w:cs="Times New Roman"/>
                <w:color w:val="000000"/>
                <w:sz w:val="20"/>
                <w:szCs w:val="20"/>
              </w:rPr>
              <w:t> </w:t>
            </w:r>
          </w:p>
        </w:tc>
        <w:tc>
          <w:tcPr>
            <w:tcW w:w="1440" w:type="dxa"/>
            <w:tcBorders>
              <w:top w:val="nil"/>
              <w:left w:val="nil"/>
              <w:bottom w:val="single" w:sz="8" w:space="0" w:color="auto"/>
              <w:right w:val="single" w:sz="8" w:space="0" w:color="auto"/>
            </w:tcBorders>
            <w:shd w:val="clear" w:color="auto" w:fill="auto"/>
            <w:noWrap/>
            <w:hideMark/>
          </w:tcPr>
          <w:p w14:paraId="4D219E47" w14:textId="77777777" w:rsidR="00C93C49" w:rsidRPr="00C93C49" w:rsidRDefault="00C93C49" w:rsidP="00C93C49">
            <w:pPr>
              <w:spacing w:after="0" w:line="240" w:lineRule="auto"/>
              <w:rPr>
                <w:rFonts w:ascii="Times New Roman" w:eastAsia="Times New Roman" w:hAnsi="Times New Roman" w:cs="Times New Roman"/>
                <w:b/>
                <w:color w:val="000000"/>
                <w:sz w:val="20"/>
                <w:szCs w:val="20"/>
              </w:rPr>
            </w:pPr>
            <w:r w:rsidRPr="00C93C49">
              <w:rPr>
                <w:rFonts w:ascii="Times New Roman" w:eastAsia="Times New Roman" w:hAnsi="Times New Roman" w:cs="Times New Roman"/>
                <w:b/>
                <w:color w:val="000000"/>
                <w:sz w:val="20"/>
                <w:szCs w:val="20"/>
              </w:rPr>
              <w:t> </w:t>
            </w:r>
          </w:p>
        </w:tc>
        <w:tc>
          <w:tcPr>
            <w:tcW w:w="1284" w:type="dxa"/>
            <w:tcBorders>
              <w:top w:val="nil"/>
              <w:left w:val="nil"/>
              <w:bottom w:val="single" w:sz="8" w:space="0" w:color="auto"/>
              <w:right w:val="single" w:sz="8" w:space="0" w:color="auto"/>
            </w:tcBorders>
            <w:shd w:val="clear" w:color="auto" w:fill="auto"/>
            <w:noWrap/>
            <w:hideMark/>
          </w:tcPr>
          <w:p w14:paraId="1DC1F551" w14:textId="77777777" w:rsidR="00C93C49" w:rsidRPr="00C93C49" w:rsidRDefault="00C93C49" w:rsidP="00C93C49">
            <w:pPr>
              <w:spacing w:after="0" w:line="240" w:lineRule="auto"/>
              <w:rPr>
                <w:rFonts w:ascii="Times New Roman" w:eastAsia="Times New Roman" w:hAnsi="Times New Roman" w:cs="Times New Roman"/>
                <w:color w:val="000000"/>
                <w:sz w:val="20"/>
                <w:szCs w:val="20"/>
              </w:rPr>
            </w:pPr>
            <w:r w:rsidRPr="00C93C49">
              <w:rPr>
                <w:rFonts w:ascii="Times New Roman" w:eastAsia="Times New Roman" w:hAnsi="Times New Roman" w:cs="Times New Roman"/>
                <w:color w:val="000000"/>
                <w:sz w:val="20"/>
                <w:szCs w:val="20"/>
              </w:rPr>
              <w:t> </w:t>
            </w:r>
          </w:p>
        </w:tc>
        <w:tc>
          <w:tcPr>
            <w:tcW w:w="1355" w:type="dxa"/>
            <w:tcBorders>
              <w:top w:val="nil"/>
              <w:left w:val="nil"/>
              <w:bottom w:val="single" w:sz="8" w:space="0" w:color="auto"/>
              <w:right w:val="single" w:sz="8" w:space="0" w:color="auto"/>
            </w:tcBorders>
            <w:shd w:val="clear" w:color="auto" w:fill="auto"/>
            <w:noWrap/>
            <w:hideMark/>
          </w:tcPr>
          <w:p w14:paraId="34ECF101" w14:textId="77777777" w:rsidR="00C93C49" w:rsidRPr="00C93C49" w:rsidRDefault="00C93C49" w:rsidP="00C93C49">
            <w:pPr>
              <w:spacing w:after="0" w:line="240" w:lineRule="auto"/>
              <w:rPr>
                <w:rFonts w:ascii="Times New Roman" w:eastAsia="Times New Roman" w:hAnsi="Times New Roman" w:cs="Times New Roman"/>
                <w:b/>
                <w:color w:val="000000"/>
                <w:sz w:val="20"/>
                <w:szCs w:val="20"/>
              </w:rPr>
            </w:pPr>
            <w:r w:rsidRPr="00C93C49">
              <w:rPr>
                <w:rFonts w:ascii="Times New Roman" w:eastAsia="Times New Roman" w:hAnsi="Times New Roman" w:cs="Times New Roman"/>
                <w:b/>
                <w:color w:val="000000"/>
                <w:sz w:val="20"/>
                <w:szCs w:val="20"/>
              </w:rPr>
              <w:t> </w:t>
            </w:r>
          </w:p>
        </w:tc>
      </w:tr>
      <w:tr w:rsidR="00C93C49" w:rsidRPr="00C93C49" w14:paraId="32207638" w14:textId="77777777" w:rsidTr="00347614">
        <w:trPr>
          <w:trHeight w:val="254"/>
          <w:jc w:val="center"/>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14:paraId="25AD2D9E" w14:textId="77777777" w:rsidR="00C93C49" w:rsidRPr="00C93C49" w:rsidRDefault="00C93C49" w:rsidP="00C93C49">
            <w:pPr>
              <w:spacing w:after="0" w:line="240" w:lineRule="auto"/>
              <w:jc w:val="center"/>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2014</w:t>
            </w:r>
          </w:p>
        </w:tc>
        <w:tc>
          <w:tcPr>
            <w:tcW w:w="1329" w:type="dxa"/>
            <w:tcBorders>
              <w:top w:val="nil"/>
              <w:left w:val="nil"/>
              <w:bottom w:val="single" w:sz="8" w:space="0" w:color="auto"/>
              <w:right w:val="single" w:sz="8" w:space="0" w:color="auto"/>
            </w:tcBorders>
            <w:shd w:val="clear" w:color="auto" w:fill="auto"/>
            <w:noWrap/>
            <w:vAlign w:val="center"/>
            <w:hideMark/>
          </w:tcPr>
          <w:p w14:paraId="7FBBDF09"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$12,588,426 </w:t>
            </w:r>
          </w:p>
        </w:tc>
        <w:tc>
          <w:tcPr>
            <w:tcW w:w="1305" w:type="dxa"/>
            <w:tcBorders>
              <w:top w:val="nil"/>
              <w:left w:val="nil"/>
              <w:bottom w:val="single" w:sz="8" w:space="0" w:color="auto"/>
              <w:right w:val="single" w:sz="8" w:space="0" w:color="auto"/>
            </w:tcBorders>
            <w:shd w:val="clear" w:color="auto" w:fill="auto"/>
            <w:noWrap/>
            <w:vAlign w:val="center"/>
            <w:hideMark/>
          </w:tcPr>
          <w:p w14:paraId="65686367"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$463,114 </w:t>
            </w:r>
          </w:p>
        </w:tc>
        <w:tc>
          <w:tcPr>
            <w:tcW w:w="1440" w:type="dxa"/>
            <w:tcBorders>
              <w:top w:val="nil"/>
              <w:left w:val="nil"/>
              <w:bottom w:val="single" w:sz="8" w:space="0" w:color="auto"/>
              <w:right w:val="single" w:sz="8" w:space="0" w:color="auto"/>
            </w:tcBorders>
            <w:shd w:val="clear" w:color="auto" w:fill="auto"/>
            <w:noWrap/>
            <w:vAlign w:val="center"/>
            <w:hideMark/>
          </w:tcPr>
          <w:p w14:paraId="70BA43B3"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3.68%</w:t>
            </w:r>
          </w:p>
        </w:tc>
        <w:tc>
          <w:tcPr>
            <w:tcW w:w="1284" w:type="dxa"/>
            <w:tcBorders>
              <w:top w:val="nil"/>
              <w:left w:val="nil"/>
              <w:bottom w:val="single" w:sz="8" w:space="0" w:color="auto"/>
              <w:right w:val="single" w:sz="8" w:space="0" w:color="auto"/>
            </w:tcBorders>
            <w:shd w:val="clear" w:color="auto" w:fill="auto"/>
            <w:noWrap/>
            <w:vAlign w:val="center"/>
            <w:hideMark/>
          </w:tcPr>
          <w:p w14:paraId="34C42FB3"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$426,064 </w:t>
            </w:r>
          </w:p>
        </w:tc>
        <w:tc>
          <w:tcPr>
            <w:tcW w:w="1355" w:type="dxa"/>
            <w:tcBorders>
              <w:top w:val="nil"/>
              <w:left w:val="nil"/>
              <w:bottom w:val="single" w:sz="8" w:space="0" w:color="auto"/>
              <w:right w:val="single" w:sz="8" w:space="0" w:color="auto"/>
            </w:tcBorders>
            <w:shd w:val="clear" w:color="auto" w:fill="auto"/>
            <w:noWrap/>
            <w:vAlign w:val="center"/>
            <w:hideMark/>
          </w:tcPr>
          <w:p w14:paraId="6566C1AA"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3.38%</w:t>
            </w:r>
          </w:p>
        </w:tc>
      </w:tr>
      <w:tr w:rsidR="00C93C49" w:rsidRPr="00C93C49" w14:paraId="47BC9A64" w14:textId="77777777" w:rsidTr="00347614">
        <w:trPr>
          <w:trHeight w:val="254"/>
          <w:jc w:val="center"/>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14:paraId="2264058E" w14:textId="77777777" w:rsidR="00C93C49" w:rsidRPr="00C93C49" w:rsidRDefault="00C93C49" w:rsidP="00C93C49">
            <w:pPr>
              <w:spacing w:after="0" w:line="240" w:lineRule="auto"/>
              <w:jc w:val="center"/>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2015</w:t>
            </w:r>
          </w:p>
        </w:tc>
        <w:tc>
          <w:tcPr>
            <w:tcW w:w="1329" w:type="dxa"/>
            <w:tcBorders>
              <w:top w:val="nil"/>
              <w:left w:val="nil"/>
              <w:bottom w:val="single" w:sz="8" w:space="0" w:color="auto"/>
              <w:right w:val="single" w:sz="8" w:space="0" w:color="auto"/>
            </w:tcBorders>
            <w:shd w:val="clear" w:color="auto" w:fill="auto"/>
            <w:noWrap/>
            <w:vAlign w:val="center"/>
            <w:hideMark/>
          </w:tcPr>
          <w:p w14:paraId="7235EFCD"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$13,478,581 </w:t>
            </w:r>
          </w:p>
        </w:tc>
        <w:tc>
          <w:tcPr>
            <w:tcW w:w="1305" w:type="dxa"/>
            <w:tcBorders>
              <w:top w:val="nil"/>
              <w:left w:val="nil"/>
              <w:bottom w:val="single" w:sz="8" w:space="0" w:color="auto"/>
              <w:right w:val="single" w:sz="8" w:space="0" w:color="auto"/>
            </w:tcBorders>
            <w:shd w:val="clear" w:color="auto" w:fill="auto"/>
            <w:noWrap/>
            <w:vAlign w:val="center"/>
            <w:hideMark/>
          </w:tcPr>
          <w:p w14:paraId="1A3D75CC"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$535,500 </w:t>
            </w:r>
          </w:p>
        </w:tc>
        <w:tc>
          <w:tcPr>
            <w:tcW w:w="1440" w:type="dxa"/>
            <w:tcBorders>
              <w:top w:val="nil"/>
              <w:left w:val="nil"/>
              <w:bottom w:val="single" w:sz="8" w:space="0" w:color="auto"/>
              <w:right w:val="single" w:sz="8" w:space="0" w:color="auto"/>
            </w:tcBorders>
            <w:shd w:val="clear" w:color="auto" w:fill="auto"/>
            <w:noWrap/>
            <w:vAlign w:val="center"/>
            <w:hideMark/>
          </w:tcPr>
          <w:p w14:paraId="42DCE35C"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3.97%</w:t>
            </w:r>
          </w:p>
        </w:tc>
        <w:tc>
          <w:tcPr>
            <w:tcW w:w="1284" w:type="dxa"/>
            <w:tcBorders>
              <w:top w:val="nil"/>
              <w:left w:val="nil"/>
              <w:bottom w:val="single" w:sz="8" w:space="0" w:color="auto"/>
              <w:right w:val="single" w:sz="8" w:space="0" w:color="auto"/>
            </w:tcBorders>
            <w:shd w:val="clear" w:color="auto" w:fill="auto"/>
            <w:noWrap/>
            <w:vAlign w:val="center"/>
            <w:hideMark/>
          </w:tcPr>
          <w:p w14:paraId="2F0B0881"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$492,660 </w:t>
            </w:r>
          </w:p>
        </w:tc>
        <w:tc>
          <w:tcPr>
            <w:tcW w:w="1355" w:type="dxa"/>
            <w:tcBorders>
              <w:top w:val="nil"/>
              <w:left w:val="nil"/>
              <w:bottom w:val="single" w:sz="8" w:space="0" w:color="auto"/>
              <w:right w:val="single" w:sz="8" w:space="0" w:color="auto"/>
            </w:tcBorders>
            <w:shd w:val="clear" w:color="auto" w:fill="auto"/>
            <w:noWrap/>
            <w:vAlign w:val="center"/>
            <w:hideMark/>
          </w:tcPr>
          <w:p w14:paraId="55520CA9"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3.66%</w:t>
            </w:r>
          </w:p>
        </w:tc>
      </w:tr>
      <w:tr w:rsidR="00C93C49" w:rsidRPr="00C93C49" w14:paraId="49C6A2B8" w14:textId="77777777" w:rsidTr="00347614">
        <w:trPr>
          <w:trHeight w:val="254"/>
          <w:jc w:val="center"/>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14:paraId="297BD6DB" w14:textId="77777777" w:rsidR="00C93C49" w:rsidRPr="00C93C49" w:rsidRDefault="00C93C49" w:rsidP="00C93C49">
            <w:pPr>
              <w:spacing w:after="0" w:line="240" w:lineRule="auto"/>
              <w:jc w:val="center"/>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2016</w:t>
            </w:r>
          </w:p>
        </w:tc>
        <w:tc>
          <w:tcPr>
            <w:tcW w:w="1329" w:type="dxa"/>
            <w:tcBorders>
              <w:top w:val="nil"/>
              <w:left w:val="nil"/>
              <w:bottom w:val="single" w:sz="8" w:space="0" w:color="auto"/>
              <w:right w:val="single" w:sz="8" w:space="0" w:color="auto"/>
            </w:tcBorders>
            <w:shd w:val="clear" w:color="auto" w:fill="auto"/>
            <w:noWrap/>
            <w:vAlign w:val="center"/>
            <w:hideMark/>
          </w:tcPr>
          <w:p w14:paraId="0EEE51F3"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$15,584,482 </w:t>
            </w:r>
          </w:p>
        </w:tc>
        <w:tc>
          <w:tcPr>
            <w:tcW w:w="1305" w:type="dxa"/>
            <w:tcBorders>
              <w:top w:val="nil"/>
              <w:left w:val="nil"/>
              <w:bottom w:val="single" w:sz="8" w:space="0" w:color="auto"/>
              <w:right w:val="single" w:sz="8" w:space="0" w:color="auto"/>
            </w:tcBorders>
            <w:shd w:val="clear" w:color="auto" w:fill="auto"/>
            <w:noWrap/>
            <w:vAlign w:val="center"/>
            <w:hideMark/>
          </w:tcPr>
          <w:p w14:paraId="67CA8834"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$590,342 </w:t>
            </w:r>
          </w:p>
        </w:tc>
        <w:tc>
          <w:tcPr>
            <w:tcW w:w="1440" w:type="dxa"/>
            <w:tcBorders>
              <w:top w:val="nil"/>
              <w:left w:val="nil"/>
              <w:bottom w:val="single" w:sz="8" w:space="0" w:color="auto"/>
              <w:right w:val="single" w:sz="8" w:space="0" w:color="auto"/>
            </w:tcBorders>
            <w:shd w:val="clear" w:color="auto" w:fill="auto"/>
            <w:noWrap/>
            <w:vAlign w:val="center"/>
            <w:hideMark/>
          </w:tcPr>
          <w:p w14:paraId="5FD8242E"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3.79%</w:t>
            </w:r>
          </w:p>
        </w:tc>
        <w:tc>
          <w:tcPr>
            <w:tcW w:w="1284" w:type="dxa"/>
            <w:tcBorders>
              <w:top w:val="nil"/>
              <w:left w:val="nil"/>
              <w:bottom w:val="single" w:sz="8" w:space="0" w:color="auto"/>
              <w:right w:val="single" w:sz="8" w:space="0" w:color="auto"/>
            </w:tcBorders>
            <w:shd w:val="clear" w:color="auto" w:fill="auto"/>
            <w:noWrap/>
            <w:vAlign w:val="center"/>
            <w:hideMark/>
          </w:tcPr>
          <w:p w14:paraId="01F0EB21"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$543,114 </w:t>
            </w:r>
          </w:p>
        </w:tc>
        <w:tc>
          <w:tcPr>
            <w:tcW w:w="1355" w:type="dxa"/>
            <w:tcBorders>
              <w:top w:val="nil"/>
              <w:left w:val="nil"/>
              <w:bottom w:val="single" w:sz="8" w:space="0" w:color="auto"/>
              <w:right w:val="single" w:sz="8" w:space="0" w:color="auto"/>
            </w:tcBorders>
            <w:shd w:val="clear" w:color="auto" w:fill="auto"/>
            <w:noWrap/>
            <w:vAlign w:val="center"/>
            <w:hideMark/>
          </w:tcPr>
          <w:p w14:paraId="1279127B"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3.48%</w:t>
            </w:r>
          </w:p>
        </w:tc>
      </w:tr>
      <w:tr w:rsidR="00C93C49" w:rsidRPr="00C93C49" w14:paraId="759DE0D6" w14:textId="77777777" w:rsidTr="00347614">
        <w:trPr>
          <w:trHeight w:val="254"/>
          <w:jc w:val="center"/>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14:paraId="645D59DD" w14:textId="77777777" w:rsidR="00C93C49" w:rsidRPr="00C93C49" w:rsidRDefault="00C93C49" w:rsidP="00C93C49">
            <w:pPr>
              <w:spacing w:after="0" w:line="240" w:lineRule="auto"/>
              <w:jc w:val="center"/>
              <w:rPr>
                <w:rFonts w:ascii="Arial" w:eastAsia="Times New Roman" w:hAnsi="Arial" w:cs="Arial"/>
                <w:b/>
                <w:bCs/>
                <w:color w:val="000000"/>
                <w:sz w:val="20"/>
                <w:szCs w:val="20"/>
              </w:rPr>
            </w:pPr>
            <w:r w:rsidRPr="00C93C49">
              <w:rPr>
                <w:rFonts w:ascii="Arial" w:eastAsia="Times New Roman" w:hAnsi="Arial" w:cs="Arial"/>
                <w:b/>
                <w:bCs/>
                <w:color w:val="000000"/>
                <w:sz w:val="20"/>
                <w:szCs w:val="20"/>
              </w:rPr>
              <w:t>2017</w:t>
            </w:r>
          </w:p>
        </w:tc>
        <w:tc>
          <w:tcPr>
            <w:tcW w:w="1329" w:type="dxa"/>
            <w:tcBorders>
              <w:top w:val="nil"/>
              <w:left w:val="nil"/>
              <w:bottom w:val="single" w:sz="8" w:space="0" w:color="auto"/>
              <w:right w:val="single" w:sz="8" w:space="0" w:color="auto"/>
            </w:tcBorders>
            <w:shd w:val="clear" w:color="auto" w:fill="auto"/>
            <w:noWrap/>
            <w:vAlign w:val="center"/>
            <w:hideMark/>
          </w:tcPr>
          <w:p w14:paraId="6C4D5823"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$16,706,253 </w:t>
            </w:r>
          </w:p>
        </w:tc>
        <w:tc>
          <w:tcPr>
            <w:tcW w:w="1305" w:type="dxa"/>
            <w:tcBorders>
              <w:top w:val="nil"/>
              <w:left w:val="nil"/>
              <w:bottom w:val="single" w:sz="8" w:space="0" w:color="auto"/>
              <w:right w:val="single" w:sz="8" w:space="0" w:color="auto"/>
            </w:tcBorders>
            <w:shd w:val="clear" w:color="auto" w:fill="auto"/>
            <w:noWrap/>
            <w:vAlign w:val="center"/>
            <w:hideMark/>
          </w:tcPr>
          <w:p w14:paraId="6E3B2349"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$525,548 </w:t>
            </w:r>
          </w:p>
        </w:tc>
        <w:tc>
          <w:tcPr>
            <w:tcW w:w="1440" w:type="dxa"/>
            <w:tcBorders>
              <w:top w:val="nil"/>
              <w:left w:val="nil"/>
              <w:bottom w:val="single" w:sz="8" w:space="0" w:color="auto"/>
              <w:right w:val="single" w:sz="8" w:space="0" w:color="auto"/>
            </w:tcBorders>
            <w:shd w:val="clear" w:color="auto" w:fill="auto"/>
            <w:noWrap/>
            <w:vAlign w:val="center"/>
            <w:hideMark/>
          </w:tcPr>
          <w:p w14:paraId="6DC58900"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3.15%</w:t>
            </w:r>
          </w:p>
        </w:tc>
        <w:tc>
          <w:tcPr>
            <w:tcW w:w="1284" w:type="dxa"/>
            <w:tcBorders>
              <w:top w:val="nil"/>
              <w:left w:val="nil"/>
              <w:bottom w:val="single" w:sz="8" w:space="0" w:color="auto"/>
              <w:right w:val="single" w:sz="8" w:space="0" w:color="auto"/>
            </w:tcBorders>
            <w:shd w:val="clear" w:color="auto" w:fill="auto"/>
            <w:noWrap/>
            <w:vAlign w:val="center"/>
            <w:hideMark/>
          </w:tcPr>
          <w:p w14:paraId="4E25AAFA" w14:textId="77777777" w:rsidR="00C93C49" w:rsidRPr="00C93C49" w:rsidRDefault="00C93C49" w:rsidP="00C93C49">
            <w:pPr>
              <w:spacing w:after="0" w:line="240" w:lineRule="auto"/>
              <w:jc w:val="center"/>
              <w:rPr>
                <w:rFonts w:ascii="Arial" w:eastAsia="Times New Roman" w:hAnsi="Arial" w:cs="Arial"/>
                <w:color w:val="000000"/>
                <w:sz w:val="20"/>
                <w:szCs w:val="20"/>
              </w:rPr>
            </w:pPr>
            <w:r w:rsidRPr="00C93C49">
              <w:rPr>
                <w:rFonts w:ascii="Arial" w:eastAsia="Times New Roman" w:hAnsi="Arial" w:cs="Arial"/>
                <w:color w:val="000000"/>
                <w:sz w:val="20"/>
                <w:szCs w:val="20"/>
              </w:rPr>
              <w:t xml:space="preserve">$483,505 </w:t>
            </w:r>
          </w:p>
        </w:tc>
        <w:tc>
          <w:tcPr>
            <w:tcW w:w="1355" w:type="dxa"/>
            <w:tcBorders>
              <w:top w:val="nil"/>
              <w:left w:val="nil"/>
              <w:bottom w:val="single" w:sz="8" w:space="0" w:color="auto"/>
              <w:right w:val="single" w:sz="8" w:space="0" w:color="auto"/>
            </w:tcBorders>
            <w:shd w:val="clear" w:color="auto" w:fill="auto"/>
            <w:noWrap/>
            <w:vAlign w:val="center"/>
            <w:hideMark/>
          </w:tcPr>
          <w:p w14:paraId="161D1AE8"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2.89%</w:t>
            </w:r>
          </w:p>
        </w:tc>
      </w:tr>
    </w:tbl>
    <w:p w14:paraId="44C7788A" w14:textId="77777777" w:rsidR="00493122" w:rsidRPr="00434F0B" w:rsidRDefault="00493122" w:rsidP="00C93C49">
      <w:pPr>
        <w:widowControl w:val="0"/>
        <w:tabs>
          <w:tab w:val="center" w:pos="4680"/>
          <w:tab w:val="left" w:pos="7260"/>
        </w:tabs>
        <w:spacing w:after="0" w:line="20" w:lineRule="atLeast"/>
        <w:ind w:firstLine="360"/>
        <w:rPr>
          <w:rFonts w:ascii="Arial" w:eastAsia="Times New Roman" w:hAnsi="Arial" w:cs="Arial"/>
          <w:snapToGrid w:val="0"/>
          <w:sz w:val="20"/>
          <w:szCs w:val="20"/>
        </w:rPr>
      </w:pPr>
      <w:r>
        <w:rPr>
          <w:rFonts w:ascii="Arial" w:eastAsia="Times New Roman" w:hAnsi="Arial" w:cs="Arial"/>
          <w:snapToGrid w:val="0"/>
          <w:sz w:val="20"/>
          <w:szCs w:val="20"/>
        </w:rPr>
        <w:t>Gross Collection Goals: Threshold – 7.5%; Target – 8.0%; Stretch – 9.0%</w:t>
      </w:r>
    </w:p>
    <w:p w14:paraId="33681748" w14:textId="77777777" w:rsidR="00493122" w:rsidRDefault="00493122" w:rsidP="00C93C49">
      <w:pPr>
        <w:widowControl w:val="0"/>
        <w:tabs>
          <w:tab w:val="center" w:pos="4680"/>
          <w:tab w:val="left" w:pos="7260"/>
        </w:tabs>
        <w:spacing w:after="0" w:line="20" w:lineRule="atLeast"/>
        <w:ind w:firstLine="360"/>
        <w:rPr>
          <w:rFonts w:ascii="Arial" w:eastAsia="Times New Roman" w:hAnsi="Arial" w:cs="Arial"/>
          <w:snapToGrid w:val="0"/>
          <w:sz w:val="18"/>
          <w:szCs w:val="18"/>
        </w:rPr>
      </w:pPr>
    </w:p>
    <w:p w14:paraId="3B51F422" w14:textId="77777777" w:rsidR="00C93C49" w:rsidRPr="00C93C49" w:rsidRDefault="00C93C49" w:rsidP="00C93C49">
      <w:pPr>
        <w:widowControl w:val="0"/>
        <w:tabs>
          <w:tab w:val="center" w:pos="4680"/>
          <w:tab w:val="left" w:pos="7260"/>
        </w:tabs>
        <w:spacing w:after="0" w:line="20" w:lineRule="atLeast"/>
        <w:ind w:firstLine="360"/>
        <w:rPr>
          <w:rFonts w:ascii="Arial" w:eastAsia="Times New Roman" w:hAnsi="Arial" w:cs="Arial"/>
          <w:snapToGrid w:val="0"/>
          <w:sz w:val="18"/>
          <w:szCs w:val="18"/>
        </w:rPr>
      </w:pPr>
      <w:r w:rsidRPr="00C93C49">
        <w:rPr>
          <w:rFonts w:ascii="Arial" w:eastAsia="Times New Roman" w:hAnsi="Arial" w:cs="Arial"/>
          <w:snapToGrid w:val="0"/>
          <w:sz w:val="18"/>
          <w:szCs w:val="18"/>
        </w:rPr>
        <w:t>Source: Data Requests CS-12 and CS-21, and Auditor Analysis</w:t>
      </w:r>
    </w:p>
    <w:p w14:paraId="520F810F" w14:textId="77777777" w:rsidR="00C93C49" w:rsidRPr="00C93C49" w:rsidRDefault="00C93C49" w:rsidP="00C93C49">
      <w:pPr>
        <w:rPr>
          <w:rFonts w:ascii="Arial" w:eastAsia="Times New Roman" w:hAnsi="Arial" w:cs="Arial"/>
          <w:b/>
          <w:snapToGrid w:val="0"/>
          <w:sz w:val="24"/>
          <w:szCs w:val="20"/>
        </w:rPr>
      </w:pPr>
      <w:r w:rsidRPr="00C93C49">
        <w:rPr>
          <w:rFonts w:ascii="Arial" w:eastAsia="Times New Roman" w:hAnsi="Arial" w:cs="Arial"/>
          <w:b/>
          <w:snapToGrid w:val="0"/>
          <w:sz w:val="24"/>
          <w:szCs w:val="20"/>
        </w:rPr>
        <w:br w:type="page"/>
      </w:r>
    </w:p>
    <w:p w14:paraId="37D70BF1" w14:textId="77777777" w:rsidR="00C93C49" w:rsidRPr="00C93C49" w:rsidRDefault="00C93C49" w:rsidP="00C93C49">
      <w:pPr>
        <w:widowControl w:val="0"/>
        <w:spacing w:after="0" w:line="20" w:lineRule="atLeast"/>
        <w:jc w:val="center"/>
        <w:rPr>
          <w:rFonts w:ascii="Arial" w:eastAsia="Times New Roman" w:hAnsi="Arial" w:cs="Arial"/>
          <w:b/>
          <w:sz w:val="24"/>
          <w:szCs w:val="20"/>
        </w:rPr>
      </w:pPr>
      <w:r w:rsidRPr="00C93C49">
        <w:rPr>
          <w:rFonts w:ascii="Arial" w:eastAsia="Times New Roman" w:hAnsi="Arial" w:cs="Arial"/>
          <w:b/>
          <w:snapToGrid w:val="0"/>
          <w:sz w:val="24"/>
          <w:szCs w:val="20"/>
        </w:rPr>
        <w:t xml:space="preserve">Exhibit X – 19 </w:t>
      </w:r>
    </w:p>
    <w:p w14:paraId="4FF2012E"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0"/>
        </w:rPr>
      </w:pPr>
      <w:r w:rsidRPr="00C93C49">
        <w:rPr>
          <w:rFonts w:ascii="Arial" w:eastAsia="Calibri" w:hAnsi="Arial" w:cs="Arial"/>
          <w:b/>
          <w:sz w:val="24"/>
          <w:szCs w:val="24"/>
        </w:rPr>
        <w:t>FirstEnergy Pennsylvania Companies</w:t>
      </w:r>
      <w:r w:rsidRPr="00C93C49">
        <w:rPr>
          <w:rFonts w:ascii="Arial" w:eastAsia="Times New Roman" w:hAnsi="Arial" w:cs="Arial"/>
          <w:b/>
          <w:snapToGrid w:val="0"/>
          <w:sz w:val="24"/>
          <w:szCs w:val="20"/>
        </w:rPr>
        <w:t xml:space="preserve"> </w:t>
      </w:r>
    </w:p>
    <w:p w14:paraId="12241961"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Primary Collection Performance</w:t>
      </w:r>
    </w:p>
    <w:p w14:paraId="0DEE65A6"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For the Period 2014 through 2017</w:t>
      </w:r>
    </w:p>
    <w:p w14:paraId="0DBE48C1"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0"/>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430"/>
        <w:gridCol w:w="1431"/>
        <w:gridCol w:w="1584"/>
        <w:gridCol w:w="1384"/>
        <w:gridCol w:w="1440"/>
      </w:tblGrid>
      <w:tr w:rsidR="00C93C49" w:rsidRPr="00C93C49" w14:paraId="2A2BCAE5" w14:textId="77777777" w:rsidTr="00347614">
        <w:trPr>
          <w:trHeight w:val="252"/>
          <w:jc w:val="center"/>
        </w:trPr>
        <w:tc>
          <w:tcPr>
            <w:tcW w:w="1954" w:type="dxa"/>
            <w:shd w:val="clear" w:color="auto" w:fill="auto"/>
            <w:noWrap/>
            <w:vAlign w:val="bottom"/>
            <w:hideMark/>
          </w:tcPr>
          <w:p w14:paraId="57F9D779"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p>
        </w:tc>
        <w:tc>
          <w:tcPr>
            <w:tcW w:w="1430" w:type="dxa"/>
            <w:shd w:val="clear" w:color="auto" w:fill="auto"/>
            <w:noWrap/>
            <w:vAlign w:val="bottom"/>
            <w:hideMark/>
          </w:tcPr>
          <w:p w14:paraId="26CC221D"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Placements</w:t>
            </w:r>
          </w:p>
        </w:tc>
        <w:tc>
          <w:tcPr>
            <w:tcW w:w="1431" w:type="dxa"/>
            <w:shd w:val="clear" w:color="auto" w:fill="auto"/>
            <w:noWrap/>
            <w:vAlign w:val="bottom"/>
            <w:hideMark/>
          </w:tcPr>
          <w:p w14:paraId="00456E42"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Gross Recoveries</w:t>
            </w:r>
          </w:p>
        </w:tc>
        <w:tc>
          <w:tcPr>
            <w:tcW w:w="1584" w:type="dxa"/>
            <w:shd w:val="clear" w:color="auto" w:fill="auto"/>
            <w:noWrap/>
            <w:vAlign w:val="bottom"/>
            <w:hideMark/>
          </w:tcPr>
          <w:p w14:paraId="02A3848A"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Gross Recovery %</w:t>
            </w:r>
          </w:p>
        </w:tc>
        <w:tc>
          <w:tcPr>
            <w:tcW w:w="1384" w:type="dxa"/>
            <w:shd w:val="clear" w:color="auto" w:fill="auto"/>
            <w:noWrap/>
            <w:vAlign w:val="bottom"/>
            <w:hideMark/>
          </w:tcPr>
          <w:p w14:paraId="56205C34"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Net Recoveries</w:t>
            </w:r>
          </w:p>
        </w:tc>
        <w:tc>
          <w:tcPr>
            <w:tcW w:w="1440" w:type="dxa"/>
            <w:shd w:val="clear" w:color="auto" w:fill="auto"/>
            <w:noWrap/>
            <w:vAlign w:val="bottom"/>
            <w:hideMark/>
          </w:tcPr>
          <w:p w14:paraId="327E1657"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Net Recovery %</w:t>
            </w:r>
          </w:p>
        </w:tc>
      </w:tr>
      <w:tr w:rsidR="00C93C49" w:rsidRPr="00C93C49" w14:paraId="13AD9EE9" w14:textId="77777777" w:rsidTr="00347614">
        <w:trPr>
          <w:trHeight w:val="252"/>
          <w:jc w:val="center"/>
        </w:trPr>
        <w:tc>
          <w:tcPr>
            <w:tcW w:w="1954" w:type="dxa"/>
            <w:shd w:val="clear" w:color="auto" w:fill="auto"/>
            <w:noWrap/>
            <w:vAlign w:val="bottom"/>
            <w:hideMark/>
          </w:tcPr>
          <w:p w14:paraId="6D136B03"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FE-PA Companies</w:t>
            </w:r>
          </w:p>
        </w:tc>
        <w:tc>
          <w:tcPr>
            <w:tcW w:w="1430" w:type="dxa"/>
            <w:shd w:val="clear" w:color="auto" w:fill="auto"/>
            <w:noWrap/>
            <w:vAlign w:val="bottom"/>
            <w:hideMark/>
          </w:tcPr>
          <w:p w14:paraId="1CFD384B"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p>
        </w:tc>
        <w:tc>
          <w:tcPr>
            <w:tcW w:w="1431" w:type="dxa"/>
            <w:shd w:val="clear" w:color="auto" w:fill="auto"/>
            <w:noWrap/>
            <w:vAlign w:val="bottom"/>
            <w:hideMark/>
          </w:tcPr>
          <w:p w14:paraId="396565CB"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p>
        </w:tc>
        <w:tc>
          <w:tcPr>
            <w:tcW w:w="1584" w:type="dxa"/>
            <w:shd w:val="clear" w:color="auto" w:fill="auto"/>
            <w:noWrap/>
            <w:vAlign w:val="bottom"/>
            <w:hideMark/>
          </w:tcPr>
          <w:p w14:paraId="01FF00B4"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p>
        </w:tc>
        <w:tc>
          <w:tcPr>
            <w:tcW w:w="1384" w:type="dxa"/>
            <w:shd w:val="clear" w:color="auto" w:fill="auto"/>
            <w:noWrap/>
            <w:vAlign w:val="bottom"/>
            <w:hideMark/>
          </w:tcPr>
          <w:p w14:paraId="2ECAB8B5"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p>
        </w:tc>
        <w:tc>
          <w:tcPr>
            <w:tcW w:w="1440" w:type="dxa"/>
            <w:shd w:val="clear" w:color="auto" w:fill="auto"/>
            <w:noWrap/>
            <w:vAlign w:val="bottom"/>
            <w:hideMark/>
          </w:tcPr>
          <w:p w14:paraId="321CBDE4"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p>
        </w:tc>
      </w:tr>
      <w:tr w:rsidR="00C93C49" w:rsidRPr="00C93C49" w14:paraId="05371F96" w14:textId="77777777" w:rsidTr="00347614">
        <w:trPr>
          <w:trHeight w:val="252"/>
          <w:jc w:val="center"/>
        </w:trPr>
        <w:tc>
          <w:tcPr>
            <w:tcW w:w="1954" w:type="dxa"/>
            <w:shd w:val="clear" w:color="auto" w:fill="auto"/>
            <w:noWrap/>
            <w:vAlign w:val="bottom"/>
            <w:hideMark/>
          </w:tcPr>
          <w:p w14:paraId="06B60446"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2014</w:t>
            </w:r>
          </w:p>
        </w:tc>
        <w:tc>
          <w:tcPr>
            <w:tcW w:w="1430" w:type="dxa"/>
            <w:shd w:val="clear" w:color="auto" w:fill="auto"/>
            <w:noWrap/>
            <w:vAlign w:val="bottom"/>
            <w:hideMark/>
          </w:tcPr>
          <w:p w14:paraId="0FCEAAAE"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$38,480,285</w:t>
            </w:r>
          </w:p>
        </w:tc>
        <w:tc>
          <w:tcPr>
            <w:tcW w:w="1431" w:type="dxa"/>
            <w:shd w:val="clear" w:color="auto" w:fill="auto"/>
            <w:noWrap/>
            <w:vAlign w:val="bottom"/>
            <w:hideMark/>
          </w:tcPr>
          <w:p w14:paraId="06768000"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$570,003</w:t>
            </w:r>
          </w:p>
        </w:tc>
        <w:tc>
          <w:tcPr>
            <w:tcW w:w="1584" w:type="dxa"/>
            <w:shd w:val="clear" w:color="auto" w:fill="auto"/>
            <w:noWrap/>
            <w:vAlign w:val="bottom"/>
            <w:hideMark/>
          </w:tcPr>
          <w:p w14:paraId="0B19289D"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1.48%</w:t>
            </w:r>
          </w:p>
        </w:tc>
        <w:tc>
          <w:tcPr>
            <w:tcW w:w="1384" w:type="dxa"/>
            <w:shd w:val="clear" w:color="auto" w:fill="auto"/>
            <w:noWrap/>
            <w:vAlign w:val="bottom"/>
            <w:hideMark/>
          </w:tcPr>
          <w:p w14:paraId="5F37D3BE"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$466,054</w:t>
            </w:r>
          </w:p>
        </w:tc>
        <w:tc>
          <w:tcPr>
            <w:tcW w:w="1440" w:type="dxa"/>
            <w:shd w:val="clear" w:color="auto" w:fill="auto"/>
            <w:noWrap/>
            <w:vAlign w:val="bottom"/>
            <w:hideMark/>
          </w:tcPr>
          <w:p w14:paraId="7BC30F83"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1.21%</w:t>
            </w:r>
          </w:p>
        </w:tc>
      </w:tr>
      <w:tr w:rsidR="00C93C49" w:rsidRPr="00C93C49" w14:paraId="63458C23" w14:textId="77777777" w:rsidTr="00347614">
        <w:trPr>
          <w:trHeight w:val="252"/>
          <w:jc w:val="center"/>
        </w:trPr>
        <w:tc>
          <w:tcPr>
            <w:tcW w:w="1954" w:type="dxa"/>
            <w:shd w:val="clear" w:color="auto" w:fill="auto"/>
            <w:noWrap/>
            <w:vAlign w:val="bottom"/>
            <w:hideMark/>
          </w:tcPr>
          <w:p w14:paraId="2EC36EDF"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2015</w:t>
            </w:r>
          </w:p>
        </w:tc>
        <w:tc>
          <w:tcPr>
            <w:tcW w:w="1430" w:type="dxa"/>
            <w:shd w:val="clear" w:color="auto" w:fill="auto"/>
            <w:noWrap/>
            <w:vAlign w:val="bottom"/>
            <w:hideMark/>
          </w:tcPr>
          <w:p w14:paraId="1A812F64"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$47,418,362</w:t>
            </w:r>
          </w:p>
        </w:tc>
        <w:tc>
          <w:tcPr>
            <w:tcW w:w="1431" w:type="dxa"/>
            <w:shd w:val="clear" w:color="auto" w:fill="auto"/>
            <w:noWrap/>
            <w:vAlign w:val="bottom"/>
            <w:hideMark/>
          </w:tcPr>
          <w:p w14:paraId="6903C2A7"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$799,391</w:t>
            </w:r>
          </w:p>
        </w:tc>
        <w:tc>
          <w:tcPr>
            <w:tcW w:w="1584" w:type="dxa"/>
            <w:shd w:val="clear" w:color="auto" w:fill="auto"/>
            <w:noWrap/>
            <w:vAlign w:val="bottom"/>
            <w:hideMark/>
          </w:tcPr>
          <w:p w14:paraId="504F6AC4"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1.69%</w:t>
            </w:r>
          </w:p>
        </w:tc>
        <w:tc>
          <w:tcPr>
            <w:tcW w:w="1384" w:type="dxa"/>
            <w:shd w:val="clear" w:color="auto" w:fill="auto"/>
            <w:noWrap/>
            <w:vAlign w:val="bottom"/>
            <w:hideMark/>
          </w:tcPr>
          <w:p w14:paraId="11BFC2D6"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$654,531</w:t>
            </w:r>
          </w:p>
        </w:tc>
        <w:tc>
          <w:tcPr>
            <w:tcW w:w="1440" w:type="dxa"/>
            <w:shd w:val="clear" w:color="auto" w:fill="auto"/>
            <w:noWrap/>
            <w:vAlign w:val="bottom"/>
            <w:hideMark/>
          </w:tcPr>
          <w:p w14:paraId="04A25939"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1.38%</w:t>
            </w:r>
          </w:p>
        </w:tc>
      </w:tr>
      <w:tr w:rsidR="00C93C49" w:rsidRPr="00C93C49" w14:paraId="68FCEDA3" w14:textId="77777777" w:rsidTr="00347614">
        <w:trPr>
          <w:trHeight w:val="252"/>
          <w:jc w:val="center"/>
        </w:trPr>
        <w:tc>
          <w:tcPr>
            <w:tcW w:w="1954" w:type="dxa"/>
            <w:shd w:val="clear" w:color="auto" w:fill="auto"/>
            <w:noWrap/>
            <w:vAlign w:val="bottom"/>
            <w:hideMark/>
          </w:tcPr>
          <w:p w14:paraId="7E1E0FE6"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2016</w:t>
            </w:r>
          </w:p>
        </w:tc>
        <w:tc>
          <w:tcPr>
            <w:tcW w:w="1430" w:type="dxa"/>
            <w:shd w:val="clear" w:color="auto" w:fill="auto"/>
            <w:noWrap/>
            <w:vAlign w:val="bottom"/>
            <w:hideMark/>
          </w:tcPr>
          <w:p w14:paraId="6254EE0D"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$49,204,114</w:t>
            </w:r>
          </w:p>
        </w:tc>
        <w:tc>
          <w:tcPr>
            <w:tcW w:w="1431" w:type="dxa"/>
            <w:shd w:val="clear" w:color="auto" w:fill="auto"/>
            <w:noWrap/>
            <w:vAlign w:val="bottom"/>
            <w:hideMark/>
          </w:tcPr>
          <w:p w14:paraId="6F3D6088"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$825,846</w:t>
            </w:r>
          </w:p>
        </w:tc>
        <w:tc>
          <w:tcPr>
            <w:tcW w:w="1584" w:type="dxa"/>
            <w:shd w:val="clear" w:color="auto" w:fill="auto"/>
            <w:noWrap/>
            <w:vAlign w:val="bottom"/>
            <w:hideMark/>
          </w:tcPr>
          <w:p w14:paraId="20AD2C42"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1.68%</w:t>
            </w:r>
          </w:p>
        </w:tc>
        <w:tc>
          <w:tcPr>
            <w:tcW w:w="1384" w:type="dxa"/>
            <w:shd w:val="clear" w:color="auto" w:fill="auto"/>
            <w:noWrap/>
            <w:vAlign w:val="bottom"/>
            <w:hideMark/>
          </w:tcPr>
          <w:p w14:paraId="2E87945A"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$676,326</w:t>
            </w:r>
          </w:p>
        </w:tc>
        <w:tc>
          <w:tcPr>
            <w:tcW w:w="1440" w:type="dxa"/>
            <w:shd w:val="clear" w:color="auto" w:fill="auto"/>
            <w:noWrap/>
            <w:vAlign w:val="bottom"/>
            <w:hideMark/>
          </w:tcPr>
          <w:p w14:paraId="22531943"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1.37%</w:t>
            </w:r>
          </w:p>
        </w:tc>
      </w:tr>
      <w:tr w:rsidR="00C93C49" w:rsidRPr="00C93C49" w14:paraId="74604846" w14:textId="77777777" w:rsidTr="00347614">
        <w:trPr>
          <w:trHeight w:val="252"/>
          <w:jc w:val="center"/>
        </w:trPr>
        <w:tc>
          <w:tcPr>
            <w:tcW w:w="1954" w:type="dxa"/>
            <w:shd w:val="clear" w:color="auto" w:fill="auto"/>
            <w:noWrap/>
            <w:vAlign w:val="bottom"/>
            <w:hideMark/>
          </w:tcPr>
          <w:p w14:paraId="4A357F4C"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2017</w:t>
            </w:r>
          </w:p>
        </w:tc>
        <w:tc>
          <w:tcPr>
            <w:tcW w:w="1430" w:type="dxa"/>
            <w:shd w:val="clear" w:color="auto" w:fill="auto"/>
            <w:noWrap/>
            <w:vAlign w:val="bottom"/>
            <w:hideMark/>
          </w:tcPr>
          <w:p w14:paraId="016174D5"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$48,216,169</w:t>
            </w:r>
          </w:p>
        </w:tc>
        <w:tc>
          <w:tcPr>
            <w:tcW w:w="1431" w:type="dxa"/>
            <w:shd w:val="clear" w:color="auto" w:fill="auto"/>
            <w:noWrap/>
            <w:vAlign w:val="bottom"/>
            <w:hideMark/>
          </w:tcPr>
          <w:p w14:paraId="12CBCA47"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$884,201</w:t>
            </w:r>
          </w:p>
        </w:tc>
        <w:tc>
          <w:tcPr>
            <w:tcW w:w="1584" w:type="dxa"/>
            <w:shd w:val="clear" w:color="auto" w:fill="auto"/>
            <w:noWrap/>
            <w:vAlign w:val="bottom"/>
            <w:hideMark/>
          </w:tcPr>
          <w:p w14:paraId="2F1BB06E"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1.83%</w:t>
            </w:r>
          </w:p>
        </w:tc>
        <w:tc>
          <w:tcPr>
            <w:tcW w:w="1384" w:type="dxa"/>
            <w:shd w:val="clear" w:color="auto" w:fill="auto"/>
            <w:noWrap/>
            <w:vAlign w:val="bottom"/>
            <w:hideMark/>
          </w:tcPr>
          <w:p w14:paraId="544C3880"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$722,554</w:t>
            </w:r>
          </w:p>
        </w:tc>
        <w:tc>
          <w:tcPr>
            <w:tcW w:w="1440" w:type="dxa"/>
            <w:shd w:val="clear" w:color="auto" w:fill="auto"/>
            <w:noWrap/>
            <w:vAlign w:val="bottom"/>
            <w:hideMark/>
          </w:tcPr>
          <w:p w14:paraId="0B20621A"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1.50%</w:t>
            </w:r>
          </w:p>
        </w:tc>
      </w:tr>
      <w:tr w:rsidR="00C93C49" w:rsidRPr="00C93C49" w14:paraId="1EAB5EA6" w14:textId="77777777" w:rsidTr="00347614">
        <w:trPr>
          <w:trHeight w:val="252"/>
          <w:jc w:val="center"/>
        </w:trPr>
        <w:tc>
          <w:tcPr>
            <w:tcW w:w="1954" w:type="dxa"/>
            <w:shd w:val="clear" w:color="auto" w:fill="auto"/>
            <w:noWrap/>
            <w:vAlign w:val="bottom"/>
            <w:hideMark/>
          </w:tcPr>
          <w:p w14:paraId="2CC1948D" w14:textId="77777777" w:rsidR="00C93C49" w:rsidRPr="00C93C49" w:rsidRDefault="00C93C49" w:rsidP="00C93C49">
            <w:pPr>
              <w:widowControl w:val="0"/>
              <w:spacing w:after="0" w:line="20" w:lineRule="atLeast"/>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Met-Ed</w:t>
            </w:r>
          </w:p>
        </w:tc>
        <w:tc>
          <w:tcPr>
            <w:tcW w:w="1430" w:type="dxa"/>
            <w:shd w:val="clear" w:color="auto" w:fill="auto"/>
            <w:noWrap/>
            <w:vAlign w:val="bottom"/>
            <w:hideMark/>
          </w:tcPr>
          <w:p w14:paraId="196CA716"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p>
        </w:tc>
        <w:tc>
          <w:tcPr>
            <w:tcW w:w="1431" w:type="dxa"/>
            <w:shd w:val="clear" w:color="auto" w:fill="auto"/>
            <w:noWrap/>
            <w:vAlign w:val="bottom"/>
            <w:hideMark/>
          </w:tcPr>
          <w:p w14:paraId="7852C3DE"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p>
        </w:tc>
        <w:tc>
          <w:tcPr>
            <w:tcW w:w="1584" w:type="dxa"/>
            <w:shd w:val="clear" w:color="auto" w:fill="auto"/>
            <w:noWrap/>
            <w:vAlign w:val="bottom"/>
            <w:hideMark/>
          </w:tcPr>
          <w:p w14:paraId="1A31036D"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p>
        </w:tc>
        <w:tc>
          <w:tcPr>
            <w:tcW w:w="1384" w:type="dxa"/>
            <w:shd w:val="clear" w:color="auto" w:fill="auto"/>
            <w:noWrap/>
            <w:vAlign w:val="bottom"/>
            <w:hideMark/>
          </w:tcPr>
          <w:p w14:paraId="655D361A"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p>
        </w:tc>
        <w:tc>
          <w:tcPr>
            <w:tcW w:w="1440" w:type="dxa"/>
            <w:shd w:val="clear" w:color="auto" w:fill="auto"/>
            <w:noWrap/>
            <w:vAlign w:val="bottom"/>
            <w:hideMark/>
          </w:tcPr>
          <w:p w14:paraId="43F1648D"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p>
        </w:tc>
      </w:tr>
      <w:tr w:rsidR="00C93C49" w:rsidRPr="00C93C49" w14:paraId="502019B9" w14:textId="77777777" w:rsidTr="00347614">
        <w:trPr>
          <w:trHeight w:val="252"/>
          <w:jc w:val="center"/>
        </w:trPr>
        <w:tc>
          <w:tcPr>
            <w:tcW w:w="1954" w:type="dxa"/>
            <w:shd w:val="clear" w:color="auto" w:fill="auto"/>
            <w:noWrap/>
            <w:vAlign w:val="bottom"/>
            <w:hideMark/>
          </w:tcPr>
          <w:p w14:paraId="2F5ACF96"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2014</w:t>
            </w:r>
          </w:p>
        </w:tc>
        <w:tc>
          <w:tcPr>
            <w:tcW w:w="1430" w:type="dxa"/>
            <w:shd w:val="clear" w:color="auto" w:fill="auto"/>
            <w:noWrap/>
            <w:vAlign w:val="bottom"/>
            <w:hideMark/>
          </w:tcPr>
          <w:p w14:paraId="49DA79B2"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$15,204,106</w:t>
            </w:r>
          </w:p>
        </w:tc>
        <w:tc>
          <w:tcPr>
            <w:tcW w:w="1431" w:type="dxa"/>
            <w:shd w:val="clear" w:color="auto" w:fill="auto"/>
            <w:noWrap/>
            <w:vAlign w:val="bottom"/>
            <w:hideMark/>
          </w:tcPr>
          <w:p w14:paraId="5D7B7116"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$209,700</w:t>
            </w:r>
          </w:p>
        </w:tc>
        <w:tc>
          <w:tcPr>
            <w:tcW w:w="1584" w:type="dxa"/>
            <w:shd w:val="clear" w:color="auto" w:fill="auto"/>
            <w:noWrap/>
            <w:vAlign w:val="bottom"/>
            <w:hideMark/>
          </w:tcPr>
          <w:p w14:paraId="63AE4782"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1.74%</w:t>
            </w:r>
          </w:p>
        </w:tc>
        <w:tc>
          <w:tcPr>
            <w:tcW w:w="1384" w:type="dxa"/>
            <w:shd w:val="clear" w:color="auto" w:fill="auto"/>
            <w:noWrap/>
            <w:vAlign w:val="bottom"/>
            <w:hideMark/>
          </w:tcPr>
          <w:p w14:paraId="2FFA435C"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$171,523</w:t>
            </w:r>
          </w:p>
        </w:tc>
        <w:tc>
          <w:tcPr>
            <w:tcW w:w="1440" w:type="dxa"/>
            <w:shd w:val="clear" w:color="auto" w:fill="auto"/>
            <w:noWrap/>
            <w:vAlign w:val="bottom"/>
            <w:hideMark/>
          </w:tcPr>
          <w:p w14:paraId="2EF6E0F0"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1.43%</w:t>
            </w:r>
          </w:p>
        </w:tc>
      </w:tr>
      <w:tr w:rsidR="00C93C49" w:rsidRPr="00C93C49" w14:paraId="5B6BF7A2" w14:textId="77777777" w:rsidTr="00347614">
        <w:trPr>
          <w:trHeight w:val="252"/>
          <w:jc w:val="center"/>
        </w:trPr>
        <w:tc>
          <w:tcPr>
            <w:tcW w:w="1954" w:type="dxa"/>
            <w:shd w:val="clear" w:color="auto" w:fill="auto"/>
            <w:noWrap/>
            <w:vAlign w:val="bottom"/>
            <w:hideMark/>
          </w:tcPr>
          <w:p w14:paraId="7A87B36F"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2015</w:t>
            </w:r>
          </w:p>
        </w:tc>
        <w:tc>
          <w:tcPr>
            <w:tcW w:w="1430" w:type="dxa"/>
            <w:shd w:val="clear" w:color="auto" w:fill="auto"/>
            <w:noWrap/>
            <w:vAlign w:val="bottom"/>
            <w:hideMark/>
          </w:tcPr>
          <w:p w14:paraId="42FB9260"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$17,749,302</w:t>
            </w:r>
          </w:p>
        </w:tc>
        <w:tc>
          <w:tcPr>
            <w:tcW w:w="1431" w:type="dxa"/>
            <w:shd w:val="clear" w:color="auto" w:fill="auto"/>
            <w:noWrap/>
            <w:vAlign w:val="bottom"/>
            <w:hideMark/>
          </w:tcPr>
          <w:p w14:paraId="482B39D4"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$315,639</w:t>
            </w:r>
          </w:p>
        </w:tc>
        <w:tc>
          <w:tcPr>
            <w:tcW w:w="1584" w:type="dxa"/>
            <w:shd w:val="clear" w:color="auto" w:fill="auto"/>
            <w:noWrap/>
            <w:vAlign w:val="bottom"/>
            <w:hideMark/>
          </w:tcPr>
          <w:p w14:paraId="3D564266"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2.08%</w:t>
            </w:r>
          </w:p>
        </w:tc>
        <w:tc>
          <w:tcPr>
            <w:tcW w:w="1384" w:type="dxa"/>
            <w:shd w:val="clear" w:color="auto" w:fill="auto"/>
            <w:noWrap/>
            <w:vAlign w:val="bottom"/>
            <w:hideMark/>
          </w:tcPr>
          <w:p w14:paraId="313E085D"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$258,521</w:t>
            </w:r>
          </w:p>
        </w:tc>
        <w:tc>
          <w:tcPr>
            <w:tcW w:w="1440" w:type="dxa"/>
            <w:shd w:val="clear" w:color="auto" w:fill="auto"/>
            <w:noWrap/>
            <w:vAlign w:val="bottom"/>
            <w:hideMark/>
          </w:tcPr>
          <w:p w14:paraId="33D3B24D"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1.70%</w:t>
            </w:r>
          </w:p>
        </w:tc>
      </w:tr>
      <w:tr w:rsidR="00C93C49" w:rsidRPr="00C93C49" w14:paraId="1FF08E3B" w14:textId="77777777" w:rsidTr="00347614">
        <w:trPr>
          <w:trHeight w:val="252"/>
          <w:jc w:val="center"/>
        </w:trPr>
        <w:tc>
          <w:tcPr>
            <w:tcW w:w="1954" w:type="dxa"/>
            <w:shd w:val="clear" w:color="auto" w:fill="auto"/>
            <w:noWrap/>
            <w:vAlign w:val="bottom"/>
            <w:hideMark/>
          </w:tcPr>
          <w:p w14:paraId="5807DC83"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2016</w:t>
            </w:r>
          </w:p>
        </w:tc>
        <w:tc>
          <w:tcPr>
            <w:tcW w:w="1430" w:type="dxa"/>
            <w:shd w:val="clear" w:color="auto" w:fill="auto"/>
            <w:noWrap/>
            <w:vAlign w:val="bottom"/>
            <w:hideMark/>
          </w:tcPr>
          <w:p w14:paraId="40A3858D"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$17,069,900</w:t>
            </w:r>
          </w:p>
        </w:tc>
        <w:tc>
          <w:tcPr>
            <w:tcW w:w="1431" w:type="dxa"/>
            <w:shd w:val="clear" w:color="auto" w:fill="auto"/>
            <w:noWrap/>
            <w:vAlign w:val="bottom"/>
            <w:hideMark/>
          </w:tcPr>
          <w:p w14:paraId="5C4744A4"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$315,538</w:t>
            </w:r>
          </w:p>
        </w:tc>
        <w:tc>
          <w:tcPr>
            <w:tcW w:w="1584" w:type="dxa"/>
            <w:shd w:val="clear" w:color="auto" w:fill="auto"/>
            <w:noWrap/>
            <w:vAlign w:val="bottom"/>
            <w:hideMark/>
          </w:tcPr>
          <w:p w14:paraId="3521404A"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2.08%</w:t>
            </w:r>
          </w:p>
        </w:tc>
        <w:tc>
          <w:tcPr>
            <w:tcW w:w="1384" w:type="dxa"/>
            <w:shd w:val="clear" w:color="auto" w:fill="auto"/>
            <w:noWrap/>
            <w:vAlign w:val="bottom"/>
            <w:hideMark/>
          </w:tcPr>
          <w:p w14:paraId="57AC2242"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$258,465</w:t>
            </w:r>
          </w:p>
        </w:tc>
        <w:tc>
          <w:tcPr>
            <w:tcW w:w="1440" w:type="dxa"/>
            <w:shd w:val="clear" w:color="auto" w:fill="auto"/>
            <w:noWrap/>
            <w:vAlign w:val="bottom"/>
            <w:hideMark/>
          </w:tcPr>
          <w:p w14:paraId="01AB33D8"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1.71%</w:t>
            </w:r>
          </w:p>
        </w:tc>
      </w:tr>
      <w:tr w:rsidR="00C93C49" w:rsidRPr="00C93C49" w14:paraId="5977D7BE" w14:textId="77777777" w:rsidTr="00347614">
        <w:trPr>
          <w:trHeight w:val="252"/>
          <w:jc w:val="center"/>
        </w:trPr>
        <w:tc>
          <w:tcPr>
            <w:tcW w:w="1954" w:type="dxa"/>
            <w:shd w:val="clear" w:color="auto" w:fill="auto"/>
            <w:noWrap/>
            <w:vAlign w:val="bottom"/>
            <w:hideMark/>
          </w:tcPr>
          <w:p w14:paraId="6A8D4014"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2017</w:t>
            </w:r>
          </w:p>
        </w:tc>
        <w:tc>
          <w:tcPr>
            <w:tcW w:w="1430" w:type="dxa"/>
            <w:shd w:val="clear" w:color="auto" w:fill="auto"/>
            <w:noWrap/>
            <w:vAlign w:val="bottom"/>
            <w:hideMark/>
          </w:tcPr>
          <w:p w14:paraId="47E03D85"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$15,624,733</w:t>
            </w:r>
          </w:p>
        </w:tc>
        <w:tc>
          <w:tcPr>
            <w:tcW w:w="1431" w:type="dxa"/>
            <w:shd w:val="clear" w:color="auto" w:fill="auto"/>
            <w:noWrap/>
            <w:vAlign w:val="bottom"/>
            <w:hideMark/>
          </w:tcPr>
          <w:p w14:paraId="00A4F3A2"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$300,826</w:t>
            </w:r>
          </w:p>
        </w:tc>
        <w:tc>
          <w:tcPr>
            <w:tcW w:w="1584" w:type="dxa"/>
            <w:shd w:val="clear" w:color="auto" w:fill="auto"/>
            <w:noWrap/>
            <w:vAlign w:val="bottom"/>
            <w:hideMark/>
          </w:tcPr>
          <w:p w14:paraId="532338EF"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2.08%</w:t>
            </w:r>
          </w:p>
        </w:tc>
        <w:tc>
          <w:tcPr>
            <w:tcW w:w="1384" w:type="dxa"/>
            <w:shd w:val="clear" w:color="auto" w:fill="auto"/>
            <w:noWrap/>
            <w:vAlign w:val="bottom"/>
            <w:hideMark/>
          </w:tcPr>
          <w:p w14:paraId="094C13AD"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$246,411</w:t>
            </w:r>
          </w:p>
        </w:tc>
        <w:tc>
          <w:tcPr>
            <w:tcW w:w="1440" w:type="dxa"/>
            <w:shd w:val="clear" w:color="auto" w:fill="auto"/>
            <w:noWrap/>
            <w:vAlign w:val="bottom"/>
            <w:hideMark/>
          </w:tcPr>
          <w:p w14:paraId="469B9389"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1.70%</w:t>
            </w:r>
          </w:p>
        </w:tc>
      </w:tr>
      <w:tr w:rsidR="00C93C49" w:rsidRPr="00C93C49" w14:paraId="1A50A290" w14:textId="77777777" w:rsidTr="00347614">
        <w:trPr>
          <w:trHeight w:val="252"/>
          <w:jc w:val="center"/>
        </w:trPr>
        <w:tc>
          <w:tcPr>
            <w:tcW w:w="1954" w:type="dxa"/>
            <w:shd w:val="clear" w:color="auto" w:fill="auto"/>
            <w:noWrap/>
            <w:vAlign w:val="bottom"/>
            <w:hideMark/>
          </w:tcPr>
          <w:p w14:paraId="659C8038" w14:textId="77777777" w:rsidR="00C93C49" w:rsidRPr="00C93C49" w:rsidRDefault="00C93C49" w:rsidP="00C93C49">
            <w:pPr>
              <w:widowControl w:val="0"/>
              <w:spacing w:after="0" w:line="20" w:lineRule="atLeast"/>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Penelec</w:t>
            </w:r>
          </w:p>
        </w:tc>
        <w:tc>
          <w:tcPr>
            <w:tcW w:w="1430" w:type="dxa"/>
            <w:shd w:val="clear" w:color="auto" w:fill="auto"/>
            <w:noWrap/>
            <w:vAlign w:val="bottom"/>
            <w:hideMark/>
          </w:tcPr>
          <w:p w14:paraId="3FEFC946"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p>
        </w:tc>
        <w:tc>
          <w:tcPr>
            <w:tcW w:w="1431" w:type="dxa"/>
            <w:shd w:val="clear" w:color="auto" w:fill="auto"/>
            <w:noWrap/>
            <w:vAlign w:val="bottom"/>
            <w:hideMark/>
          </w:tcPr>
          <w:p w14:paraId="6D094F9A"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p>
        </w:tc>
        <w:tc>
          <w:tcPr>
            <w:tcW w:w="1584" w:type="dxa"/>
            <w:shd w:val="clear" w:color="auto" w:fill="auto"/>
            <w:noWrap/>
            <w:vAlign w:val="bottom"/>
            <w:hideMark/>
          </w:tcPr>
          <w:p w14:paraId="193FCA99"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p>
        </w:tc>
        <w:tc>
          <w:tcPr>
            <w:tcW w:w="1384" w:type="dxa"/>
            <w:shd w:val="clear" w:color="auto" w:fill="auto"/>
            <w:noWrap/>
            <w:vAlign w:val="bottom"/>
            <w:hideMark/>
          </w:tcPr>
          <w:p w14:paraId="3F4C089A"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p>
        </w:tc>
        <w:tc>
          <w:tcPr>
            <w:tcW w:w="1440" w:type="dxa"/>
            <w:shd w:val="clear" w:color="auto" w:fill="auto"/>
            <w:noWrap/>
            <w:vAlign w:val="bottom"/>
            <w:hideMark/>
          </w:tcPr>
          <w:p w14:paraId="62F2DE8D"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p>
        </w:tc>
      </w:tr>
      <w:tr w:rsidR="00C93C49" w:rsidRPr="00C93C49" w14:paraId="597AD62E" w14:textId="77777777" w:rsidTr="00347614">
        <w:trPr>
          <w:trHeight w:val="252"/>
          <w:jc w:val="center"/>
        </w:trPr>
        <w:tc>
          <w:tcPr>
            <w:tcW w:w="1954" w:type="dxa"/>
            <w:shd w:val="clear" w:color="auto" w:fill="auto"/>
            <w:noWrap/>
            <w:vAlign w:val="bottom"/>
            <w:hideMark/>
          </w:tcPr>
          <w:p w14:paraId="227931E6"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2014</w:t>
            </w:r>
          </w:p>
        </w:tc>
        <w:tc>
          <w:tcPr>
            <w:tcW w:w="1430" w:type="dxa"/>
            <w:shd w:val="clear" w:color="auto" w:fill="auto"/>
            <w:noWrap/>
            <w:vAlign w:val="bottom"/>
            <w:hideMark/>
          </w:tcPr>
          <w:p w14:paraId="1E7C1841"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$12,025,078</w:t>
            </w:r>
          </w:p>
        </w:tc>
        <w:tc>
          <w:tcPr>
            <w:tcW w:w="1431" w:type="dxa"/>
            <w:shd w:val="clear" w:color="auto" w:fill="auto"/>
            <w:noWrap/>
            <w:vAlign w:val="bottom"/>
            <w:hideMark/>
          </w:tcPr>
          <w:p w14:paraId="19BB24F8"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$160,786</w:t>
            </w:r>
          </w:p>
        </w:tc>
        <w:tc>
          <w:tcPr>
            <w:tcW w:w="1584" w:type="dxa"/>
            <w:shd w:val="clear" w:color="auto" w:fill="auto"/>
            <w:noWrap/>
            <w:vAlign w:val="bottom"/>
            <w:hideMark/>
          </w:tcPr>
          <w:p w14:paraId="3B861024"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1.06%</w:t>
            </w:r>
          </w:p>
        </w:tc>
        <w:tc>
          <w:tcPr>
            <w:tcW w:w="1384" w:type="dxa"/>
            <w:shd w:val="clear" w:color="auto" w:fill="auto"/>
            <w:noWrap/>
            <w:vAlign w:val="bottom"/>
            <w:hideMark/>
          </w:tcPr>
          <w:p w14:paraId="21260AF3"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$131,435</w:t>
            </w:r>
          </w:p>
        </w:tc>
        <w:tc>
          <w:tcPr>
            <w:tcW w:w="1440" w:type="dxa"/>
            <w:shd w:val="clear" w:color="auto" w:fill="auto"/>
            <w:noWrap/>
            <w:vAlign w:val="bottom"/>
            <w:hideMark/>
          </w:tcPr>
          <w:p w14:paraId="4B7EC5E6"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0.86%</w:t>
            </w:r>
          </w:p>
        </w:tc>
      </w:tr>
      <w:tr w:rsidR="00C93C49" w:rsidRPr="00C93C49" w14:paraId="34B3206E" w14:textId="77777777" w:rsidTr="00347614">
        <w:trPr>
          <w:trHeight w:val="252"/>
          <w:jc w:val="center"/>
        </w:trPr>
        <w:tc>
          <w:tcPr>
            <w:tcW w:w="1954" w:type="dxa"/>
            <w:shd w:val="clear" w:color="auto" w:fill="auto"/>
            <w:noWrap/>
            <w:vAlign w:val="bottom"/>
            <w:hideMark/>
          </w:tcPr>
          <w:p w14:paraId="58778371"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2015</w:t>
            </w:r>
          </w:p>
        </w:tc>
        <w:tc>
          <w:tcPr>
            <w:tcW w:w="1430" w:type="dxa"/>
            <w:shd w:val="clear" w:color="auto" w:fill="auto"/>
            <w:noWrap/>
            <w:vAlign w:val="bottom"/>
            <w:hideMark/>
          </w:tcPr>
          <w:p w14:paraId="7BFA72FE"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$15,171,781</w:t>
            </w:r>
          </w:p>
        </w:tc>
        <w:tc>
          <w:tcPr>
            <w:tcW w:w="1431" w:type="dxa"/>
            <w:shd w:val="clear" w:color="auto" w:fill="auto"/>
            <w:noWrap/>
            <w:vAlign w:val="bottom"/>
            <w:hideMark/>
          </w:tcPr>
          <w:p w14:paraId="521A7E85"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$239,695</w:t>
            </w:r>
          </w:p>
        </w:tc>
        <w:tc>
          <w:tcPr>
            <w:tcW w:w="1584" w:type="dxa"/>
            <w:shd w:val="clear" w:color="auto" w:fill="auto"/>
            <w:noWrap/>
            <w:vAlign w:val="bottom"/>
            <w:hideMark/>
          </w:tcPr>
          <w:p w14:paraId="5D74A515"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1.35%</w:t>
            </w:r>
          </w:p>
        </w:tc>
        <w:tc>
          <w:tcPr>
            <w:tcW w:w="1384" w:type="dxa"/>
            <w:shd w:val="clear" w:color="auto" w:fill="auto"/>
            <w:noWrap/>
            <w:vAlign w:val="bottom"/>
            <w:hideMark/>
          </w:tcPr>
          <w:p w14:paraId="5EEDFEA1"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$196,226</w:t>
            </w:r>
          </w:p>
        </w:tc>
        <w:tc>
          <w:tcPr>
            <w:tcW w:w="1440" w:type="dxa"/>
            <w:shd w:val="clear" w:color="auto" w:fill="auto"/>
            <w:noWrap/>
            <w:vAlign w:val="bottom"/>
            <w:hideMark/>
          </w:tcPr>
          <w:p w14:paraId="6B4E44D2"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1.11%</w:t>
            </w:r>
          </w:p>
        </w:tc>
      </w:tr>
      <w:tr w:rsidR="00C93C49" w:rsidRPr="00C93C49" w14:paraId="25AB7595" w14:textId="77777777" w:rsidTr="00347614">
        <w:trPr>
          <w:trHeight w:val="252"/>
          <w:jc w:val="center"/>
        </w:trPr>
        <w:tc>
          <w:tcPr>
            <w:tcW w:w="1954" w:type="dxa"/>
            <w:shd w:val="clear" w:color="auto" w:fill="auto"/>
            <w:noWrap/>
            <w:vAlign w:val="bottom"/>
            <w:hideMark/>
          </w:tcPr>
          <w:p w14:paraId="56EFE46A"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2016</w:t>
            </w:r>
          </w:p>
        </w:tc>
        <w:tc>
          <w:tcPr>
            <w:tcW w:w="1430" w:type="dxa"/>
            <w:shd w:val="clear" w:color="auto" w:fill="auto"/>
            <w:noWrap/>
            <w:vAlign w:val="bottom"/>
            <w:hideMark/>
          </w:tcPr>
          <w:p w14:paraId="4C1AA926"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$15,147,099</w:t>
            </w:r>
          </w:p>
        </w:tc>
        <w:tc>
          <w:tcPr>
            <w:tcW w:w="1431" w:type="dxa"/>
            <w:shd w:val="clear" w:color="auto" w:fill="auto"/>
            <w:noWrap/>
            <w:vAlign w:val="bottom"/>
            <w:hideMark/>
          </w:tcPr>
          <w:p w14:paraId="35D7ED33"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$233,549</w:t>
            </w:r>
          </w:p>
        </w:tc>
        <w:tc>
          <w:tcPr>
            <w:tcW w:w="1584" w:type="dxa"/>
            <w:shd w:val="clear" w:color="auto" w:fill="auto"/>
            <w:noWrap/>
            <w:vAlign w:val="bottom"/>
            <w:hideMark/>
          </w:tcPr>
          <w:p w14:paraId="37B38190"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1.37%</w:t>
            </w:r>
          </w:p>
        </w:tc>
        <w:tc>
          <w:tcPr>
            <w:tcW w:w="1384" w:type="dxa"/>
            <w:shd w:val="clear" w:color="auto" w:fill="auto"/>
            <w:noWrap/>
            <w:vAlign w:val="bottom"/>
            <w:hideMark/>
          </w:tcPr>
          <w:p w14:paraId="7C7E4873"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$191,245</w:t>
            </w:r>
          </w:p>
        </w:tc>
        <w:tc>
          <w:tcPr>
            <w:tcW w:w="1440" w:type="dxa"/>
            <w:shd w:val="clear" w:color="auto" w:fill="auto"/>
            <w:noWrap/>
            <w:vAlign w:val="bottom"/>
            <w:hideMark/>
          </w:tcPr>
          <w:p w14:paraId="13AE6D80"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1.12%</w:t>
            </w:r>
          </w:p>
        </w:tc>
      </w:tr>
      <w:tr w:rsidR="00C93C49" w:rsidRPr="00C93C49" w14:paraId="468BC773" w14:textId="77777777" w:rsidTr="00347614">
        <w:trPr>
          <w:trHeight w:val="252"/>
          <w:jc w:val="center"/>
        </w:trPr>
        <w:tc>
          <w:tcPr>
            <w:tcW w:w="1954" w:type="dxa"/>
            <w:shd w:val="clear" w:color="auto" w:fill="auto"/>
            <w:noWrap/>
            <w:vAlign w:val="bottom"/>
            <w:hideMark/>
          </w:tcPr>
          <w:p w14:paraId="3DCAA3CE"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2017</w:t>
            </w:r>
          </w:p>
        </w:tc>
        <w:tc>
          <w:tcPr>
            <w:tcW w:w="1430" w:type="dxa"/>
            <w:shd w:val="clear" w:color="auto" w:fill="auto"/>
            <w:noWrap/>
            <w:vAlign w:val="bottom"/>
            <w:hideMark/>
          </w:tcPr>
          <w:p w14:paraId="21FAE50A"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$14,465,662</w:t>
            </w:r>
          </w:p>
        </w:tc>
        <w:tc>
          <w:tcPr>
            <w:tcW w:w="1431" w:type="dxa"/>
            <w:shd w:val="clear" w:color="auto" w:fill="auto"/>
            <w:noWrap/>
            <w:vAlign w:val="bottom"/>
            <w:hideMark/>
          </w:tcPr>
          <w:p w14:paraId="313163E3"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$282,479</w:t>
            </w:r>
          </w:p>
        </w:tc>
        <w:tc>
          <w:tcPr>
            <w:tcW w:w="1584" w:type="dxa"/>
            <w:shd w:val="clear" w:color="auto" w:fill="auto"/>
            <w:noWrap/>
            <w:vAlign w:val="bottom"/>
            <w:hideMark/>
          </w:tcPr>
          <w:p w14:paraId="4ED1B83B"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1.81%</w:t>
            </w:r>
          </w:p>
        </w:tc>
        <w:tc>
          <w:tcPr>
            <w:tcW w:w="1384" w:type="dxa"/>
            <w:shd w:val="clear" w:color="auto" w:fill="auto"/>
            <w:noWrap/>
            <w:vAlign w:val="bottom"/>
            <w:hideMark/>
          </w:tcPr>
          <w:p w14:paraId="5E95952F"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$231,382</w:t>
            </w:r>
          </w:p>
        </w:tc>
        <w:tc>
          <w:tcPr>
            <w:tcW w:w="1440" w:type="dxa"/>
            <w:shd w:val="clear" w:color="auto" w:fill="auto"/>
            <w:noWrap/>
            <w:vAlign w:val="bottom"/>
            <w:hideMark/>
          </w:tcPr>
          <w:p w14:paraId="2B891F8A"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1.48%</w:t>
            </w:r>
          </w:p>
        </w:tc>
      </w:tr>
      <w:tr w:rsidR="00C93C49" w:rsidRPr="00C93C49" w14:paraId="6D3DAA20" w14:textId="77777777" w:rsidTr="00347614">
        <w:trPr>
          <w:trHeight w:val="252"/>
          <w:jc w:val="center"/>
        </w:trPr>
        <w:tc>
          <w:tcPr>
            <w:tcW w:w="1954" w:type="dxa"/>
            <w:shd w:val="clear" w:color="auto" w:fill="auto"/>
            <w:noWrap/>
            <w:vAlign w:val="bottom"/>
            <w:hideMark/>
          </w:tcPr>
          <w:p w14:paraId="7B6F6A34" w14:textId="77777777" w:rsidR="00C93C49" w:rsidRPr="00C93C49" w:rsidRDefault="00C93C49" w:rsidP="00C93C49">
            <w:pPr>
              <w:widowControl w:val="0"/>
              <w:spacing w:after="0" w:line="20" w:lineRule="atLeast"/>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Penn Power</w:t>
            </w:r>
          </w:p>
        </w:tc>
        <w:tc>
          <w:tcPr>
            <w:tcW w:w="1430" w:type="dxa"/>
            <w:shd w:val="clear" w:color="auto" w:fill="auto"/>
            <w:noWrap/>
            <w:vAlign w:val="bottom"/>
            <w:hideMark/>
          </w:tcPr>
          <w:p w14:paraId="7C4A4E83"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p>
        </w:tc>
        <w:tc>
          <w:tcPr>
            <w:tcW w:w="1431" w:type="dxa"/>
            <w:shd w:val="clear" w:color="auto" w:fill="auto"/>
            <w:noWrap/>
            <w:vAlign w:val="bottom"/>
            <w:hideMark/>
          </w:tcPr>
          <w:p w14:paraId="49B30115"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p>
        </w:tc>
        <w:tc>
          <w:tcPr>
            <w:tcW w:w="1584" w:type="dxa"/>
            <w:shd w:val="clear" w:color="auto" w:fill="auto"/>
            <w:noWrap/>
            <w:vAlign w:val="bottom"/>
            <w:hideMark/>
          </w:tcPr>
          <w:p w14:paraId="733D6874"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p>
        </w:tc>
        <w:tc>
          <w:tcPr>
            <w:tcW w:w="1384" w:type="dxa"/>
            <w:shd w:val="clear" w:color="auto" w:fill="auto"/>
            <w:noWrap/>
            <w:vAlign w:val="bottom"/>
            <w:hideMark/>
          </w:tcPr>
          <w:p w14:paraId="15DD2494"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p>
        </w:tc>
        <w:tc>
          <w:tcPr>
            <w:tcW w:w="1440" w:type="dxa"/>
            <w:shd w:val="clear" w:color="auto" w:fill="auto"/>
            <w:noWrap/>
            <w:vAlign w:val="bottom"/>
            <w:hideMark/>
          </w:tcPr>
          <w:p w14:paraId="5FD0EDBF"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p>
        </w:tc>
      </w:tr>
      <w:tr w:rsidR="00C93C49" w:rsidRPr="00C93C49" w14:paraId="0EACA710" w14:textId="77777777" w:rsidTr="00347614">
        <w:trPr>
          <w:trHeight w:val="252"/>
          <w:jc w:val="center"/>
        </w:trPr>
        <w:tc>
          <w:tcPr>
            <w:tcW w:w="1954" w:type="dxa"/>
            <w:shd w:val="clear" w:color="auto" w:fill="auto"/>
            <w:noWrap/>
            <w:vAlign w:val="bottom"/>
            <w:hideMark/>
          </w:tcPr>
          <w:p w14:paraId="71B4837C"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2014</w:t>
            </w:r>
          </w:p>
        </w:tc>
        <w:tc>
          <w:tcPr>
            <w:tcW w:w="1430" w:type="dxa"/>
            <w:shd w:val="clear" w:color="auto" w:fill="auto"/>
            <w:noWrap/>
            <w:vAlign w:val="bottom"/>
            <w:hideMark/>
          </w:tcPr>
          <w:p w14:paraId="3525219C"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$2,103,995</w:t>
            </w:r>
          </w:p>
        </w:tc>
        <w:tc>
          <w:tcPr>
            <w:tcW w:w="1431" w:type="dxa"/>
            <w:shd w:val="clear" w:color="auto" w:fill="auto"/>
            <w:noWrap/>
            <w:vAlign w:val="bottom"/>
            <w:hideMark/>
          </w:tcPr>
          <w:p w14:paraId="6C87375C"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$31,141</w:t>
            </w:r>
          </w:p>
        </w:tc>
        <w:tc>
          <w:tcPr>
            <w:tcW w:w="1584" w:type="dxa"/>
            <w:shd w:val="clear" w:color="auto" w:fill="auto"/>
            <w:noWrap/>
            <w:vAlign w:val="bottom"/>
            <w:hideMark/>
          </w:tcPr>
          <w:p w14:paraId="1A63AE86"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1.48%</w:t>
            </w:r>
          </w:p>
        </w:tc>
        <w:tc>
          <w:tcPr>
            <w:tcW w:w="1384" w:type="dxa"/>
            <w:shd w:val="clear" w:color="auto" w:fill="auto"/>
            <w:noWrap/>
            <w:vAlign w:val="bottom"/>
            <w:hideMark/>
          </w:tcPr>
          <w:p w14:paraId="7D2B05F2"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$25,441</w:t>
            </w:r>
          </w:p>
        </w:tc>
        <w:tc>
          <w:tcPr>
            <w:tcW w:w="1440" w:type="dxa"/>
            <w:shd w:val="clear" w:color="auto" w:fill="auto"/>
            <w:noWrap/>
            <w:vAlign w:val="bottom"/>
            <w:hideMark/>
          </w:tcPr>
          <w:p w14:paraId="769008C0"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1.21%</w:t>
            </w:r>
          </w:p>
        </w:tc>
      </w:tr>
      <w:tr w:rsidR="00C93C49" w:rsidRPr="00C93C49" w14:paraId="673B59CC" w14:textId="77777777" w:rsidTr="00347614">
        <w:trPr>
          <w:trHeight w:val="252"/>
          <w:jc w:val="center"/>
        </w:trPr>
        <w:tc>
          <w:tcPr>
            <w:tcW w:w="1954" w:type="dxa"/>
            <w:shd w:val="clear" w:color="auto" w:fill="auto"/>
            <w:noWrap/>
            <w:vAlign w:val="bottom"/>
            <w:hideMark/>
          </w:tcPr>
          <w:p w14:paraId="1091C74A"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2015</w:t>
            </w:r>
          </w:p>
        </w:tc>
        <w:tc>
          <w:tcPr>
            <w:tcW w:w="1430" w:type="dxa"/>
            <w:shd w:val="clear" w:color="auto" w:fill="auto"/>
            <w:noWrap/>
            <w:vAlign w:val="bottom"/>
            <w:hideMark/>
          </w:tcPr>
          <w:p w14:paraId="43971762"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$2,870,485</w:t>
            </w:r>
          </w:p>
        </w:tc>
        <w:tc>
          <w:tcPr>
            <w:tcW w:w="1431" w:type="dxa"/>
            <w:shd w:val="clear" w:color="auto" w:fill="auto"/>
            <w:noWrap/>
            <w:vAlign w:val="bottom"/>
            <w:hideMark/>
          </w:tcPr>
          <w:p w14:paraId="1668D89B"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$44,242</w:t>
            </w:r>
          </w:p>
        </w:tc>
        <w:tc>
          <w:tcPr>
            <w:tcW w:w="1584" w:type="dxa"/>
            <w:shd w:val="clear" w:color="auto" w:fill="auto"/>
            <w:noWrap/>
            <w:vAlign w:val="bottom"/>
            <w:hideMark/>
          </w:tcPr>
          <w:p w14:paraId="4F4A6928"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1.54%</w:t>
            </w:r>
          </w:p>
        </w:tc>
        <w:tc>
          <w:tcPr>
            <w:tcW w:w="1384" w:type="dxa"/>
            <w:shd w:val="clear" w:color="auto" w:fill="auto"/>
            <w:noWrap/>
            <w:vAlign w:val="bottom"/>
            <w:hideMark/>
          </w:tcPr>
          <w:p w14:paraId="74B0FBDE"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$36,212</w:t>
            </w:r>
          </w:p>
        </w:tc>
        <w:tc>
          <w:tcPr>
            <w:tcW w:w="1440" w:type="dxa"/>
            <w:shd w:val="clear" w:color="auto" w:fill="auto"/>
            <w:noWrap/>
            <w:vAlign w:val="bottom"/>
            <w:hideMark/>
          </w:tcPr>
          <w:p w14:paraId="44BB79C5"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1.26%</w:t>
            </w:r>
          </w:p>
        </w:tc>
      </w:tr>
      <w:tr w:rsidR="00C93C49" w:rsidRPr="00C93C49" w14:paraId="1FE3ABC6" w14:textId="77777777" w:rsidTr="00347614">
        <w:trPr>
          <w:trHeight w:val="252"/>
          <w:jc w:val="center"/>
        </w:trPr>
        <w:tc>
          <w:tcPr>
            <w:tcW w:w="1954" w:type="dxa"/>
            <w:shd w:val="clear" w:color="auto" w:fill="auto"/>
            <w:noWrap/>
            <w:vAlign w:val="bottom"/>
            <w:hideMark/>
          </w:tcPr>
          <w:p w14:paraId="6AF0E224"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2016</w:t>
            </w:r>
          </w:p>
        </w:tc>
        <w:tc>
          <w:tcPr>
            <w:tcW w:w="1430" w:type="dxa"/>
            <w:shd w:val="clear" w:color="auto" w:fill="auto"/>
            <w:noWrap/>
            <w:vAlign w:val="bottom"/>
            <w:hideMark/>
          </w:tcPr>
          <w:p w14:paraId="362062A9"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$3,166,412</w:t>
            </w:r>
          </w:p>
        </w:tc>
        <w:tc>
          <w:tcPr>
            <w:tcW w:w="1431" w:type="dxa"/>
            <w:shd w:val="clear" w:color="auto" w:fill="auto"/>
            <w:noWrap/>
            <w:vAlign w:val="bottom"/>
            <w:hideMark/>
          </w:tcPr>
          <w:p w14:paraId="1375B04F"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$44,044</w:t>
            </w:r>
          </w:p>
        </w:tc>
        <w:tc>
          <w:tcPr>
            <w:tcW w:w="1584" w:type="dxa"/>
            <w:shd w:val="clear" w:color="auto" w:fill="auto"/>
            <w:noWrap/>
            <w:vAlign w:val="bottom"/>
            <w:hideMark/>
          </w:tcPr>
          <w:p w14:paraId="24F9820B"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1.39%</w:t>
            </w:r>
          </w:p>
        </w:tc>
        <w:tc>
          <w:tcPr>
            <w:tcW w:w="1384" w:type="dxa"/>
            <w:shd w:val="clear" w:color="auto" w:fill="auto"/>
            <w:noWrap/>
            <w:vAlign w:val="bottom"/>
            <w:hideMark/>
          </w:tcPr>
          <w:p w14:paraId="12FEB471"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$36,062</w:t>
            </w:r>
          </w:p>
        </w:tc>
        <w:tc>
          <w:tcPr>
            <w:tcW w:w="1440" w:type="dxa"/>
            <w:shd w:val="clear" w:color="auto" w:fill="auto"/>
            <w:noWrap/>
            <w:vAlign w:val="bottom"/>
            <w:hideMark/>
          </w:tcPr>
          <w:p w14:paraId="505D21BA"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1.14%</w:t>
            </w:r>
          </w:p>
        </w:tc>
      </w:tr>
      <w:tr w:rsidR="00C93C49" w:rsidRPr="00C93C49" w14:paraId="29A98741" w14:textId="77777777" w:rsidTr="00347614">
        <w:trPr>
          <w:trHeight w:val="252"/>
          <w:jc w:val="center"/>
        </w:trPr>
        <w:tc>
          <w:tcPr>
            <w:tcW w:w="1954" w:type="dxa"/>
            <w:shd w:val="clear" w:color="auto" w:fill="auto"/>
            <w:noWrap/>
            <w:vAlign w:val="bottom"/>
            <w:hideMark/>
          </w:tcPr>
          <w:p w14:paraId="7C417E2D"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2017</w:t>
            </w:r>
          </w:p>
        </w:tc>
        <w:tc>
          <w:tcPr>
            <w:tcW w:w="1430" w:type="dxa"/>
            <w:shd w:val="clear" w:color="auto" w:fill="auto"/>
            <w:noWrap/>
            <w:vAlign w:val="bottom"/>
            <w:hideMark/>
          </w:tcPr>
          <w:p w14:paraId="77928DD7"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$3,302,832</w:t>
            </w:r>
          </w:p>
        </w:tc>
        <w:tc>
          <w:tcPr>
            <w:tcW w:w="1431" w:type="dxa"/>
            <w:shd w:val="clear" w:color="auto" w:fill="auto"/>
            <w:noWrap/>
            <w:vAlign w:val="bottom"/>
            <w:hideMark/>
          </w:tcPr>
          <w:p w14:paraId="4C5856EF"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$49,385</w:t>
            </w:r>
          </w:p>
        </w:tc>
        <w:tc>
          <w:tcPr>
            <w:tcW w:w="1584" w:type="dxa"/>
            <w:shd w:val="clear" w:color="auto" w:fill="auto"/>
            <w:noWrap/>
            <w:vAlign w:val="bottom"/>
            <w:hideMark/>
          </w:tcPr>
          <w:p w14:paraId="740BE2F7"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1.50%</w:t>
            </w:r>
          </w:p>
        </w:tc>
        <w:tc>
          <w:tcPr>
            <w:tcW w:w="1384" w:type="dxa"/>
            <w:shd w:val="clear" w:color="auto" w:fill="auto"/>
            <w:noWrap/>
            <w:vAlign w:val="bottom"/>
            <w:hideMark/>
          </w:tcPr>
          <w:p w14:paraId="070F1D43"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$40,432</w:t>
            </w:r>
          </w:p>
        </w:tc>
        <w:tc>
          <w:tcPr>
            <w:tcW w:w="1440" w:type="dxa"/>
            <w:shd w:val="clear" w:color="auto" w:fill="auto"/>
            <w:noWrap/>
            <w:vAlign w:val="bottom"/>
            <w:hideMark/>
          </w:tcPr>
          <w:p w14:paraId="69E24CCF"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1.22%</w:t>
            </w:r>
          </w:p>
        </w:tc>
      </w:tr>
      <w:tr w:rsidR="00C93C49" w:rsidRPr="00C93C49" w14:paraId="7BCA75B0" w14:textId="77777777" w:rsidTr="00347614">
        <w:trPr>
          <w:trHeight w:val="252"/>
          <w:jc w:val="center"/>
        </w:trPr>
        <w:tc>
          <w:tcPr>
            <w:tcW w:w="1954" w:type="dxa"/>
            <w:shd w:val="clear" w:color="auto" w:fill="auto"/>
            <w:noWrap/>
            <w:vAlign w:val="bottom"/>
            <w:hideMark/>
          </w:tcPr>
          <w:p w14:paraId="67B68B39" w14:textId="77777777" w:rsidR="00C93C49" w:rsidRPr="00C93C49" w:rsidRDefault="00C93C49" w:rsidP="00C93C49">
            <w:pPr>
              <w:widowControl w:val="0"/>
              <w:spacing w:after="0" w:line="20" w:lineRule="atLeast"/>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West Penn Power</w:t>
            </w:r>
          </w:p>
        </w:tc>
        <w:tc>
          <w:tcPr>
            <w:tcW w:w="1430" w:type="dxa"/>
            <w:shd w:val="clear" w:color="auto" w:fill="auto"/>
            <w:noWrap/>
            <w:vAlign w:val="bottom"/>
            <w:hideMark/>
          </w:tcPr>
          <w:p w14:paraId="6107F5E7"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p>
        </w:tc>
        <w:tc>
          <w:tcPr>
            <w:tcW w:w="1431" w:type="dxa"/>
            <w:shd w:val="clear" w:color="auto" w:fill="auto"/>
            <w:noWrap/>
            <w:vAlign w:val="bottom"/>
            <w:hideMark/>
          </w:tcPr>
          <w:p w14:paraId="097183DA"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p>
        </w:tc>
        <w:tc>
          <w:tcPr>
            <w:tcW w:w="1584" w:type="dxa"/>
            <w:shd w:val="clear" w:color="auto" w:fill="auto"/>
            <w:noWrap/>
            <w:vAlign w:val="bottom"/>
            <w:hideMark/>
          </w:tcPr>
          <w:p w14:paraId="62DBE902"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p>
        </w:tc>
        <w:tc>
          <w:tcPr>
            <w:tcW w:w="1384" w:type="dxa"/>
            <w:shd w:val="clear" w:color="auto" w:fill="auto"/>
            <w:noWrap/>
            <w:vAlign w:val="bottom"/>
            <w:hideMark/>
          </w:tcPr>
          <w:p w14:paraId="2986CF04"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p>
        </w:tc>
        <w:tc>
          <w:tcPr>
            <w:tcW w:w="1440" w:type="dxa"/>
            <w:shd w:val="clear" w:color="auto" w:fill="auto"/>
            <w:noWrap/>
            <w:vAlign w:val="bottom"/>
            <w:hideMark/>
          </w:tcPr>
          <w:p w14:paraId="33C08566"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p>
        </w:tc>
      </w:tr>
      <w:tr w:rsidR="00C93C49" w:rsidRPr="00C93C49" w14:paraId="235A800D" w14:textId="77777777" w:rsidTr="00347614">
        <w:trPr>
          <w:trHeight w:val="252"/>
          <w:jc w:val="center"/>
        </w:trPr>
        <w:tc>
          <w:tcPr>
            <w:tcW w:w="1954" w:type="dxa"/>
            <w:shd w:val="clear" w:color="auto" w:fill="auto"/>
            <w:noWrap/>
            <w:vAlign w:val="bottom"/>
            <w:hideMark/>
          </w:tcPr>
          <w:p w14:paraId="2111E6C3"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2014</w:t>
            </w:r>
          </w:p>
        </w:tc>
        <w:tc>
          <w:tcPr>
            <w:tcW w:w="1430" w:type="dxa"/>
            <w:shd w:val="clear" w:color="auto" w:fill="auto"/>
            <w:noWrap/>
            <w:vAlign w:val="bottom"/>
            <w:hideMark/>
          </w:tcPr>
          <w:p w14:paraId="46CE8A33"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$9,147,106</w:t>
            </w:r>
          </w:p>
        </w:tc>
        <w:tc>
          <w:tcPr>
            <w:tcW w:w="1431" w:type="dxa"/>
            <w:shd w:val="clear" w:color="auto" w:fill="auto"/>
            <w:noWrap/>
            <w:vAlign w:val="bottom"/>
            <w:hideMark/>
          </w:tcPr>
          <w:p w14:paraId="7C98ABAD"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$168,377</w:t>
            </w:r>
          </w:p>
        </w:tc>
        <w:tc>
          <w:tcPr>
            <w:tcW w:w="1584" w:type="dxa"/>
            <w:shd w:val="clear" w:color="auto" w:fill="auto"/>
            <w:noWrap/>
            <w:vAlign w:val="bottom"/>
            <w:hideMark/>
          </w:tcPr>
          <w:p w14:paraId="07FF144C"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1.84%</w:t>
            </w:r>
          </w:p>
        </w:tc>
        <w:tc>
          <w:tcPr>
            <w:tcW w:w="1384" w:type="dxa"/>
            <w:shd w:val="clear" w:color="auto" w:fill="auto"/>
            <w:noWrap/>
            <w:vAlign w:val="bottom"/>
            <w:hideMark/>
          </w:tcPr>
          <w:p w14:paraId="5FBA523E"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$137,656</w:t>
            </w:r>
          </w:p>
        </w:tc>
        <w:tc>
          <w:tcPr>
            <w:tcW w:w="1440" w:type="dxa"/>
            <w:shd w:val="clear" w:color="auto" w:fill="auto"/>
            <w:noWrap/>
            <w:vAlign w:val="bottom"/>
            <w:hideMark/>
          </w:tcPr>
          <w:p w14:paraId="09F1FBEE"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1.50%</w:t>
            </w:r>
          </w:p>
        </w:tc>
      </w:tr>
      <w:tr w:rsidR="00C93C49" w:rsidRPr="00C93C49" w14:paraId="199A0837" w14:textId="77777777" w:rsidTr="00347614">
        <w:trPr>
          <w:trHeight w:val="252"/>
          <w:jc w:val="center"/>
        </w:trPr>
        <w:tc>
          <w:tcPr>
            <w:tcW w:w="1954" w:type="dxa"/>
            <w:shd w:val="clear" w:color="auto" w:fill="auto"/>
            <w:noWrap/>
            <w:vAlign w:val="bottom"/>
            <w:hideMark/>
          </w:tcPr>
          <w:p w14:paraId="61EF3B1A"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2015</w:t>
            </w:r>
          </w:p>
        </w:tc>
        <w:tc>
          <w:tcPr>
            <w:tcW w:w="1430" w:type="dxa"/>
            <w:shd w:val="clear" w:color="auto" w:fill="auto"/>
            <w:noWrap/>
            <w:vAlign w:val="bottom"/>
            <w:hideMark/>
          </w:tcPr>
          <w:p w14:paraId="31BB401E"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$11,626,794</w:t>
            </w:r>
          </w:p>
        </w:tc>
        <w:tc>
          <w:tcPr>
            <w:tcW w:w="1431" w:type="dxa"/>
            <w:shd w:val="clear" w:color="auto" w:fill="auto"/>
            <w:noWrap/>
            <w:vAlign w:val="bottom"/>
            <w:hideMark/>
          </w:tcPr>
          <w:p w14:paraId="77979969"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$199,815</w:t>
            </w:r>
          </w:p>
        </w:tc>
        <w:tc>
          <w:tcPr>
            <w:tcW w:w="1584" w:type="dxa"/>
            <w:shd w:val="clear" w:color="auto" w:fill="auto"/>
            <w:noWrap/>
            <w:vAlign w:val="bottom"/>
            <w:hideMark/>
          </w:tcPr>
          <w:p w14:paraId="0DE53B2C"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1.72%</w:t>
            </w:r>
          </w:p>
        </w:tc>
        <w:tc>
          <w:tcPr>
            <w:tcW w:w="1384" w:type="dxa"/>
            <w:shd w:val="clear" w:color="auto" w:fill="auto"/>
            <w:noWrap/>
            <w:vAlign w:val="bottom"/>
            <w:hideMark/>
          </w:tcPr>
          <w:p w14:paraId="2E1BBB5C"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$163,572</w:t>
            </w:r>
          </w:p>
        </w:tc>
        <w:tc>
          <w:tcPr>
            <w:tcW w:w="1440" w:type="dxa"/>
            <w:shd w:val="clear" w:color="auto" w:fill="auto"/>
            <w:noWrap/>
            <w:vAlign w:val="bottom"/>
            <w:hideMark/>
          </w:tcPr>
          <w:p w14:paraId="78EF90FC"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1.41%</w:t>
            </w:r>
          </w:p>
        </w:tc>
      </w:tr>
      <w:tr w:rsidR="00C93C49" w:rsidRPr="00C93C49" w14:paraId="4FDF99EF" w14:textId="77777777" w:rsidTr="00347614">
        <w:trPr>
          <w:trHeight w:val="252"/>
          <w:jc w:val="center"/>
        </w:trPr>
        <w:tc>
          <w:tcPr>
            <w:tcW w:w="1954" w:type="dxa"/>
            <w:shd w:val="clear" w:color="auto" w:fill="auto"/>
            <w:noWrap/>
            <w:vAlign w:val="bottom"/>
            <w:hideMark/>
          </w:tcPr>
          <w:p w14:paraId="4539D26A"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2016</w:t>
            </w:r>
          </w:p>
        </w:tc>
        <w:tc>
          <w:tcPr>
            <w:tcW w:w="1430" w:type="dxa"/>
            <w:shd w:val="clear" w:color="auto" w:fill="auto"/>
            <w:noWrap/>
            <w:vAlign w:val="bottom"/>
            <w:hideMark/>
          </w:tcPr>
          <w:p w14:paraId="5649FB55"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$13,820,704</w:t>
            </w:r>
          </w:p>
        </w:tc>
        <w:tc>
          <w:tcPr>
            <w:tcW w:w="1431" w:type="dxa"/>
            <w:shd w:val="clear" w:color="auto" w:fill="auto"/>
            <w:noWrap/>
            <w:vAlign w:val="bottom"/>
            <w:hideMark/>
          </w:tcPr>
          <w:p w14:paraId="6F3BC903"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$232,715</w:t>
            </w:r>
          </w:p>
        </w:tc>
        <w:tc>
          <w:tcPr>
            <w:tcW w:w="1584" w:type="dxa"/>
            <w:shd w:val="clear" w:color="auto" w:fill="auto"/>
            <w:noWrap/>
            <w:vAlign w:val="bottom"/>
            <w:hideMark/>
          </w:tcPr>
          <w:p w14:paraId="639B6FD3"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1.68%</w:t>
            </w:r>
          </w:p>
        </w:tc>
        <w:tc>
          <w:tcPr>
            <w:tcW w:w="1384" w:type="dxa"/>
            <w:shd w:val="clear" w:color="auto" w:fill="auto"/>
            <w:noWrap/>
            <w:vAlign w:val="bottom"/>
            <w:hideMark/>
          </w:tcPr>
          <w:p w14:paraId="5D1DD5AE"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$190,554</w:t>
            </w:r>
          </w:p>
        </w:tc>
        <w:tc>
          <w:tcPr>
            <w:tcW w:w="1440" w:type="dxa"/>
            <w:shd w:val="clear" w:color="auto" w:fill="auto"/>
            <w:noWrap/>
            <w:vAlign w:val="bottom"/>
            <w:hideMark/>
          </w:tcPr>
          <w:p w14:paraId="5C9B60DB"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1.38%</w:t>
            </w:r>
          </w:p>
        </w:tc>
      </w:tr>
      <w:tr w:rsidR="00C93C49" w:rsidRPr="00C93C49" w14:paraId="4E2C21EE" w14:textId="77777777" w:rsidTr="00347614">
        <w:trPr>
          <w:trHeight w:val="252"/>
          <w:jc w:val="center"/>
        </w:trPr>
        <w:tc>
          <w:tcPr>
            <w:tcW w:w="1954" w:type="dxa"/>
            <w:shd w:val="clear" w:color="auto" w:fill="auto"/>
            <w:noWrap/>
            <w:vAlign w:val="bottom"/>
            <w:hideMark/>
          </w:tcPr>
          <w:p w14:paraId="502140A3"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2017</w:t>
            </w:r>
          </w:p>
        </w:tc>
        <w:tc>
          <w:tcPr>
            <w:tcW w:w="1430" w:type="dxa"/>
            <w:shd w:val="clear" w:color="auto" w:fill="auto"/>
            <w:noWrap/>
            <w:vAlign w:val="bottom"/>
            <w:hideMark/>
          </w:tcPr>
          <w:p w14:paraId="26B98CC0"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$14,822,942</w:t>
            </w:r>
          </w:p>
        </w:tc>
        <w:tc>
          <w:tcPr>
            <w:tcW w:w="1431" w:type="dxa"/>
            <w:shd w:val="clear" w:color="auto" w:fill="auto"/>
            <w:noWrap/>
            <w:vAlign w:val="bottom"/>
            <w:hideMark/>
          </w:tcPr>
          <w:p w14:paraId="37596BEE"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$251,511</w:t>
            </w:r>
          </w:p>
        </w:tc>
        <w:tc>
          <w:tcPr>
            <w:tcW w:w="1584" w:type="dxa"/>
            <w:shd w:val="clear" w:color="auto" w:fill="auto"/>
            <w:noWrap/>
            <w:vAlign w:val="bottom"/>
            <w:hideMark/>
          </w:tcPr>
          <w:p w14:paraId="7C8E5C8E"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1.70%</w:t>
            </w:r>
          </w:p>
        </w:tc>
        <w:tc>
          <w:tcPr>
            <w:tcW w:w="1384" w:type="dxa"/>
            <w:shd w:val="clear" w:color="auto" w:fill="auto"/>
            <w:noWrap/>
            <w:vAlign w:val="bottom"/>
            <w:hideMark/>
          </w:tcPr>
          <w:p w14:paraId="7C819E48"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$204,329</w:t>
            </w:r>
          </w:p>
        </w:tc>
        <w:tc>
          <w:tcPr>
            <w:tcW w:w="1440" w:type="dxa"/>
            <w:shd w:val="clear" w:color="auto" w:fill="auto"/>
            <w:noWrap/>
            <w:vAlign w:val="bottom"/>
            <w:hideMark/>
          </w:tcPr>
          <w:p w14:paraId="13A2232D"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1.38%</w:t>
            </w:r>
          </w:p>
        </w:tc>
      </w:tr>
    </w:tbl>
    <w:p w14:paraId="0E1E843A" w14:textId="77777777" w:rsidR="00493122" w:rsidRPr="00F227CA" w:rsidRDefault="00493122" w:rsidP="00493122">
      <w:pPr>
        <w:widowControl w:val="0"/>
        <w:tabs>
          <w:tab w:val="center" w:pos="4680"/>
          <w:tab w:val="left" w:pos="7260"/>
        </w:tabs>
        <w:spacing w:after="0" w:line="20" w:lineRule="atLeast"/>
        <w:ind w:left="90"/>
        <w:rPr>
          <w:rFonts w:ascii="Arial" w:eastAsia="Times New Roman" w:hAnsi="Arial" w:cs="Arial"/>
          <w:snapToGrid w:val="0"/>
          <w:sz w:val="20"/>
          <w:szCs w:val="20"/>
        </w:rPr>
      </w:pPr>
      <w:r>
        <w:rPr>
          <w:rFonts w:ascii="Arial" w:eastAsia="Times New Roman" w:hAnsi="Arial" w:cs="Arial"/>
          <w:snapToGrid w:val="0"/>
          <w:sz w:val="20"/>
          <w:szCs w:val="20"/>
        </w:rPr>
        <w:t>Gross Collection Goals: Threshold – 3.5%; Target – 4.0%; Stretch – 4.5%</w:t>
      </w:r>
    </w:p>
    <w:p w14:paraId="43C3539A" w14:textId="77777777" w:rsidR="00493122" w:rsidRDefault="00493122" w:rsidP="00C93C49">
      <w:pPr>
        <w:widowControl w:val="0"/>
        <w:spacing w:after="0" w:line="20" w:lineRule="atLeast"/>
        <w:ind w:left="450" w:hanging="360"/>
        <w:rPr>
          <w:rFonts w:ascii="Arial" w:eastAsia="Times New Roman" w:hAnsi="Arial" w:cs="Arial"/>
          <w:snapToGrid w:val="0"/>
          <w:sz w:val="18"/>
          <w:szCs w:val="18"/>
        </w:rPr>
      </w:pPr>
    </w:p>
    <w:p w14:paraId="376B0D11" w14:textId="77777777" w:rsidR="00C93C49" w:rsidRPr="00C93C49" w:rsidRDefault="00C93C49" w:rsidP="00C93C49">
      <w:pPr>
        <w:widowControl w:val="0"/>
        <w:spacing w:after="0" w:line="20" w:lineRule="atLeast"/>
        <w:ind w:left="450" w:hanging="360"/>
        <w:rPr>
          <w:rFonts w:ascii="Arial" w:eastAsia="Times New Roman" w:hAnsi="Arial" w:cs="Arial"/>
          <w:snapToGrid w:val="0"/>
          <w:sz w:val="18"/>
          <w:szCs w:val="18"/>
        </w:rPr>
      </w:pPr>
      <w:r w:rsidRPr="00C93C49">
        <w:rPr>
          <w:rFonts w:ascii="Arial" w:eastAsia="Times New Roman" w:hAnsi="Arial" w:cs="Arial"/>
          <w:snapToGrid w:val="0"/>
          <w:sz w:val="18"/>
          <w:szCs w:val="18"/>
        </w:rPr>
        <w:t>Source: Data Requests CS-12 and CS-21, and Auditor Analysis</w:t>
      </w:r>
    </w:p>
    <w:p w14:paraId="20E12204" w14:textId="77777777" w:rsidR="00C93C49" w:rsidRPr="00C93C49" w:rsidRDefault="00C93C49" w:rsidP="00C93C49">
      <w:pPr>
        <w:widowControl w:val="0"/>
        <w:spacing w:after="0" w:line="20" w:lineRule="atLeast"/>
        <w:rPr>
          <w:rFonts w:ascii="Arial" w:eastAsia="Times New Roman" w:hAnsi="Arial" w:cs="Arial"/>
          <w:snapToGrid w:val="0"/>
          <w:sz w:val="24"/>
          <w:szCs w:val="24"/>
        </w:rPr>
      </w:pPr>
    </w:p>
    <w:p w14:paraId="77E2A8F3" w14:textId="77777777" w:rsidR="00C93C49" w:rsidRPr="00C93C49" w:rsidRDefault="00C93C49" w:rsidP="00C93C49">
      <w:pPr>
        <w:widowControl w:val="0"/>
        <w:spacing w:after="0" w:line="20" w:lineRule="atLeast"/>
        <w:rPr>
          <w:rFonts w:ascii="Arial" w:eastAsia="Times New Roman" w:hAnsi="Arial" w:cs="Arial"/>
          <w:snapToGrid w:val="0"/>
          <w:sz w:val="24"/>
          <w:szCs w:val="24"/>
        </w:rPr>
      </w:pPr>
    </w:p>
    <w:p w14:paraId="4D7866A4" w14:textId="77777777" w:rsidR="00C93C49" w:rsidRPr="00C93C49" w:rsidRDefault="00C93C49" w:rsidP="00C93C49">
      <w:pPr>
        <w:spacing w:after="0" w:line="20" w:lineRule="atLeast"/>
        <w:rPr>
          <w:rFonts w:ascii="Arial" w:eastAsia="Times New Roman" w:hAnsi="Arial" w:cs="Arial"/>
          <w:b/>
          <w:snapToGrid w:val="0"/>
          <w:sz w:val="24"/>
          <w:szCs w:val="20"/>
        </w:rPr>
      </w:pPr>
      <w:r w:rsidRPr="00C93C49">
        <w:rPr>
          <w:rFonts w:ascii="Arial" w:eastAsia="Times New Roman" w:hAnsi="Arial" w:cs="Arial"/>
          <w:b/>
          <w:snapToGrid w:val="0"/>
          <w:sz w:val="24"/>
          <w:szCs w:val="20"/>
        </w:rPr>
        <w:br w:type="page"/>
      </w:r>
    </w:p>
    <w:p w14:paraId="1F067EDE" w14:textId="77777777" w:rsidR="00C93C49" w:rsidRPr="00C93C49" w:rsidRDefault="00C93C49" w:rsidP="00C93C49">
      <w:pPr>
        <w:widowControl w:val="0"/>
        <w:spacing w:after="0" w:line="20" w:lineRule="atLeast"/>
        <w:jc w:val="center"/>
        <w:rPr>
          <w:rFonts w:ascii="Arial" w:eastAsia="Times New Roman" w:hAnsi="Arial" w:cs="Arial"/>
          <w:b/>
          <w:sz w:val="24"/>
          <w:szCs w:val="20"/>
        </w:rPr>
      </w:pPr>
      <w:r w:rsidRPr="00C93C49">
        <w:rPr>
          <w:rFonts w:ascii="Arial" w:eastAsia="Times New Roman" w:hAnsi="Arial" w:cs="Arial"/>
          <w:b/>
          <w:snapToGrid w:val="0"/>
          <w:sz w:val="24"/>
          <w:szCs w:val="20"/>
        </w:rPr>
        <w:t xml:space="preserve">Exhibit X – 20 </w:t>
      </w:r>
    </w:p>
    <w:p w14:paraId="573DC398"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0"/>
        </w:rPr>
      </w:pPr>
      <w:r w:rsidRPr="00C93C49">
        <w:rPr>
          <w:rFonts w:ascii="Arial" w:eastAsia="Calibri" w:hAnsi="Arial" w:cs="Arial"/>
          <w:b/>
          <w:sz w:val="24"/>
          <w:szCs w:val="24"/>
        </w:rPr>
        <w:t>FirstEnergy Pennsylvania Companies</w:t>
      </w:r>
      <w:r w:rsidRPr="00C93C49">
        <w:rPr>
          <w:rFonts w:ascii="Arial" w:eastAsia="Times New Roman" w:hAnsi="Arial" w:cs="Arial"/>
          <w:b/>
          <w:snapToGrid w:val="0"/>
          <w:sz w:val="24"/>
          <w:szCs w:val="20"/>
        </w:rPr>
        <w:t xml:space="preserve"> </w:t>
      </w:r>
    </w:p>
    <w:p w14:paraId="778579DA"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Secondary Collection Performance</w:t>
      </w:r>
    </w:p>
    <w:p w14:paraId="56A0A604"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For the Period 2014 through 2017</w:t>
      </w:r>
    </w:p>
    <w:p w14:paraId="6C0DD12D"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0"/>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329"/>
        <w:gridCol w:w="1461"/>
        <w:gridCol w:w="1440"/>
        <w:gridCol w:w="1325"/>
        <w:gridCol w:w="1440"/>
      </w:tblGrid>
      <w:tr w:rsidR="00C93C49" w:rsidRPr="00C93C49" w14:paraId="57FEE711" w14:textId="77777777" w:rsidTr="00347614">
        <w:trPr>
          <w:trHeight w:val="257"/>
          <w:jc w:val="center"/>
        </w:trPr>
        <w:tc>
          <w:tcPr>
            <w:tcW w:w="1986" w:type="dxa"/>
            <w:shd w:val="clear" w:color="auto" w:fill="auto"/>
            <w:noWrap/>
            <w:vAlign w:val="bottom"/>
            <w:hideMark/>
          </w:tcPr>
          <w:p w14:paraId="691E9080"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p>
        </w:tc>
        <w:tc>
          <w:tcPr>
            <w:tcW w:w="1329" w:type="dxa"/>
            <w:shd w:val="clear" w:color="auto" w:fill="auto"/>
            <w:noWrap/>
            <w:vAlign w:val="bottom"/>
            <w:hideMark/>
          </w:tcPr>
          <w:p w14:paraId="549A60BB"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Placements</w:t>
            </w:r>
          </w:p>
        </w:tc>
        <w:tc>
          <w:tcPr>
            <w:tcW w:w="1461" w:type="dxa"/>
            <w:shd w:val="clear" w:color="auto" w:fill="auto"/>
            <w:noWrap/>
            <w:vAlign w:val="bottom"/>
            <w:hideMark/>
          </w:tcPr>
          <w:p w14:paraId="417DC4CB"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Gross Recoveries</w:t>
            </w:r>
          </w:p>
        </w:tc>
        <w:tc>
          <w:tcPr>
            <w:tcW w:w="1440" w:type="dxa"/>
            <w:shd w:val="clear" w:color="auto" w:fill="auto"/>
            <w:noWrap/>
            <w:vAlign w:val="bottom"/>
            <w:hideMark/>
          </w:tcPr>
          <w:p w14:paraId="10F377F1"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Gross Recovery %</w:t>
            </w:r>
          </w:p>
        </w:tc>
        <w:tc>
          <w:tcPr>
            <w:tcW w:w="1325" w:type="dxa"/>
            <w:shd w:val="clear" w:color="auto" w:fill="auto"/>
            <w:noWrap/>
            <w:vAlign w:val="bottom"/>
            <w:hideMark/>
          </w:tcPr>
          <w:p w14:paraId="674D0402"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Net Recoveries</w:t>
            </w:r>
          </w:p>
        </w:tc>
        <w:tc>
          <w:tcPr>
            <w:tcW w:w="1440" w:type="dxa"/>
            <w:shd w:val="clear" w:color="auto" w:fill="auto"/>
            <w:noWrap/>
            <w:vAlign w:val="bottom"/>
            <w:hideMark/>
          </w:tcPr>
          <w:p w14:paraId="109FA80E"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Net Recovery %</w:t>
            </w:r>
          </w:p>
        </w:tc>
      </w:tr>
      <w:tr w:rsidR="00C93C49" w:rsidRPr="00C93C49" w14:paraId="798FE539" w14:textId="77777777" w:rsidTr="00347614">
        <w:trPr>
          <w:trHeight w:val="257"/>
          <w:jc w:val="center"/>
        </w:trPr>
        <w:tc>
          <w:tcPr>
            <w:tcW w:w="1986" w:type="dxa"/>
            <w:shd w:val="clear" w:color="auto" w:fill="auto"/>
            <w:noWrap/>
            <w:vAlign w:val="bottom"/>
            <w:hideMark/>
          </w:tcPr>
          <w:p w14:paraId="68F36A0A"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FE-PA Companies</w:t>
            </w:r>
          </w:p>
        </w:tc>
        <w:tc>
          <w:tcPr>
            <w:tcW w:w="1329" w:type="dxa"/>
            <w:shd w:val="clear" w:color="auto" w:fill="auto"/>
            <w:noWrap/>
            <w:vAlign w:val="bottom"/>
            <w:hideMark/>
          </w:tcPr>
          <w:p w14:paraId="5D37ECEE"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p>
        </w:tc>
        <w:tc>
          <w:tcPr>
            <w:tcW w:w="1461" w:type="dxa"/>
            <w:shd w:val="clear" w:color="auto" w:fill="auto"/>
            <w:noWrap/>
            <w:vAlign w:val="bottom"/>
            <w:hideMark/>
          </w:tcPr>
          <w:p w14:paraId="4589447F"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p>
        </w:tc>
        <w:tc>
          <w:tcPr>
            <w:tcW w:w="1440" w:type="dxa"/>
            <w:shd w:val="clear" w:color="auto" w:fill="auto"/>
            <w:noWrap/>
            <w:vAlign w:val="bottom"/>
            <w:hideMark/>
          </w:tcPr>
          <w:p w14:paraId="3E159467"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p>
        </w:tc>
        <w:tc>
          <w:tcPr>
            <w:tcW w:w="1325" w:type="dxa"/>
            <w:shd w:val="clear" w:color="auto" w:fill="auto"/>
            <w:noWrap/>
            <w:vAlign w:val="bottom"/>
            <w:hideMark/>
          </w:tcPr>
          <w:p w14:paraId="5CEB0C35"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p>
        </w:tc>
        <w:tc>
          <w:tcPr>
            <w:tcW w:w="1440" w:type="dxa"/>
            <w:shd w:val="clear" w:color="auto" w:fill="auto"/>
            <w:noWrap/>
            <w:vAlign w:val="bottom"/>
            <w:hideMark/>
          </w:tcPr>
          <w:p w14:paraId="40403076"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p>
        </w:tc>
      </w:tr>
      <w:tr w:rsidR="00C93C49" w:rsidRPr="00C93C49" w14:paraId="6CE0550F" w14:textId="77777777" w:rsidTr="00347614">
        <w:trPr>
          <w:trHeight w:val="257"/>
          <w:jc w:val="center"/>
        </w:trPr>
        <w:tc>
          <w:tcPr>
            <w:tcW w:w="1986" w:type="dxa"/>
            <w:shd w:val="clear" w:color="auto" w:fill="auto"/>
            <w:noWrap/>
            <w:vAlign w:val="bottom"/>
            <w:hideMark/>
          </w:tcPr>
          <w:p w14:paraId="2059AB0E"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2014</w:t>
            </w:r>
          </w:p>
        </w:tc>
        <w:tc>
          <w:tcPr>
            <w:tcW w:w="1329" w:type="dxa"/>
            <w:shd w:val="clear" w:color="auto" w:fill="auto"/>
            <w:noWrap/>
            <w:vAlign w:val="bottom"/>
            <w:hideMark/>
          </w:tcPr>
          <w:p w14:paraId="2B03E891"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$27,177,397</w:t>
            </w:r>
          </w:p>
        </w:tc>
        <w:tc>
          <w:tcPr>
            <w:tcW w:w="1461" w:type="dxa"/>
            <w:shd w:val="clear" w:color="auto" w:fill="auto"/>
            <w:noWrap/>
            <w:vAlign w:val="bottom"/>
            <w:hideMark/>
          </w:tcPr>
          <w:p w14:paraId="4FFDCA28"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$335,624</w:t>
            </w:r>
          </w:p>
        </w:tc>
        <w:tc>
          <w:tcPr>
            <w:tcW w:w="1440" w:type="dxa"/>
            <w:shd w:val="clear" w:color="auto" w:fill="auto"/>
            <w:noWrap/>
            <w:vAlign w:val="bottom"/>
            <w:hideMark/>
          </w:tcPr>
          <w:p w14:paraId="5641454F"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1.23%</w:t>
            </w:r>
          </w:p>
        </w:tc>
        <w:tc>
          <w:tcPr>
            <w:tcW w:w="1325" w:type="dxa"/>
            <w:shd w:val="clear" w:color="auto" w:fill="auto"/>
            <w:noWrap/>
            <w:vAlign w:val="bottom"/>
            <w:hideMark/>
          </w:tcPr>
          <w:p w14:paraId="210CCD4E"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$244,227</w:t>
            </w:r>
          </w:p>
        </w:tc>
        <w:tc>
          <w:tcPr>
            <w:tcW w:w="1440" w:type="dxa"/>
            <w:shd w:val="clear" w:color="auto" w:fill="auto"/>
            <w:noWrap/>
            <w:vAlign w:val="bottom"/>
            <w:hideMark/>
          </w:tcPr>
          <w:p w14:paraId="032CE881"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0.90%</w:t>
            </w:r>
          </w:p>
        </w:tc>
      </w:tr>
      <w:tr w:rsidR="00C93C49" w:rsidRPr="00C93C49" w14:paraId="6DC05658" w14:textId="77777777" w:rsidTr="00347614">
        <w:trPr>
          <w:trHeight w:val="257"/>
          <w:jc w:val="center"/>
        </w:trPr>
        <w:tc>
          <w:tcPr>
            <w:tcW w:w="1986" w:type="dxa"/>
            <w:shd w:val="clear" w:color="auto" w:fill="auto"/>
            <w:noWrap/>
            <w:vAlign w:val="bottom"/>
            <w:hideMark/>
          </w:tcPr>
          <w:p w14:paraId="752C0321"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2015</w:t>
            </w:r>
          </w:p>
        </w:tc>
        <w:tc>
          <w:tcPr>
            <w:tcW w:w="1329" w:type="dxa"/>
            <w:shd w:val="clear" w:color="auto" w:fill="auto"/>
            <w:noWrap/>
            <w:vAlign w:val="bottom"/>
            <w:hideMark/>
          </w:tcPr>
          <w:p w14:paraId="3481024C"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$49,419,997</w:t>
            </w:r>
          </w:p>
        </w:tc>
        <w:tc>
          <w:tcPr>
            <w:tcW w:w="1461" w:type="dxa"/>
            <w:shd w:val="clear" w:color="auto" w:fill="auto"/>
            <w:noWrap/>
            <w:vAlign w:val="bottom"/>
            <w:hideMark/>
          </w:tcPr>
          <w:p w14:paraId="5441FA72"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$497,007</w:t>
            </w:r>
          </w:p>
        </w:tc>
        <w:tc>
          <w:tcPr>
            <w:tcW w:w="1440" w:type="dxa"/>
            <w:shd w:val="clear" w:color="auto" w:fill="auto"/>
            <w:noWrap/>
            <w:vAlign w:val="bottom"/>
            <w:hideMark/>
          </w:tcPr>
          <w:p w14:paraId="0231C348"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1.01%</w:t>
            </w:r>
          </w:p>
        </w:tc>
        <w:tc>
          <w:tcPr>
            <w:tcW w:w="1325" w:type="dxa"/>
            <w:shd w:val="clear" w:color="auto" w:fill="auto"/>
            <w:noWrap/>
            <w:vAlign w:val="bottom"/>
            <w:hideMark/>
          </w:tcPr>
          <w:p w14:paraId="4A1D48CB"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$362,448</w:t>
            </w:r>
          </w:p>
        </w:tc>
        <w:tc>
          <w:tcPr>
            <w:tcW w:w="1440" w:type="dxa"/>
            <w:shd w:val="clear" w:color="auto" w:fill="auto"/>
            <w:noWrap/>
            <w:vAlign w:val="bottom"/>
            <w:hideMark/>
          </w:tcPr>
          <w:p w14:paraId="607E70F5"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0.73%</w:t>
            </w:r>
          </w:p>
        </w:tc>
      </w:tr>
      <w:tr w:rsidR="00C93C49" w:rsidRPr="00C93C49" w14:paraId="0FF7B0DB" w14:textId="77777777" w:rsidTr="00347614">
        <w:trPr>
          <w:trHeight w:val="257"/>
          <w:jc w:val="center"/>
        </w:trPr>
        <w:tc>
          <w:tcPr>
            <w:tcW w:w="1986" w:type="dxa"/>
            <w:shd w:val="clear" w:color="auto" w:fill="auto"/>
            <w:noWrap/>
            <w:vAlign w:val="bottom"/>
            <w:hideMark/>
          </w:tcPr>
          <w:p w14:paraId="06BD6B07"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2016</w:t>
            </w:r>
          </w:p>
        </w:tc>
        <w:tc>
          <w:tcPr>
            <w:tcW w:w="1329" w:type="dxa"/>
            <w:shd w:val="clear" w:color="auto" w:fill="auto"/>
            <w:noWrap/>
            <w:vAlign w:val="bottom"/>
            <w:hideMark/>
          </w:tcPr>
          <w:p w14:paraId="2BBFA52A"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$43,348,608</w:t>
            </w:r>
          </w:p>
        </w:tc>
        <w:tc>
          <w:tcPr>
            <w:tcW w:w="1461" w:type="dxa"/>
            <w:shd w:val="clear" w:color="auto" w:fill="auto"/>
            <w:noWrap/>
            <w:vAlign w:val="bottom"/>
            <w:hideMark/>
          </w:tcPr>
          <w:p w14:paraId="723009E1"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$726,295</w:t>
            </w:r>
          </w:p>
        </w:tc>
        <w:tc>
          <w:tcPr>
            <w:tcW w:w="1440" w:type="dxa"/>
            <w:shd w:val="clear" w:color="auto" w:fill="auto"/>
            <w:noWrap/>
            <w:vAlign w:val="bottom"/>
            <w:hideMark/>
          </w:tcPr>
          <w:p w14:paraId="37F803D6"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1.68%</w:t>
            </w:r>
          </w:p>
        </w:tc>
        <w:tc>
          <w:tcPr>
            <w:tcW w:w="1325" w:type="dxa"/>
            <w:shd w:val="clear" w:color="auto" w:fill="auto"/>
            <w:noWrap/>
            <w:vAlign w:val="bottom"/>
            <w:hideMark/>
          </w:tcPr>
          <w:p w14:paraId="40B7EF66"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$515,669</w:t>
            </w:r>
          </w:p>
        </w:tc>
        <w:tc>
          <w:tcPr>
            <w:tcW w:w="1440" w:type="dxa"/>
            <w:shd w:val="clear" w:color="auto" w:fill="auto"/>
            <w:noWrap/>
            <w:vAlign w:val="bottom"/>
            <w:hideMark/>
          </w:tcPr>
          <w:p w14:paraId="6B6800E8"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1.19%</w:t>
            </w:r>
          </w:p>
        </w:tc>
      </w:tr>
      <w:tr w:rsidR="00C93C49" w:rsidRPr="00C93C49" w14:paraId="653BBD15" w14:textId="77777777" w:rsidTr="00347614">
        <w:trPr>
          <w:trHeight w:val="257"/>
          <w:jc w:val="center"/>
        </w:trPr>
        <w:tc>
          <w:tcPr>
            <w:tcW w:w="1986" w:type="dxa"/>
            <w:shd w:val="clear" w:color="auto" w:fill="auto"/>
            <w:noWrap/>
            <w:vAlign w:val="bottom"/>
            <w:hideMark/>
          </w:tcPr>
          <w:p w14:paraId="2C487CAE"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2017</w:t>
            </w:r>
          </w:p>
        </w:tc>
        <w:tc>
          <w:tcPr>
            <w:tcW w:w="1329" w:type="dxa"/>
            <w:shd w:val="clear" w:color="auto" w:fill="auto"/>
            <w:noWrap/>
            <w:vAlign w:val="bottom"/>
            <w:hideMark/>
          </w:tcPr>
          <w:p w14:paraId="73E3DEBF"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$41,522,499</w:t>
            </w:r>
          </w:p>
        </w:tc>
        <w:tc>
          <w:tcPr>
            <w:tcW w:w="1461" w:type="dxa"/>
            <w:shd w:val="clear" w:color="auto" w:fill="auto"/>
            <w:noWrap/>
            <w:vAlign w:val="bottom"/>
            <w:hideMark/>
          </w:tcPr>
          <w:p w14:paraId="07E546CB"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$701,742</w:t>
            </w:r>
          </w:p>
        </w:tc>
        <w:tc>
          <w:tcPr>
            <w:tcW w:w="1440" w:type="dxa"/>
            <w:shd w:val="clear" w:color="auto" w:fill="auto"/>
            <w:noWrap/>
            <w:vAlign w:val="bottom"/>
            <w:hideMark/>
          </w:tcPr>
          <w:p w14:paraId="01D9818A"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1.69%</w:t>
            </w:r>
          </w:p>
        </w:tc>
        <w:tc>
          <w:tcPr>
            <w:tcW w:w="1325" w:type="dxa"/>
            <w:shd w:val="clear" w:color="auto" w:fill="auto"/>
            <w:noWrap/>
            <w:vAlign w:val="bottom"/>
            <w:hideMark/>
          </w:tcPr>
          <w:p w14:paraId="104B298F"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$498,237</w:t>
            </w:r>
          </w:p>
        </w:tc>
        <w:tc>
          <w:tcPr>
            <w:tcW w:w="1440" w:type="dxa"/>
            <w:shd w:val="clear" w:color="auto" w:fill="auto"/>
            <w:noWrap/>
            <w:vAlign w:val="bottom"/>
            <w:hideMark/>
          </w:tcPr>
          <w:p w14:paraId="2E85FCB0"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1.20%</w:t>
            </w:r>
          </w:p>
        </w:tc>
      </w:tr>
      <w:tr w:rsidR="00C93C49" w:rsidRPr="00C93C49" w14:paraId="594574A6" w14:textId="77777777" w:rsidTr="00347614">
        <w:trPr>
          <w:trHeight w:val="257"/>
          <w:jc w:val="center"/>
        </w:trPr>
        <w:tc>
          <w:tcPr>
            <w:tcW w:w="1986" w:type="dxa"/>
            <w:shd w:val="clear" w:color="auto" w:fill="auto"/>
            <w:noWrap/>
            <w:vAlign w:val="bottom"/>
            <w:hideMark/>
          </w:tcPr>
          <w:p w14:paraId="3FD1C3F8" w14:textId="77777777" w:rsidR="00C93C49" w:rsidRPr="00C93C49" w:rsidRDefault="00C93C49" w:rsidP="00C93C49">
            <w:pPr>
              <w:widowControl w:val="0"/>
              <w:spacing w:after="0" w:line="20" w:lineRule="atLeast"/>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Met-Ed</w:t>
            </w:r>
          </w:p>
        </w:tc>
        <w:tc>
          <w:tcPr>
            <w:tcW w:w="1329" w:type="dxa"/>
            <w:shd w:val="clear" w:color="auto" w:fill="auto"/>
            <w:noWrap/>
            <w:vAlign w:val="bottom"/>
            <w:hideMark/>
          </w:tcPr>
          <w:p w14:paraId="6D57C5CD"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p>
        </w:tc>
        <w:tc>
          <w:tcPr>
            <w:tcW w:w="1461" w:type="dxa"/>
            <w:shd w:val="clear" w:color="auto" w:fill="auto"/>
            <w:noWrap/>
            <w:vAlign w:val="bottom"/>
            <w:hideMark/>
          </w:tcPr>
          <w:p w14:paraId="5B4C38F7"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p>
        </w:tc>
        <w:tc>
          <w:tcPr>
            <w:tcW w:w="1440" w:type="dxa"/>
            <w:shd w:val="clear" w:color="auto" w:fill="auto"/>
            <w:noWrap/>
            <w:vAlign w:val="bottom"/>
            <w:hideMark/>
          </w:tcPr>
          <w:p w14:paraId="1632405D"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p>
        </w:tc>
        <w:tc>
          <w:tcPr>
            <w:tcW w:w="1325" w:type="dxa"/>
            <w:shd w:val="clear" w:color="auto" w:fill="auto"/>
            <w:noWrap/>
            <w:vAlign w:val="bottom"/>
            <w:hideMark/>
          </w:tcPr>
          <w:p w14:paraId="20DBE117"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p>
        </w:tc>
        <w:tc>
          <w:tcPr>
            <w:tcW w:w="1440" w:type="dxa"/>
            <w:shd w:val="clear" w:color="auto" w:fill="auto"/>
            <w:noWrap/>
            <w:vAlign w:val="bottom"/>
            <w:hideMark/>
          </w:tcPr>
          <w:p w14:paraId="2E56F6C3"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p>
        </w:tc>
      </w:tr>
      <w:tr w:rsidR="00C93C49" w:rsidRPr="00C93C49" w14:paraId="5CF33ACE" w14:textId="77777777" w:rsidTr="00347614">
        <w:trPr>
          <w:trHeight w:val="257"/>
          <w:jc w:val="center"/>
        </w:trPr>
        <w:tc>
          <w:tcPr>
            <w:tcW w:w="1986" w:type="dxa"/>
            <w:shd w:val="clear" w:color="auto" w:fill="auto"/>
            <w:noWrap/>
            <w:vAlign w:val="bottom"/>
            <w:hideMark/>
          </w:tcPr>
          <w:p w14:paraId="5898EE07"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2014</w:t>
            </w:r>
          </w:p>
        </w:tc>
        <w:tc>
          <w:tcPr>
            <w:tcW w:w="1329" w:type="dxa"/>
            <w:shd w:val="clear" w:color="auto" w:fill="auto"/>
            <w:noWrap/>
            <w:vAlign w:val="bottom"/>
            <w:hideMark/>
          </w:tcPr>
          <w:p w14:paraId="7DF067B1"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$11,547,204</w:t>
            </w:r>
          </w:p>
        </w:tc>
        <w:tc>
          <w:tcPr>
            <w:tcW w:w="1461" w:type="dxa"/>
            <w:shd w:val="clear" w:color="auto" w:fill="auto"/>
            <w:noWrap/>
            <w:vAlign w:val="bottom"/>
            <w:hideMark/>
          </w:tcPr>
          <w:p w14:paraId="0AC6F9C0"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$135,201</w:t>
            </w:r>
          </w:p>
        </w:tc>
        <w:tc>
          <w:tcPr>
            <w:tcW w:w="1440" w:type="dxa"/>
            <w:shd w:val="clear" w:color="auto" w:fill="auto"/>
            <w:noWrap/>
            <w:vAlign w:val="bottom"/>
            <w:hideMark/>
          </w:tcPr>
          <w:p w14:paraId="0E67E563"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1.49%</w:t>
            </w:r>
          </w:p>
        </w:tc>
        <w:tc>
          <w:tcPr>
            <w:tcW w:w="1325" w:type="dxa"/>
            <w:shd w:val="clear" w:color="auto" w:fill="auto"/>
            <w:noWrap/>
            <w:vAlign w:val="bottom"/>
            <w:hideMark/>
          </w:tcPr>
          <w:p w14:paraId="42D7C801"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$98,414</w:t>
            </w:r>
          </w:p>
        </w:tc>
        <w:tc>
          <w:tcPr>
            <w:tcW w:w="1440" w:type="dxa"/>
            <w:shd w:val="clear" w:color="auto" w:fill="auto"/>
            <w:noWrap/>
            <w:vAlign w:val="bottom"/>
            <w:hideMark/>
          </w:tcPr>
          <w:p w14:paraId="6B209B50"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1.08%</w:t>
            </w:r>
          </w:p>
        </w:tc>
      </w:tr>
      <w:tr w:rsidR="00C93C49" w:rsidRPr="00C93C49" w14:paraId="469816D2" w14:textId="77777777" w:rsidTr="00347614">
        <w:trPr>
          <w:trHeight w:val="257"/>
          <w:jc w:val="center"/>
        </w:trPr>
        <w:tc>
          <w:tcPr>
            <w:tcW w:w="1986" w:type="dxa"/>
            <w:shd w:val="clear" w:color="auto" w:fill="auto"/>
            <w:noWrap/>
            <w:vAlign w:val="bottom"/>
            <w:hideMark/>
          </w:tcPr>
          <w:p w14:paraId="7A23DCA8"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2015</w:t>
            </w:r>
          </w:p>
        </w:tc>
        <w:tc>
          <w:tcPr>
            <w:tcW w:w="1329" w:type="dxa"/>
            <w:shd w:val="clear" w:color="auto" w:fill="auto"/>
            <w:noWrap/>
            <w:vAlign w:val="bottom"/>
            <w:hideMark/>
          </w:tcPr>
          <w:p w14:paraId="4CD5017B"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$20,332,788</w:t>
            </w:r>
          </w:p>
        </w:tc>
        <w:tc>
          <w:tcPr>
            <w:tcW w:w="1461" w:type="dxa"/>
            <w:shd w:val="clear" w:color="auto" w:fill="auto"/>
            <w:noWrap/>
            <w:vAlign w:val="bottom"/>
            <w:hideMark/>
          </w:tcPr>
          <w:p w14:paraId="22A6AD9E"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$216,549</w:t>
            </w:r>
          </w:p>
        </w:tc>
        <w:tc>
          <w:tcPr>
            <w:tcW w:w="1440" w:type="dxa"/>
            <w:shd w:val="clear" w:color="auto" w:fill="auto"/>
            <w:noWrap/>
            <w:vAlign w:val="bottom"/>
            <w:hideMark/>
          </w:tcPr>
          <w:p w14:paraId="6F5F4962"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1.36%</w:t>
            </w:r>
          </w:p>
        </w:tc>
        <w:tc>
          <w:tcPr>
            <w:tcW w:w="1325" w:type="dxa"/>
            <w:shd w:val="clear" w:color="auto" w:fill="auto"/>
            <w:noWrap/>
            <w:vAlign w:val="bottom"/>
            <w:hideMark/>
          </w:tcPr>
          <w:p w14:paraId="358F1D47"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$158,589</w:t>
            </w:r>
          </w:p>
        </w:tc>
        <w:tc>
          <w:tcPr>
            <w:tcW w:w="1440" w:type="dxa"/>
            <w:shd w:val="clear" w:color="auto" w:fill="auto"/>
            <w:noWrap/>
            <w:vAlign w:val="bottom"/>
            <w:hideMark/>
          </w:tcPr>
          <w:p w14:paraId="4E62FD31"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1.00%</w:t>
            </w:r>
          </w:p>
        </w:tc>
      </w:tr>
      <w:tr w:rsidR="00C93C49" w:rsidRPr="00C93C49" w14:paraId="368385C8" w14:textId="77777777" w:rsidTr="00347614">
        <w:trPr>
          <w:trHeight w:val="257"/>
          <w:jc w:val="center"/>
        </w:trPr>
        <w:tc>
          <w:tcPr>
            <w:tcW w:w="1986" w:type="dxa"/>
            <w:shd w:val="clear" w:color="auto" w:fill="auto"/>
            <w:noWrap/>
            <w:vAlign w:val="bottom"/>
            <w:hideMark/>
          </w:tcPr>
          <w:p w14:paraId="53B03DD8"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2016</w:t>
            </w:r>
          </w:p>
        </w:tc>
        <w:tc>
          <w:tcPr>
            <w:tcW w:w="1329" w:type="dxa"/>
            <w:shd w:val="clear" w:color="auto" w:fill="auto"/>
            <w:noWrap/>
            <w:vAlign w:val="bottom"/>
            <w:hideMark/>
          </w:tcPr>
          <w:p w14:paraId="2B417338"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$16,081,443</w:t>
            </w:r>
          </w:p>
        </w:tc>
        <w:tc>
          <w:tcPr>
            <w:tcW w:w="1461" w:type="dxa"/>
            <w:shd w:val="clear" w:color="auto" w:fill="auto"/>
            <w:noWrap/>
            <w:vAlign w:val="bottom"/>
            <w:hideMark/>
          </w:tcPr>
          <w:p w14:paraId="08EDE677"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$330,685</w:t>
            </w:r>
          </w:p>
        </w:tc>
        <w:tc>
          <w:tcPr>
            <w:tcW w:w="1440" w:type="dxa"/>
            <w:shd w:val="clear" w:color="auto" w:fill="auto"/>
            <w:noWrap/>
            <w:vAlign w:val="bottom"/>
            <w:hideMark/>
          </w:tcPr>
          <w:p w14:paraId="29AF22C5"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2.38%</w:t>
            </w:r>
          </w:p>
        </w:tc>
        <w:tc>
          <w:tcPr>
            <w:tcW w:w="1325" w:type="dxa"/>
            <w:shd w:val="clear" w:color="auto" w:fill="auto"/>
            <w:noWrap/>
            <w:vAlign w:val="bottom"/>
            <w:hideMark/>
          </w:tcPr>
          <w:p w14:paraId="3ED5BA9B"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$234,786</w:t>
            </w:r>
          </w:p>
        </w:tc>
        <w:tc>
          <w:tcPr>
            <w:tcW w:w="1440" w:type="dxa"/>
            <w:shd w:val="clear" w:color="auto" w:fill="auto"/>
            <w:noWrap/>
            <w:vAlign w:val="bottom"/>
            <w:hideMark/>
          </w:tcPr>
          <w:p w14:paraId="28649A63"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1.69%</w:t>
            </w:r>
          </w:p>
        </w:tc>
      </w:tr>
      <w:tr w:rsidR="00C93C49" w:rsidRPr="00C93C49" w14:paraId="25F7F5AE" w14:textId="77777777" w:rsidTr="00347614">
        <w:trPr>
          <w:trHeight w:val="257"/>
          <w:jc w:val="center"/>
        </w:trPr>
        <w:tc>
          <w:tcPr>
            <w:tcW w:w="1986" w:type="dxa"/>
            <w:shd w:val="clear" w:color="auto" w:fill="auto"/>
            <w:noWrap/>
            <w:vAlign w:val="bottom"/>
            <w:hideMark/>
          </w:tcPr>
          <w:p w14:paraId="6EB01DE0"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2017</w:t>
            </w:r>
          </w:p>
        </w:tc>
        <w:tc>
          <w:tcPr>
            <w:tcW w:w="1329" w:type="dxa"/>
            <w:shd w:val="clear" w:color="auto" w:fill="auto"/>
            <w:noWrap/>
            <w:vAlign w:val="bottom"/>
            <w:hideMark/>
          </w:tcPr>
          <w:p w14:paraId="7576FA81"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$14,835,543</w:t>
            </w:r>
          </w:p>
        </w:tc>
        <w:tc>
          <w:tcPr>
            <w:tcW w:w="1461" w:type="dxa"/>
            <w:shd w:val="clear" w:color="auto" w:fill="auto"/>
            <w:noWrap/>
            <w:vAlign w:val="bottom"/>
            <w:hideMark/>
          </w:tcPr>
          <w:p w14:paraId="707528DC"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$173,095</w:t>
            </w:r>
          </w:p>
        </w:tc>
        <w:tc>
          <w:tcPr>
            <w:tcW w:w="1440" w:type="dxa"/>
            <w:shd w:val="clear" w:color="auto" w:fill="auto"/>
            <w:noWrap/>
            <w:vAlign w:val="bottom"/>
            <w:hideMark/>
          </w:tcPr>
          <w:p w14:paraId="59AD85D1"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1.33%</w:t>
            </w:r>
          </w:p>
        </w:tc>
        <w:tc>
          <w:tcPr>
            <w:tcW w:w="1325" w:type="dxa"/>
            <w:shd w:val="clear" w:color="auto" w:fill="auto"/>
            <w:noWrap/>
            <w:vAlign w:val="bottom"/>
            <w:hideMark/>
          </w:tcPr>
          <w:p w14:paraId="70F3938A"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$122,897</w:t>
            </w:r>
          </w:p>
        </w:tc>
        <w:tc>
          <w:tcPr>
            <w:tcW w:w="1440" w:type="dxa"/>
            <w:shd w:val="clear" w:color="auto" w:fill="auto"/>
            <w:noWrap/>
            <w:vAlign w:val="bottom"/>
            <w:hideMark/>
          </w:tcPr>
          <w:p w14:paraId="4B70158F"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0.94%</w:t>
            </w:r>
          </w:p>
        </w:tc>
      </w:tr>
      <w:tr w:rsidR="00C93C49" w:rsidRPr="00C93C49" w14:paraId="25A4CAC0" w14:textId="77777777" w:rsidTr="00347614">
        <w:trPr>
          <w:trHeight w:val="257"/>
          <w:jc w:val="center"/>
        </w:trPr>
        <w:tc>
          <w:tcPr>
            <w:tcW w:w="1986" w:type="dxa"/>
            <w:shd w:val="clear" w:color="auto" w:fill="auto"/>
            <w:noWrap/>
            <w:vAlign w:val="bottom"/>
            <w:hideMark/>
          </w:tcPr>
          <w:p w14:paraId="3498C8D0" w14:textId="77777777" w:rsidR="00C93C49" w:rsidRPr="00C93C49" w:rsidRDefault="00C93C49" w:rsidP="00C93C49">
            <w:pPr>
              <w:widowControl w:val="0"/>
              <w:spacing w:after="0" w:line="20" w:lineRule="atLeast"/>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Penelec</w:t>
            </w:r>
          </w:p>
        </w:tc>
        <w:tc>
          <w:tcPr>
            <w:tcW w:w="1329" w:type="dxa"/>
            <w:shd w:val="clear" w:color="auto" w:fill="auto"/>
            <w:noWrap/>
            <w:vAlign w:val="bottom"/>
            <w:hideMark/>
          </w:tcPr>
          <w:p w14:paraId="645C9AAB"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p>
        </w:tc>
        <w:tc>
          <w:tcPr>
            <w:tcW w:w="1461" w:type="dxa"/>
            <w:shd w:val="clear" w:color="auto" w:fill="auto"/>
            <w:noWrap/>
            <w:vAlign w:val="bottom"/>
            <w:hideMark/>
          </w:tcPr>
          <w:p w14:paraId="4FA67A6C"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p>
        </w:tc>
        <w:tc>
          <w:tcPr>
            <w:tcW w:w="1440" w:type="dxa"/>
            <w:shd w:val="clear" w:color="auto" w:fill="auto"/>
            <w:noWrap/>
            <w:vAlign w:val="bottom"/>
            <w:hideMark/>
          </w:tcPr>
          <w:p w14:paraId="40B35514"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p>
        </w:tc>
        <w:tc>
          <w:tcPr>
            <w:tcW w:w="1325" w:type="dxa"/>
            <w:shd w:val="clear" w:color="auto" w:fill="auto"/>
            <w:noWrap/>
            <w:vAlign w:val="bottom"/>
            <w:hideMark/>
          </w:tcPr>
          <w:p w14:paraId="3AD3C3EC"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p>
        </w:tc>
        <w:tc>
          <w:tcPr>
            <w:tcW w:w="1440" w:type="dxa"/>
            <w:shd w:val="clear" w:color="auto" w:fill="auto"/>
            <w:noWrap/>
            <w:vAlign w:val="bottom"/>
            <w:hideMark/>
          </w:tcPr>
          <w:p w14:paraId="690FFE89"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p>
        </w:tc>
      </w:tr>
      <w:tr w:rsidR="00C93C49" w:rsidRPr="00C93C49" w14:paraId="0DE2DE24" w14:textId="77777777" w:rsidTr="00347614">
        <w:trPr>
          <w:trHeight w:val="257"/>
          <w:jc w:val="center"/>
        </w:trPr>
        <w:tc>
          <w:tcPr>
            <w:tcW w:w="1986" w:type="dxa"/>
            <w:shd w:val="clear" w:color="auto" w:fill="auto"/>
            <w:noWrap/>
            <w:vAlign w:val="bottom"/>
            <w:hideMark/>
          </w:tcPr>
          <w:p w14:paraId="3E0300B1"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2014</w:t>
            </w:r>
          </w:p>
        </w:tc>
        <w:tc>
          <w:tcPr>
            <w:tcW w:w="1329" w:type="dxa"/>
            <w:shd w:val="clear" w:color="auto" w:fill="auto"/>
            <w:noWrap/>
            <w:vAlign w:val="bottom"/>
            <w:hideMark/>
          </w:tcPr>
          <w:p w14:paraId="143E5115"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$9,103,425</w:t>
            </w:r>
          </w:p>
        </w:tc>
        <w:tc>
          <w:tcPr>
            <w:tcW w:w="1461" w:type="dxa"/>
            <w:shd w:val="clear" w:color="auto" w:fill="auto"/>
            <w:noWrap/>
            <w:vAlign w:val="bottom"/>
            <w:hideMark/>
          </w:tcPr>
          <w:p w14:paraId="35B950BF"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$131,674</w:t>
            </w:r>
          </w:p>
        </w:tc>
        <w:tc>
          <w:tcPr>
            <w:tcW w:w="1440" w:type="dxa"/>
            <w:shd w:val="clear" w:color="auto" w:fill="auto"/>
            <w:noWrap/>
            <w:vAlign w:val="bottom"/>
            <w:hideMark/>
          </w:tcPr>
          <w:p w14:paraId="215B791E"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1.14%</w:t>
            </w:r>
          </w:p>
        </w:tc>
        <w:tc>
          <w:tcPr>
            <w:tcW w:w="1325" w:type="dxa"/>
            <w:shd w:val="clear" w:color="auto" w:fill="auto"/>
            <w:noWrap/>
            <w:vAlign w:val="bottom"/>
            <w:hideMark/>
          </w:tcPr>
          <w:p w14:paraId="4D42438C"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$96,153</w:t>
            </w:r>
          </w:p>
        </w:tc>
        <w:tc>
          <w:tcPr>
            <w:tcW w:w="1440" w:type="dxa"/>
            <w:shd w:val="clear" w:color="auto" w:fill="auto"/>
            <w:noWrap/>
            <w:vAlign w:val="bottom"/>
            <w:hideMark/>
          </w:tcPr>
          <w:p w14:paraId="02262EED"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0.83%</w:t>
            </w:r>
          </w:p>
        </w:tc>
      </w:tr>
      <w:tr w:rsidR="00C93C49" w:rsidRPr="00C93C49" w14:paraId="4565FD74" w14:textId="77777777" w:rsidTr="00347614">
        <w:trPr>
          <w:trHeight w:val="257"/>
          <w:jc w:val="center"/>
        </w:trPr>
        <w:tc>
          <w:tcPr>
            <w:tcW w:w="1986" w:type="dxa"/>
            <w:shd w:val="clear" w:color="auto" w:fill="auto"/>
            <w:noWrap/>
            <w:vAlign w:val="bottom"/>
            <w:hideMark/>
          </w:tcPr>
          <w:p w14:paraId="5370CCB7"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2015</w:t>
            </w:r>
          </w:p>
        </w:tc>
        <w:tc>
          <w:tcPr>
            <w:tcW w:w="1329" w:type="dxa"/>
            <w:shd w:val="clear" w:color="auto" w:fill="auto"/>
            <w:noWrap/>
            <w:vAlign w:val="bottom"/>
            <w:hideMark/>
          </w:tcPr>
          <w:p w14:paraId="296A7DD2"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$15,934,481</w:t>
            </w:r>
          </w:p>
        </w:tc>
        <w:tc>
          <w:tcPr>
            <w:tcW w:w="1461" w:type="dxa"/>
            <w:shd w:val="clear" w:color="auto" w:fill="auto"/>
            <w:noWrap/>
            <w:vAlign w:val="bottom"/>
            <w:hideMark/>
          </w:tcPr>
          <w:p w14:paraId="7569A5FF"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$172,562</w:t>
            </w:r>
          </w:p>
        </w:tc>
        <w:tc>
          <w:tcPr>
            <w:tcW w:w="1440" w:type="dxa"/>
            <w:shd w:val="clear" w:color="auto" w:fill="auto"/>
            <w:noWrap/>
            <w:vAlign w:val="bottom"/>
            <w:hideMark/>
          </w:tcPr>
          <w:p w14:paraId="71121721"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0.85%</w:t>
            </w:r>
          </w:p>
        </w:tc>
        <w:tc>
          <w:tcPr>
            <w:tcW w:w="1325" w:type="dxa"/>
            <w:shd w:val="clear" w:color="auto" w:fill="auto"/>
            <w:noWrap/>
            <w:vAlign w:val="bottom"/>
            <w:hideMark/>
          </w:tcPr>
          <w:p w14:paraId="5E0E319E"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$125,355</w:t>
            </w:r>
          </w:p>
        </w:tc>
        <w:tc>
          <w:tcPr>
            <w:tcW w:w="1440" w:type="dxa"/>
            <w:shd w:val="clear" w:color="auto" w:fill="auto"/>
            <w:noWrap/>
            <w:vAlign w:val="bottom"/>
            <w:hideMark/>
          </w:tcPr>
          <w:p w14:paraId="61925223"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0.62%</w:t>
            </w:r>
          </w:p>
        </w:tc>
      </w:tr>
      <w:tr w:rsidR="00C93C49" w:rsidRPr="00C93C49" w14:paraId="47832465" w14:textId="77777777" w:rsidTr="00347614">
        <w:trPr>
          <w:trHeight w:val="257"/>
          <w:jc w:val="center"/>
        </w:trPr>
        <w:tc>
          <w:tcPr>
            <w:tcW w:w="1986" w:type="dxa"/>
            <w:shd w:val="clear" w:color="auto" w:fill="auto"/>
            <w:noWrap/>
            <w:vAlign w:val="bottom"/>
            <w:hideMark/>
          </w:tcPr>
          <w:p w14:paraId="74B924D4"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2016</w:t>
            </w:r>
          </w:p>
        </w:tc>
        <w:tc>
          <w:tcPr>
            <w:tcW w:w="1329" w:type="dxa"/>
            <w:shd w:val="clear" w:color="auto" w:fill="auto"/>
            <w:noWrap/>
            <w:vAlign w:val="bottom"/>
            <w:hideMark/>
          </w:tcPr>
          <w:p w14:paraId="7DC6C31C"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$13,908,318</w:t>
            </w:r>
          </w:p>
        </w:tc>
        <w:tc>
          <w:tcPr>
            <w:tcW w:w="1461" w:type="dxa"/>
            <w:shd w:val="clear" w:color="auto" w:fill="auto"/>
            <w:noWrap/>
            <w:vAlign w:val="bottom"/>
            <w:hideMark/>
          </w:tcPr>
          <w:p w14:paraId="4D38112B"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$232,653</w:t>
            </w:r>
          </w:p>
        </w:tc>
        <w:tc>
          <w:tcPr>
            <w:tcW w:w="1440" w:type="dxa"/>
            <w:shd w:val="clear" w:color="auto" w:fill="auto"/>
            <w:noWrap/>
            <w:vAlign w:val="bottom"/>
            <w:hideMark/>
          </w:tcPr>
          <w:p w14:paraId="7AF76C2B"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1.45%</w:t>
            </w:r>
          </w:p>
        </w:tc>
        <w:tc>
          <w:tcPr>
            <w:tcW w:w="1325" w:type="dxa"/>
            <w:shd w:val="clear" w:color="auto" w:fill="auto"/>
            <w:noWrap/>
            <w:vAlign w:val="bottom"/>
            <w:hideMark/>
          </w:tcPr>
          <w:p w14:paraId="00FDADC1"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$165,184</w:t>
            </w:r>
          </w:p>
        </w:tc>
        <w:tc>
          <w:tcPr>
            <w:tcW w:w="1440" w:type="dxa"/>
            <w:shd w:val="clear" w:color="auto" w:fill="auto"/>
            <w:noWrap/>
            <w:vAlign w:val="bottom"/>
            <w:hideMark/>
          </w:tcPr>
          <w:p w14:paraId="1EFF699B"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1.03%</w:t>
            </w:r>
          </w:p>
        </w:tc>
      </w:tr>
      <w:tr w:rsidR="00C93C49" w:rsidRPr="00C93C49" w14:paraId="1BD12531" w14:textId="77777777" w:rsidTr="00347614">
        <w:trPr>
          <w:trHeight w:val="257"/>
          <w:jc w:val="center"/>
        </w:trPr>
        <w:tc>
          <w:tcPr>
            <w:tcW w:w="1986" w:type="dxa"/>
            <w:shd w:val="clear" w:color="auto" w:fill="auto"/>
            <w:noWrap/>
            <w:vAlign w:val="bottom"/>
            <w:hideMark/>
          </w:tcPr>
          <w:p w14:paraId="0D1807CE"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2017</w:t>
            </w:r>
          </w:p>
        </w:tc>
        <w:tc>
          <w:tcPr>
            <w:tcW w:w="1329" w:type="dxa"/>
            <w:shd w:val="clear" w:color="auto" w:fill="auto"/>
            <w:noWrap/>
            <w:vAlign w:val="bottom"/>
            <w:hideMark/>
          </w:tcPr>
          <w:p w14:paraId="6DF0222E"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$13,007,571</w:t>
            </w:r>
          </w:p>
        </w:tc>
        <w:tc>
          <w:tcPr>
            <w:tcW w:w="1461" w:type="dxa"/>
            <w:shd w:val="clear" w:color="auto" w:fill="auto"/>
            <w:noWrap/>
            <w:vAlign w:val="bottom"/>
            <w:hideMark/>
          </w:tcPr>
          <w:p w14:paraId="305C2F54"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$295,508</w:t>
            </w:r>
          </w:p>
        </w:tc>
        <w:tc>
          <w:tcPr>
            <w:tcW w:w="1440" w:type="dxa"/>
            <w:shd w:val="clear" w:color="auto" w:fill="auto"/>
            <w:noWrap/>
            <w:vAlign w:val="bottom"/>
            <w:hideMark/>
          </w:tcPr>
          <w:p w14:paraId="5B9083A7"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1.99%</w:t>
            </w:r>
          </w:p>
        </w:tc>
        <w:tc>
          <w:tcPr>
            <w:tcW w:w="1325" w:type="dxa"/>
            <w:shd w:val="clear" w:color="auto" w:fill="auto"/>
            <w:noWrap/>
            <w:vAlign w:val="bottom"/>
            <w:hideMark/>
          </w:tcPr>
          <w:p w14:paraId="52178B36"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$209,811</w:t>
            </w:r>
          </w:p>
        </w:tc>
        <w:tc>
          <w:tcPr>
            <w:tcW w:w="1440" w:type="dxa"/>
            <w:shd w:val="clear" w:color="auto" w:fill="auto"/>
            <w:noWrap/>
            <w:vAlign w:val="bottom"/>
            <w:hideMark/>
          </w:tcPr>
          <w:p w14:paraId="6C4485E2"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1.41%</w:t>
            </w:r>
          </w:p>
        </w:tc>
      </w:tr>
      <w:tr w:rsidR="00C93C49" w:rsidRPr="00C93C49" w14:paraId="3F6DF030" w14:textId="77777777" w:rsidTr="00347614">
        <w:trPr>
          <w:trHeight w:val="257"/>
          <w:jc w:val="center"/>
        </w:trPr>
        <w:tc>
          <w:tcPr>
            <w:tcW w:w="1986" w:type="dxa"/>
            <w:shd w:val="clear" w:color="auto" w:fill="auto"/>
            <w:noWrap/>
            <w:vAlign w:val="bottom"/>
            <w:hideMark/>
          </w:tcPr>
          <w:p w14:paraId="418C8678" w14:textId="77777777" w:rsidR="00C93C49" w:rsidRPr="00C93C49" w:rsidRDefault="00C93C49" w:rsidP="00C93C49">
            <w:pPr>
              <w:widowControl w:val="0"/>
              <w:spacing w:after="0" w:line="20" w:lineRule="atLeast"/>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Penn Power</w:t>
            </w:r>
          </w:p>
        </w:tc>
        <w:tc>
          <w:tcPr>
            <w:tcW w:w="1329" w:type="dxa"/>
            <w:shd w:val="clear" w:color="auto" w:fill="auto"/>
            <w:noWrap/>
            <w:vAlign w:val="bottom"/>
            <w:hideMark/>
          </w:tcPr>
          <w:p w14:paraId="470F6FE0"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p>
        </w:tc>
        <w:tc>
          <w:tcPr>
            <w:tcW w:w="1461" w:type="dxa"/>
            <w:shd w:val="clear" w:color="auto" w:fill="auto"/>
            <w:noWrap/>
            <w:vAlign w:val="bottom"/>
            <w:hideMark/>
          </w:tcPr>
          <w:p w14:paraId="3643CCC0"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p>
        </w:tc>
        <w:tc>
          <w:tcPr>
            <w:tcW w:w="1440" w:type="dxa"/>
            <w:shd w:val="clear" w:color="auto" w:fill="auto"/>
            <w:noWrap/>
            <w:vAlign w:val="bottom"/>
            <w:hideMark/>
          </w:tcPr>
          <w:p w14:paraId="6212BC90"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p>
        </w:tc>
        <w:tc>
          <w:tcPr>
            <w:tcW w:w="1325" w:type="dxa"/>
            <w:shd w:val="clear" w:color="auto" w:fill="auto"/>
            <w:noWrap/>
            <w:vAlign w:val="bottom"/>
            <w:hideMark/>
          </w:tcPr>
          <w:p w14:paraId="03D8BFDA"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p>
        </w:tc>
        <w:tc>
          <w:tcPr>
            <w:tcW w:w="1440" w:type="dxa"/>
            <w:shd w:val="clear" w:color="auto" w:fill="auto"/>
            <w:noWrap/>
            <w:vAlign w:val="bottom"/>
            <w:hideMark/>
          </w:tcPr>
          <w:p w14:paraId="2D44B203"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p>
        </w:tc>
      </w:tr>
      <w:tr w:rsidR="00C93C49" w:rsidRPr="00C93C49" w14:paraId="3A4DE982" w14:textId="77777777" w:rsidTr="00347614">
        <w:trPr>
          <w:trHeight w:val="257"/>
          <w:jc w:val="center"/>
        </w:trPr>
        <w:tc>
          <w:tcPr>
            <w:tcW w:w="1986" w:type="dxa"/>
            <w:shd w:val="clear" w:color="auto" w:fill="auto"/>
            <w:noWrap/>
            <w:vAlign w:val="bottom"/>
            <w:hideMark/>
          </w:tcPr>
          <w:p w14:paraId="77A425C5"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2014</w:t>
            </w:r>
          </w:p>
        </w:tc>
        <w:tc>
          <w:tcPr>
            <w:tcW w:w="1329" w:type="dxa"/>
            <w:shd w:val="clear" w:color="auto" w:fill="auto"/>
            <w:noWrap/>
            <w:vAlign w:val="bottom"/>
            <w:hideMark/>
          </w:tcPr>
          <w:p w14:paraId="6F49E994"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$1,174,218</w:t>
            </w:r>
          </w:p>
        </w:tc>
        <w:tc>
          <w:tcPr>
            <w:tcW w:w="1461" w:type="dxa"/>
            <w:shd w:val="clear" w:color="auto" w:fill="auto"/>
            <w:noWrap/>
            <w:vAlign w:val="bottom"/>
            <w:hideMark/>
          </w:tcPr>
          <w:p w14:paraId="0192CC14"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$9,759</w:t>
            </w:r>
          </w:p>
        </w:tc>
        <w:tc>
          <w:tcPr>
            <w:tcW w:w="1440" w:type="dxa"/>
            <w:shd w:val="clear" w:color="auto" w:fill="auto"/>
            <w:noWrap/>
            <w:vAlign w:val="bottom"/>
            <w:hideMark/>
          </w:tcPr>
          <w:p w14:paraId="77ABD1BC"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0.83%</w:t>
            </w:r>
          </w:p>
        </w:tc>
        <w:tc>
          <w:tcPr>
            <w:tcW w:w="1325" w:type="dxa"/>
            <w:shd w:val="clear" w:color="auto" w:fill="auto"/>
            <w:noWrap/>
            <w:vAlign w:val="bottom"/>
            <w:hideMark/>
          </w:tcPr>
          <w:p w14:paraId="159A1B87"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$6,745</w:t>
            </w:r>
          </w:p>
        </w:tc>
        <w:tc>
          <w:tcPr>
            <w:tcW w:w="1440" w:type="dxa"/>
            <w:shd w:val="clear" w:color="auto" w:fill="auto"/>
            <w:noWrap/>
            <w:vAlign w:val="bottom"/>
            <w:hideMark/>
          </w:tcPr>
          <w:p w14:paraId="541EBD38"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0.57%</w:t>
            </w:r>
          </w:p>
        </w:tc>
      </w:tr>
      <w:tr w:rsidR="00C93C49" w:rsidRPr="00C93C49" w14:paraId="3E9E69A9" w14:textId="77777777" w:rsidTr="00347614">
        <w:trPr>
          <w:trHeight w:val="257"/>
          <w:jc w:val="center"/>
        </w:trPr>
        <w:tc>
          <w:tcPr>
            <w:tcW w:w="1986" w:type="dxa"/>
            <w:shd w:val="clear" w:color="auto" w:fill="auto"/>
            <w:noWrap/>
            <w:vAlign w:val="bottom"/>
            <w:hideMark/>
          </w:tcPr>
          <w:p w14:paraId="5A03E3BC"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2015</w:t>
            </w:r>
          </w:p>
        </w:tc>
        <w:tc>
          <w:tcPr>
            <w:tcW w:w="1329" w:type="dxa"/>
            <w:shd w:val="clear" w:color="auto" w:fill="auto"/>
            <w:noWrap/>
            <w:vAlign w:val="bottom"/>
            <w:hideMark/>
          </w:tcPr>
          <w:p w14:paraId="62449663"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$2,102,480</w:t>
            </w:r>
          </w:p>
        </w:tc>
        <w:tc>
          <w:tcPr>
            <w:tcW w:w="1461" w:type="dxa"/>
            <w:shd w:val="clear" w:color="auto" w:fill="auto"/>
            <w:noWrap/>
            <w:vAlign w:val="bottom"/>
            <w:hideMark/>
          </w:tcPr>
          <w:p w14:paraId="7C4A2DCD"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$17,455</w:t>
            </w:r>
          </w:p>
        </w:tc>
        <w:tc>
          <w:tcPr>
            <w:tcW w:w="1440" w:type="dxa"/>
            <w:shd w:val="clear" w:color="auto" w:fill="auto"/>
            <w:noWrap/>
            <w:vAlign w:val="bottom"/>
            <w:hideMark/>
          </w:tcPr>
          <w:p w14:paraId="44CC0982"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0.83%</w:t>
            </w:r>
          </w:p>
        </w:tc>
        <w:tc>
          <w:tcPr>
            <w:tcW w:w="1325" w:type="dxa"/>
            <w:shd w:val="clear" w:color="auto" w:fill="auto"/>
            <w:noWrap/>
            <w:vAlign w:val="bottom"/>
            <w:hideMark/>
          </w:tcPr>
          <w:p w14:paraId="629599C4"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$12,818</w:t>
            </w:r>
          </w:p>
        </w:tc>
        <w:tc>
          <w:tcPr>
            <w:tcW w:w="1440" w:type="dxa"/>
            <w:shd w:val="clear" w:color="auto" w:fill="auto"/>
            <w:noWrap/>
            <w:vAlign w:val="bottom"/>
            <w:hideMark/>
          </w:tcPr>
          <w:p w14:paraId="2038D05E"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0.61%</w:t>
            </w:r>
          </w:p>
        </w:tc>
      </w:tr>
      <w:tr w:rsidR="00C93C49" w:rsidRPr="00C93C49" w14:paraId="09B07514" w14:textId="77777777" w:rsidTr="00347614">
        <w:trPr>
          <w:trHeight w:val="257"/>
          <w:jc w:val="center"/>
        </w:trPr>
        <w:tc>
          <w:tcPr>
            <w:tcW w:w="1986" w:type="dxa"/>
            <w:shd w:val="clear" w:color="auto" w:fill="auto"/>
            <w:noWrap/>
            <w:vAlign w:val="bottom"/>
            <w:hideMark/>
          </w:tcPr>
          <w:p w14:paraId="5E48451F"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2016</w:t>
            </w:r>
          </w:p>
        </w:tc>
        <w:tc>
          <w:tcPr>
            <w:tcW w:w="1329" w:type="dxa"/>
            <w:shd w:val="clear" w:color="auto" w:fill="auto"/>
            <w:noWrap/>
            <w:vAlign w:val="bottom"/>
            <w:hideMark/>
          </w:tcPr>
          <w:p w14:paraId="1590901B"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$2,495,507</w:t>
            </w:r>
          </w:p>
        </w:tc>
        <w:tc>
          <w:tcPr>
            <w:tcW w:w="1461" w:type="dxa"/>
            <w:shd w:val="clear" w:color="auto" w:fill="auto"/>
            <w:noWrap/>
            <w:vAlign w:val="bottom"/>
            <w:hideMark/>
          </w:tcPr>
          <w:p w14:paraId="65F5071D"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$22,696</w:t>
            </w:r>
          </w:p>
        </w:tc>
        <w:tc>
          <w:tcPr>
            <w:tcW w:w="1440" w:type="dxa"/>
            <w:shd w:val="clear" w:color="auto" w:fill="auto"/>
            <w:noWrap/>
            <w:vAlign w:val="bottom"/>
            <w:hideMark/>
          </w:tcPr>
          <w:p w14:paraId="041EE34B"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0.91%</w:t>
            </w:r>
          </w:p>
        </w:tc>
        <w:tc>
          <w:tcPr>
            <w:tcW w:w="1325" w:type="dxa"/>
            <w:shd w:val="clear" w:color="auto" w:fill="auto"/>
            <w:noWrap/>
            <w:vAlign w:val="bottom"/>
            <w:hideMark/>
          </w:tcPr>
          <w:p w14:paraId="30025C1C"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$16,114</w:t>
            </w:r>
          </w:p>
        </w:tc>
        <w:tc>
          <w:tcPr>
            <w:tcW w:w="1440" w:type="dxa"/>
            <w:shd w:val="clear" w:color="auto" w:fill="auto"/>
            <w:noWrap/>
            <w:vAlign w:val="bottom"/>
            <w:hideMark/>
          </w:tcPr>
          <w:p w14:paraId="659469EC"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0.65%</w:t>
            </w:r>
          </w:p>
        </w:tc>
      </w:tr>
      <w:tr w:rsidR="00C93C49" w:rsidRPr="00C93C49" w14:paraId="4ACB5486" w14:textId="77777777" w:rsidTr="00347614">
        <w:trPr>
          <w:trHeight w:val="257"/>
          <w:jc w:val="center"/>
        </w:trPr>
        <w:tc>
          <w:tcPr>
            <w:tcW w:w="1986" w:type="dxa"/>
            <w:shd w:val="clear" w:color="auto" w:fill="auto"/>
            <w:noWrap/>
            <w:vAlign w:val="bottom"/>
            <w:hideMark/>
          </w:tcPr>
          <w:p w14:paraId="51883AC9"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2017</w:t>
            </w:r>
          </w:p>
        </w:tc>
        <w:tc>
          <w:tcPr>
            <w:tcW w:w="1329" w:type="dxa"/>
            <w:shd w:val="clear" w:color="auto" w:fill="auto"/>
            <w:noWrap/>
            <w:vAlign w:val="bottom"/>
            <w:hideMark/>
          </w:tcPr>
          <w:p w14:paraId="72440589"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$2,511,597</w:t>
            </w:r>
          </w:p>
        </w:tc>
        <w:tc>
          <w:tcPr>
            <w:tcW w:w="1461" w:type="dxa"/>
            <w:shd w:val="clear" w:color="auto" w:fill="auto"/>
            <w:noWrap/>
            <w:vAlign w:val="bottom"/>
            <w:hideMark/>
          </w:tcPr>
          <w:p w14:paraId="369554C7"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$48,849</w:t>
            </w:r>
          </w:p>
        </w:tc>
        <w:tc>
          <w:tcPr>
            <w:tcW w:w="1440" w:type="dxa"/>
            <w:shd w:val="clear" w:color="auto" w:fill="auto"/>
            <w:noWrap/>
            <w:vAlign w:val="bottom"/>
            <w:hideMark/>
          </w:tcPr>
          <w:p w14:paraId="19E22173"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1.94%</w:t>
            </w:r>
          </w:p>
        </w:tc>
        <w:tc>
          <w:tcPr>
            <w:tcW w:w="1325" w:type="dxa"/>
            <w:shd w:val="clear" w:color="auto" w:fill="auto"/>
            <w:noWrap/>
            <w:vAlign w:val="bottom"/>
            <w:hideMark/>
          </w:tcPr>
          <w:p w14:paraId="1329F360"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$34,683</w:t>
            </w:r>
          </w:p>
        </w:tc>
        <w:tc>
          <w:tcPr>
            <w:tcW w:w="1440" w:type="dxa"/>
            <w:shd w:val="clear" w:color="auto" w:fill="auto"/>
            <w:noWrap/>
            <w:vAlign w:val="bottom"/>
            <w:hideMark/>
          </w:tcPr>
          <w:p w14:paraId="4B6A5F00"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1.38%</w:t>
            </w:r>
          </w:p>
        </w:tc>
      </w:tr>
      <w:tr w:rsidR="00C93C49" w:rsidRPr="00C93C49" w14:paraId="1A3AD852" w14:textId="77777777" w:rsidTr="00347614">
        <w:trPr>
          <w:trHeight w:val="257"/>
          <w:jc w:val="center"/>
        </w:trPr>
        <w:tc>
          <w:tcPr>
            <w:tcW w:w="1986" w:type="dxa"/>
            <w:shd w:val="clear" w:color="auto" w:fill="auto"/>
            <w:noWrap/>
            <w:vAlign w:val="bottom"/>
            <w:hideMark/>
          </w:tcPr>
          <w:p w14:paraId="75766421" w14:textId="77777777" w:rsidR="00C93C49" w:rsidRPr="00C93C49" w:rsidRDefault="00C93C49" w:rsidP="00C93C49">
            <w:pPr>
              <w:widowControl w:val="0"/>
              <w:spacing w:after="0" w:line="20" w:lineRule="atLeast"/>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West Penn Power</w:t>
            </w:r>
          </w:p>
        </w:tc>
        <w:tc>
          <w:tcPr>
            <w:tcW w:w="1329" w:type="dxa"/>
            <w:shd w:val="clear" w:color="auto" w:fill="auto"/>
            <w:noWrap/>
            <w:vAlign w:val="bottom"/>
            <w:hideMark/>
          </w:tcPr>
          <w:p w14:paraId="59EC42D1"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p>
        </w:tc>
        <w:tc>
          <w:tcPr>
            <w:tcW w:w="1461" w:type="dxa"/>
            <w:shd w:val="clear" w:color="auto" w:fill="auto"/>
            <w:noWrap/>
            <w:vAlign w:val="bottom"/>
            <w:hideMark/>
          </w:tcPr>
          <w:p w14:paraId="57CC3D71"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p>
        </w:tc>
        <w:tc>
          <w:tcPr>
            <w:tcW w:w="1440" w:type="dxa"/>
            <w:shd w:val="clear" w:color="auto" w:fill="auto"/>
            <w:noWrap/>
            <w:vAlign w:val="bottom"/>
            <w:hideMark/>
          </w:tcPr>
          <w:p w14:paraId="515DF902"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p>
        </w:tc>
        <w:tc>
          <w:tcPr>
            <w:tcW w:w="1325" w:type="dxa"/>
            <w:shd w:val="clear" w:color="auto" w:fill="auto"/>
            <w:noWrap/>
            <w:vAlign w:val="bottom"/>
            <w:hideMark/>
          </w:tcPr>
          <w:p w14:paraId="1D269D37"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p>
        </w:tc>
        <w:tc>
          <w:tcPr>
            <w:tcW w:w="1440" w:type="dxa"/>
            <w:shd w:val="clear" w:color="auto" w:fill="auto"/>
            <w:noWrap/>
            <w:vAlign w:val="bottom"/>
            <w:hideMark/>
          </w:tcPr>
          <w:p w14:paraId="6D6A1880"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p>
        </w:tc>
      </w:tr>
      <w:tr w:rsidR="00C93C49" w:rsidRPr="00C93C49" w14:paraId="0B49B518" w14:textId="77777777" w:rsidTr="00347614">
        <w:trPr>
          <w:trHeight w:val="257"/>
          <w:jc w:val="center"/>
        </w:trPr>
        <w:tc>
          <w:tcPr>
            <w:tcW w:w="1986" w:type="dxa"/>
            <w:shd w:val="clear" w:color="auto" w:fill="auto"/>
            <w:noWrap/>
            <w:vAlign w:val="bottom"/>
            <w:hideMark/>
          </w:tcPr>
          <w:p w14:paraId="5E8971F7"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2014</w:t>
            </w:r>
          </w:p>
        </w:tc>
        <w:tc>
          <w:tcPr>
            <w:tcW w:w="1329" w:type="dxa"/>
            <w:shd w:val="clear" w:color="auto" w:fill="auto"/>
            <w:noWrap/>
            <w:vAlign w:val="bottom"/>
            <w:hideMark/>
          </w:tcPr>
          <w:p w14:paraId="59E60910"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$5,352,551</w:t>
            </w:r>
          </w:p>
        </w:tc>
        <w:tc>
          <w:tcPr>
            <w:tcW w:w="1461" w:type="dxa"/>
            <w:shd w:val="clear" w:color="auto" w:fill="auto"/>
            <w:noWrap/>
            <w:vAlign w:val="bottom"/>
            <w:hideMark/>
          </w:tcPr>
          <w:p w14:paraId="68F6A013"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$58,990</w:t>
            </w:r>
          </w:p>
        </w:tc>
        <w:tc>
          <w:tcPr>
            <w:tcW w:w="1440" w:type="dxa"/>
            <w:shd w:val="clear" w:color="auto" w:fill="auto"/>
            <w:noWrap/>
            <w:vAlign w:val="bottom"/>
            <w:hideMark/>
          </w:tcPr>
          <w:p w14:paraId="5867DD01"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1.10%</w:t>
            </w:r>
          </w:p>
        </w:tc>
        <w:tc>
          <w:tcPr>
            <w:tcW w:w="1325" w:type="dxa"/>
            <w:shd w:val="clear" w:color="auto" w:fill="auto"/>
            <w:noWrap/>
            <w:vAlign w:val="bottom"/>
            <w:hideMark/>
          </w:tcPr>
          <w:p w14:paraId="239662FB"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$42,915</w:t>
            </w:r>
          </w:p>
        </w:tc>
        <w:tc>
          <w:tcPr>
            <w:tcW w:w="1440" w:type="dxa"/>
            <w:shd w:val="clear" w:color="auto" w:fill="auto"/>
            <w:noWrap/>
            <w:vAlign w:val="bottom"/>
            <w:hideMark/>
          </w:tcPr>
          <w:p w14:paraId="5B5FF513"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0.80%</w:t>
            </w:r>
          </w:p>
        </w:tc>
      </w:tr>
      <w:tr w:rsidR="00C93C49" w:rsidRPr="00C93C49" w14:paraId="07D42081" w14:textId="77777777" w:rsidTr="00347614">
        <w:trPr>
          <w:trHeight w:val="257"/>
          <w:jc w:val="center"/>
        </w:trPr>
        <w:tc>
          <w:tcPr>
            <w:tcW w:w="1986" w:type="dxa"/>
            <w:shd w:val="clear" w:color="auto" w:fill="auto"/>
            <w:noWrap/>
            <w:vAlign w:val="bottom"/>
            <w:hideMark/>
          </w:tcPr>
          <w:p w14:paraId="25B50F5F"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2015</w:t>
            </w:r>
          </w:p>
        </w:tc>
        <w:tc>
          <w:tcPr>
            <w:tcW w:w="1329" w:type="dxa"/>
            <w:shd w:val="clear" w:color="auto" w:fill="auto"/>
            <w:noWrap/>
            <w:vAlign w:val="bottom"/>
            <w:hideMark/>
          </w:tcPr>
          <w:p w14:paraId="2E1B6516"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$11,050,248</w:t>
            </w:r>
          </w:p>
        </w:tc>
        <w:tc>
          <w:tcPr>
            <w:tcW w:w="1461" w:type="dxa"/>
            <w:shd w:val="clear" w:color="auto" w:fill="auto"/>
            <w:noWrap/>
            <w:vAlign w:val="bottom"/>
            <w:hideMark/>
          </w:tcPr>
          <w:p w14:paraId="6C01D1F5"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$90,441</w:t>
            </w:r>
          </w:p>
        </w:tc>
        <w:tc>
          <w:tcPr>
            <w:tcW w:w="1440" w:type="dxa"/>
            <w:shd w:val="clear" w:color="auto" w:fill="auto"/>
            <w:noWrap/>
            <w:vAlign w:val="bottom"/>
            <w:hideMark/>
          </w:tcPr>
          <w:p w14:paraId="1CE0A376"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0.82%</w:t>
            </w:r>
          </w:p>
        </w:tc>
        <w:tc>
          <w:tcPr>
            <w:tcW w:w="1325" w:type="dxa"/>
            <w:shd w:val="clear" w:color="auto" w:fill="auto"/>
            <w:noWrap/>
            <w:vAlign w:val="bottom"/>
            <w:hideMark/>
          </w:tcPr>
          <w:p w14:paraId="70EB984B"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$65,686</w:t>
            </w:r>
          </w:p>
        </w:tc>
        <w:tc>
          <w:tcPr>
            <w:tcW w:w="1440" w:type="dxa"/>
            <w:shd w:val="clear" w:color="auto" w:fill="auto"/>
            <w:noWrap/>
            <w:vAlign w:val="bottom"/>
            <w:hideMark/>
          </w:tcPr>
          <w:p w14:paraId="193E5874"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0.59%</w:t>
            </w:r>
          </w:p>
        </w:tc>
      </w:tr>
      <w:tr w:rsidR="00C93C49" w:rsidRPr="00C93C49" w14:paraId="75981D5B" w14:textId="77777777" w:rsidTr="00347614">
        <w:trPr>
          <w:trHeight w:val="257"/>
          <w:jc w:val="center"/>
        </w:trPr>
        <w:tc>
          <w:tcPr>
            <w:tcW w:w="1986" w:type="dxa"/>
            <w:shd w:val="clear" w:color="auto" w:fill="auto"/>
            <w:noWrap/>
            <w:vAlign w:val="bottom"/>
            <w:hideMark/>
          </w:tcPr>
          <w:p w14:paraId="6FEF977A"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2016</w:t>
            </w:r>
          </w:p>
        </w:tc>
        <w:tc>
          <w:tcPr>
            <w:tcW w:w="1329" w:type="dxa"/>
            <w:shd w:val="clear" w:color="auto" w:fill="auto"/>
            <w:noWrap/>
            <w:vAlign w:val="bottom"/>
            <w:hideMark/>
          </w:tcPr>
          <w:p w14:paraId="55932060"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$10,863,339</w:t>
            </w:r>
          </w:p>
        </w:tc>
        <w:tc>
          <w:tcPr>
            <w:tcW w:w="1461" w:type="dxa"/>
            <w:shd w:val="clear" w:color="auto" w:fill="auto"/>
            <w:noWrap/>
            <w:vAlign w:val="bottom"/>
            <w:hideMark/>
          </w:tcPr>
          <w:p w14:paraId="084DE2DD"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$140,260</w:t>
            </w:r>
          </w:p>
        </w:tc>
        <w:tc>
          <w:tcPr>
            <w:tcW w:w="1440" w:type="dxa"/>
            <w:shd w:val="clear" w:color="auto" w:fill="auto"/>
            <w:noWrap/>
            <w:vAlign w:val="bottom"/>
            <w:hideMark/>
          </w:tcPr>
          <w:p w14:paraId="2F04DF8D"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1.29%</w:t>
            </w:r>
          </w:p>
        </w:tc>
        <w:tc>
          <w:tcPr>
            <w:tcW w:w="1325" w:type="dxa"/>
            <w:shd w:val="clear" w:color="auto" w:fill="auto"/>
            <w:noWrap/>
            <w:vAlign w:val="bottom"/>
            <w:hideMark/>
          </w:tcPr>
          <w:p w14:paraId="6900DE97"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$99,585</w:t>
            </w:r>
          </w:p>
        </w:tc>
        <w:tc>
          <w:tcPr>
            <w:tcW w:w="1440" w:type="dxa"/>
            <w:shd w:val="clear" w:color="auto" w:fill="auto"/>
            <w:noWrap/>
            <w:vAlign w:val="bottom"/>
            <w:hideMark/>
          </w:tcPr>
          <w:p w14:paraId="616833CD"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0.92%</w:t>
            </w:r>
          </w:p>
        </w:tc>
      </w:tr>
      <w:tr w:rsidR="00C93C49" w:rsidRPr="00C93C49" w14:paraId="3C886AD1" w14:textId="77777777" w:rsidTr="00347614">
        <w:trPr>
          <w:trHeight w:val="257"/>
          <w:jc w:val="center"/>
        </w:trPr>
        <w:tc>
          <w:tcPr>
            <w:tcW w:w="1986" w:type="dxa"/>
            <w:shd w:val="clear" w:color="auto" w:fill="auto"/>
            <w:noWrap/>
            <w:vAlign w:val="bottom"/>
            <w:hideMark/>
          </w:tcPr>
          <w:p w14:paraId="67AB1CC0"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2017</w:t>
            </w:r>
          </w:p>
        </w:tc>
        <w:tc>
          <w:tcPr>
            <w:tcW w:w="1329" w:type="dxa"/>
            <w:shd w:val="clear" w:color="auto" w:fill="auto"/>
            <w:noWrap/>
            <w:vAlign w:val="bottom"/>
            <w:hideMark/>
          </w:tcPr>
          <w:p w14:paraId="2A7AD2C9"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$11,167,788</w:t>
            </w:r>
          </w:p>
        </w:tc>
        <w:tc>
          <w:tcPr>
            <w:tcW w:w="1461" w:type="dxa"/>
            <w:shd w:val="clear" w:color="auto" w:fill="auto"/>
            <w:noWrap/>
            <w:vAlign w:val="bottom"/>
            <w:hideMark/>
          </w:tcPr>
          <w:p w14:paraId="44F5251D"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$184,290</w:t>
            </w:r>
          </w:p>
        </w:tc>
        <w:tc>
          <w:tcPr>
            <w:tcW w:w="1440" w:type="dxa"/>
            <w:shd w:val="clear" w:color="auto" w:fill="auto"/>
            <w:noWrap/>
            <w:vAlign w:val="bottom"/>
            <w:hideMark/>
          </w:tcPr>
          <w:p w14:paraId="0B9D96F1"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1.65%</w:t>
            </w:r>
          </w:p>
        </w:tc>
        <w:tc>
          <w:tcPr>
            <w:tcW w:w="1325" w:type="dxa"/>
            <w:shd w:val="clear" w:color="auto" w:fill="auto"/>
            <w:noWrap/>
            <w:vAlign w:val="bottom"/>
            <w:hideMark/>
          </w:tcPr>
          <w:p w14:paraId="37B44104" w14:textId="77777777" w:rsidR="00C93C49" w:rsidRPr="00C93C49" w:rsidRDefault="00C93C49" w:rsidP="00C93C49">
            <w:pPr>
              <w:widowControl w:val="0"/>
              <w:spacing w:after="0" w:line="20" w:lineRule="atLeast"/>
              <w:jc w:val="center"/>
              <w:rPr>
                <w:rFonts w:ascii="Arial" w:eastAsia="Times New Roman" w:hAnsi="Arial" w:cs="Arial"/>
                <w:bCs/>
                <w:snapToGrid w:val="0"/>
                <w:sz w:val="20"/>
                <w:szCs w:val="20"/>
              </w:rPr>
            </w:pPr>
            <w:r w:rsidRPr="00C93C49">
              <w:rPr>
                <w:rFonts w:ascii="Arial" w:eastAsia="Times New Roman" w:hAnsi="Arial" w:cs="Arial"/>
                <w:bCs/>
                <w:snapToGrid w:val="0"/>
                <w:sz w:val="20"/>
                <w:szCs w:val="20"/>
              </w:rPr>
              <w:t>$130,846</w:t>
            </w:r>
          </w:p>
        </w:tc>
        <w:tc>
          <w:tcPr>
            <w:tcW w:w="1440" w:type="dxa"/>
            <w:shd w:val="clear" w:color="auto" w:fill="auto"/>
            <w:noWrap/>
            <w:vAlign w:val="bottom"/>
            <w:hideMark/>
          </w:tcPr>
          <w:p w14:paraId="192F0967" w14:textId="77777777" w:rsidR="00C93C49" w:rsidRPr="00C93C49" w:rsidRDefault="00C93C49" w:rsidP="00C93C49">
            <w:pPr>
              <w:widowControl w:val="0"/>
              <w:spacing w:after="0" w:line="20" w:lineRule="atLeast"/>
              <w:jc w:val="center"/>
              <w:rPr>
                <w:rFonts w:ascii="Arial" w:eastAsia="Times New Roman" w:hAnsi="Arial" w:cs="Arial"/>
                <w:b/>
                <w:bCs/>
                <w:snapToGrid w:val="0"/>
                <w:sz w:val="20"/>
                <w:szCs w:val="20"/>
              </w:rPr>
            </w:pPr>
            <w:r w:rsidRPr="00C93C49">
              <w:rPr>
                <w:rFonts w:ascii="Arial" w:eastAsia="Times New Roman" w:hAnsi="Arial" w:cs="Arial"/>
                <w:b/>
                <w:bCs/>
                <w:snapToGrid w:val="0"/>
                <w:sz w:val="20"/>
                <w:szCs w:val="20"/>
              </w:rPr>
              <w:t>1.17%</w:t>
            </w:r>
          </w:p>
        </w:tc>
      </w:tr>
    </w:tbl>
    <w:p w14:paraId="5876A8D2" w14:textId="77777777" w:rsidR="00493122" w:rsidRPr="00F227CA" w:rsidRDefault="00493122" w:rsidP="00493122">
      <w:pPr>
        <w:widowControl w:val="0"/>
        <w:tabs>
          <w:tab w:val="center" w:pos="4680"/>
          <w:tab w:val="left" w:pos="7260"/>
        </w:tabs>
        <w:spacing w:after="0" w:line="20" w:lineRule="atLeast"/>
        <w:ind w:left="180"/>
        <w:rPr>
          <w:rFonts w:ascii="Arial" w:eastAsia="Times New Roman" w:hAnsi="Arial" w:cs="Arial"/>
          <w:snapToGrid w:val="0"/>
          <w:sz w:val="20"/>
          <w:szCs w:val="20"/>
        </w:rPr>
      </w:pPr>
      <w:r>
        <w:rPr>
          <w:rFonts w:ascii="Arial" w:eastAsia="Times New Roman" w:hAnsi="Arial" w:cs="Arial"/>
          <w:snapToGrid w:val="0"/>
          <w:sz w:val="20"/>
          <w:szCs w:val="20"/>
        </w:rPr>
        <w:t>Gross Collection Goals: Threshold – 2.0%; Target – 2.5%; Stretch – 3.0%</w:t>
      </w:r>
    </w:p>
    <w:p w14:paraId="5B375269" w14:textId="77777777" w:rsidR="00493122" w:rsidRPr="00BB48FA" w:rsidRDefault="00493122" w:rsidP="00C93C49">
      <w:pPr>
        <w:widowControl w:val="0"/>
        <w:spacing w:after="0" w:line="20" w:lineRule="atLeast"/>
        <w:ind w:left="90" w:firstLine="90"/>
        <w:rPr>
          <w:rFonts w:ascii="Arial" w:eastAsia="Times New Roman" w:hAnsi="Arial" w:cs="Arial"/>
          <w:snapToGrid w:val="0"/>
          <w:sz w:val="8"/>
          <w:szCs w:val="8"/>
        </w:rPr>
      </w:pPr>
    </w:p>
    <w:p w14:paraId="746162FA" w14:textId="77777777" w:rsidR="00C93C49" w:rsidRPr="00C93C49" w:rsidRDefault="00C93C49" w:rsidP="00C93C49">
      <w:pPr>
        <w:widowControl w:val="0"/>
        <w:spacing w:after="0" w:line="20" w:lineRule="atLeast"/>
        <w:ind w:left="90" w:firstLine="90"/>
        <w:rPr>
          <w:rFonts w:ascii="Arial" w:eastAsia="Times New Roman" w:hAnsi="Arial" w:cs="Arial"/>
          <w:snapToGrid w:val="0"/>
          <w:sz w:val="18"/>
          <w:szCs w:val="18"/>
        </w:rPr>
      </w:pPr>
      <w:r w:rsidRPr="00C93C49">
        <w:rPr>
          <w:rFonts w:ascii="Arial" w:eastAsia="Times New Roman" w:hAnsi="Arial" w:cs="Arial"/>
          <w:snapToGrid w:val="0"/>
          <w:sz w:val="18"/>
          <w:szCs w:val="18"/>
        </w:rPr>
        <w:t>Source: Data Requests CS-12 and CS-21, and Auditor Analysis</w:t>
      </w:r>
    </w:p>
    <w:p w14:paraId="571F130B" w14:textId="77777777" w:rsidR="00C93C49" w:rsidRPr="00C93C49" w:rsidRDefault="00C93C49" w:rsidP="00C93C49">
      <w:pPr>
        <w:widowControl w:val="0"/>
        <w:spacing w:after="0" w:line="20" w:lineRule="atLeast"/>
        <w:rPr>
          <w:rFonts w:ascii="Arial" w:eastAsia="Times New Roman" w:hAnsi="Arial" w:cs="Arial"/>
          <w:snapToGrid w:val="0"/>
          <w:sz w:val="24"/>
          <w:szCs w:val="24"/>
        </w:rPr>
      </w:pPr>
    </w:p>
    <w:p w14:paraId="5E2A8182" w14:textId="77777777" w:rsidR="00C93C49" w:rsidRPr="00C93C49" w:rsidRDefault="00C93C49" w:rsidP="00C93C49">
      <w:pPr>
        <w:autoSpaceDE w:val="0"/>
        <w:autoSpaceDN w:val="0"/>
        <w:adjustRightInd w:val="0"/>
        <w:spacing w:after="0" w:line="20" w:lineRule="atLeast"/>
        <w:ind w:firstLine="720"/>
        <w:rPr>
          <w:rFonts w:ascii="Arial" w:eastAsia="Times New Roman" w:hAnsi="Arial" w:cs="Arial"/>
          <w:snapToGrid w:val="0"/>
          <w:sz w:val="24"/>
          <w:szCs w:val="24"/>
        </w:rPr>
      </w:pPr>
      <w:r w:rsidRPr="00C93C49">
        <w:rPr>
          <w:rFonts w:ascii="Arial" w:eastAsia="Times New Roman" w:hAnsi="Arial" w:cs="Arial"/>
          <w:snapToGrid w:val="0"/>
          <w:sz w:val="24"/>
          <w:szCs w:val="24"/>
        </w:rPr>
        <w:t xml:space="preserve">FirstEnergy is considering issuing a request for proposal (RFP) in 2018 to outside collection agencies, both currently under contract and potential new partners.  Should FirstEnergy decide to proceed with the RFP, the following </w:t>
      </w:r>
      <w:r w:rsidR="00E64A3A">
        <w:rPr>
          <w:rFonts w:ascii="Arial" w:eastAsia="Times New Roman" w:hAnsi="Arial" w:cs="Arial"/>
          <w:snapToGrid w:val="0"/>
          <w:sz w:val="24"/>
          <w:szCs w:val="24"/>
        </w:rPr>
        <w:t xml:space="preserve">is the </w:t>
      </w:r>
      <w:r w:rsidRPr="00C93C49">
        <w:rPr>
          <w:rFonts w:ascii="Arial" w:eastAsia="Times New Roman" w:hAnsi="Arial" w:cs="Arial"/>
          <w:snapToGrid w:val="0"/>
          <w:sz w:val="24"/>
          <w:szCs w:val="24"/>
        </w:rPr>
        <w:t>proposed timeline:</w:t>
      </w:r>
    </w:p>
    <w:p w14:paraId="1FB74360" w14:textId="77777777" w:rsidR="00C93C49" w:rsidRPr="00C93C49" w:rsidRDefault="00C93C49" w:rsidP="00C93C49">
      <w:pPr>
        <w:autoSpaceDE w:val="0"/>
        <w:autoSpaceDN w:val="0"/>
        <w:adjustRightInd w:val="0"/>
        <w:spacing w:after="0" w:line="20" w:lineRule="atLeast"/>
        <w:rPr>
          <w:rFonts w:ascii="Arial" w:eastAsia="Times New Roman" w:hAnsi="Arial" w:cs="Arial"/>
          <w:snapToGrid w:val="0"/>
          <w:sz w:val="24"/>
          <w:szCs w:val="24"/>
        </w:rPr>
      </w:pPr>
    </w:p>
    <w:p w14:paraId="54A089F9" w14:textId="77777777" w:rsidR="00C93C49" w:rsidRPr="00C93C49" w:rsidRDefault="00C93C49" w:rsidP="00D94B11">
      <w:pPr>
        <w:widowControl w:val="0"/>
        <w:numPr>
          <w:ilvl w:val="0"/>
          <w:numId w:val="24"/>
        </w:numPr>
        <w:autoSpaceDE w:val="0"/>
        <w:autoSpaceDN w:val="0"/>
        <w:adjustRightInd w:val="0"/>
        <w:spacing w:after="0" w:line="20" w:lineRule="atLeast"/>
        <w:ind w:left="1170"/>
        <w:contextualSpacing/>
        <w:rPr>
          <w:rFonts w:ascii="Arial" w:eastAsia="Times New Roman" w:hAnsi="Arial" w:cs="Arial"/>
          <w:snapToGrid w:val="0"/>
          <w:sz w:val="24"/>
          <w:szCs w:val="24"/>
        </w:rPr>
      </w:pPr>
      <w:r w:rsidRPr="00C93C49">
        <w:rPr>
          <w:rFonts w:ascii="Arial" w:eastAsia="Times New Roman" w:hAnsi="Arial" w:cs="Arial"/>
          <w:snapToGrid w:val="0"/>
          <w:sz w:val="24"/>
          <w:szCs w:val="24"/>
        </w:rPr>
        <w:t>Q1 2018: Requirement gathering and RFP preparation.</w:t>
      </w:r>
    </w:p>
    <w:p w14:paraId="2DD9F5F7" w14:textId="77777777" w:rsidR="00C93C49" w:rsidRPr="00C93C49" w:rsidRDefault="00C93C49" w:rsidP="00D94B11">
      <w:pPr>
        <w:widowControl w:val="0"/>
        <w:numPr>
          <w:ilvl w:val="0"/>
          <w:numId w:val="24"/>
        </w:numPr>
        <w:autoSpaceDE w:val="0"/>
        <w:autoSpaceDN w:val="0"/>
        <w:adjustRightInd w:val="0"/>
        <w:spacing w:after="0" w:line="20" w:lineRule="atLeast"/>
        <w:ind w:left="1170"/>
        <w:contextualSpacing/>
        <w:rPr>
          <w:rFonts w:ascii="Arial" w:eastAsia="Times New Roman" w:hAnsi="Arial" w:cs="Arial"/>
          <w:snapToGrid w:val="0"/>
          <w:sz w:val="24"/>
          <w:szCs w:val="24"/>
        </w:rPr>
      </w:pPr>
      <w:r w:rsidRPr="00C93C49">
        <w:rPr>
          <w:rFonts w:ascii="Arial" w:eastAsia="Times New Roman" w:hAnsi="Arial" w:cs="Arial"/>
          <w:snapToGrid w:val="0"/>
          <w:sz w:val="24"/>
          <w:szCs w:val="24"/>
        </w:rPr>
        <w:t>Q2 2018: Issue the RFP to agencies and receive RFP responses.</w:t>
      </w:r>
    </w:p>
    <w:p w14:paraId="1DBDDCC6" w14:textId="77777777" w:rsidR="00C93C49" w:rsidRPr="00C93C49" w:rsidRDefault="00C93C49" w:rsidP="00D94B11">
      <w:pPr>
        <w:widowControl w:val="0"/>
        <w:numPr>
          <w:ilvl w:val="0"/>
          <w:numId w:val="24"/>
        </w:numPr>
        <w:autoSpaceDE w:val="0"/>
        <w:autoSpaceDN w:val="0"/>
        <w:adjustRightInd w:val="0"/>
        <w:spacing w:after="0" w:line="20" w:lineRule="atLeast"/>
        <w:ind w:left="1170"/>
        <w:contextualSpacing/>
        <w:rPr>
          <w:rFonts w:ascii="Arial" w:eastAsia="Times New Roman" w:hAnsi="Arial" w:cs="Arial"/>
          <w:snapToGrid w:val="0"/>
          <w:sz w:val="24"/>
          <w:szCs w:val="24"/>
        </w:rPr>
      </w:pPr>
      <w:r w:rsidRPr="00C93C49">
        <w:rPr>
          <w:rFonts w:ascii="Arial" w:eastAsia="Times New Roman" w:hAnsi="Arial" w:cs="Arial"/>
          <w:snapToGrid w:val="0"/>
          <w:sz w:val="24"/>
          <w:szCs w:val="24"/>
        </w:rPr>
        <w:t>Q3 2018: Evaluate responses, interview short-listed respondents and make selections.</w:t>
      </w:r>
    </w:p>
    <w:p w14:paraId="17CB5BD1" w14:textId="77777777" w:rsidR="00C93C49" w:rsidRPr="00C93C49" w:rsidRDefault="00C93C49" w:rsidP="00D94B11">
      <w:pPr>
        <w:widowControl w:val="0"/>
        <w:numPr>
          <w:ilvl w:val="0"/>
          <w:numId w:val="24"/>
        </w:numPr>
        <w:autoSpaceDE w:val="0"/>
        <w:autoSpaceDN w:val="0"/>
        <w:adjustRightInd w:val="0"/>
        <w:spacing w:after="0" w:line="20" w:lineRule="atLeast"/>
        <w:ind w:left="1170"/>
        <w:contextualSpacing/>
        <w:rPr>
          <w:rFonts w:ascii="Arial" w:eastAsia="Times New Roman" w:hAnsi="Arial" w:cs="Arial"/>
          <w:snapToGrid w:val="0"/>
          <w:sz w:val="24"/>
          <w:szCs w:val="24"/>
        </w:rPr>
      </w:pPr>
      <w:r w:rsidRPr="00C93C49">
        <w:rPr>
          <w:rFonts w:ascii="Arial" w:eastAsia="Times New Roman" w:hAnsi="Arial" w:cs="Arial"/>
          <w:snapToGrid w:val="0"/>
          <w:sz w:val="24"/>
          <w:szCs w:val="24"/>
        </w:rPr>
        <w:t>Q4 2018: Negotiate terms and conditions, onboard new agency partners, including completion of required FE system changes to incorporate new agencies; and</w:t>
      </w:r>
    </w:p>
    <w:p w14:paraId="6F8E2A21" w14:textId="7DA14C32" w:rsidR="00C93C49" w:rsidRDefault="00C93C49" w:rsidP="00D94B11">
      <w:pPr>
        <w:widowControl w:val="0"/>
        <w:numPr>
          <w:ilvl w:val="0"/>
          <w:numId w:val="24"/>
        </w:numPr>
        <w:autoSpaceDE w:val="0"/>
        <w:autoSpaceDN w:val="0"/>
        <w:adjustRightInd w:val="0"/>
        <w:spacing w:after="0" w:line="20" w:lineRule="atLeast"/>
        <w:ind w:left="1170"/>
        <w:contextualSpacing/>
        <w:rPr>
          <w:rFonts w:ascii="Arial" w:eastAsia="Times New Roman" w:hAnsi="Arial" w:cs="Arial"/>
          <w:snapToGrid w:val="0"/>
          <w:sz w:val="24"/>
          <w:szCs w:val="24"/>
        </w:rPr>
      </w:pPr>
      <w:r w:rsidRPr="00C93C49">
        <w:rPr>
          <w:rFonts w:ascii="Arial" w:eastAsia="Times New Roman" w:hAnsi="Arial" w:cs="Arial"/>
          <w:snapToGrid w:val="0"/>
          <w:sz w:val="24"/>
          <w:szCs w:val="24"/>
        </w:rPr>
        <w:t>January 1, 2019: Target deployment and go-live date with new agency.</w:t>
      </w:r>
    </w:p>
    <w:p w14:paraId="2FF50A2F" w14:textId="77777777" w:rsidR="00BB48FA" w:rsidRPr="00C93C49" w:rsidRDefault="00BB48FA" w:rsidP="00BB48FA">
      <w:pPr>
        <w:widowControl w:val="0"/>
        <w:autoSpaceDE w:val="0"/>
        <w:autoSpaceDN w:val="0"/>
        <w:adjustRightInd w:val="0"/>
        <w:spacing w:after="0" w:line="20" w:lineRule="atLeast"/>
        <w:ind w:left="810"/>
        <w:contextualSpacing/>
        <w:rPr>
          <w:rFonts w:ascii="Arial" w:eastAsia="Times New Roman" w:hAnsi="Arial" w:cs="Arial"/>
          <w:snapToGrid w:val="0"/>
          <w:sz w:val="24"/>
          <w:szCs w:val="24"/>
        </w:rPr>
      </w:pPr>
    </w:p>
    <w:p w14:paraId="3BF31F96" w14:textId="36135D41" w:rsidR="00C93C49" w:rsidRPr="00C93C49" w:rsidRDefault="00C93C49" w:rsidP="00C93C49">
      <w:pPr>
        <w:spacing w:after="0" w:line="20" w:lineRule="atLeast"/>
        <w:rPr>
          <w:rFonts w:ascii="Arial" w:hAnsi="Arial" w:cs="Arial"/>
          <w:snapToGrid w:val="0"/>
        </w:rPr>
      </w:pPr>
      <w:r w:rsidRPr="00C93C49">
        <w:rPr>
          <w:rFonts w:ascii="Arial" w:eastAsia="Times New Roman" w:hAnsi="Arial" w:cs="Arial"/>
          <w:snapToGrid w:val="0"/>
          <w:sz w:val="24"/>
          <w:szCs w:val="24"/>
        </w:rPr>
        <w:tab/>
      </w:r>
      <w:r w:rsidRPr="00C93C49">
        <w:rPr>
          <w:rFonts w:ascii="Arial" w:eastAsia="Times New Roman" w:hAnsi="Arial" w:cs="Arial"/>
          <w:color w:val="000000"/>
          <w:sz w:val="24"/>
          <w:szCs w:val="24"/>
        </w:rPr>
        <w:t>The auditors have noted outside collection agencies performance at another comparable Pennsylvania utility achieve</w:t>
      </w:r>
      <w:r w:rsidR="00E64A3A">
        <w:rPr>
          <w:rFonts w:ascii="Arial" w:eastAsia="Times New Roman" w:hAnsi="Arial" w:cs="Arial"/>
          <w:color w:val="000000"/>
          <w:sz w:val="24"/>
          <w:szCs w:val="24"/>
        </w:rPr>
        <w:t>d</w:t>
      </w:r>
      <w:r w:rsidRPr="00C93C49">
        <w:rPr>
          <w:rFonts w:ascii="Arial" w:eastAsia="Times New Roman" w:hAnsi="Arial" w:cs="Arial"/>
          <w:color w:val="000000"/>
          <w:sz w:val="24"/>
          <w:szCs w:val="24"/>
        </w:rPr>
        <w:t xml:space="preserve"> average primary net collection percentages of 11%</w:t>
      </w:r>
      <w:r w:rsidR="00654C0E">
        <w:rPr>
          <w:rFonts w:ascii="Arial" w:eastAsia="Times New Roman" w:hAnsi="Arial" w:cs="Arial"/>
          <w:color w:val="000000"/>
          <w:sz w:val="24"/>
          <w:szCs w:val="24"/>
        </w:rPr>
        <w:t xml:space="preserve"> </w:t>
      </w:r>
      <w:r w:rsidRPr="00C93C49">
        <w:rPr>
          <w:rFonts w:ascii="Arial" w:eastAsia="Times New Roman" w:hAnsi="Arial" w:cs="Arial"/>
          <w:color w:val="000000"/>
          <w:sz w:val="24"/>
          <w:szCs w:val="24"/>
        </w:rPr>
        <w:t>during this period.</w:t>
      </w:r>
      <w:r w:rsidRPr="00C93C49">
        <w:rPr>
          <w:rFonts w:ascii="Arial" w:eastAsia="Times New Roman" w:hAnsi="Arial" w:cs="Arial"/>
          <w:color w:val="000000"/>
          <w:sz w:val="24"/>
          <w:szCs w:val="24"/>
          <w:vertAlign w:val="superscript"/>
        </w:rPr>
        <w:footnoteReference w:id="4"/>
      </w:r>
      <w:r w:rsidRPr="00C93C49">
        <w:rPr>
          <w:rFonts w:ascii="Arial" w:eastAsia="Times New Roman" w:hAnsi="Arial" w:cs="Arial"/>
          <w:color w:val="000000"/>
          <w:sz w:val="24"/>
          <w:szCs w:val="24"/>
        </w:rPr>
        <w:t xml:space="preserve">  </w:t>
      </w:r>
      <w:r w:rsidR="00924381" w:rsidRPr="00924381">
        <w:rPr>
          <w:rFonts w:ascii="Arial" w:eastAsia="Times New Roman" w:hAnsi="Arial" w:cs="Arial"/>
          <w:color w:val="000000"/>
          <w:sz w:val="24"/>
          <w:szCs w:val="24"/>
        </w:rPr>
        <w:t>The auditors believe, at a minimum, a conservative improvement in net primary collection performance of 5.5% and the net secondary collection goal of 2.5% are achievable.</w:t>
      </w:r>
      <w:r w:rsidR="003C40C8">
        <w:rPr>
          <w:rFonts w:ascii="Arial" w:eastAsia="Times New Roman" w:hAnsi="Arial" w:cs="Arial"/>
          <w:color w:val="000000"/>
          <w:sz w:val="24"/>
          <w:szCs w:val="24"/>
        </w:rPr>
        <w:t xml:space="preserve">  </w:t>
      </w:r>
      <w:r w:rsidRPr="00C93C49">
        <w:rPr>
          <w:rFonts w:ascii="Arial" w:eastAsia="Times New Roman" w:hAnsi="Arial" w:cs="Arial"/>
          <w:color w:val="000000"/>
          <w:sz w:val="24"/>
          <w:szCs w:val="24"/>
        </w:rPr>
        <w:t xml:space="preserve">Exhibit X-21 shows the potential net collection amounts that the </w:t>
      </w:r>
      <w:r w:rsidR="00DC3D9B">
        <w:rPr>
          <w:rFonts w:ascii="Arial" w:eastAsia="Times New Roman" w:hAnsi="Arial" w:cs="Arial"/>
          <w:color w:val="000000"/>
          <w:sz w:val="24"/>
          <w:szCs w:val="24"/>
        </w:rPr>
        <w:t>FE-PA companies</w:t>
      </w:r>
      <w:r w:rsidRPr="00C93C49">
        <w:rPr>
          <w:rFonts w:ascii="Arial" w:eastAsia="Times New Roman" w:hAnsi="Arial" w:cs="Arial"/>
          <w:color w:val="000000"/>
          <w:sz w:val="24"/>
          <w:szCs w:val="24"/>
        </w:rPr>
        <w:t xml:space="preserve"> could have achieved at </w:t>
      </w:r>
      <w:r w:rsidR="007A3D1D">
        <w:rPr>
          <w:rFonts w:ascii="Arial" w:eastAsia="Times New Roman" w:hAnsi="Arial" w:cs="Arial"/>
          <w:color w:val="000000"/>
          <w:sz w:val="24"/>
          <w:szCs w:val="24"/>
        </w:rPr>
        <w:t xml:space="preserve">5.5% to </w:t>
      </w:r>
      <w:r w:rsidRPr="00C93C49">
        <w:rPr>
          <w:rFonts w:ascii="Arial" w:eastAsia="Times New Roman" w:hAnsi="Arial" w:cs="Arial"/>
          <w:color w:val="000000"/>
          <w:sz w:val="24"/>
          <w:szCs w:val="24"/>
        </w:rPr>
        <w:t>11% for primary collection</w:t>
      </w:r>
      <w:r w:rsidR="007A3D1D">
        <w:rPr>
          <w:rFonts w:ascii="Arial" w:eastAsia="Times New Roman" w:hAnsi="Arial" w:cs="Arial"/>
          <w:color w:val="000000"/>
          <w:sz w:val="24"/>
          <w:szCs w:val="24"/>
        </w:rPr>
        <w:t>,</w:t>
      </w:r>
      <w:r w:rsidRPr="00C93C49">
        <w:rPr>
          <w:rFonts w:ascii="Arial" w:eastAsia="Times New Roman" w:hAnsi="Arial" w:cs="Arial"/>
          <w:color w:val="000000"/>
          <w:sz w:val="24"/>
          <w:szCs w:val="24"/>
        </w:rPr>
        <w:t xml:space="preserve"> and 2</w:t>
      </w:r>
      <w:r w:rsidR="00654C0E">
        <w:rPr>
          <w:rFonts w:ascii="Arial" w:eastAsia="Times New Roman" w:hAnsi="Arial" w:cs="Arial"/>
          <w:color w:val="000000"/>
          <w:sz w:val="24"/>
          <w:szCs w:val="24"/>
        </w:rPr>
        <w:t>.5</w:t>
      </w:r>
      <w:r w:rsidRPr="00C93C49">
        <w:rPr>
          <w:rFonts w:ascii="Arial" w:eastAsia="Times New Roman" w:hAnsi="Arial" w:cs="Arial"/>
          <w:color w:val="000000"/>
          <w:sz w:val="24"/>
          <w:szCs w:val="24"/>
        </w:rPr>
        <w:t xml:space="preserve">% for secondary collection.  </w:t>
      </w:r>
    </w:p>
    <w:p w14:paraId="397134D4" w14:textId="77777777" w:rsidR="00BC7968" w:rsidRPr="00C93C49" w:rsidRDefault="00BC7968" w:rsidP="00C93C49">
      <w:pPr>
        <w:spacing w:after="0" w:line="240" w:lineRule="auto"/>
        <w:jc w:val="center"/>
        <w:rPr>
          <w:rFonts w:ascii="Arial" w:eastAsia="Times New Roman" w:hAnsi="Arial" w:cs="Arial"/>
          <w:b/>
          <w:snapToGrid w:val="0"/>
          <w:sz w:val="24"/>
          <w:szCs w:val="20"/>
        </w:rPr>
      </w:pPr>
    </w:p>
    <w:p w14:paraId="653BF46A" w14:textId="77777777" w:rsidR="00C93C49" w:rsidRPr="00C93C49" w:rsidRDefault="00C93C49" w:rsidP="00C93C49">
      <w:pPr>
        <w:spacing w:after="0" w:line="240" w:lineRule="auto"/>
        <w:rPr>
          <w:rFonts w:ascii="Arial" w:eastAsia="Times New Roman" w:hAnsi="Arial" w:cs="Arial"/>
          <w:b/>
          <w:snapToGrid w:val="0"/>
          <w:sz w:val="24"/>
          <w:szCs w:val="20"/>
        </w:rPr>
      </w:pPr>
    </w:p>
    <w:p w14:paraId="481C60F2" w14:textId="77777777" w:rsidR="00C93C49" w:rsidRPr="00C93C49" w:rsidRDefault="00C93C49" w:rsidP="00C93C49">
      <w:pPr>
        <w:spacing w:after="0" w:line="20" w:lineRule="atLeast"/>
        <w:jc w:val="center"/>
        <w:rPr>
          <w:rFonts w:ascii="Arial" w:eastAsia="Times New Roman" w:hAnsi="Arial" w:cs="Arial"/>
          <w:b/>
          <w:snapToGrid w:val="0"/>
          <w:sz w:val="24"/>
          <w:szCs w:val="20"/>
          <w:u w:val="single"/>
        </w:rPr>
      </w:pPr>
      <w:r w:rsidRPr="00C93C49">
        <w:rPr>
          <w:rFonts w:ascii="Arial" w:eastAsia="Times New Roman" w:hAnsi="Arial" w:cs="Arial"/>
          <w:b/>
          <w:snapToGrid w:val="0"/>
          <w:sz w:val="24"/>
          <w:szCs w:val="20"/>
        </w:rPr>
        <w:t xml:space="preserve">Exhibit X – 21 </w:t>
      </w:r>
    </w:p>
    <w:p w14:paraId="03C006F9"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0"/>
        </w:rPr>
      </w:pPr>
      <w:r w:rsidRPr="00C93C49">
        <w:rPr>
          <w:rFonts w:ascii="Arial" w:eastAsia="Calibri" w:hAnsi="Arial" w:cs="Arial"/>
          <w:b/>
          <w:sz w:val="24"/>
          <w:szCs w:val="24"/>
        </w:rPr>
        <w:t>FirstEnergy Pennsylvania Companies</w:t>
      </w:r>
      <w:r w:rsidRPr="00C93C49">
        <w:rPr>
          <w:rFonts w:ascii="Arial" w:eastAsia="Times New Roman" w:hAnsi="Arial" w:cs="Arial"/>
          <w:b/>
          <w:snapToGrid w:val="0"/>
          <w:sz w:val="24"/>
          <w:szCs w:val="20"/>
        </w:rPr>
        <w:t xml:space="preserve"> </w:t>
      </w:r>
    </w:p>
    <w:p w14:paraId="78D836E0" w14:textId="50CFAB8B" w:rsidR="00C93C49" w:rsidRPr="00C93C49" w:rsidRDefault="00C93C49" w:rsidP="00C93C49">
      <w:pPr>
        <w:widowControl w:val="0"/>
        <w:spacing w:after="0" w:line="20" w:lineRule="atLeast"/>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Potential Net Collection Amounts for Primary (</w:t>
      </w:r>
      <w:r w:rsidR="00654C0E">
        <w:rPr>
          <w:rFonts w:ascii="Arial" w:eastAsia="Times New Roman" w:hAnsi="Arial" w:cs="Arial"/>
          <w:b/>
          <w:snapToGrid w:val="0"/>
          <w:sz w:val="24"/>
          <w:szCs w:val="20"/>
        </w:rPr>
        <w:t>5.5</w:t>
      </w:r>
      <w:r w:rsidR="00A929E7">
        <w:rPr>
          <w:rFonts w:ascii="Arial" w:eastAsia="Times New Roman" w:hAnsi="Arial" w:cs="Arial"/>
          <w:b/>
          <w:snapToGrid w:val="0"/>
          <w:sz w:val="24"/>
          <w:szCs w:val="20"/>
        </w:rPr>
        <w:t>%</w:t>
      </w:r>
      <w:r w:rsidR="00654C0E">
        <w:rPr>
          <w:rFonts w:ascii="Arial" w:eastAsia="Times New Roman" w:hAnsi="Arial" w:cs="Arial"/>
          <w:b/>
          <w:snapToGrid w:val="0"/>
          <w:sz w:val="24"/>
          <w:szCs w:val="20"/>
        </w:rPr>
        <w:t xml:space="preserve"> </w:t>
      </w:r>
      <w:r w:rsidR="006F319C">
        <w:rPr>
          <w:rFonts w:ascii="Arial" w:eastAsia="Times New Roman" w:hAnsi="Arial" w:cs="Arial"/>
          <w:b/>
          <w:snapToGrid w:val="0"/>
          <w:sz w:val="24"/>
          <w:szCs w:val="20"/>
        </w:rPr>
        <w:t>to</w:t>
      </w:r>
      <w:r w:rsidR="00654C0E">
        <w:rPr>
          <w:rFonts w:ascii="Arial" w:eastAsia="Times New Roman" w:hAnsi="Arial" w:cs="Arial"/>
          <w:b/>
          <w:snapToGrid w:val="0"/>
          <w:sz w:val="24"/>
          <w:szCs w:val="20"/>
        </w:rPr>
        <w:t xml:space="preserve"> </w:t>
      </w:r>
      <w:r w:rsidRPr="00C93C49">
        <w:rPr>
          <w:rFonts w:ascii="Arial" w:eastAsia="Times New Roman" w:hAnsi="Arial" w:cs="Arial"/>
          <w:b/>
          <w:snapToGrid w:val="0"/>
          <w:sz w:val="24"/>
          <w:szCs w:val="20"/>
        </w:rPr>
        <w:t>11%) and Secondary (2</w:t>
      </w:r>
      <w:r w:rsidR="00654C0E">
        <w:rPr>
          <w:rFonts w:ascii="Arial" w:eastAsia="Times New Roman" w:hAnsi="Arial" w:cs="Arial"/>
          <w:b/>
          <w:snapToGrid w:val="0"/>
          <w:sz w:val="24"/>
          <w:szCs w:val="20"/>
        </w:rPr>
        <w:t>.5</w:t>
      </w:r>
      <w:r w:rsidRPr="00C93C49">
        <w:rPr>
          <w:rFonts w:ascii="Arial" w:eastAsia="Times New Roman" w:hAnsi="Arial" w:cs="Arial"/>
          <w:b/>
          <w:snapToGrid w:val="0"/>
          <w:sz w:val="24"/>
          <w:szCs w:val="20"/>
        </w:rPr>
        <w:t>%)</w:t>
      </w:r>
    </w:p>
    <w:p w14:paraId="19BE26F7"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For the Period 2014 through 2017</w:t>
      </w:r>
    </w:p>
    <w:p w14:paraId="2EE98150" w14:textId="77777777" w:rsidR="00C93C49" w:rsidRPr="00C93C49" w:rsidRDefault="00C93C49" w:rsidP="00C93C49">
      <w:pPr>
        <w:autoSpaceDE w:val="0"/>
        <w:autoSpaceDN w:val="0"/>
        <w:adjustRightInd w:val="0"/>
        <w:spacing w:after="0" w:line="20" w:lineRule="atLeast"/>
        <w:rPr>
          <w:rFonts w:ascii="Arial" w:eastAsia="Times New Roman" w:hAnsi="Arial" w:cs="Arial"/>
          <w:color w:val="000000"/>
          <w:sz w:val="24"/>
          <w:szCs w:val="24"/>
        </w:rPr>
      </w:pPr>
    </w:p>
    <w:tbl>
      <w:tblPr>
        <w:tblW w:w="5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186"/>
        <w:gridCol w:w="2184"/>
      </w:tblGrid>
      <w:tr w:rsidR="00C93C49" w:rsidRPr="00C93C49" w14:paraId="4206A2C8" w14:textId="77777777" w:rsidTr="0018246F">
        <w:trPr>
          <w:trHeight w:val="292"/>
          <w:jc w:val="center"/>
        </w:trPr>
        <w:tc>
          <w:tcPr>
            <w:tcW w:w="715" w:type="dxa"/>
            <w:vMerge w:val="restart"/>
            <w:shd w:val="clear" w:color="auto" w:fill="auto"/>
            <w:noWrap/>
            <w:vAlign w:val="bottom"/>
            <w:hideMark/>
          </w:tcPr>
          <w:p w14:paraId="4F129AA6" w14:textId="77777777" w:rsidR="00C93C49" w:rsidRPr="0018246F" w:rsidRDefault="00C93C49" w:rsidP="00C93C49">
            <w:pPr>
              <w:spacing w:after="0" w:line="20" w:lineRule="atLeast"/>
              <w:jc w:val="center"/>
              <w:rPr>
                <w:rFonts w:ascii="Arial" w:eastAsia="Times New Roman" w:hAnsi="Arial" w:cs="Arial"/>
                <w:b/>
                <w:sz w:val="16"/>
                <w:szCs w:val="16"/>
              </w:rPr>
            </w:pPr>
            <w:r w:rsidRPr="0018246F">
              <w:rPr>
                <w:rFonts w:ascii="Arial" w:eastAsia="Times New Roman" w:hAnsi="Arial" w:cs="Arial"/>
                <w:b/>
                <w:sz w:val="16"/>
                <w:szCs w:val="16"/>
              </w:rPr>
              <w:t>Year</w:t>
            </w:r>
          </w:p>
        </w:tc>
        <w:tc>
          <w:tcPr>
            <w:tcW w:w="2186" w:type="dxa"/>
            <w:shd w:val="clear" w:color="auto" w:fill="auto"/>
            <w:noWrap/>
            <w:vAlign w:val="bottom"/>
            <w:hideMark/>
          </w:tcPr>
          <w:p w14:paraId="17C3C22D" w14:textId="69D97D7A" w:rsidR="00C93C49" w:rsidRPr="0018246F" w:rsidRDefault="00C93C49" w:rsidP="00C93C49">
            <w:pPr>
              <w:spacing w:after="0" w:line="20" w:lineRule="atLeast"/>
              <w:jc w:val="center"/>
              <w:rPr>
                <w:rFonts w:ascii="Arial" w:eastAsia="Times New Roman" w:hAnsi="Arial" w:cs="Arial"/>
                <w:b/>
                <w:bCs/>
                <w:color w:val="000000"/>
                <w:sz w:val="16"/>
                <w:szCs w:val="16"/>
              </w:rPr>
            </w:pPr>
            <w:r w:rsidRPr="0018246F">
              <w:rPr>
                <w:rFonts w:ascii="Arial" w:eastAsia="Times New Roman" w:hAnsi="Arial" w:cs="Arial"/>
                <w:b/>
                <w:bCs/>
                <w:color w:val="000000"/>
                <w:sz w:val="16"/>
                <w:szCs w:val="16"/>
              </w:rPr>
              <w:t xml:space="preserve">Primary </w:t>
            </w:r>
            <w:r w:rsidR="00F0434E" w:rsidRPr="0018246F">
              <w:rPr>
                <w:rFonts w:ascii="Arial" w:eastAsia="Times New Roman" w:hAnsi="Arial" w:cs="Arial"/>
                <w:b/>
                <w:bCs/>
                <w:color w:val="000000"/>
                <w:sz w:val="16"/>
                <w:szCs w:val="16"/>
              </w:rPr>
              <w:t>–</w:t>
            </w:r>
            <w:r w:rsidRPr="0018246F">
              <w:rPr>
                <w:rFonts w:ascii="Arial" w:eastAsia="Times New Roman" w:hAnsi="Arial" w:cs="Arial"/>
                <w:b/>
                <w:bCs/>
                <w:color w:val="000000"/>
                <w:sz w:val="16"/>
                <w:szCs w:val="16"/>
              </w:rPr>
              <w:t xml:space="preserve"> </w:t>
            </w:r>
            <w:r w:rsidR="00F0434E" w:rsidRPr="0018246F">
              <w:rPr>
                <w:rFonts w:ascii="Arial" w:eastAsia="Times New Roman" w:hAnsi="Arial" w:cs="Arial"/>
                <w:b/>
                <w:bCs/>
                <w:color w:val="000000"/>
                <w:sz w:val="16"/>
                <w:szCs w:val="16"/>
              </w:rPr>
              <w:t xml:space="preserve">5.5% </w:t>
            </w:r>
            <w:r w:rsidR="006F319C" w:rsidRPr="009526B8">
              <w:rPr>
                <w:rFonts w:ascii="Arial" w:eastAsia="Times New Roman" w:hAnsi="Arial" w:cs="Arial"/>
                <w:b/>
                <w:bCs/>
                <w:color w:val="000000"/>
                <w:sz w:val="16"/>
                <w:szCs w:val="16"/>
              </w:rPr>
              <w:t xml:space="preserve">to </w:t>
            </w:r>
            <w:r w:rsidRPr="0018246F">
              <w:rPr>
                <w:rFonts w:ascii="Arial" w:eastAsia="Times New Roman" w:hAnsi="Arial" w:cs="Arial"/>
                <w:b/>
                <w:bCs/>
                <w:color w:val="000000"/>
                <w:sz w:val="16"/>
                <w:szCs w:val="16"/>
              </w:rPr>
              <w:t>11%</w:t>
            </w:r>
          </w:p>
        </w:tc>
        <w:tc>
          <w:tcPr>
            <w:tcW w:w="2184" w:type="dxa"/>
            <w:shd w:val="clear" w:color="auto" w:fill="auto"/>
            <w:noWrap/>
            <w:vAlign w:val="bottom"/>
            <w:hideMark/>
          </w:tcPr>
          <w:p w14:paraId="4BFCF317" w14:textId="3E35EE53" w:rsidR="00C93C49" w:rsidRPr="0018246F" w:rsidRDefault="00C93C49" w:rsidP="00C93C49">
            <w:pPr>
              <w:spacing w:after="0" w:line="20" w:lineRule="atLeast"/>
              <w:jc w:val="center"/>
              <w:rPr>
                <w:rFonts w:ascii="Arial" w:eastAsia="Times New Roman" w:hAnsi="Arial" w:cs="Arial"/>
                <w:b/>
                <w:bCs/>
                <w:color w:val="000000"/>
                <w:sz w:val="16"/>
                <w:szCs w:val="16"/>
              </w:rPr>
            </w:pPr>
            <w:r w:rsidRPr="0018246F">
              <w:rPr>
                <w:rFonts w:ascii="Arial" w:eastAsia="Times New Roman" w:hAnsi="Arial" w:cs="Arial"/>
                <w:b/>
                <w:bCs/>
                <w:color w:val="000000"/>
                <w:sz w:val="16"/>
                <w:szCs w:val="16"/>
              </w:rPr>
              <w:t xml:space="preserve">Secondary </w:t>
            </w:r>
            <w:r w:rsidR="001A5F86" w:rsidRPr="0018246F">
              <w:rPr>
                <w:rFonts w:ascii="Arial" w:eastAsia="Times New Roman" w:hAnsi="Arial" w:cs="Arial"/>
                <w:b/>
                <w:bCs/>
                <w:color w:val="000000"/>
                <w:sz w:val="16"/>
                <w:szCs w:val="16"/>
              </w:rPr>
              <w:t>–</w:t>
            </w:r>
            <w:r w:rsidRPr="0018246F">
              <w:rPr>
                <w:rFonts w:ascii="Arial" w:eastAsia="Times New Roman" w:hAnsi="Arial" w:cs="Arial"/>
                <w:b/>
                <w:bCs/>
                <w:color w:val="000000"/>
                <w:sz w:val="16"/>
                <w:szCs w:val="16"/>
              </w:rPr>
              <w:t xml:space="preserve"> 2</w:t>
            </w:r>
            <w:r w:rsidR="001A5F86" w:rsidRPr="0018246F">
              <w:rPr>
                <w:rFonts w:ascii="Arial" w:eastAsia="Times New Roman" w:hAnsi="Arial" w:cs="Arial"/>
                <w:b/>
                <w:bCs/>
                <w:color w:val="000000"/>
                <w:sz w:val="16"/>
                <w:szCs w:val="16"/>
              </w:rPr>
              <w:t>.5</w:t>
            </w:r>
            <w:r w:rsidRPr="0018246F">
              <w:rPr>
                <w:rFonts w:ascii="Arial" w:eastAsia="Times New Roman" w:hAnsi="Arial" w:cs="Arial"/>
                <w:b/>
                <w:bCs/>
                <w:color w:val="000000"/>
                <w:sz w:val="16"/>
                <w:szCs w:val="16"/>
              </w:rPr>
              <w:t>%</w:t>
            </w:r>
          </w:p>
        </w:tc>
      </w:tr>
      <w:tr w:rsidR="00C93C49" w:rsidRPr="00C93C49" w14:paraId="1B8455C1" w14:textId="77777777" w:rsidTr="0018246F">
        <w:trPr>
          <w:trHeight w:val="292"/>
          <w:jc w:val="center"/>
        </w:trPr>
        <w:tc>
          <w:tcPr>
            <w:tcW w:w="715" w:type="dxa"/>
            <w:vMerge/>
            <w:shd w:val="clear" w:color="auto" w:fill="auto"/>
            <w:noWrap/>
            <w:vAlign w:val="bottom"/>
            <w:hideMark/>
          </w:tcPr>
          <w:p w14:paraId="139F9BF0" w14:textId="77777777" w:rsidR="00C93C49" w:rsidRPr="0018246F" w:rsidRDefault="00C93C49" w:rsidP="00C93C49">
            <w:pPr>
              <w:spacing w:after="0" w:line="20" w:lineRule="atLeast"/>
              <w:rPr>
                <w:rFonts w:ascii="Arial" w:eastAsia="Times New Roman" w:hAnsi="Arial" w:cs="Arial"/>
                <w:b/>
                <w:bCs/>
                <w:color w:val="000000"/>
                <w:sz w:val="16"/>
                <w:szCs w:val="16"/>
              </w:rPr>
            </w:pPr>
          </w:p>
        </w:tc>
        <w:tc>
          <w:tcPr>
            <w:tcW w:w="4370" w:type="dxa"/>
            <w:gridSpan w:val="2"/>
            <w:shd w:val="clear" w:color="auto" w:fill="auto"/>
            <w:noWrap/>
            <w:vAlign w:val="bottom"/>
            <w:hideMark/>
          </w:tcPr>
          <w:p w14:paraId="6D2E1263" w14:textId="77777777" w:rsidR="00C93C49" w:rsidRPr="0018246F" w:rsidRDefault="00C93C49" w:rsidP="00C93C49">
            <w:pPr>
              <w:spacing w:after="0" w:line="20" w:lineRule="atLeast"/>
              <w:jc w:val="center"/>
              <w:rPr>
                <w:rFonts w:ascii="Arial" w:eastAsia="Times New Roman" w:hAnsi="Arial" w:cs="Arial"/>
                <w:b/>
                <w:bCs/>
                <w:color w:val="000000"/>
                <w:sz w:val="16"/>
                <w:szCs w:val="16"/>
              </w:rPr>
            </w:pPr>
            <w:r w:rsidRPr="0018246F">
              <w:rPr>
                <w:rFonts w:ascii="Arial" w:eastAsia="Times New Roman" w:hAnsi="Arial" w:cs="Arial"/>
                <w:b/>
                <w:bCs/>
                <w:color w:val="000000"/>
                <w:sz w:val="16"/>
                <w:szCs w:val="16"/>
              </w:rPr>
              <w:t>FE-PA Companies</w:t>
            </w:r>
          </w:p>
        </w:tc>
      </w:tr>
      <w:tr w:rsidR="009526B8" w:rsidRPr="00C93C49" w14:paraId="4FF606F9" w14:textId="77777777" w:rsidTr="0016233B">
        <w:trPr>
          <w:trHeight w:val="292"/>
          <w:jc w:val="center"/>
        </w:trPr>
        <w:tc>
          <w:tcPr>
            <w:tcW w:w="715" w:type="dxa"/>
            <w:shd w:val="clear" w:color="auto" w:fill="auto"/>
            <w:noWrap/>
            <w:vAlign w:val="bottom"/>
            <w:hideMark/>
          </w:tcPr>
          <w:p w14:paraId="3EDA9545" w14:textId="77777777" w:rsidR="009526B8" w:rsidRPr="0018246F" w:rsidRDefault="009526B8" w:rsidP="00C93C49">
            <w:pPr>
              <w:spacing w:after="0" w:line="20" w:lineRule="atLeast"/>
              <w:jc w:val="right"/>
              <w:rPr>
                <w:rFonts w:ascii="Arial" w:eastAsia="Times New Roman" w:hAnsi="Arial" w:cs="Arial"/>
                <w:b/>
                <w:bCs/>
                <w:color w:val="000000"/>
                <w:sz w:val="16"/>
                <w:szCs w:val="16"/>
              </w:rPr>
            </w:pPr>
            <w:r w:rsidRPr="0018246F">
              <w:rPr>
                <w:rFonts w:ascii="Arial" w:eastAsia="Times New Roman" w:hAnsi="Arial" w:cs="Arial"/>
                <w:b/>
                <w:bCs/>
                <w:color w:val="000000"/>
                <w:sz w:val="16"/>
                <w:szCs w:val="16"/>
              </w:rPr>
              <w:t>2014</w:t>
            </w:r>
          </w:p>
        </w:tc>
        <w:tc>
          <w:tcPr>
            <w:tcW w:w="2186" w:type="dxa"/>
            <w:tcBorders>
              <w:right w:val="single" w:sz="4" w:space="0" w:color="auto"/>
            </w:tcBorders>
            <w:shd w:val="clear" w:color="auto" w:fill="auto"/>
            <w:noWrap/>
            <w:vAlign w:val="bottom"/>
            <w:hideMark/>
          </w:tcPr>
          <w:p w14:paraId="47E62841" w14:textId="05C7EBDD" w:rsidR="009526B8" w:rsidRPr="0018246F" w:rsidRDefault="009526B8"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$2,116,416 - $4,232,831</w:t>
            </w:r>
          </w:p>
        </w:tc>
        <w:tc>
          <w:tcPr>
            <w:tcW w:w="2184" w:type="dxa"/>
            <w:tcBorders>
              <w:left w:val="single" w:sz="4" w:space="0" w:color="auto"/>
            </w:tcBorders>
            <w:shd w:val="clear" w:color="auto" w:fill="auto"/>
            <w:noWrap/>
            <w:vAlign w:val="bottom"/>
            <w:hideMark/>
          </w:tcPr>
          <w:p w14:paraId="063C3CD2" w14:textId="76938A19" w:rsidR="009526B8" w:rsidRPr="0018246F" w:rsidRDefault="009526B8"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$679,435</w:t>
            </w:r>
          </w:p>
        </w:tc>
      </w:tr>
      <w:tr w:rsidR="009526B8" w:rsidRPr="00C93C49" w14:paraId="566FD9BD" w14:textId="77777777" w:rsidTr="0016233B">
        <w:trPr>
          <w:trHeight w:val="292"/>
          <w:jc w:val="center"/>
        </w:trPr>
        <w:tc>
          <w:tcPr>
            <w:tcW w:w="715" w:type="dxa"/>
            <w:shd w:val="clear" w:color="auto" w:fill="auto"/>
            <w:noWrap/>
            <w:vAlign w:val="bottom"/>
            <w:hideMark/>
          </w:tcPr>
          <w:p w14:paraId="2C7671A0" w14:textId="77777777" w:rsidR="009526B8" w:rsidRPr="0018246F" w:rsidRDefault="009526B8" w:rsidP="00C93C49">
            <w:pPr>
              <w:spacing w:after="0" w:line="20" w:lineRule="atLeast"/>
              <w:jc w:val="right"/>
              <w:rPr>
                <w:rFonts w:ascii="Arial" w:eastAsia="Times New Roman" w:hAnsi="Arial" w:cs="Arial"/>
                <w:b/>
                <w:bCs/>
                <w:color w:val="000000"/>
                <w:sz w:val="16"/>
                <w:szCs w:val="16"/>
              </w:rPr>
            </w:pPr>
            <w:r w:rsidRPr="0018246F">
              <w:rPr>
                <w:rFonts w:ascii="Arial" w:eastAsia="Times New Roman" w:hAnsi="Arial" w:cs="Arial"/>
                <w:b/>
                <w:bCs/>
                <w:color w:val="000000"/>
                <w:sz w:val="16"/>
                <w:szCs w:val="16"/>
              </w:rPr>
              <w:t>2015</w:t>
            </w:r>
          </w:p>
        </w:tc>
        <w:tc>
          <w:tcPr>
            <w:tcW w:w="2186" w:type="dxa"/>
            <w:tcBorders>
              <w:right w:val="single" w:sz="4" w:space="0" w:color="auto"/>
            </w:tcBorders>
            <w:shd w:val="clear" w:color="auto" w:fill="auto"/>
            <w:noWrap/>
            <w:vAlign w:val="bottom"/>
            <w:hideMark/>
          </w:tcPr>
          <w:p w14:paraId="139BCB98" w14:textId="74674560" w:rsidR="009526B8" w:rsidRPr="0018246F" w:rsidRDefault="009526B8"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$2,608,010 - $5,216,020</w:t>
            </w:r>
          </w:p>
        </w:tc>
        <w:tc>
          <w:tcPr>
            <w:tcW w:w="2184" w:type="dxa"/>
            <w:tcBorders>
              <w:left w:val="single" w:sz="4" w:space="0" w:color="auto"/>
            </w:tcBorders>
            <w:shd w:val="clear" w:color="auto" w:fill="auto"/>
            <w:noWrap/>
            <w:vAlign w:val="bottom"/>
            <w:hideMark/>
          </w:tcPr>
          <w:p w14:paraId="1A555378" w14:textId="19603180" w:rsidR="009526B8" w:rsidRPr="0018246F" w:rsidRDefault="009526B8"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$1,235,500</w:t>
            </w:r>
          </w:p>
        </w:tc>
      </w:tr>
      <w:tr w:rsidR="009526B8" w:rsidRPr="00C93C49" w14:paraId="0746C177" w14:textId="77777777" w:rsidTr="0016233B">
        <w:trPr>
          <w:trHeight w:val="292"/>
          <w:jc w:val="center"/>
        </w:trPr>
        <w:tc>
          <w:tcPr>
            <w:tcW w:w="715" w:type="dxa"/>
            <w:shd w:val="clear" w:color="auto" w:fill="auto"/>
            <w:noWrap/>
            <w:vAlign w:val="bottom"/>
            <w:hideMark/>
          </w:tcPr>
          <w:p w14:paraId="1C011BE0" w14:textId="77777777" w:rsidR="009526B8" w:rsidRPr="0018246F" w:rsidRDefault="009526B8" w:rsidP="00C93C49">
            <w:pPr>
              <w:spacing w:after="0" w:line="20" w:lineRule="atLeast"/>
              <w:jc w:val="right"/>
              <w:rPr>
                <w:rFonts w:ascii="Arial" w:eastAsia="Times New Roman" w:hAnsi="Arial" w:cs="Arial"/>
                <w:b/>
                <w:bCs/>
                <w:color w:val="000000"/>
                <w:sz w:val="16"/>
                <w:szCs w:val="16"/>
              </w:rPr>
            </w:pPr>
            <w:r w:rsidRPr="0018246F">
              <w:rPr>
                <w:rFonts w:ascii="Arial" w:eastAsia="Times New Roman" w:hAnsi="Arial" w:cs="Arial"/>
                <w:b/>
                <w:bCs/>
                <w:color w:val="000000"/>
                <w:sz w:val="16"/>
                <w:szCs w:val="16"/>
              </w:rPr>
              <w:t>2016</w:t>
            </w:r>
          </w:p>
        </w:tc>
        <w:tc>
          <w:tcPr>
            <w:tcW w:w="2186" w:type="dxa"/>
            <w:tcBorders>
              <w:right w:val="single" w:sz="4" w:space="0" w:color="auto"/>
            </w:tcBorders>
            <w:shd w:val="clear" w:color="auto" w:fill="auto"/>
            <w:noWrap/>
            <w:vAlign w:val="bottom"/>
            <w:hideMark/>
          </w:tcPr>
          <w:p w14:paraId="500BD3E3" w14:textId="1CED99C2" w:rsidR="009526B8" w:rsidRPr="0018246F" w:rsidRDefault="009526B8"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$2,706,226 -</w:t>
            </w:r>
            <w:r w:rsidRPr="009526B8">
              <w:rPr>
                <w:rFonts w:ascii="Arial" w:eastAsia="Times New Roman" w:hAnsi="Arial" w:cs="Arial"/>
                <w:color w:val="000000"/>
                <w:sz w:val="16"/>
                <w:szCs w:val="16"/>
              </w:rPr>
              <w:t xml:space="preserve"> </w:t>
            </w:r>
            <w:r w:rsidRPr="0018246F">
              <w:rPr>
                <w:rFonts w:ascii="Arial" w:eastAsia="Times New Roman" w:hAnsi="Arial" w:cs="Arial"/>
                <w:color w:val="000000"/>
                <w:sz w:val="16"/>
                <w:szCs w:val="16"/>
              </w:rPr>
              <w:t>$5,412,453</w:t>
            </w:r>
          </w:p>
        </w:tc>
        <w:tc>
          <w:tcPr>
            <w:tcW w:w="2184" w:type="dxa"/>
            <w:tcBorders>
              <w:left w:val="single" w:sz="4" w:space="0" w:color="auto"/>
            </w:tcBorders>
            <w:shd w:val="clear" w:color="auto" w:fill="auto"/>
            <w:noWrap/>
            <w:vAlign w:val="bottom"/>
            <w:hideMark/>
          </w:tcPr>
          <w:p w14:paraId="71EC09F4" w14:textId="0961A02D" w:rsidR="009526B8" w:rsidRPr="0018246F" w:rsidRDefault="009526B8"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$1,083,715</w:t>
            </w:r>
          </w:p>
        </w:tc>
      </w:tr>
      <w:tr w:rsidR="009526B8" w:rsidRPr="00C93C49" w14:paraId="1955ED20" w14:textId="77777777" w:rsidTr="0016233B">
        <w:trPr>
          <w:trHeight w:val="292"/>
          <w:jc w:val="center"/>
        </w:trPr>
        <w:tc>
          <w:tcPr>
            <w:tcW w:w="715" w:type="dxa"/>
            <w:shd w:val="clear" w:color="auto" w:fill="auto"/>
            <w:noWrap/>
            <w:vAlign w:val="bottom"/>
            <w:hideMark/>
          </w:tcPr>
          <w:p w14:paraId="4078B464" w14:textId="77777777" w:rsidR="009526B8" w:rsidRPr="0018246F" w:rsidRDefault="009526B8" w:rsidP="00C93C49">
            <w:pPr>
              <w:spacing w:after="0" w:line="20" w:lineRule="atLeast"/>
              <w:jc w:val="right"/>
              <w:rPr>
                <w:rFonts w:ascii="Arial" w:eastAsia="Times New Roman" w:hAnsi="Arial" w:cs="Arial"/>
                <w:b/>
                <w:bCs/>
                <w:color w:val="000000"/>
                <w:sz w:val="16"/>
                <w:szCs w:val="16"/>
              </w:rPr>
            </w:pPr>
            <w:r w:rsidRPr="0018246F">
              <w:rPr>
                <w:rFonts w:ascii="Arial" w:eastAsia="Times New Roman" w:hAnsi="Arial" w:cs="Arial"/>
                <w:b/>
                <w:bCs/>
                <w:color w:val="000000"/>
                <w:sz w:val="16"/>
                <w:szCs w:val="16"/>
              </w:rPr>
              <w:t>2017</w:t>
            </w:r>
          </w:p>
        </w:tc>
        <w:tc>
          <w:tcPr>
            <w:tcW w:w="2186" w:type="dxa"/>
            <w:tcBorders>
              <w:right w:val="single" w:sz="4" w:space="0" w:color="auto"/>
            </w:tcBorders>
            <w:shd w:val="clear" w:color="auto" w:fill="auto"/>
            <w:noWrap/>
            <w:vAlign w:val="bottom"/>
            <w:hideMark/>
          </w:tcPr>
          <w:p w14:paraId="1FD95B8F" w14:textId="62306FA1" w:rsidR="009526B8" w:rsidRPr="0018246F" w:rsidRDefault="009526B8"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$2,651,889 -</w:t>
            </w:r>
            <w:r w:rsidRPr="009526B8">
              <w:rPr>
                <w:rFonts w:ascii="Arial" w:eastAsia="Times New Roman" w:hAnsi="Arial" w:cs="Arial"/>
                <w:color w:val="000000"/>
                <w:sz w:val="16"/>
                <w:szCs w:val="16"/>
              </w:rPr>
              <w:t xml:space="preserve"> </w:t>
            </w:r>
            <w:r w:rsidRPr="0018246F">
              <w:rPr>
                <w:rFonts w:ascii="Arial" w:eastAsia="Times New Roman" w:hAnsi="Arial" w:cs="Arial"/>
                <w:color w:val="000000"/>
                <w:sz w:val="16"/>
                <w:szCs w:val="16"/>
              </w:rPr>
              <w:t>$5,303,779</w:t>
            </w:r>
          </w:p>
        </w:tc>
        <w:tc>
          <w:tcPr>
            <w:tcW w:w="2184" w:type="dxa"/>
            <w:tcBorders>
              <w:left w:val="single" w:sz="4" w:space="0" w:color="auto"/>
            </w:tcBorders>
            <w:shd w:val="clear" w:color="auto" w:fill="auto"/>
            <w:noWrap/>
            <w:vAlign w:val="bottom"/>
            <w:hideMark/>
          </w:tcPr>
          <w:p w14:paraId="69C72EA9" w14:textId="4485649E" w:rsidR="009526B8" w:rsidRPr="0018246F" w:rsidRDefault="009526B8"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$1,038,062</w:t>
            </w:r>
          </w:p>
        </w:tc>
      </w:tr>
      <w:tr w:rsidR="00C93C49" w:rsidRPr="00C93C49" w14:paraId="3C2EE68A" w14:textId="77777777" w:rsidTr="0018246F">
        <w:trPr>
          <w:trHeight w:val="292"/>
          <w:jc w:val="center"/>
        </w:trPr>
        <w:tc>
          <w:tcPr>
            <w:tcW w:w="715" w:type="dxa"/>
            <w:shd w:val="clear" w:color="auto" w:fill="auto"/>
            <w:noWrap/>
            <w:vAlign w:val="bottom"/>
            <w:hideMark/>
          </w:tcPr>
          <w:p w14:paraId="1076B567" w14:textId="77777777" w:rsidR="00C93C49" w:rsidRPr="0018246F" w:rsidRDefault="00C93C49" w:rsidP="00C93C49">
            <w:pPr>
              <w:spacing w:after="0" w:line="20" w:lineRule="atLeast"/>
              <w:jc w:val="right"/>
              <w:rPr>
                <w:rFonts w:ascii="Arial" w:eastAsia="Times New Roman" w:hAnsi="Arial" w:cs="Arial"/>
                <w:color w:val="000000"/>
                <w:sz w:val="16"/>
                <w:szCs w:val="16"/>
              </w:rPr>
            </w:pPr>
          </w:p>
        </w:tc>
        <w:tc>
          <w:tcPr>
            <w:tcW w:w="4370" w:type="dxa"/>
            <w:gridSpan w:val="2"/>
            <w:shd w:val="clear" w:color="auto" w:fill="auto"/>
            <w:noWrap/>
            <w:vAlign w:val="bottom"/>
            <w:hideMark/>
          </w:tcPr>
          <w:p w14:paraId="3519DC8D" w14:textId="77777777" w:rsidR="00C93C49" w:rsidRPr="0018246F" w:rsidRDefault="00C93C49">
            <w:pPr>
              <w:spacing w:after="0" w:line="20" w:lineRule="atLeast"/>
              <w:jc w:val="center"/>
              <w:rPr>
                <w:rFonts w:ascii="Arial" w:eastAsia="Times New Roman" w:hAnsi="Arial" w:cs="Arial"/>
                <w:b/>
                <w:bCs/>
                <w:color w:val="000000"/>
                <w:sz w:val="16"/>
                <w:szCs w:val="16"/>
              </w:rPr>
            </w:pPr>
            <w:r w:rsidRPr="0018246F">
              <w:rPr>
                <w:rFonts w:ascii="Arial" w:eastAsia="Times New Roman" w:hAnsi="Arial" w:cs="Arial"/>
                <w:b/>
                <w:bCs/>
                <w:color w:val="000000"/>
                <w:sz w:val="16"/>
                <w:szCs w:val="16"/>
              </w:rPr>
              <w:t>Met-Ed</w:t>
            </w:r>
          </w:p>
        </w:tc>
      </w:tr>
      <w:tr w:rsidR="009526B8" w:rsidRPr="00C93C49" w14:paraId="1C7BF823" w14:textId="77777777" w:rsidTr="0016233B">
        <w:trPr>
          <w:trHeight w:val="292"/>
          <w:jc w:val="center"/>
        </w:trPr>
        <w:tc>
          <w:tcPr>
            <w:tcW w:w="715" w:type="dxa"/>
            <w:shd w:val="clear" w:color="auto" w:fill="auto"/>
            <w:noWrap/>
            <w:vAlign w:val="bottom"/>
            <w:hideMark/>
          </w:tcPr>
          <w:p w14:paraId="6E4F0363" w14:textId="77777777" w:rsidR="009526B8" w:rsidRPr="0018246F" w:rsidRDefault="009526B8" w:rsidP="00C93C49">
            <w:pPr>
              <w:spacing w:after="0" w:line="20" w:lineRule="atLeast"/>
              <w:jc w:val="right"/>
              <w:rPr>
                <w:rFonts w:ascii="Arial" w:eastAsia="Times New Roman" w:hAnsi="Arial" w:cs="Arial"/>
                <w:b/>
                <w:bCs/>
                <w:color w:val="000000"/>
                <w:sz w:val="16"/>
                <w:szCs w:val="16"/>
              </w:rPr>
            </w:pPr>
            <w:r w:rsidRPr="0018246F">
              <w:rPr>
                <w:rFonts w:ascii="Arial" w:eastAsia="Times New Roman" w:hAnsi="Arial" w:cs="Arial"/>
                <w:b/>
                <w:bCs/>
                <w:color w:val="000000"/>
                <w:sz w:val="16"/>
                <w:szCs w:val="16"/>
              </w:rPr>
              <w:t>2014</w:t>
            </w:r>
          </w:p>
        </w:tc>
        <w:tc>
          <w:tcPr>
            <w:tcW w:w="2186" w:type="dxa"/>
            <w:shd w:val="clear" w:color="auto" w:fill="auto"/>
            <w:noWrap/>
            <w:vAlign w:val="bottom"/>
            <w:hideMark/>
          </w:tcPr>
          <w:p w14:paraId="42B60DA5" w14:textId="0949E4F8" w:rsidR="009526B8" w:rsidRPr="0018246F" w:rsidRDefault="009526B8"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$661,379 - $1,322,759</w:t>
            </w:r>
          </w:p>
        </w:tc>
        <w:tc>
          <w:tcPr>
            <w:tcW w:w="2184" w:type="dxa"/>
            <w:shd w:val="clear" w:color="auto" w:fill="auto"/>
            <w:noWrap/>
            <w:vAlign w:val="bottom"/>
            <w:hideMark/>
          </w:tcPr>
          <w:p w14:paraId="05189E42" w14:textId="0324A4A9" w:rsidR="009526B8" w:rsidRPr="0018246F" w:rsidRDefault="009526B8"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$227,586</w:t>
            </w:r>
          </w:p>
        </w:tc>
      </w:tr>
      <w:tr w:rsidR="009526B8" w:rsidRPr="00C93C49" w14:paraId="2C5FBD9C" w14:textId="77777777" w:rsidTr="0016233B">
        <w:trPr>
          <w:trHeight w:val="292"/>
          <w:jc w:val="center"/>
        </w:trPr>
        <w:tc>
          <w:tcPr>
            <w:tcW w:w="715" w:type="dxa"/>
            <w:shd w:val="clear" w:color="auto" w:fill="auto"/>
            <w:noWrap/>
            <w:vAlign w:val="bottom"/>
            <w:hideMark/>
          </w:tcPr>
          <w:p w14:paraId="5AEB05FE" w14:textId="77777777" w:rsidR="009526B8" w:rsidRPr="0018246F" w:rsidRDefault="009526B8" w:rsidP="00C93C49">
            <w:pPr>
              <w:spacing w:after="0" w:line="20" w:lineRule="atLeast"/>
              <w:jc w:val="right"/>
              <w:rPr>
                <w:rFonts w:ascii="Arial" w:eastAsia="Times New Roman" w:hAnsi="Arial" w:cs="Arial"/>
                <w:b/>
                <w:bCs/>
                <w:color w:val="000000"/>
                <w:sz w:val="16"/>
                <w:szCs w:val="16"/>
              </w:rPr>
            </w:pPr>
            <w:r w:rsidRPr="0018246F">
              <w:rPr>
                <w:rFonts w:ascii="Arial" w:eastAsia="Times New Roman" w:hAnsi="Arial" w:cs="Arial"/>
                <w:b/>
                <w:bCs/>
                <w:color w:val="000000"/>
                <w:sz w:val="16"/>
                <w:szCs w:val="16"/>
              </w:rPr>
              <w:t>2015</w:t>
            </w:r>
          </w:p>
        </w:tc>
        <w:tc>
          <w:tcPr>
            <w:tcW w:w="2186" w:type="dxa"/>
            <w:shd w:val="clear" w:color="auto" w:fill="auto"/>
            <w:noWrap/>
            <w:vAlign w:val="bottom"/>
            <w:hideMark/>
          </w:tcPr>
          <w:p w14:paraId="2F0D9079" w14:textId="1AB7BD1C" w:rsidR="009526B8" w:rsidRPr="0018246F" w:rsidRDefault="009526B8"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$834,448 -</w:t>
            </w:r>
            <w:r w:rsidRPr="009526B8">
              <w:rPr>
                <w:rFonts w:ascii="Arial" w:eastAsia="Times New Roman" w:hAnsi="Arial" w:cs="Arial"/>
                <w:color w:val="000000"/>
                <w:sz w:val="16"/>
                <w:szCs w:val="16"/>
              </w:rPr>
              <w:t xml:space="preserve"> </w:t>
            </w:r>
            <w:r w:rsidRPr="0018246F">
              <w:rPr>
                <w:rFonts w:ascii="Arial" w:eastAsia="Times New Roman" w:hAnsi="Arial" w:cs="Arial"/>
                <w:color w:val="000000"/>
                <w:sz w:val="16"/>
                <w:szCs w:val="16"/>
              </w:rPr>
              <w:t>$1,668,896</w:t>
            </w:r>
          </w:p>
        </w:tc>
        <w:tc>
          <w:tcPr>
            <w:tcW w:w="2184" w:type="dxa"/>
            <w:shd w:val="clear" w:color="auto" w:fill="auto"/>
            <w:noWrap/>
            <w:vAlign w:val="bottom"/>
            <w:hideMark/>
          </w:tcPr>
          <w:p w14:paraId="6EC23B09" w14:textId="35E527E7" w:rsidR="009526B8" w:rsidRPr="0018246F" w:rsidRDefault="009526B8"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$398,362</w:t>
            </w:r>
          </w:p>
        </w:tc>
      </w:tr>
      <w:tr w:rsidR="009526B8" w:rsidRPr="00C93C49" w14:paraId="4796FBA0" w14:textId="77777777" w:rsidTr="0016233B">
        <w:trPr>
          <w:trHeight w:val="292"/>
          <w:jc w:val="center"/>
        </w:trPr>
        <w:tc>
          <w:tcPr>
            <w:tcW w:w="715" w:type="dxa"/>
            <w:shd w:val="clear" w:color="auto" w:fill="auto"/>
            <w:noWrap/>
            <w:vAlign w:val="bottom"/>
            <w:hideMark/>
          </w:tcPr>
          <w:p w14:paraId="6FF9CE87" w14:textId="77777777" w:rsidR="009526B8" w:rsidRPr="0018246F" w:rsidRDefault="009526B8" w:rsidP="00C93C49">
            <w:pPr>
              <w:spacing w:after="0" w:line="20" w:lineRule="atLeast"/>
              <w:jc w:val="right"/>
              <w:rPr>
                <w:rFonts w:ascii="Arial" w:eastAsia="Times New Roman" w:hAnsi="Arial" w:cs="Arial"/>
                <w:b/>
                <w:bCs/>
                <w:color w:val="000000"/>
                <w:sz w:val="16"/>
                <w:szCs w:val="16"/>
              </w:rPr>
            </w:pPr>
            <w:r w:rsidRPr="0018246F">
              <w:rPr>
                <w:rFonts w:ascii="Arial" w:eastAsia="Times New Roman" w:hAnsi="Arial" w:cs="Arial"/>
                <w:b/>
                <w:bCs/>
                <w:color w:val="000000"/>
                <w:sz w:val="16"/>
                <w:szCs w:val="16"/>
              </w:rPr>
              <w:t>2016</w:t>
            </w:r>
          </w:p>
        </w:tc>
        <w:tc>
          <w:tcPr>
            <w:tcW w:w="2186" w:type="dxa"/>
            <w:shd w:val="clear" w:color="auto" w:fill="auto"/>
            <w:noWrap/>
            <w:vAlign w:val="bottom"/>
            <w:hideMark/>
          </w:tcPr>
          <w:p w14:paraId="6EB9147E" w14:textId="65D44068" w:rsidR="009526B8" w:rsidRPr="0018246F" w:rsidRDefault="009526B8"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$833,090 -</w:t>
            </w:r>
            <w:r w:rsidRPr="009526B8">
              <w:rPr>
                <w:rFonts w:ascii="Arial" w:eastAsia="Times New Roman" w:hAnsi="Arial" w:cs="Arial"/>
                <w:color w:val="000000"/>
                <w:sz w:val="16"/>
                <w:szCs w:val="16"/>
              </w:rPr>
              <w:t xml:space="preserve"> </w:t>
            </w:r>
            <w:r w:rsidRPr="0018246F">
              <w:rPr>
                <w:rFonts w:ascii="Arial" w:eastAsia="Times New Roman" w:hAnsi="Arial" w:cs="Arial"/>
                <w:color w:val="000000"/>
                <w:sz w:val="16"/>
                <w:szCs w:val="16"/>
              </w:rPr>
              <w:t>$1,666,181</w:t>
            </w:r>
          </w:p>
        </w:tc>
        <w:tc>
          <w:tcPr>
            <w:tcW w:w="2184" w:type="dxa"/>
            <w:shd w:val="clear" w:color="auto" w:fill="auto"/>
            <w:noWrap/>
            <w:vAlign w:val="bottom"/>
            <w:hideMark/>
          </w:tcPr>
          <w:p w14:paraId="2C620643" w14:textId="7CA49C5C" w:rsidR="009526B8" w:rsidRPr="0018246F" w:rsidRDefault="009526B8"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$347,708</w:t>
            </w:r>
          </w:p>
        </w:tc>
      </w:tr>
      <w:tr w:rsidR="009526B8" w:rsidRPr="00C93C49" w14:paraId="4AD9403F" w14:textId="77777777" w:rsidTr="0016233B">
        <w:trPr>
          <w:trHeight w:val="292"/>
          <w:jc w:val="center"/>
        </w:trPr>
        <w:tc>
          <w:tcPr>
            <w:tcW w:w="715" w:type="dxa"/>
            <w:shd w:val="clear" w:color="auto" w:fill="auto"/>
            <w:noWrap/>
            <w:vAlign w:val="bottom"/>
            <w:hideMark/>
          </w:tcPr>
          <w:p w14:paraId="06400750" w14:textId="77777777" w:rsidR="009526B8" w:rsidRPr="0018246F" w:rsidRDefault="009526B8" w:rsidP="00C93C49">
            <w:pPr>
              <w:spacing w:after="0" w:line="20" w:lineRule="atLeast"/>
              <w:jc w:val="right"/>
              <w:rPr>
                <w:rFonts w:ascii="Arial" w:eastAsia="Times New Roman" w:hAnsi="Arial" w:cs="Arial"/>
                <w:b/>
                <w:bCs/>
                <w:color w:val="000000"/>
                <w:sz w:val="16"/>
                <w:szCs w:val="16"/>
              </w:rPr>
            </w:pPr>
            <w:r w:rsidRPr="0018246F">
              <w:rPr>
                <w:rFonts w:ascii="Arial" w:eastAsia="Times New Roman" w:hAnsi="Arial" w:cs="Arial"/>
                <w:b/>
                <w:bCs/>
                <w:color w:val="000000"/>
                <w:sz w:val="16"/>
                <w:szCs w:val="16"/>
              </w:rPr>
              <w:t>2017</w:t>
            </w:r>
          </w:p>
        </w:tc>
        <w:tc>
          <w:tcPr>
            <w:tcW w:w="2186" w:type="dxa"/>
            <w:shd w:val="clear" w:color="auto" w:fill="auto"/>
            <w:noWrap/>
            <w:vAlign w:val="bottom"/>
            <w:hideMark/>
          </w:tcPr>
          <w:p w14:paraId="05843978" w14:textId="02A67A94" w:rsidR="009526B8" w:rsidRPr="0018246F" w:rsidRDefault="009526B8"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$795,611</w:t>
            </w:r>
            <w:r w:rsidRPr="009526B8">
              <w:rPr>
                <w:rFonts w:ascii="Arial" w:eastAsia="Times New Roman" w:hAnsi="Arial" w:cs="Arial"/>
                <w:color w:val="000000"/>
                <w:sz w:val="16"/>
                <w:szCs w:val="16"/>
              </w:rPr>
              <w:t xml:space="preserve"> </w:t>
            </w:r>
            <w:r w:rsidRPr="0018246F">
              <w:rPr>
                <w:rFonts w:ascii="Arial" w:eastAsia="Times New Roman" w:hAnsi="Arial" w:cs="Arial"/>
                <w:color w:val="000000"/>
                <w:sz w:val="16"/>
                <w:szCs w:val="16"/>
              </w:rPr>
              <w:t>- $1,591,223</w:t>
            </w:r>
          </w:p>
        </w:tc>
        <w:tc>
          <w:tcPr>
            <w:tcW w:w="2184" w:type="dxa"/>
            <w:shd w:val="clear" w:color="auto" w:fill="auto"/>
            <w:noWrap/>
            <w:vAlign w:val="bottom"/>
            <w:hideMark/>
          </w:tcPr>
          <w:p w14:paraId="7E98E6C0" w14:textId="6AB0DFD3" w:rsidR="009526B8" w:rsidRPr="0018246F" w:rsidRDefault="009526B8"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$325,189</w:t>
            </w:r>
          </w:p>
        </w:tc>
      </w:tr>
      <w:tr w:rsidR="00C93C49" w:rsidRPr="00C93C49" w14:paraId="54B81A0A" w14:textId="77777777" w:rsidTr="0018246F">
        <w:trPr>
          <w:trHeight w:val="292"/>
          <w:jc w:val="center"/>
        </w:trPr>
        <w:tc>
          <w:tcPr>
            <w:tcW w:w="715" w:type="dxa"/>
            <w:shd w:val="clear" w:color="auto" w:fill="auto"/>
            <w:noWrap/>
            <w:vAlign w:val="bottom"/>
            <w:hideMark/>
          </w:tcPr>
          <w:p w14:paraId="0B828B54" w14:textId="77777777" w:rsidR="00C93C49" w:rsidRPr="0018246F" w:rsidRDefault="00C93C49" w:rsidP="00C93C49">
            <w:pPr>
              <w:spacing w:after="0" w:line="20" w:lineRule="atLeast"/>
              <w:jc w:val="right"/>
              <w:rPr>
                <w:rFonts w:ascii="Arial" w:eastAsia="Times New Roman" w:hAnsi="Arial" w:cs="Arial"/>
                <w:color w:val="000000"/>
                <w:sz w:val="16"/>
                <w:szCs w:val="16"/>
              </w:rPr>
            </w:pPr>
          </w:p>
        </w:tc>
        <w:tc>
          <w:tcPr>
            <w:tcW w:w="4370" w:type="dxa"/>
            <w:gridSpan w:val="2"/>
            <w:shd w:val="clear" w:color="auto" w:fill="auto"/>
            <w:noWrap/>
            <w:vAlign w:val="bottom"/>
            <w:hideMark/>
          </w:tcPr>
          <w:p w14:paraId="2A27D236" w14:textId="77777777" w:rsidR="00C93C49" w:rsidRPr="0018246F" w:rsidRDefault="00C93C49">
            <w:pPr>
              <w:spacing w:after="0" w:line="20" w:lineRule="atLeast"/>
              <w:jc w:val="center"/>
              <w:rPr>
                <w:rFonts w:ascii="Arial" w:eastAsia="Times New Roman" w:hAnsi="Arial" w:cs="Arial"/>
                <w:b/>
                <w:bCs/>
                <w:color w:val="000000"/>
                <w:sz w:val="16"/>
                <w:szCs w:val="16"/>
              </w:rPr>
            </w:pPr>
            <w:r w:rsidRPr="0018246F">
              <w:rPr>
                <w:rFonts w:ascii="Arial" w:eastAsia="Times New Roman" w:hAnsi="Arial" w:cs="Arial"/>
                <w:b/>
                <w:bCs/>
                <w:color w:val="000000"/>
                <w:sz w:val="16"/>
                <w:szCs w:val="16"/>
              </w:rPr>
              <w:t>Penelec</w:t>
            </w:r>
          </w:p>
        </w:tc>
      </w:tr>
      <w:tr w:rsidR="004F31CD" w:rsidRPr="00C93C49" w14:paraId="53C221C8" w14:textId="77777777" w:rsidTr="0016233B">
        <w:trPr>
          <w:trHeight w:val="292"/>
          <w:jc w:val="center"/>
        </w:trPr>
        <w:tc>
          <w:tcPr>
            <w:tcW w:w="715" w:type="dxa"/>
            <w:shd w:val="clear" w:color="auto" w:fill="auto"/>
            <w:noWrap/>
            <w:vAlign w:val="bottom"/>
            <w:hideMark/>
          </w:tcPr>
          <w:p w14:paraId="35CBC2DB" w14:textId="77777777" w:rsidR="004F31CD" w:rsidRPr="0018246F" w:rsidRDefault="004F31CD" w:rsidP="00C93C49">
            <w:pPr>
              <w:spacing w:after="0" w:line="20" w:lineRule="atLeast"/>
              <w:jc w:val="right"/>
              <w:rPr>
                <w:rFonts w:ascii="Arial" w:eastAsia="Times New Roman" w:hAnsi="Arial" w:cs="Arial"/>
                <w:b/>
                <w:bCs/>
                <w:color w:val="000000"/>
                <w:sz w:val="16"/>
                <w:szCs w:val="16"/>
              </w:rPr>
            </w:pPr>
            <w:r w:rsidRPr="0018246F">
              <w:rPr>
                <w:rFonts w:ascii="Arial" w:eastAsia="Times New Roman" w:hAnsi="Arial" w:cs="Arial"/>
                <w:b/>
                <w:bCs/>
                <w:color w:val="000000"/>
                <w:sz w:val="16"/>
                <w:szCs w:val="16"/>
              </w:rPr>
              <w:t>2014</w:t>
            </w:r>
          </w:p>
        </w:tc>
        <w:tc>
          <w:tcPr>
            <w:tcW w:w="2186" w:type="dxa"/>
            <w:shd w:val="clear" w:color="auto" w:fill="auto"/>
            <w:noWrap/>
            <w:vAlign w:val="bottom"/>
            <w:hideMark/>
          </w:tcPr>
          <w:p w14:paraId="2AB51274" w14:textId="4AA93C73" w:rsidR="004F31CD" w:rsidRPr="0018246F" w:rsidRDefault="004F31CD"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$836,226 -</w:t>
            </w:r>
            <w:r>
              <w:rPr>
                <w:rFonts w:ascii="Arial" w:eastAsia="Times New Roman" w:hAnsi="Arial" w:cs="Arial"/>
                <w:color w:val="000000"/>
                <w:sz w:val="16"/>
                <w:szCs w:val="16"/>
              </w:rPr>
              <w:t xml:space="preserve"> </w:t>
            </w:r>
            <w:r w:rsidRPr="0018246F">
              <w:rPr>
                <w:rFonts w:ascii="Arial" w:eastAsia="Times New Roman" w:hAnsi="Arial" w:cs="Arial"/>
                <w:color w:val="000000"/>
                <w:sz w:val="16"/>
                <w:szCs w:val="16"/>
              </w:rPr>
              <w:t>$1,672,452</w:t>
            </w:r>
          </w:p>
        </w:tc>
        <w:tc>
          <w:tcPr>
            <w:tcW w:w="2184" w:type="dxa"/>
            <w:shd w:val="clear" w:color="auto" w:fill="auto"/>
            <w:noWrap/>
            <w:vAlign w:val="bottom"/>
            <w:hideMark/>
          </w:tcPr>
          <w:p w14:paraId="13F25C0D" w14:textId="70103102" w:rsidR="004F31CD" w:rsidRPr="0018246F" w:rsidRDefault="004F31CD"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$288,680</w:t>
            </w:r>
          </w:p>
        </w:tc>
      </w:tr>
      <w:tr w:rsidR="004F31CD" w:rsidRPr="00C93C49" w14:paraId="21EB5F5B" w14:textId="77777777" w:rsidTr="0016233B">
        <w:trPr>
          <w:trHeight w:val="292"/>
          <w:jc w:val="center"/>
        </w:trPr>
        <w:tc>
          <w:tcPr>
            <w:tcW w:w="715" w:type="dxa"/>
            <w:shd w:val="clear" w:color="auto" w:fill="auto"/>
            <w:noWrap/>
            <w:vAlign w:val="bottom"/>
            <w:hideMark/>
          </w:tcPr>
          <w:p w14:paraId="5996E54C" w14:textId="77777777" w:rsidR="004F31CD" w:rsidRPr="0018246F" w:rsidRDefault="004F31CD" w:rsidP="00C93C49">
            <w:pPr>
              <w:spacing w:after="0" w:line="20" w:lineRule="atLeast"/>
              <w:jc w:val="right"/>
              <w:rPr>
                <w:rFonts w:ascii="Arial" w:eastAsia="Times New Roman" w:hAnsi="Arial" w:cs="Arial"/>
                <w:b/>
                <w:bCs/>
                <w:color w:val="000000"/>
                <w:sz w:val="16"/>
                <w:szCs w:val="16"/>
              </w:rPr>
            </w:pPr>
            <w:r w:rsidRPr="0018246F">
              <w:rPr>
                <w:rFonts w:ascii="Arial" w:eastAsia="Times New Roman" w:hAnsi="Arial" w:cs="Arial"/>
                <w:b/>
                <w:bCs/>
                <w:color w:val="000000"/>
                <w:sz w:val="16"/>
                <w:szCs w:val="16"/>
              </w:rPr>
              <w:t>2015</w:t>
            </w:r>
          </w:p>
        </w:tc>
        <w:tc>
          <w:tcPr>
            <w:tcW w:w="2186" w:type="dxa"/>
            <w:shd w:val="clear" w:color="auto" w:fill="auto"/>
            <w:noWrap/>
            <w:vAlign w:val="bottom"/>
            <w:hideMark/>
          </w:tcPr>
          <w:p w14:paraId="293998C6" w14:textId="6F32B060" w:rsidR="004F31CD" w:rsidRPr="0018246F" w:rsidRDefault="004F31CD"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$976,212 - $1,952,423</w:t>
            </w:r>
          </w:p>
        </w:tc>
        <w:tc>
          <w:tcPr>
            <w:tcW w:w="2184" w:type="dxa"/>
            <w:shd w:val="clear" w:color="auto" w:fill="auto"/>
            <w:noWrap/>
            <w:vAlign w:val="bottom"/>
            <w:hideMark/>
          </w:tcPr>
          <w:p w14:paraId="12249EC3" w14:textId="60FEBDAA" w:rsidR="004F31CD" w:rsidRPr="0018246F" w:rsidRDefault="004F31CD"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$508,320</w:t>
            </w:r>
          </w:p>
        </w:tc>
      </w:tr>
      <w:tr w:rsidR="004F31CD" w:rsidRPr="00C93C49" w14:paraId="26DF7D08" w14:textId="77777777" w:rsidTr="0016233B">
        <w:trPr>
          <w:trHeight w:val="292"/>
          <w:jc w:val="center"/>
        </w:trPr>
        <w:tc>
          <w:tcPr>
            <w:tcW w:w="715" w:type="dxa"/>
            <w:shd w:val="clear" w:color="auto" w:fill="auto"/>
            <w:noWrap/>
            <w:vAlign w:val="bottom"/>
            <w:hideMark/>
          </w:tcPr>
          <w:p w14:paraId="5DB5E898" w14:textId="77777777" w:rsidR="004F31CD" w:rsidRPr="0018246F" w:rsidRDefault="004F31CD" w:rsidP="00C93C49">
            <w:pPr>
              <w:spacing w:after="0" w:line="20" w:lineRule="atLeast"/>
              <w:jc w:val="right"/>
              <w:rPr>
                <w:rFonts w:ascii="Arial" w:eastAsia="Times New Roman" w:hAnsi="Arial" w:cs="Arial"/>
                <w:b/>
                <w:bCs/>
                <w:color w:val="000000"/>
                <w:sz w:val="16"/>
                <w:szCs w:val="16"/>
              </w:rPr>
            </w:pPr>
            <w:r w:rsidRPr="0018246F">
              <w:rPr>
                <w:rFonts w:ascii="Arial" w:eastAsia="Times New Roman" w:hAnsi="Arial" w:cs="Arial"/>
                <w:b/>
                <w:bCs/>
                <w:color w:val="000000"/>
                <w:sz w:val="16"/>
                <w:szCs w:val="16"/>
              </w:rPr>
              <w:t>2016</w:t>
            </w:r>
          </w:p>
        </w:tc>
        <w:tc>
          <w:tcPr>
            <w:tcW w:w="2186" w:type="dxa"/>
            <w:shd w:val="clear" w:color="auto" w:fill="auto"/>
            <w:noWrap/>
            <w:vAlign w:val="bottom"/>
            <w:hideMark/>
          </w:tcPr>
          <w:p w14:paraId="3AB6A277" w14:textId="6DE69629" w:rsidR="004F31CD" w:rsidRPr="0018246F" w:rsidRDefault="004F31CD"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$938,845 - $1,877,689</w:t>
            </w:r>
          </w:p>
        </w:tc>
        <w:tc>
          <w:tcPr>
            <w:tcW w:w="2184" w:type="dxa"/>
            <w:shd w:val="clear" w:color="auto" w:fill="auto"/>
            <w:noWrap/>
            <w:vAlign w:val="bottom"/>
            <w:hideMark/>
          </w:tcPr>
          <w:p w14:paraId="4E3A1FB7" w14:textId="39731849" w:rsidR="004F31CD" w:rsidRPr="0018246F" w:rsidRDefault="004F31CD"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$402,036</w:t>
            </w:r>
          </w:p>
        </w:tc>
      </w:tr>
      <w:tr w:rsidR="004F31CD" w:rsidRPr="00C93C49" w14:paraId="6D88F7EC" w14:textId="77777777" w:rsidTr="0016233B">
        <w:trPr>
          <w:trHeight w:val="292"/>
          <w:jc w:val="center"/>
        </w:trPr>
        <w:tc>
          <w:tcPr>
            <w:tcW w:w="715" w:type="dxa"/>
            <w:shd w:val="clear" w:color="auto" w:fill="auto"/>
            <w:noWrap/>
            <w:vAlign w:val="bottom"/>
            <w:hideMark/>
          </w:tcPr>
          <w:p w14:paraId="66CC75AB" w14:textId="77777777" w:rsidR="004F31CD" w:rsidRPr="0018246F" w:rsidRDefault="004F31CD" w:rsidP="00C93C49">
            <w:pPr>
              <w:spacing w:after="0" w:line="20" w:lineRule="atLeast"/>
              <w:jc w:val="right"/>
              <w:rPr>
                <w:rFonts w:ascii="Arial" w:eastAsia="Times New Roman" w:hAnsi="Arial" w:cs="Arial"/>
                <w:b/>
                <w:bCs/>
                <w:color w:val="000000"/>
                <w:sz w:val="16"/>
                <w:szCs w:val="16"/>
              </w:rPr>
            </w:pPr>
            <w:r w:rsidRPr="0018246F">
              <w:rPr>
                <w:rFonts w:ascii="Arial" w:eastAsia="Times New Roman" w:hAnsi="Arial" w:cs="Arial"/>
                <w:b/>
                <w:bCs/>
                <w:color w:val="000000"/>
                <w:sz w:val="16"/>
                <w:szCs w:val="16"/>
              </w:rPr>
              <w:t>2017</w:t>
            </w:r>
          </w:p>
        </w:tc>
        <w:tc>
          <w:tcPr>
            <w:tcW w:w="2186" w:type="dxa"/>
            <w:shd w:val="clear" w:color="auto" w:fill="auto"/>
            <w:noWrap/>
            <w:vAlign w:val="bottom"/>
            <w:hideMark/>
          </w:tcPr>
          <w:p w14:paraId="258598F3" w14:textId="48BA1B25" w:rsidR="004F31CD" w:rsidRPr="0018246F" w:rsidRDefault="004F31CD"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$859,360 -</w:t>
            </w:r>
            <w:r w:rsidR="00EF3F3D">
              <w:rPr>
                <w:rFonts w:ascii="Arial" w:eastAsia="Times New Roman" w:hAnsi="Arial" w:cs="Arial"/>
                <w:color w:val="000000"/>
                <w:sz w:val="16"/>
                <w:szCs w:val="16"/>
              </w:rPr>
              <w:t xml:space="preserve"> </w:t>
            </w:r>
            <w:r w:rsidRPr="0018246F">
              <w:rPr>
                <w:rFonts w:ascii="Arial" w:eastAsia="Times New Roman" w:hAnsi="Arial" w:cs="Arial"/>
                <w:color w:val="000000"/>
                <w:sz w:val="16"/>
                <w:szCs w:val="16"/>
              </w:rPr>
              <w:t>$1,718,721</w:t>
            </w:r>
          </w:p>
        </w:tc>
        <w:tc>
          <w:tcPr>
            <w:tcW w:w="2184" w:type="dxa"/>
            <w:shd w:val="clear" w:color="auto" w:fill="auto"/>
            <w:noWrap/>
            <w:vAlign w:val="bottom"/>
            <w:hideMark/>
          </w:tcPr>
          <w:p w14:paraId="495F7143" w14:textId="485D0896" w:rsidR="004F31CD" w:rsidRPr="0018246F" w:rsidRDefault="004F31CD"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$370,889</w:t>
            </w:r>
          </w:p>
        </w:tc>
      </w:tr>
      <w:tr w:rsidR="00C93C49" w:rsidRPr="00C93C49" w14:paraId="100413C0" w14:textId="77777777" w:rsidTr="0018246F">
        <w:trPr>
          <w:trHeight w:val="292"/>
          <w:jc w:val="center"/>
        </w:trPr>
        <w:tc>
          <w:tcPr>
            <w:tcW w:w="715" w:type="dxa"/>
            <w:shd w:val="clear" w:color="auto" w:fill="auto"/>
            <w:noWrap/>
            <w:vAlign w:val="bottom"/>
            <w:hideMark/>
          </w:tcPr>
          <w:p w14:paraId="3A9BF7BE" w14:textId="77777777" w:rsidR="00C93C49" w:rsidRPr="0018246F" w:rsidRDefault="00C93C49" w:rsidP="00C93C49">
            <w:pPr>
              <w:spacing w:after="0" w:line="20" w:lineRule="atLeast"/>
              <w:jc w:val="right"/>
              <w:rPr>
                <w:rFonts w:ascii="Arial" w:eastAsia="Times New Roman" w:hAnsi="Arial" w:cs="Arial"/>
                <w:color w:val="000000"/>
                <w:sz w:val="16"/>
                <w:szCs w:val="16"/>
              </w:rPr>
            </w:pPr>
          </w:p>
        </w:tc>
        <w:tc>
          <w:tcPr>
            <w:tcW w:w="4370" w:type="dxa"/>
            <w:gridSpan w:val="2"/>
            <w:shd w:val="clear" w:color="auto" w:fill="auto"/>
            <w:noWrap/>
            <w:vAlign w:val="bottom"/>
            <w:hideMark/>
          </w:tcPr>
          <w:p w14:paraId="0C7C1A27" w14:textId="77777777" w:rsidR="00C93C49" w:rsidRPr="0018246F" w:rsidRDefault="00C93C49">
            <w:pPr>
              <w:spacing w:after="0" w:line="20" w:lineRule="atLeast"/>
              <w:jc w:val="center"/>
              <w:rPr>
                <w:rFonts w:ascii="Arial" w:eastAsia="Times New Roman" w:hAnsi="Arial" w:cs="Arial"/>
                <w:b/>
                <w:bCs/>
                <w:color w:val="000000"/>
                <w:sz w:val="16"/>
                <w:szCs w:val="16"/>
              </w:rPr>
            </w:pPr>
            <w:r w:rsidRPr="0018246F">
              <w:rPr>
                <w:rFonts w:ascii="Arial" w:eastAsia="Times New Roman" w:hAnsi="Arial" w:cs="Arial"/>
                <w:b/>
                <w:bCs/>
                <w:color w:val="000000"/>
                <w:sz w:val="16"/>
                <w:szCs w:val="16"/>
              </w:rPr>
              <w:t>Penn Power</w:t>
            </w:r>
          </w:p>
        </w:tc>
      </w:tr>
      <w:tr w:rsidR="009526B8" w:rsidRPr="00C93C49" w14:paraId="11EF4B00" w14:textId="77777777" w:rsidTr="0016233B">
        <w:trPr>
          <w:trHeight w:val="292"/>
          <w:jc w:val="center"/>
        </w:trPr>
        <w:tc>
          <w:tcPr>
            <w:tcW w:w="715" w:type="dxa"/>
            <w:shd w:val="clear" w:color="auto" w:fill="auto"/>
            <w:noWrap/>
            <w:vAlign w:val="bottom"/>
            <w:hideMark/>
          </w:tcPr>
          <w:p w14:paraId="07766E77" w14:textId="77777777" w:rsidR="009526B8" w:rsidRPr="0018246F" w:rsidRDefault="009526B8" w:rsidP="00C93C49">
            <w:pPr>
              <w:spacing w:after="0" w:line="20" w:lineRule="atLeast"/>
              <w:jc w:val="right"/>
              <w:rPr>
                <w:rFonts w:ascii="Arial" w:eastAsia="Times New Roman" w:hAnsi="Arial" w:cs="Arial"/>
                <w:b/>
                <w:bCs/>
                <w:color w:val="000000"/>
                <w:sz w:val="16"/>
                <w:szCs w:val="16"/>
              </w:rPr>
            </w:pPr>
            <w:r w:rsidRPr="0018246F">
              <w:rPr>
                <w:rFonts w:ascii="Arial" w:eastAsia="Times New Roman" w:hAnsi="Arial" w:cs="Arial"/>
                <w:b/>
                <w:bCs/>
                <w:color w:val="000000"/>
                <w:sz w:val="16"/>
                <w:szCs w:val="16"/>
              </w:rPr>
              <w:t>2014</w:t>
            </w:r>
          </w:p>
        </w:tc>
        <w:tc>
          <w:tcPr>
            <w:tcW w:w="2186" w:type="dxa"/>
            <w:shd w:val="clear" w:color="auto" w:fill="auto"/>
            <w:noWrap/>
            <w:vAlign w:val="bottom"/>
            <w:hideMark/>
          </w:tcPr>
          <w:p w14:paraId="5C5983A3" w14:textId="5980E4D6" w:rsidR="009526B8" w:rsidRPr="0018246F" w:rsidRDefault="009526B8"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$115,720 -</w:t>
            </w:r>
            <w:r w:rsidR="004F31CD">
              <w:rPr>
                <w:rFonts w:ascii="Arial" w:eastAsia="Times New Roman" w:hAnsi="Arial" w:cs="Arial"/>
                <w:color w:val="000000"/>
                <w:sz w:val="16"/>
                <w:szCs w:val="16"/>
              </w:rPr>
              <w:t xml:space="preserve"> </w:t>
            </w:r>
            <w:r w:rsidRPr="0018246F">
              <w:rPr>
                <w:rFonts w:ascii="Arial" w:eastAsia="Times New Roman" w:hAnsi="Arial" w:cs="Arial"/>
                <w:color w:val="000000"/>
                <w:sz w:val="16"/>
                <w:szCs w:val="16"/>
              </w:rPr>
              <w:t>$231,439</w:t>
            </w:r>
          </w:p>
        </w:tc>
        <w:tc>
          <w:tcPr>
            <w:tcW w:w="2184" w:type="dxa"/>
            <w:shd w:val="clear" w:color="auto" w:fill="auto"/>
            <w:noWrap/>
            <w:vAlign w:val="bottom"/>
            <w:hideMark/>
          </w:tcPr>
          <w:p w14:paraId="58500C28" w14:textId="25030FC0" w:rsidR="009526B8" w:rsidRPr="0018246F" w:rsidRDefault="009526B8"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$29,355</w:t>
            </w:r>
          </w:p>
        </w:tc>
      </w:tr>
      <w:tr w:rsidR="009526B8" w:rsidRPr="00C93C49" w14:paraId="6292042B" w14:textId="77777777" w:rsidTr="0016233B">
        <w:trPr>
          <w:trHeight w:val="292"/>
          <w:jc w:val="center"/>
        </w:trPr>
        <w:tc>
          <w:tcPr>
            <w:tcW w:w="715" w:type="dxa"/>
            <w:shd w:val="clear" w:color="auto" w:fill="auto"/>
            <w:noWrap/>
            <w:vAlign w:val="bottom"/>
            <w:hideMark/>
          </w:tcPr>
          <w:p w14:paraId="241D0B21" w14:textId="77777777" w:rsidR="009526B8" w:rsidRPr="0018246F" w:rsidRDefault="009526B8" w:rsidP="00C93C49">
            <w:pPr>
              <w:spacing w:after="0" w:line="20" w:lineRule="atLeast"/>
              <w:jc w:val="right"/>
              <w:rPr>
                <w:rFonts w:ascii="Arial" w:eastAsia="Times New Roman" w:hAnsi="Arial" w:cs="Arial"/>
                <w:b/>
                <w:bCs/>
                <w:color w:val="000000"/>
                <w:sz w:val="16"/>
                <w:szCs w:val="16"/>
              </w:rPr>
            </w:pPr>
            <w:r w:rsidRPr="0018246F">
              <w:rPr>
                <w:rFonts w:ascii="Arial" w:eastAsia="Times New Roman" w:hAnsi="Arial" w:cs="Arial"/>
                <w:b/>
                <w:bCs/>
                <w:color w:val="000000"/>
                <w:sz w:val="16"/>
                <w:szCs w:val="16"/>
              </w:rPr>
              <w:t>2015</w:t>
            </w:r>
          </w:p>
        </w:tc>
        <w:tc>
          <w:tcPr>
            <w:tcW w:w="2186" w:type="dxa"/>
            <w:shd w:val="clear" w:color="auto" w:fill="auto"/>
            <w:noWrap/>
            <w:vAlign w:val="bottom"/>
            <w:hideMark/>
          </w:tcPr>
          <w:p w14:paraId="131716B2" w14:textId="40D7D682" w:rsidR="009526B8" w:rsidRPr="0018246F" w:rsidRDefault="009526B8"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$157,877 -</w:t>
            </w:r>
            <w:r w:rsidR="004F31CD">
              <w:rPr>
                <w:rFonts w:ascii="Arial" w:eastAsia="Times New Roman" w:hAnsi="Arial" w:cs="Arial"/>
                <w:color w:val="000000"/>
                <w:sz w:val="16"/>
                <w:szCs w:val="16"/>
              </w:rPr>
              <w:t xml:space="preserve"> </w:t>
            </w:r>
            <w:r w:rsidRPr="0018246F">
              <w:rPr>
                <w:rFonts w:ascii="Arial" w:eastAsia="Times New Roman" w:hAnsi="Arial" w:cs="Arial"/>
                <w:color w:val="000000"/>
                <w:sz w:val="16"/>
                <w:szCs w:val="16"/>
              </w:rPr>
              <w:t>$315,753</w:t>
            </w:r>
          </w:p>
        </w:tc>
        <w:tc>
          <w:tcPr>
            <w:tcW w:w="2184" w:type="dxa"/>
            <w:shd w:val="clear" w:color="auto" w:fill="auto"/>
            <w:noWrap/>
            <w:vAlign w:val="bottom"/>
            <w:hideMark/>
          </w:tcPr>
          <w:p w14:paraId="427A22B3" w14:textId="7E2D11FD" w:rsidR="009526B8" w:rsidRPr="0018246F" w:rsidRDefault="009526B8"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$52,562</w:t>
            </w:r>
          </w:p>
        </w:tc>
      </w:tr>
      <w:tr w:rsidR="009526B8" w:rsidRPr="00C93C49" w14:paraId="1C17EE3D" w14:textId="77777777" w:rsidTr="0016233B">
        <w:trPr>
          <w:trHeight w:val="292"/>
          <w:jc w:val="center"/>
        </w:trPr>
        <w:tc>
          <w:tcPr>
            <w:tcW w:w="715" w:type="dxa"/>
            <w:shd w:val="clear" w:color="auto" w:fill="auto"/>
            <w:noWrap/>
            <w:vAlign w:val="bottom"/>
            <w:hideMark/>
          </w:tcPr>
          <w:p w14:paraId="16B6C8FB" w14:textId="77777777" w:rsidR="009526B8" w:rsidRPr="0018246F" w:rsidRDefault="009526B8" w:rsidP="00C93C49">
            <w:pPr>
              <w:spacing w:after="0" w:line="20" w:lineRule="atLeast"/>
              <w:jc w:val="right"/>
              <w:rPr>
                <w:rFonts w:ascii="Arial" w:eastAsia="Times New Roman" w:hAnsi="Arial" w:cs="Arial"/>
                <w:b/>
                <w:bCs/>
                <w:color w:val="000000"/>
                <w:sz w:val="16"/>
                <w:szCs w:val="16"/>
              </w:rPr>
            </w:pPr>
            <w:r w:rsidRPr="0018246F">
              <w:rPr>
                <w:rFonts w:ascii="Arial" w:eastAsia="Times New Roman" w:hAnsi="Arial" w:cs="Arial"/>
                <w:b/>
                <w:bCs/>
                <w:color w:val="000000"/>
                <w:sz w:val="16"/>
                <w:szCs w:val="16"/>
              </w:rPr>
              <w:t>2016</w:t>
            </w:r>
          </w:p>
        </w:tc>
        <w:tc>
          <w:tcPr>
            <w:tcW w:w="2186" w:type="dxa"/>
            <w:shd w:val="clear" w:color="auto" w:fill="auto"/>
            <w:noWrap/>
            <w:vAlign w:val="bottom"/>
            <w:hideMark/>
          </w:tcPr>
          <w:p w14:paraId="72A386A2" w14:textId="334D213A" w:rsidR="009526B8" w:rsidRPr="0018246F" w:rsidRDefault="009526B8"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$174,153 -</w:t>
            </w:r>
            <w:r w:rsidR="004F31CD">
              <w:rPr>
                <w:rFonts w:ascii="Arial" w:eastAsia="Times New Roman" w:hAnsi="Arial" w:cs="Arial"/>
                <w:color w:val="000000"/>
                <w:sz w:val="16"/>
                <w:szCs w:val="16"/>
              </w:rPr>
              <w:t xml:space="preserve"> </w:t>
            </w:r>
            <w:r w:rsidRPr="0018246F">
              <w:rPr>
                <w:rFonts w:ascii="Arial" w:eastAsia="Times New Roman" w:hAnsi="Arial" w:cs="Arial"/>
                <w:color w:val="000000"/>
                <w:sz w:val="16"/>
                <w:szCs w:val="16"/>
              </w:rPr>
              <w:t>$348,305</w:t>
            </w:r>
          </w:p>
        </w:tc>
        <w:tc>
          <w:tcPr>
            <w:tcW w:w="2184" w:type="dxa"/>
            <w:shd w:val="clear" w:color="auto" w:fill="auto"/>
            <w:noWrap/>
            <w:vAlign w:val="bottom"/>
            <w:hideMark/>
          </w:tcPr>
          <w:p w14:paraId="3619EFF9" w14:textId="5ACA4D7C" w:rsidR="009526B8" w:rsidRPr="0018246F" w:rsidRDefault="009526B8"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$62,388</w:t>
            </w:r>
          </w:p>
        </w:tc>
      </w:tr>
      <w:tr w:rsidR="009526B8" w:rsidRPr="00C93C49" w14:paraId="5B700FA9" w14:textId="77777777" w:rsidTr="0016233B">
        <w:trPr>
          <w:trHeight w:val="292"/>
          <w:jc w:val="center"/>
        </w:trPr>
        <w:tc>
          <w:tcPr>
            <w:tcW w:w="715" w:type="dxa"/>
            <w:shd w:val="clear" w:color="auto" w:fill="auto"/>
            <w:noWrap/>
            <w:vAlign w:val="bottom"/>
            <w:hideMark/>
          </w:tcPr>
          <w:p w14:paraId="5D1B5846" w14:textId="77777777" w:rsidR="009526B8" w:rsidRPr="0018246F" w:rsidRDefault="009526B8" w:rsidP="00C93C49">
            <w:pPr>
              <w:spacing w:after="0" w:line="20" w:lineRule="atLeast"/>
              <w:jc w:val="right"/>
              <w:rPr>
                <w:rFonts w:ascii="Arial" w:eastAsia="Times New Roman" w:hAnsi="Arial" w:cs="Arial"/>
                <w:b/>
                <w:bCs/>
                <w:color w:val="000000"/>
                <w:sz w:val="16"/>
                <w:szCs w:val="16"/>
              </w:rPr>
            </w:pPr>
            <w:r w:rsidRPr="0018246F">
              <w:rPr>
                <w:rFonts w:ascii="Arial" w:eastAsia="Times New Roman" w:hAnsi="Arial" w:cs="Arial"/>
                <w:b/>
                <w:bCs/>
                <w:color w:val="000000"/>
                <w:sz w:val="16"/>
                <w:szCs w:val="16"/>
              </w:rPr>
              <w:t>2017</w:t>
            </w:r>
          </w:p>
        </w:tc>
        <w:tc>
          <w:tcPr>
            <w:tcW w:w="2186" w:type="dxa"/>
            <w:shd w:val="clear" w:color="auto" w:fill="auto"/>
            <w:noWrap/>
            <w:vAlign w:val="bottom"/>
            <w:hideMark/>
          </w:tcPr>
          <w:p w14:paraId="5F419554" w14:textId="31008C68" w:rsidR="009526B8" w:rsidRPr="0018246F" w:rsidRDefault="009526B8"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$181,656 -</w:t>
            </w:r>
            <w:r w:rsidR="004F31CD">
              <w:rPr>
                <w:rFonts w:ascii="Arial" w:eastAsia="Times New Roman" w:hAnsi="Arial" w:cs="Arial"/>
                <w:color w:val="000000"/>
                <w:sz w:val="16"/>
                <w:szCs w:val="16"/>
              </w:rPr>
              <w:t xml:space="preserve"> </w:t>
            </w:r>
            <w:r w:rsidRPr="0018246F">
              <w:rPr>
                <w:rFonts w:ascii="Arial" w:eastAsia="Times New Roman" w:hAnsi="Arial" w:cs="Arial"/>
                <w:color w:val="000000"/>
                <w:sz w:val="16"/>
                <w:szCs w:val="16"/>
              </w:rPr>
              <w:t>$363,312</w:t>
            </w:r>
          </w:p>
        </w:tc>
        <w:tc>
          <w:tcPr>
            <w:tcW w:w="2184" w:type="dxa"/>
            <w:shd w:val="clear" w:color="auto" w:fill="auto"/>
            <w:noWrap/>
            <w:vAlign w:val="bottom"/>
            <w:hideMark/>
          </w:tcPr>
          <w:p w14:paraId="1AF59C0B" w14:textId="40407CCA" w:rsidR="009526B8" w:rsidRPr="0018246F" w:rsidRDefault="009526B8"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$62,790</w:t>
            </w:r>
          </w:p>
        </w:tc>
      </w:tr>
      <w:tr w:rsidR="00C93C49" w:rsidRPr="00C93C49" w14:paraId="12E97A9E" w14:textId="77777777" w:rsidTr="0018246F">
        <w:trPr>
          <w:trHeight w:val="292"/>
          <w:jc w:val="center"/>
        </w:trPr>
        <w:tc>
          <w:tcPr>
            <w:tcW w:w="715" w:type="dxa"/>
            <w:shd w:val="clear" w:color="auto" w:fill="auto"/>
            <w:noWrap/>
            <w:vAlign w:val="bottom"/>
            <w:hideMark/>
          </w:tcPr>
          <w:p w14:paraId="7515B30A" w14:textId="77777777" w:rsidR="00C93C49" w:rsidRPr="0018246F" w:rsidRDefault="00C93C49" w:rsidP="00C93C49">
            <w:pPr>
              <w:spacing w:after="0" w:line="20" w:lineRule="atLeast"/>
              <w:jc w:val="right"/>
              <w:rPr>
                <w:rFonts w:ascii="Arial" w:eastAsia="Times New Roman" w:hAnsi="Arial" w:cs="Arial"/>
                <w:color w:val="000000"/>
                <w:sz w:val="16"/>
                <w:szCs w:val="16"/>
              </w:rPr>
            </w:pPr>
          </w:p>
        </w:tc>
        <w:tc>
          <w:tcPr>
            <w:tcW w:w="4370" w:type="dxa"/>
            <w:gridSpan w:val="2"/>
            <w:shd w:val="clear" w:color="auto" w:fill="auto"/>
            <w:noWrap/>
            <w:vAlign w:val="bottom"/>
            <w:hideMark/>
          </w:tcPr>
          <w:p w14:paraId="5C826F02" w14:textId="77777777" w:rsidR="00C93C49" w:rsidRPr="0018246F" w:rsidRDefault="00C93C49">
            <w:pPr>
              <w:spacing w:after="0" w:line="20" w:lineRule="atLeast"/>
              <w:jc w:val="center"/>
              <w:rPr>
                <w:rFonts w:ascii="Arial" w:eastAsia="Times New Roman" w:hAnsi="Arial" w:cs="Arial"/>
                <w:b/>
                <w:bCs/>
                <w:color w:val="000000"/>
                <w:sz w:val="16"/>
                <w:szCs w:val="16"/>
              </w:rPr>
            </w:pPr>
            <w:r w:rsidRPr="0018246F">
              <w:rPr>
                <w:rFonts w:ascii="Arial" w:eastAsia="Times New Roman" w:hAnsi="Arial" w:cs="Arial"/>
                <w:b/>
                <w:bCs/>
                <w:color w:val="000000"/>
                <w:sz w:val="16"/>
                <w:szCs w:val="16"/>
              </w:rPr>
              <w:t>West Penn Power</w:t>
            </w:r>
          </w:p>
        </w:tc>
      </w:tr>
      <w:tr w:rsidR="009526B8" w:rsidRPr="00C93C49" w14:paraId="26DD3992" w14:textId="77777777" w:rsidTr="0016233B">
        <w:trPr>
          <w:trHeight w:val="292"/>
          <w:jc w:val="center"/>
        </w:trPr>
        <w:tc>
          <w:tcPr>
            <w:tcW w:w="715" w:type="dxa"/>
            <w:shd w:val="clear" w:color="auto" w:fill="auto"/>
            <w:noWrap/>
            <w:vAlign w:val="bottom"/>
            <w:hideMark/>
          </w:tcPr>
          <w:p w14:paraId="2211BF8A" w14:textId="77777777" w:rsidR="009526B8" w:rsidRPr="0018246F" w:rsidRDefault="009526B8" w:rsidP="00C93C49">
            <w:pPr>
              <w:spacing w:after="0" w:line="20" w:lineRule="atLeast"/>
              <w:jc w:val="right"/>
              <w:rPr>
                <w:rFonts w:ascii="Arial" w:eastAsia="Times New Roman" w:hAnsi="Arial" w:cs="Arial"/>
                <w:b/>
                <w:bCs/>
                <w:color w:val="000000"/>
                <w:sz w:val="16"/>
                <w:szCs w:val="16"/>
              </w:rPr>
            </w:pPr>
            <w:r w:rsidRPr="0018246F">
              <w:rPr>
                <w:rFonts w:ascii="Arial" w:eastAsia="Times New Roman" w:hAnsi="Arial" w:cs="Arial"/>
                <w:b/>
                <w:bCs/>
                <w:color w:val="000000"/>
                <w:sz w:val="16"/>
                <w:szCs w:val="16"/>
              </w:rPr>
              <w:t>2014</w:t>
            </w:r>
          </w:p>
        </w:tc>
        <w:tc>
          <w:tcPr>
            <w:tcW w:w="2186" w:type="dxa"/>
            <w:shd w:val="clear" w:color="auto" w:fill="auto"/>
            <w:noWrap/>
            <w:vAlign w:val="bottom"/>
            <w:hideMark/>
          </w:tcPr>
          <w:p w14:paraId="48654645" w14:textId="4A596D52" w:rsidR="009526B8" w:rsidRPr="0018246F" w:rsidRDefault="009526B8" w:rsidP="0018246F">
            <w:pPr>
              <w:spacing w:after="0" w:line="20" w:lineRule="atLeast"/>
              <w:jc w:val="center"/>
              <w:rPr>
                <w:rFonts w:ascii="Arial" w:eastAsia="Times New Roman" w:hAnsi="Arial" w:cs="Arial"/>
                <w:color w:val="000000"/>
                <w:sz w:val="16"/>
                <w:szCs w:val="16"/>
              </w:rPr>
            </w:pPr>
            <w:r w:rsidRPr="009526B8">
              <w:rPr>
                <w:rFonts w:ascii="Arial" w:eastAsia="Times New Roman" w:hAnsi="Arial" w:cs="Arial"/>
                <w:color w:val="000000"/>
                <w:sz w:val="16"/>
                <w:szCs w:val="16"/>
              </w:rPr>
              <w:t xml:space="preserve">$503,091 - </w:t>
            </w:r>
            <w:r w:rsidRPr="0018246F">
              <w:rPr>
                <w:rFonts w:ascii="Arial" w:eastAsia="Times New Roman" w:hAnsi="Arial" w:cs="Arial"/>
                <w:color w:val="000000"/>
                <w:sz w:val="16"/>
                <w:szCs w:val="16"/>
              </w:rPr>
              <w:t>$1,006,182</w:t>
            </w:r>
          </w:p>
        </w:tc>
        <w:tc>
          <w:tcPr>
            <w:tcW w:w="2184" w:type="dxa"/>
            <w:shd w:val="clear" w:color="auto" w:fill="auto"/>
            <w:noWrap/>
            <w:vAlign w:val="bottom"/>
            <w:hideMark/>
          </w:tcPr>
          <w:p w14:paraId="3BEDA4EF" w14:textId="17A0B3E7" w:rsidR="009526B8" w:rsidRPr="0018246F" w:rsidRDefault="009526B8"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$133,814</w:t>
            </w:r>
          </w:p>
        </w:tc>
      </w:tr>
      <w:tr w:rsidR="009526B8" w:rsidRPr="00C93C49" w14:paraId="0F273C59" w14:textId="77777777" w:rsidTr="0016233B">
        <w:trPr>
          <w:trHeight w:val="292"/>
          <w:jc w:val="center"/>
        </w:trPr>
        <w:tc>
          <w:tcPr>
            <w:tcW w:w="715" w:type="dxa"/>
            <w:shd w:val="clear" w:color="auto" w:fill="auto"/>
            <w:noWrap/>
            <w:vAlign w:val="bottom"/>
            <w:hideMark/>
          </w:tcPr>
          <w:p w14:paraId="0FF65A3A" w14:textId="77777777" w:rsidR="009526B8" w:rsidRPr="0018246F" w:rsidRDefault="009526B8" w:rsidP="00C93C49">
            <w:pPr>
              <w:spacing w:after="0" w:line="20" w:lineRule="atLeast"/>
              <w:jc w:val="right"/>
              <w:rPr>
                <w:rFonts w:ascii="Arial" w:eastAsia="Times New Roman" w:hAnsi="Arial" w:cs="Arial"/>
                <w:b/>
                <w:bCs/>
                <w:color w:val="000000"/>
                <w:sz w:val="16"/>
                <w:szCs w:val="16"/>
              </w:rPr>
            </w:pPr>
            <w:r w:rsidRPr="0018246F">
              <w:rPr>
                <w:rFonts w:ascii="Arial" w:eastAsia="Times New Roman" w:hAnsi="Arial" w:cs="Arial"/>
                <w:b/>
                <w:bCs/>
                <w:color w:val="000000"/>
                <w:sz w:val="16"/>
                <w:szCs w:val="16"/>
              </w:rPr>
              <w:t>2015</w:t>
            </w:r>
          </w:p>
        </w:tc>
        <w:tc>
          <w:tcPr>
            <w:tcW w:w="2186" w:type="dxa"/>
            <w:shd w:val="clear" w:color="auto" w:fill="auto"/>
            <w:noWrap/>
            <w:vAlign w:val="bottom"/>
            <w:hideMark/>
          </w:tcPr>
          <w:p w14:paraId="2F4CF722" w14:textId="63C3B2D0" w:rsidR="009526B8" w:rsidRPr="0018246F" w:rsidRDefault="009526B8" w:rsidP="0018246F">
            <w:pPr>
              <w:spacing w:after="0" w:line="20" w:lineRule="atLeast"/>
              <w:jc w:val="center"/>
              <w:rPr>
                <w:rFonts w:ascii="Arial" w:eastAsia="Times New Roman" w:hAnsi="Arial" w:cs="Arial"/>
                <w:color w:val="000000"/>
                <w:sz w:val="16"/>
                <w:szCs w:val="16"/>
              </w:rPr>
            </w:pPr>
            <w:r w:rsidRPr="009526B8">
              <w:rPr>
                <w:rFonts w:ascii="Arial" w:eastAsia="Times New Roman" w:hAnsi="Arial" w:cs="Arial"/>
                <w:color w:val="000000"/>
                <w:sz w:val="16"/>
                <w:szCs w:val="16"/>
              </w:rPr>
              <w:t xml:space="preserve">$639,474 - </w:t>
            </w:r>
            <w:r w:rsidRPr="0018246F">
              <w:rPr>
                <w:rFonts w:ascii="Arial" w:eastAsia="Times New Roman" w:hAnsi="Arial" w:cs="Arial"/>
                <w:color w:val="000000"/>
                <w:sz w:val="16"/>
                <w:szCs w:val="16"/>
              </w:rPr>
              <w:t>$1,278,947</w:t>
            </w:r>
          </w:p>
        </w:tc>
        <w:tc>
          <w:tcPr>
            <w:tcW w:w="2184" w:type="dxa"/>
            <w:shd w:val="clear" w:color="auto" w:fill="auto"/>
            <w:noWrap/>
            <w:vAlign w:val="bottom"/>
            <w:hideMark/>
          </w:tcPr>
          <w:p w14:paraId="58960AC0" w14:textId="2743ACBE" w:rsidR="009526B8" w:rsidRPr="0018246F" w:rsidRDefault="009526B8"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$276,256</w:t>
            </w:r>
          </w:p>
        </w:tc>
      </w:tr>
      <w:tr w:rsidR="009526B8" w:rsidRPr="00C93C49" w14:paraId="3D4C4F46" w14:textId="77777777" w:rsidTr="0016233B">
        <w:trPr>
          <w:trHeight w:val="292"/>
          <w:jc w:val="center"/>
        </w:trPr>
        <w:tc>
          <w:tcPr>
            <w:tcW w:w="715" w:type="dxa"/>
            <w:shd w:val="clear" w:color="auto" w:fill="auto"/>
            <w:noWrap/>
            <w:vAlign w:val="bottom"/>
            <w:hideMark/>
          </w:tcPr>
          <w:p w14:paraId="6F42D894" w14:textId="77777777" w:rsidR="009526B8" w:rsidRPr="0018246F" w:rsidRDefault="009526B8" w:rsidP="00C93C49">
            <w:pPr>
              <w:spacing w:after="0" w:line="20" w:lineRule="atLeast"/>
              <w:jc w:val="right"/>
              <w:rPr>
                <w:rFonts w:ascii="Arial" w:eastAsia="Times New Roman" w:hAnsi="Arial" w:cs="Arial"/>
                <w:b/>
                <w:bCs/>
                <w:color w:val="000000"/>
                <w:sz w:val="16"/>
                <w:szCs w:val="16"/>
              </w:rPr>
            </w:pPr>
            <w:r w:rsidRPr="0018246F">
              <w:rPr>
                <w:rFonts w:ascii="Arial" w:eastAsia="Times New Roman" w:hAnsi="Arial" w:cs="Arial"/>
                <w:b/>
                <w:bCs/>
                <w:color w:val="000000"/>
                <w:sz w:val="16"/>
                <w:szCs w:val="16"/>
              </w:rPr>
              <w:t>2016</w:t>
            </w:r>
          </w:p>
        </w:tc>
        <w:tc>
          <w:tcPr>
            <w:tcW w:w="2186" w:type="dxa"/>
            <w:shd w:val="clear" w:color="auto" w:fill="auto"/>
            <w:noWrap/>
            <w:vAlign w:val="bottom"/>
            <w:hideMark/>
          </w:tcPr>
          <w:p w14:paraId="09C68D6F" w14:textId="65AFAF1A" w:rsidR="009526B8" w:rsidRPr="0018246F" w:rsidRDefault="009526B8" w:rsidP="0018246F">
            <w:pPr>
              <w:spacing w:after="0" w:line="20" w:lineRule="atLeast"/>
              <w:jc w:val="center"/>
              <w:rPr>
                <w:rFonts w:ascii="Arial" w:eastAsia="Times New Roman" w:hAnsi="Arial" w:cs="Arial"/>
                <w:color w:val="000000"/>
                <w:sz w:val="16"/>
                <w:szCs w:val="16"/>
              </w:rPr>
            </w:pPr>
            <w:r w:rsidRPr="009526B8">
              <w:rPr>
                <w:rFonts w:ascii="Arial" w:eastAsia="Times New Roman" w:hAnsi="Arial" w:cs="Arial"/>
                <w:color w:val="000000"/>
                <w:sz w:val="16"/>
                <w:szCs w:val="16"/>
              </w:rPr>
              <w:t xml:space="preserve">$760,139 - </w:t>
            </w:r>
            <w:r w:rsidRPr="0018246F">
              <w:rPr>
                <w:rFonts w:ascii="Arial" w:eastAsia="Times New Roman" w:hAnsi="Arial" w:cs="Arial"/>
                <w:color w:val="000000"/>
                <w:sz w:val="16"/>
                <w:szCs w:val="16"/>
              </w:rPr>
              <w:t>$1,520,277</w:t>
            </w:r>
          </w:p>
        </w:tc>
        <w:tc>
          <w:tcPr>
            <w:tcW w:w="2184" w:type="dxa"/>
            <w:shd w:val="clear" w:color="auto" w:fill="auto"/>
            <w:noWrap/>
            <w:vAlign w:val="bottom"/>
            <w:hideMark/>
          </w:tcPr>
          <w:p w14:paraId="46D3901C" w14:textId="636C7744" w:rsidR="009526B8" w:rsidRPr="0018246F" w:rsidRDefault="009526B8"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$271,583</w:t>
            </w:r>
          </w:p>
        </w:tc>
      </w:tr>
      <w:tr w:rsidR="009526B8" w:rsidRPr="00C93C49" w14:paraId="28D4BA27" w14:textId="77777777" w:rsidTr="0016233B">
        <w:trPr>
          <w:trHeight w:val="292"/>
          <w:jc w:val="center"/>
        </w:trPr>
        <w:tc>
          <w:tcPr>
            <w:tcW w:w="715" w:type="dxa"/>
            <w:shd w:val="clear" w:color="auto" w:fill="auto"/>
            <w:noWrap/>
            <w:vAlign w:val="bottom"/>
            <w:hideMark/>
          </w:tcPr>
          <w:p w14:paraId="338A06C0" w14:textId="77777777" w:rsidR="009526B8" w:rsidRPr="0018246F" w:rsidRDefault="009526B8" w:rsidP="00C93C49">
            <w:pPr>
              <w:spacing w:after="0" w:line="20" w:lineRule="atLeast"/>
              <w:jc w:val="right"/>
              <w:rPr>
                <w:rFonts w:ascii="Arial" w:eastAsia="Times New Roman" w:hAnsi="Arial" w:cs="Arial"/>
                <w:b/>
                <w:bCs/>
                <w:color w:val="000000"/>
                <w:sz w:val="16"/>
                <w:szCs w:val="16"/>
              </w:rPr>
            </w:pPr>
            <w:r w:rsidRPr="0018246F">
              <w:rPr>
                <w:rFonts w:ascii="Arial" w:eastAsia="Times New Roman" w:hAnsi="Arial" w:cs="Arial"/>
                <w:b/>
                <w:bCs/>
                <w:color w:val="000000"/>
                <w:sz w:val="16"/>
                <w:szCs w:val="16"/>
              </w:rPr>
              <w:t>2017</w:t>
            </w:r>
          </w:p>
        </w:tc>
        <w:tc>
          <w:tcPr>
            <w:tcW w:w="2186" w:type="dxa"/>
            <w:shd w:val="clear" w:color="auto" w:fill="auto"/>
            <w:noWrap/>
            <w:vAlign w:val="bottom"/>
            <w:hideMark/>
          </w:tcPr>
          <w:p w14:paraId="7A591D2F" w14:textId="1FDD549C" w:rsidR="009526B8" w:rsidRPr="0018246F" w:rsidRDefault="009526B8" w:rsidP="0018246F">
            <w:pPr>
              <w:spacing w:after="0" w:line="20" w:lineRule="atLeast"/>
              <w:jc w:val="center"/>
              <w:rPr>
                <w:rFonts w:ascii="Arial" w:eastAsia="Times New Roman" w:hAnsi="Arial" w:cs="Arial"/>
                <w:color w:val="000000"/>
                <w:sz w:val="16"/>
                <w:szCs w:val="16"/>
              </w:rPr>
            </w:pPr>
            <w:r w:rsidRPr="009526B8">
              <w:rPr>
                <w:rFonts w:ascii="Arial" w:eastAsia="Times New Roman" w:hAnsi="Arial" w:cs="Arial"/>
                <w:color w:val="000000"/>
                <w:sz w:val="16"/>
                <w:szCs w:val="16"/>
              </w:rPr>
              <w:t xml:space="preserve">$815,262 - </w:t>
            </w:r>
            <w:r w:rsidRPr="0018246F">
              <w:rPr>
                <w:rFonts w:ascii="Arial" w:eastAsia="Times New Roman" w:hAnsi="Arial" w:cs="Arial"/>
                <w:color w:val="000000"/>
                <w:sz w:val="16"/>
                <w:szCs w:val="16"/>
              </w:rPr>
              <w:t>$1,630,524</w:t>
            </w:r>
          </w:p>
        </w:tc>
        <w:tc>
          <w:tcPr>
            <w:tcW w:w="2184" w:type="dxa"/>
            <w:shd w:val="clear" w:color="auto" w:fill="auto"/>
            <w:noWrap/>
            <w:vAlign w:val="bottom"/>
            <w:hideMark/>
          </w:tcPr>
          <w:p w14:paraId="69C0E9C2" w14:textId="36381CD0" w:rsidR="009526B8" w:rsidRPr="0018246F" w:rsidRDefault="009526B8" w:rsidP="0018246F">
            <w:pPr>
              <w:spacing w:after="0" w:line="20" w:lineRule="atLeast"/>
              <w:jc w:val="center"/>
              <w:rPr>
                <w:rFonts w:ascii="Arial" w:eastAsia="Times New Roman" w:hAnsi="Arial" w:cs="Arial"/>
                <w:color w:val="000000"/>
                <w:sz w:val="16"/>
                <w:szCs w:val="16"/>
              </w:rPr>
            </w:pPr>
            <w:r w:rsidRPr="0018246F">
              <w:rPr>
                <w:rFonts w:ascii="Arial" w:eastAsia="Times New Roman" w:hAnsi="Arial" w:cs="Arial"/>
                <w:color w:val="000000"/>
                <w:sz w:val="16"/>
                <w:szCs w:val="16"/>
              </w:rPr>
              <w:t>$279,195</w:t>
            </w:r>
          </w:p>
        </w:tc>
      </w:tr>
    </w:tbl>
    <w:p w14:paraId="03F63B9E" w14:textId="76AA438F" w:rsidR="00C93C49" w:rsidRPr="00C93C49" w:rsidRDefault="00C93C49" w:rsidP="0018246F">
      <w:pPr>
        <w:widowControl w:val="0"/>
        <w:spacing w:after="0" w:line="20" w:lineRule="atLeast"/>
        <w:ind w:left="3060" w:right="2070" w:hanging="990"/>
        <w:rPr>
          <w:rFonts w:ascii="Arial" w:eastAsia="Times New Roman" w:hAnsi="Arial" w:cs="Arial"/>
          <w:snapToGrid w:val="0"/>
          <w:sz w:val="18"/>
          <w:szCs w:val="18"/>
        </w:rPr>
      </w:pPr>
      <w:r w:rsidRPr="00C93C49">
        <w:rPr>
          <w:rFonts w:ascii="Arial" w:eastAsia="Times New Roman" w:hAnsi="Arial" w:cs="Arial"/>
          <w:snapToGrid w:val="0"/>
          <w:sz w:val="18"/>
          <w:szCs w:val="18"/>
        </w:rPr>
        <w:t xml:space="preserve"> Source: Data Requests CS-12 and CS-21, and Auditor</w:t>
      </w:r>
      <w:r w:rsidR="006F319C">
        <w:rPr>
          <w:rFonts w:ascii="Arial" w:eastAsia="Times New Roman" w:hAnsi="Arial" w:cs="Arial"/>
          <w:snapToGrid w:val="0"/>
          <w:sz w:val="18"/>
          <w:szCs w:val="18"/>
        </w:rPr>
        <w:t xml:space="preserve"> Analysis</w:t>
      </w:r>
    </w:p>
    <w:p w14:paraId="1859E0E3" w14:textId="4CE6A25B" w:rsidR="00C93C49" w:rsidRDefault="00C93C49" w:rsidP="00C93C49">
      <w:pPr>
        <w:spacing w:after="0" w:line="240" w:lineRule="auto"/>
        <w:rPr>
          <w:rFonts w:ascii="Arial" w:eastAsia="Times New Roman" w:hAnsi="Arial" w:cs="Arial"/>
          <w:b/>
          <w:snapToGrid w:val="0"/>
          <w:sz w:val="24"/>
          <w:szCs w:val="20"/>
        </w:rPr>
      </w:pPr>
    </w:p>
    <w:p w14:paraId="46EF6668" w14:textId="77777777" w:rsidR="00BC7968" w:rsidRPr="00C93C49" w:rsidRDefault="00BC7968" w:rsidP="00C93C49">
      <w:pPr>
        <w:spacing w:after="0" w:line="240" w:lineRule="auto"/>
        <w:rPr>
          <w:rFonts w:ascii="Arial" w:eastAsia="Times New Roman" w:hAnsi="Arial" w:cs="Arial"/>
          <w:b/>
          <w:snapToGrid w:val="0"/>
          <w:sz w:val="24"/>
          <w:szCs w:val="20"/>
        </w:rPr>
      </w:pPr>
    </w:p>
    <w:p w14:paraId="036108EF" w14:textId="1E6C0985" w:rsidR="00C93C49" w:rsidRPr="00C93C49" w:rsidRDefault="00A929E7" w:rsidP="00436CDB">
      <w:pPr>
        <w:spacing w:after="0" w:line="20" w:lineRule="atLeast"/>
        <w:rPr>
          <w:rFonts w:ascii="Arial" w:eastAsia="Times New Roman" w:hAnsi="Arial" w:cs="Arial"/>
          <w:b/>
          <w:snapToGrid w:val="0"/>
          <w:sz w:val="24"/>
          <w:szCs w:val="24"/>
        </w:rPr>
      </w:pPr>
      <w:r>
        <w:rPr>
          <w:rFonts w:ascii="Arial" w:eastAsia="Times New Roman" w:hAnsi="Arial" w:cs="Arial"/>
          <w:color w:val="000000"/>
          <w:sz w:val="24"/>
          <w:szCs w:val="24"/>
        </w:rPr>
        <w:tab/>
      </w:r>
      <w:r w:rsidR="00C93C49" w:rsidRPr="00C93C49">
        <w:rPr>
          <w:rFonts w:ascii="Arial" w:eastAsia="Times New Roman" w:hAnsi="Arial" w:cs="Arial"/>
          <w:color w:val="000000"/>
          <w:sz w:val="24"/>
          <w:szCs w:val="24"/>
        </w:rPr>
        <w:t xml:space="preserve">Next, Exhibit X-22 shows the additional cash flow that would have resulted as the difference of net collection performance </w:t>
      </w:r>
      <w:r w:rsidR="00962AB7">
        <w:rPr>
          <w:rFonts w:ascii="Arial" w:eastAsia="Times New Roman" w:hAnsi="Arial" w:cs="Arial"/>
          <w:color w:val="000000"/>
          <w:sz w:val="24"/>
          <w:szCs w:val="24"/>
        </w:rPr>
        <w:t>from the range of 5.5% to</w:t>
      </w:r>
      <w:r w:rsidR="00C93C49" w:rsidRPr="00C93C49">
        <w:rPr>
          <w:rFonts w:ascii="Arial" w:eastAsia="Times New Roman" w:hAnsi="Arial" w:cs="Arial"/>
          <w:color w:val="000000"/>
          <w:sz w:val="24"/>
          <w:szCs w:val="24"/>
        </w:rPr>
        <w:t xml:space="preserve"> 11% for primary</w:t>
      </w:r>
      <w:r w:rsidR="00962AB7">
        <w:rPr>
          <w:rFonts w:ascii="Arial" w:eastAsia="Times New Roman" w:hAnsi="Arial" w:cs="Arial"/>
          <w:color w:val="000000"/>
          <w:sz w:val="24"/>
          <w:szCs w:val="24"/>
        </w:rPr>
        <w:t>,</w:t>
      </w:r>
      <w:r w:rsidR="00C93C49" w:rsidRPr="00C93C49">
        <w:rPr>
          <w:rFonts w:ascii="Arial" w:eastAsia="Times New Roman" w:hAnsi="Arial" w:cs="Arial"/>
          <w:color w:val="000000"/>
          <w:sz w:val="24"/>
          <w:szCs w:val="24"/>
        </w:rPr>
        <w:t xml:space="preserve"> and 2</w:t>
      </w:r>
      <w:r w:rsidR="00654C0E">
        <w:rPr>
          <w:rFonts w:ascii="Arial" w:eastAsia="Times New Roman" w:hAnsi="Arial" w:cs="Arial"/>
          <w:color w:val="000000"/>
          <w:sz w:val="24"/>
          <w:szCs w:val="24"/>
        </w:rPr>
        <w:t>.5</w:t>
      </w:r>
      <w:r w:rsidR="00C93C49" w:rsidRPr="00C93C49">
        <w:rPr>
          <w:rFonts w:ascii="Arial" w:eastAsia="Times New Roman" w:hAnsi="Arial" w:cs="Arial"/>
          <w:color w:val="000000"/>
          <w:sz w:val="24"/>
          <w:szCs w:val="24"/>
        </w:rPr>
        <w:t>% for secondary</w:t>
      </w:r>
      <w:r w:rsidR="00962AB7">
        <w:rPr>
          <w:rFonts w:ascii="Arial" w:eastAsia="Times New Roman" w:hAnsi="Arial" w:cs="Arial"/>
          <w:color w:val="000000"/>
          <w:sz w:val="24"/>
          <w:szCs w:val="24"/>
        </w:rPr>
        <w:t>,</w:t>
      </w:r>
      <w:r w:rsidR="00C93C49" w:rsidRPr="00C93C49">
        <w:rPr>
          <w:rFonts w:ascii="Arial" w:eastAsia="Times New Roman" w:hAnsi="Arial" w:cs="Arial"/>
          <w:color w:val="000000"/>
          <w:sz w:val="24"/>
          <w:szCs w:val="24"/>
        </w:rPr>
        <w:t xml:space="preserve"> from what the </w:t>
      </w:r>
      <w:r w:rsidR="00DC3D9B">
        <w:rPr>
          <w:rFonts w:ascii="Arial" w:eastAsia="Times New Roman" w:hAnsi="Arial" w:cs="Arial"/>
          <w:color w:val="000000"/>
          <w:sz w:val="24"/>
          <w:szCs w:val="24"/>
        </w:rPr>
        <w:t>FE-PA companies</w:t>
      </w:r>
      <w:r w:rsidR="00C93C49" w:rsidRPr="00C93C49">
        <w:rPr>
          <w:rFonts w:ascii="Arial" w:eastAsia="Times New Roman" w:hAnsi="Arial" w:cs="Arial"/>
          <w:color w:val="000000"/>
          <w:sz w:val="24"/>
          <w:szCs w:val="24"/>
        </w:rPr>
        <w:t xml:space="preserve"> achieved</w:t>
      </w:r>
      <w:r w:rsidR="00C93C49" w:rsidRPr="00962AB7">
        <w:rPr>
          <w:rFonts w:ascii="Arial" w:eastAsia="Times New Roman" w:hAnsi="Arial" w:cs="Arial"/>
          <w:color w:val="000000"/>
          <w:sz w:val="24"/>
          <w:szCs w:val="24"/>
        </w:rPr>
        <w:t xml:space="preserve">.  The </w:t>
      </w:r>
      <w:r w:rsidR="00962AB7" w:rsidRPr="00436CDB">
        <w:rPr>
          <w:rFonts w:ascii="Arial" w:eastAsia="Times New Roman" w:hAnsi="Arial" w:cs="Arial"/>
          <w:color w:val="000000"/>
          <w:sz w:val="24"/>
          <w:szCs w:val="24"/>
        </w:rPr>
        <w:t xml:space="preserve">range of </w:t>
      </w:r>
      <w:r w:rsidR="00C93C49" w:rsidRPr="00962AB7">
        <w:rPr>
          <w:rFonts w:ascii="Arial" w:eastAsia="Times New Roman" w:hAnsi="Arial" w:cs="Arial"/>
          <w:color w:val="000000"/>
          <w:sz w:val="24"/>
          <w:szCs w:val="24"/>
        </w:rPr>
        <w:t xml:space="preserve">potential average one-time cost revenue recovery for the </w:t>
      </w:r>
      <w:r w:rsidR="00DC3D9B" w:rsidRPr="00962AB7">
        <w:rPr>
          <w:rFonts w:ascii="Arial" w:eastAsia="Times New Roman" w:hAnsi="Arial" w:cs="Arial"/>
          <w:color w:val="000000"/>
          <w:sz w:val="24"/>
          <w:szCs w:val="24"/>
        </w:rPr>
        <w:t>FE-PA companies</w:t>
      </w:r>
      <w:r w:rsidR="00C93C49" w:rsidRPr="00962AB7">
        <w:rPr>
          <w:rFonts w:ascii="Arial" w:eastAsia="Times New Roman" w:hAnsi="Arial" w:cs="Arial"/>
          <w:color w:val="000000"/>
          <w:sz w:val="24"/>
          <w:szCs w:val="24"/>
        </w:rPr>
        <w:t xml:space="preserve"> for 2014 through 2017 is approximately</w:t>
      </w:r>
      <w:r w:rsidR="00962AB7" w:rsidRPr="00436CDB">
        <w:rPr>
          <w:rFonts w:ascii="Arial" w:eastAsia="Times New Roman" w:hAnsi="Arial" w:cs="Arial"/>
          <w:color w:val="000000"/>
          <w:sz w:val="24"/>
          <w:szCs w:val="24"/>
        </w:rPr>
        <w:t xml:space="preserve"> $2.5 million to</w:t>
      </w:r>
      <w:r w:rsidR="00C93C49" w:rsidRPr="00962AB7">
        <w:rPr>
          <w:rFonts w:ascii="Arial" w:eastAsia="Times New Roman" w:hAnsi="Arial" w:cs="Arial"/>
          <w:color w:val="000000"/>
          <w:sz w:val="24"/>
          <w:szCs w:val="24"/>
        </w:rPr>
        <w:t xml:space="preserve"> </w:t>
      </w:r>
      <w:r w:rsidR="00C93C49" w:rsidRPr="00962AB7">
        <w:rPr>
          <w:rFonts w:ascii="Arial" w:hAnsi="Arial" w:cs="Arial"/>
          <w:snapToGrid w:val="0"/>
          <w:sz w:val="24"/>
          <w:szCs w:val="24"/>
        </w:rPr>
        <w:t>$</w:t>
      </w:r>
      <w:r w:rsidR="004649B5" w:rsidRPr="00962AB7">
        <w:rPr>
          <w:rFonts w:ascii="Arial" w:hAnsi="Arial" w:cs="Arial"/>
          <w:snapToGrid w:val="0"/>
          <w:sz w:val="24"/>
          <w:szCs w:val="24"/>
        </w:rPr>
        <w:t>4.8 million</w:t>
      </w:r>
      <w:r w:rsidR="00C93C49" w:rsidRPr="00962AB7">
        <w:rPr>
          <w:rFonts w:ascii="Arial" w:eastAsia="Times New Roman" w:hAnsi="Arial" w:cs="Arial"/>
          <w:color w:val="000000"/>
          <w:sz w:val="24"/>
          <w:szCs w:val="24"/>
        </w:rPr>
        <w:t xml:space="preserve"> that consisted of </w:t>
      </w:r>
      <w:r w:rsidR="004649B5" w:rsidRPr="00962AB7">
        <w:rPr>
          <w:rFonts w:ascii="Arial" w:eastAsia="Times New Roman" w:hAnsi="Arial" w:cs="Arial"/>
          <w:color w:val="000000"/>
          <w:sz w:val="24"/>
          <w:szCs w:val="24"/>
        </w:rPr>
        <w:t xml:space="preserve">approximately </w:t>
      </w:r>
      <w:r w:rsidR="00962AB7" w:rsidRPr="00436CDB">
        <w:rPr>
          <w:rFonts w:ascii="Arial" w:eastAsia="Times New Roman" w:hAnsi="Arial" w:cs="Arial"/>
          <w:color w:val="000000"/>
          <w:sz w:val="24"/>
          <w:szCs w:val="24"/>
        </w:rPr>
        <w:t xml:space="preserve">$720,000 to </w:t>
      </w:r>
      <w:r w:rsidR="00C93C49" w:rsidRPr="00962AB7">
        <w:rPr>
          <w:rFonts w:ascii="Arial" w:hAnsi="Arial" w:cs="Arial"/>
          <w:snapToGrid w:val="0"/>
          <w:sz w:val="24"/>
          <w:szCs w:val="24"/>
        </w:rPr>
        <w:t>$</w:t>
      </w:r>
      <w:r w:rsidR="004649B5" w:rsidRPr="00962AB7">
        <w:rPr>
          <w:rFonts w:ascii="Arial" w:hAnsi="Arial" w:cs="Arial"/>
          <w:snapToGrid w:val="0"/>
          <w:sz w:val="24"/>
          <w:szCs w:val="24"/>
        </w:rPr>
        <w:t>1.4 million</w:t>
      </w:r>
      <w:r w:rsidR="00C93C49" w:rsidRPr="00962AB7">
        <w:rPr>
          <w:rFonts w:ascii="Arial" w:eastAsia="Times New Roman" w:hAnsi="Arial" w:cs="Arial"/>
          <w:color w:val="000000"/>
          <w:sz w:val="24"/>
          <w:szCs w:val="24"/>
        </w:rPr>
        <w:t xml:space="preserve"> at Met-Ed, </w:t>
      </w:r>
      <w:r w:rsidR="00962AB7" w:rsidRPr="00436CDB">
        <w:rPr>
          <w:rFonts w:ascii="Arial" w:eastAsia="Times New Roman" w:hAnsi="Arial" w:cs="Arial"/>
          <w:color w:val="000000"/>
          <w:sz w:val="24"/>
          <w:szCs w:val="24"/>
        </w:rPr>
        <w:t xml:space="preserve">$960,000 to </w:t>
      </w:r>
      <w:r w:rsidR="00C93C49" w:rsidRPr="00962AB7">
        <w:rPr>
          <w:rFonts w:ascii="Arial" w:hAnsi="Arial" w:cs="Arial"/>
          <w:snapToGrid w:val="0"/>
          <w:sz w:val="24"/>
          <w:szCs w:val="24"/>
        </w:rPr>
        <w:t>$</w:t>
      </w:r>
      <w:r w:rsidR="004649B5" w:rsidRPr="00962AB7">
        <w:rPr>
          <w:rFonts w:ascii="Arial" w:hAnsi="Arial" w:cs="Arial"/>
          <w:snapToGrid w:val="0"/>
          <w:sz w:val="24"/>
          <w:szCs w:val="24"/>
        </w:rPr>
        <w:t>1.8 million</w:t>
      </w:r>
      <w:r w:rsidR="00C93C49" w:rsidRPr="00962AB7">
        <w:rPr>
          <w:rFonts w:ascii="Arial" w:eastAsia="Times New Roman" w:hAnsi="Arial" w:cs="Arial"/>
          <w:color w:val="000000"/>
          <w:sz w:val="24"/>
          <w:szCs w:val="24"/>
        </w:rPr>
        <w:t xml:space="preserve"> at Penelec, </w:t>
      </w:r>
      <w:r w:rsidR="00962AB7" w:rsidRPr="00436CDB">
        <w:rPr>
          <w:rFonts w:ascii="Arial" w:eastAsia="Times New Roman" w:hAnsi="Arial" w:cs="Arial"/>
          <w:color w:val="000000"/>
          <w:sz w:val="24"/>
          <w:szCs w:val="24"/>
        </w:rPr>
        <w:t xml:space="preserve">$160,000 to </w:t>
      </w:r>
      <w:r w:rsidR="00C93C49" w:rsidRPr="00962AB7">
        <w:rPr>
          <w:rFonts w:ascii="Arial" w:hAnsi="Arial" w:cs="Arial"/>
          <w:snapToGrid w:val="0"/>
          <w:sz w:val="24"/>
          <w:szCs w:val="24"/>
        </w:rPr>
        <w:t>$</w:t>
      </w:r>
      <w:r w:rsidR="004649B5" w:rsidRPr="00962AB7">
        <w:rPr>
          <w:rFonts w:ascii="Arial" w:hAnsi="Arial" w:cs="Arial"/>
          <w:snapToGrid w:val="0"/>
          <w:sz w:val="24"/>
          <w:szCs w:val="24"/>
        </w:rPr>
        <w:t xml:space="preserve">300,000 </w:t>
      </w:r>
      <w:r w:rsidR="00C93C49" w:rsidRPr="00962AB7">
        <w:rPr>
          <w:rFonts w:ascii="Arial" w:eastAsia="Times New Roman" w:hAnsi="Arial" w:cs="Arial"/>
          <w:color w:val="000000"/>
          <w:sz w:val="24"/>
          <w:szCs w:val="24"/>
        </w:rPr>
        <w:t xml:space="preserve">at Penn Power, and </w:t>
      </w:r>
      <w:r w:rsidR="00962AB7" w:rsidRPr="00436CDB">
        <w:rPr>
          <w:rFonts w:ascii="Arial" w:eastAsia="Times New Roman" w:hAnsi="Arial" w:cs="Arial"/>
          <w:color w:val="000000"/>
          <w:sz w:val="24"/>
          <w:szCs w:val="24"/>
        </w:rPr>
        <w:t xml:space="preserve">$660,000 to </w:t>
      </w:r>
      <w:r w:rsidR="00C93C49" w:rsidRPr="00962AB7">
        <w:rPr>
          <w:rFonts w:ascii="Arial" w:hAnsi="Arial" w:cs="Arial"/>
          <w:snapToGrid w:val="0"/>
          <w:sz w:val="24"/>
          <w:szCs w:val="24"/>
        </w:rPr>
        <w:t>$</w:t>
      </w:r>
      <w:r w:rsidR="004649B5" w:rsidRPr="00962AB7">
        <w:rPr>
          <w:rFonts w:ascii="Arial" w:hAnsi="Arial" w:cs="Arial"/>
          <w:snapToGrid w:val="0"/>
          <w:sz w:val="24"/>
          <w:szCs w:val="24"/>
        </w:rPr>
        <w:t>1.3 million</w:t>
      </w:r>
      <w:r w:rsidR="00C93C49" w:rsidRPr="00962AB7">
        <w:rPr>
          <w:rFonts w:ascii="Arial" w:eastAsia="Times New Roman" w:hAnsi="Arial" w:cs="Arial"/>
          <w:color w:val="000000"/>
          <w:sz w:val="24"/>
          <w:szCs w:val="24"/>
        </w:rPr>
        <w:t xml:space="preserve"> at West Penn Power.</w:t>
      </w:r>
      <w:r w:rsidR="00C93C49" w:rsidRPr="00C93C49">
        <w:rPr>
          <w:rFonts w:ascii="Arial" w:eastAsia="Times New Roman" w:hAnsi="Arial" w:cs="Arial"/>
          <w:snapToGrid w:val="0"/>
          <w:sz w:val="24"/>
          <w:szCs w:val="24"/>
        </w:rPr>
        <w:t xml:space="preserve">  </w:t>
      </w:r>
    </w:p>
    <w:p w14:paraId="3CA06901" w14:textId="77777777" w:rsidR="00C93C49" w:rsidRPr="00C93C49" w:rsidRDefault="00C93C49" w:rsidP="00C93C49">
      <w:pPr>
        <w:spacing w:after="0" w:line="20" w:lineRule="atLeast"/>
        <w:jc w:val="center"/>
        <w:rPr>
          <w:rFonts w:ascii="Arial" w:eastAsia="Times New Roman" w:hAnsi="Arial" w:cs="Arial"/>
          <w:b/>
          <w:snapToGrid w:val="0"/>
          <w:sz w:val="24"/>
          <w:szCs w:val="20"/>
        </w:rPr>
      </w:pPr>
    </w:p>
    <w:p w14:paraId="70E91D55" w14:textId="77777777" w:rsidR="00C93C49" w:rsidRPr="00C93C49" w:rsidRDefault="00C93C49" w:rsidP="00C93C49">
      <w:pPr>
        <w:spacing w:after="0" w:line="20" w:lineRule="atLeast"/>
        <w:jc w:val="center"/>
        <w:rPr>
          <w:rFonts w:ascii="Arial" w:eastAsia="Times New Roman" w:hAnsi="Arial" w:cs="Arial"/>
          <w:b/>
          <w:snapToGrid w:val="0"/>
          <w:sz w:val="24"/>
          <w:szCs w:val="20"/>
        </w:rPr>
      </w:pPr>
    </w:p>
    <w:p w14:paraId="3A173B24" w14:textId="77777777" w:rsidR="00C93C49" w:rsidRPr="00C93C49" w:rsidRDefault="00C93C49" w:rsidP="00C93C49">
      <w:pPr>
        <w:spacing w:after="0" w:line="20" w:lineRule="atLeast"/>
        <w:jc w:val="center"/>
        <w:rPr>
          <w:rFonts w:ascii="Arial" w:eastAsia="Times New Roman" w:hAnsi="Arial" w:cs="Arial"/>
          <w:b/>
          <w:snapToGrid w:val="0"/>
          <w:sz w:val="24"/>
          <w:szCs w:val="20"/>
          <w:u w:val="single"/>
        </w:rPr>
      </w:pPr>
      <w:r w:rsidRPr="00C93C49">
        <w:rPr>
          <w:rFonts w:ascii="Arial" w:eastAsia="Times New Roman" w:hAnsi="Arial" w:cs="Arial"/>
          <w:b/>
          <w:snapToGrid w:val="0"/>
          <w:sz w:val="24"/>
          <w:szCs w:val="20"/>
        </w:rPr>
        <w:t xml:space="preserve">Exhibit X – 22 </w:t>
      </w:r>
    </w:p>
    <w:p w14:paraId="2844B842"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0"/>
        </w:rPr>
      </w:pPr>
      <w:r w:rsidRPr="00C93C49">
        <w:rPr>
          <w:rFonts w:ascii="Arial" w:eastAsia="Calibri" w:hAnsi="Arial" w:cs="Arial"/>
          <w:b/>
          <w:sz w:val="24"/>
          <w:szCs w:val="24"/>
        </w:rPr>
        <w:t>FirstEnergy Pennsylvania Companies</w:t>
      </w:r>
      <w:r w:rsidRPr="00C93C49">
        <w:rPr>
          <w:rFonts w:ascii="Arial" w:eastAsia="Times New Roman" w:hAnsi="Arial" w:cs="Arial"/>
          <w:b/>
          <w:snapToGrid w:val="0"/>
          <w:sz w:val="24"/>
          <w:szCs w:val="20"/>
        </w:rPr>
        <w:t xml:space="preserve"> </w:t>
      </w:r>
    </w:p>
    <w:p w14:paraId="6F5D9032"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 xml:space="preserve">Additional Cash Flow </w:t>
      </w:r>
    </w:p>
    <w:p w14:paraId="7371AE4B"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For the Period 2014 through 2017</w:t>
      </w:r>
    </w:p>
    <w:p w14:paraId="6B38753F" w14:textId="77777777" w:rsidR="00C93C49" w:rsidRPr="00C93C49" w:rsidRDefault="00C93C49" w:rsidP="00C93C49">
      <w:pPr>
        <w:spacing w:after="0" w:line="20" w:lineRule="atLeast"/>
        <w:jc w:val="center"/>
        <w:rPr>
          <w:rFonts w:ascii="Arial" w:eastAsia="Times New Roman" w:hAnsi="Arial" w:cs="Arial"/>
          <w:snapToGrid w:val="0"/>
          <w:sz w:val="24"/>
          <w:szCs w:val="20"/>
        </w:rPr>
      </w:pPr>
    </w:p>
    <w:tbl>
      <w:tblPr>
        <w:tblStyle w:val="TableGrid4"/>
        <w:tblW w:w="0" w:type="auto"/>
        <w:jc w:val="center"/>
        <w:tblLook w:val="04A0" w:firstRow="1" w:lastRow="0" w:firstColumn="1" w:lastColumn="0" w:noHBand="0" w:noVBand="1"/>
      </w:tblPr>
      <w:tblGrid>
        <w:gridCol w:w="749"/>
        <w:gridCol w:w="2526"/>
        <w:gridCol w:w="2399"/>
        <w:gridCol w:w="2218"/>
      </w:tblGrid>
      <w:tr w:rsidR="009526B8" w:rsidRPr="00C93C49" w14:paraId="6B6E968D" w14:textId="77777777" w:rsidTr="009526B8">
        <w:trPr>
          <w:trHeight w:val="215"/>
          <w:jc w:val="center"/>
        </w:trPr>
        <w:tc>
          <w:tcPr>
            <w:tcW w:w="749" w:type="dxa"/>
            <w:vMerge w:val="restart"/>
            <w:vAlign w:val="bottom"/>
          </w:tcPr>
          <w:p w14:paraId="6FF6D16B" w14:textId="77777777" w:rsidR="00C93C49" w:rsidRPr="00436CDB" w:rsidRDefault="00C93C49" w:rsidP="00C93C49">
            <w:pPr>
              <w:spacing w:line="20" w:lineRule="atLeast"/>
              <w:jc w:val="center"/>
              <w:rPr>
                <w:rFonts w:ascii="Arial" w:hAnsi="Arial" w:cs="Arial"/>
                <w:b/>
                <w:bCs/>
                <w:snapToGrid w:val="0"/>
                <w:sz w:val="16"/>
                <w:szCs w:val="16"/>
              </w:rPr>
            </w:pPr>
          </w:p>
          <w:p w14:paraId="6ACCE67C" w14:textId="77777777" w:rsidR="00C93C49" w:rsidRPr="00436CDB" w:rsidRDefault="00C93C49" w:rsidP="00C93C49">
            <w:pPr>
              <w:spacing w:line="20" w:lineRule="atLeast"/>
              <w:jc w:val="center"/>
              <w:rPr>
                <w:rFonts w:ascii="Arial" w:hAnsi="Arial" w:cs="Arial"/>
                <w:b/>
                <w:bCs/>
                <w:snapToGrid w:val="0"/>
                <w:sz w:val="16"/>
                <w:szCs w:val="16"/>
              </w:rPr>
            </w:pPr>
            <w:r w:rsidRPr="00436CDB">
              <w:rPr>
                <w:rFonts w:ascii="Arial" w:hAnsi="Arial" w:cs="Arial"/>
                <w:b/>
                <w:sz w:val="16"/>
                <w:szCs w:val="16"/>
              </w:rPr>
              <w:t>Year</w:t>
            </w:r>
          </w:p>
        </w:tc>
        <w:tc>
          <w:tcPr>
            <w:tcW w:w="2526" w:type="dxa"/>
            <w:noWrap/>
            <w:hideMark/>
          </w:tcPr>
          <w:p w14:paraId="51B3238C" w14:textId="62CF9478" w:rsidR="00C93C49" w:rsidRPr="00436CDB" w:rsidRDefault="00C93C49" w:rsidP="00C93C49">
            <w:pPr>
              <w:spacing w:line="20" w:lineRule="atLeast"/>
              <w:jc w:val="center"/>
              <w:rPr>
                <w:rFonts w:ascii="Arial" w:hAnsi="Arial" w:cs="Arial"/>
                <w:b/>
                <w:bCs/>
                <w:snapToGrid w:val="0"/>
                <w:sz w:val="16"/>
                <w:szCs w:val="16"/>
              </w:rPr>
            </w:pPr>
            <w:r w:rsidRPr="00436CDB">
              <w:rPr>
                <w:rFonts w:ascii="Arial" w:hAnsi="Arial" w:cs="Arial"/>
                <w:b/>
                <w:bCs/>
                <w:snapToGrid w:val="0"/>
                <w:sz w:val="16"/>
                <w:szCs w:val="16"/>
              </w:rPr>
              <w:t xml:space="preserve">Additional Cash Flow - Primary at </w:t>
            </w:r>
            <w:r w:rsidR="006F319C" w:rsidRPr="00436CDB">
              <w:rPr>
                <w:rFonts w:ascii="Arial" w:hAnsi="Arial" w:cs="Arial"/>
                <w:b/>
                <w:bCs/>
                <w:snapToGrid w:val="0"/>
                <w:sz w:val="16"/>
                <w:szCs w:val="16"/>
              </w:rPr>
              <w:t xml:space="preserve">5.5% to </w:t>
            </w:r>
            <w:r w:rsidRPr="00436CDB">
              <w:rPr>
                <w:rFonts w:ascii="Arial" w:hAnsi="Arial" w:cs="Arial"/>
                <w:b/>
                <w:bCs/>
                <w:snapToGrid w:val="0"/>
                <w:sz w:val="16"/>
                <w:szCs w:val="16"/>
              </w:rPr>
              <w:t>11%</w:t>
            </w:r>
          </w:p>
        </w:tc>
        <w:tc>
          <w:tcPr>
            <w:tcW w:w="2399" w:type="dxa"/>
            <w:noWrap/>
            <w:hideMark/>
          </w:tcPr>
          <w:p w14:paraId="60679F7A" w14:textId="31EB76F6" w:rsidR="00C93C49" w:rsidRPr="00436CDB" w:rsidRDefault="00C93C49" w:rsidP="00C93C49">
            <w:pPr>
              <w:spacing w:line="20" w:lineRule="atLeast"/>
              <w:jc w:val="center"/>
              <w:rPr>
                <w:rFonts w:ascii="Arial" w:hAnsi="Arial" w:cs="Arial"/>
                <w:b/>
                <w:bCs/>
                <w:snapToGrid w:val="0"/>
                <w:sz w:val="16"/>
                <w:szCs w:val="16"/>
              </w:rPr>
            </w:pPr>
            <w:r w:rsidRPr="00436CDB">
              <w:rPr>
                <w:rFonts w:ascii="Arial" w:hAnsi="Arial" w:cs="Arial"/>
                <w:b/>
                <w:bCs/>
                <w:snapToGrid w:val="0"/>
                <w:sz w:val="16"/>
                <w:szCs w:val="16"/>
              </w:rPr>
              <w:t>Additional Cash Flow - Secondary at 2</w:t>
            </w:r>
            <w:r w:rsidR="00654C0E" w:rsidRPr="00436CDB">
              <w:rPr>
                <w:rFonts w:ascii="Arial" w:hAnsi="Arial" w:cs="Arial"/>
                <w:b/>
                <w:bCs/>
                <w:snapToGrid w:val="0"/>
                <w:sz w:val="16"/>
                <w:szCs w:val="16"/>
              </w:rPr>
              <w:t>.5</w:t>
            </w:r>
            <w:r w:rsidRPr="00436CDB">
              <w:rPr>
                <w:rFonts w:ascii="Arial" w:hAnsi="Arial" w:cs="Arial"/>
                <w:b/>
                <w:bCs/>
                <w:snapToGrid w:val="0"/>
                <w:sz w:val="16"/>
                <w:szCs w:val="16"/>
              </w:rPr>
              <w:t>%</w:t>
            </w:r>
          </w:p>
        </w:tc>
        <w:tc>
          <w:tcPr>
            <w:tcW w:w="2218" w:type="dxa"/>
            <w:vAlign w:val="bottom"/>
          </w:tcPr>
          <w:p w14:paraId="025E0190" w14:textId="77777777" w:rsidR="00C93C49" w:rsidRPr="00436CDB" w:rsidRDefault="00C93C49" w:rsidP="00C93C49">
            <w:pPr>
              <w:spacing w:line="20" w:lineRule="atLeast"/>
              <w:jc w:val="center"/>
              <w:rPr>
                <w:rFonts w:ascii="Arial" w:hAnsi="Arial" w:cs="Arial"/>
                <w:b/>
                <w:bCs/>
                <w:snapToGrid w:val="0"/>
                <w:sz w:val="16"/>
                <w:szCs w:val="16"/>
              </w:rPr>
            </w:pPr>
            <w:r w:rsidRPr="00436CDB">
              <w:rPr>
                <w:rFonts w:ascii="Arial" w:hAnsi="Arial" w:cs="Arial"/>
                <w:b/>
                <w:bCs/>
                <w:color w:val="000000"/>
                <w:sz w:val="16"/>
                <w:szCs w:val="16"/>
              </w:rPr>
              <w:t>Total Potential Revenue Recovery</w:t>
            </w:r>
          </w:p>
        </w:tc>
      </w:tr>
      <w:tr w:rsidR="00BC7968" w:rsidRPr="00C93C49" w14:paraId="3B641530" w14:textId="77777777" w:rsidTr="009526B8">
        <w:trPr>
          <w:trHeight w:val="215"/>
          <w:jc w:val="center"/>
        </w:trPr>
        <w:tc>
          <w:tcPr>
            <w:tcW w:w="749" w:type="dxa"/>
            <w:vMerge/>
          </w:tcPr>
          <w:p w14:paraId="0C9283A2" w14:textId="77777777" w:rsidR="00C93C49" w:rsidRPr="00436CDB" w:rsidRDefault="00C93C49" w:rsidP="00C93C49">
            <w:pPr>
              <w:spacing w:line="20" w:lineRule="atLeast"/>
              <w:jc w:val="center"/>
              <w:rPr>
                <w:rFonts w:ascii="Arial" w:hAnsi="Arial" w:cs="Arial"/>
                <w:b/>
                <w:bCs/>
                <w:snapToGrid w:val="0"/>
                <w:sz w:val="16"/>
                <w:szCs w:val="16"/>
              </w:rPr>
            </w:pPr>
          </w:p>
        </w:tc>
        <w:tc>
          <w:tcPr>
            <w:tcW w:w="7143" w:type="dxa"/>
            <w:gridSpan w:val="3"/>
            <w:noWrap/>
            <w:hideMark/>
          </w:tcPr>
          <w:p w14:paraId="6BD09153" w14:textId="77777777" w:rsidR="00C93C49" w:rsidRPr="00436CDB" w:rsidRDefault="00C93C49" w:rsidP="00C93C49">
            <w:pPr>
              <w:spacing w:line="20" w:lineRule="atLeast"/>
              <w:jc w:val="center"/>
              <w:rPr>
                <w:rFonts w:ascii="Arial" w:hAnsi="Arial" w:cs="Arial"/>
                <w:b/>
                <w:bCs/>
                <w:snapToGrid w:val="0"/>
                <w:sz w:val="16"/>
                <w:szCs w:val="16"/>
              </w:rPr>
            </w:pPr>
            <w:r w:rsidRPr="00436CDB">
              <w:rPr>
                <w:rFonts w:ascii="Arial" w:hAnsi="Arial" w:cs="Arial"/>
                <w:b/>
                <w:bCs/>
                <w:snapToGrid w:val="0"/>
                <w:sz w:val="16"/>
                <w:szCs w:val="16"/>
              </w:rPr>
              <w:t>FE-PA Companies</w:t>
            </w:r>
          </w:p>
        </w:tc>
      </w:tr>
      <w:tr w:rsidR="00BC7968" w:rsidRPr="00C93C49" w14:paraId="1F40EE6E" w14:textId="77777777" w:rsidTr="0016233B">
        <w:trPr>
          <w:trHeight w:val="215"/>
          <w:jc w:val="center"/>
        </w:trPr>
        <w:tc>
          <w:tcPr>
            <w:tcW w:w="749" w:type="dxa"/>
          </w:tcPr>
          <w:p w14:paraId="098DABFB" w14:textId="77777777" w:rsidR="00BC7968" w:rsidRPr="00436CDB" w:rsidRDefault="00BC7968" w:rsidP="00C93C49">
            <w:pPr>
              <w:spacing w:line="20" w:lineRule="atLeast"/>
              <w:jc w:val="center"/>
              <w:rPr>
                <w:rFonts w:ascii="Arial" w:hAnsi="Arial" w:cs="Arial"/>
                <w:b/>
                <w:snapToGrid w:val="0"/>
                <w:sz w:val="16"/>
                <w:szCs w:val="16"/>
              </w:rPr>
            </w:pPr>
            <w:r w:rsidRPr="00436CDB">
              <w:rPr>
                <w:rFonts w:ascii="Arial" w:hAnsi="Arial" w:cs="Arial"/>
                <w:b/>
                <w:snapToGrid w:val="0"/>
                <w:sz w:val="16"/>
                <w:szCs w:val="16"/>
              </w:rPr>
              <w:t>2014</w:t>
            </w:r>
          </w:p>
        </w:tc>
        <w:tc>
          <w:tcPr>
            <w:tcW w:w="2526" w:type="dxa"/>
            <w:noWrap/>
            <w:hideMark/>
          </w:tcPr>
          <w:p w14:paraId="2120940F" w14:textId="79650BEC" w:rsidR="00BC7968" w:rsidRPr="00436CDB" w:rsidRDefault="00BC7968" w:rsidP="00C93C49">
            <w:pPr>
              <w:spacing w:line="20" w:lineRule="atLeast"/>
              <w:jc w:val="center"/>
              <w:rPr>
                <w:rFonts w:ascii="Arial" w:hAnsi="Arial" w:cs="Arial"/>
                <w:snapToGrid w:val="0"/>
                <w:sz w:val="16"/>
                <w:szCs w:val="16"/>
              </w:rPr>
            </w:pPr>
            <w:r w:rsidRPr="00436CDB">
              <w:rPr>
                <w:rFonts w:ascii="Arial" w:hAnsi="Arial" w:cs="Arial"/>
                <w:snapToGrid w:val="0"/>
                <w:sz w:val="16"/>
                <w:szCs w:val="16"/>
              </w:rPr>
              <w:t>$1,650,362 -</w:t>
            </w:r>
            <w:r>
              <w:rPr>
                <w:rFonts w:ascii="Arial" w:hAnsi="Arial" w:cs="Arial"/>
                <w:snapToGrid w:val="0"/>
                <w:sz w:val="16"/>
                <w:szCs w:val="16"/>
              </w:rPr>
              <w:t xml:space="preserve"> </w:t>
            </w:r>
            <w:r w:rsidRPr="00436CDB">
              <w:rPr>
                <w:rFonts w:ascii="Arial" w:hAnsi="Arial" w:cs="Arial"/>
                <w:snapToGrid w:val="0"/>
                <w:sz w:val="16"/>
                <w:szCs w:val="16"/>
              </w:rPr>
              <w:t>$3,766,777</w:t>
            </w:r>
          </w:p>
        </w:tc>
        <w:tc>
          <w:tcPr>
            <w:tcW w:w="2399" w:type="dxa"/>
            <w:noWrap/>
            <w:vAlign w:val="bottom"/>
            <w:hideMark/>
          </w:tcPr>
          <w:p w14:paraId="272B2830" w14:textId="2247843E" w:rsidR="00BC7968" w:rsidRPr="00436CDB" w:rsidRDefault="00BC7968">
            <w:pPr>
              <w:spacing w:line="20" w:lineRule="atLeast"/>
              <w:jc w:val="center"/>
              <w:rPr>
                <w:rFonts w:ascii="Arial" w:hAnsi="Arial" w:cs="Arial"/>
                <w:snapToGrid w:val="0"/>
                <w:sz w:val="16"/>
                <w:szCs w:val="16"/>
              </w:rPr>
            </w:pPr>
            <w:r w:rsidRPr="00436CDB">
              <w:rPr>
                <w:rFonts w:ascii="Arial" w:hAnsi="Arial" w:cs="Arial"/>
                <w:snapToGrid w:val="0"/>
                <w:sz w:val="16"/>
                <w:szCs w:val="16"/>
              </w:rPr>
              <w:t>$435,208</w:t>
            </w:r>
          </w:p>
        </w:tc>
        <w:tc>
          <w:tcPr>
            <w:tcW w:w="2218" w:type="dxa"/>
            <w:tcBorders>
              <w:left w:val="nil"/>
            </w:tcBorders>
            <w:vAlign w:val="bottom"/>
          </w:tcPr>
          <w:p w14:paraId="5F356A6E" w14:textId="315F982D" w:rsidR="00BC7968" w:rsidRPr="00C93C49" w:rsidRDefault="00BC7968" w:rsidP="00C93C49">
            <w:pPr>
              <w:spacing w:line="20" w:lineRule="atLeast"/>
              <w:jc w:val="center"/>
              <w:rPr>
                <w:rFonts w:ascii="Arial" w:hAnsi="Arial" w:cs="Arial"/>
                <w:snapToGrid w:val="0"/>
              </w:rPr>
            </w:pPr>
            <w:r>
              <w:rPr>
                <w:rFonts w:ascii="Arial" w:hAnsi="Arial" w:cs="Arial"/>
                <w:snapToGrid w:val="0"/>
                <w:sz w:val="16"/>
                <w:szCs w:val="16"/>
              </w:rPr>
              <w:t xml:space="preserve">$2,085,569 - </w:t>
            </w:r>
            <w:r w:rsidRPr="00436CDB">
              <w:rPr>
                <w:rFonts w:ascii="Arial" w:hAnsi="Arial" w:cs="Arial"/>
                <w:snapToGrid w:val="0"/>
                <w:sz w:val="16"/>
                <w:szCs w:val="16"/>
              </w:rPr>
              <w:t>$4,201,985</w:t>
            </w:r>
          </w:p>
        </w:tc>
      </w:tr>
      <w:tr w:rsidR="00BC7968" w:rsidRPr="00C93C49" w14:paraId="660FDB7F" w14:textId="77777777" w:rsidTr="0016233B">
        <w:trPr>
          <w:trHeight w:val="215"/>
          <w:jc w:val="center"/>
        </w:trPr>
        <w:tc>
          <w:tcPr>
            <w:tcW w:w="749" w:type="dxa"/>
          </w:tcPr>
          <w:p w14:paraId="1907BE17" w14:textId="77777777" w:rsidR="00BC7968" w:rsidRPr="00436CDB" w:rsidRDefault="00BC7968" w:rsidP="00C93C49">
            <w:pPr>
              <w:spacing w:line="20" w:lineRule="atLeast"/>
              <w:jc w:val="center"/>
              <w:rPr>
                <w:rFonts w:ascii="Arial" w:hAnsi="Arial" w:cs="Arial"/>
                <w:b/>
                <w:snapToGrid w:val="0"/>
                <w:sz w:val="16"/>
                <w:szCs w:val="16"/>
              </w:rPr>
            </w:pPr>
            <w:r w:rsidRPr="00436CDB">
              <w:rPr>
                <w:rFonts w:ascii="Arial" w:hAnsi="Arial" w:cs="Arial"/>
                <w:b/>
                <w:snapToGrid w:val="0"/>
                <w:sz w:val="16"/>
                <w:szCs w:val="16"/>
              </w:rPr>
              <w:t>2015</w:t>
            </w:r>
          </w:p>
        </w:tc>
        <w:tc>
          <w:tcPr>
            <w:tcW w:w="2526" w:type="dxa"/>
            <w:noWrap/>
            <w:hideMark/>
          </w:tcPr>
          <w:p w14:paraId="790737D6" w14:textId="60D22868" w:rsidR="00BC7968" w:rsidRPr="00436CDB" w:rsidRDefault="00BC7968" w:rsidP="00C93C49">
            <w:pPr>
              <w:spacing w:line="20" w:lineRule="atLeast"/>
              <w:jc w:val="center"/>
              <w:rPr>
                <w:rFonts w:ascii="Arial" w:hAnsi="Arial" w:cs="Arial"/>
                <w:snapToGrid w:val="0"/>
                <w:sz w:val="16"/>
                <w:szCs w:val="16"/>
              </w:rPr>
            </w:pPr>
            <w:r w:rsidRPr="00436CDB">
              <w:rPr>
                <w:rFonts w:ascii="Arial" w:hAnsi="Arial" w:cs="Arial"/>
                <w:snapToGrid w:val="0"/>
                <w:sz w:val="16"/>
                <w:szCs w:val="16"/>
              </w:rPr>
              <w:t>$1,953,479 -</w:t>
            </w:r>
            <w:r>
              <w:rPr>
                <w:rFonts w:ascii="Arial" w:hAnsi="Arial" w:cs="Arial"/>
                <w:snapToGrid w:val="0"/>
                <w:sz w:val="16"/>
                <w:szCs w:val="16"/>
              </w:rPr>
              <w:t xml:space="preserve"> </w:t>
            </w:r>
            <w:r w:rsidRPr="00436CDB">
              <w:rPr>
                <w:rFonts w:ascii="Arial" w:hAnsi="Arial" w:cs="Arial"/>
                <w:snapToGrid w:val="0"/>
                <w:sz w:val="16"/>
                <w:szCs w:val="16"/>
              </w:rPr>
              <w:t>$4,561,489</w:t>
            </w:r>
          </w:p>
        </w:tc>
        <w:tc>
          <w:tcPr>
            <w:tcW w:w="2399" w:type="dxa"/>
            <w:noWrap/>
            <w:vAlign w:val="bottom"/>
            <w:hideMark/>
          </w:tcPr>
          <w:p w14:paraId="0DD7379D" w14:textId="2EA51708" w:rsidR="00BC7968" w:rsidRPr="00436CDB" w:rsidRDefault="00BC7968">
            <w:pPr>
              <w:spacing w:line="20" w:lineRule="atLeast"/>
              <w:jc w:val="center"/>
              <w:rPr>
                <w:rFonts w:ascii="Arial" w:hAnsi="Arial" w:cs="Arial"/>
                <w:snapToGrid w:val="0"/>
                <w:sz w:val="16"/>
                <w:szCs w:val="16"/>
              </w:rPr>
            </w:pPr>
            <w:r w:rsidRPr="00436CDB">
              <w:rPr>
                <w:rFonts w:ascii="Arial" w:hAnsi="Arial" w:cs="Arial"/>
                <w:snapToGrid w:val="0"/>
                <w:sz w:val="16"/>
                <w:szCs w:val="16"/>
              </w:rPr>
              <w:t>$873,052</w:t>
            </w:r>
          </w:p>
        </w:tc>
        <w:tc>
          <w:tcPr>
            <w:tcW w:w="2218" w:type="dxa"/>
            <w:tcBorders>
              <w:left w:val="nil"/>
            </w:tcBorders>
            <w:vAlign w:val="bottom"/>
          </w:tcPr>
          <w:p w14:paraId="231E8CE4" w14:textId="443519E6" w:rsidR="00BC7968" w:rsidRPr="00C93C49" w:rsidRDefault="00BC7968" w:rsidP="00C93C49">
            <w:pPr>
              <w:spacing w:line="20" w:lineRule="atLeast"/>
              <w:jc w:val="center"/>
              <w:rPr>
                <w:rFonts w:ascii="Arial" w:hAnsi="Arial" w:cs="Arial"/>
                <w:snapToGrid w:val="0"/>
              </w:rPr>
            </w:pPr>
            <w:r>
              <w:rPr>
                <w:rFonts w:ascii="Arial" w:hAnsi="Arial" w:cs="Arial"/>
                <w:snapToGrid w:val="0"/>
                <w:sz w:val="16"/>
                <w:szCs w:val="16"/>
              </w:rPr>
              <w:t xml:space="preserve">$2,826,531 - </w:t>
            </w:r>
            <w:r w:rsidRPr="00436CDB">
              <w:rPr>
                <w:rFonts w:ascii="Arial" w:hAnsi="Arial" w:cs="Arial"/>
                <w:snapToGrid w:val="0"/>
                <w:sz w:val="16"/>
                <w:szCs w:val="16"/>
              </w:rPr>
              <w:t>$5,434,541</w:t>
            </w:r>
          </w:p>
        </w:tc>
      </w:tr>
      <w:tr w:rsidR="00BC7968" w:rsidRPr="00C93C49" w14:paraId="4BC92675" w14:textId="77777777" w:rsidTr="0016233B">
        <w:trPr>
          <w:trHeight w:val="215"/>
          <w:jc w:val="center"/>
        </w:trPr>
        <w:tc>
          <w:tcPr>
            <w:tcW w:w="749" w:type="dxa"/>
          </w:tcPr>
          <w:p w14:paraId="09647AB8" w14:textId="77777777" w:rsidR="00BC7968" w:rsidRPr="00436CDB" w:rsidRDefault="00BC7968" w:rsidP="00C93C49">
            <w:pPr>
              <w:spacing w:line="20" w:lineRule="atLeast"/>
              <w:jc w:val="center"/>
              <w:rPr>
                <w:rFonts w:ascii="Arial" w:hAnsi="Arial" w:cs="Arial"/>
                <w:b/>
                <w:snapToGrid w:val="0"/>
                <w:sz w:val="16"/>
                <w:szCs w:val="16"/>
              </w:rPr>
            </w:pPr>
            <w:r w:rsidRPr="00436CDB">
              <w:rPr>
                <w:rFonts w:ascii="Arial" w:hAnsi="Arial" w:cs="Arial"/>
                <w:b/>
                <w:snapToGrid w:val="0"/>
                <w:sz w:val="16"/>
                <w:szCs w:val="16"/>
              </w:rPr>
              <w:t>2016</w:t>
            </w:r>
          </w:p>
        </w:tc>
        <w:tc>
          <w:tcPr>
            <w:tcW w:w="2526" w:type="dxa"/>
            <w:noWrap/>
            <w:hideMark/>
          </w:tcPr>
          <w:p w14:paraId="096198F4" w14:textId="5D5A0080" w:rsidR="00BC7968" w:rsidRPr="00436CDB" w:rsidRDefault="00BC7968" w:rsidP="00C93C49">
            <w:pPr>
              <w:spacing w:line="20" w:lineRule="atLeast"/>
              <w:jc w:val="center"/>
              <w:rPr>
                <w:rFonts w:ascii="Arial" w:hAnsi="Arial" w:cs="Arial"/>
                <w:snapToGrid w:val="0"/>
                <w:sz w:val="16"/>
                <w:szCs w:val="16"/>
              </w:rPr>
            </w:pPr>
            <w:r w:rsidRPr="00436CDB">
              <w:rPr>
                <w:rFonts w:ascii="Arial" w:hAnsi="Arial" w:cs="Arial"/>
                <w:snapToGrid w:val="0"/>
                <w:sz w:val="16"/>
                <w:szCs w:val="16"/>
              </w:rPr>
              <w:t>$2,029,900 -</w:t>
            </w:r>
            <w:r>
              <w:rPr>
                <w:rFonts w:ascii="Arial" w:hAnsi="Arial" w:cs="Arial"/>
                <w:snapToGrid w:val="0"/>
                <w:sz w:val="16"/>
                <w:szCs w:val="16"/>
              </w:rPr>
              <w:t xml:space="preserve"> </w:t>
            </w:r>
            <w:r w:rsidRPr="00436CDB">
              <w:rPr>
                <w:rFonts w:ascii="Arial" w:hAnsi="Arial" w:cs="Arial"/>
                <w:snapToGrid w:val="0"/>
                <w:sz w:val="16"/>
                <w:szCs w:val="16"/>
              </w:rPr>
              <w:t>$4,736,127</w:t>
            </w:r>
          </w:p>
        </w:tc>
        <w:tc>
          <w:tcPr>
            <w:tcW w:w="2399" w:type="dxa"/>
            <w:noWrap/>
            <w:vAlign w:val="bottom"/>
            <w:hideMark/>
          </w:tcPr>
          <w:p w14:paraId="1EB95EA4" w14:textId="77325E6F" w:rsidR="00BC7968" w:rsidRPr="00436CDB" w:rsidRDefault="00BC7968">
            <w:pPr>
              <w:spacing w:line="20" w:lineRule="atLeast"/>
              <w:jc w:val="center"/>
              <w:rPr>
                <w:rFonts w:ascii="Arial" w:hAnsi="Arial" w:cs="Arial"/>
                <w:snapToGrid w:val="0"/>
                <w:sz w:val="16"/>
                <w:szCs w:val="16"/>
              </w:rPr>
            </w:pPr>
            <w:r w:rsidRPr="00436CDB">
              <w:rPr>
                <w:rFonts w:ascii="Arial" w:hAnsi="Arial" w:cs="Arial"/>
                <w:snapToGrid w:val="0"/>
                <w:sz w:val="16"/>
                <w:szCs w:val="16"/>
              </w:rPr>
              <w:t>$568,046</w:t>
            </w:r>
          </w:p>
        </w:tc>
        <w:tc>
          <w:tcPr>
            <w:tcW w:w="2218" w:type="dxa"/>
            <w:tcBorders>
              <w:left w:val="nil"/>
            </w:tcBorders>
            <w:vAlign w:val="bottom"/>
          </w:tcPr>
          <w:p w14:paraId="20252355" w14:textId="684ECF8C" w:rsidR="00BC7968" w:rsidRPr="00C93C49" w:rsidRDefault="00BC7968" w:rsidP="00C93C49">
            <w:pPr>
              <w:spacing w:line="20" w:lineRule="atLeast"/>
              <w:jc w:val="center"/>
              <w:rPr>
                <w:rFonts w:ascii="Arial" w:hAnsi="Arial" w:cs="Arial"/>
                <w:snapToGrid w:val="0"/>
              </w:rPr>
            </w:pPr>
            <w:r>
              <w:rPr>
                <w:rFonts w:ascii="Arial" w:hAnsi="Arial" w:cs="Arial"/>
                <w:snapToGrid w:val="0"/>
                <w:sz w:val="16"/>
                <w:szCs w:val="16"/>
              </w:rPr>
              <w:t xml:space="preserve">$2,597,946 - </w:t>
            </w:r>
            <w:r w:rsidRPr="00436CDB">
              <w:rPr>
                <w:rFonts w:ascii="Arial" w:hAnsi="Arial" w:cs="Arial"/>
                <w:snapToGrid w:val="0"/>
                <w:sz w:val="16"/>
                <w:szCs w:val="16"/>
              </w:rPr>
              <w:t>$5,304,173</w:t>
            </w:r>
          </w:p>
        </w:tc>
      </w:tr>
      <w:tr w:rsidR="00BC7968" w:rsidRPr="00C93C49" w14:paraId="286FC9FD" w14:textId="77777777" w:rsidTr="0016233B">
        <w:trPr>
          <w:trHeight w:val="215"/>
          <w:jc w:val="center"/>
        </w:trPr>
        <w:tc>
          <w:tcPr>
            <w:tcW w:w="749" w:type="dxa"/>
          </w:tcPr>
          <w:p w14:paraId="7ED52147" w14:textId="77777777" w:rsidR="00BC7968" w:rsidRPr="00436CDB" w:rsidRDefault="00BC7968" w:rsidP="00C93C49">
            <w:pPr>
              <w:spacing w:line="20" w:lineRule="atLeast"/>
              <w:jc w:val="center"/>
              <w:rPr>
                <w:rFonts w:ascii="Arial" w:hAnsi="Arial" w:cs="Arial"/>
                <w:b/>
                <w:snapToGrid w:val="0"/>
                <w:sz w:val="16"/>
                <w:szCs w:val="16"/>
              </w:rPr>
            </w:pPr>
            <w:r w:rsidRPr="00436CDB">
              <w:rPr>
                <w:rFonts w:ascii="Arial" w:hAnsi="Arial" w:cs="Arial"/>
                <w:b/>
                <w:snapToGrid w:val="0"/>
                <w:sz w:val="16"/>
                <w:szCs w:val="16"/>
              </w:rPr>
              <w:t>2017</w:t>
            </w:r>
          </w:p>
        </w:tc>
        <w:tc>
          <w:tcPr>
            <w:tcW w:w="2526" w:type="dxa"/>
            <w:noWrap/>
            <w:hideMark/>
          </w:tcPr>
          <w:p w14:paraId="04475606" w14:textId="738F5919" w:rsidR="00BC7968" w:rsidRPr="00436CDB" w:rsidRDefault="00BC7968" w:rsidP="00C93C49">
            <w:pPr>
              <w:spacing w:line="20" w:lineRule="atLeast"/>
              <w:jc w:val="center"/>
              <w:rPr>
                <w:rFonts w:ascii="Arial" w:hAnsi="Arial" w:cs="Arial"/>
                <w:snapToGrid w:val="0"/>
                <w:sz w:val="16"/>
                <w:szCs w:val="16"/>
              </w:rPr>
            </w:pPr>
            <w:r w:rsidRPr="00436CDB">
              <w:rPr>
                <w:rFonts w:ascii="Arial" w:hAnsi="Arial" w:cs="Arial"/>
                <w:snapToGrid w:val="0"/>
                <w:sz w:val="16"/>
                <w:szCs w:val="16"/>
              </w:rPr>
              <w:t>$1,929,335 -</w:t>
            </w:r>
            <w:r>
              <w:rPr>
                <w:rFonts w:ascii="Arial" w:hAnsi="Arial" w:cs="Arial"/>
                <w:snapToGrid w:val="0"/>
                <w:sz w:val="16"/>
                <w:szCs w:val="16"/>
              </w:rPr>
              <w:t xml:space="preserve"> </w:t>
            </w:r>
            <w:r w:rsidRPr="00436CDB">
              <w:rPr>
                <w:rFonts w:ascii="Arial" w:hAnsi="Arial" w:cs="Arial"/>
                <w:snapToGrid w:val="0"/>
                <w:sz w:val="16"/>
                <w:szCs w:val="16"/>
              </w:rPr>
              <w:t>$4,581,225</w:t>
            </w:r>
          </w:p>
        </w:tc>
        <w:tc>
          <w:tcPr>
            <w:tcW w:w="2399" w:type="dxa"/>
            <w:noWrap/>
            <w:vAlign w:val="bottom"/>
            <w:hideMark/>
          </w:tcPr>
          <w:p w14:paraId="23D17F44" w14:textId="36421584" w:rsidR="00BC7968" w:rsidRPr="00436CDB" w:rsidRDefault="00BC7968">
            <w:pPr>
              <w:spacing w:line="20" w:lineRule="atLeast"/>
              <w:jc w:val="center"/>
              <w:rPr>
                <w:rFonts w:ascii="Arial" w:hAnsi="Arial" w:cs="Arial"/>
                <w:snapToGrid w:val="0"/>
                <w:sz w:val="16"/>
                <w:szCs w:val="16"/>
              </w:rPr>
            </w:pPr>
            <w:r w:rsidRPr="00436CDB">
              <w:rPr>
                <w:rFonts w:ascii="Arial" w:hAnsi="Arial" w:cs="Arial"/>
                <w:snapToGrid w:val="0"/>
                <w:sz w:val="16"/>
                <w:szCs w:val="16"/>
              </w:rPr>
              <w:t>$539,825</w:t>
            </w:r>
          </w:p>
        </w:tc>
        <w:tc>
          <w:tcPr>
            <w:tcW w:w="2218" w:type="dxa"/>
            <w:tcBorders>
              <w:left w:val="nil"/>
            </w:tcBorders>
            <w:vAlign w:val="bottom"/>
          </w:tcPr>
          <w:p w14:paraId="66FA3929" w14:textId="773C0FDD" w:rsidR="00BC7968" w:rsidRPr="00C93C49" w:rsidRDefault="00BC7968" w:rsidP="00C93C49">
            <w:pPr>
              <w:spacing w:line="20" w:lineRule="atLeast"/>
              <w:jc w:val="center"/>
              <w:rPr>
                <w:rFonts w:ascii="Arial" w:hAnsi="Arial" w:cs="Arial"/>
                <w:snapToGrid w:val="0"/>
              </w:rPr>
            </w:pPr>
            <w:r>
              <w:rPr>
                <w:rFonts w:ascii="Arial" w:hAnsi="Arial" w:cs="Arial"/>
                <w:snapToGrid w:val="0"/>
                <w:sz w:val="16"/>
                <w:szCs w:val="16"/>
              </w:rPr>
              <w:t xml:space="preserve">$2,469,161 - </w:t>
            </w:r>
            <w:r w:rsidRPr="00436CDB">
              <w:rPr>
                <w:rFonts w:ascii="Arial" w:hAnsi="Arial" w:cs="Arial"/>
                <w:snapToGrid w:val="0"/>
                <w:sz w:val="16"/>
                <w:szCs w:val="16"/>
              </w:rPr>
              <w:t>$5,121,050</w:t>
            </w:r>
          </w:p>
        </w:tc>
      </w:tr>
      <w:tr w:rsidR="009526B8" w:rsidRPr="00C93C49" w14:paraId="2C43AA7F" w14:textId="77777777" w:rsidTr="009526B8">
        <w:trPr>
          <w:trHeight w:val="215"/>
          <w:jc w:val="center"/>
        </w:trPr>
        <w:tc>
          <w:tcPr>
            <w:tcW w:w="749" w:type="dxa"/>
          </w:tcPr>
          <w:p w14:paraId="63A4BE8F" w14:textId="77777777" w:rsidR="00C93C49" w:rsidRPr="00436CDB" w:rsidRDefault="00C93C49" w:rsidP="00C93C49">
            <w:pPr>
              <w:spacing w:line="20" w:lineRule="atLeast"/>
              <w:jc w:val="center"/>
              <w:rPr>
                <w:rFonts w:ascii="Arial" w:hAnsi="Arial" w:cs="Arial"/>
                <w:b/>
                <w:bCs/>
                <w:snapToGrid w:val="0"/>
                <w:sz w:val="16"/>
                <w:szCs w:val="16"/>
              </w:rPr>
            </w:pPr>
          </w:p>
        </w:tc>
        <w:tc>
          <w:tcPr>
            <w:tcW w:w="7143" w:type="dxa"/>
            <w:gridSpan w:val="3"/>
            <w:noWrap/>
            <w:vAlign w:val="center"/>
            <w:hideMark/>
          </w:tcPr>
          <w:p w14:paraId="422F5103" w14:textId="77777777" w:rsidR="00C93C49" w:rsidRPr="00436CDB" w:rsidRDefault="00C93C49">
            <w:pPr>
              <w:spacing w:line="20" w:lineRule="atLeast"/>
              <w:jc w:val="center"/>
              <w:rPr>
                <w:rFonts w:ascii="Arial" w:hAnsi="Arial" w:cs="Arial"/>
                <w:b/>
                <w:bCs/>
                <w:snapToGrid w:val="0"/>
                <w:sz w:val="16"/>
                <w:szCs w:val="16"/>
              </w:rPr>
            </w:pPr>
            <w:r w:rsidRPr="00436CDB">
              <w:rPr>
                <w:rFonts w:ascii="Arial" w:hAnsi="Arial" w:cs="Arial"/>
                <w:b/>
                <w:bCs/>
                <w:snapToGrid w:val="0"/>
                <w:sz w:val="16"/>
                <w:szCs w:val="16"/>
              </w:rPr>
              <w:t>Met-Ed</w:t>
            </w:r>
          </w:p>
        </w:tc>
      </w:tr>
      <w:tr w:rsidR="00BC7968" w:rsidRPr="00C93C49" w14:paraId="448098C0" w14:textId="77777777" w:rsidTr="0016233B">
        <w:trPr>
          <w:trHeight w:val="215"/>
          <w:jc w:val="center"/>
        </w:trPr>
        <w:tc>
          <w:tcPr>
            <w:tcW w:w="749" w:type="dxa"/>
          </w:tcPr>
          <w:p w14:paraId="3AF08BC6" w14:textId="77777777" w:rsidR="00BC7968" w:rsidRPr="00436CDB" w:rsidRDefault="00BC7968" w:rsidP="00C93C49">
            <w:pPr>
              <w:spacing w:line="20" w:lineRule="atLeast"/>
              <w:jc w:val="center"/>
              <w:rPr>
                <w:rFonts w:ascii="Arial" w:hAnsi="Arial" w:cs="Arial"/>
                <w:b/>
                <w:snapToGrid w:val="0"/>
                <w:sz w:val="16"/>
                <w:szCs w:val="16"/>
              </w:rPr>
            </w:pPr>
            <w:r w:rsidRPr="00436CDB">
              <w:rPr>
                <w:rFonts w:ascii="Arial" w:hAnsi="Arial" w:cs="Arial"/>
                <w:b/>
                <w:snapToGrid w:val="0"/>
                <w:sz w:val="16"/>
                <w:szCs w:val="16"/>
              </w:rPr>
              <w:t>2014</w:t>
            </w:r>
          </w:p>
        </w:tc>
        <w:tc>
          <w:tcPr>
            <w:tcW w:w="2526" w:type="dxa"/>
            <w:noWrap/>
            <w:hideMark/>
          </w:tcPr>
          <w:p w14:paraId="5C83437A" w14:textId="253EC16E" w:rsidR="00BC7968" w:rsidRPr="00436CDB" w:rsidRDefault="00BC7968" w:rsidP="00C93C49">
            <w:pPr>
              <w:spacing w:line="20" w:lineRule="atLeast"/>
              <w:jc w:val="center"/>
              <w:rPr>
                <w:rFonts w:ascii="Arial" w:hAnsi="Arial" w:cs="Arial"/>
                <w:snapToGrid w:val="0"/>
                <w:sz w:val="16"/>
                <w:szCs w:val="16"/>
              </w:rPr>
            </w:pPr>
            <w:r w:rsidRPr="00436CDB">
              <w:rPr>
                <w:rFonts w:ascii="Arial" w:hAnsi="Arial" w:cs="Arial"/>
                <w:snapToGrid w:val="0"/>
                <w:sz w:val="16"/>
                <w:szCs w:val="16"/>
              </w:rPr>
              <w:t>$489,857 -</w:t>
            </w:r>
            <w:r>
              <w:rPr>
                <w:rFonts w:ascii="Arial" w:hAnsi="Arial" w:cs="Arial"/>
                <w:snapToGrid w:val="0"/>
                <w:sz w:val="16"/>
                <w:szCs w:val="16"/>
              </w:rPr>
              <w:t xml:space="preserve"> </w:t>
            </w:r>
            <w:r w:rsidRPr="00436CDB">
              <w:rPr>
                <w:rFonts w:ascii="Arial" w:hAnsi="Arial" w:cs="Arial"/>
                <w:snapToGrid w:val="0"/>
                <w:sz w:val="16"/>
                <w:szCs w:val="16"/>
              </w:rPr>
              <w:t>$1,151,236</w:t>
            </w:r>
          </w:p>
        </w:tc>
        <w:tc>
          <w:tcPr>
            <w:tcW w:w="2399" w:type="dxa"/>
            <w:noWrap/>
            <w:vAlign w:val="bottom"/>
            <w:hideMark/>
          </w:tcPr>
          <w:p w14:paraId="2014079E" w14:textId="55C2716E" w:rsidR="00BC7968" w:rsidRPr="00436CDB" w:rsidRDefault="00BC7968">
            <w:pPr>
              <w:spacing w:line="20" w:lineRule="atLeast"/>
              <w:jc w:val="center"/>
              <w:rPr>
                <w:rFonts w:ascii="Arial" w:hAnsi="Arial" w:cs="Arial"/>
                <w:snapToGrid w:val="0"/>
                <w:sz w:val="16"/>
                <w:szCs w:val="16"/>
              </w:rPr>
            </w:pPr>
            <w:r w:rsidRPr="00436CDB">
              <w:rPr>
                <w:rFonts w:ascii="Arial" w:hAnsi="Arial" w:cs="Arial"/>
                <w:snapToGrid w:val="0"/>
                <w:sz w:val="16"/>
                <w:szCs w:val="16"/>
              </w:rPr>
              <w:t>$129,171</w:t>
            </w:r>
          </w:p>
        </w:tc>
        <w:tc>
          <w:tcPr>
            <w:tcW w:w="2218" w:type="dxa"/>
            <w:tcBorders>
              <w:left w:val="nil"/>
            </w:tcBorders>
            <w:vAlign w:val="bottom"/>
          </w:tcPr>
          <w:p w14:paraId="1041B9C6" w14:textId="3C5EC125" w:rsidR="00BC7968" w:rsidRPr="00C93C49" w:rsidRDefault="00BC7968" w:rsidP="00C93C49">
            <w:pPr>
              <w:spacing w:line="20" w:lineRule="atLeast"/>
              <w:jc w:val="center"/>
              <w:rPr>
                <w:rFonts w:ascii="Arial" w:hAnsi="Arial" w:cs="Arial"/>
                <w:snapToGrid w:val="0"/>
              </w:rPr>
            </w:pPr>
            <w:r>
              <w:rPr>
                <w:rFonts w:ascii="Arial" w:hAnsi="Arial" w:cs="Arial"/>
                <w:snapToGrid w:val="0"/>
                <w:sz w:val="16"/>
                <w:szCs w:val="16"/>
              </w:rPr>
              <w:t xml:space="preserve">$619,028 - </w:t>
            </w:r>
            <w:r w:rsidRPr="00436CDB">
              <w:rPr>
                <w:rFonts w:ascii="Arial" w:hAnsi="Arial" w:cs="Arial"/>
                <w:snapToGrid w:val="0"/>
                <w:sz w:val="16"/>
                <w:szCs w:val="16"/>
              </w:rPr>
              <w:t>$1,280,407</w:t>
            </w:r>
          </w:p>
        </w:tc>
      </w:tr>
      <w:tr w:rsidR="00BC7968" w:rsidRPr="00C93C49" w14:paraId="3553EA1B" w14:textId="77777777" w:rsidTr="0016233B">
        <w:trPr>
          <w:trHeight w:val="215"/>
          <w:jc w:val="center"/>
        </w:trPr>
        <w:tc>
          <w:tcPr>
            <w:tcW w:w="749" w:type="dxa"/>
          </w:tcPr>
          <w:p w14:paraId="1470E3F5" w14:textId="77777777" w:rsidR="00BC7968" w:rsidRPr="00436CDB" w:rsidRDefault="00BC7968" w:rsidP="00C93C49">
            <w:pPr>
              <w:spacing w:line="20" w:lineRule="atLeast"/>
              <w:jc w:val="center"/>
              <w:rPr>
                <w:rFonts w:ascii="Arial" w:hAnsi="Arial" w:cs="Arial"/>
                <w:b/>
                <w:snapToGrid w:val="0"/>
                <w:sz w:val="16"/>
                <w:szCs w:val="16"/>
              </w:rPr>
            </w:pPr>
            <w:r w:rsidRPr="00436CDB">
              <w:rPr>
                <w:rFonts w:ascii="Arial" w:hAnsi="Arial" w:cs="Arial"/>
                <w:b/>
                <w:snapToGrid w:val="0"/>
                <w:sz w:val="16"/>
                <w:szCs w:val="16"/>
              </w:rPr>
              <w:t>2015</w:t>
            </w:r>
          </w:p>
        </w:tc>
        <w:tc>
          <w:tcPr>
            <w:tcW w:w="2526" w:type="dxa"/>
            <w:noWrap/>
            <w:hideMark/>
          </w:tcPr>
          <w:p w14:paraId="11A38D65" w14:textId="3310C412" w:rsidR="00BC7968" w:rsidRPr="00436CDB" w:rsidRDefault="00BC7968" w:rsidP="00C93C49">
            <w:pPr>
              <w:spacing w:line="20" w:lineRule="atLeast"/>
              <w:jc w:val="center"/>
              <w:rPr>
                <w:rFonts w:ascii="Arial" w:hAnsi="Arial" w:cs="Arial"/>
                <w:snapToGrid w:val="0"/>
                <w:sz w:val="16"/>
                <w:szCs w:val="16"/>
              </w:rPr>
            </w:pPr>
            <w:r w:rsidRPr="00436CDB">
              <w:rPr>
                <w:rFonts w:ascii="Arial" w:hAnsi="Arial" w:cs="Arial"/>
                <w:snapToGrid w:val="0"/>
                <w:sz w:val="16"/>
                <w:szCs w:val="16"/>
              </w:rPr>
              <w:t>$575,927 -</w:t>
            </w:r>
            <w:r>
              <w:rPr>
                <w:rFonts w:ascii="Arial" w:hAnsi="Arial" w:cs="Arial"/>
                <w:snapToGrid w:val="0"/>
                <w:sz w:val="16"/>
                <w:szCs w:val="16"/>
              </w:rPr>
              <w:t xml:space="preserve"> </w:t>
            </w:r>
            <w:r w:rsidRPr="00436CDB">
              <w:rPr>
                <w:rFonts w:ascii="Arial" w:hAnsi="Arial" w:cs="Arial"/>
                <w:snapToGrid w:val="0"/>
                <w:sz w:val="16"/>
                <w:szCs w:val="16"/>
              </w:rPr>
              <w:t>$1,410,375</w:t>
            </w:r>
          </w:p>
        </w:tc>
        <w:tc>
          <w:tcPr>
            <w:tcW w:w="2399" w:type="dxa"/>
            <w:noWrap/>
            <w:vAlign w:val="bottom"/>
            <w:hideMark/>
          </w:tcPr>
          <w:p w14:paraId="633CE1DC" w14:textId="5E55D757" w:rsidR="00BC7968" w:rsidRPr="00436CDB" w:rsidRDefault="00BC7968">
            <w:pPr>
              <w:spacing w:line="20" w:lineRule="atLeast"/>
              <w:jc w:val="center"/>
              <w:rPr>
                <w:rFonts w:ascii="Arial" w:hAnsi="Arial" w:cs="Arial"/>
                <w:snapToGrid w:val="0"/>
                <w:sz w:val="16"/>
                <w:szCs w:val="16"/>
              </w:rPr>
            </w:pPr>
            <w:r w:rsidRPr="00436CDB">
              <w:rPr>
                <w:rFonts w:ascii="Arial" w:hAnsi="Arial" w:cs="Arial"/>
                <w:snapToGrid w:val="0"/>
                <w:sz w:val="16"/>
                <w:szCs w:val="16"/>
              </w:rPr>
              <w:t>$239,773</w:t>
            </w:r>
          </w:p>
        </w:tc>
        <w:tc>
          <w:tcPr>
            <w:tcW w:w="2218" w:type="dxa"/>
            <w:tcBorders>
              <w:left w:val="nil"/>
            </w:tcBorders>
            <w:vAlign w:val="bottom"/>
          </w:tcPr>
          <w:p w14:paraId="03D59F7B" w14:textId="3C4868F4" w:rsidR="00BC7968" w:rsidRPr="00C93C49" w:rsidRDefault="00BC7968" w:rsidP="00C93C49">
            <w:pPr>
              <w:spacing w:line="20" w:lineRule="atLeast"/>
              <w:jc w:val="center"/>
              <w:rPr>
                <w:rFonts w:ascii="Arial" w:hAnsi="Arial" w:cs="Arial"/>
                <w:snapToGrid w:val="0"/>
              </w:rPr>
            </w:pPr>
            <w:r>
              <w:rPr>
                <w:rFonts w:ascii="Arial" w:hAnsi="Arial" w:cs="Arial"/>
                <w:snapToGrid w:val="0"/>
                <w:sz w:val="16"/>
                <w:szCs w:val="16"/>
              </w:rPr>
              <w:t xml:space="preserve">$815,700 - </w:t>
            </w:r>
            <w:r w:rsidRPr="00436CDB">
              <w:rPr>
                <w:rFonts w:ascii="Arial" w:hAnsi="Arial" w:cs="Arial"/>
                <w:snapToGrid w:val="0"/>
                <w:sz w:val="16"/>
                <w:szCs w:val="16"/>
              </w:rPr>
              <w:t>$1,650,148</w:t>
            </w:r>
          </w:p>
        </w:tc>
      </w:tr>
      <w:tr w:rsidR="00BC7968" w:rsidRPr="00C93C49" w14:paraId="73C2FCC5" w14:textId="77777777" w:rsidTr="0016233B">
        <w:trPr>
          <w:trHeight w:val="215"/>
          <w:jc w:val="center"/>
        </w:trPr>
        <w:tc>
          <w:tcPr>
            <w:tcW w:w="749" w:type="dxa"/>
          </w:tcPr>
          <w:p w14:paraId="6F48DF07" w14:textId="77777777" w:rsidR="00BC7968" w:rsidRPr="00436CDB" w:rsidRDefault="00BC7968" w:rsidP="00C93C49">
            <w:pPr>
              <w:spacing w:line="20" w:lineRule="atLeast"/>
              <w:jc w:val="center"/>
              <w:rPr>
                <w:rFonts w:ascii="Arial" w:hAnsi="Arial" w:cs="Arial"/>
                <w:b/>
                <w:snapToGrid w:val="0"/>
                <w:sz w:val="16"/>
                <w:szCs w:val="16"/>
              </w:rPr>
            </w:pPr>
            <w:r w:rsidRPr="00436CDB">
              <w:rPr>
                <w:rFonts w:ascii="Arial" w:hAnsi="Arial" w:cs="Arial"/>
                <w:b/>
                <w:snapToGrid w:val="0"/>
                <w:sz w:val="16"/>
                <w:szCs w:val="16"/>
              </w:rPr>
              <w:t>2016</w:t>
            </w:r>
          </w:p>
        </w:tc>
        <w:tc>
          <w:tcPr>
            <w:tcW w:w="2526" w:type="dxa"/>
            <w:noWrap/>
            <w:hideMark/>
          </w:tcPr>
          <w:p w14:paraId="12506ADD" w14:textId="53B357D1" w:rsidR="00BC7968" w:rsidRPr="00436CDB" w:rsidRDefault="00BC7968" w:rsidP="00C93C49">
            <w:pPr>
              <w:spacing w:line="20" w:lineRule="atLeast"/>
              <w:jc w:val="center"/>
              <w:rPr>
                <w:rFonts w:ascii="Arial" w:hAnsi="Arial" w:cs="Arial"/>
                <w:snapToGrid w:val="0"/>
                <w:sz w:val="16"/>
                <w:szCs w:val="16"/>
              </w:rPr>
            </w:pPr>
            <w:r w:rsidRPr="00436CDB">
              <w:rPr>
                <w:rFonts w:ascii="Arial" w:hAnsi="Arial" w:cs="Arial"/>
                <w:snapToGrid w:val="0"/>
                <w:sz w:val="16"/>
                <w:szCs w:val="16"/>
              </w:rPr>
              <w:t>$574,626 - $1,407,716</w:t>
            </w:r>
          </w:p>
        </w:tc>
        <w:tc>
          <w:tcPr>
            <w:tcW w:w="2399" w:type="dxa"/>
            <w:noWrap/>
            <w:vAlign w:val="bottom"/>
            <w:hideMark/>
          </w:tcPr>
          <w:p w14:paraId="1BD2E1AE" w14:textId="0674A55C" w:rsidR="00BC7968" w:rsidRPr="00436CDB" w:rsidRDefault="00BC7968">
            <w:pPr>
              <w:spacing w:line="20" w:lineRule="atLeast"/>
              <w:jc w:val="center"/>
              <w:rPr>
                <w:rFonts w:ascii="Arial" w:hAnsi="Arial" w:cs="Arial"/>
                <w:snapToGrid w:val="0"/>
                <w:sz w:val="16"/>
                <w:szCs w:val="16"/>
              </w:rPr>
            </w:pPr>
            <w:r w:rsidRPr="00436CDB">
              <w:rPr>
                <w:rFonts w:ascii="Arial" w:hAnsi="Arial" w:cs="Arial"/>
                <w:snapToGrid w:val="0"/>
                <w:sz w:val="16"/>
                <w:szCs w:val="16"/>
              </w:rPr>
              <w:t>$112,922</w:t>
            </w:r>
          </w:p>
        </w:tc>
        <w:tc>
          <w:tcPr>
            <w:tcW w:w="2218" w:type="dxa"/>
            <w:tcBorders>
              <w:left w:val="nil"/>
            </w:tcBorders>
            <w:vAlign w:val="bottom"/>
          </w:tcPr>
          <w:p w14:paraId="23B50D11" w14:textId="4871EF2E" w:rsidR="00BC7968" w:rsidRPr="00C93C49" w:rsidRDefault="00BC7968" w:rsidP="00C93C49">
            <w:pPr>
              <w:spacing w:line="20" w:lineRule="atLeast"/>
              <w:jc w:val="center"/>
              <w:rPr>
                <w:rFonts w:ascii="Arial" w:hAnsi="Arial" w:cs="Arial"/>
                <w:snapToGrid w:val="0"/>
              </w:rPr>
            </w:pPr>
            <w:r>
              <w:rPr>
                <w:rFonts w:ascii="Arial" w:hAnsi="Arial" w:cs="Arial"/>
                <w:snapToGrid w:val="0"/>
                <w:sz w:val="16"/>
                <w:szCs w:val="16"/>
              </w:rPr>
              <w:t xml:space="preserve">$687,547 - </w:t>
            </w:r>
            <w:r w:rsidRPr="00436CDB">
              <w:rPr>
                <w:rFonts w:ascii="Arial" w:hAnsi="Arial" w:cs="Arial"/>
                <w:snapToGrid w:val="0"/>
                <w:sz w:val="16"/>
                <w:szCs w:val="16"/>
              </w:rPr>
              <w:t>$1,520,638</w:t>
            </w:r>
          </w:p>
        </w:tc>
      </w:tr>
      <w:tr w:rsidR="00BC7968" w:rsidRPr="00C93C49" w14:paraId="7C1C0044" w14:textId="77777777" w:rsidTr="0016233B">
        <w:trPr>
          <w:trHeight w:val="215"/>
          <w:jc w:val="center"/>
        </w:trPr>
        <w:tc>
          <w:tcPr>
            <w:tcW w:w="749" w:type="dxa"/>
          </w:tcPr>
          <w:p w14:paraId="1A68093B" w14:textId="77777777" w:rsidR="00BC7968" w:rsidRPr="00436CDB" w:rsidRDefault="00BC7968" w:rsidP="00C93C49">
            <w:pPr>
              <w:spacing w:line="20" w:lineRule="atLeast"/>
              <w:jc w:val="center"/>
              <w:rPr>
                <w:rFonts w:ascii="Arial" w:hAnsi="Arial" w:cs="Arial"/>
                <w:b/>
                <w:snapToGrid w:val="0"/>
                <w:sz w:val="16"/>
                <w:szCs w:val="16"/>
              </w:rPr>
            </w:pPr>
            <w:r w:rsidRPr="00436CDB">
              <w:rPr>
                <w:rFonts w:ascii="Arial" w:hAnsi="Arial" w:cs="Arial"/>
                <w:b/>
                <w:snapToGrid w:val="0"/>
                <w:sz w:val="16"/>
                <w:szCs w:val="16"/>
              </w:rPr>
              <w:t>2017</w:t>
            </w:r>
          </w:p>
        </w:tc>
        <w:tc>
          <w:tcPr>
            <w:tcW w:w="2526" w:type="dxa"/>
            <w:noWrap/>
            <w:hideMark/>
          </w:tcPr>
          <w:p w14:paraId="664BA9E2" w14:textId="40F5DC49" w:rsidR="00BC7968" w:rsidRPr="00436CDB" w:rsidRDefault="00BC7968" w:rsidP="00C93C49">
            <w:pPr>
              <w:spacing w:line="20" w:lineRule="atLeast"/>
              <w:jc w:val="center"/>
              <w:rPr>
                <w:rFonts w:ascii="Arial" w:hAnsi="Arial" w:cs="Arial"/>
                <w:snapToGrid w:val="0"/>
                <w:sz w:val="16"/>
                <w:szCs w:val="16"/>
              </w:rPr>
            </w:pPr>
            <w:r w:rsidRPr="00436CDB">
              <w:rPr>
                <w:rFonts w:ascii="Arial" w:hAnsi="Arial" w:cs="Arial"/>
                <w:snapToGrid w:val="0"/>
                <w:sz w:val="16"/>
                <w:szCs w:val="16"/>
              </w:rPr>
              <w:t>$549,200 -</w:t>
            </w:r>
            <w:r>
              <w:rPr>
                <w:rFonts w:ascii="Arial" w:hAnsi="Arial" w:cs="Arial"/>
                <w:snapToGrid w:val="0"/>
                <w:sz w:val="16"/>
                <w:szCs w:val="16"/>
              </w:rPr>
              <w:t xml:space="preserve"> </w:t>
            </w:r>
            <w:r w:rsidRPr="00436CDB">
              <w:rPr>
                <w:rFonts w:ascii="Arial" w:hAnsi="Arial" w:cs="Arial"/>
                <w:snapToGrid w:val="0"/>
                <w:sz w:val="16"/>
                <w:szCs w:val="16"/>
              </w:rPr>
              <w:t>$1,344,812</w:t>
            </w:r>
          </w:p>
        </w:tc>
        <w:tc>
          <w:tcPr>
            <w:tcW w:w="2399" w:type="dxa"/>
            <w:noWrap/>
            <w:vAlign w:val="bottom"/>
            <w:hideMark/>
          </w:tcPr>
          <w:p w14:paraId="313D7BAB" w14:textId="562E0650" w:rsidR="00BC7968" w:rsidRPr="00436CDB" w:rsidRDefault="00BC7968">
            <w:pPr>
              <w:spacing w:line="20" w:lineRule="atLeast"/>
              <w:jc w:val="center"/>
              <w:rPr>
                <w:rFonts w:ascii="Arial" w:hAnsi="Arial" w:cs="Arial"/>
                <w:snapToGrid w:val="0"/>
                <w:sz w:val="16"/>
                <w:szCs w:val="16"/>
              </w:rPr>
            </w:pPr>
            <w:r w:rsidRPr="00436CDB">
              <w:rPr>
                <w:rFonts w:ascii="Arial" w:hAnsi="Arial" w:cs="Arial"/>
                <w:snapToGrid w:val="0"/>
                <w:sz w:val="16"/>
                <w:szCs w:val="16"/>
              </w:rPr>
              <w:t>$202,292</w:t>
            </w:r>
          </w:p>
        </w:tc>
        <w:tc>
          <w:tcPr>
            <w:tcW w:w="2218" w:type="dxa"/>
            <w:tcBorders>
              <w:left w:val="nil"/>
            </w:tcBorders>
            <w:vAlign w:val="bottom"/>
          </w:tcPr>
          <w:p w14:paraId="7EF44585" w14:textId="1ED9D2F5" w:rsidR="00BC7968" w:rsidRPr="00C93C49" w:rsidRDefault="00BC7968" w:rsidP="00C93C49">
            <w:pPr>
              <w:spacing w:line="20" w:lineRule="atLeast"/>
              <w:jc w:val="center"/>
              <w:rPr>
                <w:rFonts w:ascii="Arial" w:hAnsi="Arial" w:cs="Arial"/>
                <w:snapToGrid w:val="0"/>
              </w:rPr>
            </w:pPr>
            <w:r>
              <w:rPr>
                <w:rFonts w:ascii="Arial" w:hAnsi="Arial" w:cs="Arial"/>
                <w:snapToGrid w:val="0"/>
                <w:sz w:val="16"/>
                <w:szCs w:val="16"/>
              </w:rPr>
              <w:t xml:space="preserve">$751,493 - </w:t>
            </w:r>
            <w:r w:rsidRPr="00436CDB">
              <w:rPr>
                <w:rFonts w:ascii="Arial" w:hAnsi="Arial" w:cs="Arial"/>
                <w:snapToGrid w:val="0"/>
                <w:sz w:val="16"/>
                <w:szCs w:val="16"/>
              </w:rPr>
              <w:t>$1,547,104</w:t>
            </w:r>
          </w:p>
        </w:tc>
      </w:tr>
      <w:tr w:rsidR="00BC7968" w:rsidRPr="00C93C49" w14:paraId="083C8CFE" w14:textId="77777777" w:rsidTr="009526B8">
        <w:trPr>
          <w:trHeight w:val="215"/>
          <w:jc w:val="center"/>
        </w:trPr>
        <w:tc>
          <w:tcPr>
            <w:tcW w:w="749" w:type="dxa"/>
          </w:tcPr>
          <w:p w14:paraId="594321C5" w14:textId="77777777" w:rsidR="00C93C49" w:rsidRPr="00436CDB" w:rsidRDefault="00C93C49" w:rsidP="00C93C49">
            <w:pPr>
              <w:spacing w:line="20" w:lineRule="atLeast"/>
              <w:jc w:val="center"/>
              <w:rPr>
                <w:rFonts w:ascii="Arial" w:hAnsi="Arial" w:cs="Arial"/>
                <w:b/>
                <w:bCs/>
                <w:snapToGrid w:val="0"/>
                <w:sz w:val="16"/>
                <w:szCs w:val="16"/>
              </w:rPr>
            </w:pPr>
          </w:p>
        </w:tc>
        <w:tc>
          <w:tcPr>
            <w:tcW w:w="7143" w:type="dxa"/>
            <w:gridSpan w:val="3"/>
            <w:noWrap/>
            <w:hideMark/>
          </w:tcPr>
          <w:p w14:paraId="7F736026" w14:textId="77777777" w:rsidR="00C93C49" w:rsidRPr="00436CDB" w:rsidRDefault="00C93C49" w:rsidP="00C93C49">
            <w:pPr>
              <w:spacing w:line="20" w:lineRule="atLeast"/>
              <w:jc w:val="center"/>
              <w:rPr>
                <w:rFonts w:ascii="Arial" w:hAnsi="Arial" w:cs="Arial"/>
                <w:b/>
                <w:bCs/>
                <w:snapToGrid w:val="0"/>
                <w:sz w:val="16"/>
                <w:szCs w:val="16"/>
              </w:rPr>
            </w:pPr>
            <w:r w:rsidRPr="00436CDB">
              <w:rPr>
                <w:rFonts w:ascii="Arial" w:hAnsi="Arial" w:cs="Arial"/>
                <w:b/>
                <w:bCs/>
                <w:snapToGrid w:val="0"/>
                <w:sz w:val="16"/>
                <w:szCs w:val="16"/>
              </w:rPr>
              <w:t>Penelec</w:t>
            </w:r>
          </w:p>
        </w:tc>
      </w:tr>
      <w:tr w:rsidR="00BC7968" w:rsidRPr="00C93C49" w14:paraId="45FC8D45" w14:textId="77777777" w:rsidTr="0016233B">
        <w:trPr>
          <w:trHeight w:val="215"/>
          <w:jc w:val="center"/>
        </w:trPr>
        <w:tc>
          <w:tcPr>
            <w:tcW w:w="749" w:type="dxa"/>
          </w:tcPr>
          <w:p w14:paraId="15F99111" w14:textId="77777777" w:rsidR="00BC7968" w:rsidRPr="00436CDB" w:rsidRDefault="00BC7968" w:rsidP="00C93C49">
            <w:pPr>
              <w:spacing w:line="20" w:lineRule="atLeast"/>
              <w:jc w:val="center"/>
              <w:rPr>
                <w:rFonts w:ascii="Arial" w:hAnsi="Arial" w:cs="Arial"/>
                <w:b/>
                <w:snapToGrid w:val="0"/>
                <w:sz w:val="16"/>
                <w:szCs w:val="16"/>
              </w:rPr>
            </w:pPr>
            <w:r w:rsidRPr="00436CDB">
              <w:rPr>
                <w:rFonts w:ascii="Arial" w:hAnsi="Arial" w:cs="Arial"/>
                <w:b/>
                <w:snapToGrid w:val="0"/>
                <w:sz w:val="16"/>
                <w:szCs w:val="16"/>
              </w:rPr>
              <w:t>2014</w:t>
            </w:r>
          </w:p>
        </w:tc>
        <w:tc>
          <w:tcPr>
            <w:tcW w:w="2526" w:type="dxa"/>
            <w:noWrap/>
            <w:hideMark/>
          </w:tcPr>
          <w:p w14:paraId="641AA80D" w14:textId="64831D1F" w:rsidR="00BC7968" w:rsidRPr="00436CDB" w:rsidRDefault="00BC7968" w:rsidP="00C93C49">
            <w:pPr>
              <w:spacing w:line="20" w:lineRule="atLeast"/>
              <w:jc w:val="center"/>
              <w:rPr>
                <w:rFonts w:ascii="Arial" w:hAnsi="Arial" w:cs="Arial"/>
                <w:snapToGrid w:val="0"/>
                <w:sz w:val="16"/>
                <w:szCs w:val="16"/>
              </w:rPr>
            </w:pPr>
            <w:r w:rsidRPr="00436CDB">
              <w:rPr>
                <w:rFonts w:ascii="Arial" w:hAnsi="Arial" w:cs="Arial"/>
                <w:snapToGrid w:val="0"/>
                <w:sz w:val="16"/>
                <w:szCs w:val="16"/>
              </w:rPr>
              <w:t>$704,791 - $1,541,017</w:t>
            </w:r>
          </w:p>
        </w:tc>
        <w:tc>
          <w:tcPr>
            <w:tcW w:w="2399" w:type="dxa"/>
            <w:noWrap/>
            <w:vAlign w:val="bottom"/>
            <w:hideMark/>
          </w:tcPr>
          <w:p w14:paraId="45411620" w14:textId="7588A079" w:rsidR="00BC7968" w:rsidRPr="00436CDB" w:rsidRDefault="00BC7968" w:rsidP="00C93C49">
            <w:pPr>
              <w:spacing w:line="20" w:lineRule="atLeast"/>
              <w:jc w:val="center"/>
              <w:rPr>
                <w:rFonts w:ascii="Arial" w:hAnsi="Arial" w:cs="Arial"/>
                <w:snapToGrid w:val="0"/>
                <w:sz w:val="16"/>
                <w:szCs w:val="16"/>
              </w:rPr>
            </w:pPr>
            <w:r w:rsidRPr="00436CDB">
              <w:rPr>
                <w:rFonts w:ascii="Arial" w:hAnsi="Arial" w:cs="Arial"/>
                <w:snapToGrid w:val="0"/>
                <w:sz w:val="16"/>
                <w:szCs w:val="16"/>
              </w:rPr>
              <w:t>$192,527</w:t>
            </w:r>
          </w:p>
        </w:tc>
        <w:tc>
          <w:tcPr>
            <w:tcW w:w="2218" w:type="dxa"/>
            <w:tcBorders>
              <w:left w:val="nil"/>
            </w:tcBorders>
          </w:tcPr>
          <w:p w14:paraId="65DF6397" w14:textId="247224C4" w:rsidR="00BC7968" w:rsidRPr="00C93C49" w:rsidRDefault="00BC7968" w:rsidP="00C93C49">
            <w:pPr>
              <w:spacing w:line="20" w:lineRule="atLeast"/>
              <w:jc w:val="center"/>
              <w:rPr>
                <w:rFonts w:ascii="Arial" w:hAnsi="Arial" w:cs="Arial"/>
                <w:snapToGrid w:val="0"/>
              </w:rPr>
            </w:pPr>
            <w:r>
              <w:rPr>
                <w:rFonts w:ascii="Arial" w:hAnsi="Arial" w:cs="Arial"/>
                <w:snapToGrid w:val="0"/>
                <w:sz w:val="16"/>
                <w:szCs w:val="16"/>
              </w:rPr>
              <w:t xml:space="preserve">$897,319 - </w:t>
            </w:r>
            <w:r w:rsidRPr="00436CDB">
              <w:rPr>
                <w:rFonts w:ascii="Arial" w:hAnsi="Arial" w:cs="Arial"/>
                <w:snapToGrid w:val="0"/>
                <w:sz w:val="16"/>
                <w:szCs w:val="16"/>
              </w:rPr>
              <w:t>$1,733,544</w:t>
            </w:r>
          </w:p>
        </w:tc>
      </w:tr>
      <w:tr w:rsidR="00BC7968" w:rsidRPr="00C93C49" w14:paraId="0C28CAF9" w14:textId="77777777" w:rsidTr="0016233B">
        <w:trPr>
          <w:trHeight w:val="215"/>
          <w:jc w:val="center"/>
        </w:trPr>
        <w:tc>
          <w:tcPr>
            <w:tcW w:w="749" w:type="dxa"/>
          </w:tcPr>
          <w:p w14:paraId="04C45BBF" w14:textId="77777777" w:rsidR="00BC7968" w:rsidRPr="00436CDB" w:rsidRDefault="00BC7968" w:rsidP="00C93C49">
            <w:pPr>
              <w:spacing w:line="20" w:lineRule="atLeast"/>
              <w:jc w:val="center"/>
              <w:rPr>
                <w:rFonts w:ascii="Arial" w:hAnsi="Arial" w:cs="Arial"/>
                <w:b/>
                <w:snapToGrid w:val="0"/>
                <w:sz w:val="16"/>
                <w:szCs w:val="16"/>
              </w:rPr>
            </w:pPr>
            <w:r w:rsidRPr="00436CDB">
              <w:rPr>
                <w:rFonts w:ascii="Arial" w:hAnsi="Arial" w:cs="Arial"/>
                <w:b/>
                <w:snapToGrid w:val="0"/>
                <w:sz w:val="16"/>
                <w:szCs w:val="16"/>
              </w:rPr>
              <w:t>2015</w:t>
            </w:r>
          </w:p>
        </w:tc>
        <w:tc>
          <w:tcPr>
            <w:tcW w:w="2526" w:type="dxa"/>
            <w:noWrap/>
            <w:hideMark/>
          </w:tcPr>
          <w:p w14:paraId="3857CEB2" w14:textId="272491B0" w:rsidR="00BC7968" w:rsidRPr="00436CDB" w:rsidRDefault="00BC7968" w:rsidP="00C93C49">
            <w:pPr>
              <w:spacing w:line="20" w:lineRule="atLeast"/>
              <w:jc w:val="center"/>
              <w:rPr>
                <w:rFonts w:ascii="Arial" w:hAnsi="Arial" w:cs="Arial"/>
                <w:snapToGrid w:val="0"/>
                <w:sz w:val="16"/>
                <w:szCs w:val="16"/>
              </w:rPr>
            </w:pPr>
            <w:r w:rsidRPr="00436CDB">
              <w:rPr>
                <w:rFonts w:ascii="Arial" w:hAnsi="Arial" w:cs="Arial"/>
                <w:snapToGrid w:val="0"/>
                <w:sz w:val="16"/>
                <w:szCs w:val="16"/>
              </w:rPr>
              <w:t>$779,985 -</w:t>
            </w:r>
            <w:r>
              <w:rPr>
                <w:rFonts w:ascii="Arial" w:hAnsi="Arial" w:cs="Arial"/>
                <w:snapToGrid w:val="0"/>
                <w:sz w:val="16"/>
                <w:szCs w:val="16"/>
              </w:rPr>
              <w:t xml:space="preserve"> </w:t>
            </w:r>
            <w:r w:rsidRPr="00436CDB">
              <w:rPr>
                <w:rFonts w:ascii="Arial" w:hAnsi="Arial" w:cs="Arial"/>
                <w:snapToGrid w:val="0"/>
                <w:sz w:val="16"/>
                <w:szCs w:val="16"/>
              </w:rPr>
              <w:t>$1,756,197</w:t>
            </w:r>
          </w:p>
        </w:tc>
        <w:tc>
          <w:tcPr>
            <w:tcW w:w="2399" w:type="dxa"/>
            <w:noWrap/>
            <w:vAlign w:val="bottom"/>
            <w:hideMark/>
          </w:tcPr>
          <w:p w14:paraId="178C1C5E" w14:textId="61912512" w:rsidR="00BC7968" w:rsidRPr="00436CDB" w:rsidRDefault="00BC7968" w:rsidP="00C93C49">
            <w:pPr>
              <w:spacing w:line="20" w:lineRule="atLeast"/>
              <w:jc w:val="center"/>
              <w:rPr>
                <w:rFonts w:ascii="Arial" w:hAnsi="Arial" w:cs="Arial"/>
                <w:snapToGrid w:val="0"/>
                <w:sz w:val="16"/>
                <w:szCs w:val="16"/>
              </w:rPr>
            </w:pPr>
            <w:r w:rsidRPr="00436CDB">
              <w:rPr>
                <w:rFonts w:ascii="Arial" w:hAnsi="Arial" w:cs="Arial"/>
                <w:snapToGrid w:val="0"/>
                <w:sz w:val="16"/>
                <w:szCs w:val="16"/>
              </w:rPr>
              <w:t>$382,964</w:t>
            </w:r>
          </w:p>
        </w:tc>
        <w:tc>
          <w:tcPr>
            <w:tcW w:w="2218" w:type="dxa"/>
            <w:tcBorders>
              <w:left w:val="nil"/>
            </w:tcBorders>
          </w:tcPr>
          <w:p w14:paraId="404402B6" w14:textId="132AFF4C" w:rsidR="00BC7968" w:rsidRPr="00C93C49" w:rsidRDefault="00BC7968" w:rsidP="00C93C49">
            <w:pPr>
              <w:spacing w:line="20" w:lineRule="atLeast"/>
              <w:jc w:val="center"/>
              <w:rPr>
                <w:rFonts w:ascii="Arial" w:hAnsi="Arial" w:cs="Arial"/>
                <w:snapToGrid w:val="0"/>
              </w:rPr>
            </w:pPr>
            <w:r>
              <w:rPr>
                <w:rFonts w:ascii="Arial" w:hAnsi="Arial" w:cs="Arial"/>
                <w:snapToGrid w:val="0"/>
                <w:sz w:val="16"/>
                <w:szCs w:val="16"/>
              </w:rPr>
              <w:t xml:space="preserve">$1,162,950 - </w:t>
            </w:r>
            <w:r w:rsidRPr="00436CDB">
              <w:rPr>
                <w:rFonts w:ascii="Arial" w:hAnsi="Arial" w:cs="Arial"/>
                <w:snapToGrid w:val="0"/>
                <w:sz w:val="16"/>
                <w:szCs w:val="16"/>
              </w:rPr>
              <w:t>$2,139,161</w:t>
            </w:r>
          </w:p>
        </w:tc>
      </w:tr>
      <w:tr w:rsidR="00BC7968" w:rsidRPr="00C93C49" w14:paraId="75F3D427" w14:textId="77777777" w:rsidTr="0016233B">
        <w:trPr>
          <w:trHeight w:val="215"/>
          <w:jc w:val="center"/>
        </w:trPr>
        <w:tc>
          <w:tcPr>
            <w:tcW w:w="749" w:type="dxa"/>
          </w:tcPr>
          <w:p w14:paraId="13FF778B" w14:textId="77777777" w:rsidR="00BC7968" w:rsidRPr="00436CDB" w:rsidRDefault="00BC7968" w:rsidP="00C93C49">
            <w:pPr>
              <w:spacing w:line="20" w:lineRule="atLeast"/>
              <w:jc w:val="center"/>
              <w:rPr>
                <w:rFonts w:ascii="Arial" w:hAnsi="Arial" w:cs="Arial"/>
                <w:b/>
                <w:snapToGrid w:val="0"/>
                <w:sz w:val="16"/>
                <w:szCs w:val="16"/>
              </w:rPr>
            </w:pPr>
            <w:r w:rsidRPr="00436CDB">
              <w:rPr>
                <w:rFonts w:ascii="Arial" w:hAnsi="Arial" w:cs="Arial"/>
                <w:b/>
                <w:snapToGrid w:val="0"/>
                <w:sz w:val="16"/>
                <w:szCs w:val="16"/>
              </w:rPr>
              <w:t>2016</w:t>
            </w:r>
          </w:p>
        </w:tc>
        <w:tc>
          <w:tcPr>
            <w:tcW w:w="2526" w:type="dxa"/>
            <w:noWrap/>
            <w:hideMark/>
          </w:tcPr>
          <w:p w14:paraId="0A913CD6" w14:textId="3B0E1ABD" w:rsidR="00BC7968" w:rsidRPr="00436CDB" w:rsidRDefault="00BC7968" w:rsidP="00C93C49">
            <w:pPr>
              <w:spacing w:line="20" w:lineRule="atLeast"/>
              <w:jc w:val="center"/>
              <w:rPr>
                <w:rFonts w:ascii="Arial" w:hAnsi="Arial" w:cs="Arial"/>
                <w:snapToGrid w:val="0"/>
                <w:sz w:val="16"/>
                <w:szCs w:val="16"/>
              </w:rPr>
            </w:pPr>
            <w:r w:rsidRPr="00436CDB">
              <w:rPr>
                <w:rFonts w:ascii="Arial" w:hAnsi="Arial" w:cs="Arial"/>
                <w:snapToGrid w:val="0"/>
                <w:sz w:val="16"/>
                <w:szCs w:val="16"/>
              </w:rPr>
              <w:t>$747,599 -</w:t>
            </w:r>
            <w:r>
              <w:rPr>
                <w:rFonts w:ascii="Arial" w:hAnsi="Arial" w:cs="Arial"/>
                <w:snapToGrid w:val="0"/>
                <w:sz w:val="16"/>
                <w:szCs w:val="16"/>
              </w:rPr>
              <w:t xml:space="preserve"> </w:t>
            </w:r>
            <w:r w:rsidRPr="00436CDB">
              <w:rPr>
                <w:rFonts w:ascii="Arial" w:hAnsi="Arial" w:cs="Arial"/>
                <w:snapToGrid w:val="0"/>
                <w:sz w:val="16"/>
                <w:szCs w:val="16"/>
              </w:rPr>
              <w:t>$1,686,444</w:t>
            </w:r>
          </w:p>
        </w:tc>
        <w:tc>
          <w:tcPr>
            <w:tcW w:w="2399" w:type="dxa"/>
            <w:noWrap/>
            <w:vAlign w:val="bottom"/>
            <w:hideMark/>
          </w:tcPr>
          <w:p w14:paraId="68DF6388" w14:textId="5C2F90C2" w:rsidR="00BC7968" w:rsidRPr="00436CDB" w:rsidRDefault="00BC7968" w:rsidP="00C93C49">
            <w:pPr>
              <w:spacing w:line="20" w:lineRule="atLeast"/>
              <w:jc w:val="center"/>
              <w:rPr>
                <w:rFonts w:ascii="Arial" w:hAnsi="Arial" w:cs="Arial"/>
                <w:snapToGrid w:val="0"/>
                <w:sz w:val="16"/>
                <w:szCs w:val="16"/>
              </w:rPr>
            </w:pPr>
            <w:r w:rsidRPr="00436CDB">
              <w:rPr>
                <w:rFonts w:ascii="Arial" w:hAnsi="Arial" w:cs="Arial"/>
                <w:snapToGrid w:val="0"/>
                <w:sz w:val="16"/>
                <w:szCs w:val="16"/>
              </w:rPr>
              <w:t>$236,852</w:t>
            </w:r>
          </w:p>
        </w:tc>
        <w:tc>
          <w:tcPr>
            <w:tcW w:w="2218" w:type="dxa"/>
            <w:tcBorders>
              <w:left w:val="nil"/>
            </w:tcBorders>
          </w:tcPr>
          <w:p w14:paraId="07CD9C5A" w14:textId="3CFBD200" w:rsidR="00BC7968" w:rsidRPr="00C93C49" w:rsidRDefault="00BC7968" w:rsidP="00C93C49">
            <w:pPr>
              <w:spacing w:line="20" w:lineRule="atLeast"/>
              <w:jc w:val="center"/>
              <w:rPr>
                <w:rFonts w:ascii="Arial" w:hAnsi="Arial" w:cs="Arial"/>
                <w:snapToGrid w:val="0"/>
              </w:rPr>
            </w:pPr>
            <w:r>
              <w:rPr>
                <w:rFonts w:ascii="Arial" w:hAnsi="Arial" w:cs="Arial"/>
                <w:snapToGrid w:val="0"/>
                <w:sz w:val="16"/>
                <w:szCs w:val="16"/>
              </w:rPr>
              <w:t xml:space="preserve">$984,451 - </w:t>
            </w:r>
            <w:r w:rsidRPr="00436CDB">
              <w:rPr>
                <w:rFonts w:ascii="Arial" w:hAnsi="Arial" w:cs="Arial"/>
                <w:snapToGrid w:val="0"/>
                <w:sz w:val="16"/>
                <w:szCs w:val="16"/>
              </w:rPr>
              <w:t>$1,923,296</w:t>
            </w:r>
          </w:p>
        </w:tc>
      </w:tr>
      <w:tr w:rsidR="00BC7968" w:rsidRPr="00C93C49" w14:paraId="09BA0FE3" w14:textId="77777777" w:rsidTr="0016233B">
        <w:trPr>
          <w:trHeight w:val="215"/>
          <w:jc w:val="center"/>
        </w:trPr>
        <w:tc>
          <w:tcPr>
            <w:tcW w:w="749" w:type="dxa"/>
          </w:tcPr>
          <w:p w14:paraId="261EC37F" w14:textId="77777777" w:rsidR="00BC7968" w:rsidRPr="00436CDB" w:rsidRDefault="00BC7968" w:rsidP="00C93C49">
            <w:pPr>
              <w:spacing w:line="20" w:lineRule="atLeast"/>
              <w:jc w:val="center"/>
              <w:rPr>
                <w:rFonts w:ascii="Arial" w:hAnsi="Arial" w:cs="Arial"/>
                <w:b/>
                <w:snapToGrid w:val="0"/>
                <w:sz w:val="16"/>
                <w:szCs w:val="16"/>
              </w:rPr>
            </w:pPr>
            <w:r w:rsidRPr="00436CDB">
              <w:rPr>
                <w:rFonts w:ascii="Arial" w:hAnsi="Arial" w:cs="Arial"/>
                <w:b/>
                <w:snapToGrid w:val="0"/>
                <w:sz w:val="16"/>
                <w:szCs w:val="16"/>
              </w:rPr>
              <w:t>2017</w:t>
            </w:r>
          </w:p>
        </w:tc>
        <w:tc>
          <w:tcPr>
            <w:tcW w:w="2526" w:type="dxa"/>
            <w:noWrap/>
            <w:hideMark/>
          </w:tcPr>
          <w:p w14:paraId="4F5442A2" w14:textId="4E37503D" w:rsidR="00BC7968" w:rsidRPr="00436CDB" w:rsidRDefault="00BC7968" w:rsidP="00C93C49">
            <w:pPr>
              <w:spacing w:line="20" w:lineRule="atLeast"/>
              <w:jc w:val="center"/>
              <w:rPr>
                <w:rFonts w:ascii="Arial" w:hAnsi="Arial" w:cs="Arial"/>
                <w:snapToGrid w:val="0"/>
                <w:sz w:val="16"/>
                <w:szCs w:val="16"/>
              </w:rPr>
            </w:pPr>
            <w:r w:rsidRPr="00436CDB">
              <w:rPr>
                <w:rFonts w:ascii="Arial" w:hAnsi="Arial" w:cs="Arial"/>
                <w:snapToGrid w:val="0"/>
                <w:sz w:val="16"/>
                <w:szCs w:val="16"/>
              </w:rPr>
              <w:t>$627,978 -</w:t>
            </w:r>
            <w:r>
              <w:rPr>
                <w:rFonts w:ascii="Arial" w:hAnsi="Arial" w:cs="Arial"/>
                <w:snapToGrid w:val="0"/>
                <w:sz w:val="16"/>
                <w:szCs w:val="16"/>
              </w:rPr>
              <w:t xml:space="preserve"> </w:t>
            </w:r>
            <w:r w:rsidRPr="00436CDB">
              <w:rPr>
                <w:rFonts w:ascii="Arial" w:hAnsi="Arial" w:cs="Arial"/>
                <w:snapToGrid w:val="0"/>
                <w:sz w:val="16"/>
                <w:szCs w:val="16"/>
              </w:rPr>
              <w:t>$1,487,339</w:t>
            </w:r>
          </w:p>
        </w:tc>
        <w:tc>
          <w:tcPr>
            <w:tcW w:w="2399" w:type="dxa"/>
            <w:noWrap/>
            <w:vAlign w:val="bottom"/>
            <w:hideMark/>
          </w:tcPr>
          <w:p w14:paraId="384572F4" w14:textId="2C4EE1CC" w:rsidR="00BC7968" w:rsidRPr="00436CDB" w:rsidRDefault="00BC7968" w:rsidP="00C93C49">
            <w:pPr>
              <w:spacing w:line="20" w:lineRule="atLeast"/>
              <w:jc w:val="center"/>
              <w:rPr>
                <w:rFonts w:ascii="Arial" w:hAnsi="Arial" w:cs="Arial"/>
                <w:snapToGrid w:val="0"/>
                <w:sz w:val="16"/>
                <w:szCs w:val="16"/>
              </w:rPr>
            </w:pPr>
            <w:r w:rsidRPr="00436CDB">
              <w:rPr>
                <w:rFonts w:ascii="Arial" w:hAnsi="Arial" w:cs="Arial"/>
                <w:snapToGrid w:val="0"/>
                <w:sz w:val="16"/>
                <w:szCs w:val="16"/>
              </w:rPr>
              <w:t>$161,078</w:t>
            </w:r>
          </w:p>
        </w:tc>
        <w:tc>
          <w:tcPr>
            <w:tcW w:w="2218" w:type="dxa"/>
            <w:tcBorders>
              <w:left w:val="nil"/>
            </w:tcBorders>
          </w:tcPr>
          <w:p w14:paraId="52BBCD26" w14:textId="2C1F51CF" w:rsidR="00BC7968" w:rsidRPr="00C93C49" w:rsidRDefault="00BC7968" w:rsidP="00C93C49">
            <w:pPr>
              <w:spacing w:line="20" w:lineRule="atLeast"/>
              <w:jc w:val="center"/>
              <w:rPr>
                <w:rFonts w:ascii="Arial" w:hAnsi="Arial" w:cs="Arial"/>
                <w:snapToGrid w:val="0"/>
              </w:rPr>
            </w:pPr>
            <w:r>
              <w:rPr>
                <w:rFonts w:ascii="Arial" w:hAnsi="Arial" w:cs="Arial"/>
                <w:snapToGrid w:val="0"/>
                <w:sz w:val="16"/>
                <w:szCs w:val="16"/>
              </w:rPr>
              <w:t xml:space="preserve">$789,056 - </w:t>
            </w:r>
            <w:r w:rsidRPr="00436CDB">
              <w:rPr>
                <w:rFonts w:ascii="Arial" w:hAnsi="Arial" w:cs="Arial"/>
                <w:snapToGrid w:val="0"/>
                <w:sz w:val="16"/>
                <w:szCs w:val="16"/>
              </w:rPr>
              <w:t>$1,648,417</w:t>
            </w:r>
          </w:p>
        </w:tc>
      </w:tr>
      <w:tr w:rsidR="00BC7968" w:rsidRPr="00C93C49" w14:paraId="5926393D" w14:textId="77777777" w:rsidTr="009526B8">
        <w:trPr>
          <w:trHeight w:val="215"/>
          <w:jc w:val="center"/>
        </w:trPr>
        <w:tc>
          <w:tcPr>
            <w:tcW w:w="749" w:type="dxa"/>
          </w:tcPr>
          <w:p w14:paraId="42002C37" w14:textId="77777777" w:rsidR="00C93C49" w:rsidRPr="00436CDB" w:rsidRDefault="00C93C49" w:rsidP="00C93C49">
            <w:pPr>
              <w:spacing w:line="20" w:lineRule="atLeast"/>
              <w:jc w:val="center"/>
              <w:rPr>
                <w:rFonts w:ascii="Arial" w:hAnsi="Arial" w:cs="Arial"/>
                <w:b/>
                <w:bCs/>
                <w:snapToGrid w:val="0"/>
                <w:sz w:val="16"/>
                <w:szCs w:val="16"/>
              </w:rPr>
            </w:pPr>
          </w:p>
        </w:tc>
        <w:tc>
          <w:tcPr>
            <w:tcW w:w="7143" w:type="dxa"/>
            <w:gridSpan w:val="3"/>
            <w:noWrap/>
            <w:hideMark/>
          </w:tcPr>
          <w:p w14:paraId="1BAD0F07" w14:textId="77777777" w:rsidR="00C93C49" w:rsidRPr="00436CDB" w:rsidRDefault="00C93C49" w:rsidP="00C93C49">
            <w:pPr>
              <w:spacing w:line="20" w:lineRule="atLeast"/>
              <w:jc w:val="center"/>
              <w:rPr>
                <w:rFonts w:ascii="Arial" w:hAnsi="Arial" w:cs="Arial"/>
                <w:b/>
                <w:bCs/>
                <w:snapToGrid w:val="0"/>
                <w:sz w:val="16"/>
                <w:szCs w:val="16"/>
              </w:rPr>
            </w:pPr>
            <w:r w:rsidRPr="00436CDB">
              <w:rPr>
                <w:rFonts w:ascii="Arial" w:hAnsi="Arial" w:cs="Arial"/>
                <w:b/>
                <w:bCs/>
                <w:snapToGrid w:val="0"/>
                <w:sz w:val="16"/>
                <w:szCs w:val="16"/>
              </w:rPr>
              <w:t>Penn Power</w:t>
            </w:r>
          </w:p>
        </w:tc>
      </w:tr>
      <w:tr w:rsidR="00BC7968" w:rsidRPr="00C93C49" w14:paraId="7E996B27" w14:textId="77777777" w:rsidTr="0016233B">
        <w:trPr>
          <w:trHeight w:val="215"/>
          <w:jc w:val="center"/>
        </w:trPr>
        <w:tc>
          <w:tcPr>
            <w:tcW w:w="749" w:type="dxa"/>
          </w:tcPr>
          <w:p w14:paraId="2A6EADC1" w14:textId="77777777" w:rsidR="00BC7968" w:rsidRPr="00436CDB" w:rsidRDefault="00BC7968" w:rsidP="00C93C49">
            <w:pPr>
              <w:spacing w:line="20" w:lineRule="atLeast"/>
              <w:jc w:val="center"/>
              <w:rPr>
                <w:rFonts w:ascii="Arial" w:hAnsi="Arial" w:cs="Arial"/>
                <w:b/>
                <w:snapToGrid w:val="0"/>
                <w:sz w:val="16"/>
                <w:szCs w:val="16"/>
              </w:rPr>
            </w:pPr>
            <w:r w:rsidRPr="00436CDB">
              <w:rPr>
                <w:rFonts w:ascii="Arial" w:hAnsi="Arial" w:cs="Arial"/>
                <w:b/>
                <w:snapToGrid w:val="0"/>
                <w:sz w:val="16"/>
                <w:szCs w:val="16"/>
              </w:rPr>
              <w:t>2014</w:t>
            </w:r>
          </w:p>
        </w:tc>
        <w:tc>
          <w:tcPr>
            <w:tcW w:w="2526" w:type="dxa"/>
            <w:noWrap/>
            <w:hideMark/>
          </w:tcPr>
          <w:p w14:paraId="46A52387" w14:textId="1434F212" w:rsidR="00BC7968" w:rsidRPr="00436CDB" w:rsidRDefault="00BC7968" w:rsidP="00C93C49">
            <w:pPr>
              <w:spacing w:line="20" w:lineRule="atLeast"/>
              <w:jc w:val="center"/>
              <w:rPr>
                <w:rFonts w:ascii="Arial" w:hAnsi="Arial" w:cs="Arial"/>
                <w:snapToGrid w:val="0"/>
                <w:sz w:val="16"/>
                <w:szCs w:val="16"/>
              </w:rPr>
            </w:pPr>
            <w:r w:rsidRPr="00436CDB">
              <w:rPr>
                <w:rFonts w:ascii="Arial" w:hAnsi="Arial" w:cs="Arial"/>
                <w:snapToGrid w:val="0"/>
                <w:sz w:val="16"/>
                <w:szCs w:val="16"/>
              </w:rPr>
              <w:t>$90,279 - $205,999</w:t>
            </w:r>
          </w:p>
        </w:tc>
        <w:tc>
          <w:tcPr>
            <w:tcW w:w="2399" w:type="dxa"/>
            <w:noWrap/>
            <w:hideMark/>
          </w:tcPr>
          <w:p w14:paraId="5EC16DBD" w14:textId="5C9BF07C" w:rsidR="00BC7968" w:rsidRPr="00436CDB" w:rsidRDefault="00BC7968" w:rsidP="00C93C49">
            <w:pPr>
              <w:spacing w:line="20" w:lineRule="atLeast"/>
              <w:jc w:val="center"/>
              <w:rPr>
                <w:rFonts w:ascii="Arial" w:hAnsi="Arial" w:cs="Arial"/>
                <w:snapToGrid w:val="0"/>
                <w:sz w:val="16"/>
                <w:szCs w:val="16"/>
              </w:rPr>
            </w:pPr>
            <w:r w:rsidRPr="00436CDB">
              <w:rPr>
                <w:rFonts w:ascii="Arial" w:hAnsi="Arial" w:cs="Arial"/>
                <w:snapToGrid w:val="0"/>
                <w:sz w:val="16"/>
                <w:szCs w:val="16"/>
              </w:rPr>
              <w:t>$22,611</w:t>
            </w:r>
          </w:p>
        </w:tc>
        <w:tc>
          <w:tcPr>
            <w:tcW w:w="2218" w:type="dxa"/>
            <w:tcBorders>
              <w:left w:val="nil"/>
            </w:tcBorders>
          </w:tcPr>
          <w:p w14:paraId="1CB248A4" w14:textId="186FEEAF" w:rsidR="00BC7968" w:rsidRPr="00C93C49" w:rsidRDefault="00BC7968" w:rsidP="00C93C49">
            <w:pPr>
              <w:spacing w:line="20" w:lineRule="atLeast"/>
              <w:jc w:val="center"/>
              <w:rPr>
                <w:rFonts w:ascii="Arial" w:hAnsi="Arial" w:cs="Arial"/>
                <w:snapToGrid w:val="0"/>
              </w:rPr>
            </w:pPr>
            <w:r>
              <w:rPr>
                <w:rFonts w:ascii="Arial" w:hAnsi="Arial" w:cs="Arial"/>
                <w:snapToGrid w:val="0"/>
                <w:sz w:val="16"/>
                <w:szCs w:val="16"/>
              </w:rPr>
              <w:t xml:space="preserve">$112,890 - </w:t>
            </w:r>
            <w:r w:rsidRPr="00436CDB">
              <w:rPr>
                <w:rFonts w:ascii="Arial" w:hAnsi="Arial" w:cs="Arial"/>
                <w:snapToGrid w:val="0"/>
                <w:sz w:val="16"/>
                <w:szCs w:val="16"/>
              </w:rPr>
              <w:t>$228,610</w:t>
            </w:r>
          </w:p>
        </w:tc>
      </w:tr>
      <w:tr w:rsidR="00BC7968" w:rsidRPr="00C93C49" w14:paraId="53663F0D" w14:textId="77777777" w:rsidTr="0016233B">
        <w:trPr>
          <w:trHeight w:val="215"/>
          <w:jc w:val="center"/>
        </w:trPr>
        <w:tc>
          <w:tcPr>
            <w:tcW w:w="749" w:type="dxa"/>
          </w:tcPr>
          <w:p w14:paraId="5EB0C47B" w14:textId="77777777" w:rsidR="00BC7968" w:rsidRPr="00436CDB" w:rsidRDefault="00BC7968" w:rsidP="00C93C49">
            <w:pPr>
              <w:spacing w:line="20" w:lineRule="atLeast"/>
              <w:jc w:val="center"/>
              <w:rPr>
                <w:rFonts w:ascii="Arial" w:hAnsi="Arial" w:cs="Arial"/>
                <w:b/>
                <w:snapToGrid w:val="0"/>
                <w:sz w:val="16"/>
                <w:szCs w:val="16"/>
              </w:rPr>
            </w:pPr>
            <w:r w:rsidRPr="00436CDB">
              <w:rPr>
                <w:rFonts w:ascii="Arial" w:hAnsi="Arial" w:cs="Arial"/>
                <w:b/>
                <w:snapToGrid w:val="0"/>
                <w:sz w:val="16"/>
                <w:szCs w:val="16"/>
              </w:rPr>
              <w:t>2015</w:t>
            </w:r>
          </w:p>
        </w:tc>
        <w:tc>
          <w:tcPr>
            <w:tcW w:w="2526" w:type="dxa"/>
            <w:noWrap/>
            <w:hideMark/>
          </w:tcPr>
          <w:p w14:paraId="32FECC12" w14:textId="44444F22" w:rsidR="00BC7968" w:rsidRPr="00436CDB" w:rsidRDefault="00BC7968" w:rsidP="00C93C49">
            <w:pPr>
              <w:spacing w:line="20" w:lineRule="atLeast"/>
              <w:jc w:val="center"/>
              <w:rPr>
                <w:rFonts w:ascii="Arial" w:hAnsi="Arial" w:cs="Arial"/>
                <w:snapToGrid w:val="0"/>
                <w:sz w:val="16"/>
                <w:szCs w:val="16"/>
              </w:rPr>
            </w:pPr>
            <w:r w:rsidRPr="00436CDB">
              <w:rPr>
                <w:rFonts w:ascii="Arial" w:hAnsi="Arial" w:cs="Arial"/>
                <w:snapToGrid w:val="0"/>
                <w:sz w:val="16"/>
                <w:szCs w:val="16"/>
              </w:rPr>
              <w:t>$121,665 -</w:t>
            </w:r>
            <w:r>
              <w:rPr>
                <w:rFonts w:ascii="Arial" w:hAnsi="Arial" w:cs="Arial"/>
                <w:snapToGrid w:val="0"/>
                <w:sz w:val="16"/>
                <w:szCs w:val="16"/>
              </w:rPr>
              <w:t xml:space="preserve"> </w:t>
            </w:r>
            <w:r w:rsidRPr="00436CDB">
              <w:rPr>
                <w:rFonts w:ascii="Arial" w:hAnsi="Arial" w:cs="Arial"/>
                <w:snapToGrid w:val="0"/>
                <w:sz w:val="16"/>
                <w:szCs w:val="16"/>
              </w:rPr>
              <w:t>$279,542</w:t>
            </w:r>
          </w:p>
        </w:tc>
        <w:tc>
          <w:tcPr>
            <w:tcW w:w="2399" w:type="dxa"/>
            <w:noWrap/>
            <w:hideMark/>
          </w:tcPr>
          <w:p w14:paraId="1A4D163D" w14:textId="6B5B1B10" w:rsidR="00BC7968" w:rsidRPr="00436CDB" w:rsidRDefault="00BC7968" w:rsidP="00C93C49">
            <w:pPr>
              <w:spacing w:line="20" w:lineRule="atLeast"/>
              <w:jc w:val="center"/>
              <w:rPr>
                <w:rFonts w:ascii="Arial" w:hAnsi="Arial" w:cs="Arial"/>
                <w:snapToGrid w:val="0"/>
                <w:sz w:val="16"/>
                <w:szCs w:val="16"/>
              </w:rPr>
            </w:pPr>
            <w:r w:rsidRPr="00436CDB">
              <w:rPr>
                <w:rFonts w:ascii="Arial" w:hAnsi="Arial" w:cs="Arial"/>
                <w:snapToGrid w:val="0"/>
                <w:sz w:val="16"/>
                <w:szCs w:val="16"/>
              </w:rPr>
              <w:t>$39,744</w:t>
            </w:r>
          </w:p>
        </w:tc>
        <w:tc>
          <w:tcPr>
            <w:tcW w:w="2218" w:type="dxa"/>
            <w:tcBorders>
              <w:left w:val="nil"/>
            </w:tcBorders>
          </w:tcPr>
          <w:p w14:paraId="2C69015E" w14:textId="1E38F08B" w:rsidR="00BC7968" w:rsidRPr="00C93C49" w:rsidRDefault="00BC7968" w:rsidP="00C93C49">
            <w:pPr>
              <w:spacing w:line="20" w:lineRule="atLeast"/>
              <w:jc w:val="center"/>
              <w:rPr>
                <w:rFonts w:ascii="Arial" w:hAnsi="Arial" w:cs="Arial"/>
                <w:snapToGrid w:val="0"/>
              </w:rPr>
            </w:pPr>
            <w:r>
              <w:rPr>
                <w:rFonts w:ascii="Arial" w:hAnsi="Arial" w:cs="Arial"/>
                <w:snapToGrid w:val="0"/>
                <w:sz w:val="16"/>
                <w:szCs w:val="16"/>
              </w:rPr>
              <w:t xml:space="preserve">$161,409 - </w:t>
            </w:r>
            <w:r w:rsidRPr="00436CDB">
              <w:rPr>
                <w:rFonts w:ascii="Arial" w:hAnsi="Arial" w:cs="Arial"/>
                <w:snapToGrid w:val="0"/>
                <w:sz w:val="16"/>
                <w:szCs w:val="16"/>
              </w:rPr>
              <w:t>$319,286</w:t>
            </w:r>
          </w:p>
        </w:tc>
      </w:tr>
      <w:tr w:rsidR="00BC7968" w:rsidRPr="00C93C49" w14:paraId="65CCB124" w14:textId="77777777" w:rsidTr="0016233B">
        <w:trPr>
          <w:trHeight w:val="215"/>
          <w:jc w:val="center"/>
        </w:trPr>
        <w:tc>
          <w:tcPr>
            <w:tcW w:w="749" w:type="dxa"/>
          </w:tcPr>
          <w:p w14:paraId="148DAFA4" w14:textId="77777777" w:rsidR="00BC7968" w:rsidRPr="00436CDB" w:rsidRDefault="00BC7968" w:rsidP="00C93C49">
            <w:pPr>
              <w:spacing w:line="20" w:lineRule="atLeast"/>
              <w:jc w:val="center"/>
              <w:rPr>
                <w:rFonts w:ascii="Arial" w:hAnsi="Arial" w:cs="Arial"/>
                <w:b/>
                <w:snapToGrid w:val="0"/>
                <w:sz w:val="16"/>
                <w:szCs w:val="16"/>
              </w:rPr>
            </w:pPr>
            <w:r w:rsidRPr="00436CDB">
              <w:rPr>
                <w:rFonts w:ascii="Arial" w:hAnsi="Arial" w:cs="Arial"/>
                <w:b/>
                <w:snapToGrid w:val="0"/>
                <w:sz w:val="16"/>
                <w:szCs w:val="16"/>
              </w:rPr>
              <w:t>2016</w:t>
            </w:r>
          </w:p>
        </w:tc>
        <w:tc>
          <w:tcPr>
            <w:tcW w:w="2526" w:type="dxa"/>
            <w:noWrap/>
            <w:hideMark/>
          </w:tcPr>
          <w:p w14:paraId="4E671ED4" w14:textId="20C1C236" w:rsidR="00BC7968" w:rsidRPr="00436CDB" w:rsidRDefault="00BC7968" w:rsidP="00C93C49">
            <w:pPr>
              <w:spacing w:line="20" w:lineRule="atLeast"/>
              <w:jc w:val="center"/>
              <w:rPr>
                <w:rFonts w:ascii="Arial" w:hAnsi="Arial" w:cs="Arial"/>
                <w:snapToGrid w:val="0"/>
                <w:sz w:val="16"/>
                <w:szCs w:val="16"/>
              </w:rPr>
            </w:pPr>
            <w:r w:rsidRPr="00436CDB">
              <w:rPr>
                <w:rFonts w:ascii="Arial" w:hAnsi="Arial" w:cs="Arial"/>
                <w:snapToGrid w:val="0"/>
                <w:sz w:val="16"/>
                <w:szCs w:val="16"/>
              </w:rPr>
              <w:t>$138,091 -</w:t>
            </w:r>
            <w:r>
              <w:rPr>
                <w:rFonts w:ascii="Arial" w:hAnsi="Arial" w:cs="Arial"/>
                <w:snapToGrid w:val="0"/>
                <w:sz w:val="16"/>
                <w:szCs w:val="16"/>
              </w:rPr>
              <w:t xml:space="preserve"> </w:t>
            </w:r>
            <w:r w:rsidRPr="00436CDB">
              <w:rPr>
                <w:rFonts w:ascii="Arial" w:hAnsi="Arial" w:cs="Arial"/>
                <w:snapToGrid w:val="0"/>
                <w:sz w:val="16"/>
                <w:szCs w:val="16"/>
              </w:rPr>
              <w:t>$312,243</w:t>
            </w:r>
          </w:p>
        </w:tc>
        <w:tc>
          <w:tcPr>
            <w:tcW w:w="2399" w:type="dxa"/>
            <w:noWrap/>
            <w:hideMark/>
          </w:tcPr>
          <w:p w14:paraId="2A446AA2" w14:textId="3F33A0BC" w:rsidR="00BC7968" w:rsidRPr="00436CDB" w:rsidRDefault="00BC7968" w:rsidP="00C93C49">
            <w:pPr>
              <w:spacing w:line="20" w:lineRule="atLeast"/>
              <w:jc w:val="center"/>
              <w:rPr>
                <w:rFonts w:ascii="Arial" w:hAnsi="Arial" w:cs="Arial"/>
                <w:snapToGrid w:val="0"/>
                <w:sz w:val="16"/>
                <w:szCs w:val="16"/>
              </w:rPr>
            </w:pPr>
            <w:r w:rsidRPr="00436CDB">
              <w:rPr>
                <w:rFonts w:ascii="Arial" w:hAnsi="Arial" w:cs="Arial"/>
                <w:snapToGrid w:val="0"/>
                <w:sz w:val="16"/>
                <w:szCs w:val="16"/>
              </w:rPr>
              <w:t>$46,274</w:t>
            </w:r>
          </w:p>
        </w:tc>
        <w:tc>
          <w:tcPr>
            <w:tcW w:w="2218" w:type="dxa"/>
            <w:tcBorders>
              <w:left w:val="nil"/>
            </w:tcBorders>
          </w:tcPr>
          <w:p w14:paraId="3D32ED77" w14:textId="19EF354B" w:rsidR="00BC7968" w:rsidRPr="00C93C49" w:rsidRDefault="00962AB7" w:rsidP="00C93C49">
            <w:pPr>
              <w:spacing w:line="20" w:lineRule="atLeast"/>
              <w:jc w:val="center"/>
              <w:rPr>
                <w:rFonts w:ascii="Arial" w:hAnsi="Arial" w:cs="Arial"/>
                <w:snapToGrid w:val="0"/>
              </w:rPr>
            </w:pPr>
            <w:r>
              <w:rPr>
                <w:rFonts w:ascii="Arial" w:hAnsi="Arial" w:cs="Arial"/>
                <w:snapToGrid w:val="0"/>
                <w:sz w:val="16"/>
                <w:szCs w:val="16"/>
              </w:rPr>
              <w:t xml:space="preserve">$184,364 - </w:t>
            </w:r>
            <w:r w:rsidR="00BC7968" w:rsidRPr="00436CDB">
              <w:rPr>
                <w:rFonts w:ascii="Arial" w:hAnsi="Arial" w:cs="Arial"/>
                <w:snapToGrid w:val="0"/>
                <w:sz w:val="16"/>
                <w:szCs w:val="16"/>
              </w:rPr>
              <w:t>$358,517</w:t>
            </w:r>
          </w:p>
        </w:tc>
      </w:tr>
      <w:tr w:rsidR="00BC7968" w:rsidRPr="00C93C49" w14:paraId="108AA648" w14:textId="77777777" w:rsidTr="0016233B">
        <w:trPr>
          <w:trHeight w:val="215"/>
          <w:jc w:val="center"/>
        </w:trPr>
        <w:tc>
          <w:tcPr>
            <w:tcW w:w="749" w:type="dxa"/>
          </w:tcPr>
          <w:p w14:paraId="78B493C8" w14:textId="77777777" w:rsidR="00BC7968" w:rsidRPr="00436CDB" w:rsidRDefault="00BC7968" w:rsidP="00C93C49">
            <w:pPr>
              <w:spacing w:line="20" w:lineRule="atLeast"/>
              <w:jc w:val="center"/>
              <w:rPr>
                <w:rFonts w:ascii="Arial" w:hAnsi="Arial" w:cs="Arial"/>
                <w:b/>
                <w:snapToGrid w:val="0"/>
                <w:sz w:val="16"/>
                <w:szCs w:val="16"/>
              </w:rPr>
            </w:pPr>
            <w:r w:rsidRPr="00436CDB">
              <w:rPr>
                <w:rFonts w:ascii="Arial" w:hAnsi="Arial" w:cs="Arial"/>
                <w:b/>
                <w:snapToGrid w:val="0"/>
                <w:sz w:val="16"/>
                <w:szCs w:val="16"/>
              </w:rPr>
              <w:t>2017</w:t>
            </w:r>
          </w:p>
        </w:tc>
        <w:tc>
          <w:tcPr>
            <w:tcW w:w="2526" w:type="dxa"/>
            <w:noWrap/>
            <w:hideMark/>
          </w:tcPr>
          <w:p w14:paraId="1D1955FC" w14:textId="38293ACE" w:rsidR="00BC7968" w:rsidRPr="00436CDB" w:rsidRDefault="00BC7968" w:rsidP="00C93C49">
            <w:pPr>
              <w:spacing w:line="20" w:lineRule="atLeast"/>
              <w:jc w:val="center"/>
              <w:rPr>
                <w:rFonts w:ascii="Arial" w:hAnsi="Arial" w:cs="Arial"/>
                <w:snapToGrid w:val="0"/>
                <w:sz w:val="16"/>
                <w:szCs w:val="16"/>
              </w:rPr>
            </w:pPr>
            <w:r w:rsidRPr="00436CDB">
              <w:rPr>
                <w:rFonts w:ascii="Arial" w:hAnsi="Arial" w:cs="Arial"/>
                <w:snapToGrid w:val="0"/>
                <w:sz w:val="16"/>
                <w:szCs w:val="16"/>
              </w:rPr>
              <w:t>$141,224 -</w:t>
            </w:r>
            <w:r>
              <w:rPr>
                <w:rFonts w:ascii="Arial" w:hAnsi="Arial" w:cs="Arial"/>
                <w:snapToGrid w:val="0"/>
                <w:sz w:val="16"/>
                <w:szCs w:val="16"/>
              </w:rPr>
              <w:t xml:space="preserve"> </w:t>
            </w:r>
            <w:r w:rsidRPr="00436CDB">
              <w:rPr>
                <w:rFonts w:ascii="Arial" w:hAnsi="Arial" w:cs="Arial"/>
                <w:snapToGrid w:val="0"/>
                <w:sz w:val="16"/>
                <w:szCs w:val="16"/>
              </w:rPr>
              <w:t>$322,880</w:t>
            </w:r>
          </w:p>
        </w:tc>
        <w:tc>
          <w:tcPr>
            <w:tcW w:w="2399" w:type="dxa"/>
            <w:noWrap/>
            <w:hideMark/>
          </w:tcPr>
          <w:p w14:paraId="7124D630" w14:textId="7BE3ABFC" w:rsidR="00BC7968" w:rsidRPr="00436CDB" w:rsidRDefault="00BC7968" w:rsidP="00C93C49">
            <w:pPr>
              <w:spacing w:line="20" w:lineRule="atLeast"/>
              <w:jc w:val="center"/>
              <w:rPr>
                <w:rFonts w:ascii="Arial" w:hAnsi="Arial" w:cs="Arial"/>
                <w:snapToGrid w:val="0"/>
                <w:sz w:val="16"/>
                <w:szCs w:val="16"/>
              </w:rPr>
            </w:pPr>
            <w:r w:rsidRPr="00436CDB">
              <w:rPr>
                <w:rFonts w:ascii="Arial" w:hAnsi="Arial" w:cs="Arial"/>
                <w:snapToGrid w:val="0"/>
                <w:sz w:val="16"/>
                <w:szCs w:val="16"/>
              </w:rPr>
              <w:t>$28,107</w:t>
            </w:r>
          </w:p>
        </w:tc>
        <w:tc>
          <w:tcPr>
            <w:tcW w:w="2218" w:type="dxa"/>
            <w:tcBorders>
              <w:left w:val="nil"/>
            </w:tcBorders>
          </w:tcPr>
          <w:p w14:paraId="1E6129BB" w14:textId="7FD3A558" w:rsidR="00BC7968" w:rsidRPr="00C93C49" w:rsidRDefault="00962AB7" w:rsidP="00C93C49">
            <w:pPr>
              <w:spacing w:line="20" w:lineRule="atLeast"/>
              <w:jc w:val="center"/>
              <w:rPr>
                <w:rFonts w:ascii="Arial" w:hAnsi="Arial" w:cs="Arial"/>
                <w:snapToGrid w:val="0"/>
              </w:rPr>
            </w:pPr>
            <w:r>
              <w:rPr>
                <w:rFonts w:ascii="Arial" w:hAnsi="Arial" w:cs="Arial"/>
                <w:snapToGrid w:val="0"/>
                <w:sz w:val="16"/>
                <w:szCs w:val="16"/>
              </w:rPr>
              <w:t xml:space="preserve">$169,331 - </w:t>
            </w:r>
            <w:r w:rsidR="00BC7968" w:rsidRPr="00436CDB">
              <w:rPr>
                <w:rFonts w:ascii="Arial" w:hAnsi="Arial" w:cs="Arial"/>
                <w:snapToGrid w:val="0"/>
                <w:sz w:val="16"/>
                <w:szCs w:val="16"/>
              </w:rPr>
              <w:t>$350,987</w:t>
            </w:r>
          </w:p>
        </w:tc>
      </w:tr>
      <w:tr w:rsidR="00BC7968" w:rsidRPr="00C93C49" w14:paraId="4B7C40F1" w14:textId="77777777" w:rsidTr="009526B8">
        <w:trPr>
          <w:trHeight w:val="215"/>
          <w:jc w:val="center"/>
        </w:trPr>
        <w:tc>
          <w:tcPr>
            <w:tcW w:w="749" w:type="dxa"/>
          </w:tcPr>
          <w:p w14:paraId="3219C63D" w14:textId="77777777" w:rsidR="00C93C49" w:rsidRPr="00436CDB" w:rsidRDefault="00C93C49" w:rsidP="00C93C49">
            <w:pPr>
              <w:spacing w:line="20" w:lineRule="atLeast"/>
              <w:jc w:val="center"/>
              <w:rPr>
                <w:rFonts w:ascii="Arial" w:hAnsi="Arial" w:cs="Arial"/>
                <w:b/>
                <w:bCs/>
                <w:snapToGrid w:val="0"/>
                <w:sz w:val="16"/>
                <w:szCs w:val="16"/>
              </w:rPr>
            </w:pPr>
          </w:p>
        </w:tc>
        <w:tc>
          <w:tcPr>
            <w:tcW w:w="7143" w:type="dxa"/>
            <w:gridSpan w:val="3"/>
            <w:noWrap/>
            <w:hideMark/>
          </w:tcPr>
          <w:p w14:paraId="21D6E0D6" w14:textId="77777777" w:rsidR="00C93C49" w:rsidRPr="00436CDB" w:rsidRDefault="00C93C49" w:rsidP="00C93C49">
            <w:pPr>
              <w:spacing w:line="20" w:lineRule="atLeast"/>
              <w:jc w:val="center"/>
              <w:rPr>
                <w:rFonts w:ascii="Arial" w:hAnsi="Arial" w:cs="Arial"/>
                <w:b/>
                <w:bCs/>
                <w:snapToGrid w:val="0"/>
                <w:sz w:val="16"/>
                <w:szCs w:val="16"/>
              </w:rPr>
            </w:pPr>
            <w:r w:rsidRPr="00436CDB">
              <w:rPr>
                <w:rFonts w:ascii="Arial" w:hAnsi="Arial" w:cs="Arial"/>
                <w:b/>
                <w:bCs/>
                <w:snapToGrid w:val="0"/>
                <w:sz w:val="16"/>
                <w:szCs w:val="16"/>
              </w:rPr>
              <w:t>West Penn Power</w:t>
            </w:r>
          </w:p>
        </w:tc>
      </w:tr>
      <w:tr w:rsidR="00BC7968" w:rsidRPr="00C93C49" w14:paraId="56E40324" w14:textId="77777777" w:rsidTr="0016233B">
        <w:trPr>
          <w:trHeight w:val="215"/>
          <w:jc w:val="center"/>
        </w:trPr>
        <w:tc>
          <w:tcPr>
            <w:tcW w:w="749" w:type="dxa"/>
          </w:tcPr>
          <w:p w14:paraId="78D43729" w14:textId="77777777" w:rsidR="00BC7968" w:rsidRPr="00436CDB" w:rsidRDefault="00BC7968" w:rsidP="00C93C49">
            <w:pPr>
              <w:spacing w:line="20" w:lineRule="atLeast"/>
              <w:jc w:val="center"/>
              <w:rPr>
                <w:rFonts w:ascii="Arial" w:hAnsi="Arial" w:cs="Arial"/>
                <w:b/>
                <w:snapToGrid w:val="0"/>
                <w:sz w:val="16"/>
                <w:szCs w:val="16"/>
              </w:rPr>
            </w:pPr>
            <w:r w:rsidRPr="00436CDB">
              <w:rPr>
                <w:rFonts w:ascii="Arial" w:hAnsi="Arial" w:cs="Arial"/>
                <w:b/>
                <w:snapToGrid w:val="0"/>
                <w:sz w:val="16"/>
                <w:szCs w:val="16"/>
              </w:rPr>
              <w:t>2014</w:t>
            </w:r>
          </w:p>
        </w:tc>
        <w:tc>
          <w:tcPr>
            <w:tcW w:w="2526" w:type="dxa"/>
            <w:noWrap/>
            <w:hideMark/>
          </w:tcPr>
          <w:p w14:paraId="5E21A0CA" w14:textId="28DA7142" w:rsidR="00BC7968" w:rsidRPr="00436CDB" w:rsidRDefault="00BC7968" w:rsidP="00C93C49">
            <w:pPr>
              <w:spacing w:line="20" w:lineRule="atLeast"/>
              <w:jc w:val="center"/>
              <w:rPr>
                <w:rFonts w:ascii="Arial" w:hAnsi="Arial" w:cs="Arial"/>
                <w:snapToGrid w:val="0"/>
                <w:sz w:val="16"/>
                <w:szCs w:val="16"/>
              </w:rPr>
            </w:pPr>
            <w:r>
              <w:rPr>
                <w:rFonts w:ascii="Arial" w:hAnsi="Arial" w:cs="Arial"/>
                <w:snapToGrid w:val="0"/>
                <w:sz w:val="16"/>
                <w:szCs w:val="16"/>
              </w:rPr>
              <w:t xml:space="preserve">$365,435 - </w:t>
            </w:r>
            <w:r w:rsidRPr="00436CDB">
              <w:rPr>
                <w:rFonts w:ascii="Arial" w:hAnsi="Arial" w:cs="Arial"/>
                <w:snapToGrid w:val="0"/>
                <w:sz w:val="16"/>
                <w:szCs w:val="16"/>
              </w:rPr>
              <w:t>$868,526</w:t>
            </w:r>
          </w:p>
        </w:tc>
        <w:tc>
          <w:tcPr>
            <w:tcW w:w="2399" w:type="dxa"/>
            <w:noWrap/>
            <w:hideMark/>
          </w:tcPr>
          <w:p w14:paraId="00C2B583" w14:textId="133E990E" w:rsidR="00BC7968" w:rsidRPr="00436CDB" w:rsidRDefault="00BC7968" w:rsidP="00C93C49">
            <w:pPr>
              <w:spacing w:line="20" w:lineRule="atLeast"/>
              <w:jc w:val="center"/>
              <w:rPr>
                <w:rFonts w:ascii="Arial" w:hAnsi="Arial" w:cs="Arial"/>
                <w:snapToGrid w:val="0"/>
                <w:sz w:val="16"/>
                <w:szCs w:val="16"/>
              </w:rPr>
            </w:pPr>
            <w:r w:rsidRPr="00436CDB">
              <w:rPr>
                <w:rFonts w:ascii="Arial" w:hAnsi="Arial" w:cs="Arial"/>
                <w:snapToGrid w:val="0"/>
                <w:sz w:val="16"/>
                <w:szCs w:val="16"/>
              </w:rPr>
              <w:t>$90,899</w:t>
            </w:r>
          </w:p>
        </w:tc>
        <w:tc>
          <w:tcPr>
            <w:tcW w:w="2218" w:type="dxa"/>
            <w:tcBorders>
              <w:left w:val="nil"/>
            </w:tcBorders>
          </w:tcPr>
          <w:p w14:paraId="26B3B2ED" w14:textId="06739C0B" w:rsidR="00BC7968" w:rsidRPr="00C93C49" w:rsidRDefault="00962AB7" w:rsidP="00C93C49">
            <w:pPr>
              <w:spacing w:line="20" w:lineRule="atLeast"/>
              <w:jc w:val="center"/>
              <w:rPr>
                <w:rFonts w:ascii="Arial" w:hAnsi="Arial" w:cs="Arial"/>
                <w:snapToGrid w:val="0"/>
              </w:rPr>
            </w:pPr>
            <w:r>
              <w:rPr>
                <w:rFonts w:ascii="Arial" w:hAnsi="Arial" w:cs="Arial"/>
                <w:snapToGrid w:val="0"/>
                <w:sz w:val="16"/>
                <w:szCs w:val="16"/>
              </w:rPr>
              <w:t xml:space="preserve">$456,333 - </w:t>
            </w:r>
            <w:r w:rsidR="00BC7968" w:rsidRPr="00436CDB">
              <w:rPr>
                <w:rFonts w:ascii="Arial" w:hAnsi="Arial" w:cs="Arial"/>
                <w:snapToGrid w:val="0"/>
                <w:sz w:val="16"/>
                <w:szCs w:val="16"/>
              </w:rPr>
              <w:t>$959,425</w:t>
            </w:r>
          </w:p>
        </w:tc>
      </w:tr>
      <w:tr w:rsidR="00BC7968" w:rsidRPr="00C93C49" w14:paraId="355FAF2C" w14:textId="77777777" w:rsidTr="0016233B">
        <w:trPr>
          <w:trHeight w:val="215"/>
          <w:jc w:val="center"/>
        </w:trPr>
        <w:tc>
          <w:tcPr>
            <w:tcW w:w="749" w:type="dxa"/>
          </w:tcPr>
          <w:p w14:paraId="04595C24" w14:textId="77777777" w:rsidR="00BC7968" w:rsidRPr="00436CDB" w:rsidRDefault="00BC7968" w:rsidP="00C93C49">
            <w:pPr>
              <w:spacing w:line="20" w:lineRule="atLeast"/>
              <w:jc w:val="center"/>
              <w:rPr>
                <w:rFonts w:ascii="Arial" w:hAnsi="Arial" w:cs="Arial"/>
                <w:b/>
                <w:snapToGrid w:val="0"/>
                <w:sz w:val="16"/>
                <w:szCs w:val="16"/>
              </w:rPr>
            </w:pPr>
            <w:r w:rsidRPr="00436CDB">
              <w:rPr>
                <w:rFonts w:ascii="Arial" w:hAnsi="Arial" w:cs="Arial"/>
                <w:b/>
                <w:snapToGrid w:val="0"/>
                <w:sz w:val="16"/>
                <w:szCs w:val="16"/>
              </w:rPr>
              <w:t>2015</w:t>
            </w:r>
          </w:p>
        </w:tc>
        <w:tc>
          <w:tcPr>
            <w:tcW w:w="2526" w:type="dxa"/>
            <w:noWrap/>
            <w:hideMark/>
          </w:tcPr>
          <w:p w14:paraId="2690D650" w14:textId="73EE46B1" w:rsidR="00BC7968" w:rsidRPr="00436CDB" w:rsidRDefault="00BC7968" w:rsidP="00C93C49">
            <w:pPr>
              <w:spacing w:line="20" w:lineRule="atLeast"/>
              <w:jc w:val="center"/>
              <w:rPr>
                <w:rFonts w:ascii="Arial" w:hAnsi="Arial" w:cs="Arial"/>
                <w:snapToGrid w:val="0"/>
                <w:sz w:val="16"/>
                <w:szCs w:val="16"/>
              </w:rPr>
            </w:pPr>
            <w:r>
              <w:rPr>
                <w:rFonts w:ascii="Arial" w:hAnsi="Arial" w:cs="Arial"/>
                <w:snapToGrid w:val="0"/>
                <w:sz w:val="16"/>
                <w:szCs w:val="16"/>
              </w:rPr>
              <w:t xml:space="preserve">$475,902 - </w:t>
            </w:r>
            <w:r w:rsidRPr="00436CDB">
              <w:rPr>
                <w:rFonts w:ascii="Arial" w:hAnsi="Arial" w:cs="Arial"/>
                <w:snapToGrid w:val="0"/>
                <w:sz w:val="16"/>
                <w:szCs w:val="16"/>
              </w:rPr>
              <w:t>$1,115,375</w:t>
            </w:r>
          </w:p>
        </w:tc>
        <w:tc>
          <w:tcPr>
            <w:tcW w:w="2399" w:type="dxa"/>
            <w:noWrap/>
            <w:hideMark/>
          </w:tcPr>
          <w:p w14:paraId="7FDAD42D" w14:textId="542B0E7B" w:rsidR="00BC7968" w:rsidRPr="00436CDB" w:rsidRDefault="00BC7968" w:rsidP="00C93C49">
            <w:pPr>
              <w:spacing w:line="20" w:lineRule="atLeast"/>
              <w:jc w:val="center"/>
              <w:rPr>
                <w:rFonts w:ascii="Arial" w:hAnsi="Arial" w:cs="Arial"/>
                <w:snapToGrid w:val="0"/>
                <w:sz w:val="16"/>
                <w:szCs w:val="16"/>
              </w:rPr>
            </w:pPr>
            <w:r w:rsidRPr="00436CDB">
              <w:rPr>
                <w:rFonts w:ascii="Arial" w:hAnsi="Arial" w:cs="Arial"/>
                <w:snapToGrid w:val="0"/>
                <w:sz w:val="16"/>
                <w:szCs w:val="16"/>
              </w:rPr>
              <w:t>$210,571</w:t>
            </w:r>
          </w:p>
        </w:tc>
        <w:tc>
          <w:tcPr>
            <w:tcW w:w="2218" w:type="dxa"/>
            <w:tcBorders>
              <w:left w:val="nil"/>
            </w:tcBorders>
          </w:tcPr>
          <w:p w14:paraId="7D2CA916" w14:textId="18B3B3D5" w:rsidR="00BC7968" w:rsidRPr="00C93C49" w:rsidRDefault="00962AB7" w:rsidP="00C93C49">
            <w:pPr>
              <w:spacing w:line="20" w:lineRule="atLeast"/>
              <w:jc w:val="center"/>
              <w:rPr>
                <w:rFonts w:ascii="Arial" w:hAnsi="Arial" w:cs="Arial"/>
                <w:snapToGrid w:val="0"/>
              </w:rPr>
            </w:pPr>
            <w:r>
              <w:rPr>
                <w:rFonts w:ascii="Arial" w:hAnsi="Arial" w:cs="Arial"/>
                <w:snapToGrid w:val="0"/>
                <w:sz w:val="16"/>
                <w:szCs w:val="16"/>
              </w:rPr>
              <w:t xml:space="preserve">$686,472 - </w:t>
            </w:r>
            <w:r w:rsidR="00BC7968" w:rsidRPr="00436CDB">
              <w:rPr>
                <w:rFonts w:ascii="Arial" w:hAnsi="Arial" w:cs="Arial"/>
                <w:snapToGrid w:val="0"/>
                <w:sz w:val="16"/>
                <w:szCs w:val="16"/>
              </w:rPr>
              <w:t>$1,325,946</w:t>
            </w:r>
          </w:p>
        </w:tc>
      </w:tr>
      <w:tr w:rsidR="00BC7968" w:rsidRPr="00C93C49" w14:paraId="59F1FFD9" w14:textId="77777777" w:rsidTr="0016233B">
        <w:trPr>
          <w:trHeight w:val="215"/>
          <w:jc w:val="center"/>
        </w:trPr>
        <w:tc>
          <w:tcPr>
            <w:tcW w:w="749" w:type="dxa"/>
          </w:tcPr>
          <w:p w14:paraId="32D00054" w14:textId="77777777" w:rsidR="00BC7968" w:rsidRPr="00436CDB" w:rsidRDefault="00BC7968" w:rsidP="00C93C49">
            <w:pPr>
              <w:spacing w:line="20" w:lineRule="atLeast"/>
              <w:jc w:val="center"/>
              <w:rPr>
                <w:rFonts w:ascii="Arial" w:hAnsi="Arial" w:cs="Arial"/>
                <w:b/>
                <w:snapToGrid w:val="0"/>
                <w:sz w:val="16"/>
                <w:szCs w:val="16"/>
              </w:rPr>
            </w:pPr>
            <w:r w:rsidRPr="00436CDB">
              <w:rPr>
                <w:rFonts w:ascii="Arial" w:hAnsi="Arial" w:cs="Arial"/>
                <w:b/>
                <w:snapToGrid w:val="0"/>
                <w:sz w:val="16"/>
                <w:szCs w:val="16"/>
              </w:rPr>
              <w:t>2016</w:t>
            </w:r>
          </w:p>
        </w:tc>
        <w:tc>
          <w:tcPr>
            <w:tcW w:w="2526" w:type="dxa"/>
            <w:noWrap/>
            <w:hideMark/>
          </w:tcPr>
          <w:p w14:paraId="2EA44C1A" w14:textId="3827C5B4" w:rsidR="00BC7968" w:rsidRPr="00436CDB" w:rsidRDefault="00BC7968" w:rsidP="00C93C49">
            <w:pPr>
              <w:spacing w:line="20" w:lineRule="atLeast"/>
              <w:jc w:val="center"/>
              <w:rPr>
                <w:rFonts w:ascii="Arial" w:hAnsi="Arial" w:cs="Arial"/>
                <w:snapToGrid w:val="0"/>
                <w:sz w:val="16"/>
                <w:szCs w:val="16"/>
              </w:rPr>
            </w:pPr>
            <w:r>
              <w:rPr>
                <w:rFonts w:ascii="Arial" w:hAnsi="Arial" w:cs="Arial"/>
                <w:snapToGrid w:val="0"/>
                <w:sz w:val="16"/>
                <w:szCs w:val="16"/>
              </w:rPr>
              <w:t xml:space="preserve">$569,585 - </w:t>
            </w:r>
            <w:r w:rsidRPr="00436CDB">
              <w:rPr>
                <w:rFonts w:ascii="Arial" w:hAnsi="Arial" w:cs="Arial"/>
                <w:snapToGrid w:val="0"/>
                <w:sz w:val="16"/>
                <w:szCs w:val="16"/>
              </w:rPr>
              <w:t>$1,329,723</w:t>
            </w:r>
          </w:p>
        </w:tc>
        <w:tc>
          <w:tcPr>
            <w:tcW w:w="2399" w:type="dxa"/>
            <w:noWrap/>
            <w:hideMark/>
          </w:tcPr>
          <w:p w14:paraId="0C4989B2" w14:textId="37245B29" w:rsidR="00BC7968" w:rsidRPr="00436CDB" w:rsidRDefault="00BC7968" w:rsidP="00C93C49">
            <w:pPr>
              <w:spacing w:line="20" w:lineRule="atLeast"/>
              <w:jc w:val="center"/>
              <w:rPr>
                <w:rFonts w:ascii="Arial" w:hAnsi="Arial" w:cs="Arial"/>
                <w:snapToGrid w:val="0"/>
                <w:sz w:val="16"/>
                <w:szCs w:val="16"/>
              </w:rPr>
            </w:pPr>
            <w:r w:rsidRPr="00436CDB">
              <w:rPr>
                <w:rFonts w:ascii="Arial" w:hAnsi="Arial" w:cs="Arial"/>
                <w:snapToGrid w:val="0"/>
                <w:sz w:val="16"/>
                <w:szCs w:val="16"/>
              </w:rPr>
              <w:t>$171,999</w:t>
            </w:r>
          </w:p>
        </w:tc>
        <w:tc>
          <w:tcPr>
            <w:tcW w:w="2218" w:type="dxa"/>
            <w:tcBorders>
              <w:left w:val="nil"/>
            </w:tcBorders>
          </w:tcPr>
          <w:p w14:paraId="761D37C9" w14:textId="5FDBF422" w:rsidR="00BC7968" w:rsidRPr="00C93C49" w:rsidRDefault="00962AB7" w:rsidP="00C93C49">
            <w:pPr>
              <w:spacing w:line="20" w:lineRule="atLeast"/>
              <w:jc w:val="center"/>
              <w:rPr>
                <w:rFonts w:ascii="Arial" w:hAnsi="Arial" w:cs="Arial"/>
                <w:snapToGrid w:val="0"/>
              </w:rPr>
            </w:pPr>
            <w:r>
              <w:rPr>
                <w:rFonts w:ascii="Arial" w:hAnsi="Arial" w:cs="Arial"/>
                <w:snapToGrid w:val="0"/>
                <w:sz w:val="16"/>
                <w:szCs w:val="16"/>
              </w:rPr>
              <w:t xml:space="preserve">$741,583 - </w:t>
            </w:r>
            <w:r w:rsidR="00BC7968" w:rsidRPr="00436CDB">
              <w:rPr>
                <w:rFonts w:ascii="Arial" w:hAnsi="Arial" w:cs="Arial"/>
                <w:snapToGrid w:val="0"/>
                <w:sz w:val="16"/>
                <w:szCs w:val="16"/>
              </w:rPr>
              <w:t>$1,501,722</w:t>
            </w:r>
          </w:p>
        </w:tc>
      </w:tr>
      <w:tr w:rsidR="00BC7968" w:rsidRPr="00C93C49" w14:paraId="15920E5D" w14:textId="77777777" w:rsidTr="0016233B">
        <w:trPr>
          <w:trHeight w:val="215"/>
          <w:jc w:val="center"/>
        </w:trPr>
        <w:tc>
          <w:tcPr>
            <w:tcW w:w="749" w:type="dxa"/>
          </w:tcPr>
          <w:p w14:paraId="33F0FBFA" w14:textId="77777777" w:rsidR="00BC7968" w:rsidRPr="00436CDB" w:rsidRDefault="00BC7968" w:rsidP="00C93C49">
            <w:pPr>
              <w:spacing w:line="20" w:lineRule="atLeast"/>
              <w:jc w:val="center"/>
              <w:rPr>
                <w:rFonts w:ascii="Arial" w:hAnsi="Arial" w:cs="Arial"/>
                <w:b/>
                <w:snapToGrid w:val="0"/>
                <w:sz w:val="16"/>
                <w:szCs w:val="16"/>
              </w:rPr>
            </w:pPr>
            <w:r w:rsidRPr="00436CDB">
              <w:rPr>
                <w:rFonts w:ascii="Arial" w:hAnsi="Arial" w:cs="Arial"/>
                <w:b/>
                <w:snapToGrid w:val="0"/>
                <w:sz w:val="16"/>
                <w:szCs w:val="16"/>
              </w:rPr>
              <w:t>2017</w:t>
            </w:r>
          </w:p>
        </w:tc>
        <w:tc>
          <w:tcPr>
            <w:tcW w:w="2526" w:type="dxa"/>
            <w:noWrap/>
            <w:hideMark/>
          </w:tcPr>
          <w:p w14:paraId="6AB7693A" w14:textId="135ED705" w:rsidR="00BC7968" w:rsidRPr="00436CDB" w:rsidRDefault="00BC7968" w:rsidP="00C93C49">
            <w:pPr>
              <w:spacing w:line="20" w:lineRule="atLeast"/>
              <w:jc w:val="center"/>
              <w:rPr>
                <w:rFonts w:ascii="Arial" w:hAnsi="Arial" w:cs="Arial"/>
                <w:snapToGrid w:val="0"/>
                <w:sz w:val="16"/>
                <w:szCs w:val="16"/>
              </w:rPr>
            </w:pPr>
            <w:r>
              <w:rPr>
                <w:rFonts w:ascii="Arial" w:hAnsi="Arial" w:cs="Arial"/>
                <w:snapToGrid w:val="0"/>
                <w:sz w:val="16"/>
                <w:szCs w:val="16"/>
              </w:rPr>
              <w:t xml:space="preserve">$610,933 - </w:t>
            </w:r>
            <w:r w:rsidRPr="00436CDB">
              <w:rPr>
                <w:rFonts w:ascii="Arial" w:hAnsi="Arial" w:cs="Arial"/>
                <w:snapToGrid w:val="0"/>
                <w:sz w:val="16"/>
                <w:szCs w:val="16"/>
              </w:rPr>
              <w:t>$1,426,195</w:t>
            </w:r>
          </w:p>
        </w:tc>
        <w:tc>
          <w:tcPr>
            <w:tcW w:w="2399" w:type="dxa"/>
            <w:noWrap/>
            <w:hideMark/>
          </w:tcPr>
          <w:p w14:paraId="3382F014" w14:textId="6178EED3" w:rsidR="00BC7968" w:rsidRPr="00436CDB" w:rsidRDefault="00BC7968" w:rsidP="00C93C49">
            <w:pPr>
              <w:spacing w:line="20" w:lineRule="atLeast"/>
              <w:jc w:val="center"/>
              <w:rPr>
                <w:rFonts w:ascii="Arial" w:hAnsi="Arial" w:cs="Arial"/>
                <w:snapToGrid w:val="0"/>
                <w:sz w:val="16"/>
                <w:szCs w:val="16"/>
              </w:rPr>
            </w:pPr>
            <w:r w:rsidRPr="00436CDB">
              <w:rPr>
                <w:rFonts w:ascii="Arial" w:hAnsi="Arial" w:cs="Arial"/>
                <w:snapToGrid w:val="0"/>
                <w:sz w:val="16"/>
                <w:szCs w:val="16"/>
              </w:rPr>
              <w:t>$148,349</w:t>
            </w:r>
          </w:p>
        </w:tc>
        <w:tc>
          <w:tcPr>
            <w:tcW w:w="2218" w:type="dxa"/>
            <w:tcBorders>
              <w:left w:val="nil"/>
            </w:tcBorders>
          </w:tcPr>
          <w:p w14:paraId="73EAE64D" w14:textId="74727941" w:rsidR="00BC7968" w:rsidRPr="00C93C49" w:rsidRDefault="00962AB7" w:rsidP="00C93C49">
            <w:pPr>
              <w:spacing w:line="20" w:lineRule="atLeast"/>
              <w:jc w:val="center"/>
              <w:rPr>
                <w:rFonts w:ascii="Arial" w:hAnsi="Arial" w:cs="Arial"/>
                <w:snapToGrid w:val="0"/>
              </w:rPr>
            </w:pPr>
            <w:r>
              <w:rPr>
                <w:rFonts w:ascii="Arial" w:hAnsi="Arial" w:cs="Arial"/>
                <w:snapToGrid w:val="0"/>
                <w:sz w:val="16"/>
                <w:szCs w:val="16"/>
              </w:rPr>
              <w:t xml:space="preserve">$759,282 - </w:t>
            </w:r>
            <w:r w:rsidR="00BC7968" w:rsidRPr="00436CDB">
              <w:rPr>
                <w:rFonts w:ascii="Arial" w:hAnsi="Arial" w:cs="Arial"/>
                <w:snapToGrid w:val="0"/>
                <w:sz w:val="16"/>
                <w:szCs w:val="16"/>
              </w:rPr>
              <w:t>$1,574,544</w:t>
            </w:r>
          </w:p>
        </w:tc>
      </w:tr>
    </w:tbl>
    <w:p w14:paraId="1F3DB8F7" w14:textId="77777777" w:rsidR="00C93C49" w:rsidRPr="00C93C49" w:rsidRDefault="00C93C49" w:rsidP="00C93C49">
      <w:pPr>
        <w:widowControl w:val="0"/>
        <w:spacing w:after="0" w:line="20" w:lineRule="atLeast"/>
        <w:ind w:firstLine="990"/>
        <w:rPr>
          <w:rFonts w:ascii="Arial" w:eastAsia="Times New Roman" w:hAnsi="Arial" w:cs="Arial"/>
          <w:snapToGrid w:val="0"/>
          <w:sz w:val="18"/>
          <w:szCs w:val="18"/>
        </w:rPr>
      </w:pPr>
      <w:r w:rsidRPr="00C93C49">
        <w:rPr>
          <w:rFonts w:ascii="Arial" w:eastAsia="Times New Roman" w:hAnsi="Arial" w:cs="Arial"/>
          <w:snapToGrid w:val="0"/>
          <w:sz w:val="18"/>
          <w:szCs w:val="18"/>
        </w:rPr>
        <w:t>Source: Data Requests CS-12 and CS-21, and Auditor Analysis</w:t>
      </w:r>
    </w:p>
    <w:p w14:paraId="7ED2EF49" w14:textId="6C604D72" w:rsidR="009526B8" w:rsidRDefault="009526B8" w:rsidP="00C93C49">
      <w:pPr>
        <w:spacing w:after="0" w:line="20" w:lineRule="atLeast"/>
        <w:rPr>
          <w:rFonts w:ascii="Arial" w:eastAsia="Times New Roman" w:hAnsi="Arial" w:cs="Arial"/>
          <w:snapToGrid w:val="0"/>
          <w:sz w:val="24"/>
          <w:szCs w:val="20"/>
        </w:rPr>
      </w:pPr>
      <w:r>
        <w:rPr>
          <w:rFonts w:ascii="Arial" w:eastAsia="Times New Roman" w:hAnsi="Arial" w:cs="Arial"/>
          <w:snapToGrid w:val="0"/>
          <w:sz w:val="24"/>
          <w:szCs w:val="20"/>
        </w:rPr>
        <w:tab/>
      </w:r>
    </w:p>
    <w:p w14:paraId="218DEAE2" w14:textId="77777777" w:rsidR="009526B8" w:rsidRPr="00C93C49" w:rsidRDefault="009526B8" w:rsidP="00C93C49">
      <w:pPr>
        <w:spacing w:after="0" w:line="20" w:lineRule="atLeast"/>
        <w:rPr>
          <w:rFonts w:ascii="Arial" w:eastAsia="Times New Roman" w:hAnsi="Arial" w:cs="Arial"/>
          <w:snapToGrid w:val="0"/>
          <w:sz w:val="24"/>
          <w:szCs w:val="20"/>
        </w:rPr>
      </w:pPr>
    </w:p>
    <w:p w14:paraId="6E9F25EB" w14:textId="27783AE9" w:rsidR="00C93C49" w:rsidRPr="00C93C49" w:rsidRDefault="009526B8" w:rsidP="00436CDB">
      <w:pPr>
        <w:spacing w:after="0" w:line="20" w:lineRule="atLeast"/>
        <w:rPr>
          <w:rFonts w:ascii="Arial" w:hAnsi="Arial" w:cs="Arial"/>
          <w:snapToGrid w:val="0"/>
        </w:rPr>
      </w:pPr>
      <w:r>
        <w:rPr>
          <w:rFonts w:ascii="Arial" w:eastAsia="Times New Roman" w:hAnsi="Arial" w:cs="Arial"/>
          <w:snapToGrid w:val="0"/>
          <w:sz w:val="24"/>
          <w:szCs w:val="20"/>
        </w:rPr>
        <w:tab/>
      </w:r>
      <w:r w:rsidR="00C93C49" w:rsidRPr="00C93C49">
        <w:rPr>
          <w:rFonts w:ascii="Arial" w:eastAsia="Times New Roman" w:hAnsi="Arial" w:cs="Arial"/>
          <w:color w:val="000000"/>
          <w:sz w:val="24"/>
          <w:szCs w:val="24"/>
        </w:rPr>
        <w:t>Finally, Exhibit X-23 takes these calculations a step further to show what the potential annual cost savings could have been from reduced interest expense of using the money pool at an interest rate of 1.5666% as of December 31, 2017.  The</w:t>
      </w:r>
      <w:r w:rsidR="00C408B4">
        <w:rPr>
          <w:rFonts w:ascii="Arial" w:eastAsia="Times New Roman" w:hAnsi="Arial" w:cs="Arial"/>
          <w:color w:val="000000"/>
          <w:sz w:val="24"/>
          <w:szCs w:val="24"/>
        </w:rPr>
        <w:t xml:space="preserve"> range of</w:t>
      </w:r>
      <w:r w:rsidR="00C93C49" w:rsidRPr="00C93C49">
        <w:rPr>
          <w:rFonts w:ascii="Arial" w:eastAsia="Times New Roman" w:hAnsi="Arial" w:cs="Arial"/>
          <w:color w:val="000000"/>
          <w:sz w:val="24"/>
          <w:szCs w:val="24"/>
        </w:rPr>
        <w:t xml:space="preserve"> potential average annual cost savings for the </w:t>
      </w:r>
      <w:r w:rsidR="00DC3D9B">
        <w:rPr>
          <w:rFonts w:ascii="Arial" w:eastAsia="Times New Roman" w:hAnsi="Arial" w:cs="Arial"/>
          <w:color w:val="000000"/>
          <w:sz w:val="24"/>
          <w:szCs w:val="24"/>
        </w:rPr>
        <w:t>FE-PA companies</w:t>
      </w:r>
      <w:r w:rsidR="00C93C49" w:rsidRPr="00C93C49">
        <w:rPr>
          <w:rFonts w:ascii="Arial" w:eastAsia="Times New Roman" w:hAnsi="Arial" w:cs="Arial"/>
          <w:color w:val="000000"/>
          <w:sz w:val="24"/>
          <w:szCs w:val="24"/>
        </w:rPr>
        <w:t xml:space="preserve"> for 2014 through 2017 is approximately</w:t>
      </w:r>
      <w:r w:rsidR="003C3E11">
        <w:rPr>
          <w:rFonts w:ascii="Arial" w:eastAsia="Times New Roman" w:hAnsi="Arial" w:cs="Arial"/>
          <w:color w:val="000000"/>
          <w:sz w:val="24"/>
          <w:szCs w:val="24"/>
        </w:rPr>
        <w:t xml:space="preserve"> $39,000 to</w:t>
      </w:r>
      <w:r w:rsidR="00C93C49" w:rsidRPr="00C93C49">
        <w:rPr>
          <w:rFonts w:ascii="Arial" w:eastAsia="Times New Roman" w:hAnsi="Arial" w:cs="Arial"/>
          <w:color w:val="000000"/>
          <w:sz w:val="24"/>
          <w:szCs w:val="24"/>
        </w:rPr>
        <w:t xml:space="preserve"> $75,000 that consisted of </w:t>
      </w:r>
      <w:r w:rsidR="003C3E11">
        <w:rPr>
          <w:rFonts w:ascii="Arial" w:eastAsia="Times New Roman" w:hAnsi="Arial" w:cs="Arial"/>
          <w:color w:val="000000"/>
          <w:sz w:val="24"/>
          <w:szCs w:val="24"/>
        </w:rPr>
        <w:t xml:space="preserve">$11,000 to </w:t>
      </w:r>
      <w:r w:rsidR="00C93C49" w:rsidRPr="00C93C49">
        <w:rPr>
          <w:rFonts w:ascii="Arial" w:eastAsia="Times New Roman" w:hAnsi="Arial" w:cs="Arial"/>
          <w:color w:val="000000"/>
          <w:sz w:val="24"/>
          <w:szCs w:val="24"/>
        </w:rPr>
        <w:t xml:space="preserve">$22,000 at Met-Ed, </w:t>
      </w:r>
      <w:r w:rsidR="003C3E11">
        <w:rPr>
          <w:rFonts w:ascii="Arial" w:eastAsia="Times New Roman" w:hAnsi="Arial" w:cs="Arial"/>
          <w:color w:val="000000"/>
          <w:sz w:val="24"/>
          <w:szCs w:val="24"/>
        </w:rPr>
        <w:t xml:space="preserve">$15,000 to </w:t>
      </w:r>
      <w:r w:rsidR="00C93C49" w:rsidRPr="00C93C49">
        <w:rPr>
          <w:rFonts w:ascii="Arial" w:eastAsia="Times New Roman" w:hAnsi="Arial" w:cs="Arial"/>
          <w:color w:val="000000"/>
          <w:sz w:val="24"/>
          <w:szCs w:val="24"/>
        </w:rPr>
        <w:t xml:space="preserve">$28,000 at Penelec, </w:t>
      </w:r>
      <w:r w:rsidR="003C3E11">
        <w:rPr>
          <w:rFonts w:ascii="Arial" w:eastAsia="Times New Roman" w:hAnsi="Arial" w:cs="Arial"/>
          <w:color w:val="000000"/>
          <w:sz w:val="24"/>
          <w:szCs w:val="24"/>
        </w:rPr>
        <w:t xml:space="preserve">$2,500 to </w:t>
      </w:r>
      <w:r w:rsidR="00C93C49" w:rsidRPr="00C93C49">
        <w:rPr>
          <w:rFonts w:ascii="Arial" w:eastAsia="Times New Roman" w:hAnsi="Arial" w:cs="Arial"/>
          <w:color w:val="000000"/>
          <w:sz w:val="24"/>
          <w:szCs w:val="24"/>
        </w:rPr>
        <w:t xml:space="preserve">$5,000 at Penn Power, and </w:t>
      </w:r>
      <w:r w:rsidR="003C3E11">
        <w:rPr>
          <w:rFonts w:ascii="Arial" w:eastAsia="Times New Roman" w:hAnsi="Arial" w:cs="Arial"/>
          <w:color w:val="000000"/>
          <w:sz w:val="24"/>
          <w:szCs w:val="24"/>
        </w:rPr>
        <w:t xml:space="preserve">$10,000 to </w:t>
      </w:r>
      <w:r w:rsidR="00C93C49" w:rsidRPr="00C93C49">
        <w:rPr>
          <w:rFonts w:ascii="Arial" w:eastAsia="Times New Roman" w:hAnsi="Arial" w:cs="Arial"/>
          <w:color w:val="000000"/>
          <w:sz w:val="24"/>
          <w:szCs w:val="24"/>
        </w:rPr>
        <w:t>$20,000 at West Penn Power.</w:t>
      </w:r>
    </w:p>
    <w:p w14:paraId="6A7EA07B" w14:textId="5273931F" w:rsidR="007A3D1D" w:rsidRDefault="007A3D1D">
      <w:pPr>
        <w:rPr>
          <w:rFonts w:ascii="Arial" w:eastAsia="Times New Roman" w:hAnsi="Arial" w:cs="Arial"/>
          <w:b/>
          <w:snapToGrid w:val="0"/>
          <w:sz w:val="24"/>
          <w:szCs w:val="20"/>
        </w:rPr>
      </w:pPr>
      <w:r>
        <w:rPr>
          <w:rFonts w:ascii="Arial" w:eastAsia="Times New Roman" w:hAnsi="Arial" w:cs="Arial"/>
          <w:b/>
          <w:snapToGrid w:val="0"/>
          <w:sz w:val="24"/>
          <w:szCs w:val="20"/>
        </w:rPr>
        <w:br w:type="page"/>
      </w:r>
    </w:p>
    <w:p w14:paraId="14B6A2F9" w14:textId="77777777" w:rsidR="00C93C49" w:rsidRPr="00C93C49" w:rsidRDefault="00C93C49">
      <w:pPr>
        <w:spacing w:after="0" w:line="20" w:lineRule="atLeast"/>
        <w:jc w:val="center"/>
        <w:rPr>
          <w:rFonts w:ascii="Arial" w:eastAsia="Times New Roman" w:hAnsi="Arial" w:cs="Arial"/>
          <w:b/>
          <w:snapToGrid w:val="0"/>
          <w:sz w:val="24"/>
          <w:szCs w:val="20"/>
          <w:u w:val="single"/>
        </w:rPr>
      </w:pPr>
      <w:r w:rsidRPr="00C93C49">
        <w:rPr>
          <w:rFonts w:ascii="Arial" w:eastAsia="Times New Roman" w:hAnsi="Arial" w:cs="Arial"/>
          <w:b/>
          <w:snapToGrid w:val="0"/>
          <w:sz w:val="24"/>
          <w:szCs w:val="20"/>
        </w:rPr>
        <w:t xml:space="preserve">Exhibit X – 23 </w:t>
      </w:r>
    </w:p>
    <w:p w14:paraId="3D96F277"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0"/>
        </w:rPr>
      </w:pPr>
      <w:r w:rsidRPr="00C93C49">
        <w:rPr>
          <w:rFonts w:ascii="Arial" w:eastAsia="Calibri" w:hAnsi="Arial" w:cs="Arial"/>
          <w:b/>
          <w:sz w:val="24"/>
          <w:szCs w:val="24"/>
        </w:rPr>
        <w:t>FirstEnergy Pennsylvania Companies</w:t>
      </w:r>
      <w:r w:rsidRPr="00C93C49">
        <w:rPr>
          <w:rFonts w:ascii="Arial" w:eastAsia="Times New Roman" w:hAnsi="Arial" w:cs="Arial"/>
          <w:b/>
          <w:snapToGrid w:val="0"/>
          <w:sz w:val="24"/>
          <w:szCs w:val="20"/>
        </w:rPr>
        <w:t xml:space="preserve"> </w:t>
      </w:r>
    </w:p>
    <w:p w14:paraId="62E0880F"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Potential Annual Cost Savings from Reduced Borrowing from Money Pool</w:t>
      </w:r>
    </w:p>
    <w:p w14:paraId="5AD09691"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For the Period 2014 through 2017</w:t>
      </w:r>
    </w:p>
    <w:p w14:paraId="0F2D20D4" w14:textId="77777777" w:rsidR="00C93C49" w:rsidRPr="00C93C49" w:rsidRDefault="00C93C49" w:rsidP="00C93C49">
      <w:pPr>
        <w:widowControl w:val="0"/>
        <w:spacing w:after="0" w:line="20" w:lineRule="atLeast"/>
        <w:jc w:val="center"/>
        <w:rPr>
          <w:rFonts w:ascii="Arial" w:eastAsia="Times New Roman" w:hAnsi="Arial" w:cs="Arial"/>
          <w:b/>
          <w:snapToGrid w:val="0"/>
          <w:sz w:val="24"/>
          <w:szCs w:val="20"/>
        </w:rPr>
      </w:pPr>
    </w:p>
    <w:tbl>
      <w:tblPr>
        <w:tblW w:w="6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005"/>
        <w:gridCol w:w="2104"/>
        <w:gridCol w:w="2016"/>
      </w:tblGrid>
      <w:tr w:rsidR="00C93C49" w:rsidRPr="00C93C49" w14:paraId="21B2F457" w14:textId="77777777" w:rsidTr="00347614">
        <w:trPr>
          <w:trHeight w:val="211"/>
          <w:jc w:val="center"/>
        </w:trPr>
        <w:tc>
          <w:tcPr>
            <w:tcW w:w="661" w:type="dxa"/>
            <w:vMerge w:val="restart"/>
            <w:vAlign w:val="bottom"/>
          </w:tcPr>
          <w:p w14:paraId="51512AEC" w14:textId="77777777" w:rsidR="00C93C49" w:rsidRPr="001E45A0" w:rsidRDefault="00C93C49" w:rsidP="00C93C49">
            <w:pPr>
              <w:spacing w:after="0" w:line="20" w:lineRule="atLeast"/>
              <w:jc w:val="center"/>
              <w:rPr>
                <w:rFonts w:ascii="Arial" w:eastAsia="Times New Roman" w:hAnsi="Arial" w:cs="Arial"/>
                <w:b/>
                <w:bCs/>
                <w:color w:val="000000"/>
                <w:sz w:val="16"/>
                <w:szCs w:val="16"/>
              </w:rPr>
            </w:pPr>
            <w:r w:rsidRPr="001E45A0">
              <w:rPr>
                <w:rFonts w:ascii="Arial" w:eastAsia="Times New Roman" w:hAnsi="Arial" w:cs="Arial"/>
                <w:b/>
                <w:sz w:val="16"/>
                <w:szCs w:val="16"/>
              </w:rPr>
              <w:t>Year</w:t>
            </w:r>
          </w:p>
        </w:tc>
        <w:tc>
          <w:tcPr>
            <w:tcW w:w="2005" w:type="dxa"/>
            <w:shd w:val="clear" w:color="auto" w:fill="auto"/>
            <w:noWrap/>
            <w:vAlign w:val="bottom"/>
            <w:hideMark/>
          </w:tcPr>
          <w:p w14:paraId="31E88BA2" w14:textId="7ED0E92D" w:rsidR="00C93C49" w:rsidRPr="001E45A0" w:rsidRDefault="00C93C49" w:rsidP="00C93C49">
            <w:pPr>
              <w:spacing w:after="0" w:line="20" w:lineRule="atLeast"/>
              <w:jc w:val="center"/>
              <w:rPr>
                <w:rFonts w:ascii="Arial" w:eastAsia="Times New Roman" w:hAnsi="Arial" w:cs="Arial"/>
                <w:b/>
                <w:bCs/>
                <w:color w:val="000000"/>
                <w:sz w:val="16"/>
                <w:szCs w:val="16"/>
              </w:rPr>
            </w:pPr>
            <w:r w:rsidRPr="001E45A0">
              <w:rPr>
                <w:rFonts w:ascii="Arial" w:eastAsia="Times New Roman" w:hAnsi="Arial" w:cs="Arial"/>
                <w:b/>
                <w:bCs/>
                <w:color w:val="000000"/>
                <w:sz w:val="16"/>
                <w:szCs w:val="16"/>
              </w:rPr>
              <w:t xml:space="preserve">Cost Savings - Primary at </w:t>
            </w:r>
            <w:r w:rsidR="007A3D1D">
              <w:rPr>
                <w:rFonts w:ascii="Arial" w:eastAsia="Times New Roman" w:hAnsi="Arial" w:cs="Arial"/>
                <w:b/>
                <w:bCs/>
                <w:color w:val="000000"/>
                <w:sz w:val="16"/>
                <w:szCs w:val="16"/>
              </w:rPr>
              <w:t xml:space="preserve">5.5% to </w:t>
            </w:r>
            <w:r w:rsidRPr="001E45A0">
              <w:rPr>
                <w:rFonts w:ascii="Arial" w:eastAsia="Times New Roman" w:hAnsi="Arial" w:cs="Arial"/>
                <w:b/>
                <w:bCs/>
                <w:color w:val="000000"/>
                <w:sz w:val="16"/>
                <w:szCs w:val="16"/>
              </w:rPr>
              <w:t>11%</w:t>
            </w:r>
          </w:p>
        </w:tc>
        <w:tc>
          <w:tcPr>
            <w:tcW w:w="2104" w:type="dxa"/>
            <w:shd w:val="clear" w:color="auto" w:fill="auto"/>
            <w:noWrap/>
            <w:vAlign w:val="bottom"/>
            <w:hideMark/>
          </w:tcPr>
          <w:p w14:paraId="41418EE8" w14:textId="6ABFB84D" w:rsidR="00C93C49" w:rsidRPr="001E45A0" w:rsidRDefault="00C93C49" w:rsidP="00C93C49">
            <w:pPr>
              <w:spacing w:after="0" w:line="20" w:lineRule="atLeast"/>
              <w:jc w:val="center"/>
              <w:rPr>
                <w:rFonts w:ascii="Arial" w:eastAsia="Times New Roman" w:hAnsi="Arial" w:cs="Arial"/>
                <w:b/>
                <w:bCs/>
                <w:color w:val="000000"/>
                <w:sz w:val="16"/>
                <w:szCs w:val="16"/>
              </w:rPr>
            </w:pPr>
            <w:r w:rsidRPr="001E45A0">
              <w:rPr>
                <w:rFonts w:ascii="Arial" w:eastAsia="Times New Roman" w:hAnsi="Arial" w:cs="Arial"/>
                <w:b/>
                <w:bCs/>
                <w:color w:val="000000"/>
                <w:sz w:val="16"/>
                <w:szCs w:val="16"/>
              </w:rPr>
              <w:t>Cost Savings - Secondary at 2</w:t>
            </w:r>
            <w:r w:rsidR="00654C0E" w:rsidRPr="001E45A0">
              <w:rPr>
                <w:rFonts w:ascii="Arial" w:eastAsia="Times New Roman" w:hAnsi="Arial" w:cs="Arial"/>
                <w:b/>
                <w:bCs/>
                <w:color w:val="000000"/>
                <w:sz w:val="16"/>
                <w:szCs w:val="16"/>
              </w:rPr>
              <w:t>.5</w:t>
            </w:r>
            <w:r w:rsidRPr="001E45A0">
              <w:rPr>
                <w:rFonts w:ascii="Arial" w:eastAsia="Times New Roman" w:hAnsi="Arial" w:cs="Arial"/>
                <w:b/>
                <w:bCs/>
                <w:color w:val="000000"/>
                <w:sz w:val="16"/>
                <w:szCs w:val="16"/>
              </w:rPr>
              <w:t>%</w:t>
            </w:r>
          </w:p>
        </w:tc>
        <w:tc>
          <w:tcPr>
            <w:tcW w:w="2016" w:type="dxa"/>
            <w:vAlign w:val="bottom"/>
          </w:tcPr>
          <w:p w14:paraId="0B1437F2" w14:textId="77777777" w:rsidR="00C93C49" w:rsidRPr="001E45A0" w:rsidRDefault="00C93C49" w:rsidP="00C93C49">
            <w:pPr>
              <w:spacing w:after="0" w:line="20" w:lineRule="atLeast"/>
              <w:jc w:val="center"/>
              <w:rPr>
                <w:rFonts w:ascii="Arial" w:eastAsia="Times New Roman" w:hAnsi="Arial" w:cs="Arial"/>
                <w:b/>
                <w:bCs/>
                <w:color w:val="000000"/>
                <w:sz w:val="16"/>
                <w:szCs w:val="16"/>
              </w:rPr>
            </w:pPr>
            <w:r w:rsidRPr="001E45A0">
              <w:rPr>
                <w:rFonts w:ascii="Arial" w:eastAsia="Times New Roman" w:hAnsi="Arial" w:cs="Arial"/>
                <w:b/>
                <w:bCs/>
                <w:color w:val="000000"/>
                <w:sz w:val="16"/>
                <w:szCs w:val="16"/>
              </w:rPr>
              <w:t>Total Potential Cost Savings</w:t>
            </w:r>
          </w:p>
        </w:tc>
      </w:tr>
      <w:tr w:rsidR="00C93C49" w:rsidRPr="00C93C49" w14:paraId="1A363CD4" w14:textId="77777777" w:rsidTr="00347614">
        <w:trPr>
          <w:trHeight w:val="211"/>
          <w:jc w:val="center"/>
        </w:trPr>
        <w:tc>
          <w:tcPr>
            <w:tcW w:w="661" w:type="dxa"/>
            <w:vMerge/>
            <w:vAlign w:val="bottom"/>
          </w:tcPr>
          <w:p w14:paraId="695474A3" w14:textId="77777777" w:rsidR="00C93C49" w:rsidRPr="001E45A0" w:rsidRDefault="00C93C49" w:rsidP="00C93C49">
            <w:pPr>
              <w:spacing w:after="0" w:line="20" w:lineRule="atLeast"/>
              <w:jc w:val="center"/>
              <w:rPr>
                <w:rFonts w:ascii="Arial" w:eastAsia="Times New Roman" w:hAnsi="Arial" w:cs="Arial"/>
                <w:b/>
                <w:bCs/>
                <w:color w:val="000000"/>
                <w:sz w:val="16"/>
                <w:szCs w:val="16"/>
              </w:rPr>
            </w:pPr>
          </w:p>
        </w:tc>
        <w:tc>
          <w:tcPr>
            <w:tcW w:w="6125" w:type="dxa"/>
            <w:gridSpan w:val="3"/>
            <w:shd w:val="clear" w:color="auto" w:fill="auto"/>
            <w:noWrap/>
            <w:vAlign w:val="bottom"/>
            <w:hideMark/>
          </w:tcPr>
          <w:p w14:paraId="680B728B" w14:textId="77777777" w:rsidR="00C93C49" w:rsidRPr="001E45A0" w:rsidRDefault="00C93C49" w:rsidP="00C93C49">
            <w:pPr>
              <w:spacing w:after="0" w:line="20" w:lineRule="atLeast"/>
              <w:jc w:val="center"/>
              <w:rPr>
                <w:rFonts w:ascii="Arial" w:eastAsia="Times New Roman" w:hAnsi="Arial" w:cs="Arial"/>
                <w:b/>
                <w:bCs/>
                <w:color w:val="000000"/>
                <w:sz w:val="16"/>
                <w:szCs w:val="16"/>
              </w:rPr>
            </w:pPr>
            <w:r w:rsidRPr="001E45A0">
              <w:rPr>
                <w:rFonts w:ascii="Arial" w:eastAsia="Times New Roman" w:hAnsi="Arial" w:cs="Arial"/>
                <w:b/>
                <w:bCs/>
                <w:color w:val="000000"/>
                <w:sz w:val="16"/>
                <w:szCs w:val="16"/>
              </w:rPr>
              <w:t>FE-PA Companies</w:t>
            </w:r>
          </w:p>
        </w:tc>
      </w:tr>
      <w:tr w:rsidR="0016233B" w:rsidRPr="00C93C49" w14:paraId="512AB171" w14:textId="77777777" w:rsidTr="0016233B">
        <w:trPr>
          <w:trHeight w:val="211"/>
          <w:jc w:val="center"/>
        </w:trPr>
        <w:tc>
          <w:tcPr>
            <w:tcW w:w="661" w:type="dxa"/>
            <w:vAlign w:val="bottom"/>
          </w:tcPr>
          <w:p w14:paraId="2DC84DEF" w14:textId="77777777" w:rsidR="0016233B" w:rsidRPr="001E45A0" w:rsidRDefault="0016233B"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b/>
                <w:snapToGrid w:val="0"/>
                <w:sz w:val="16"/>
                <w:szCs w:val="16"/>
              </w:rPr>
              <w:t>2014</w:t>
            </w:r>
          </w:p>
        </w:tc>
        <w:tc>
          <w:tcPr>
            <w:tcW w:w="2005" w:type="dxa"/>
            <w:shd w:val="clear" w:color="auto" w:fill="auto"/>
            <w:noWrap/>
            <w:vAlign w:val="bottom"/>
            <w:hideMark/>
          </w:tcPr>
          <w:p w14:paraId="794D7806" w14:textId="296B0A3A" w:rsidR="0016233B" w:rsidRPr="001E45A0" w:rsidRDefault="0016233B"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$25,855 - </w:t>
            </w:r>
            <w:r w:rsidRPr="001E45A0">
              <w:rPr>
                <w:rFonts w:ascii="Arial" w:eastAsia="Times New Roman" w:hAnsi="Arial" w:cs="Arial"/>
                <w:color w:val="000000"/>
                <w:sz w:val="16"/>
                <w:szCs w:val="16"/>
              </w:rPr>
              <w:t>$59,010</w:t>
            </w:r>
          </w:p>
        </w:tc>
        <w:tc>
          <w:tcPr>
            <w:tcW w:w="2104" w:type="dxa"/>
            <w:shd w:val="clear" w:color="auto" w:fill="auto"/>
            <w:noWrap/>
            <w:vAlign w:val="bottom"/>
            <w:hideMark/>
          </w:tcPr>
          <w:p w14:paraId="764FCC00" w14:textId="2DF99191" w:rsidR="0016233B" w:rsidRPr="001E45A0" w:rsidRDefault="0016233B"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color w:val="000000"/>
                <w:sz w:val="16"/>
                <w:szCs w:val="16"/>
              </w:rPr>
              <w:t>$6,818</w:t>
            </w:r>
          </w:p>
        </w:tc>
        <w:tc>
          <w:tcPr>
            <w:tcW w:w="2016" w:type="dxa"/>
            <w:vAlign w:val="bottom"/>
          </w:tcPr>
          <w:p w14:paraId="5F476641" w14:textId="771494F9" w:rsidR="0016233B" w:rsidRPr="001E45A0" w:rsidRDefault="0016233B"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$32,673 - </w:t>
            </w:r>
            <w:r w:rsidRPr="001E45A0">
              <w:rPr>
                <w:rFonts w:ascii="Arial" w:eastAsia="Times New Roman" w:hAnsi="Arial" w:cs="Arial"/>
                <w:color w:val="000000"/>
                <w:sz w:val="16"/>
                <w:szCs w:val="16"/>
              </w:rPr>
              <w:t>$65,828</w:t>
            </w:r>
          </w:p>
        </w:tc>
      </w:tr>
      <w:tr w:rsidR="0016233B" w:rsidRPr="00C93C49" w14:paraId="7786FED3" w14:textId="77777777" w:rsidTr="0016233B">
        <w:trPr>
          <w:trHeight w:val="211"/>
          <w:jc w:val="center"/>
        </w:trPr>
        <w:tc>
          <w:tcPr>
            <w:tcW w:w="661" w:type="dxa"/>
            <w:vAlign w:val="bottom"/>
          </w:tcPr>
          <w:p w14:paraId="6DE6101E" w14:textId="77777777" w:rsidR="0016233B" w:rsidRPr="001E45A0" w:rsidRDefault="0016233B"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b/>
                <w:snapToGrid w:val="0"/>
                <w:sz w:val="16"/>
                <w:szCs w:val="16"/>
              </w:rPr>
              <w:t>2015</w:t>
            </w:r>
          </w:p>
        </w:tc>
        <w:tc>
          <w:tcPr>
            <w:tcW w:w="2005" w:type="dxa"/>
            <w:shd w:val="clear" w:color="auto" w:fill="auto"/>
            <w:noWrap/>
            <w:vAlign w:val="bottom"/>
            <w:hideMark/>
          </w:tcPr>
          <w:p w14:paraId="1B933763" w14:textId="0E77AA27" w:rsidR="0016233B" w:rsidRPr="001E45A0" w:rsidRDefault="0016233B"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$30,603 - </w:t>
            </w:r>
            <w:r w:rsidRPr="001E45A0">
              <w:rPr>
                <w:rFonts w:ascii="Arial" w:eastAsia="Times New Roman" w:hAnsi="Arial" w:cs="Arial"/>
                <w:color w:val="000000"/>
                <w:sz w:val="16"/>
                <w:szCs w:val="16"/>
              </w:rPr>
              <w:t>$71,460</w:t>
            </w:r>
          </w:p>
        </w:tc>
        <w:tc>
          <w:tcPr>
            <w:tcW w:w="2104" w:type="dxa"/>
            <w:shd w:val="clear" w:color="auto" w:fill="auto"/>
            <w:noWrap/>
            <w:vAlign w:val="bottom"/>
            <w:hideMark/>
          </w:tcPr>
          <w:p w14:paraId="6A608C50" w14:textId="61552351" w:rsidR="0016233B" w:rsidRPr="001E45A0" w:rsidRDefault="0016233B"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color w:val="000000"/>
                <w:sz w:val="16"/>
                <w:szCs w:val="16"/>
              </w:rPr>
              <w:t>$13,677</w:t>
            </w:r>
          </w:p>
        </w:tc>
        <w:tc>
          <w:tcPr>
            <w:tcW w:w="2016" w:type="dxa"/>
            <w:vAlign w:val="bottom"/>
          </w:tcPr>
          <w:p w14:paraId="69EE56DB" w14:textId="2F6C6C46" w:rsidR="0016233B" w:rsidRPr="001E45A0" w:rsidRDefault="00C408B4"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$44,280 - </w:t>
            </w:r>
            <w:r w:rsidR="0016233B" w:rsidRPr="001E45A0">
              <w:rPr>
                <w:rFonts w:ascii="Arial" w:eastAsia="Times New Roman" w:hAnsi="Arial" w:cs="Arial"/>
                <w:color w:val="000000"/>
                <w:sz w:val="16"/>
                <w:szCs w:val="16"/>
              </w:rPr>
              <w:t>$85,137</w:t>
            </w:r>
          </w:p>
        </w:tc>
      </w:tr>
      <w:tr w:rsidR="0016233B" w:rsidRPr="00C93C49" w14:paraId="251057C1" w14:textId="77777777" w:rsidTr="0016233B">
        <w:trPr>
          <w:trHeight w:val="211"/>
          <w:jc w:val="center"/>
        </w:trPr>
        <w:tc>
          <w:tcPr>
            <w:tcW w:w="661" w:type="dxa"/>
            <w:vAlign w:val="bottom"/>
          </w:tcPr>
          <w:p w14:paraId="10EADABE" w14:textId="77777777" w:rsidR="0016233B" w:rsidRPr="001E45A0" w:rsidRDefault="0016233B"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b/>
                <w:snapToGrid w:val="0"/>
                <w:sz w:val="16"/>
                <w:szCs w:val="16"/>
              </w:rPr>
              <w:t>2016</w:t>
            </w:r>
          </w:p>
        </w:tc>
        <w:tc>
          <w:tcPr>
            <w:tcW w:w="2005" w:type="dxa"/>
            <w:shd w:val="clear" w:color="auto" w:fill="auto"/>
            <w:noWrap/>
            <w:vAlign w:val="bottom"/>
            <w:hideMark/>
          </w:tcPr>
          <w:p w14:paraId="687B1495" w14:textId="40545D83" w:rsidR="0016233B" w:rsidRPr="001E45A0" w:rsidRDefault="0016233B"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$31,800 - </w:t>
            </w:r>
            <w:r w:rsidRPr="001E45A0">
              <w:rPr>
                <w:rFonts w:ascii="Arial" w:eastAsia="Times New Roman" w:hAnsi="Arial" w:cs="Arial"/>
                <w:color w:val="000000"/>
                <w:sz w:val="16"/>
                <w:szCs w:val="16"/>
              </w:rPr>
              <w:t>$74,196</w:t>
            </w:r>
          </w:p>
        </w:tc>
        <w:tc>
          <w:tcPr>
            <w:tcW w:w="2104" w:type="dxa"/>
            <w:shd w:val="clear" w:color="auto" w:fill="auto"/>
            <w:noWrap/>
            <w:vAlign w:val="bottom"/>
            <w:hideMark/>
          </w:tcPr>
          <w:p w14:paraId="043BAFAE" w14:textId="48C44635" w:rsidR="0016233B" w:rsidRPr="001E45A0" w:rsidRDefault="0016233B"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color w:val="000000"/>
                <w:sz w:val="16"/>
                <w:szCs w:val="16"/>
              </w:rPr>
              <w:t>$8,899</w:t>
            </w:r>
          </w:p>
        </w:tc>
        <w:tc>
          <w:tcPr>
            <w:tcW w:w="2016" w:type="dxa"/>
            <w:vAlign w:val="bottom"/>
          </w:tcPr>
          <w:p w14:paraId="2E8AFCC8" w14:textId="2CC637F8" w:rsidR="0016233B" w:rsidRPr="001E45A0" w:rsidRDefault="00C408B4"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$40,699 - </w:t>
            </w:r>
            <w:r w:rsidR="0016233B" w:rsidRPr="001E45A0">
              <w:rPr>
                <w:rFonts w:ascii="Arial" w:eastAsia="Times New Roman" w:hAnsi="Arial" w:cs="Arial"/>
                <w:color w:val="000000"/>
                <w:sz w:val="16"/>
                <w:szCs w:val="16"/>
              </w:rPr>
              <w:t>$83,095</w:t>
            </w:r>
          </w:p>
        </w:tc>
      </w:tr>
      <w:tr w:rsidR="0016233B" w:rsidRPr="00C93C49" w14:paraId="660F248B" w14:textId="77777777" w:rsidTr="0016233B">
        <w:trPr>
          <w:trHeight w:val="211"/>
          <w:jc w:val="center"/>
        </w:trPr>
        <w:tc>
          <w:tcPr>
            <w:tcW w:w="661" w:type="dxa"/>
            <w:vAlign w:val="bottom"/>
          </w:tcPr>
          <w:p w14:paraId="7F0356F2" w14:textId="77777777" w:rsidR="0016233B" w:rsidRPr="001E45A0" w:rsidRDefault="0016233B"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b/>
                <w:snapToGrid w:val="0"/>
                <w:sz w:val="16"/>
                <w:szCs w:val="16"/>
              </w:rPr>
              <w:t>2017</w:t>
            </w:r>
          </w:p>
        </w:tc>
        <w:tc>
          <w:tcPr>
            <w:tcW w:w="2005" w:type="dxa"/>
            <w:shd w:val="clear" w:color="auto" w:fill="auto"/>
            <w:noWrap/>
            <w:vAlign w:val="bottom"/>
            <w:hideMark/>
          </w:tcPr>
          <w:p w14:paraId="2663982A" w14:textId="6A43D4E5" w:rsidR="0016233B" w:rsidRPr="001E45A0" w:rsidRDefault="0016233B"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$30,225 - </w:t>
            </w:r>
            <w:r w:rsidRPr="001E45A0">
              <w:rPr>
                <w:rFonts w:ascii="Arial" w:eastAsia="Times New Roman" w:hAnsi="Arial" w:cs="Arial"/>
                <w:color w:val="000000"/>
                <w:sz w:val="16"/>
                <w:szCs w:val="16"/>
              </w:rPr>
              <w:t>$71,769</w:t>
            </w:r>
          </w:p>
        </w:tc>
        <w:tc>
          <w:tcPr>
            <w:tcW w:w="2104" w:type="dxa"/>
            <w:shd w:val="clear" w:color="auto" w:fill="auto"/>
            <w:noWrap/>
            <w:vAlign w:val="bottom"/>
            <w:hideMark/>
          </w:tcPr>
          <w:p w14:paraId="5721F0FA" w14:textId="4B5E0155" w:rsidR="0016233B" w:rsidRPr="001E45A0" w:rsidRDefault="0016233B"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color w:val="000000"/>
                <w:sz w:val="16"/>
                <w:szCs w:val="16"/>
              </w:rPr>
              <w:t>$8,457</w:t>
            </w:r>
          </w:p>
        </w:tc>
        <w:tc>
          <w:tcPr>
            <w:tcW w:w="2016" w:type="dxa"/>
            <w:vAlign w:val="bottom"/>
          </w:tcPr>
          <w:p w14:paraId="7B50CE81" w14:textId="7065E45B" w:rsidR="0016233B" w:rsidRPr="001E45A0" w:rsidRDefault="00C408B4"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$38,682 - </w:t>
            </w:r>
            <w:r w:rsidR="0016233B" w:rsidRPr="001E45A0">
              <w:rPr>
                <w:rFonts w:ascii="Arial" w:eastAsia="Times New Roman" w:hAnsi="Arial" w:cs="Arial"/>
                <w:color w:val="000000"/>
                <w:sz w:val="16"/>
                <w:szCs w:val="16"/>
              </w:rPr>
              <w:t>$80,226</w:t>
            </w:r>
          </w:p>
        </w:tc>
      </w:tr>
      <w:tr w:rsidR="00C93C49" w:rsidRPr="00C93C49" w14:paraId="5A321971" w14:textId="77777777" w:rsidTr="00347614">
        <w:trPr>
          <w:trHeight w:val="211"/>
          <w:jc w:val="center"/>
        </w:trPr>
        <w:tc>
          <w:tcPr>
            <w:tcW w:w="661" w:type="dxa"/>
            <w:vAlign w:val="bottom"/>
          </w:tcPr>
          <w:p w14:paraId="6DF9E819" w14:textId="77777777" w:rsidR="00C93C49" w:rsidRPr="001E45A0" w:rsidRDefault="00C93C49" w:rsidP="00C93C49">
            <w:pPr>
              <w:spacing w:after="0" w:line="20" w:lineRule="atLeast"/>
              <w:jc w:val="center"/>
              <w:rPr>
                <w:rFonts w:ascii="Arial" w:eastAsia="Times New Roman" w:hAnsi="Arial" w:cs="Arial"/>
                <w:b/>
                <w:bCs/>
                <w:color w:val="000000"/>
                <w:sz w:val="16"/>
                <w:szCs w:val="16"/>
              </w:rPr>
            </w:pPr>
          </w:p>
        </w:tc>
        <w:tc>
          <w:tcPr>
            <w:tcW w:w="6125" w:type="dxa"/>
            <w:gridSpan w:val="3"/>
            <w:shd w:val="clear" w:color="auto" w:fill="auto"/>
            <w:noWrap/>
            <w:vAlign w:val="bottom"/>
            <w:hideMark/>
          </w:tcPr>
          <w:p w14:paraId="2749EDBC" w14:textId="77777777" w:rsidR="00C93C49" w:rsidRPr="001E45A0" w:rsidRDefault="00C93C49" w:rsidP="00C93C49">
            <w:pPr>
              <w:spacing w:after="0" w:line="20" w:lineRule="atLeast"/>
              <w:jc w:val="center"/>
              <w:rPr>
                <w:rFonts w:ascii="Arial" w:eastAsia="Times New Roman" w:hAnsi="Arial" w:cs="Arial"/>
                <w:b/>
                <w:bCs/>
                <w:color w:val="000000"/>
                <w:sz w:val="16"/>
                <w:szCs w:val="16"/>
              </w:rPr>
            </w:pPr>
            <w:r w:rsidRPr="001E45A0">
              <w:rPr>
                <w:rFonts w:ascii="Arial" w:eastAsia="Times New Roman" w:hAnsi="Arial" w:cs="Arial"/>
                <w:b/>
                <w:bCs/>
                <w:color w:val="000000"/>
                <w:sz w:val="16"/>
                <w:szCs w:val="16"/>
              </w:rPr>
              <w:t>Met-Ed</w:t>
            </w:r>
          </w:p>
        </w:tc>
      </w:tr>
      <w:tr w:rsidR="0016233B" w:rsidRPr="00C93C49" w14:paraId="466CA8CD" w14:textId="77777777" w:rsidTr="0016233B">
        <w:trPr>
          <w:trHeight w:val="211"/>
          <w:jc w:val="center"/>
        </w:trPr>
        <w:tc>
          <w:tcPr>
            <w:tcW w:w="661" w:type="dxa"/>
            <w:vAlign w:val="bottom"/>
          </w:tcPr>
          <w:p w14:paraId="4F06DD37" w14:textId="77777777" w:rsidR="0016233B" w:rsidRPr="001E45A0" w:rsidRDefault="0016233B"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b/>
                <w:snapToGrid w:val="0"/>
                <w:sz w:val="16"/>
                <w:szCs w:val="16"/>
              </w:rPr>
              <w:t>2014</w:t>
            </w:r>
          </w:p>
        </w:tc>
        <w:tc>
          <w:tcPr>
            <w:tcW w:w="2005" w:type="dxa"/>
            <w:shd w:val="clear" w:color="auto" w:fill="auto"/>
            <w:noWrap/>
            <w:vAlign w:val="bottom"/>
            <w:hideMark/>
          </w:tcPr>
          <w:p w14:paraId="14AC5FE0" w14:textId="013C4D83" w:rsidR="0016233B" w:rsidRPr="001E45A0" w:rsidRDefault="0016233B"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$7,674 - </w:t>
            </w:r>
            <w:r w:rsidRPr="001E45A0">
              <w:rPr>
                <w:rFonts w:ascii="Arial" w:eastAsia="Times New Roman" w:hAnsi="Arial" w:cs="Arial"/>
                <w:color w:val="000000"/>
                <w:sz w:val="16"/>
                <w:szCs w:val="16"/>
              </w:rPr>
              <w:t>$18,035</w:t>
            </w:r>
          </w:p>
        </w:tc>
        <w:tc>
          <w:tcPr>
            <w:tcW w:w="2104" w:type="dxa"/>
            <w:shd w:val="clear" w:color="auto" w:fill="auto"/>
            <w:noWrap/>
            <w:vAlign w:val="bottom"/>
            <w:hideMark/>
          </w:tcPr>
          <w:p w14:paraId="3B0E9F85" w14:textId="0FF66608" w:rsidR="0016233B" w:rsidRPr="001E45A0" w:rsidRDefault="0016233B"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color w:val="000000"/>
                <w:sz w:val="16"/>
                <w:szCs w:val="16"/>
              </w:rPr>
              <w:t>$2,024</w:t>
            </w:r>
          </w:p>
        </w:tc>
        <w:tc>
          <w:tcPr>
            <w:tcW w:w="2016" w:type="dxa"/>
            <w:vAlign w:val="bottom"/>
          </w:tcPr>
          <w:p w14:paraId="1B813220" w14:textId="7AB4F4D4" w:rsidR="0016233B" w:rsidRPr="001E45A0" w:rsidRDefault="00C408B4"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$9,698 - </w:t>
            </w:r>
            <w:r w:rsidR="0016233B" w:rsidRPr="001E45A0">
              <w:rPr>
                <w:rFonts w:ascii="Arial" w:eastAsia="Times New Roman" w:hAnsi="Arial" w:cs="Arial"/>
                <w:color w:val="000000"/>
                <w:sz w:val="16"/>
                <w:szCs w:val="16"/>
              </w:rPr>
              <w:t>$20,059</w:t>
            </w:r>
          </w:p>
        </w:tc>
      </w:tr>
      <w:tr w:rsidR="0016233B" w:rsidRPr="00C93C49" w14:paraId="75A57695" w14:textId="77777777" w:rsidTr="0016233B">
        <w:trPr>
          <w:trHeight w:val="211"/>
          <w:jc w:val="center"/>
        </w:trPr>
        <w:tc>
          <w:tcPr>
            <w:tcW w:w="661" w:type="dxa"/>
            <w:vAlign w:val="bottom"/>
          </w:tcPr>
          <w:p w14:paraId="51949CA2" w14:textId="77777777" w:rsidR="0016233B" w:rsidRPr="001E45A0" w:rsidRDefault="0016233B"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b/>
                <w:snapToGrid w:val="0"/>
                <w:sz w:val="16"/>
                <w:szCs w:val="16"/>
              </w:rPr>
              <w:t>2015</w:t>
            </w:r>
          </w:p>
        </w:tc>
        <w:tc>
          <w:tcPr>
            <w:tcW w:w="2005" w:type="dxa"/>
            <w:shd w:val="clear" w:color="auto" w:fill="auto"/>
            <w:noWrap/>
            <w:vAlign w:val="bottom"/>
            <w:hideMark/>
          </w:tcPr>
          <w:p w14:paraId="25A5984C" w14:textId="1D9C57E1" w:rsidR="0016233B" w:rsidRPr="001E45A0" w:rsidRDefault="0016233B"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$9,022 - </w:t>
            </w:r>
            <w:r w:rsidRPr="001E45A0">
              <w:rPr>
                <w:rFonts w:ascii="Arial" w:eastAsia="Times New Roman" w:hAnsi="Arial" w:cs="Arial"/>
                <w:color w:val="000000"/>
                <w:sz w:val="16"/>
                <w:szCs w:val="16"/>
              </w:rPr>
              <w:t>$22,095</w:t>
            </w:r>
          </w:p>
        </w:tc>
        <w:tc>
          <w:tcPr>
            <w:tcW w:w="2104" w:type="dxa"/>
            <w:shd w:val="clear" w:color="auto" w:fill="auto"/>
            <w:noWrap/>
            <w:vAlign w:val="bottom"/>
            <w:hideMark/>
          </w:tcPr>
          <w:p w14:paraId="44368E73" w14:textId="0B216480" w:rsidR="0016233B" w:rsidRPr="001E45A0" w:rsidRDefault="0016233B"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color w:val="000000"/>
                <w:sz w:val="16"/>
                <w:szCs w:val="16"/>
              </w:rPr>
              <w:t>$3,756</w:t>
            </w:r>
          </w:p>
        </w:tc>
        <w:tc>
          <w:tcPr>
            <w:tcW w:w="2016" w:type="dxa"/>
            <w:vAlign w:val="bottom"/>
          </w:tcPr>
          <w:p w14:paraId="33CA5ED9" w14:textId="1B19432A" w:rsidR="0016233B" w:rsidRPr="001E45A0" w:rsidRDefault="00C408B4"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$12,779 - </w:t>
            </w:r>
            <w:r w:rsidR="0016233B" w:rsidRPr="001E45A0">
              <w:rPr>
                <w:rFonts w:ascii="Arial" w:eastAsia="Times New Roman" w:hAnsi="Arial" w:cs="Arial"/>
                <w:color w:val="000000"/>
                <w:sz w:val="16"/>
                <w:szCs w:val="16"/>
              </w:rPr>
              <w:t>$25,851</w:t>
            </w:r>
          </w:p>
        </w:tc>
      </w:tr>
      <w:tr w:rsidR="0016233B" w:rsidRPr="00C93C49" w14:paraId="1C1D631E" w14:textId="77777777" w:rsidTr="0016233B">
        <w:trPr>
          <w:trHeight w:val="211"/>
          <w:jc w:val="center"/>
        </w:trPr>
        <w:tc>
          <w:tcPr>
            <w:tcW w:w="661" w:type="dxa"/>
            <w:vAlign w:val="bottom"/>
          </w:tcPr>
          <w:p w14:paraId="67C32478" w14:textId="77777777" w:rsidR="0016233B" w:rsidRPr="001E45A0" w:rsidRDefault="0016233B"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b/>
                <w:snapToGrid w:val="0"/>
                <w:sz w:val="16"/>
                <w:szCs w:val="16"/>
              </w:rPr>
              <w:t>2016</w:t>
            </w:r>
          </w:p>
        </w:tc>
        <w:tc>
          <w:tcPr>
            <w:tcW w:w="2005" w:type="dxa"/>
            <w:shd w:val="clear" w:color="auto" w:fill="auto"/>
            <w:noWrap/>
            <w:vAlign w:val="bottom"/>
            <w:hideMark/>
          </w:tcPr>
          <w:p w14:paraId="6FCE0C94" w14:textId="5DB11BB0" w:rsidR="0016233B" w:rsidRPr="001E45A0" w:rsidRDefault="0016233B"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$9,002 - </w:t>
            </w:r>
            <w:r w:rsidRPr="001E45A0">
              <w:rPr>
                <w:rFonts w:ascii="Arial" w:eastAsia="Times New Roman" w:hAnsi="Arial" w:cs="Arial"/>
                <w:color w:val="000000"/>
                <w:sz w:val="16"/>
                <w:szCs w:val="16"/>
              </w:rPr>
              <w:t>$22,053</w:t>
            </w:r>
          </w:p>
        </w:tc>
        <w:tc>
          <w:tcPr>
            <w:tcW w:w="2104" w:type="dxa"/>
            <w:shd w:val="clear" w:color="auto" w:fill="auto"/>
            <w:noWrap/>
            <w:vAlign w:val="bottom"/>
            <w:hideMark/>
          </w:tcPr>
          <w:p w14:paraId="096D9650" w14:textId="333272BB" w:rsidR="0016233B" w:rsidRPr="001E45A0" w:rsidRDefault="0016233B"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color w:val="000000"/>
                <w:sz w:val="16"/>
                <w:szCs w:val="16"/>
              </w:rPr>
              <w:t>$1,769</w:t>
            </w:r>
          </w:p>
        </w:tc>
        <w:tc>
          <w:tcPr>
            <w:tcW w:w="2016" w:type="dxa"/>
            <w:vAlign w:val="bottom"/>
          </w:tcPr>
          <w:p w14:paraId="560515AD" w14:textId="31684CEC" w:rsidR="0016233B" w:rsidRPr="001E45A0" w:rsidRDefault="00C408B4"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$10,771 - </w:t>
            </w:r>
            <w:r w:rsidR="0016233B" w:rsidRPr="001E45A0">
              <w:rPr>
                <w:rFonts w:ascii="Arial" w:eastAsia="Times New Roman" w:hAnsi="Arial" w:cs="Arial"/>
                <w:color w:val="000000"/>
                <w:sz w:val="16"/>
                <w:szCs w:val="16"/>
              </w:rPr>
              <w:t>$23,822</w:t>
            </w:r>
          </w:p>
        </w:tc>
      </w:tr>
      <w:tr w:rsidR="0016233B" w:rsidRPr="00C93C49" w14:paraId="7A12B871" w14:textId="77777777" w:rsidTr="0016233B">
        <w:trPr>
          <w:trHeight w:val="211"/>
          <w:jc w:val="center"/>
        </w:trPr>
        <w:tc>
          <w:tcPr>
            <w:tcW w:w="661" w:type="dxa"/>
            <w:vAlign w:val="bottom"/>
          </w:tcPr>
          <w:p w14:paraId="2E704480" w14:textId="77777777" w:rsidR="0016233B" w:rsidRPr="001E45A0" w:rsidRDefault="0016233B"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b/>
                <w:snapToGrid w:val="0"/>
                <w:sz w:val="16"/>
                <w:szCs w:val="16"/>
              </w:rPr>
              <w:t>2017</w:t>
            </w:r>
          </w:p>
        </w:tc>
        <w:tc>
          <w:tcPr>
            <w:tcW w:w="2005" w:type="dxa"/>
            <w:shd w:val="clear" w:color="auto" w:fill="auto"/>
            <w:noWrap/>
            <w:vAlign w:val="bottom"/>
            <w:hideMark/>
          </w:tcPr>
          <w:p w14:paraId="48A2A5AB" w14:textId="6049CEC8" w:rsidR="0016233B" w:rsidRPr="001E45A0" w:rsidRDefault="0016233B"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$8,604 - </w:t>
            </w:r>
            <w:r w:rsidRPr="001E45A0">
              <w:rPr>
                <w:rFonts w:ascii="Arial" w:eastAsia="Times New Roman" w:hAnsi="Arial" w:cs="Arial"/>
                <w:color w:val="000000"/>
                <w:sz w:val="16"/>
                <w:szCs w:val="16"/>
              </w:rPr>
              <w:t>$21,068</w:t>
            </w:r>
          </w:p>
        </w:tc>
        <w:tc>
          <w:tcPr>
            <w:tcW w:w="2104" w:type="dxa"/>
            <w:shd w:val="clear" w:color="auto" w:fill="auto"/>
            <w:noWrap/>
            <w:vAlign w:val="bottom"/>
            <w:hideMark/>
          </w:tcPr>
          <w:p w14:paraId="65FC41A6" w14:textId="095BBD2C" w:rsidR="0016233B" w:rsidRPr="001E45A0" w:rsidRDefault="0016233B"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color w:val="000000"/>
                <w:sz w:val="16"/>
                <w:szCs w:val="16"/>
              </w:rPr>
              <w:t>$3,169</w:t>
            </w:r>
          </w:p>
        </w:tc>
        <w:tc>
          <w:tcPr>
            <w:tcW w:w="2016" w:type="dxa"/>
            <w:vAlign w:val="bottom"/>
          </w:tcPr>
          <w:p w14:paraId="609CCA88" w14:textId="1F7506BF" w:rsidR="0016233B" w:rsidRPr="001E45A0" w:rsidRDefault="00C408B4"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$11,773 - </w:t>
            </w:r>
            <w:r w:rsidR="0016233B" w:rsidRPr="001E45A0">
              <w:rPr>
                <w:rFonts w:ascii="Arial" w:eastAsia="Times New Roman" w:hAnsi="Arial" w:cs="Arial"/>
                <w:color w:val="000000"/>
                <w:sz w:val="16"/>
                <w:szCs w:val="16"/>
              </w:rPr>
              <w:t>$24,237</w:t>
            </w:r>
          </w:p>
        </w:tc>
      </w:tr>
      <w:tr w:rsidR="00C93C49" w:rsidRPr="00C93C49" w14:paraId="7F891F4D" w14:textId="77777777" w:rsidTr="00347614">
        <w:trPr>
          <w:trHeight w:val="211"/>
          <w:jc w:val="center"/>
        </w:trPr>
        <w:tc>
          <w:tcPr>
            <w:tcW w:w="661" w:type="dxa"/>
            <w:vAlign w:val="bottom"/>
          </w:tcPr>
          <w:p w14:paraId="3B3ABC9D" w14:textId="77777777" w:rsidR="00C93C49" w:rsidRPr="001E45A0" w:rsidRDefault="00C93C49" w:rsidP="00C93C49">
            <w:pPr>
              <w:spacing w:after="0" w:line="20" w:lineRule="atLeast"/>
              <w:jc w:val="center"/>
              <w:rPr>
                <w:rFonts w:ascii="Arial" w:eastAsia="Times New Roman" w:hAnsi="Arial" w:cs="Arial"/>
                <w:b/>
                <w:bCs/>
                <w:color w:val="000000"/>
                <w:sz w:val="16"/>
                <w:szCs w:val="16"/>
              </w:rPr>
            </w:pPr>
          </w:p>
        </w:tc>
        <w:tc>
          <w:tcPr>
            <w:tcW w:w="6125" w:type="dxa"/>
            <w:gridSpan w:val="3"/>
            <w:shd w:val="clear" w:color="auto" w:fill="auto"/>
            <w:noWrap/>
            <w:vAlign w:val="bottom"/>
            <w:hideMark/>
          </w:tcPr>
          <w:p w14:paraId="5762ACB9" w14:textId="77777777" w:rsidR="00C93C49" w:rsidRPr="001E45A0" w:rsidRDefault="00C93C49" w:rsidP="00C93C49">
            <w:pPr>
              <w:spacing w:after="0" w:line="20" w:lineRule="atLeast"/>
              <w:jc w:val="center"/>
              <w:rPr>
                <w:rFonts w:ascii="Arial" w:eastAsia="Times New Roman" w:hAnsi="Arial" w:cs="Arial"/>
                <w:b/>
                <w:bCs/>
                <w:color w:val="000000"/>
                <w:sz w:val="16"/>
                <w:szCs w:val="16"/>
              </w:rPr>
            </w:pPr>
            <w:r w:rsidRPr="001E45A0">
              <w:rPr>
                <w:rFonts w:ascii="Arial" w:eastAsia="Times New Roman" w:hAnsi="Arial" w:cs="Arial"/>
                <w:b/>
                <w:bCs/>
                <w:color w:val="000000"/>
                <w:sz w:val="16"/>
                <w:szCs w:val="16"/>
              </w:rPr>
              <w:t>Penelec</w:t>
            </w:r>
          </w:p>
        </w:tc>
      </w:tr>
      <w:tr w:rsidR="0016233B" w:rsidRPr="00C93C49" w14:paraId="18EEE542" w14:textId="77777777" w:rsidTr="0016233B">
        <w:trPr>
          <w:trHeight w:val="211"/>
          <w:jc w:val="center"/>
        </w:trPr>
        <w:tc>
          <w:tcPr>
            <w:tcW w:w="661" w:type="dxa"/>
            <w:vAlign w:val="bottom"/>
          </w:tcPr>
          <w:p w14:paraId="4A82D4F8" w14:textId="77777777" w:rsidR="0016233B" w:rsidRPr="001E45A0" w:rsidRDefault="0016233B"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b/>
                <w:snapToGrid w:val="0"/>
                <w:sz w:val="16"/>
                <w:szCs w:val="16"/>
              </w:rPr>
              <w:t>2014</w:t>
            </w:r>
          </w:p>
        </w:tc>
        <w:tc>
          <w:tcPr>
            <w:tcW w:w="2005" w:type="dxa"/>
            <w:shd w:val="clear" w:color="auto" w:fill="auto"/>
            <w:noWrap/>
            <w:vAlign w:val="bottom"/>
            <w:hideMark/>
          </w:tcPr>
          <w:p w14:paraId="2A32C2B5" w14:textId="15DD2707" w:rsidR="0016233B" w:rsidRPr="001E45A0" w:rsidRDefault="0016233B"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$11,041 - </w:t>
            </w:r>
            <w:r w:rsidRPr="001E45A0">
              <w:rPr>
                <w:rFonts w:ascii="Arial" w:eastAsia="Times New Roman" w:hAnsi="Arial" w:cs="Arial"/>
                <w:color w:val="000000"/>
                <w:sz w:val="16"/>
                <w:szCs w:val="16"/>
              </w:rPr>
              <w:t>$24,142</w:t>
            </w:r>
          </w:p>
        </w:tc>
        <w:tc>
          <w:tcPr>
            <w:tcW w:w="2104" w:type="dxa"/>
            <w:shd w:val="clear" w:color="auto" w:fill="auto"/>
            <w:noWrap/>
            <w:vAlign w:val="bottom"/>
            <w:hideMark/>
          </w:tcPr>
          <w:p w14:paraId="3E6EBA04" w14:textId="679084FB" w:rsidR="0016233B" w:rsidRPr="001E45A0" w:rsidRDefault="0016233B"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color w:val="000000"/>
                <w:sz w:val="16"/>
                <w:szCs w:val="16"/>
              </w:rPr>
              <w:t>$3,016</w:t>
            </w:r>
          </w:p>
        </w:tc>
        <w:tc>
          <w:tcPr>
            <w:tcW w:w="2016" w:type="dxa"/>
            <w:vAlign w:val="bottom"/>
          </w:tcPr>
          <w:p w14:paraId="7682F49B" w14:textId="2E4A88D8" w:rsidR="0016233B" w:rsidRPr="001E45A0" w:rsidRDefault="00C408B4"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$14,057 - </w:t>
            </w:r>
            <w:r w:rsidR="0016233B" w:rsidRPr="001E45A0">
              <w:rPr>
                <w:rFonts w:ascii="Arial" w:eastAsia="Times New Roman" w:hAnsi="Arial" w:cs="Arial"/>
                <w:color w:val="000000"/>
                <w:sz w:val="16"/>
                <w:szCs w:val="16"/>
              </w:rPr>
              <w:t>$27,158</w:t>
            </w:r>
          </w:p>
        </w:tc>
      </w:tr>
      <w:tr w:rsidR="00C408B4" w:rsidRPr="00C93C49" w14:paraId="3C46B38A" w14:textId="77777777" w:rsidTr="00C57851">
        <w:trPr>
          <w:trHeight w:val="211"/>
          <w:jc w:val="center"/>
        </w:trPr>
        <w:tc>
          <w:tcPr>
            <w:tcW w:w="661" w:type="dxa"/>
            <w:vAlign w:val="bottom"/>
          </w:tcPr>
          <w:p w14:paraId="1FDDCDB3" w14:textId="77777777" w:rsidR="00C408B4" w:rsidRPr="001E45A0" w:rsidRDefault="00C408B4"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b/>
                <w:snapToGrid w:val="0"/>
                <w:sz w:val="16"/>
                <w:szCs w:val="16"/>
              </w:rPr>
              <w:t>2015</w:t>
            </w:r>
          </w:p>
        </w:tc>
        <w:tc>
          <w:tcPr>
            <w:tcW w:w="2005" w:type="dxa"/>
            <w:shd w:val="clear" w:color="auto" w:fill="auto"/>
            <w:noWrap/>
            <w:vAlign w:val="bottom"/>
            <w:hideMark/>
          </w:tcPr>
          <w:p w14:paraId="11C1884D" w14:textId="3BEB752B" w:rsidR="00C408B4" w:rsidRPr="001E45A0" w:rsidRDefault="00C408B4"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$12,219 - </w:t>
            </w:r>
            <w:r w:rsidRPr="001E45A0">
              <w:rPr>
                <w:rFonts w:ascii="Arial" w:eastAsia="Times New Roman" w:hAnsi="Arial" w:cs="Arial"/>
                <w:color w:val="000000"/>
                <w:sz w:val="16"/>
                <w:szCs w:val="16"/>
              </w:rPr>
              <w:t>$27,513</w:t>
            </w:r>
            <w:r>
              <w:rPr>
                <w:rFonts w:ascii="Arial" w:eastAsia="Times New Roman" w:hAnsi="Arial" w:cs="Arial"/>
                <w:color w:val="000000"/>
                <w:sz w:val="16"/>
                <w:szCs w:val="16"/>
              </w:rPr>
              <w:t xml:space="preserve"> </w:t>
            </w:r>
          </w:p>
        </w:tc>
        <w:tc>
          <w:tcPr>
            <w:tcW w:w="2104" w:type="dxa"/>
            <w:shd w:val="clear" w:color="auto" w:fill="auto"/>
            <w:noWrap/>
            <w:vAlign w:val="bottom"/>
            <w:hideMark/>
          </w:tcPr>
          <w:p w14:paraId="5886853B" w14:textId="7C70A360" w:rsidR="00C408B4" w:rsidRPr="001E45A0" w:rsidRDefault="00C408B4"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color w:val="000000"/>
                <w:sz w:val="16"/>
                <w:szCs w:val="16"/>
              </w:rPr>
              <w:t>$6,000</w:t>
            </w:r>
          </w:p>
        </w:tc>
        <w:tc>
          <w:tcPr>
            <w:tcW w:w="2016" w:type="dxa"/>
            <w:vAlign w:val="bottom"/>
          </w:tcPr>
          <w:p w14:paraId="374A6663" w14:textId="0838A313" w:rsidR="00C408B4" w:rsidRPr="001E45A0" w:rsidRDefault="00C408B4"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$18,219 - </w:t>
            </w:r>
            <w:r w:rsidRPr="001E45A0">
              <w:rPr>
                <w:rFonts w:ascii="Arial" w:eastAsia="Times New Roman" w:hAnsi="Arial" w:cs="Arial"/>
                <w:color w:val="000000"/>
                <w:sz w:val="16"/>
                <w:szCs w:val="16"/>
              </w:rPr>
              <w:t>$33,513</w:t>
            </w:r>
          </w:p>
        </w:tc>
      </w:tr>
      <w:tr w:rsidR="00C408B4" w:rsidRPr="00C93C49" w14:paraId="60192713" w14:textId="77777777" w:rsidTr="00C57851">
        <w:trPr>
          <w:trHeight w:val="211"/>
          <w:jc w:val="center"/>
        </w:trPr>
        <w:tc>
          <w:tcPr>
            <w:tcW w:w="661" w:type="dxa"/>
            <w:vAlign w:val="bottom"/>
          </w:tcPr>
          <w:p w14:paraId="7F628B39" w14:textId="77777777" w:rsidR="00C408B4" w:rsidRPr="001E45A0" w:rsidRDefault="00C408B4"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b/>
                <w:snapToGrid w:val="0"/>
                <w:sz w:val="16"/>
                <w:szCs w:val="16"/>
              </w:rPr>
              <w:t>2016</w:t>
            </w:r>
          </w:p>
        </w:tc>
        <w:tc>
          <w:tcPr>
            <w:tcW w:w="2005" w:type="dxa"/>
            <w:shd w:val="clear" w:color="auto" w:fill="auto"/>
            <w:noWrap/>
            <w:vAlign w:val="bottom"/>
            <w:hideMark/>
          </w:tcPr>
          <w:p w14:paraId="1CCAF4D9" w14:textId="4A3139B4" w:rsidR="00C408B4" w:rsidRPr="001E45A0" w:rsidRDefault="00C408B4"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$11,712 - </w:t>
            </w:r>
            <w:r w:rsidRPr="001E45A0">
              <w:rPr>
                <w:rFonts w:ascii="Arial" w:eastAsia="Times New Roman" w:hAnsi="Arial" w:cs="Arial"/>
                <w:color w:val="000000"/>
                <w:sz w:val="16"/>
                <w:szCs w:val="16"/>
              </w:rPr>
              <w:t>$26,420</w:t>
            </w:r>
          </w:p>
        </w:tc>
        <w:tc>
          <w:tcPr>
            <w:tcW w:w="2104" w:type="dxa"/>
            <w:shd w:val="clear" w:color="auto" w:fill="auto"/>
            <w:noWrap/>
            <w:vAlign w:val="bottom"/>
            <w:hideMark/>
          </w:tcPr>
          <w:p w14:paraId="2F873D8A" w14:textId="7FD4B37D" w:rsidR="00C408B4" w:rsidRPr="001E45A0" w:rsidRDefault="00C408B4"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color w:val="000000"/>
                <w:sz w:val="16"/>
                <w:szCs w:val="16"/>
              </w:rPr>
              <w:t>$3,711</w:t>
            </w:r>
          </w:p>
        </w:tc>
        <w:tc>
          <w:tcPr>
            <w:tcW w:w="2016" w:type="dxa"/>
            <w:vAlign w:val="bottom"/>
          </w:tcPr>
          <w:p w14:paraId="185DC347" w14:textId="1DF6CD54" w:rsidR="00C408B4" w:rsidRPr="001E45A0" w:rsidRDefault="00C408B4"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$15,422 - </w:t>
            </w:r>
            <w:r w:rsidRPr="001E45A0">
              <w:rPr>
                <w:rFonts w:ascii="Arial" w:eastAsia="Times New Roman" w:hAnsi="Arial" w:cs="Arial"/>
                <w:color w:val="000000"/>
                <w:sz w:val="16"/>
                <w:szCs w:val="16"/>
              </w:rPr>
              <w:t>$30,131</w:t>
            </w:r>
          </w:p>
        </w:tc>
      </w:tr>
      <w:tr w:rsidR="00C408B4" w:rsidRPr="00C93C49" w14:paraId="6B11E93A" w14:textId="77777777" w:rsidTr="00C57851">
        <w:trPr>
          <w:trHeight w:val="211"/>
          <w:jc w:val="center"/>
        </w:trPr>
        <w:tc>
          <w:tcPr>
            <w:tcW w:w="661" w:type="dxa"/>
            <w:vAlign w:val="bottom"/>
          </w:tcPr>
          <w:p w14:paraId="3FFCEB27" w14:textId="77777777" w:rsidR="00C408B4" w:rsidRPr="001E45A0" w:rsidRDefault="00C408B4"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b/>
                <w:snapToGrid w:val="0"/>
                <w:sz w:val="16"/>
                <w:szCs w:val="16"/>
              </w:rPr>
              <w:t>2017</w:t>
            </w:r>
          </w:p>
        </w:tc>
        <w:tc>
          <w:tcPr>
            <w:tcW w:w="2005" w:type="dxa"/>
            <w:shd w:val="clear" w:color="auto" w:fill="auto"/>
            <w:noWrap/>
            <w:vAlign w:val="bottom"/>
            <w:hideMark/>
          </w:tcPr>
          <w:p w14:paraId="0511F77C" w14:textId="78A9DBE0" w:rsidR="00C408B4" w:rsidRPr="001E45A0" w:rsidRDefault="00C408B4"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$9,838 - </w:t>
            </w:r>
            <w:r w:rsidRPr="001E45A0">
              <w:rPr>
                <w:rFonts w:ascii="Arial" w:eastAsia="Times New Roman" w:hAnsi="Arial" w:cs="Arial"/>
                <w:color w:val="000000"/>
                <w:sz w:val="16"/>
                <w:szCs w:val="16"/>
              </w:rPr>
              <w:t>$23,301</w:t>
            </w:r>
          </w:p>
        </w:tc>
        <w:tc>
          <w:tcPr>
            <w:tcW w:w="2104" w:type="dxa"/>
            <w:shd w:val="clear" w:color="auto" w:fill="auto"/>
            <w:noWrap/>
            <w:vAlign w:val="bottom"/>
            <w:hideMark/>
          </w:tcPr>
          <w:p w14:paraId="24335FDE" w14:textId="202FE05E" w:rsidR="00C408B4" w:rsidRPr="001E45A0" w:rsidRDefault="00C408B4"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color w:val="000000"/>
                <w:sz w:val="16"/>
                <w:szCs w:val="16"/>
              </w:rPr>
              <w:t>$2,523</w:t>
            </w:r>
          </w:p>
        </w:tc>
        <w:tc>
          <w:tcPr>
            <w:tcW w:w="2016" w:type="dxa"/>
            <w:vAlign w:val="bottom"/>
          </w:tcPr>
          <w:p w14:paraId="0AE76B74" w14:textId="67BF293F" w:rsidR="00C408B4" w:rsidRPr="001E45A0" w:rsidRDefault="00C408B4"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$12,361 - </w:t>
            </w:r>
            <w:r w:rsidRPr="001E45A0">
              <w:rPr>
                <w:rFonts w:ascii="Arial" w:eastAsia="Times New Roman" w:hAnsi="Arial" w:cs="Arial"/>
                <w:color w:val="000000"/>
                <w:sz w:val="16"/>
                <w:szCs w:val="16"/>
              </w:rPr>
              <w:t>$25,824</w:t>
            </w:r>
          </w:p>
        </w:tc>
      </w:tr>
      <w:tr w:rsidR="00C93C49" w:rsidRPr="00C93C49" w14:paraId="0592939C" w14:textId="77777777" w:rsidTr="00347614">
        <w:trPr>
          <w:trHeight w:val="211"/>
          <w:jc w:val="center"/>
        </w:trPr>
        <w:tc>
          <w:tcPr>
            <w:tcW w:w="661" w:type="dxa"/>
            <w:vAlign w:val="bottom"/>
          </w:tcPr>
          <w:p w14:paraId="292D36BB" w14:textId="77777777" w:rsidR="00C93C49" w:rsidRPr="001E45A0" w:rsidRDefault="00C93C49" w:rsidP="00C93C49">
            <w:pPr>
              <w:spacing w:after="0" w:line="20" w:lineRule="atLeast"/>
              <w:jc w:val="center"/>
              <w:rPr>
                <w:rFonts w:ascii="Arial" w:eastAsia="Times New Roman" w:hAnsi="Arial" w:cs="Arial"/>
                <w:b/>
                <w:bCs/>
                <w:color w:val="000000"/>
                <w:sz w:val="16"/>
                <w:szCs w:val="16"/>
              </w:rPr>
            </w:pPr>
          </w:p>
        </w:tc>
        <w:tc>
          <w:tcPr>
            <w:tcW w:w="6125" w:type="dxa"/>
            <w:gridSpan w:val="3"/>
            <w:shd w:val="clear" w:color="auto" w:fill="auto"/>
            <w:noWrap/>
            <w:vAlign w:val="bottom"/>
            <w:hideMark/>
          </w:tcPr>
          <w:p w14:paraId="469963B3" w14:textId="77777777" w:rsidR="00C93C49" w:rsidRPr="001E45A0" w:rsidRDefault="00C93C49" w:rsidP="00C93C49">
            <w:pPr>
              <w:spacing w:after="0" w:line="20" w:lineRule="atLeast"/>
              <w:jc w:val="center"/>
              <w:rPr>
                <w:rFonts w:ascii="Arial" w:eastAsia="Times New Roman" w:hAnsi="Arial" w:cs="Arial"/>
                <w:b/>
                <w:bCs/>
                <w:color w:val="000000"/>
                <w:sz w:val="16"/>
                <w:szCs w:val="16"/>
              </w:rPr>
            </w:pPr>
            <w:r w:rsidRPr="001E45A0">
              <w:rPr>
                <w:rFonts w:ascii="Arial" w:eastAsia="Times New Roman" w:hAnsi="Arial" w:cs="Arial"/>
                <w:b/>
                <w:bCs/>
                <w:color w:val="000000"/>
                <w:sz w:val="16"/>
                <w:szCs w:val="16"/>
              </w:rPr>
              <w:t>Penn Power</w:t>
            </w:r>
          </w:p>
        </w:tc>
      </w:tr>
      <w:tr w:rsidR="00C408B4" w:rsidRPr="00C93C49" w14:paraId="5CF658E9" w14:textId="77777777" w:rsidTr="00C57851">
        <w:trPr>
          <w:trHeight w:val="211"/>
          <w:jc w:val="center"/>
        </w:trPr>
        <w:tc>
          <w:tcPr>
            <w:tcW w:w="661" w:type="dxa"/>
            <w:vAlign w:val="bottom"/>
          </w:tcPr>
          <w:p w14:paraId="63358962" w14:textId="77777777" w:rsidR="00C408B4" w:rsidRPr="001E45A0" w:rsidRDefault="00C408B4"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b/>
                <w:snapToGrid w:val="0"/>
                <w:sz w:val="16"/>
                <w:szCs w:val="16"/>
              </w:rPr>
              <w:t>2014</w:t>
            </w:r>
          </w:p>
        </w:tc>
        <w:tc>
          <w:tcPr>
            <w:tcW w:w="2005" w:type="dxa"/>
            <w:shd w:val="clear" w:color="auto" w:fill="auto"/>
            <w:noWrap/>
            <w:vAlign w:val="bottom"/>
            <w:hideMark/>
          </w:tcPr>
          <w:p w14:paraId="2E59E2F0" w14:textId="4D1B7C54" w:rsidR="00C408B4" w:rsidRPr="001E45A0" w:rsidRDefault="00C408B4"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$1,414 - </w:t>
            </w:r>
            <w:r w:rsidRPr="001E45A0">
              <w:rPr>
                <w:rFonts w:ascii="Arial" w:eastAsia="Times New Roman" w:hAnsi="Arial" w:cs="Arial"/>
                <w:color w:val="000000"/>
                <w:sz w:val="16"/>
                <w:szCs w:val="16"/>
              </w:rPr>
              <w:t>$3,227</w:t>
            </w:r>
          </w:p>
        </w:tc>
        <w:tc>
          <w:tcPr>
            <w:tcW w:w="2104" w:type="dxa"/>
            <w:shd w:val="clear" w:color="auto" w:fill="auto"/>
            <w:noWrap/>
            <w:vAlign w:val="bottom"/>
            <w:hideMark/>
          </w:tcPr>
          <w:p w14:paraId="16A9FAD5" w14:textId="2B9E5172" w:rsidR="00C408B4" w:rsidRPr="001E45A0" w:rsidRDefault="00C408B4"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color w:val="000000"/>
                <w:sz w:val="16"/>
                <w:szCs w:val="16"/>
              </w:rPr>
              <w:t>$354</w:t>
            </w:r>
          </w:p>
        </w:tc>
        <w:tc>
          <w:tcPr>
            <w:tcW w:w="2016" w:type="dxa"/>
            <w:vAlign w:val="bottom"/>
          </w:tcPr>
          <w:p w14:paraId="6C3F8C4D" w14:textId="73A74A0B" w:rsidR="00C408B4" w:rsidRPr="001E45A0" w:rsidRDefault="00C408B4"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$1,769 - </w:t>
            </w:r>
            <w:r w:rsidRPr="001E45A0">
              <w:rPr>
                <w:rFonts w:ascii="Arial" w:eastAsia="Times New Roman" w:hAnsi="Arial" w:cs="Arial"/>
                <w:color w:val="000000"/>
                <w:sz w:val="16"/>
                <w:szCs w:val="16"/>
              </w:rPr>
              <w:t>$3,581</w:t>
            </w:r>
          </w:p>
        </w:tc>
      </w:tr>
      <w:tr w:rsidR="00C408B4" w:rsidRPr="00C93C49" w14:paraId="128CFC2C" w14:textId="77777777" w:rsidTr="00C57851">
        <w:trPr>
          <w:trHeight w:val="211"/>
          <w:jc w:val="center"/>
        </w:trPr>
        <w:tc>
          <w:tcPr>
            <w:tcW w:w="661" w:type="dxa"/>
            <w:vAlign w:val="bottom"/>
          </w:tcPr>
          <w:p w14:paraId="71BDD50F" w14:textId="77777777" w:rsidR="00C408B4" w:rsidRPr="001E45A0" w:rsidRDefault="00C408B4"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b/>
                <w:snapToGrid w:val="0"/>
                <w:sz w:val="16"/>
                <w:szCs w:val="16"/>
              </w:rPr>
              <w:t>2015</w:t>
            </w:r>
          </w:p>
        </w:tc>
        <w:tc>
          <w:tcPr>
            <w:tcW w:w="2005" w:type="dxa"/>
            <w:shd w:val="clear" w:color="auto" w:fill="auto"/>
            <w:noWrap/>
            <w:vAlign w:val="bottom"/>
            <w:hideMark/>
          </w:tcPr>
          <w:p w14:paraId="0EB0C286" w14:textId="583A39E5" w:rsidR="00C408B4" w:rsidRPr="001E45A0" w:rsidRDefault="00C408B4"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$1,906 - </w:t>
            </w:r>
            <w:r w:rsidRPr="001E45A0">
              <w:rPr>
                <w:rFonts w:ascii="Arial" w:eastAsia="Times New Roman" w:hAnsi="Arial" w:cs="Arial"/>
                <w:color w:val="000000"/>
                <w:sz w:val="16"/>
                <w:szCs w:val="16"/>
              </w:rPr>
              <w:t>$4,379</w:t>
            </w:r>
          </w:p>
        </w:tc>
        <w:tc>
          <w:tcPr>
            <w:tcW w:w="2104" w:type="dxa"/>
            <w:shd w:val="clear" w:color="auto" w:fill="auto"/>
            <w:noWrap/>
            <w:vAlign w:val="bottom"/>
            <w:hideMark/>
          </w:tcPr>
          <w:p w14:paraId="1B31D8BF" w14:textId="73D07AB5" w:rsidR="00C408B4" w:rsidRPr="001E45A0" w:rsidRDefault="00C408B4"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color w:val="000000"/>
                <w:sz w:val="16"/>
                <w:szCs w:val="16"/>
              </w:rPr>
              <w:t>$623</w:t>
            </w:r>
          </w:p>
        </w:tc>
        <w:tc>
          <w:tcPr>
            <w:tcW w:w="2016" w:type="dxa"/>
            <w:vAlign w:val="bottom"/>
          </w:tcPr>
          <w:p w14:paraId="6CC311C1" w14:textId="2000758E" w:rsidR="00C408B4" w:rsidRPr="001E45A0" w:rsidRDefault="00C408B4"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$2,529 - </w:t>
            </w:r>
            <w:r w:rsidRPr="001E45A0">
              <w:rPr>
                <w:rFonts w:ascii="Arial" w:eastAsia="Times New Roman" w:hAnsi="Arial" w:cs="Arial"/>
                <w:color w:val="000000"/>
                <w:sz w:val="16"/>
                <w:szCs w:val="16"/>
              </w:rPr>
              <w:t>$5,002</w:t>
            </w:r>
          </w:p>
        </w:tc>
      </w:tr>
      <w:tr w:rsidR="00C408B4" w:rsidRPr="00C93C49" w14:paraId="5D305A6D" w14:textId="77777777" w:rsidTr="00C57851">
        <w:trPr>
          <w:trHeight w:val="211"/>
          <w:jc w:val="center"/>
        </w:trPr>
        <w:tc>
          <w:tcPr>
            <w:tcW w:w="661" w:type="dxa"/>
            <w:vAlign w:val="bottom"/>
          </w:tcPr>
          <w:p w14:paraId="45B2DC8E" w14:textId="77777777" w:rsidR="00C408B4" w:rsidRPr="001E45A0" w:rsidRDefault="00C408B4"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b/>
                <w:snapToGrid w:val="0"/>
                <w:sz w:val="16"/>
                <w:szCs w:val="16"/>
              </w:rPr>
              <w:t>2016</w:t>
            </w:r>
          </w:p>
        </w:tc>
        <w:tc>
          <w:tcPr>
            <w:tcW w:w="2005" w:type="dxa"/>
            <w:shd w:val="clear" w:color="auto" w:fill="auto"/>
            <w:noWrap/>
            <w:vAlign w:val="bottom"/>
            <w:hideMark/>
          </w:tcPr>
          <w:p w14:paraId="720FF716" w14:textId="2FF912DD" w:rsidR="00C408B4" w:rsidRPr="001E45A0" w:rsidRDefault="00C408B4"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$2,163 - </w:t>
            </w:r>
            <w:r w:rsidRPr="001E45A0">
              <w:rPr>
                <w:rFonts w:ascii="Arial" w:eastAsia="Times New Roman" w:hAnsi="Arial" w:cs="Arial"/>
                <w:color w:val="000000"/>
                <w:sz w:val="16"/>
                <w:szCs w:val="16"/>
              </w:rPr>
              <w:t>$4,892</w:t>
            </w:r>
          </w:p>
        </w:tc>
        <w:tc>
          <w:tcPr>
            <w:tcW w:w="2104" w:type="dxa"/>
            <w:shd w:val="clear" w:color="auto" w:fill="auto"/>
            <w:noWrap/>
            <w:vAlign w:val="bottom"/>
            <w:hideMark/>
          </w:tcPr>
          <w:p w14:paraId="7882C511" w14:textId="4CAA8F8B" w:rsidR="00C408B4" w:rsidRPr="001E45A0" w:rsidRDefault="00C408B4"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color w:val="000000"/>
                <w:sz w:val="16"/>
                <w:szCs w:val="16"/>
              </w:rPr>
              <w:t>$725</w:t>
            </w:r>
          </w:p>
        </w:tc>
        <w:tc>
          <w:tcPr>
            <w:tcW w:w="2016" w:type="dxa"/>
            <w:vAlign w:val="bottom"/>
          </w:tcPr>
          <w:p w14:paraId="64BDB75D" w14:textId="4651A1DC" w:rsidR="00C408B4" w:rsidRPr="001E45A0" w:rsidRDefault="00C408B4"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$2,888 - </w:t>
            </w:r>
            <w:r w:rsidRPr="001E45A0">
              <w:rPr>
                <w:rFonts w:ascii="Arial" w:eastAsia="Times New Roman" w:hAnsi="Arial" w:cs="Arial"/>
                <w:color w:val="000000"/>
                <w:sz w:val="16"/>
                <w:szCs w:val="16"/>
              </w:rPr>
              <w:t>$5,617</w:t>
            </w:r>
          </w:p>
        </w:tc>
      </w:tr>
      <w:tr w:rsidR="00C408B4" w:rsidRPr="00C93C49" w14:paraId="30862438" w14:textId="77777777" w:rsidTr="00C57851">
        <w:trPr>
          <w:trHeight w:val="211"/>
          <w:jc w:val="center"/>
        </w:trPr>
        <w:tc>
          <w:tcPr>
            <w:tcW w:w="661" w:type="dxa"/>
            <w:vAlign w:val="bottom"/>
          </w:tcPr>
          <w:p w14:paraId="2309FA2A" w14:textId="77777777" w:rsidR="00C408B4" w:rsidRPr="001E45A0" w:rsidRDefault="00C408B4"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b/>
                <w:snapToGrid w:val="0"/>
                <w:sz w:val="16"/>
                <w:szCs w:val="16"/>
              </w:rPr>
              <w:t>2017</w:t>
            </w:r>
          </w:p>
        </w:tc>
        <w:tc>
          <w:tcPr>
            <w:tcW w:w="2005" w:type="dxa"/>
            <w:shd w:val="clear" w:color="auto" w:fill="auto"/>
            <w:noWrap/>
            <w:vAlign w:val="bottom"/>
            <w:hideMark/>
          </w:tcPr>
          <w:p w14:paraId="2D5ABDBB" w14:textId="07C809E4" w:rsidR="00C408B4" w:rsidRPr="001E45A0" w:rsidRDefault="00C408B4"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$2,212 - </w:t>
            </w:r>
            <w:r w:rsidRPr="001E45A0">
              <w:rPr>
                <w:rFonts w:ascii="Arial" w:eastAsia="Times New Roman" w:hAnsi="Arial" w:cs="Arial"/>
                <w:color w:val="000000"/>
                <w:sz w:val="16"/>
                <w:szCs w:val="16"/>
              </w:rPr>
              <w:t>$5,058</w:t>
            </w:r>
          </w:p>
        </w:tc>
        <w:tc>
          <w:tcPr>
            <w:tcW w:w="2104" w:type="dxa"/>
            <w:shd w:val="clear" w:color="auto" w:fill="auto"/>
            <w:noWrap/>
            <w:vAlign w:val="bottom"/>
            <w:hideMark/>
          </w:tcPr>
          <w:p w14:paraId="266F0AE8" w14:textId="44BB5102" w:rsidR="00C408B4" w:rsidRPr="001E45A0" w:rsidRDefault="00C408B4"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color w:val="000000"/>
                <w:sz w:val="16"/>
                <w:szCs w:val="16"/>
              </w:rPr>
              <w:t>$440</w:t>
            </w:r>
          </w:p>
        </w:tc>
        <w:tc>
          <w:tcPr>
            <w:tcW w:w="2016" w:type="dxa"/>
            <w:vAlign w:val="bottom"/>
          </w:tcPr>
          <w:p w14:paraId="26E4BF28" w14:textId="611F9CA1" w:rsidR="00C408B4" w:rsidRPr="001E45A0" w:rsidRDefault="00C408B4"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$2,653 - </w:t>
            </w:r>
            <w:r w:rsidRPr="001E45A0">
              <w:rPr>
                <w:rFonts w:ascii="Arial" w:eastAsia="Times New Roman" w:hAnsi="Arial" w:cs="Arial"/>
                <w:color w:val="000000"/>
                <w:sz w:val="16"/>
                <w:szCs w:val="16"/>
              </w:rPr>
              <w:t>$5,498</w:t>
            </w:r>
          </w:p>
        </w:tc>
      </w:tr>
      <w:tr w:rsidR="00C93C49" w:rsidRPr="00C93C49" w14:paraId="0F5ECDCE" w14:textId="77777777" w:rsidTr="00347614">
        <w:trPr>
          <w:trHeight w:val="211"/>
          <w:jc w:val="center"/>
        </w:trPr>
        <w:tc>
          <w:tcPr>
            <w:tcW w:w="661" w:type="dxa"/>
            <w:vAlign w:val="bottom"/>
          </w:tcPr>
          <w:p w14:paraId="25284526" w14:textId="77777777" w:rsidR="00C93C49" w:rsidRPr="001E45A0" w:rsidRDefault="00C93C49" w:rsidP="00C93C49">
            <w:pPr>
              <w:spacing w:after="0" w:line="20" w:lineRule="atLeast"/>
              <w:jc w:val="center"/>
              <w:rPr>
                <w:rFonts w:ascii="Arial" w:eastAsia="Times New Roman" w:hAnsi="Arial" w:cs="Arial"/>
                <w:b/>
                <w:bCs/>
                <w:color w:val="000000"/>
                <w:sz w:val="16"/>
                <w:szCs w:val="16"/>
              </w:rPr>
            </w:pPr>
          </w:p>
        </w:tc>
        <w:tc>
          <w:tcPr>
            <w:tcW w:w="6125" w:type="dxa"/>
            <w:gridSpan w:val="3"/>
            <w:shd w:val="clear" w:color="auto" w:fill="auto"/>
            <w:noWrap/>
            <w:vAlign w:val="bottom"/>
            <w:hideMark/>
          </w:tcPr>
          <w:p w14:paraId="14F17D40" w14:textId="77777777" w:rsidR="00C93C49" w:rsidRPr="001E45A0" w:rsidRDefault="00C93C49" w:rsidP="00C93C49">
            <w:pPr>
              <w:spacing w:after="0" w:line="20" w:lineRule="atLeast"/>
              <w:jc w:val="center"/>
              <w:rPr>
                <w:rFonts w:ascii="Arial" w:eastAsia="Times New Roman" w:hAnsi="Arial" w:cs="Arial"/>
                <w:b/>
                <w:bCs/>
                <w:color w:val="000000"/>
                <w:sz w:val="16"/>
                <w:szCs w:val="16"/>
              </w:rPr>
            </w:pPr>
            <w:r w:rsidRPr="001E45A0">
              <w:rPr>
                <w:rFonts w:ascii="Arial" w:eastAsia="Times New Roman" w:hAnsi="Arial" w:cs="Arial"/>
                <w:b/>
                <w:bCs/>
                <w:color w:val="000000"/>
                <w:sz w:val="16"/>
                <w:szCs w:val="16"/>
              </w:rPr>
              <w:t>West Penn Power</w:t>
            </w:r>
          </w:p>
        </w:tc>
      </w:tr>
      <w:tr w:rsidR="00C408B4" w:rsidRPr="00C93C49" w14:paraId="23832DFE" w14:textId="77777777" w:rsidTr="00C57851">
        <w:trPr>
          <w:trHeight w:val="211"/>
          <w:jc w:val="center"/>
        </w:trPr>
        <w:tc>
          <w:tcPr>
            <w:tcW w:w="661" w:type="dxa"/>
            <w:vAlign w:val="bottom"/>
          </w:tcPr>
          <w:p w14:paraId="430A0B3D" w14:textId="77777777" w:rsidR="00C408B4" w:rsidRPr="001E45A0" w:rsidRDefault="00C408B4"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b/>
                <w:snapToGrid w:val="0"/>
                <w:sz w:val="16"/>
                <w:szCs w:val="16"/>
              </w:rPr>
              <w:t>2014</w:t>
            </w:r>
          </w:p>
        </w:tc>
        <w:tc>
          <w:tcPr>
            <w:tcW w:w="2005" w:type="dxa"/>
            <w:shd w:val="clear" w:color="auto" w:fill="auto"/>
            <w:noWrap/>
            <w:vAlign w:val="bottom"/>
            <w:hideMark/>
          </w:tcPr>
          <w:p w14:paraId="757B14CB" w14:textId="751C9FF1" w:rsidR="00C408B4" w:rsidRPr="001E45A0" w:rsidRDefault="00C408B4"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$5,725 - </w:t>
            </w:r>
            <w:r w:rsidRPr="001E45A0">
              <w:rPr>
                <w:rFonts w:ascii="Arial" w:eastAsia="Times New Roman" w:hAnsi="Arial" w:cs="Arial"/>
                <w:color w:val="000000"/>
                <w:sz w:val="16"/>
                <w:szCs w:val="16"/>
              </w:rPr>
              <w:t>$13,606</w:t>
            </w:r>
          </w:p>
        </w:tc>
        <w:tc>
          <w:tcPr>
            <w:tcW w:w="2104" w:type="dxa"/>
            <w:shd w:val="clear" w:color="auto" w:fill="auto"/>
            <w:noWrap/>
            <w:vAlign w:val="bottom"/>
            <w:hideMark/>
          </w:tcPr>
          <w:p w14:paraId="7173E3B7" w14:textId="14C8C3B4" w:rsidR="00C408B4" w:rsidRPr="001E45A0" w:rsidRDefault="00C408B4"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color w:val="000000"/>
                <w:sz w:val="16"/>
                <w:szCs w:val="16"/>
              </w:rPr>
              <w:t>$1,424</w:t>
            </w:r>
          </w:p>
        </w:tc>
        <w:tc>
          <w:tcPr>
            <w:tcW w:w="2016" w:type="dxa"/>
            <w:vAlign w:val="bottom"/>
          </w:tcPr>
          <w:p w14:paraId="74C0CCF1" w14:textId="7508837D" w:rsidR="00C408B4" w:rsidRPr="001E45A0" w:rsidRDefault="00C408B4"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$7,149 - </w:t>
            </w:r>
            <w:r w:rsidRPr="001E45A0">
              <w:rPr>
                <w:rFonts w:ascii="Arial" w:eastAsia="Times New Roman" w:hAnsi="Arial" w:cs="Arial"/>
                <w:color w:val="000000"/>
                <w:sz w:val="16"/>
                <w:szCs w:val="16"/>
              </w:rPr>
              <w:t>$15,030</w:t>
            </w:r>
          </w:p>
        </w:tc>
      </w:tr>
      <w:tr w:rsidR="00C408B4" w:rsidRPr="00C93C49" w14:paraId="2558E035" w14:textId="77777777" w:rsidTr="00C57851">
        <w:trPr>
          <w:trHeight w:val="62"/>
          <w:jc w:val="center"/>
        </w:trPr>
        <w:tc>
          <w:tcPr>
            <w:tcW w:w="661" w:type="dxa"/>
            <w:vAlign w:val="bottom"/>
          </w:tcPr>
          <w:p w14:paraId="7A88273C" w14:textId="77777777" w:rsidR="00C408B4" w:rsidRPr="001E45A0" w:rsidRDefault="00C408B4"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b/>
                <w:snapToGrid w:val="0"/>
                <w:sz w:val="16"/>
                <w:szCs w:val="16"/>
              </w:rPr>
              <w:t>2015</w:t>
            </w:r>
          </w:p>
        </w:tc>
        <w:tc>
          <w:tcPr>
            <w:tcW w:w="2005" w:type="dxa"/>
            <w:shd w:val="clear" w:color="auto" w:fill="auto"/>
            <w:noWrap/>
            <w:vAlign w:val="bottom"/>
            <w:hideMark/>
          </w:tcPr>
          <w:p w14:paraId="09AEC878" w14:textId="51870C13" w:rsidR="00C408B4" w:rsidRPr="001E45A0" w:rsidRDefault="00C408B4"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$7,455 - </w:t>
            </w:r>
            <w:r w:rsidRPr="001E45A0">
              <w:rPr>
                <w:rFonts w:ascii="Arial" w:eastAsia="Times New Roman" w:hAnsi="Arial" w:cs="Arial"/>
                <w:color w:val="000000"/>
                <w:sz w:val="16"/>
                <w:szCs w:val="16"/>
              </w:rPr>
              <w:t>$17,473</w:t>
            </w:r>
          </w:p>
        </w:tc>
        <w:tc>
          <w:tcPr>
            <w:tcW w:w="2104" w:type="dxa"/>
            <w:shd w:val="clear" w:color="auto" w:fill="auto"/>
            <w:noWrap/>
            <w:vAlign w:val="bottom"/>
            <w:hideMark/>
          </w:tcPr>
          <w:p w14:paraId="6187A2E3" w14:textId="62A94DF7" w:rsidR="00C408B4" w:rsidRPr="001E45A0" w:rsidRDefault="00C408B4"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color w:val="000000"/>
                <w:sz w:val="16"/>
                <w:szCs w:val="16"/>
              </w:rPr>
              <w:t>$3,299</w:t>
            </w:r>
          </w:p>
        </w:tc>
        <w:tc>
          <w:tcPr>
            <w:tcW w:w="2016" w:type="dxa"/>
            <w:vAlign w:val="bottom"/>
          </w:tcPr>
          <w:p w14:paraId="06D49B5D" w14:textId="1420EACE" w:rsidR="00C408B4" w:rsidRPr="001E45A0" w:rsidRDefault="00C408B4"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$10,754 - </w:t>
            </w:r>
            <w:r w:rsidRPr="001E45A0">
              <w:rPr>
                <w:rFonts w:ascii="Arial" w:eastAsia="Times New Roman" w:hAnsi="Arial" w:cs="Arial"/>
                <w:color w:val="000000"/>
                <w:sz w:val="16"/>
                <w:szCs w:val="16"/>
              </w:rPr>
              <w:t>$20,772</w:t>
            </w:r>
          </w:p>
        </w:tc>
      </w:tr>
      <w:tr w:rsidR="00C408B4" w:rsidRPr="00C93C49" w14:paraId="5E3A535C" w14:textId="77777777" w:rsidTr="00C57851">
        <w:trPr>
          <w:trHeight w:val="211"/>
          <w:jc w:val="center"/>
        </w:trPr>
        <w:tc>
          <w:tcPr>
            <w:tcW w:w="661" w:type="dxa"/>
            <w:vAlign w:val="bottom"/>
          </w:tcPr>
          <w:p w14:paraId="5D9E052E" w14:textId="77777777" w:rsidR="00C408B4" w:rsidRPr="001E45A0" w:rsidRDefault="00C408B4"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b/>
                <w:snapToGrid w:val="0"/>
                <w:sz w:val="16"/>
                <w:szCs w:val="16"/>
              </w:rPr>
              <w:t>2016</w:t>
            </w:r>
          </w:p>
        </w:tc>
        <w:tc>
          <w:tcPr>
            <w:tcW w:w="2005" w:type="dxa"/>
            <w:shd w:val="clear" w:color="auto" w:fill="auto"/>
            <w:noWrap/>
            <w:vAlign w:val="bottom"/>
            <w:hideMark/>
          </w:tcPr>
          <w:p w14:paraId="448FCE0B" w14:textId="71A6B91E" w:rsidR="00C408B4" w:rsidRPr="001E45A0" w:rsidRDefault="00C408B4"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$8,923 - </w:t>
            </w:r>
            <w:r w:rsidRPr="001E45A0">
              <w:rPr>
                <w:rFonts w:ascii="Arial" w:eastAsia="Times New Roman" w:hAnsi="Arial" w:cs="Arial"/>
                <w:color w:val="000000"/>
                <w:sz w:val="16"/>
                <w:szCs w:val="16"/>
              </w:rPr>
              <w:t>$20,831</w:t>
            </w:r>
          </w:p>
        </w:tc>
        <w:tc>
          <w:tcPr>
            <w:tcW w:w="2104" w:type="dxa"/>
            <w:shd w:val="clear" w:color="auto" w:fill="auto"/>
            <w:noWrap/>
            <w:vAlign w:val="bottom"/>
            <w:hideMark/>
          </w:tcPr>
          <w:p w14:paraId="46E27494" w14:textId="4DDC8DCB" w:rsidR="00C408B4" w:rsidRPr="001E45A0" w:rsidRDefault="00C408B4"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color w:val="000000"/>
                <w:sz w:val="16"/>
                <w:szCs w:val="16"/>
              </w:rPr>
              <w:t>$2,695</w:t>
            </w:r>
          </w:p>
        </w:tc>
        <w:tc>
          <w:tcPr>
            <w:tcW w:w="2016" w:type="dxa"/>
            <w:vAlign w:val="bottom"/>
          </w:tcPr>
          <w:p w14:paraId="0FBCEF70" w14:textId="21387DFD" w:rsidR="00C408B4" w:rsidRPr="001E45A0" w:rsidRDefault="00C408B4"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$11,618 - </w:t>
            </w:r>
            <w:r w:rsidRPr="001E45A0">
              <w:rPr>
                <w:rFonts w:ascii="Arial" w:eastAsia="Times New Roman" w:hAnsi="Arial" w:cs="Arial"/>
                <w:color w:val="000000"/>
                <w:sz w:val="16"/>
                <w:szCs w:val="16"/>
              </w:rPr>
              <w:t>$23,526</w:t>
            </w:r>
          </w:p>
        </w:tc>
      </w:tr>
      <w:tr w:rsidR="00C408B4" w:rsidRPr="00C93C49" w14:paraId="1BD4856D" w14:textId="77777777" w:rsidTr="00C57851">
        <w:trPr>
          <w:trHeight w:val="211"/>
          <w:jc w:val="center"/>
        </w:trPr>
        <w:tc>
          <w:tcPr>
            <w:tcW w:w="661" w:type="dxa"/>
            <w:vAlign w:val="bottom"/>
          </w:tcPr>
          <w:p w14:paraId="7E9CC8AF" w14:textId="77777777" w:rsidR="00C408B4" w:rsidRPr="001E45A0" w:rsidRDefault="00C408B4"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b/>
                <w:snapToGrid w:val="0"/>
                <w:sz w:val="16"/>
                <w:szCs w:val="16"/>
              </w:rPr>
              <w:t>2017</w:t>
            </w:r>
          </w:p>
        </w:tc>
        <w:tc>
          <w:tcPr>
            <w:tcW w:w="2005" w:type="dxa"/>
            <w:shd w:val="clear" w:color="auto" w:fill="auto"/>
            <w:noWrap/>
            <w:vAlign w:val="bottom"/>
            <w:hideMark/>
          </w:tcPr>
          <w:p w14:paraId="2B7922DA" w14:textId="31A26602" w:rsidR="00C408B4" w:rsidRPr="001E45A0" w:rsidRDefault="00C408B4"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$9,571 - </w:t>
            </w:r>
            <w:r w:rsidRPr="001E45A0">
              <w:rPr>
                <w:rFonts w:ascii="Arial" w:eastAsia="Times New Roman" w:hAnsi="Arial" w:cs="Arial"/>
                <w:color w:val="000000"/>
                <w:sz w:val="16"/>
                <w:szCs w:val="16"/>
              </w:rPr>
              <w:t>$22,343</w:t>
            </w:r>
          </w:p>
        </w:tc>
        <w:tc>
          <w:tcPr>
            <w:tcW w:w="2104" w:type="dxa"/>
            <w:shd w:val="clear" w:color="auto" w:fill="auto"/>
            <w:noWrap/>
            <w:vAlign w:val="bottom"/>
            <w:hideMark/>
          </w:tcPr>
          <w:p w14:paraId="28AB238A" w14:textId="0F461334" w:rsidR="00C408B4" w:rsidRPr="001E45A0" w:rsidRDefault="00C408B4" w:rsidP="00C93C49">
            <w:pPr>
              <w:spacing w:after="0" w:line="20" w:lineRule="atLeast"/>
              <w:jc w:val="center"/>
              <w:rPr>
                <w:rFonts w:ascii="Arial" w:eastAsia="Times New Roman" w:hAnsi="Arial" w:cs="Arial"/>
                <w:color w:val="000000"/>
                <w:sz w:val="16"/>
                <w:szCs w:val="16"/>
              </w:rPr>
            </w:pPr>
            <w:r w:rsidRPr="001E45A0">
              <w:rPr>
                <w:rFonts w:ascii="Arial" w:eastAsia="Times New Roman" w:hAnsi="Arial" w:cs="Arial"/>
                <w:color w:val="000000"/>
                <w:sz w:val="16"/>
                <w:szCs w:val="16"/>
              </w:rPr>
              <w:t>$2,324</w:t>
            </w:r>
          </w:p>
        </w:tc>
        <w:tc>
          <w:tcPr>
            <w:tcW w:w="2016" w:type="dxa"/>
            <w:vAlign w:val="bottom"/>
          </w:tcPr>
          <w:p w14:paraId="54354CEA" w14:textId="0E5B5F86" w:rsidR="00C408B4" w:rsidRPr="001E45A0" w:rsidRDefault="00C408B4" w:rsidP="00C93C49">
            <w:pPr>
              <w:spacing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$11,895 - </w:t>
            </w:r>
            <w:r w:rsidRPr="001E45A0">
              <w:rPr>
                <w:rFonts w:ascii="Arial" w:eastAsia="Times New Roman" w:hAnsi="Arial" w:cs="Arial"/>
                <w:color w:val="000000"/>
                <w:sz w:val="16"/>
                <w:szCs w:val="16"/>
              </w:rPr>
              <w:t>$24,667</w:t>
            </w:r>
          </w:p>
        </w:tc>
      </w:tr>
    </w:tbl>
    <w:p w14:paraId="430F66F6" w14:textId="77777777" w:rsidR="00C93C49" w:rsidRPr="00C93C49" w:rsidRDefault="00C93C49" w:rsidP="00C93C49">
      <w:pPr>
        <w:widowControl w:val="0"/>
        <w:spacing w:after="0" w:line="20" w:lineRule="atLeast"/>
        <w:ind w:left="-90" w:firstLine="1260"/>
        <w:rPr>
          <w:rFonts w:ascii="Arial" w:eastAsia="Times New Roman" w:hAnsi="Arial" w:cs="Arial"/>
          <w:snapToGrid w:val="0"/>
          <w:sz w:val="18"/>
          <w:szCs w:val="18"/>
        </w:rPr>
      </w:pPr>
      <w:r w:rsidRPr="00C93C49">
        <w:rPr>
          <w:rFonts w:ascii="Arial" w:eastAsia="Times New Roman" w:hAnsi="Arial" w:cs="Arial"/>
          <w:snapToGrid w:val="0"/>
          <w:sz w:val="24"/>
          <w:szCs w:val="20"/>
        </w:rPr>
        <w:t xml:space="preserve">  </w:t>
      </w:r>
      <w:r w:rsidRPr="00C93C49">
        <w:rPr>
          <w:rFonts w:ascii="Arial" w:eastAsia="Times New Roman" w:hAnsi="Arial" w:cs="Arial"/>
          <w:snapToGrid w:val="0"/>
          <w:sz w:val="18"/>
          <w:szCs w:val="18"/>
        </w:rPr>
        <w:t>Source: Data Requests CS-12, CS-21, and CS-36, and Auditor Analysis</w:t>
      </w:r>
    </w:p>
    <w:p w14:paraId="40EDC655" w14:textId="77777777" w:rsidR="00C93C49" w:rsidRPr="00C93C49" w:rsidRDefault="00C93C49" w:rsidP="00C93C49">
      <w:pPr>
        <w:spacing w:after="0" w:line="20" w:lineRule="atLeast"/>
        <w:contextualSpacing/>
        <w:rPr>
          <w:rFonts w:ascii="Arial" w:eastAsia="Times New Roman" w:hAnsi="Arial" w:cs="Arial"/>
          <w:b/>
          <w:snapToGrid w:val="0"/>
          <w:sz w:val="24"/>
          <w:szCs w:val="20"/>
        </w:rPr>
      </w:pPr>
    </w:p>
    <w:p w14:paraId="7CDE71FC" w14:textId="77777777" w:rsidR="00C93C49" w:rsidRPr="00C93C49" w:rsidRDefault="00C93C49" w:rsidP="00C93C49">
      <w:pPr>
        <w:spacing w:after="0" w:line="20" w:lineRule="atLeast"/>
        <w:contextualSpacing/>
        <w:rPr>
          <w:rFonts w:ascii="Arial" w:eastAsia="Times New Roman" w:hAnsi="Arial" w:cs="Times New Roman"/>
          <w:bCs/>
          <w:sz w:val="24"/>
          <w:szCs w:val="24"/>
        </w:rPr>
      </w:pPr>
    </w:p>
    <w:p w14:paraId="7CC7B8D8" w14:textId="626C62E8" w:rsidR="00C93C49" w:rsidRPr="00C93C49" w:rsidRDefault="00C93C49" w:rsidP="00C93C49">
      <w:pPr>
        <w:spacing w:after="0" w:line="20" w:lineRule="atLeast"/>
        <w:contextualSpacing/>
        <w:rPr>
          <w:rFonts w:ascii="Arial" w:eastAsia="Times New Roman" w:hAnsi="Arial" w:cs="Arial"/>
          <w:b/>
          <w:snapToGrid w:val="0"/>
          <w:sz w:val="24"/>
          <w:szCs w:val="20"/>
        </w:rPr>
      </w:pPr>
      <w:r w:rsidRPr="00C93C49">
        <w:rPr>
          <w:rFonts w:ascii="Arial" w:eastAsia="Times New Roman" w:hAnsi="Arial" w:cs="Times New Roman"/>
          <w:b/>
          <w:sz w:val="24"/>
          <w:szCs w:val="24"/>
          <w:u w:val="single"/>
        </w:rPr>
        <w:t>Follow-up Recommendation</w:t>
      </w:r>
      <w:r w:rsidRPr="00C93C49">
        <w:rPr>
          <w:rFonts w:ascii="Arial" w:eastAsia="Times New Roman" w:hAnsi="Arial" w:cs="Times New Roman"/>
          <w:b/>
          <w:sz w:val="24"/>
          <w:szCs w:val="24"/>
        </w:rPr>
        <w:t xml:space="preserve"> – </w:t>
      </w:r>
      <w:r w:rsidRPr="00C93C49">
        <w:rPr>
          <w:rFonts w:ascii="Arial" w:eastAsia="Times New Roman" w:hAnsi="Arial" w:cs="Arial"/>
          <w:b/>
          <w:snapToGrid w:val="0"/>
          <w:sz w:val="24"/>
          <w:szCs w:val="20"/>
        </w:rPr>
        <w:t xml:space="preserve">Establish </w:t>
      </w:r>
      <w:r w:rsidR="0016233B">
        <w:rPr>
          <w:rFonts w:ascii="Arial" w:eastAsia="Times New Roman" w:hAnsi="Arial" w:cs="Arial"/>
          <w:b/>
          <w:snapToGrid w:val="0"/>
          <w:sz w:val="24"/>
          <w:szCs w:val="20"/>
        </w:rPr>
        <w:t xml:space="preserve">stricter </w:t>
      </w:r>
      <w:r w:rsidRPr="00C93C49">
        <w:rPr>
          <w:rFonts w:ascii="Arial" w:eastAsia="Times New Roman" w:hAnsi="Arial" w:cs="Arial"/>
          <w:b/>
          <w:snapToGrid w:val="0"/>
          <w:sz w:val="24"/>
          <w:szCs w:val="20"/>
        </w:rPr>
        <w:t xml:space="preserve">goals for collection agencies to achieve net collection performance </w:t>
      </w:r>
      <w:r w:rsidR="0016233B">
        <w:rPr>
          <w:rFonts w:ascii="Arial" w:eastAsia="Times New Roman" w:hAnsi="Arial" w:cs="Arial"/>
          <w:b/>
          <w:snapToGrid w:val="0"/>
          <w:sz w:val="24"/>
          <w:szCs w:val="20"/>
        </w:rPr>
        <w:t>comparable to other utilities</w:t>
      </w:r>
      <w:r w:rsidRPr="00C93C49">
        <w:rPr>
          <w:rFonts w:ascii="Arial" w:eastAsia="Times New Roman" w:hAnsi="Arial" w:cs="Arial"/>
          <w:b/>
          <w:snapToGrid w:val="0"/>
          <w:sz w:val="24"/>
          <w:szCs w:val="20"/>
        </w:rPr>
        <w:t>, monitor the performances of each collection agency, and replace any agency that does not achieve the goals.</w:t>
      </w:r>
    </w:p>
    <w:p w14:paraId="150B30AE" w14:textId="77777777" w:rsidR="00C93C49" w:rsidRPr="00C93C49" w:rsidRDefault="00C93C49" w:rsidP="00C93C49">
      <w:pPr>
        <w:spacing w:after="0" w:line="20" w:lineRule="atLeast"/>
        <w:contextualSpacing/>
        <w:rPr>
          <w:rFonts w:ascii="Arial" w:hAnsi="Arial" w:cs="Arial"/>
          <w:sz w:val="24"/>
          <w:szCs w:val="24"/>
        </w:rPr>
      </w:pPr>
    </w:p>
    <w:p w14:paraId="69574093" w14:textId="77777777" w:rsidR="00C93C49" w:rsidRPr="00C93C49" w:rsidRDefault="00C93C49" w:rsidP="00C93C49">
      <w:pPr>
        <w:spacing w:after="0" w:line="20" w:lineRule="atLeast"/>
        <w:contextualSpacing/>
        <w:jc w:val="center"/>
        <w:rPr>
          <w:rFonts w:ascii="Arial" w:eastAsia="Times New Roman" w:hAnsi="Arial" w:cs="Times New Roman"/>
          <w:b/>
          <w:sz w:val="24"/>
          <w:szCs w:val="24"/>
          <w:u w:val="single"/>
        </w:rPr>
      </w:pPr>
    </w:p>
    <w:p w14:paraId="53553E8A" w14:textId="77777777" w:rsidR="00F53771" w:rsidRDefault="00F53771">
      <w:pPr>
        <w:rPr>
          <w:rFonts w:ascii="Arial" w:eastAsia="Times New Roman" w:hAnsi="Arial" w:cs="Times New Roman"/>
          <w:b/>
          <w:sz w:val="24"/>
          <w:szCs w:val="24"/>
          <w:u w:val="single"/>
        </w:rPr>
      </w:pPr>
      <w:r>
        <w:rPr>
          <w:rFonts w:ascii="Arial" w:eastAsia="Times New Roman" w:hAnsi="Arial" w:cs="Times New Roman"/>
          <w:b/>
          <w:sz w:val="24"/>
          <w:szCs w:val="24"/>
          <w:u w:val="single"/>
        </w:rPr>
        <w:br w:type="page"/>
      </w:r>
    </w:p>
    <w:p w14:paraId="084D06A2" w14:textId="77777777" w:rsidR="00C93C49" w:rsidRPr="00C93C49" w:rsidRDefault="00C93C49" w:rsidP="00C93C49">
      <w:pPr>
        <w:spacing w:after="0" w:line="20" w:lineRule="atLeast"/>
        <w:contextualSpacing/>
        <w:jc w:val="center"/>
        <w:rPr>
          <w:rFonts w:ascii="Arial" w:eastAsia="Times New Roman" w:hAnsi="Arial" w:cs="Times New Roman"/>
          <w:b/>
          <w:sz w:val="24"/>
          <w:szCs w:val="24"/>
          <w:u w:val="single"/>
        </w:rPr>
      </w:pPr>
      <w:r w:rsidRPr="00C93C49">
        <w:rPr>
          <w:rFonts w:ascii="Arial" w:eastAsia="Times New Roman" w:hAnsi="Arial" w:cs="Times New Roman"/>
          <w:b/>
          <w:sz w:val="24"/>
          <w:szCs w:val="24"/>
          <w:u w:val="single"/>
        </w:rPr>
        <w:t>Finding No. X-7</w:t>
      </w:r>
    </w:p>
    <w:p w14:paraId="0E0427CE" w14:textId="77777777" w:rsidR="00C93C49" w:rsidRPr="00C93C49" w:rsidRDefault="00C93C49" w:rsidP="00C93C49">
      <w:pPr>
        <w:spacing w:after="0" w:line="20" w:lineRule="atLeast"/>
        <w:contextualSpacing/>
        <w:rPr>
          <w:rFonts w:ascii="Arial" w:eastAsia="Times New Roman" w:hAnsi="Arial" w:cs="Times New Roman"/>
          <w:sz w:val="24"/>
          <w:szCs w:val="24"/>
        </w:rPr>
      </w:pPr>
    </w:p>
    <w:p w14:paraId="5077D118" w14:textId="77777777" w:rsidR="00C93C49" w:rsidRPr="00C93C49" w:rsidRDefault="00C93C49" w:rsidP="00C93C49">
      <w:pPr>
        <w:widowControl w:val="0"/>
        <w:spacing w:after="0" w:line="20" w:lineRule="atLeast"/>
        <w:contextualSpacing/>
        <w:rPr>
          <w:rFonts w:ascii="Arial" w:eastAsia="Times New Roman" w:hAnsi="Arial" w:cs="Arial"/>
          <w:sz w:val="24"/>
          <w:szCs w:val="24"/>
        </w:rPr>
      </w:pPr>
      <w:r w:rsidRPr="00C93C49">
        <w:rPr>
          <w:rFonts w:ascii="Arial" w:hAnsi="Arial" w:cs="Arial"/>
          <w:b/>
          <w:sz w:val="24"/>
          <w:szCs w:val="24"/>
          <w:u w:val="single"/>
        </w:rPr>
        <w:t>Prior Situation</w:t>
      </w:r>
      <w:r w:rsidRPr="00C93C49">
        <w:rPr>
          <w:rFonts w:ascii="Arial" w:hAnsi="Arial" w:cs="Arial"/>
          <w:sz w:val="24"/>
          <w:szCs w:val="24"/>
        </w:rPr>
        <w:t xml:space="preserve"> </w:t>
      </w:r>
      <w:r w:rsidRPr="00C93C49">
        <w:rPr>
          <w:rFonts w:ascii="Arial" w:eastAsia="Times New Roman" w:hAnsi="Arial" w:cs="Times New Roman"/>
          <w:sz w:val="24"/>
          <w:szCs w:val="24"/>
        </w:rPr>
        <w:t xml:space="preserve">– The </w:t>
      </w:r>
      <w:r w:rsidR="00DC3D9B">
        <w:rPr>
          <w:rFonts w:ascii="Arial" w:eastAsia="Times New Roman" w:hAnsi="Arial" w:cs="Times New Roman"/>
          <w:sz w:val="24"/>
          <w:szCs w:val="24"/>
        </w:rPr>
        <w:t>FE-PA companies</w:t>
      </w:r>
      <w:r w:rsidRPr="00C93C49">
        <w:rPr>
          <w:rFonts w:ascii="Arial" w:eastAsia="Times New Roman" w:hAnsi="Arial" w:cs="Times New Roman"/>
          <w:sz w:val="24"/>
          <w:szCs w:val="24"/>
        </w:rPr>
        <w:t xml:space="preserve"> were not consistently tracking and measuring their performance standards for new service installations.  </w:t>
      </w:r>
      <w:r w:rsidRPr="00C93C49">
        <w:rPr>
          <w:rFonts w:ascii="Arial" w:eastAsia="Times New Roman" w:hAnsi="Arial" w:cs="Arial"/>
          <w:sz w:val="24"/>
          <w:szCs w:val="24"/>
        </w:rPr>
        <w:t xml:space="preserve">The </w:t>
      </w:r>
      <w:r w:rsidR="00DC3D9B">
        <w:rPr>
          <w:rFonts w:ascii="Arial" w:eastAsia="Times New Roman" w:hAnsi="Arial" w:cs="Arial"/>
          <w:sz w:val="24"/>
          <w:szCs w:val="24"/>
        </w:rPr>
        <w:t>companies</w:t>
      </w:r>
      <w:r w:rsidRPr="00C93C49">
        <w:rPr>
          <w:rFonts w:ascii="Arial" w:eastAsia="Times New Roman" w:hAnsi="Arial" w:cs="Arial"/>
          <w:sz w:val="24"/>
          <w:szCs w:val="24"/>
        </w:rPr>
        <w:t xml:space="preserve"> established policies and procedures for all service installations which were categorized as follows: new service installations requiring no construction of electric facilities; new service installations requiring construction of electric facilities; and service upgrades.  Ten-day provisioning standards had been established for new service installations requiring construction of electric facilities and service upgrades and three-day provisioning standards for new installations requiring no construction of electric facilities.  However, performance relative to the ten-day provisioning standard was only monitored by Penelec and Penn Power and performance relative to the three-day provisioning standard was not monitored by any of the </w:t>
      </w:r>
      <w:r w:rsidR="00DC3D9B">
        <w:rPr>
          <w:rFonts w:ascii="Arial" w:eastAsia="Times New Roman" w:hAnsi="Arial" w:cs="Arial"/>
          <w:sz w:val="24"/>
          <w:szCs w:val="24"/>
        </w:rPr>
        <w:t>FE-PA companies</w:t>
      </w:r>
      <w:r w:rsidRPr="00C93C49">
        <w:rPr>
          <w:rFonts w:ascii="Arial" w:eastAsia="Times New Roman" w:hAnsi="Arial" w:cs="Arial"/>
          <w:sz w:val="24"/>
          <w:szCs w:val="24"/>
        </w:rPr>
        <w:t xml:space="preserve">.  Consequently, there was little data available to evaluate the FE-PA </w:t>
      </w:r>
      <w:r w:rsidR="00B15AC3">
        <w:rPr>
          <w:rFonts w:ascii="Arial" w:eastAsia="Times New Roman" w:hAnsi="Arial" w:cs="Arial"/>
          <w:sz w:val="24"/>
          <w:szCs w:val="24"/>
        </w:rPr>
        <w:t>c</w:t>
      </w:r>
      <w:r w:rsidRPr="00C93C49">
        <w:rPr>
          <w:rFonts w:ascii="Arial" w:eastAsia="Times New Roman" w:hAnsi="Arial" w:cs="Arial"/>
          <w:sz w:val="24"/>
          <w:szCs w:val="24"/>
        </w:rPr>
        <w:t>ompanies actual provisioning performance, but scheduling delays and service extensions complaints tracked internally increased from 93 in 2009 to 221 in 2013</w:t>
      </w:r>
      <w:r w:rsidR="008F7E8C">
        <w:rPr>
          <w:rFonts w:ascii="Arial" w:eastAsia="Times New Roman" w:hAnsi="Arial" w:cs="Arial"/>
          <w:sz w:val="24"/>
          <w:szCs w:val="24"/>
        </w:rPr>
        <w:t>,</w:t>
      </w:r>
      <w:r w:rsidRPr="00C93C49">
        <w:rPr>
          <w:rFonts w:ascii="Arial" w:eastAsia="Times New Roman" w:hAnsi="Arial" w:cs="Arial"/>
          <w:sz w:val="24"/>
          <w:szCs w:val="24"/>
        </w:rPr>
        <w:t xml:space="preserve"> indicating declining performance.</w:t>
      </w:r>
    </w:p>
    <w:p w14:paraId="1F9D5598" w14:textId="77777777" w:rsidR="00C93C49" w:rsidRPr="00C93C49" w:rsidRDefault="00C93C49" w:rsidP="00C93C49">
      <w:pPr>
        <w:widowControl w:val="0"/>
        <w:spacing w:after="0" w:line="20" w:lineRule="atLeast"/>
        <w:contextualSpacing/>
        <w:rPr>
          <w:rFonts w:ascii="Arial" w:eastAsia="Times New Roman" w:hAnsi="Arial" w:cs="Arial"/>
          <w:sz w:val="24"/>
          <w:szCs w:val="24"/>
        </w:rPr>
      </w:pPr>
    </w:p>
    <w:p w14:paraId="71E973D2" w14:textId="77777777" w:rsidR="00C93C49" w:rsidRPr="00C93C49" w:rsidRDefault="00C93C49" w:rsidP="00C93C49">
      <w:pPr>
        <w:spacing w:after="0" w:line="20" w:lineRule="atLeast"/>
        <w:contextualSpacing/>
        <w:rPr>
          <w:rFonts w:ascii="Arial" w:eastAsia="Times New Roman" w:hAnsi="Arial" w:cs="Arial"/>
          <w:bCs/>
          <w:sz w:val="24"/>
          <w:szCs w:val="24"/>
        </w:rPr>
      </w:pPr>
      <w:r w:rsidRPr="00C93C49">
        <w:rPr>
          <w:rFonts w:ascii="Arial" w:eastAsia="Times New Roman" w:hAnsi="Arial" w:cs="Times New Roman"/>
          <w:b/>
          <w:sz w:val="24"/>
          <w:szCs w:val="24"/>
          <w:u w:val="single"/>
        </w:rPr>
        <w:t>Prior Recommendation</w:t>
      </w:r>
      <w:r w:rsidRPr="00C93C49">
        <w:rPr>
          <w:rFonts w:ascii="Arial" w:eastAsia="Times New Roman" w:hAnsi="Arial" w:cs="Times New Roman"/>
          <w:sz w:val="24"/>
          <w:szCs w:val="24"/>
        </w:rPr>
        <w:t xml:space="preserve"> – </w:t>
      </w:r>
      <w:r w:rsidRPr="00C93C49">
        <w:rPr>
          <w:rFonts w:ascii="Arial" w:eastAsia="Times New Roman" w:hAnsi="Arial" w:cs="Arial"/>
          <w:bCs/>
          <w:sz w:val="24"/>
          <w:szCs w:val="24"/>
        </w:rPr>
        <w:t>Monitor all new service installation performance to ensure new service installations are being completed within the targeted deadlines.</w:t>
      </w:r>
    </w:p>
    <w:p w14:paraId="240D23B2" w14:textId="77777777" w:rsidR="00C93C49" w:rsidRPr="00C93C49" w:rsidRDefault="00C93C49" w:rsidP="00C93C49">
      <w:pPr>
        <w:widowControl w:val="0"/>
        <w:spacing w:after="0" w:line="20" w:lineRule="atLeast"/>
        <w:contextualSpacing/>
        <w:rPr>
          <w:rFonts w:ascii="Arial" w:eastAsia="Times New Roman" w:hAnsi="Arial" w:cs="Arial"/>
          <w:sz w:val="24"/>
          <w:szCs w:val="24"/>
        </w:rPr>
      </w:pPr>
    </w:p>
    <w:p w14:paraId="271F266D" w14:textId="77777777" w:rsidR="00C93C49" w:rsidRPr="00C93C49" w:rsidRDefault="00C93C49" w:rsidP="00C93C49">
      <w:pPr>
        <w:spacing w:after="0" w:line="20" w:lineRule="atLeast"/>
        <w:rPr>
          <w:rFonts w:ascii="Arial" w:eastAsia="Times New Roman" w:hAnsi="Arial" w:cs="Arial"/>
          <w:b/>
          <w:snapToGrid w:val="0"/>
          <w:sz w:val="24"/>
          <w:szCs w:val="20"/>
        </w:rPr>
      </w:pPr>
      <w:r w:rsidRPr="00C93C49">
        <w:rPr>
          <w:rFonts w:ascii="Arial" w:eastAsia="Times New Roman" w:hAnsi="Arial" w:cs="Times New Roman"/>
          <w:b/>
          <w:sz w:val="24"/>
          <w:szCs w:val="24"/>
          <w:u w:val="single"/>
        </w:rPr>
        <w:t>Follow-up Finding and Conclusion No. X-7</w:t>
      </w:r>
      <w:r w:rsidRPr="00C93C49">
        <w:rPr>
          <w:rFonts w:ascii="Arial" w:eastAsia="Times New Roman" w:hAnsi="Arial" w:cs="Times New Roman"/>
          <w:b/>
          <w:sz w:val="24"/>
          <w:szCs w:val="24"/>
        </w:rPr>
        <w:t xml:space="preserve"> – </w:t>
      </w:r>
      <w:r w:rsidRPr="00C93C49">
        <w:rPr>
          <w:rFonts w:ascii="Arial" w:eastAsia="Times New Roman" w:hAnsi="Arial" w:cs="Arial"/>
          <w:b/>
          <w:snapToGrid w:val="0"/>
          <w:sz w:val="24"/>
          <w:szCs w:val="20"/>
        </w:rPr>
        <w:t xml:space="preserve">The </w:t>
      </w:r>
      <w:r w:rsidR="00DC3D9B">
        <w:rPr>
          <w:rFonts w:ascii="Arial" w:eastAsia="Times New Roman" w:hAnsi="Arial" w:cs="Arial"/>
          <w:b/>
          <w:snapToGrid w:val="0"/>
          <w:sz w:val="24"/>
          <w:szCs w:val="20"/>
        </w:rPr>
        <w:t>FE-PA companies</w:t>
      </w:r>
      <w:r w:rsidRPr="00C93C49">
        <w:rPr>
          <w:rFonts w:ascii="Arial" w:eastAsia="Times New Roman" w:hAnsi="Arial" w:cs="Arial"/>
          <w:b/>
          <w:snapToGrid w:val="0"/>
          <w:sz w:val="24"/>
          <w:szCs w:val="20"/>
        </w:rPr>
        <w:t xml:space="preserve"> monitor all new service installations resulting in improved performance.</w:t>
      </w:r>
    </w:p>
    <w:p w14:paraId="7111F75D" w14:textId="77777777" w:rsidR="00C93C49" w:rsidRPr="00C93C49" w:rsidRDefault="00C93C49" w:rsidP="00C93C49">
      <w:pPr>
        <w:spacing w:after="0" w:line="20" w:lineRule="atLeast"/>
        <w:rPr>
          <w:rFonts w:ascii="Arial" w:eastAsia="Times New Roman" w:hAnsi="Arial" w:cs="Arial"/>
          <w:b/>
          <w:snapToGrid w:val="0"/>
          <w:sz w:val="24"/>
          <w:szCs w:val="20"/>
        </w:rPr>
      </w:pPr>
    </w:p>
    <w:p w14:paraId="594BADD5" w14:textId="77777777" w:rsidR="008F7E8C" w:rsidRDefault="00C93C49" w:rsidP="00C93C49">
      <w:pPr>
        <w:widowControl w:val="0"/>
        <w:spacing w:after="0" w:line="240" w:lineRule="auto"/>
        <w:rPr>
          <w:rFonts w:ascii="Arial" w:eastAsia="Times New Roman" w:hAnsi="Arial" w:cs="Arial"/>
          <w:snapToGrid w:val="0"/>
          <w:sz w:val="24"/>
          <w:szCs w:val="20"/>
        </w:rPr>
      </w:pPr>
      <w:r w:rsidRPr="00C93C49">
        <w:rPr>
          <w:rFonts w:ascii="Arial" w:eastAsia="Times New Roman" w:hAnsi="Arial" w:cs="Arial"/>
          <w:b/>
          <w:snapToGrid w:val="0"/>
          <w:sz w:val="24"/>
          <w:szCs w:val="20"/>
          <w:u w:val="single"/>
        </w:rPr>
        <w:t>Current Review</w:t>
      </w:r>
      <w:r w:rsidRPr="00C93C49">
        <w:rPr>
          <w:rFonts w:ascii="Arial" w:eastAsia="Times New Roman" w:hAnsi="Arial" w:cs="Arial"/>
          <w:snapToGrid w:val="0"/>
          <w:sz w:val="24"/>
          <w:szCs w:val="20"/>
        </w:rPr>
        <w:t xml:space="preserve"> </w:t>
      </w:r>
      <w:r w:rsidRPr="00C93C49">
        <w:rPr>
          <w:rFonts w:ascii="Arial" w:eastAsia="Times New Roman" w:hAnsi="Arial" w:cs="Times New Roman"/>
          <w:sz w:val="24"/>
          <w:szCs w:val="24"/>
        </w:rPr>
        <w:t xml:space="preserve">– </w:t>
      </w:r>
      <w:r w:rsidRPr="00C93C49">
        <w:rPr>
          <w:rFonts w:ascii="Arial" w:eastAsia="Times New Roman" w:hAnsi="Arial" w:cs="Arial"/>
          <w:snapToGrid w:val="0"/>
          <w:sz w:val="24"/>
          <w:szCs w:val="20"/>
        </w:rPr>
        <w:t>As previously mentioned, PMRs were created in 2015 to address specific performance objectives and other regulatory requirements and are to be reviewed in conjunction with the ELT Reports.  Based on the various stages of development of the PMRs, some PMR metrics commenced at different times.  Reporting of New Service Installation – Non</w:t>
      </w:r>
      <w:r w:rsidRPr="00C93C49">
        <w:rPr>
          <w:rFonts w:ascii="Arial" w:eastAsia="Times New Roman" w:hAnsi="Arial" w:cs="Arial"/>
          <w:snapToGrid w:val="0"/>
          <w:sz w:val="24"/>
          <w:szCs w:val="20"/>
        </w:rPr>
        <w:noBreakHyphen/>
        <w:t xml:space="preserve">Construction metrics became available for the July 2015 PMR and New Service Installation – Construction reporting became available for the September 2015 PMR.  </w:t>
      </w:r>
    </w:p>
    <w:p w14:paraId="4758B8BE" w14:textId="77777777" w:rsidR="008F7E8C" w:rsidRDefault="008F7E8C" w:rsidP="00C93C49">
      <w:pPr>
        <w:widowControl w:val="0"/>
        <w:spacing w:after="0" w:line="240" w:lineRule="auto"/>
        <w:rPr>
          <w:rFonts w:ascii="Arial" w:eastAsia="Times New Roman" w:hAnsi="Arial" w:cs="Arial"/>
          <w:snapToGrid w:val="0"/>
          <w:sz w:val="24"/>
          <w:szCs w:val="20"/>
        </w:rPr>
      </w:pPr>
    </w:p>
    <w:p w14:paraId="31B42E3C" w14:textId="77777777" w:rsidR="00C93C49" w:rsidRPr="00C93C49" w:rsidRDefault="00C93C49" w:rsidP="007C326B">
      <w:pPr>
        <w:widowControl w:val="0"/>
        <w:spacing w:after="0" w:line="240" w:lineRule="auto"/>
        <w:ind w:firstLine="720"/>
        <w:rPr>
          <w:rFonts w:ascii="Arial" w:eastAsia="Times New Roman" w:hAnsi="Arial" w:cs="Arial"/>
          <w:b/>
          <w:snapToGrid w:val="0"/>
          <w:sz w:val="24"/>
          <w:szCs w:val="20"/>
        </w:rPr>
      </w:pPr>
      <w:r w:rsidRPr="00C93C49">
        <w:rPr>
          <w:rFonts w:ascii="Arial" w:eastAsia="Times New Roman" w:hAnsi="Arial" w:cs="Arial"/>
          <w:snapToGrid w:val="0"/>
          <w:sz w:val="24"/>
          <w:szCs w:val="20"/>
        </w:rPr>
        <w:t xml:space="preserve">As shown in Exhibits X-24 and X-25, the performance of achieving the target completion dates for new service installations requiring no construction and new service installations requiring construction is being tracked and performance has improved.  The </w:t>
      </w:r>
      <w:r w:rsidR="00DC3D9B">
        <w:rPr>
          <w:rFonts w:ascii="Arial" w:eastAsia="Times New Roman" w:hAnsi="Arial" w:cs="Arial"/>
          <w:snapToGrid w:val="0"/>
          <w:sz w:val="24"/>
          <w:szCs w:val="20"/>
        </w:rPr>
        <w:t>FE-PA companies</w:t>
      </w:r>
      <w:r w:rsidRPr="00C93C49">
        <w:rPr>
          <w:rFonts w:ascii="Arial" w:eastAsia="Times New Roman" w:hAnsi="Arial" w:cs="Arial"/>
          <w:snapToGrid w:val="0"/>
          <w:sz w:val="24"/>
          <w:szCs w:val="20"/>
        </w:rPr>
        <w:t xml:space="preserve"> have improved at completing customer requests for new service installations requiring no construction within three days, and new service installations requiring construction within ten days.  </w:t>
      </w:r>
    </w:p>
    <w:p w14:paraId="685E8C23" w14:textId="77777777" w:rsidR="00C93C49" w:rsidRPr="00C93C49" w:rsidRDefault="00C93C49" w:rsidP="00C93C49">
      <w:pPr>
        <w:widowControl w:val="0"/>
        <w:spacing w:after="0" w:line="240" w:lineRule="auto"/>
        <w:jc w:val="center"/>
        <w:rPr>
          <w:rFonts w:ascii="Arial" w:eastAsia="Times New Roman" w:hAnsi="Arial" w:cs="Arial"/>
          <w:b/>
          <w:snapToGrid w:val="0"/>
          <w:sz w:val="24"/>
          <w:szCs w:val="20"/>
        </w:rPr>
      </w:pPr>
    </w:p>
    <w:p w14:paraId="0E32FA7A" w14:textId="77777777" w:rsidR="00F53771" w:rsidRPr="00C93C49" w:rsidRDefault="00F53771" w:rsidP="00F53771">
      <w:pPr>
        <w:widowControl w:val="0"/>
        <w:spacing w:after="0" w:line="240" w:lineRule="auto"/>
        <w:ind w:firstLine="720"/>
        <w:rPr>
          <w:rFonts w:ascii="Arial" w:eastAsia="Times New Roman" w:hAnsi="Arial" w:cs="Arial"/>
          <w:snapToGrid w:val="0"/>
          <w:sz w:val="24"/>
          <w:szCs w:val="24"/>
        </w:rPr>
      </w:pPr>
      <w:r w:rsidRPr="00C93C49">
        <w:rPr>
          <w:rFonts w:ascii="Arial" w:eastAsia="Times New Roman" w:hAnsi="Arial" w:cs="Arial"/>
          <w:snapToGrid w:val="0"/>
          <w:sz w:val="24"/>
          <w:szCs w:val="24"/>
        </w:rPr>
        <w:t xml:space="preserve">Some new service installations requiring construction do not meet the ten-day window.  The </w:t>
      </w:r>
      <w:r w:rsidR="00DC3D9B">
        <w:rPr>
          <w:rFonts w:ascii="Arial" w:eastAsia="Times New Roman" w:hAnsi="Arial" w:cs="Arial"/>
          <w:snapToGrid w:val="0"/>
          <w:sz w:val="24"/>
          <w:szCs w:val="24"/>
        </w:rPr>
        <w:t>FE-PA companies</w:t>
      </w:r>
      <w:r w:rsidRPr="00C93C49">
        <w:rPr>
          <w:rFonts w:ascii="Arial" w:eastAsia="Times New Roman" w:hAnsi="Arial" w:cs="Arial"/>
          <w:snapToGrid w:val="0"/>
          <w:sz w:val="24"/>
          <w:szCs w:val="24"/>
        </w:rPr>
        <w:t xml:space="preserve"> stated that there are multiple reasons that an individual work request for new service installations requiring construction may not achieve the ten-day window. These include: </w:t>
      </w:r>
    </w:p>
    <w:p w14:paraId="54BFD30A" w14:textId="77777777" w:rsidR="00F53771" w:rsidRPr="00C93C49" w:rsidRDefault="00F53771" w:rsidP="00F53771">
      <w:pPr>
        <w:widowControl w:val="0"/>
        <w:spacing w:after="0" w:line="240" w:lineRule="auto"/>
        <w:rPr>
          <w:rFonts w:ascii="Arial" w:eastAsia="Times New Roman" w:hAnsi="Arial" w:cs="Arial"/>
          <w:snapToGrid w:val="0"/>
          <w:sz w:val="24"/>
          <w:szCs w:val="24"/>
        </w:rPr>
      </w:pPr>
    </w:p>
    <w:p w14:paraId="5E1013BA" w14:textId="77777777" w:rsidR="00F53771" w:rsidRDefault="00F53771" w:rsidP="00F53771">
      <w:pPr>
        <w:widowControl w:val="0"/>
        <w:numPr>
          <w:ilvl w:val="0"/>
          <w:numId w:val="28"/>
        </w:numPr>
        <w:spacing w:after="0" w:line="240" w:lineRule="auto"/>
        <w:ind w:left="1080"/>
        <w:contextualSpacing/>
        <w:rPr>
          <w:rFonts w:ascii="Arial" w:eastAsia="Times New Roman" w:hAnsi="Arial" w:cs="Arial"/>
          <w:snapToGrid w:val="0"/>
          <w:sz w:val="24"/>
          <w:szCs w:val="24"/>
        </w:rPr>
      </w:pPr>
      <w:r w:rsidRPr="00C93C49">
        <w:rPr>
          <w:rFonts w:ascii="Arial" w:eastAsia="Times New Roman" w:hAnsi="Arial" w:cs="Arial"/>
          <w:snapToGrid w:val="0"/>
          <w:sz w:val="24"/>
          <w:szCs w:val="24"/>
        </w:rPr>
        <w:t xml:space="preserve">Inclement weather – There may be delays in completing the work due to weather conditions, as conditions may not be safe to complete the work. </w:t>
      </w:r>
    </w:p>
    <w:p w14:paraId="29D1B265" w14:textId="77777777" w:rsidR="008F7E8C" w:rsidRPr="00C93C49" w:rsidRDefault="008F7E8C" w:rsidP="007C326B">
      <w:pPr>
        <w:widowControl w:val="0"/>
        <w:spacing w:after="0" w:line="240" w:lineRule="auto"/>
        <w:ind w:left="1080"/>
        <w:contextualSpacing/>
        <w:rPr>
          <w:rFonts w:ascii="Arial" w:eastAsia="Times New Roman" w:hAnsi="Arial" w:cs="Arial"/>
          <w:snapToGrid w:val="0"/>
          <w:sz w:val="24"/>
          <w:szCs w:val="24"/>
        </w:rPr>
      </w:pPr>
    </w:p>
    <w:p w14:paraId="6CB58EC7" w14:textId="77777777" w:rsidR="00F53771" w:rsidRDefault="00F53771" w:rsidP="00F53771">
      <w:pPr>
        <w:widowControl w:val="0"/>
        <w:numPr>
          <w:ilvl w:val="0"/>
          <w:numId w:val="28"/>
        </w:numPr>
        <w:spacing w:after="0" w:line="240" w:lineRule="auto"/>
        <w:ind w:left="1080"/>
        <w:contextualSpacing/>
        <w:rPr>
          <w:rFonts w:ascii="Arial" w:eastAsia="Times New Roman" w:hAnsi="Arial" w:cs="Arial"/>
          <w:snapToGrid w:val="0"/>
          <w:sz w:val="24"/>
          <w:szCs w:val="24"/>
        </w:rPr>
      </w:pPr>
      <w:r w:rsidRPr="00C93C49">
        <w:rPr>
          <w:rFonts w:ascii="Arial" w:eastAsia="Times New Roman" w:hAnsi="Arial" w:cs="Arial"/>
          <w:snapToGrid w:val="0"/>
          <w:sz w:val="24"/>
          <w:szCs w:val="24"/>
        </w:rPr>
        <w:t xml:space="preserve">Timeliness of entering data – When a work request is not closed in the system within the ten-day window, regardless of the work being completed on time, it will be counted as not meeting the criteria. </w:t>
      </w:r>
    </w:p>
    <w:p w14:paraId="0C334A14" w14:textId="77777777" w:rsidR="008F7E8C" w:rsidRPr="00C93C49" w:rsidRDefault="008F7E8C" w:rsidP="007C326B">
      <w:pPr>
        <w:widowControl w:val="0"/>
        <w:spacing w:after="0" w:line="240" w:lineRule="auto"/>
        <w:ind w:left="1080"/>
        <w:contextualSpacing/>
        <w:rPr>
          <w:rFonts w:ascii="Arial" w:eastAsia="Times New Roman" w:hAnsi="Arial" w:cs="Arial"/>
          <w:snapToGrid w:val="0"/>
          <w:sz w:val="24"/>
          <w:szCs w:val="24"/>
        </w:rPr>
      </w:pPr>
    </w:p>
    <w:p w14:paraId="26AD9664" w14:textId="77777777" w:rsidR="00F53771" w:rsidRPr="00C93C49" w:rsidRDefault="00F53771" w:rsidP="00F53771">
      <w:pPr>
        <w:widowControl w:val="0"/>
        <w:numPr>
          <w:ilvl w:val="0"/>
          <w:numId w:val="28"/>
        </w:numPr>
        <w:spacing w:after="0" w:line="240" w:lineRule="auto"/>
        <w:ind w:left="1080"/>
        <w:contextualSpacing/>
        <w:rPr>
          <w:rFonts w:ascii="Arial" w:eastAsia="Times New Roman" w:hAnsi="Arial" w:cs="Arial"/>
          <w:snapToGrid w:val="0"/>
          <w:sz w:val="24"/>
          <w:szCs w:val="24"/>
        </w:rPr>
      </w:pPr>
      <w:r w:rsidRPr="00C93C49">
        <w:rPr>
          <w:rFonts w:ascii="Arial" w:eastAsia="Times New Roman" w:hAnsi="Arial" w:cs="Arial"/>
          <w:snapToGrid w:val="0"/>
          <w:sz w:val="24"/>
          <w:szCs w:val="24"/>
        </w:rPr>
        <w:t xml:space="preserve">Backlog of work – Even though the </w:t>
      </w:r>
      <w:r w:rsidR="00DC3D9B">
        <w:rPr>
          <w:rFonts w:ascii="Arial" w:eastAsia="Times New Roman" w:hAnsi="Arial" w:cs="Arial"/>
          <w:snapToGrid w:val="0"/>
          <w:sz w:val="24"/>
          <w:szCs w:val="24"/>
        </w:rPr>
        <w:t>FE-PA companies</w:t>
      </w:r>
      <w:r w:rsidRPr="00C93C49">
        <w:rPr>
          <w:rFonts w:ascii="Arial" w:eastAsia="Times New Roman" w:hAnsi="Arial" w:cs="Arial"/>
          <w:snapToGrid w:val="0"/>
          <w:sz w:val="24"/>
          <w:szCs w:val="24"/>
        </w:rPr>
        <w:t xml:space="preserve"> work through this type of issue, this does cause a request to exceed the window from time-to-time. </w:t>
      </w:r>
    </w:p>
    <w:p w14:paraId="6C6F4BD9" w14:textId="77777777" w:rsidR="007C326B" w:rsidRDefault="007C326B" w:rsidP="00C93C49">
      <w:pPr>
        <w:widowControl w:val="0"/>
        <w:spacing w:after="0" w:line="240" w:lineRule="auto"/>
        <w:jc w:val="center"/>
        <w:rPr>
          <w:rFonts w:ascii="Arial" w:eastAsia="Times New Roman" w:hAnsi="Arial" w:cs="Arial"/>
          <w:b/>
          <w:snapToGrid w:val="0"/>
          <w:sz w:val="24"/>
          <w:szCs w:val="20"/>
        </w:rPr>
      </w:pPr>
    </w:p>
    <w:p w14:paraId="04BDB5A7" w14:textId="77777777" w:rsidR="008F32BB" w:rsidRDefault="008F32BB" w:rsidP="00C93C49">
      <w:pPr>
        <w:widowControl w:val="0"/>
        <w:spacing w:after="0" w:line="240" w:lineRule="auto"/>
        <w:jc w:val="center"/>
        <w:rPr>
          <w:rFonts w:ascii="Arial" w:eastAsia="Times New Roman" w:hAnsi="Arial" w:cs="Arial"/>
          <w:b/>
          <w:snapToGrid w:val="0"/>
          <w:sz w:val="24"/>
          <w:szCs w:val="20"/>
        </w:rPr>
      </w:pPr>
    </w:p>
    <w:p w14:paraId="7CEE77D8" w14:textId="77777777" w:rsidR="00C93C49" w:rsidRPr="00C93C49" w:rsidRDefault="00C93C49" w:rsidP="00C93C49">
      <w:pPr>
        <w:widowControl w:val="0"/>
        <w:spacing w:after="0" w:line="240" w:lineRule="auto"/>
        <w:jc w:val="center"/>
        <w:rPr>
          <w:rFonts w:ascii="Arial" w:eastAsia="Times New Roman" w:hAnsi="Arial" w:cs="Arial"/>
          <w:b/>
          <w:sz w:val="24"/>
          <w:szCs w:val="20"/>
        </w:rPr>
      </w:pPr>
      <w:r w:rsidRPr="00C93C49">
        <w:rPr>
          <w:rFonts w:ascii="Arial" w:eastAsia="Times New Roman" w:hAnsi="Arial" w:cs="Arial"/>
          <w:b/>
          <w:snapToGrid w:val="0"/>
          <w:sz w:val="24"/>
          <w:szCs w:val="20"/>
        </w:rPr>
        <w:t xml:space="preserve">Exhibit X – 24 </w:t>
      </w:r>
    </w:p>
    <w:p w14:paraId="637891CD" w14:textId="77777777" w:rsidR="00C93C49" w:rsidRPr="00C93C49" w:rsidRDefault="00C93C49" w:rsidP="00C93C49">
      <w:pPr>
        <w:widowControl w:val="0"/>
        <w:spacing w:after="0" w:line="240" w:lineRule="auto"/>
        <w:jc w:val="center"/>
        <w:rPr>
          <w:rFonts w:ascii="Arial" w:eastAsia="Times New Roman" w:hAnsi="Arial" w:cs="Arial"/>
          <w:b/>
          <w:snapToGrid w:val="0"/>
          <w:sz w:val="24"/>
          <w:szCs w:val="20"/>
        </w:rPr>
      </w:pPr>
      <w:r w:rsidRPr="00C93C49">
        <w:rPr>
          <w:rFonts w:ascii="Arial" w:eastAsia="Calibri" w:hAnsi="Arial" w:cs="Arial"/>
          <w:b/>
          <w:sz w:val="24"/>
          <w:szCs w:val="24"/>
        </w:rPr>
        <w:t>FirstEnergy Pennsylvania Companies</w:t>
      </w:r>
      <w:r w:rsidRPr="00C93C49">
        <w:rPr>
          <w:rFonts w:ascii="Arial" w:eastAsia="Times New Roman" w:hAnsi="Arial" w:cs="Arial"/>
          <w:b/>
          <w:snapToGrid w:val="0"/>
          <w:sz w:val="24"/>
          <w:szCs w:val="20"/>
        </w:rPr>
        <w:t xml:space="preserve"> </w:t>
      </w:r>
    </w:p>
    <w:p w14:paraId="237E5AE3" w14:textId="77777777" w:rsidR="00C93C49" w:rsidRPr="00C93C49" w:rsidRDefault="00C93C49" w:rsidP="00C93C49">
      <w:pPr>
        <w:widowControl w:val="0"/>
        <w:spacing w:after="0" w:line="240" w:lineRule="auto"/>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 xml:space="preserve">Percentage of New Service Installations Requiring No Construction </w:t>
      </w:r>
    </w:p>
    <w:p w14:paraId="41718225" w14:textId="77777777" w:rsidR="00C93C49" w:rsidRPr="00C93C49" w:rsidRDefault="00C93C49" w:rsidP="00C93C49">
      <w:pPr>
        <w:widowControl w:val="0"/>
        <w:spacing w:after="0" w:line="240" w:lineRule="auto"/>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Completed Within Three Days</w:t>
      </w:r>
    </w:p>
    <w:p w14:paraId="3A9A8A73" w14:textId="77777777" w:rsidR="00C93C49" w:rsidRPr="00C93C49" w:rsidRDefault="00C93C49" w:rsidP="00C93C49">
      <w:pPr>
        <w:widowControl w:val="0"/>
        <w:spacing w:after="0" w:line="240" w:lineRule="auto"/>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For the Period April 2015 through December 2017</w:t>
      </w:r>
    </w:p>
    <w:p w14:paraId="55BE42C8" w14:textId="77777777" w:rsidR="00C93C49" w:rsidRPr="00C93C49" w:rsidRDefault="00C93C49" w:rsidP="00C93C49">
      <w:pPr>
        <w:autoSpaceDE w:val="0"/>
        <w:autoSpaceDN w:val="0"/>
        <w:adjustRightInd w:val="0"/>
        <w:spacing w:after="0" w:line="240" w:lineRule="auto"/>
        <w:rPr>
          <w:rFonts w:ascii="Arial" w:eastAsia="Times New Roman" w:hAnsi="Arial" w:cs="Arial"/>
          <w:snapToGrid w:val="0"/>
          <w:sz w:val="8"/>
          <w:szCs w:val="8"/>
        </w:rPr>
      </w:pPr>
    </w:p>
    <w:tbl>
      <w:tblPr>
        <w:tblW w:w="10612" w:type="dxa"/>
        <w:jc w:val="center"/>
        <w:tblLayout w:type="fixed"/>
        <w:tblLook w:val="04A0" w:firstRow="1" w:lastRow="0" w:firstColumn="1" w:lastColumn="0" w:noHBand="0" w:noVBand="1"/>
      </w:tblPr>
      <w:tblGrid>
        <w:gridCol w:w="1540"/>
        <w:gridCol w:w="720"/>
        <w:gridCol w:w="720"/>
        <w:gridCol w:w="720"/>
        <w:gridCol w:w="864"/>
        <w:gridCol w:w="864"/>
        <w:gridCol w:w="864"/>
        <w:gridCol w:w="720"/>
        <w:gridCol w:w="720"/>
        <w:gridCol w:w="720"/>
        <w:gridCol w:w="720"/>
        <w:gridCol w:w="720"/>
        <w:gridCol w:w="720"/>
      </w:tblGrid>
      <w:tr w:rsidR="00C93C49" w:rsidRPr="00C93C49" w14:paraId="100D9214" w14:textId="77777777" w:rsidTr="00347614">
        <w:trPr>
          <w:trHeight w:val="144"/>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4C6CC" w14:textId="77777777" w:rsidR="00C93C49" w:rsidRPr="00C93C49" w:rsidRDefault="00C93C49" w:rsidP="00C93C49">
            <w:pPr>
              <w:spacing w:after="0" w:line="240" w:lineRule="auto"/>
              <w:jc w:val="center"/>
              <w:rPr>
                <w:rFonts w:ascii="Arial" w:eastAsia="Times New Roman" w:hAnsi="Arial" w:cs="Arial"/>
                <w:b/>
                <w:color w:val="000000"/>
                <w:sz w:val="15"/>
                <w:szCs w:val="15"/>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B1B7FA3"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Jan 2015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8FC700C"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Feb 2015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763626A"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Mar 2015</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5AC33F1E"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 xml:space="preserve">Apr </w:t>
            </w:r>
          </w:p>
          <w:p w14:paraId="0F594E19"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2015</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7015D3A5"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May 2015</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1065547C"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 xml:space="preserve">Jun </w:t>
            </w:r>
          </w:p>
          <w:p w14:paraId="1A66D01F"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2015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54AFC24"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Jul 2015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8B7EAD6"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Aug 2015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2B8F407"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Sept 2015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C7673AE"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Oct 2015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740AA75"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Nov 2015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6D838F2"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Dec 2015</w:t>
            </w:r>
          </w:p>
        </w:tc>
      </w:tr>
      <w:tr w:rsidR="00C93C49" w:rsidRPr="00C93C49" w14:paraId="1CDB32E4" w14:textId="77777777" w:rsidTr="00347614">
        <w:trPr>
          <w:trHeight w:val="144"/>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3A9CDE6" w14:textId="77777777" w:rsidR="00C93C49" w:rsidRPr="00C93C49" w:rsidRDefault="00C93C49" w:rsidP="00C93C49">
            <w:pPr>
              <w:spacing w:after="0" w:line="240" w:lineRule="auto"/>
              <w:rPr>
                <w:rFonts w:ascii="Arial" w:eastAsia="Times New Roman" w:hAnsi="Arial" w:cs="Arial"/>
                <w:b/>
                <w:color w:val="000000"/>
                <w:sz w:val="15"/>
                <w:szCs w:val="15"/>
              </w:rPr>
            </w:pPr>
            <w:r w:rsidRPr="00C93C49">
              <w:rPr>
                <w:rFonts w:ascii="Arial" w:eastAsia="Times New Roman" w:hAnsi="Arial" w:cs="Arial"/>
                <w:b/>
                <w:color w:val="000000"/>
                <w:sz w:val="15"/>
                <w:szCs w:val="15"/>
              </w:rPr>
              <w:t>Met-Ed</w:t>
            </w:r>
          </w:p>
        </w:tc>
        <w:tc>
          <w:tcPr>
            <w:tcW w:w="720" w:type="dxa"/>
            <w:tcBorders>
              <w:top w:val="nil"/>
              <w:left w:val="nil"/>
              <w:bottom w:val="single" w:sz="4" w:space="0" w:color="auto"/>
              <w:right w:val="single" w:sz="4" w:space="0" w:color="auto"/>
            </w:tcBorders>
            <w:shd w:val="clear" w:color="auto" w:fill="FFFF00"/>
            <w:noWrap/>
            <w:vAlign w:val="bottom"/>
            <w:hideMark/>
          </w:tcPr>
          <w:p w14:paraId="544CD914" w14:textId="77777777" w:rsidR="00C93C49" w:rsidRPr="00C93C49" w:rsidRDefault="00C93C49" w:rsidP="00C93C49">
            <w:pPr>
              <w:spacing w:after="0" w:line="240" w:lineRule="auto"/>
              <w:jc w:val="center"/>
              <w:rPr>
                <w:rFonts w:ascii="Arial" w:eastAsia="Times New Roman" w:hAnsi="Arial" w:cs="Arial"/>
                <w:color w:val="000000"/>
                <w:sz w:val="15"/>
                <w:szCs w:val="15"/>
              </w:rPr>
            </w:pPr>
          </w:p>
        </w:tc>
        <w:tc>
          <w:tcPr>
            <w:tcW w:w="720" w:type="dxa"/>
            <w:tcBorders>
              <w:top w:val="nil"/>
              <w:left w:val="nil"/>
              <w:bottom w:val="single" w:sz="4" w:space="0" w:color="auto"/>
              <w:right w:val="single" w:sz="4" w:space="0" w:color="auto"/>
            </w:tcBorders>
            <w:shd w:val="clear" w:color="auto" w:fill="FFFF00"/>
            <w:noWrap/>
            <w:vAlign w:val="bottom"/>
            <w:hideMark/>
          </w:tcPr>
          <w:p w14:paraId="2330BD18" w14:textId="77777777" w:rsidR="00C93C49" w:rsidRPr="00C93C49" w:rsidRDefault="00C93C49" w:rsidP="00C93C49">
            <w:pPr>
              <w:spacing w:after="0" w:line="240" w:lineRule="auto"/>
              <w:jc w:val="center"/>
              <w:rPr>
                <w:rFonts w:ascii="Arial" w:eastAsia="Times New Roman" w:hAnsi="Arial" w:cs="Arial"/>
                <w:color w:val="000000"/>
                <w:sz w:val="15"/>
                <w:szCs w:val="15"/>
              </w:rPr>
            </w:pPr>
          </w:p>
        </w:tc>
        <w:tc>
          <w:tcPr>
            <w:tcW w:w="720" w:type="dxa"/>
            <w:tcBorders>
              <w:top w:val="nil"/>
              <w:left w:val="nil"/>
              <w:bottom w:val="single" w:sz="4" w:space="0" w:color="auto"/>
              <w:right w:val="single" w:sz="4" w:space="0" w:color="auto"/>
            </w:tcBorders>
            <w:shd w:val="clear" w:color="auto" w:fill="FFFF00"/>
            <w:noWrap/>
            <w:vAlign w:val="bottom"/>
            <w:hideMark/>
          </w:tcPr>
          <w:p w14:paraId="1FD2F99E" w14:textId="77777777" w:rsidR="00C93C49" w:rsidRPr="00C93C49" w:rsidRDefault="00C93C49" w:rsidP="00C93C49">
            <w:pPr>
              <w:spacing w:after="0" w:line="240" w:lineRule="auto"/>
              <w:jc w:val="center"/>
              <w:rPr>
                <w:rFonts w:ascii="Arial" w:eastAsia="Times New Roman" w:hAnsi="Arial" w:cs="Arial"/>
                <w:color w:val="000000"/>
                <w:sz w:val="15"/>
                <w:szCs w:val="15"/>
              </w:rPr>
            </w:pPr>
          </w:p>
        </w:tc>
        <w:tc>
          <w:tcPr>
            <w:tcW w:w="864" w:type="dxa"/>
            <w:tcBorders>
              <w:top w:val="nil"/>
              <w:left w:val="nil"/>
              <w:bottom w:val="single" w:sz="4" w:space="0" w:color="auto"/>
              <w:right w:val="single" w:sz="4" w:space="0" w:color="auto"/>
            </w:tcBorders>
            <w:shd w:val="clear" w:color="auto" w:fill="auto"/>
            <w:noWrap/>
            <w:vAlign w:val="bottom"/>
            <w:hideMark/>
          </w:tcPr>
          <w:p w14:paraId="7BBEE934"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99.86%</w:t>
            </w:r>
          </w:p>
        </w:tc>
        <w:tc>
          <w:tcPr>
            <w:tcW w:w="864" w:type="dxa"/>
            <w:tcBorders>
              <w:top w:val="nil"/>
              <w:left w:val="nil"/>
              <w:bottom w:val="single" w:sz="4" w:space="0" w:color="auto"/>
              <w:right w:val="single" w:sz="4" w:space="0" w:color="auto"/>
            </w:tcBorders>
            <w:shd w:val="clear" w:color="auto" w:fill="auto"/>
            <w:noWrap/>
            <w:vAlign w:val="bottom"/>
            <w:hideMark/>
          </w:tcPr>
          <w:p w14:paraId="660562AE"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99.87%</w:t>
            </w:r>
          </w:p>
        </w:tc>
        <w:tc>
          <w:tcPr>
            <w:tcW w:w="864" w:type="dxa"/>
            <w:tcBorders>
              <w:top w:val="nil"/>
              <w:left w:val="nil"/>
              <w:bottom w:val="single" w:sz="4" w:space="0" w:color="auto"/>
              <w:right w:val="single" w:sz="4" w:space="0" w:color="auto"/>
            </w:tcBorders>
            <w:shd w:val="clear" w:color="auto" w:fill="auto"/>
            <w:noWrap/>
            <w:vAlign w:val="bottom"/>
            <w:hideMark/>
          </w:tcPr>
          <w:p w14:paraId="77A79189"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99.89%</w:t>
            </w:r>
          </w:p>
        </w:tc>
        <w:tc>
          <w:tcPr>
            <w:tcW w:w="720" w:type="dxa"/>
            <w:tcBorders>
              <w:top w:val="nil"/>
              <w:left w:val="nil"/>
              <w:bottom w:val="single" w:sz="4" w:space="0" w:color="auto"/>
              <w:right w:val="single" w:sz="4" w:space="0" w:color="auto"/>
            </w:tcBorders>
            <w:shd w:val="clear" w:color="auto" w:fill="auto"/>
            <w:noWrap/>
            <w:vAlign w:val="bottom"/>
            <w:hideMark/>
          </w:tcPr>
          <w:p w14:paraId="72873D49"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494717EC"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476DA30F"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5415469F"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4F43293D"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5E91DD14"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r>
      <w:tr w:rsidR="00C93C49" w:rsidRPr="00C93C49" w14:paraId="1E197862" w14:textId="77777777" w:rsidTr="00347614">
        <w:trPr>
          <w:trHeight w:val="144"/>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03C1A84" w14:textId="77777777" w:rsidR="00C93C49" w:rsidRPr="00C93C49" w:rsidRDefault="00C93C49" w:rsidP="00C93C49">
            <w:pPr>
              <w:spacing w:after="0" w:line="240" w:lineRule="auto"/>
              <w:rPr>
                <w:rFonts w:ascii="Arial" w:eastAsia="Times New Roman" w:hAnsi="Arial" w:cs="Arial"/>
                <w:b/>
                <w:color w:val="000000"/>
                <w:sz w:val="15"/>
                <w:szCs w:val="15"/>
              </w:rPr>
            </w:pPr>
            <w:r w:rsidRPr="00C93C49">
              <w:rPr>
                <w:rFonts w:ascii="Arial" w:eastAsia="Times New Roman" w:hAnsi="Arial" w:cs="Arial"/>
                <w:b/>
                <w:color w:val="000000"/>
                <w:sz w:val="15"/>
                <w:szCs w:val="15"/>
              </w:rPr>
              <w:t>Penelec</w:t>
            </w:r>
          </w:p>
        </w:tc>
        <w:tc>
          <w:tcPr>
            <w:tcW w:w="720" w:type="dxa"/>
            <w:tcBorders>
              <w:top w:val="nil"/>
              <w:left w:val="nil"/>
              <w:bottom w:val="single" w:sz="4" w:space="0" w:color="auto"/>
              <w:right w:val="single" w:sz="4" w:space="0" w:color="auto"/>
            </w:tcBorders>
            <w:shd w:val="clear" w:color="auto" w:fill="FFFF00"/>
            <w:noWrap/>
            <w:vAlign w:val="bottom"/>
            <w:hideMark/>
          </w:tcPr>
          <w:p w14:paraId="3CD1EA95" w14:textId="77777777" w:rsidR="00C93C49" w:rsidRPr="00C93C49" w:rsidRDefault="00C93C49" w:rsidP="00C93C49">
            <w:pPr>
              <w:spacing w:after="0" w:line="240" w:lineRule="auto"/>
              <w:jc w:val="center"/>
              <w:rPr>
                <w:rFonts w:ascii="Arial" w:eastAsia="Times New Roman" w:hAnsi="Arial" w:cs="Arial"/>
                <w:color w:val="000000"/>
                <w:sz w:val="15"/>
                <w:szCs w:val="15"/>
              </w:rPr>
            </w:pPr>
          </w:p>
        </w:tc>
        <w:tc>
          <w:tcPr>
            <w:tcW w:w="720" w:type="dxa"/>
            <w:tcBorders>
              <w:top w:val="nil"/>
              <w:left w:val="nil"/>
              <w:bottom w:val="single" w:sz="4" w:space="0" w:color="auto"/>
              <w:right w:val="single" w:sz="4" w:space="0" w:color="auto"/>
            </w:tcBorders>
            <w:shd w:val="clear" w:color="auto" w:fill="FFFF00"/>
            <w:noWrap/>
            <w:vAlign w:val="bottom"/>
            <w:hideMark/>
          </w:tcPr>
          <w:p w14:paraId="5C212B8C" w14:textId="77777777" w:rsidR="00C93C49" w:rsidRPr="00C93C49" w:rsidRDefault="00C93C49" w:rsidP="00C93C49">
            <w:pPr>
              <w:spacing w:after="0" w:line="240" w:lineRule="auto"/>
              <w:jc w:val="center"/>
              <w:rPr>
                <w:rFonts w:ascii="Arial" w:eastAsia="Times New Roman" w:hAnsi="Arial" w:cs="Arial"/>
                <w:color w:val="000000"/>
                <w:sz w:val="15"/>
                <w:szCs w:val="15"/>
              </w:rPr>
            </w:pPr>
          </w:p>
        </w:tc>
        <w:tc>
          <w:tcPr>
            <w:tcW w:w="720" w:type="dxa"/>
            <w:tcBorders>
              <w:top w:val="nil"/>
              <w:left w:val="nil"/>
              <w:bottom w:val="single" w:sz="4" w:space="0" w:color="auto"/>
              <w:right w:val="single" w:sz="4" w:space="0" w:color="auto"/>
            </w:tcBorders>
            <w:shd w:val="clear" w:color="auto" w:fill="FFFF00"/>
            <w:noWrap/>
            <w:vAlign w:val="bottom"/>
            <w:hideMark/>
          </w:tcPr>
          <w:p w14:paraId="7F907664" w14:textId="77777777" w:rsidR="00C93C49" w:rsidRPr="00C93C49" w:rsidRDefault="00C93C49" w:rsidP="00C93C49">
            <w:pPr>
              <w:spacing w:after="0" w:line="240" w:lineRule="auto"/>
              <w:jc w:val="center"/>
              <w:rPr>
                <w:rFonts w:ascii="Arial" w:eastAsia="Times New Roman" w:hAnsi="Arial" w:cs="Arial"/>
                <w:color w:val="000000"/>
                <w:sz w:val="15"/>
                <w:szCs w:val="15"/>
              </w:rPr>
            </w:pPr>
          </w:p>
        </w:tc>
        <w:tc>
          <w:tcPr>
            <w:tcW w:w="864" w:type="dxa"/>
            <w:tcBorders>
              <w:top w:val="nil"/>
              <w:left w:val="nil"/>
              <w:bottom w:val="single" w:sz="4" w:space="0" w:color="auto"/>
              <w:right w:val="single" w:sz="4" w:space="0" w:color="auto"/>
            </w:tcBorders>
            <w:shd w:val="clear" w:color="auto" w:fill="auto"/>
            <w:noWrap/>
            <w:vAlign w:val="bottom"/>
            <w:hideMark/>
          </w:tcPr>
          <w:p w14:paraId="641AE70B"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864" w:type="dxa"/>
            <w:tcBorders>
              <w:top w:val="nil"/>
              <w:left w:val="nil"/>
              <w:bottom w:val="single" w:sz="4" w:space="0" w:color="auto"/>
              <w:right w:val="single" w:sz="4" w:space="0" w:color="auto"/>
            </w:tcBorders>
            <w:shd w:val="clear" w:color="auto" w:fill="auto"/>
            <w:noWrap/>
            <w:vAlign w:val="bottom"/>
            <w:hideMark/>
          </w:tcPr>
          <w:p w14:paraId="771E6FA1"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864" w:type="dxa"/>
            <w:tcBorders>
              <w:top w:val="nil"/>
              <w:left w:val="nil"/>
              <w:bottom w:val="single" w:sz="4" w:space="0" w:color="auto"/>
              <w:right w:val="single" w:sz="4" w:space="0" w:color="auto"/>
            </w:tcBorders>
            <w:shd w:val="clear" w:color="auto" w:fill="auto"/>
            <w:noWrap/>
            <w:vAlign w:val="bottom"/>
            <w:hideMark/>
          </w:tcPr>
          <w:p w14:paraId="65AD5D23"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46DAE60D"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56B84E7F"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77A84CCD"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0E975F8B"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60390FC4"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081EBBDB"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r>
      <w:tr w:rsidR="00C93C49" w:rsidRPr="00C93C49" w14:paraId="2FBF28AA" w14:textId="77777777" w:rsidTr="00347614">
        <w:trPr>
          <w:trHeight w:val="144"/>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22C0771" w14:textId="77777777" w:rsidR="00C93C49" w:rsidRPr="00C93C49" w:rsidRDefault="00C93C49" w:rsidP="00C93C49">
            <w:pPr>
              <w:spacing w:after="0" w:line="240" w:lineRule="auto"/>
              <w:rPr>
                <w:rFonts w:ascii="Arial" w:eastAsia="Times New Roman" w:hAnsi="Arial" w:cs="Arial"/>
                <w:b/>
                <w:color w:val="000000"/>
                <w:sz w:val="15"/>
                <w:szCs w:val="15"/>
              </w:rPr>
            </w:pPr>
            <w:r w:rsidRPr="00C93C49">
              <w:rPr>
                <w:rFonts w:ascii="Arial" w:eastAsia="Times New Roman" w:hAnsi="Arial" w:cs="Arial"/>
                <w:b/>
                <w:color w:val="000000"/>
                <w:sz w:val="15"/>
                <w:szCs w:val="15"/>
              </w:rPr>
              <w:t>Penn Power</w:t>
            </w:r>
          </w:p>
        </w:tc>
        <w:tc>
          <w:tcPr>
            <w:tcW w:w="720" w:type="dxa"/>
            <w:tcBorders>
              <w:top w:val="nil"/>
              <w:left w:val="nil"/>
              <w:bottom w:val="single" w:sz="4" w:space="0" w:color="auto"/>
              <w:right w:val="single" w:sz="4" w:space="0" w:color="auto"/>
            </w:tcBorders>
            <w:shd w:val="clear" w:color="auto" w:fill="FFFF00"/>
            <w:noWrap/>
            <w:vAlign w:val="bottom"/>
            <w:hideMark/>
          </w:tcPr>
          <w:p w14:paraId="7E264A98" w14:textId="77777777" w:rsidR="00C93C49" w:rsidRPr="00C93C49" w:rsidRDefault="00C93C49" w:rsidP="00C93C49">
            <w:pPr>
              <w:spacing w:after="0" w:line="240" w:lineRule="auto"/>
              <w:jc w:val="center"/>
              <w:rPr>
                <w:rFonts w:ascii="Arial" w:eastAsia="Times New Roman" w:hAnsi="Arial" w:cs="Arial"/>
                <w:color w:val="000000"/>
                <w:sz w:val="15"/>
                <w:szCs w:val="15"/>
              </w:rPr>
            </w:pPr>
          </w:p>
        </w:tc>
        <w:tc>
          <w:tcPr>
            <w:tcW w:w="720" w:type="dxa"/>
            <w:tcBorders>
              <w:top w:val="nil"/>
              <w:left w:val="nil"/>
              <w:bottom w:val="single" w:sz="4" w:space="0" w:color="auto"/>
              <w:right w:val="single" w:sz="4" w:space="0" w:color="auto"/>
            </w:tcBorders>
            <w:shd w:val="clear" w:color="auto" w:fill="FFFF00"/>
            <w:noWrap/>
            <w:vAlign w:val="bottom"/>
            <w:hideMark/>
          </w:tcPr>
          <w:p w14:paraId="1E08B38A" w14:textId="77777777" w:rsidR="00C93C49" w:rsidRPr="00C93C49" w:rsidRDefault="00C93C49" w:rsidP="00C93C49">
            <w:pPr>
              <w:spacing w:after="0" w:line="240" w:lineRule="auto"/>
              <w:jc w:val="center"/>
              <w:rPr>
                <w:rFonts w:ascii="Arial" w:eastAsia="Times New Roman" w:hAnsi="Arial" w:cs="Arial"/>
                <w:color w:val="000000"/>
                <w:sz w:val="15"/>
                <w:szCs w:val="15"/>
              </w:rPr>
            </w:pPr>
          </w:p>
        </w:tc>
        <w:tc>
          <w:tcPr>
            <w:tcW w:w="720" w:type="dxa"/>
            <w:tcBorders>
              <w:top w:val="nil"/>
              <w:left w:val="nil"/>
              <w:bottom w:val="single" w:sz="4" w:space="0" w:color="auto"/>
              <w:right w:val="single" w:sz="4" w:space="0" w:color="auto"/>
            </w:tcBorders>
            <w:shd w:val="clear" w:color="auto" w:fill="FFFF00"/>
            <w:noWrap/>
            <w:vAlign w:val="bottom"/>
            <w:hideMark/>
          </w:tcPr>
          <w:p w14:paraId="4EDC7499" w14:textId="77777777" w:rsidR="00C93C49" w:rsidRPr="00C93C49" w:rsidRDefault="00C93C49" w:rsidP="00C93C49">
            <w:pPr>
              <w:spacing w:after="0" w:line="240" w:lineRule="auto"/>
              <w:jc w:val="center"/>
              <w:rPr>
                <w:rFonts w:ascii="Arial" w:eastAsia="Times New Roman" w:hAnsi="Arial" w:cs="Arial"/>
                <w:color w:val="000000"/>
                <w:sz w:val="15"/>
                <w:szCs w:val="15"/>
              </w:rPr>
            </w:pPr>
          </w:p>
        </w:tc>
        <w:tc>
          <w:tcPr>
            <w:tcW w:w="864" w:type="dxa"/>
            <w:tcBorders>
              <w:top w:val="nil"/>
              <w:left w:val="nil"/>
              <w:bottom w:val="single" w:sz="4" w:space="0" w:color="auto"/>
              <w:right w:val="single" w:sz="4" w:space="0" w:color="auto"/>
            </w:tcBorders>
            <w:shd w:val="clear" w:color="auto" w:fill="auto"/>
            <w:noWrap/>
            <w:vAlign w:val="bottom"/>
            <w:hideMark/>
          </w:tcPr>
          <w:p w14:paraId="7A71E5A6"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99.64%</w:t>
            </w:r>
          </w:p>
        </w:tc>
        <w:tc>
          <w:tcPr>
            <w:tcW w:w="864" w:type="dxa"/>
            <w:tcBorders>
              <w:top w:val="nil"/>
              <w:left w:val="nil"/>
              <w:bottom w:val="single" w:sz="4" w:space="0" w:color="auto"/>
              <w:right w:val="single" w:sz="4" w:space="0" w:color="auto"/>
            </w:tcBorders>
            <w:shd w:val="clear" w:color="auto" w:fill="auto"/>
            <w:noWrap/>
            <w:vAlign w:val="bottom"/>
            <w:hideMark/>
          </w:tcPr>
          <w:p w14:paraId="7E8409DC"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99.19%</w:t>
            </w:r>
          </w:p>
        </w:tc>
        <w:tc>
          <w:tcPr>
            <w:tcW w:w="864" w:type="dxa"/>
            <w:tcBorders>
              <w:top w:val="nil"/>
              <w:left w:val="nil"/>
              <w:bottom w:val="single" w:sz="4" w:space="0" w:color="auto"/>
              <w:right w:val="single" w:sz="4" w:space="0" w:color="auto"/>
            </w:tcBorders>
            <w:shd w:val="clear" w:color="auto" w:fill="auto"/>
            <w:noWrap/>
            <w:vAlign w:val="bottom"/>
            <w:hideMark/>
          </w:tcPr>
          <w:p w14:paraId="2A7B472B"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99.76%</w:t>
            </w:r>
          </w:p>
        </w:tc>
        <w:tc>
          <w:tcPr>
            <w:tcW w:w="720" w:type="dxa"/>
            <w:tcBorders>
              <w:top w:val="nil"/>
              <w:left w:val="nil"/>
              <w:bottom w:val="single" w:sz="4" w:space="0" w:color="auto"/>
              <w:right w:val="single" w:sz="4" w:space="0" w:color="auto"/>
            </w:tcBorders>
            <w:shd w:val="clear" w:color="auto" w:fill="auto"/>
            <w:noWrap/>
            <w:vAlign w:val="bottom"/>
            <w:hideMark/>
          </w:tcPr>
          <w:p w14:paraId="5665F50B"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20767838"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7BEED248"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14062179"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4A3EE89C"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6A6E97B7"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r>
      <w:tr w:rsidR="00C93C49" w:rsidRPr="00C93C49" w14:paraId="5C9A479F" w14:textId="77777777" w:rsidTr="00347614">
        <w:trPr>
          <w:trHeight w:val="144"/>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387CBC9" w14:textId="77777777" w:rsidR="00C93C49" w:rsidRPr="00C93C49" w:rsidRDefault="00C93C49" w:rsidP="00C93C49">
            <w:pPr>
              <w:spacing w:after="0" w:line="240" w:lineRule="auto"/>
              <w:rPr>
                <w:rFonts w:ascii="Arial" w:eastAsia="Times New Roman" w:hAnsi="Arial" w:cs="Arial"/>
                <w:b/>
                <w:color w:val="000000"/>
                <w:sz w:val="15"/>
                <w:szCs w:val="15"/>
              </w:rPr>
            </w:pPr>
            <w:r w:rsidRPr="00C93C49">
              <w:rPr>
                <w:rFonts w:ascii="Arial" w:eastAsia="Times New Roman" w:hAnsi="Arial" w:cs="Arial"/>
                <w:b/>
                <w:color w:val="000000"/>
                <w:sz w:val="15"/>
                <w:szCs w:val="15"/>
              </w:rPr>
              <w:t>West Penn Power</w:t>
            </w:r>
          </w:p>
        </w:tc>
        <w:tc>
          <w:tcPr>
            <w:tcW w:w="720" w:type="dxa"/>
            <w:tcBorders>
              <w:top w:val="nil"/>
              <w:left w:val="nil"/>
              <w:bottom w:val="single" w:sz="4" w:space="0" w:color="auto"/>
              <w:right w:val="single" w:sz="4" w:space="0" w:color="auto"/>
            </w:tcBorders>
            <w:shd w:val="clear" w:color="auto" w:fill="FFFF00"/>
            <w:noWrap/>
            <w:vAlign w:val="bottom"/>
            <w:hideMark/>
          </w:tcPr>
          <w:p w14:paraId="1BA1C98B" w14:textId="77777777" w:rsidR="00C93C49" w:rsidRPr="00C93C49" w:rsidRDefault="00C93C49" w:rsidP="00C93C49">
            <w:pPr>
              <w:spacing w:after="0" w:line="240" w:lineRule="auto"/>
              <w:jc w:val="center"/>
              <w:rPr>
                <w:rFonts w:ascii="Arial" w:eastAsia="Times New Roman" w:hAnsi="Arial" w:cs="Arial"/>
                <w:color w:val="000000"/>
                <w:sz w:val="15"/>
                <w:szCs w:val="15"/>
              </w:rPr>
            </w:pPr>
          </w:p>
        </w:tc>
        <w:tc>
          <w:tcPr>
            <w:tcW w:w="720" w:type="dxa"/>
            <w:tcBorders>
              <w:top w:val="nil"/>
              <w:left w:val="nil"/>
              <w:bottom w:val="single" w:sz="4" w:space="0" w:color="auto"/>
              <w:right w:val="single" w:sz="4" w:space="0" w:color="auto"/>
            </w:tcBorders>
            <w:shd w:val="clear" w:color="auto" w:fill="FFFF00"/>
            <w:noWrap/>
            <w:vAlign w:val="bottom"/>
            <w:hideMark/>
          </w:tcPr>
          <w:p w14:paraId="28BDA613" w14:textId="77777777" w:rsidR="00C93C49" w:rsidRPr="00C93C49" w:rsidRDefault="00C93C49" w:rsidP="00C93C49">
            <w:pPr>
              <w:spacing w:after="0" w:line="240" w:lineRule="auto"/>
              <w:jc w:val="center"/>
              <w:rPr>
                <w:rFonts w:ascii="Arial" w:eastAsia="Times New Roman" w:hAnsi="Arial" w:cs="Arial"/>
                <w:color w:val="000000"/>
                <w:sz w:val="15"/>
                <w:szCs w:val="15"/>
              </w:rPr>
            </w:pPr>
          </w:p>
        </w:tc>
        <w:tc>
          <w:tcPr>
            <w:tcW w:w="720" w:type="dxa"/>
            <w:tcBorders>
              <w:top w:val="nil"/>
              <w:left w:val="nil"/>
              <w:bottom w:val="single" w:sz="4" w:space="0" w:color="auto"/>
              <w:right w:val="single" w:sz="4" w:space="0" w:color="auto"/>
            </w:tcBorders>
            <w:shd w:val="clear" w:color="auto" w:fill="FFFF00"/>
            <w:noWrap/>
            <w:vAlign w:val="bottom"/>
            <w:hideMark/>
          </w:tcPr>
          <w:p w14:paraId="0E98F2CF" w14:textId="77777777" w:rsidR="00C93C49" w:rsidRPr="00C93C49" w:rsidRDefault="00C93C49" w:rsidP="00C93C49">
            <w:pPr>
              <w:spacing w:after="0" w:line="240" w:lineRule="auto"/>
              <w:jc w:val="center"/>
              <w:rPr>
                <w:rFonts w:ascii="Arial" w:eastAsia="Times New Roman" w:hAnsi="Arial" w:cs="Arial"/>
                <w:color w:val="000000"/>
                <w:sz w:val="15"/>
                <w:szCs w:val="15"/>
              </w:rPr>
            </w:pPr>
          </w:p>
        </w:tc>
        <w:tc>
          <w:tcPr>
            <w:tcW w:w="864" w:type="dxa"/>
            <w:tcBorders>
              <w:top w:val="nil"/>
              <w:left w:val="nil"/>
              <w:bottom w:val="single" w:sz="4" w:space="0" w:color="auto"/>
              <w:right w:val="single" w:sz="4" w:space="0" w:color="auto"/>
            </w:tcBorders>
            <w:shd w:val="clear" w:color="auto" w:fill="auto"/>
            <w:noWrap/>
            <w:vAlign w:val="bottom"/>
            <w:hideMark/>
          </w:tcPr>
          <w:p w14:paraId="1CA7A2C1"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98.49%</w:t>
            </w:r>
          </w:p>
        </w:tc>
        <w:tc>
          <w:tcPr>
            <w:tcW w:w="864" w:type="dxa"/>
            <w:tcBorders>
              <w:top w:val="nil"/>
              <w:left w:val="nil"/>
              <w:bottom w:val="single" w:sz="4" w:space="0" w:color="auto"/>
              <w:right w:val="single" w:sz="4" w:space="0" w:color="auto"/>
            </w:tcBorders>
            <w:shd w:val="clear" w:color="auto" w:fill="auto"/>
            <w:noWrap/>
            <w:vAlign w:val="bottom"/>
            <w:hideMark/>
          </w:tcPr>
          <w:p w14:paraId="661B7863"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99.79%</w:t>
            </w:r>
          </w:p>
        </w:tc>
        <w:tc>
          <w:tcPr>
            <w:tcW w:w="864" w:type="dxa"/>
            <w:tcBorders>
              <w:top w:val="nil"/>
              <w:left w:val="nil"/>
              <w:bottom w:val="single" w:sz="4" w:space="0" w:color="auto"/>
              <w:right w:val="single" w:sz="4" w:space="0" w:color="auto"/>
            </w:tcBorders>
            <w:shd w:val="clear" w:color="auto" w:fill="auto"/>
            <w:noWrap/>
            <w:vAlign w:val="bottom"/>
            <w:hideMark/>
          </w:tcPr>
          <w:p w14:paraId="46E66999"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99.74%</w:t>
            </w:r>
          </w:p>
        </w:tc>
        <w:tc>
          <w:tcPr>
            <w:tcW w:w="720" w:type="dxa"/>
            <w:tcBorders>
              <w:top w:val="nil"/>
              <w:left w:val="nil"/>
              <w:bottom w:val="single" w:sz="4" w:space="0" w:color="auto"/>
              <w:right w:val="single" w:sz="4" w:space="0" w:color="auto"/>
            </w:tcBorders>
            <w:shd w:val="clear" w:color="auto" w:fill="auto"/>
            <w:noWrap/>
            <w:vAlign w:val="bottom"/>
            <w:hideMark/>
          </w:tcPr>
          <w:p w14:paraId="106DE12F"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6264904E"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4700DE12"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07543B4C"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45739585"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7E3BF105"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r>
      <w:tr w:rsidR="00C93C49" w:rsidRPr="00C93C49" w14:paraId="3466F5F7" w14:textId="77777777" w:rsidTr="00347614">
        <w:trPr>
          <w:trHeight w:val="144"/>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25BA93E0" w14:textId="77777777" w:rsidR="00C93C49" w:rsidRPr="00C93C49" w:rsidRDefault="00C93C49" w:rsidP="00C93C49">
            <w:pPr>
              <w:spacing w:after="0" w:line="240" w:lineRule="auto"/>
              <w:jc w:val="center"/>
              <w:rPr>
                <w:rFonts w:ascii="Arial" w:eastAsia="Times New Roman" w:hAnsi="Arial" w:cs="Arial"/>
                <w:b/>
                <w:color w:val="000000"/>
                <w:sz w:val="15"/>
                <w:szCs w:val="15"/>
              </w:rPr>
            </w:pPr>
          </w:p>
        </w:tc>
        <w:tc>
          <w:tcPr>
            <w:tcW w:w="720" w:type="dxa"/>
            <w:tcBorders>
              <w:top w:val="nil"/>
              <w:left w:val="nil"/>
              <w:bottom w:val="single" w:sz="4" w:space="0" w:color="auto"/>
              <w:right w:val="single" w:sz="4" w:space="0" w:color="auto"/>
            </w:tcBorders>
            <w:shd w:val="clear" w:color="auto" w:fill="auto"/>
            <w:noWrap/>
            <w:vAlign w:val="bottom"/>
            <w:hideMark/>
          </w:tcPr>
          <w:p w14:paraId="01C7CE8C"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Jan 2016</w:t>
            </w:r>
          </w:p>
        </w:tc>
        <w:tc>
          <w:tcPr>
            <w:tcW w:w="720" w:type="dxa"/>
            <w:tcBorders>
              <w:top w:val="nil"/>
              <w:left w:val="nil"/>
              <w:bottom w:val="single" w:sz="4" w:space="0" w:color="auto"/>
              <w:right w:val="single" w:sz="4" w:space="0" w:color="auto"/>
            </w:tcBorders>
            <w:shd w:val="clear" w:color="auto" w:fill="auto"/>
            <w:noWrap/>
            <w:vAlign w:val="bottom"/>
            <w:hideMark/>
          </w:tcPr>
          <w:p w14:paraId="694B7FFD"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Feb 2016</w:t>
            </w:r>
          </w:p>
        </w:tc>
        <w:tc>
          <w:tcPr>
            <w:tcW w:w="720" w:type="dxa"/>
            <w:tcBorders>
              <w:top w:val="nil"/>
              <w:left w:val="nil"/>
              <w:bottom w:val="single" w:sz="4" w:space="0" w:color="auto"/>
              <w:right w:val="single" w:sz="4" w:space="0" w:color="auto"/>
            </w:tcBorders>
            <w:shd w:val="clear" w:color="auto" w:fill="auto"/>
            <w:noWrap/>
            <w:vAlign w:val="bottom"/>
            <w:hideMark/>
          </w:tcPr>
          <w:p w14:paraId="1079F06C"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Mar 2016</w:t>
            </w:r>
          </w:p>
        </w:tc>
        <w:tc>
          <w:tcPr>
            <w:tcW w:w="864" w:type="dxa"/>
            <w:tcBorders>
              <w:top w:val="nil"/>
              <w:left w:val="nil"/>
              <w:bottom w:val="single" w:sz="4" w:space="0" w:color="auto"/>
              <w:right w:val="single" w:sz="4" w:space="0" w:color="auto"/>
            </w:tcBorders>
            <w:shd w:val="clear" w:color="auto" w:fill="auto"/>
            <w:noWrap/>
            <w:vAlign w:val="bottom"/>
            <w:hideMark/>
          </w:tcPr>
          <w:p w14:paraId="31090BBE"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 xml:space="preserve">Apr </w:t>
            </w:r>
          </w:p>
          <w:p w14:paraId="43144DD1"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2016</w:t>
            </w:r>
          </w:p>
        </w:tc>
        <w:tc>
          <w:tcPr>
            <w:tcW w:w="864" w:type="dxa"/>
            <w:tcBorders>
              <w:top w:val="nil"/>
              <w:left w:val="nil"/>
              <w:bottom w:val="single" w:sz="4" w:space="0" w:color="auto"/>
              <w:right w:val="single" w:sz="4" w:space="0" w:color="auto"/>
            </w:tcBorders>
            <w:shd w:val="clear" w:color="auto" w:fill="auto"/>
            <w:noWrap/>
            <w:vAlign w:val="bottom"/>
            <w:hideMark/>
          </w:tcPr>
          <w:p w14:paraId="7CFA23F0"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May 2016</w:t>
            </w:r>
          </w:p>
        </w:tc>
        <w:tc>
          <w:tcPr>
            <w:tcW w:w="864" w:type="dxa"/>
            <w:tcBorders>
              <w:top w:val="nil"/>
              <w:left w:val="nil"/>
              <w:bottom w:val="single" w:sz="4" w:space="0" w:color="auto"/>
              <w:right w:val="single" w:sz="4" w:space="0" w:color="auto"/>
            </w:tcBorders>
            <w:shd w:val="clear" w:color="auto" w:fill="auto"/>
            <w:noWrap/>
            <w:vAlign w:val="bottom"/>
            <w:hideMark/>
          </w:tcPr>
          <w:p w14:paraId="2341A64D"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 xml:space="preserve">Jun </w:t>
            </w:r>
          </w:p>
          <w:p w14:paraId="2895920B"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2016</w:t>
            </w:r>
          </w:p>
        </w:tc>
        <w:tc>
          <w:tcPr>
            <w:tcW w:w="720" w:type="dxa"/>
            <w:tcBorders>
              <w:top w:val="nil"/>
              <w:left w:val="nil"/>
              <w:bottom w:val="single" w:sz="4" w:space="0" w:color="auto"/>
              <w:right w:val="single" w:sz="4" w:space="0" w:color="auto"/>
            </w:tcBorders>
            <w:shd w:val="clear" w:color="auto" w:fill="auto"/>
            <w:noWrap/>
            <w:vAlign w:val="bottom"/>
            <w:hideMark/>
          </w:tcPr>
          <w:p w14:paraId="0D108112"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Jul 2016</w:t>
            </w:r>
          </w:p>
        </w:tc>
        <w:tc>
          <w:tcPr>
            <w:tcW w:w="720" w:type="dxa"/>
            <w:tcBorders>
              <w:top w:val="nil"/>
              <w:left w:val="nil"/>
              <w:bottom w:val="single" w:sz="4" w:space="0" w:color="auto"/>
              <w:right w:val="single" w:sz="4" w:space="0" w:color="auto"/>
            </w:tcBorders>
            <w:shd w:val="clear" w:color="auto" w:fill="auto"/>
            <w:noWrap/>
            <w:vAlign w:val="bottom"/>
            <w:hideMark/>
          </w:tcPr>
          <w:p w14:paraId="4D34578B"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Aug 2016</w:t>
            </w:r>
          </w:p>
        </w:tc>
        <w:tc>
          <w:tcPr>
            <w:tcW w:w="720" w:type="dxa"/>
            <w:tcBorders>
              <w:top w:val="nil"/>
              <w:left w:val="nil"/>
              <w:bottom w:val="single" w:sz="4" w:space="0" w:color="auto"/>
              <w:right w:val="single" w:sz="4" w:space="0" w:color="auto"/>
            </w:tcBorders>
            <w:shd w:val="clear" w:color="auto" w:fill="auto"/>
            <w:noWrap/>
            <w:vAlign w:val="bottom"/>
            <w:hideMark/>
          </w:tcPr>
          <w:p w14:paraId="6C0F5EB0"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Sept 2016</w:t>
            </w:r>
          </w:p>
        </w:tc>
        <w:tc>
          <w:tcPr>
            <w:tcW w:w="720" w:type="dxa"/>
            <w:tcBorders>
              <w:top w:val="nil"/>
              <w:left w:val="nil"/>
              <w:bottom w:val="single" w:sz="4" w:space="0" w:color="auto"/>
              <w:right w:val="single" w:sz="4" w:space="0" w:color="auto"/>
            </w:tcBorders>
            <w:shd w:val="clear" w:color="auto" w:fill="auto"/>
            <w:noWrap/>
            <w:vAlign w:val="bottom"/>
            <w:hideMark/>
          </w:tcPr>
          <w:p w14:paraId="24B0750F"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Oct 2016</w:t>
            </w:r>
          </w:p>
        </w:tc>
        <w:tc>
          <w:tcPr>
            <w:tcW w:w="720" w:type="dxa"/>
            <w:tcBorders>
              <w:top w:val="nil"/>
              <w:left w:val="nil"/>
              <w:bottom w:val="single" w:sz="4" w:space="0" w:color="auto"/>
              <w:right w:val="single" w:sz="4" w:space="0" w:color="auto"/>
            </w:tcBorders>
            <w:shd w:val="clear" w:color="auto" w:fill="auto"/>
            <w:noWrap/>
            <w:vAlign w:val="bottom"/>
            <w:hideMark/>
          </w:tcPr>
          <w:p w14:paraId="20878250"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Nov 2016</w:t>
            </w:r>
          </w:p>
        </w:tc>
        <w:tc>
          <w:tcPr>
            <w:tcW w:w="720" w:type="dxa"/>
            <w:tcBorders>
              <w:top w:val="nil"/>
              <w:left w:val="nil"/>
              <w:bottom w:val="single" w:sz="4" w:space="0" w:color="auto"/>
              <w:right w:val="single" w:sz="4" w:space="0" w:color="auto"/>
            </w:tcBorders>
            <w:shd w:val="clear" w:color="auto" w:fill="auto"/>
            <w:noWrap/>
            <w:vAlign w:val="bottom"/>
            <w:hideMark/>
          </w:tcPr>
          <w:p w14:paraId="099F03F1"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Dec 2016</w:t>
            </w:r>
          </w:p>
        </w:tc>
      </w:tr>
      <w:tr w:rsidR="00C93C49" w:rsidRPr="00C93C49" w14:paraId="64D2313D" w14:textId="77777777" w:rsidTr="00347614">
        <w:trPr>
          <w:trHeight w:val="144"/>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CF6CE28" w14:textId="77777777" w:rsidR="00C93C49" w:rsidRPr="00C93C49" w:rsidRDefault="00C93C49" w:rsidP="00C93C49">
            <w:pPr>
              <w:spacing w:after="0" w:line="240" w:lineRule="auto"/>
              <w:rPr>
                <w:rFonts w:ascii="Arial" w:eastAsia="Times New Roman" w:hAnsi="Arial" w:cs="Arial"/>
                <w:b/>
                <w:color w:val="000000"/>
                <w:sz w:val="15"/>
                <w:szCs w:val="15"/>
              </w:rPr>
            </w:pPr>
            <w:r w:rsidRPr="00C93C49">
              <w:rPr>
                <w:rFonts w:ascii="Arial" w:eastAsia="Times New Roman" w:hAnsi="Arial" w:cs="Arial"/>
                <w:b/>
                <w:color w:val="000000"/>
                <w:sz w:val="15"/>
                <w:szCs w:val="15"/>
              </w:rPr>
              <w:t>Met-Ed</w:t>
            </w:r>
          </w:p>
        </w:tc>
        <w:tc>
          <w:tcPr>
            <w:tcW w:w="720" w:type="dxa"/>
            <w:tcBorders>
              <w:top w:val="nil"/>
              <w:left w:val="nil"/>
              <w:bottom w:val="single" w:sz="4" w:space="0" w:color="auto"/>
              <w:right w:val="single" w:sz="4" w:space="0" w:color="auto"/>
            </w:tcBorders>
            <w:shd w:val="clear" w:color="auto" w:fill="auto"/>
            <w:noWrap/>
            <w:vAlign w:val="bottom"/>
            <w:hideMark/>
          </w:tcPr>
          <w:p w14:paraId="534FD508"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38AC8187"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4CF1E7EB"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864" w:type="dxa"/>
            <w:tcBorders>
              <w:top w:val="nil"/>
              <w:left w:val="nil"/>
              <w:bottom w:val="single" w:sz="4" w:space="0" w:color="auto"/>
              <w:right w:val="single" w:sz="4" w:space="0" w:color="auto"/>
            </w:tcBorders>
            <w:shd w:val="clear" w:color="auto" w:fill="auto"/>
            <w:noWrap/>
            <w:vAlign w:val="bottom"/>
            <w:hideMark/>
          </w:tcPr>
          <w:p w14:paraId="775AEDF8"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864" w:type="dxa"/>
            <w:tcBorders>
              <w:top w:val="nil"/>
              <w:left w:val="nil"/>
              <w:bottom w:val="single" w:sz="4" w:space="0" w:color="auto"/>
              <w:right w:val="single" w:sz="4" w:space="0" w:color="auto"/>
            </w:tcBorders>
            <w:shd w:val="clear" w:color="auto" w:fill="auto"/>
            <w:noWrap/>
            <w:vAlign w:val="bottom"/>
            <w:hideMark/>
          </w:tcPr>
          <w:p w14:paraId="76684DDC"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864" w:type="dxa"/>
            <w:tcBorders>
              <w:top w:val="nil"/>
              <w:left w:val="nil"/>
              <w:bottom w:val="single" w:sz="4" w:space="0" w:color="auto"/>
              <w:right w:val="single" w:sz="4" w:space="0" w:color="auto"/>
            </w:tcBorders>
            <w:shd w:val="clear" w:color="auto" w:fill="auto"/>
            <w:noWrap/>
            <w:vAlign w:val="bottom"/>
            <w:hideMark/>
          </w:tcPr>
          <w:p w14:paraId="1A7FDA0D"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35DCD235"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7378F88B"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02E3DCAB"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7A953C72"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4A3CE7B0"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1D9128AD"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r>
      <w:tr w:rsidR="00C93C49" w:rsidRPr="00C93C49" w14:paraId="4C355F1D" w14:textId="77777777" w:rsidTr="00347614">
        <w:trPr>
          <w:trHeight w:val="144"/>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EB7DA6F" w14:textId="77777777" w:rsidR="00C93C49" w:rsidRPr="00C93C49" w:rsidRDefault="00C93C49" w:rsidP="00C93C49">
            <w:pPr>
              <w:spacing w:after="0" w:line="240" w:lineRule="auto"/>
              <w:rPr>
                <w:rFonts w:ascii="Arial" w:eastAsia="Times New Roman" w:hAnsi="Arial" w:cs="Arial"/>
                <w:b/>
                <w:color w:val="000000"/>
                <w:sz w:val="15"/>
                <w:szCs w:val="15"/>
              </w:rPr>
            </w:pPr>
            <w:r w:rsidRPr="00C93C49">
              <w:rPr>
                <w:rFonts w:ascii="Arial" w:eastAsia="Times New Roman" w:hAnsi="Arial" w:cs="Arial"/>
                <w:b/>
                <w:color w:val="000000"/>
                <w:sz w:val="15"/>
                <w:szCs w:val="15"/>
              </w:rPr>
              <w:t>Penelec</w:t>
            </w:r>
          </w:p>
        </w:tc>
        <w:tc>
          <w:tcPr>
            <w:tcW w:w="720" w:type="dxa"/>
            <w:tcBorders>
              <w:top w:val="nil"/>
              <w:left w:val="nil"/>
              <w:bottom w:val="single" w:sz="4" w:space="0" w:color="auto"/>
              <w:right w:val="single" w:sz="4" w:space="0" w:color="auto"/>
            </w:tcBorders>
            <w:shd w:val="clear" w:color="auto" w:fill="auto"/>
            <w:noWrap/>
            <w:vAlign w:val="bottom"/>
            <w:hideMark/>
          </w:tcPr>
          <w:p w14:paraId="1E43B608"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26AB255A"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0EC4BC60"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864" w:type="dxa"/>
            <w:tcBorders>
              <w:top w:val="nil"/>
              <w:left w:val="nil"/>
              <w:bottom w:val="single" w:sz="4" w:space="0" w:color="auto"/>
              <w:right w:val="single" w:sz="4" w:space="0" w:color="auto"/>
            </w:tcBorders>
            <w:shd w:val="clear" w:color="auto" w:fill="auto"/>
            <w:noWrap/>
            <w:vAlign w:val="bottom"/>
            <w:hideMark/>
          </w:tcPr>
          <w:p w14:paraId="2C7B57B6"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864" w:type="dxa"/>
            <w:tcBorders>
              <w:top w:val="nil"/>
              <w:left w:val="nil"/>
              <w:bottom w:val="single" w:sz="4" w:space="0" w:color="auto"/>
              <w:right w:val="single" w:sz="4" w:space="0" w:color="auto"/>
            </w:tcBorders>
            <w:shd w:val="clear" w:color="auto" w:fill="auto"/>
            <w:noWrap/>
            <w:vAlign w:val="bottom"/>
            <w:hideMark/>
          </w:tcPr>
          <w:p w14:paraId="12E0BABC"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864" w:type="dxa"/>
            <w:tcBorders>
              <w:top w:val="nil"/>
              <w:left w:val="nil"/>
              <w:bottom w:val="single" w:sz="4" w:space="0" w:color="auto"/>
              <w:right w:val="single" w:sz="4" w:space="0" w:color="auto"/>
            </w:tcBorders>
            <w:shd w:val="clear" w:color="auto" w:fill="auto"/>
            <w:noWrap/>
            <w:vAlign w:val="bottom"/>
            <w:hideMark/>
          </w:tcPr>
          <w:p w14:paraId="52687B10"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0D45FA92"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50AA59C7"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3242FD9D"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4F082D1A"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07B719B6"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166217BD"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r>
      <w:tr w:rsidR="00C93C49" w:rsidRPr="00C93C49" w14:paraId="69488449" w14:textId="77777777" w:rsidTr="00347614">
        <w:trPr>
          <w:trHeight w:val="144"/>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68EB0E1" w14:textId="77777777" w:rsidR="00C93C49" w:rsidRPr="00C93C49" w:rsidRDefault="00C93C49" w:rsidP="00C93C49">
            <w:pPr>
              <w:spacing w:after="0" w:line="240" w:lineRule="auto"/>
              <w:rPr>
                <w:rFonts w:ascii="Arial" w:eastAsia="Times New Roman" w:hAnsi="Arial" w:cs="Arial"/>
                <w:b/>
                <w:color w:val="000000"/>
                <w:sz w:val="15"/>
                <w:szCs w:val="15"/>
              </w:rPr>
            </w:pPr>
            <w:r w:rsidRPr="00C93C49">
              <w:rPr>
                <w:rFonts w:ascii="Arial" w:eastAsia="Times New Roman" w:hAnsi="Arial" w:cs="Arial"/>
                <w:b/>
                <w:color w:val="000000"/>
                <w:sz w:val="15"/>
                <w:szCs w:val="15"/>
              </w:rPr>
              <w:t>Penn Power</w:t>
            </w:r>
          </w:p>
        </w:tc>
        <w:tc>
          <w:tcPr>
            <w:tcW w:w="720" w:type="dxa"/>
            <w:tcBorders>
              <w:top w:val="nil"/>
              <w:left w:val="nil"/>
              <w:bottom w:val="single" w:sz="4" w:space="0" w:color="auto"/>
              <w:right w:val="single" w:sz="4" w:space="0" w:color="auto"/>
            </w:tcBorders>
            <w:shd w:val="clear" w:color="auto" w:fill="auto"/>
            <w:noWrap/>
            <w:vAlign w:val="bottom"/>
            <w:hideMark/>
          </w:tcPr>
          <w:p w14:paraId="1B247D4F"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61E803CF"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1CE6FA50"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864" w:type="dxa"/>
            <w:tcBorders>
              <w:top w:val="nil"/>
              <w:left w:val="nil"/>
              <w:bottom w:val="single" w:sz="4" w:space="0" w:color="auto"/>
              <w:right w:val="single" w:sz="4" w:space="0" w:color="auto"/>
            </w:tcBorders>
            <w:shd w:val="clear" w:color="auto" w:fill="auto"/>
            <w:noWrap/>
            <w:vAlign w:val="bottom"/>
            <w:hideMark/>
          </w:tcPr>
          <w:p w14:paraId="641D87EE"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864" w:type="dxa"/>
            <w:tcBorders>
              <w:top w:val="nil"/>
              <w:left w:val="nil"/>
              <w:bottom w:val="single" w:sz="4" w:space="0" w:color="auto"/>
              <w:right w:val="single" w:sz="4" w:space="0" w:color="auto"/>
            </w:tcBorders>
            <w:shd w:val="clear" w:color="auto" w:fill="auto"/>
            <w:noWrap/>
            <w:vAlign w:val="bottom"/>
            <w:hideMark/>
          </w:tcPr>
          <w:p w14:paraId="5BF4B07E"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864" w:type="dxa"/>
            <w:tcBorders>
              <w:top w:val="nil"/>
              <w:left w:val="nil"/>
              <w:bottom w:val="single" w:sz="4" w:space="0" w:color="auto"/>
              <w:right w:val="single" w:sz="4" w:space="0" w:color="auto"/>
            </w:tcBorders>
            <w:shd w:val="clear" w:color="auto" w:fill="auto"/>
            <w:noWrap/>
            <w:vAlign w:val="bottom"/>
            <w:hideMark/>
          </w:tcPr>
          <w:p w14:paraId="5523B55A"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55F126E5"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1F6DF9EF"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5919F806"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544CF2D8"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270D1B31"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3CD8EEA8"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r>
      <w:tr w:rsidR="00C93C49" w:rsidRPr="00C93C49" w14:paraId="56EE57BF" w14:textId="77777777" w:rsidTr="00347614">
        <w:trPr>
          <w:trHeight w:val="144"/>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E07DBE2" w14:textId="77777777" w:rsidR="00C93C49" w:rsidRPr="00C93C49" w:rsidRDefault="00C93C49" w:rsidP="00C93C49">
            <w:pPr>
              <w:spacing w:after="0" w:line="240" w:lineRule="auto"/>
              <w:rPr>
                <w:rFonts w:ascii="Arial" w:eastAsia="Times New Roman" w:hAnsi="Arial" w:cs="Arial"/>
                <w:b/>
                <w:color w:val="000000"/>
                <w:sz w:val="15"/>
                <w:szCs w:val="15"/>
              </w:rPr>
            </w:pPr>
            <w:r w:rsidRPr="00C93C49">
              <w:rPr>
                <w:rFonts w:ascii="Arial" w:eastAsia="Times New Roman" w:hAnsi="Arial" w:cs="Arial"/>
                <w:b/>
                <w:color w:val="000000"/>
                <w:sz w:val="15"/>
                <w:szCs w:val="15"/>
              </w:rPr>
              <w:t>West Penn Power</w:t>
            </w:r>
          </w:p>
        </w:tc>
        <w:tc>
          <w:tcPr>
            <w:tcW w:w="720" w:type="dxa"/>
            <w:tcBorders>
              <w:top w:val="nil"/>
              <w:left w:val="nil"/>
              <w:bottom w:val="single" w:sz="4" w:space="0" w:color="auto"/>
              <w:right w:val="single" w:sz="4" w:space="0" w:color="auto"/>
            </w:tcBorders>
            <w:shd w:val="clear" w:color="auto" w:fill="auto"/>
            <w:noWrap/>
            <w:vAlign w:val="bottom"/>
            <w:hideMark/>
          </w:tcPr>
          <w:p w14:paraId="2E8B2E24"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2C75E808"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4253434A"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864" w:type="dxa"/>
            <w:tcBorders>
              <w:top w:val="nil"/>
              <w:left w:val="nil"/>
              <w:bottom w:val="single" w:sz="4" w:space="0" w:color="auto"/>
              <w:right w:val="single" w:sz="4" w:space="0" w:color="auto"/>
            </w:tcBorders>
            <w:shd w:val="clear" w:color="auto" w:fill="auto"/>
            <w:noWrap/>
            <w:vAlign w:val="bottom"/>
            <w:hideMark/>
          </w:tcPr>
          <w:p w14:paraId="0F493332"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864" w:type="dxa"/>
            <w:tcBorders>
              <w:top w:val="nil"/>
              <w:left w:val="nil"/>
              <w:bottom w:val="single" w:sz="4" w:space="0" w:color="auto"/>
              <w:right w:val="single" w:sz="4" w:space="0" w:color="auto"/>
            </w:tcBorders>
            <w:shd w:val="clear" w:color="auto" w:fill="auto"/>
            <w:noWrap/>
            <w:vAlign w:val="bottom"/>
            <w:hideMark/>
          </w:tcPr>
          <w:p w14:paraId="063DB951"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864" w:type="dxa"/>
            <w:tcBorders>
              <w:top w:val="nil"/>
              <w:left w:val="nil"/>
              <w:bottom w:val="single" w:sz="4" w:space="0" w:color="auto"/>
              <w:right w:val="single" w:sz="4" w:space="0" w:color="auto"/>
            </w:tcBorders>
            <w:shd w:val="clear" w:color="auto" w:fill="auto"/>
            <w:noWrap/>
            <w:vAlign w:val="bottom"/>
            <w:hideMark/>
          </w:tcPr>
          <w:p w14:paraId="08FB1C17"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247152A8"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2A7CC8A1"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10299AEA"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2728AEFE"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5ECE11A6"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2288032B"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r>
      <w:tr w:rsidR="00C93C49" w:rsidRPr="00C93C49" w14:paraId="03121A00" w14:textId="77777777" w:rsidTr="00347614">
        <w:trPr>
          <w:trHeight w:val="144"/>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10A90D09" w14:textId="77777777" w:rsidR="00C93C49" w:rsidRPr="00C93C49" w:rsidRDefault="00C93C49" w:rsidP="00C93C49">
            <w:pPr>
              <w:spacing w:after="0" w:line="240" w:lineRule="auto"/>
              <w:jc w:val="center"/>
              <w:rPr>
                <w:rFonts w:ascii="Arial" w:eastAsia="Times New Roman" w:hAnsi="Arial" w:cs="Arial"/>
                <w:b/>
                <w:color w:val="000000"/>
                <w:sz w:val="15"/>
                <w:szCs w:val="15"/>
              </w:rPr>
            </w:pPr>
          </w:p>
        </w:tc>
        <w:tc>
          <w:tcPr>
            <w:tcW w:w="720" w:type="dxa"/>
            <w:tcBorders>
              <w:top w:val="nil"/>
              <w:left w:val="nil"/>
              <w:bottom w:val="single" w:sz="4" w:space="0" w:color="auto"/>
              <w:right w:val="single" w:sz="4" w:space="0" w:color="auto"/>
            </w:tcBorders>
            <w:shd w:val="clear" w:color="auto" w:fill="auto"/>
            <w:noWrap/>
            <w:vAlign w:val="bottom"/>
            <w:hideMark/>
          </w:tcPr>
          <w:p w14:paraId="4065D328"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Jan 2017</w:t>
            </w:r>
          </w:p>
        </w:tc>
        <w:tc>
          <w:tcPr>
            <w:tcW w:w="720" w:type="dxa"/>
            <w:tcBorders>
              <w:top w:val="nil"/>
              <w:left w:val="nil"/>
              <w:bottom w:val="single" w:sz="4" w:space="0" w:color="auto"/>
              <w:right w:val="single" w:sz="4" w:space="0" w:color="auto"/>
            </w:tcBorders>
            <w:shd w:val="clear" w:color="auto" w:fill="auto"/>
            <w:noWrap/>
            <w:vAlign w:val="bottom"/>
            <w:hideMark/>
          </w:tcPr>
          <w:p w14:paraId="1D628AE9"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Feb 2017</w:t>
            </w:r>
          </w:p>
        </w:tc>
        <w:tc>
          <w:tcPr>
            <w:tcW w:w="720" w:type="dxa"/>
            <w:tcBorders>
              <w:top w:val="nil"/>
              <w:left w:val="nil"/>
              <w:bottom w:val="single" w:sz="4" w:space="0" w:color="auto"/>
              <w:right w:val="single" w:sz="4" w:space="0" w:color="auto"/>
            </w:tcBorders>
            <w:shd w:val="clear" w:color="auto" w:fill="auto"/>
            <w:noWrap/>
            <w:vAlign w:val="bottom"/>
            <w:hideMark/>
          </w:tcPr>
          <w:p w14:paraId="6877DD44"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Mar 2017</w:t>
            </w:r>
          </w:p>
        </w:tc>
        <w:tc>
          <w:tcPr>
            <w:tcW w:w="864" w:type="dxa"/>
            <w:tcBorders>
              <w:top w:val="nil"/>
              <w:left w:val="nil"/>
              <w:bottom w:val="single" w:sz="4" w:space="0" w:color="auto"/>
              <w:right w:val="single" w:sz="4" w:space="0" w:color="auto"/>
            </w:tcBorders>
            <w:shd w:val="clear" w:color="auto" w:fill="auto"/>
            <w:noWrap/>
            <w:vAlign w:val="bottom"/>
            <w:hideMark/>
          </w:tcPr>
          <w:p w14:paraId="597064A0"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 xml:space="preserve">Apr </w:t>
            </w:r>
          </w:p>
          <w:p w14:paraId="47D12FAE"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2017</w:t>
            </w:r>
          </w:p>
        </w:tc>
        <w:tc>
          <w:tcPr>
            <w:tcW w:w="864" w:type="dxa"/>
            <w:tcBorders>
              <w:top w:val="nil"/>
              <w:left w:val="nil"/>
              <w:bottom w:val="single" w:sz="4" w:space="0" w:color="auto"/>
              <w:right w:val="single" w:sz="4" w:space="0" w:color="auto"/>
            </w:tcBorders>
            <w:shd w:val="clear" w:color="auto" w:fill="auto"/>
            <w:noWrap/>
            <w:vAlign w:val="bottom"/>
            <w:hideMark/>
          </w:tcPr>
          <w:p w14:paraId="3F1F1315"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May 2017</w:t>
            </w:r>
          </w:p>
        </w:tc>
        <w:tc>
          <w:tcPr>
            <w:tcW w:w="864" w:type="dxa"/>
            <w:tcBorders>
              <w:top w:val="nil"/>
              <w:left w:val="nil"/>
              <w:bottom w:val="single" w:sz="4" w:space="0" w:color="auto"/>
              <w:right w:val="single" w:sz="4" w:space="0" w:color="auto"/>
            </w:tcBorders>
            <w:shd w:val="clear" w:color="auto" w:fill="auto"/>
            <w:noWrap/>
            <w:vAlign w:val="bottom"/>
            <w:hideMark/>
          </w:tcPr>
          <w:p w14:paraId="262BE38C"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 xml:space="preserve">Jun </w:t>
            </w:r>
          </w:p>
          <w:p w14:paraId="7CC5404E"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2017</w:t>
            </w:r>
          </w:p>
        </w:tc>
        <w:tc>
          <w:tcPr>
            <w:tcW w:w="720" w:type="dxa"/>
            <w:tcBorders>
              <w:top w:val="nil"/>
              <w:left w:val="nil"/>
              <w:bottom w:val="single" w:sz="4" w:space="0" w:color="auto"/>
              <w:right w:val="single" w:sz="4" w:space="0" w:color="auto"/>
            </w:tcBorders>
            <w:shd w:val="clear" w:color="auto" w:fill="auto"/>
            <w:noWrap/>
            <w:vAlign w:val="bottom"/>
            <w:hideMark/>
          </w:tcPr>
          <w:p w14:paraId="3640F75C"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Jul 2017</w:t>
            </w:r>
          </w:p>
        </w:tc>
        <w:tc>
          <w:tcPr>
            <w:tcW w:w="720" w:type="dxa"/>
            <w:tcBorders>
              <w:top w:val="nil"/>
              <w:left w:val="nil"/>
              <w:bottom w:val="single" w:sz="4" w:space="0" w:color="auto"/>
              <w:right w:val="single" w:sz="4" w:space="0" w:color="auto"/>
            </w:tcBorders>
            <w:shd w:val="clear" w:color="auto" w:fill="auto"/>
            <w:noWrap/>
            <w:vAlign w:val="bottom"/>
            <w:hideMark/>
          </w:tcPr>
          <w:p w14:paraId="755E442F"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Aug 2017</w:t>
            </w:r>
          </w:p>
        </w:tc>
        <w:tc>
          <w:tcPr>
            <w:tcW w:w="720" w:type="dxa"/>
            <w:tcBorders>
              <w:top w:val="nil"/>
              <w:left w:val="nil"/>
              <w:bottom w:val="single" w:sz="4" w:space="0" w:color="auto"/>
              <w:right w:val="single" w:sz="4" w:space="0" w:color="auto"/>
            </w:tcBorders>
            <w:shd w:val="clear" w:color="auto" w:fill="auto"/>
            <w:noWrap/>
            <w:vAlign w:val="bottom"/>
            <w:hideMark/>
          </w:tcPr>
          <w:p w14:paraId="3C6AAF05"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Sept 2017</w:t>
            </w:r>
          </w:p>
        </w:tc>
        <w:tc>
          <w:tcPr>
            <w:tcW w:w="720" w:type="dxa"/>
            <w:tcBorders>
              <w:top w:val="nil"/>
              <w:left w:val="nil"/>
              <w:bottom w:val="single" w:sz="4" w:space="0" w:color="auto"/>
              <w:right w:val="single" w:sz="4" w:space="0" w:color="auto"/>
            </w:tcBorders>
            <w:shd w:val="clear" w:color="auto" w:fill="auto"/>
            <w:noWrap/>
            <w:vAlign w:val="bottom"/>
            <w:hideMark/>
          </w:tcPr>
          <w:p w14:paraId="63C914AD"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Oct 2017</w:t>
            </w:r>
          </w:p>
        </w:tc>
        <w:tc>
          <w:tcPr>
            <w:tcW w:w="720" w:type="dxa"/>
            <w:tcBorders>
              <w:top w:val="nil"/>
              <w:left w:val="nil"/>
              <w:bottom w:val="single" w:sz="4" w:space="0" w:color="auto"/>
              <w:right w:val="single" w:sz="4" w:space="0" w:color="auto"/>
            </w:tcBorders>
            <w:shd w:val="clear" w:color="auto" w:fill="auto"/>
            <w:noWrap/>
            <w:vAlign w:val="bottom"/>
            <w:hideMark/>
          </w:tcPr>
          <w:p w14:paraId="342B2417"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Nov 2017</w:t>
            </w:r>
          </w:p>
        </w:tc>
        <w:tc>
          <w:tcPr>
            <w:tcW w:w="720" w:type="dxa"/>
            <w:tcBorders>
              <w:top w:val="nil"/>
              <w:left w:val="nil"/>
              <w:bottom w:val="single" w:sz="4" w:space="0" w:color="auto"/>
              <w:right w:val="single" w:sz="4" w:space="0" w:color="auto"/>
            </w:tcBorders>
            <w:shd w:val="clear" w:color="auto" w:fill="auto"/>
            <w:noWrap/>
            <w:vAlign w:val="bottom"/>
            <w:hideMark/>
          </w:tcPr>
          <w:p w14:paraId="761447C4"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Dec 2017</w:t>
            </w:r>
          </w:p>
        </w:tc>
      </w:tr>
      <w:tr w:rsidR="00C93C49" w:rsidRPr="00C93C49" w14:paraId="65178527" w14:textId="77777777" w:rsidTr="00347614">
        <w:trPr>
          <w:trHeight w:val="144"/>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87C25C6" w14:textId="77777777" w:rsidR="00C93C49" w:rsidRPr="00C93C49" w:rsidRDefault="00C93C49" w:rsidP="00C93C49">
            <w:pPr>
              <w:spacing w:after="0" w:line="240" w:lineRule="auto"/>
              <w:rPr>
                <w:rFonts w:ascii="Arial" w:eastAsia="Times New Roman" w:hAnsi="Arial" w:cs="Arial"/>
                <w:b/>
                <w:color w:val="000000"/>
                <w:sz w:val="15"/>
                <w:szCs w:val="15"/>
              </w:rPr>
            </w:pPr>
            <w:r w:rsidRPr="00C93C49">
              <w:rPr>
                <w:rFonts w:ascii="Arial" w:eastAsia="Times New Roman" w:hAnsi="Arial" w:cs="Arial"/>
                <w:b/>
                <w:color w:val="000000"/>
                <w:sz w:val="15"/>
                <w:szCs w:val="15"/>
              </w:rPr>
              <w:t>Met-Ed</w:t>
            </w:r>
          </w:p>
        </w:tc>
        <w:tc>
          <w:tcPr>
            <w:tcW w:w="720" w:type="dxa"/>
            <w:tcBorders>
              <w:top w:val="nil"/>
              <w:left w:val="nil"/>
              <w:bottom w:val="single" w:sz="4" w:space="0" w:color="auto"/>
              <w:right w:val="single" w:sz="4" w:space="0" w:color="auto"/>
            </w:tcBorders>
            <w:shd w:val="clear" w:color="auto" w:fill="auto"/>
            <w:noWrap/>
            <w:vAlign w:val="bottom"/>
            <w:hideMark/>
          </w:tcPr>
          <w:p w14:paraId="7DC20A79"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1818CA3B"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0A130018"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864" w:type="dxa"/>
            <w:tcBorders>
              <w:top w:val="nil"/>
              <w:left w:val="nil"/>
              <w:bottom w:val="single" w:sz="4" w:space="0" w:color="auto"/>
              <w:right w:val="single" w:sz="4" w:space="0" w:color="auto"/>
            </w:tcBorders>
            <w:shd w:val="clear" w:color="auto" w:fill="auto"/>
            <w:noWrap/>
            <w:vAlign w:val="bottom"/>
            <w:hideMark/>
          </w:tcPr>
          <w:p w14:paraId="15F75736"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864" w:type="dxa"/>
            <w:tcBorders>
              <w:top w:val="nil"/>
              <w:left w:val="nil"/>
              <w:bottom w:val="single" w:sz="4" w:space="0" w:color="auto"/>
              <w:right w:val="single" w:sz="4" w:space="0" w:color="auto"/>
            </w:tcBorders>
            <w:shd w:val="clear" w:color="auto" w:fill="auto"/>
            <w:noWrap/>
            <w:vAlign w:val="bottom"/>
            <w:hideMark/>
          </w:tcPr>
          <w:p w14:paraId="4CD978D3"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864" w:type="dxa"/>
            <w:tcBorders>
              <w:top w:val="nil"/>
              <w:left w:val="nil"/>
              <w:bottom w:val="single" w:sz="4" w:space="0" w:color="auto"/>
              <w:right w:val="single" w:sz="4" w:space="0" w:color="auto"/>
            </w:tcBorders>
            <w:shd w:val="clear" w:color="auto" w:fill="auto"/>
            <w:noWrap/>
            <w:vAlign w:val="bottom"/>
            <w:hideMark/>
          </w:tcPr>
          <w:p w14:paraId="4DFD180F"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0190D663"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2C7D4CC3"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5DF6A28A"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59C67B55"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2E766351"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0ECCE26F"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r>
      <w:tr w:rsidR="00C93C49" w:rsidRPr="00C93C49" w14:paraId="3F2989F4" w14:textId="77777777" w:rsidTr="00347614">
        <w:trPr>
          <w:trHeight w:val="144"/>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25C1849" w14:textId="77777777" w:rsidR="00C93C49" w:rsidRPr="00C93C49" w:rsidRDefault="00C93C49" w:rsidP="00C93C49">
            <w:pPr>
              <w:spacing w:after="0" w:line="240" w:lineRule="auto"/>
              <w:rPr>
                <w:rFonts w:ascii="Arial" w:eastAsia="Times New Roman" w:hAnsi="Arial" w:cs="Arial"/>
                <w:b/>
                <w:color w:val="000000"/>
                <w:sz w:val="15"/>
                <w:szCs w:val="15"/>
              </w:rPr>
            </w:pPr>
            <w:r w:rsidRPr="00C93C49">
              <w:rPr>
                <w:rFonts w:ascii="Arial" w:eastAsia="Times New Roman" w:hAnsi="Arial" w:cs="Arial"/>
                <w:b/>
                <w:color w:val="000000"/>
                <w:sz w:val="15"/>
                <w:szCs w:val="15"/>
              </w:rPr>
              <w:t>Penelec</w:t>
            </w:r>
          </w:p>
        </w:tc>
        <w:tc>
          <w:tcPr>
            <w:tcW w:w="720" w:type="dxa"/>
            <w:tcBorders>
              <w:top w:val="nil"/>
              <w:left w:val="nil"/>
              <w:bottom w:val="single" w:sz="4" w:space="0" w:color="auto"/>
              <w:right w:val="single" w:sz="4" w:space="0" w:color="auto"/>
            </w:tcBorders>
            <w:shd w:val="clear" w:color="auto" w:fill="auto"/>
            <w:noWrap/>
            <w:vAlign w:val="bottom"/>
            <w:hideMark/>
          </w:tcPr>
          <w:p w14:paraId="321C90AC"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0CE6DC65"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0FA1D43A"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864" w:type="dxa"/>
            <w:tcBorders>
              <w:top w:val="nil"/>
              <w:left w:val="nil"/>
              <w:bottom w:val="single" w:sz="4" w:space="0" w:color="auto"/>
              <w:right w:val="single" w:sz="4" w:space="0" w:color="auto"/>
            </w:tcBorders>
            <w:shd w:val="clear" w:color="auto" w:fill="auto"/>
            <w:noWrap/>
            <w:vAlign w:val="bottom"/>
            <w:hideMark/>
          </w:tcPr>
          <w:p w14:paraId="4E577E20"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864" w:type="dxa"/>
            <w:tcBorders>
              <w:top w:val="nil"/>
              <w:left w:val="nil"/>
              <w:bottom w:val="single" w:sz="4" w:space="0" w:color="auto"/>
              <w:right w:val="single" w:sz="4" w:space="0" w:color="auto"/>
            </w:tcBorders>
            <w:shd w:val="clear" w:color="auto" w:fill="auto"/>
            <w:noWrap/>
            <w:vAlign w:val="bottom"/>
            <w:hideMark/>
          </w:tcPr>
          <w:p w14:paraId="0D8E6F4A"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864" w:type="dxa"/>
            <w:tcBorders>
              <w:top w:val="nil"/>
              <w:left w:val="nil"/>
              <w:bottom w:val="single" w:sz="4" w:space="0" w:color="auto"/>
              <w:right w:val="single" w:sz="4" w:space="0" w:color="auto"/>
            </w:tcBorders>
            <w:shd w:val="clear" w:color="auto" w:fill="auto"/>
            <w:noWrap/>
            <w:vAlign w:val="bottom"/>
            <w:hideMark/>
          </w:tcPr>
          <w:p w14:paraId="2C501F4F"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18CDE0BC"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2D334744"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2341D3AC"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2F622A67"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64017EBE"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28682A3F"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r>
      <w:tr w:rsidR="00C93C49" w:rsidRPr="00C93C49" w14:paraId="4B191B24" w14:textId="77777777" w:rsidTr="00347614">
        <w:trPr>
          <w:trHeight w:val="144"/>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79E3207" w14:textId="77777777" w:rsidR="00C93C49" w:rsidRPr="00C93C49" w:rsidRDefault="00C93C49" w:rsidP="00C93C49">
            <w:pPr>
              <w:spacing w:after="0" w:line="240" w:lineRule="auto"/>
              <w:rPr>
                <w:rFonts w:ascii="Arial" w:eastAsia="Times New Roman" w:hAnsi="Arial" w:cs="Arial"/>
                <w:b/>
                <w:color w:val="000000"/>
                <w:sz w:val="15"/>
                <w:szCs w:val="15"/>
              </w:rPr>
            </w:pPr>
            <w:r w:rsidRPr="00C93C49">
              <w:rPr>
                <w:rFonts w:ascii="Arial" w:eastAsia="Times New Roman" w:hAnsi="Arial" w:cs="Arial"/>
                <w:b/>
                <w:color w:val="000000"/>
                <w:sz w:val="15"/>
                <w:szCs w:val="15"/>
              </w:rPr>
              <w:t>Penn Power</w:t>
            </w:r>
          </w:p>
        </w:tc>
        <w:tc>
          <w:tcPr>
            <w:tcW w:w="720" w:type="dxa"/>
            <w:tcBorders>
              <w:top w:val="nil"/>
              <w:left w:val="nil"/>
              <w:bottom w:val="single" w:sz="4" w:space="0" w:color="auto"/>
              <w:right w:val="single" w:sz="4" w:space="0" w:color="auto"/>
            </w:tcBorders>
            <w:shd w:val="clear" w:color="auto" w:fill="auto"/>
            <w:noWrap/>
            <w:vAlign w:val="bottom"/>
            <w:hideMark/>
          </w:tcPr>
          <w:p w14:paraId="4AF20EF5"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4334B3BB"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57DFE7E5"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864" w:type="dxa"/>
            <w:tcBorders>
              <w:top w:val="nil"/>
              <w:left w:val="nil"/>
              <w:bottom w:val="single" w:sz="4" w:space="0" w:color="auto"/>
              <w:right w:val="single" w:sz="4" w:space="0" w:color="auto"/>
            </w:tcBorders>
            <w:shd w:val="clear" w:color="auto" w:fill="auto"/>
            <w:noWrap/>
            <w:vAlign w:val="bottom"/>
            <w:hideMark/>
          </w:tcPr>
          <w:p w14:paraId="43D029A9"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864" w:type="dxa"/>
            <w:tcBorders>
              <w:top w:val="nil"/>
              <w:left w:val="nil"/>
              <w:bottom w:val="single" w:sz="4" w:space="0" w:color="auto"/>
              <w:right w:val="single" w:sz="4" w:space="0" w:color="auto"/>
            </w:tcBorders>
            <w:shd w:val="clear" w:color="auto" w:fill="auto"/>
            <w:noWrap/>
            <w:vAlign w:val="bottom"/>
            <w:hideMark/>
          </w:tcPr>
          <w:p w14:paraId="23DB20B2"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864" w:type="dxa"/>
            <w:tcBorders>
              <w:top w:val="nil"/>
              <w:left w:val="nil"/>
              <w:bottom w:val="single" w:sz="4" w:space="0" w:color="auto"/>
              <w:right w:val="single" w:sz="4" w:space="0" w:color="auto"/>
            </w:tcBorders>
            <w:shd w:val="clear" w:color="auto" w:fill="auto"/>
            <w:noWrap/>
            <w:vAlign w:val="bottom"/>
            <w:hideMark/>
          </w:tcPr>
          <w:p w14:paraId="28822083"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2325FEE2"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03AFEDE9"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0F46B3E7"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2670577F"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3ED96DEA"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365A8E7D"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r>
      <w:tr w:rsidR="00C93C49" w:rsidRPr="00C93C49" w14:paraId="39E6D393" w14:textId="77777777" w:rsidTr="00347614">
        <w:trPr>
          <w:trHeight w:val="144"/>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D3303BB" w14:textId="77777777" w:rsidR="00C93C49" w:rsidRPr="00C93C49" w:rsidRDefault="00C93C49" w:rsidP="00C93C49">
            <w:pPr>
              <w:spacing w:after="0" w:line="240" w:lineRule="auto"/>
              <w:rPr>
                <w:rFonts w:ascii="Arial" w:eastAsia="Times New Roman" w:hAnsi="Arial" w:cs="Arial"/>
                <w:b/>
                <w:color w:val="000000"/>
                <w:sz w:val="15"/>
                <w:szCs w:val="15"/>
              </w:rPr>
            </w:pPr>
            <w:r w:rsidRPr="00C93C49">
              <w:rPr>
                <w:rFonts w:ascii="Arial" w:eastAsia="Times New Roman" w:hAnsi="Arial" w:cs="Arial"/>
                <w:b/>
                <w:color w:val="000000"/>
                <w:sz w:val="15"/>
                <w:szCs w:val="15"/>
              </w:rPr>
              <w:t>West Penn Power</w:t>
            </w:r>
          </w:p>
        </w:tc>
        <w:tc>
          <w:tcPr>
            <w:tcW w:w="720" w:type="dxa"/>
            <w:tcBorders>
              <w:top w:val="nil"/>
              <w:left w:val="nil"/>
              <w:bottom w:val="single" w:sz="4" w:space="0" w:color="auto"/>
              <w:right w:val="single" w:sz="4" w:space="0" w:color="auto"/>
            </w:tcBorders>
            <w:shd w:val="clear" w:color="auto" w:fill="auto"/>
            <w:noWrap/>
            <w:vAlign w:val="bottom"/>
            <w:hideMark/>
          </w:tcPr>
          <w:p w14:paraId="4922D3A2"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581DB841"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07327D9E"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864" w:type="dxa"/>
            <w:tcBorders>
              <w:top w:val="nil"/>
              <w:left w:val="nil"/>
              <w:bottom w:val="single" w:sz="4" w:space="0" w:color="auto"/>
              <w:right w:val="single" w:sz="4" w:space="0" w:color="auto"/>
            </w:tcBorders>
            <w:shd w:val="clear" w:color="auto" w:fill="auto"/>
            <w:noWrap/>
            <w:vAlign w:val="bottom"/>
            <w:hideMark/>
          </w:tcPr>
          <w:p w14:paraId="3709CE5F"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864" w:type="dxa"/>
            <w:tcBorders>
              <w:top w:val="nil"/>
              <w:left w:val="nil"/>
              <w:bottom w:val="single" w:sz="4" w:space="0" w:color="auto"/>
              <w:right w:val="single" w:sz="4" w:space="0" w:color="auto"/>
            </w:tcBorders>
            <w:shd w:val="clear" w:color="auto" w:fill="auto"/>
            <w:noWrap/>
            <w:vAlign w:val="bottom"/>
            <w:hideMark/>
          </w:tcPr>
          <w:p w14:paraId="0E3EE04A"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864" w:type="dxa"/>
            <w:tcBorders>
              <w:top w:val="nil"/>
              <w:left w:val="nil"/>
              <w:bottom w:val="single" w:sz="4" w:space="0" w:color="auto"/>
              <w:right w:val="single" w:sz="4" w:space="0" w:color="auto"/>
            </w:tcBorders>
            <w:shd w:val="clear" w:color="auto" w:fill="auto"/>
            <w:noWrap/>
            <w:vAlign w:val="bottom"/>
            <w:hideMark/>
          </w:tcPr>
          <w:p w14:paraId="1D2F3F31"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3897F924"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393DB8B7"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0FE407C5"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3A0AC864"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4AB6642B"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20" w:type="dxa"/>
            <w:tcBorders>
              <w:top w:val="nil"/>
              <w:left w:val="nil"/>
              <w:bottom w:val="single" w:sz="4" w:space="0" w:color="auto"/>
              <w:right w:val="single" w:sz="4" w:space="0" w:color="auto"/>
            </w:tcBorders>
            <w:shd w:val="clear" w:color="auto" w:fill="auto"/>
            <w:noWrap/>
            <w:vAlign w:val="bottom"/>
            <w:hideMark/>
          </w:tcPr>
          <w:p w14:paraId="522D962B"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r>
    </w:tbl>
    <w:p w14:paraId="674F9414" w14:textId="77777777" w:rsidR="00C93C49" w:rsidRPr="00C93C49" w:rsidRDefault="00C93C49" w:rsidP="00C93C49">
      <w:pPr>
        <w:spacing w:after="0" w:line="240" w:lineRule="auto"/>
        <w:ind w:hanging="630"/>
        <w:rPr>
          <w:rFonts w:ascii="Arial" w:eastAsia="Times New Roman" w:hAnsi="Arial" w:cs="Arial"/>
          <w:snapToGrid w:val="0"/>
          <w:sz w:val="18"/>
          <w:szCs w:val="18"/>
        </w:rPr>
      </w:pPr>
      <w:r w:rsidRPr="00C93C49">
        <w:rPr>
          <w:rFonts w:ascii="Arial" w:eastAsia="Times New Roman" w:hAnsi="Arial" w:cs="Arial"/>
          <w:snapToGrid w:val="0"/>
          <w:sz w:val="18"/>
          <w:szCs w:val="18"/>
        </w:rPr>
        <w:t>Source: Data Request CS-6</w:t>
      </w:r>
    </w:p>
    <w:p w14:paraId="72F0AFC2" w14:textId="77777777" w:rsidR="00C93C49" w:rsidRDefault="00C93C49" w:rsidP="00C4057E">
      <w:pPr>
        <w:spacing w:after="0" w:line="240" w:lineRule="auto"/>
        <w:rPr>
          <w:rFonts w:ascii="Arial" w:eastAsia="Times New Roman" w:hAnsi="Arial" w:cs="Arial"/>
          <w:b/>
          <w:snapToGrid w:val="0"/>
          <w:sz w:val="24"/>
          <w:szCs w:val="20"/>
        </w:rPr>
      </w:pPr>
    </w:p>
    <w:p w14:paraId="1693A648" w14:textId="77777777" w:rsidR="00C93C49" w:rsidRPr="00C93C49" w:rsidRDefault="00C93C49" w:rsidP="00C93C49">
      <w:pPr>
        <w:widowControl w:val="0"/>
        <w:spacing w:after="0" w:line="240" w:lineRule="auto"/>
        <w:jc w:val="center"/>
        <w:rPr>
          <w:rFonts w:ascii="Arial" w:eastAsia="Times New Roman" w:hAnsi="Arial" w:cs="Arial"/>
          <w:b/>
          <w:sz w:val="24"/>
          <w:szCs w:val="20"/>
        </w:rPr>
      </w:pPr>
      <w:r w:rsidRPr="00C93C49">
        <w:rPr>
          <w:rFonts w:ascii="Arial" w:eastAsia="Times New Roman" w:hAnsi="Arial" w:cs="Arial"/>
          <w:b/>
          <w:snapToGrid w:val="0"/>
          <w:sz w:val="24"/>
          <w:szCs w:val="20"/>
        </w:rPr>
        <w:t xml:space="preserve">Exhibit X – 25 </w:t>
      </w:r>
    </w:p>
    <w:p w14:paraId="395ED4ED" w14:textId="77777777" w:rsidR="00C93C49" w:rsidRPr="00C93C49" w:rsidRDefault="00C93C49" w:rsidP="00C93C49">
      <w:pPr>
        <w:widowControl w:val="0"/>
        <w:spacing w:after="0" w:line="240" w:lineRule="auto"/>
        <w:jc w:val="center"/>
        <w:rPr>
          <w:rFonts w:ascii="Arial" w:eastAsia="Times New Roman" w:hAnsi="Arial" w:cs="Arial"/>
          <w:b/>
          <w:snapToGrid w:val="0"/>
          <w:sz w:val="24"/>
          <w:szCs w:val="20"/>
        </w:rPr>
      </w:pPr>
      <w:r w:rsidRPr="00C93C49">
        <w:rPr>
          <w:rFonts w:ascii="Arial" w:eastAsia="Calibri" w:hAnsi="Arial" w:cs="Arial"/>
          <w:b/>
          <w:sz w:val="24"/>
          <w:szCs w:val="24"/>
        </w:rPr>
        <w:t>FirstEnergy Pennsylvania Companies</w:t>
      </w:r>
      <w:r w:rsidRPr="00C93C49">
        <w:rPr>
          <w:rFonts w:ascii="Arial" w:eastAsia="Times New Roman" w:hAnsi="Arial" w:cs="Arial"/>
          <w:b/>
          <w:snapToGrid w:val="0"/>
          <w:sz w:val="24"/>
          <w:szCs w:val="20"/>
        </w:rPr>
        <w:t xml:space="preserve"> </w:t>
      </w:r>
    </w:p>
    <w:p w14:paraId="061B477E" w14:textId="77777777" w:rsidR="00C93C49" w:rsidRPr="00C93C49" w:rsidRDefault="00C93C49" w:rsidP="00C93C49">
      <w:pPr>
        <w:widowControl w:val="0"/>
        <w:spacing w:after="0" w:line="240" w:lineRule="auto"/>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 xml:space="preserve">Percentage of New Service Installations Requiring Construction </w:t>
      </w:r>
    </w:p>
    <w:p w14:paraId="5F925383" w14:textId="77777777" w:rsidR="00C93C49" w:rsidRPr="00C93C49" w:rsidRDefault="00C93C49" w:rsidP="00C93C49">
      <w:pPr>
        <w:widowControl w:val="0"/>
        <w:spacing w:after="0" w:line="240" w:lineRule="auto"/>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Completed Within Ten Days</w:t>
      </w:r>
    </w:p>
    <w:p w14:paraId="0B9A9EE9" w14:textId="77777777" w:rsidR="00C93C49" w:rsidRPr="00C93C49" w:rsidRDefault="00C93C49" w:rsidP="00C93C49">
      <w:pPr>
        <w:widowControl w:val="0"/>
        <w:spacing w:after="0" w:line="240" w:lineRule="auto"/>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For the Period June 2015 through December 2017</w:t>
      </w:r>
    </w:p>
    <w:p w14:paraId="45CF0DB6" w14:textId="77777777" w:rsidR="00C93C49" w:rsidRPr="00C93C49" w:rsidRDefault="00C93C49" w:rsidP="00C93C49">
      <w:pPr>
        <w:spacing w:after="0" w:line="240" w:lineRule="auto"/>
        <w:rPr>
          <w:rFonts w:ascii="Arial" w:eastAsia="Times New Roman" w:hAnsi="Arial" w:cs="Arial"/>
          <w:snapToGrid w:val="0"/>
          <w:sz w:val="8"/>
          <w:szCs w:val="8"/>
        </w:rPr>
      </w:pPr>
    </w:p>
    <w:tbl>
      <w:tblPr>
        <w:tblW w:w="10740" w:type="dxa"/>
        <w:jc w:val="center"/>
        <w:tblLayout w:type="fixed"/>
        <w:tblLook w:val="04A0" w:firstRow="1" w:lastRow="0" w:firstColumn="1" w:lastColumn="0" w:noHBand="0" w:noVBand="1"/>
      </w:tblPr>
      <w:tblGrid>
        <w:gridCol w:w="1584"/>
        <w:gridCol w:w="763"/>
        <w:gridCol w:w="763"/>
        <w:gridCol w:w="763"/>
        <w:gridCol w:w="763"/>
        <w:gridCol w:w="763"/>
        <w:gridCol w:w="763"/>
        <w:gridCol w:w="763"/>
        <w:gridCol w:w="763"/>
        <w:gridCol w:w="763"/>
        <w:gridCol w:w="763"/>
        <w:gridCol w:w="763"/>
        <w:gridCol w:w="763"/>
      </w:tblGrid>
      <w:tr w:rsidR="00C93C49" w:rsidRPr="00C93C49" w14:paraId="5733A9FD" w14:textId="77777777" w:rsidTr="00347614">
        <w:trPr>
          <w:trHeight w:val="176"/>
          <w:jc w:val="center"/>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DDA62"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2015</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4CBF9E38"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 xml:space="preserve">Jan </w:t>
            </w:r>
          </w:p>
          <w:p w14:paraId="6E25A228"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2015</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34CAD43D"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 xml:space="preserve">Feb </w:t>
            </w:r>
          </w:p>
          <w:p w14:paraId="643CFDCD"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2015</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12E192EB"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 xml:space="preserve">Mar </w:t>
            </w:r>
          </w:p>
          <w:p w14:paraId="72CDF4FE"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2015</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623CBA3E"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 xml:space="preserve">Apr </w:t>
            </w:r>
          </w:p>
          <w:p w14:paraId="4EC1D409"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2015</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7CF02C3E"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May 2015</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24DE3199"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 xml:space="preserve">Jun </w:t>
            </w:r>
          </w:p>
          <w:p w14:paraId="7B2183C9"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2015</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4FC9A19E"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 xml:space="preserve">Jul </w:t>
            </w:r>
          </w:p>
          <w:p w14:paraId="0549FDF3"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2015</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029FF4B3"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Aug 2015</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4D7B2AF4"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Sept 2015</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092BA7C4"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 xml:space="preserve">Oct </w:t>
            </w:r>
          </w:p>
          <w:p w14:paraId="6ACFBB81"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2015</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3E5931A2"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Nov 2015</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7ED1F1BC"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Dec 2015</w:t>
            </w:r>
          </w:p>
        </w:tc>
      </w:tr>
      <w:tr w:rsidR="00C93C49" w:rsidRPr="00C93C49" w14:paraId="68E96446" w14:textId="77777777" w:rsidTr="00347614">
        <w:trPr>
          <w:trHeight w:val="176"/>
          <w:jc w:val="center"/>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14:paraId="740D2FF0" w14:textId="77777777" w:rsidR="00C93C49" w:rsidRPr="00C93C49" w:rsidRDefault="00C93C49" w:rsidP="00C93C49">
            <w:pPr>
              <w:spacing w:after="0" w:line="240" w:lineRule="auto"/>
              <w:rPr>
                <w:rFonts w:ascii="Arial" w:eastAsia="Times New Roman" w:hAnsi="Arial" w:cs="Arial"/>
                <w:b/>
                <w:color w:val="000000"/>
                <w:sz w:val="15"/>
                <w:szCs w:val="15"/>
              </w:rPr>
            </w:pPr>
            <w:r w:rsidRPr="00C93C49">
              <w:rPr>
                <w:rFonts w:ascii="Arial" w:eastAsia="Times New Roman" w:hAnsi="Arial" w:cs="Arial"/>
                <w:b/>
                <w:color w:val="000000"/>
                <w:sz w:val="15"/>
                <w:szCs w:val="15"/>
              </w:rPr>
              <w:t>Met-Ed</w:t>
            </w:r>
          </w:p>
        </w:tc>
        <w:tc>
          <w:tcPr>
            <w:tcW w:w="763" w:type="dxa"/>
            <w:tcBorders>
              <w:top w:val="nil"/>
              <w:left w:val="nil"/>
              <w:bottom w:val="single" w:sz="4" w:space="0" w:color="auto"/>
              <w:right w:val="single" w:sz="4" w:space="0" w:color="auto"/>
            </w:tcBorders>
            <w:shd w:val="clear" w:color="auto" w:fill="FFFF00"/>
            <w:noWrap/>
            <w:vAlign w:val="bottom"/>
            <w:hideMark/>
          </w:tcPr>
          <w:p w14:paraId="38F51302" w14:textId="77777777" w:rsidR="00C93C49" w:rsidRPr="00C93C49" w:rsidRDefault="00C93C49" w:rsidP="00C93C49">
            <w:pPr>
              <w:spacing w:after="0" w:line="240" w:lineRule="auto"/>
              <w:jc w:val="center"/>
              <w:rPr>
                <w:rFonts w:ascii="Arial" w:eastAsia="Times New Roman" w:hAnsi="Arial" w:cs="Arial"/>
                <w:color w:val="000000"/>
                <w:sz w:val="15"/>
                <w:szCs w:val="15"/>
              </w:rPr>
            </w:pPr>
          </w:p>
        </w:tc>
        <w:tc>
          <w:tcPr>
            <w:tcW w:w="763" w:type="dxa"/>
            <w:tcBorders>
              <w:top w:val="nil"/>
              <w:left w:val="nil"/>
              <w:bottom w:val="single" w:sz="4" w:space="0" w:color="auto"/>
              <w:right w:val="single" w:sz="4" w:space="0" w:color="auto"/>
            </w:tcBorders>
            <w:shd w:val="clear" w:color="auto" w:fill="FFFF00"/>
            <w:noWrap/>
            <w:vAlign w:val="bottom"/>
            <w:hideMark/>
          </w:tcPr>
          <w:p w14:paraId="2CE70147" w14:textId="77777777" w:rsidR="00C93C49" w:rsidRPr="00C93C49" w:rsidRDefault="00C93C49" w:rsidP="00C93C49">
            <w:pPr>
              <w:spacing w:after="0" w:line="240" w:lineRule="auto"/>
              <w:jc w:val="center"/>
              <w:rPr>
                <w:rFonts w:ascii="Arial" w:eastAsia="Times New Roman" w:hAnsi="Arial" w:cs="Arial"/>
                <w:color w:val="000000"/>
                <w:sz w:val="15"/>
                <w:szCs w:val="15"/>
              </w:rPr>
            </w:pPr>
          </w:p>
        </w:tc>
        <w:tc>
          <w:tcPr>
            <w:tcW w:w="763" w:type="dxa"/>
            <w:tcBorders>
              <w:top w:val="nil"/>
              <w:left w:val="nil"/>
              <w:bottom w:val="single" w:sz="4" w:space="0" w:color="auto"/>
              <w:right w:val="single" w:sz="4" w:space="0" w:color="auto"/>
            </w:tcBorders>
            <w:shd w:val="clear" w:color="auto" w:fill="FFFF00"/>
            <w:noWrap/>
            <w:vAlign w:val="bottom"/>
            <w:hideMark/>
          </w:tcPr>
          <w:p w14:paraId="3528DA8F" w14:textId="77777777" w:rsidR="00C93C49" w:rsidRPr="00C93C49" w:rsidRDefault="00C93C49" w:rsidP="00C93C49">
            <w:pPr>
              <w:spacing w:after="0" w:line="240" w:lineRule="auto"/>
              <w:jc w:val="center"/>
              <w:rPr>
                <w:rFonts w:ascii="Arial" w:eastAsia="Times New Roman" w:hAnsi="Arial" w:cs="Arial"/>
                <w:color w:val="000000"/>
                <w:sz w:val="15"/>
                <w:szCs w:val="15"/>
              </w:rPr>
            </w:pPr>
          </w:p>
        </w:tc>
        <w:tc>
          <w:tcPr>
            <w:tcW w:w="763" w:type="dxa"/>
            <w:tcBorders>
              <w:top w:val="nil"/>
              <w:left w:val="nil"/>
              <w:bottom w:val="single" w:sz="4" w:space="0" w:color="auto"/>
              <w:right w:val="single" w:sz="4" w:space="0" w:color="auto"/>
            </w:tcBorders>
            <w:shd w:val="clear" w:color="auto" w:fill="FFFF00"/>
            <w:noWrap/>
            <w:vAlign w:val="bottom"/>
            <w:hideMark/>
          </w:tcPr>
          <w:p w14:paraId="7B556AA6" w14:textId="77777777" w:rsidR="00C93C49" w:rsidRPr="00C93C49" w:rsidRDefault="00C93C49" w:rsidP="00C93C49">
            <w:pPr>
              <w:spacing w:after="0" w:line="240" w:lineRule="auto"/>
              <w:jc w:val="center"/>
              <w:rPr>
                <w:rFonts w:ascii="Arial" w:eastAsia="Times New Roman" w:hAnsi="Arial" w:cs="Arial"/>
                <w:color w:val="000000"/>
                <w:sz w:val="15"/>
                <w:szCs w:val="15"/>
              </w:rPr>
            </w:pPr>
          </w:p>
        </w:tc>
        <w:tc>
          <w:tcPr>
            <w:tcW w:w="763" w:type="dxa"/>
            <w:tcBorders>
              <w:top w:val="nil"/>
              <w:left w:val="nil"/>
              <w:bottom w:val="single" w:sz="4" w:space="0" w:color="auto"/>
              <w:right w:val="single" w:sz="4" w:space="0" w:color="auto"/>
            </w:tcBorders>
            <w:shd w:val="clear" w:color="auto" w:fill="FFFF00"/>
            <w:noWrap/>
            <w:vAlign w:val="bottom"/>
            <w:hideMark/>
          </w:tcPr>
          <w:p w14:paraId="16E9662E" w14:textId="77777777" w:rsidR="00C93C49" w:rsidRPr="00C93C49" w:rsidRDefault="00C93C49" w:rsidP="00C93C49">
            <w:pPr>
              <w:spacing w:after="0" w:line="240" w:lineRule="auto"/>
              <w:jc w:val="center"/>
              <w:rPr>
                <w:rFonts w:ascii="Arial" w:eastAsia="Times New Roman" w:hAnsi="Arial" w:cs="Arial"/>
                <w:color w:val="000000"/>
                <w:sz w:val="15"/>
                <w:szCs w:val="15"/>
              </w:rPr>
            </w:pPr>
          </w:p>
        </w:tc>
        <w:tc>
          <w:tcPr>
            <w:tcW w:w="763" w:type="dxa"/>
            <w:tcBorders>
              <w:top w:val="nil"/>
              <w:left w:val="nil"/>
              <w:bottom w:val="single" w:sz="4" w:space="0" w:color="auto"/>
              <w:right w:val="single" w:sz="4" w:space="0" w:color="auto"/>
            </w:tcBorders>
            <w:shd w:val="clear" w:color="auto" w:fill="auto"/>
            <w:noWrap/>
            <w:vAlign w:val="bottom"/>
            <w:hideMark/>
          </w:tcPr>
          <w:p w14:paraId="1301C091"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70.03%</w:t>
            </w:r>
          </w:p>
        </w:tc>
        <w:tc>
          <w:tcPr>
            <w:tcW w:w="763" w:type="dxa"/>
            <w:tcBorders>
              <w:top w:val="nil"/>
              <w:left w:val="nil"/>
              <w:bottom w:val="single" w:sz="4" w:space="0" w:color="auto"/>
              <w:right w:val="single" w:sz="4" w:space="0" w:color="auto"/>
            </w:tcBorders>
            <w:shd w:val="clear" w:color="auto" w:fill="auto"/>
            <w:noWrap/>
            <w:vAlign w:val="bottom"/>
            <w:hideMark/>
          </w:tcPr>
          <w:p w14:paraId="45452396"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75.86%</w:t>
            </w:r>
          </w:p>
        </w:tc>
        <w:tc>
          <w:tcPr>
            <w:tcW w:w="763" w:type="dxa"/>
            <w:tcBorders>
              <w:top w:val="nil"/>
              <w:left w:val="nil"/>
              <w:bottom w:val="single" w:sz="4" w:space="0" w:color="auto"/>
              <w:right w:val="single" w:sz="4" w:space="0" w:color="auto"/>
            </w:tcBorders>
            <w:shd w:val="clear" w:color="auto" w:fill="auto"/>
            <w:noWrap/>
            <w:vAlign w:val="bottom"/>
            <w:hideMark/>
          </w:tcPr>
          <w:p w14:paraId="08731214"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83.70%</w:t>
            </w:r>
          </w:p>
        </w:tc>
        <w:tc>
          <w:tcPr>
            <w:tcW w:w="763" w:type="dxa"/>
            <w:tcBorders>
              <w:top w:val="nil"/>
              <w:left w:val="nil"/>
              <w:bottom w:val="single" w:sz="4" w:space="0" w:color="auto"/>
              <w:right w:val="single" w:sz="4" w:space="0" w:color="auto"/>
            </w:tcBorders>
            <w:shd w:val="clear" w:color="auto" w:fill="auto"/>
            <w:noWrap/>
            <w:vAlign w:val="bottom"/>
            <w:hideMark/>
          </w:tcPr>
          <w:p w14:paraId="418941E9"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91.19%</w:t>
            </w:r>
          </w:p>
        </w:tc>
        <w:tc>
          <w:tcPr>
            <w:tcW w:w="763" w:type="dxa"/>
            <w:tcBorders>
              <w:top w:val="nil"/>
              <w:left w:val="nil"/>
              <w:bottom w:val="single" w:sz="4" w:space="0" w:color="auto"/>
              <w:right w:val="single" w:sz="4" w:space="0" w:color="auto"/>
            </w:tcBorders>
            <w:shd w:val="clear" w:color="auto" w:fill="auto"/>
            <w:noWrap/>
            <w:vAlign w:val="bottom"/>
            <w:hideMark/>
          </w:tcPr>
          <w:p w14:paraId="49B26DC6"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91.41%</w:t>
            </w:r>
          </w:p>
        </w:tc>
        <w:tc>
          <w:tcPr>
            <w:tcW w:w="763" w:type="dxa"/>
            <w:tcBorders>
              <w:top w:val="nil"/>
              <w:left w:val="nil"/>
              <w:bottom w:val="single" w:sz="4" w:space="0" w:color="auto"/>
              <w:right w:val="single" w:sz="4" w:space="0" w:color="auto"/>
            </w:tcBorders>
            <w:shd w:val="clear" w:color="auto" w:fill="auto"/>
            <w:noWrap/>
            <w:vAlign w:val="bottom"/>
            <w:hideMark/>
          </w:tcPr>
          <w:p w14:paraId="5D2A0E82"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98.15%</w:t>
            </w:r>
          </w:p>
        </w:tc>
        <w:tc>
          <w:tcPr>
            <w:tcW w:w="763" w:type="dxa"/>
            <w:tcBorders>
              <w:top w:val="nil"/>
              <w:left w:val="nil"/>
              <w:bottom w:val="single" w:sz="4" w:space="0" w:color="auto"/>
              <w:right w:val="single" w:sz="4" w:space="0" w:color="auto"/>
            </w:tcBorders>
            <w:shd w:val="clear" w:color="auto" w:fill="auto"/>
            <w:noWrap/>
            <w:vAlign w:val="bottom"/>
            <w:hideMark/>
          </w:tcPr>
          <w:p w14:paraId="317B794E"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98.37%</w:t>
            </w:r>
          </w:p>
        </w:tc>
      </w:tr>
      <w:tr w:rsidR="00C93C49" w:rsidRPr="00C93C49" w14:paraId="73CF0450" w14:textId="77777777" w:rsidTr="00347614">
        <w:trPr>
          <w:trHeight w:val="176"/>
          <w:jc w:val="center"/>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14:paraId="5CB8C172" w14:textId="77777777" w:rsidR="00C93C49" w:rsidRPr="00C93C49" w:rsidRDefault="00C93C49" w:rsidP="00C93C49">
            <w:pPr>
              <w:spacing w:after="0" w:line="240" w:lineRule="auto"/>
              <w:rPr>
                <w:rFonts w:ascii="Arial" w:eastAsia="Times New Roman" w:hAnsi="Arial" w:cs="Arial"/>
                <w:b/>
                <w:color w:val="000000"/>
                <w:sz w:val="15"/>
                <w:szCs w:val="15"/>
              </w:rPr>
            </w:pPr>
            <w:r w:rsidRPr="00C93C49">
              <w:rPr>
                <w:rFonts w:ascii="Arial" w:eastAsia="Times New Roman" w:hAnsi="Arial" w:cs="Arial"/>
                <w:b/>
                <w:color w:val="000000"/>
                <w:sz w:val="15"/>
                <w:szCs w:val="15"/>
              </w:rPr>
              <w:t>Penelec</w:t>
            </w:r>
          </w:p>
        </w:tc>
        <w:tc>
          <w:tcPr>
            <w:tcW w:w="763" w:type="dxa"/>
            <w:tcBorders>
              <w:top w:val="nil"/>
              <w:left w:val="nil"/>
              <w:bottom w:val="single" w:sz="4" w:space="0" w:color="auto"/>
              <w:right w:val="single" w:sz="4" w:space="0" w:color="auto"/>
            </w:tcBorders>
            <w:shd w:val="clear" w:color="auto" w:fill="FFFF00"/>
            <w:noWrap/>
            <w:vAlign w:val="bottom"/>
            <w:hideMark/>
          </w:tcPr>
          <w:p w14:paraId="36E22175" w14:textId="77777777" w:rsidR="00C93C49" w:rsidRPr="00C93C49" w:rsidRDefault="00C93C49" w:rsidP="00C93C49">
            <w:pPr>
              <w:spacing w:after="0" w:line="240" w:lineRule="auto"/>
              <w:jc w:val="center"/>
              <w:rPr>
                <w:rFonts w:ascii="Arial" w:eastAsia="Times New Roman" w:hAnsi="Arial" w:cs="Arial"/>
                <w:color w:val="000000"/>
                <w:sz w:val="15"/>
                <w:szCs w:val="15"/>
              </w:rPr>
            </w:pPr>
          </w:p>
        </w:tc>
        <w:tc>
          <w:tcPr>
            <w:tcW w:w="763" w:type="dxa"/>
            <w:tcBorders>
              <w:top w:val="nil"/>
              <w:left w:val="nil"/>
              <w:bottom w:val="single" w:sz="4" w:space="0" w:color="auto"/>
              <w:right w:val="single" w:sz="4" w:space="0" w:color="auto"/>
            </w:tcBorders>
            <w:shd w:val="clear" w:color="auto" w:fill="FFFF00"/>
            <w:noWrap/>
            <w:vAlign w:val="bottom"/>
            <w:hideMark/>
          </w:tcPr>
          <w:p w14:paraId="1C2A66B0" w14:textId="77777777" w:rsidR="00C93C49" w:rsidRPr="00C93C49" w:rsidRDefault="00C93C49" w:rsidP="00C93C49">
            <w:pPr>
              <w:spacing w:after="0" w:line="240" w:lineRule="auto"/>
              <w:jc w:val="center"/>
              <w:rPr>
                <w:rFonts w:ascii="Arial" w:eastAsia="Times New Roman" w:hAnsi="Arial" w:cs="Arial"/>
                <w:color w:val="000000"/>
                <w:sz w:val="15"/>
                <w:szCs w:val="15"/>
              </w:rPr>
            </w:pPr>
          </w:p>
        </w:tc>
        <w:tc>
          <w:tcPr>
            <w:tcW w:w="763" w:type="dxa"/>
            <w:tcBorders>
              <w:top w:val="nil"/>
              <w:left w:val="nil"/>
              <w:bottom w:val="single" w:sz="4" w:space="0" w:color="auto"/>
              <w:right w:val="single" w:sz="4" w:space="0" w:color="auto"/>
            </w:tcBorders>
            <w:shd w:val="clear" w:color="auto" w:fill="FFFF00"/>
            <w:noWrap/>
            <w:vAlign w:val="bottom"/>
            <w:hideMark/>
          </w:tcPr>
          <w:p w14:paraId="21B237F8" w14:textId="77777777" w:rsidR="00C93C49" w:rsidRPr="00C93C49" w:rsidRDefault="00C93C49" w:rsidP="00C93C49">
            <w:pPr>
              <w:spacing w:after="0" w:line="240" w:lineRule="auto"/>
              <w:jc w:val="center"/>
              <w:rPr>
                <w:rFonts w:ascii="Arial" w:eastAsia="Times New Roman" w:hAnsi="Arial" w:cs="Arial"/>
                <w:color w:val="000000"/>
                <w:sz w:val="15"/>
                <w:szCs w:val="15"/>
              </w:rPr>
            </w:pPr>
          </w:p>
        </w:tc>
        <w:tc>
          <w:tcPr>
            <w:tcW w:w="763" w:type="dxa"/>
            <w:tcBorders>
              <w:top w:val="nil"/>
              <w:left w:val="nil"/>
              <w:bottom w:val="single" w:sz="4" w:space="0" w:color="auto"/>
              <w:right w:val="single" w:sz="4" w:space="0" w:color="auto"/>
            </w:tcBorders>
            <w:shd w:val="clear" w:color="auto" w:fill="FFFF00"/>
            <w:noWrap/>
            <w:vAlign w:val="bottom"/>
            <w:hideMark/>
          </w:tcPr>
          <w:p w14:paraId="4D19EA41" w14:textId="77777777" w:rsidR="00C93C49" w:rsidRPr="00C93C49" w:rsidRDefault="00C93C49" w:rsidP="00C93C49">
            <w:pPr>
              <w:spacing w:after="0" w:line="240" w:lineRule="auto"/>
              <w:jc w:val="center"/>
              <w:rPr>
                <w:rFonts w:ascii="Arial" w:eastAsia="Times New Roman" w:hAnsi="Arial" w:cs="Arial"/>
                <w:color w:val="000000"/>
                <w:sz w:val="15"/>
                <w:szCs w:val="15"/>
              </w:rPr>
            </w:pPr>
          </w:p>
        </w:tc>
        <w:tc>
          <w:tcPr>
            <w:tcW w:w="763" w:type="dxa"/>
            <w:tcBorders>
              <w:top w:val="nil"/>
              <w:left w:val="nil"/>
              <w:bottom w:val="single" w:sz="4" w:space="0" w:color="auto"/>
              <w:right w:val="single" w:sz="4" w:space="0" w:color="auto"/>
            </w:tcBorders>
            <w:shd w:val="clear" w:color="auto" w:fill="FFFF00"/>
            <w:noWrap/>
            <w:vAlign w:val="bottom"/>
            <w:hideMark/>
          </w:tcPr>
          <w:p w14:paraId="763C8C30" w14:textId="77777777" w:rsidR="00C93C49" w:rsidRPr="00C93C49" w:rsidRDefault="00C93C49" w:rsidP="00C93C49">
            <w:pPr>
              <w:spacing w:after="0" w:line="240" w:lineRule="auto"/>
              <w:jc w:val="center"/>
              <w:rPr>
                <w:rFonts w:ascii="Arial" w:eastAsia="Times New Roman" w:hAnsi="Arial" w:cs="Arial"/>
                <w:color w:val="000000"/>
                <w:sz w:val="15"/>
                <w:szCs w:val="15"/>
              </w:rPr>
            </w:pPr>
          </w:p>
        </w:tc>
        <w:tc>
          <w:tcPr>
            <w:tcW w:w="763" w:type="dxa"/>
            <w:tcBorders>
              <w:top w:val="nil"/>
              <w:left w:val="nil"/>
              <w:bottom w:val="single" w:sz="4" w:space="0" w:color="auto"/>
              <w:right w:val="single" w:sz="4" w:space="0" w:color="auto"/>
            </w:tcBorders>
            <w:shd w:val="clear" w:color="auto" w:fill="auto"/>
            <w:noWrap/>
            <w:vAlign w:val="bottom"/>
            <w:hideMark/>
          </w:tcPr>
          <w:p w14:paraId="0BDAFFB5"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94.23%</w:t>
            </w:r>
          </w:p>
        </w:tc>
        <w:tc>
          <w:tcPr>
            <w:tcW w:w="763" w:type="dxa"/>
            <w:tcBorders>
              <w:top w:val="nil"/>
              <w:left w:val="nil"/>
              <w:bottom w:val="single" w:sz="4" w:space="0" w:color="auto"/>
              <w:right w:val="single" w:sz="4" w:space="0" w:color="auto"/>
            </w:tcBorders>
            <w:shd w:val="clear" w:color="auto" w:fill="auto"/>
            <w:noWrap/>
            <w:vAlign w:val="bottom"/>
            <w:hideMark/>
          </w:tcPr>
          <w:p w14:paraId="6B907661"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93.92%</w:t>
            </w:r>
          </w:p>
        </w:tc>
        <w:tc>
          <w:tcPr>
            <w:tcW w:w="763" w:type="dxa"/>
            <w:tcBorders>
              <w:top w:val="nil"/>
              <w:left w:val="nil"/>
              <w:bottom w:val="single" w:sz="4" w:space="0" w:color="auto"/>
              <w:right w:val="single" w:sz="4" w:space="0" w:color="auto"/>
            </w:tcBorders>
            <w:shd w:val="clear" w:color="auto" w:fill="auto"/>
            <w:noWrap/>
            <w:vAlign w:val="bottom"/>
            <w:hideMark/>
          </w:tcPr>
          <w:p w14:paraId="201A46D9"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97.21%</w:t>
            </w:r>
          </w:p>
        </w:tc>
        <w:tc>
          <w:tcPr>
            <w:tcW w:w="763" w:type="dxa"/>
            <w:tcBorders>
              <w:top w:val="nil"/>
              <w:left w:val="nil"/>
              <w:bottom w:val="single" w:sz="4" w:space="0" w:color="auto"/>
              <w:right w:val="single" w:sz="4" w:space="0" w:color="auto"/>
            </w:tcBorders>
            <w:shd w:val="clear" w:color="auto" w:fill="auto"/>
            <w:noWrap/>
            <w:vAlign w:val="bottom"/>
            <w:hideMark/>
          </w:tcPr>
          <w:p w14:paraId="2B1CC3FB"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95.21%</w:t>
            </w:r>
          </w:p>
        </w:tc>
        <w:tc>
          <w:tcPr>
            <w:tcW w:w="763" w:type="dxa"/>
            <w:tcBorders>
              <w:top w:val="nil"/>
              <w:left w:val="nil"/>
              <w:bottom w:val="single" w:sz="4" w:space="0" w:color="auto"/>
              <w:right w:val="single" w:sz="4" w:space="0" w:color="auto"/>
            </w:tcBorders>
            <w:shd w:val="clear" w:color="auto" w:fill="auto"/>
            <w:noWrap/>
            <w:vAlign w:val="bottom"/>
            <w:hideMark/>
          </w:tcPr>
          <w:p w14:paraId="09974329"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91.74%</w:t>
            </w:r>
          </w:p>
        </w:tc>
        <w:tc>
          <w:tcPr>
            <w:tcW w:w="763" w:type="dxa"/>
            <w:tcBorders>
              <w:top w:val="nil"/>
              <w:left w:val="nil"/>
              <w:bottom w:val="single" w:sz="4" w:space="0" w:color="auto"/>
              <w:right w:val="single" w:sz="4" w:space="0" w:color="auto"/>
            </w:tcBorders>
            <w:shd w:val="clear" w:color="auto" w:fill="auto"/>
            <w:noWrap/>
            <w:vAlign w:val="bottom"/>
            <w:hideMark/>
          </w:tcPr>
          <w:p w14:paraId="0AF8409B"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92.60%</w:t>
            </w:r>
          </w:p>
        </w:tc>
        <w:tc>
          <w:tcPr>
            <w:tcW w:w="763" w:type="dxa"/>
            <w:tcBorders>
              <w:top w:val="nil"/>
              <w:left w:val="nil"/>
              <w:bottom w:val="single" w:sz="4" w:space="0" w:color="auto"/>
              <w:right w:val="single" w:sz="4" w:space="0" w:color="auto"/>
            </w:tcBorders>
            <w:shd w:val="clear" w:color="auto" w:fill="auto"/>
            <w:noWrap/>
            <w:vAlign w:val="bottom"/>
            <w:hideMark/>
          </w:tcPr>
          <w:p w14:paraId="70D34370"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95.67%</w:t>
            </w:r>
          </w:p>
        </w:tc>
      </w:tr>
      <w:tr w:rsidR="00C93C49" w:rsidRPr="00C93C49" w14:paraId="2763AB1D" w14:textId="77777777" w:rsidTr="00347614">
        <w:trPr>
          <w:trHeight w:val="176"/>
          <w:jc w:val="center"/>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14:paraId="67E56F2A" w14:textId="77777777" w:rsidR="00C93C49" w:rsidRPr="00C93C49" w:rsidRDefault="00C93C49" w:rsidP="00C93C49">
            <w:pPr>
              <w:spacing w:after="0" w:line="240" w:lineRule="auto"/>
              <w:rPr>
                <w:rFonts w:ascii="Arial" w:eastAsia="Times New Roman" w:hAnsi="Arial" w:cs="Arial"/>
                <w:b/>
                <w:color w:val="000000"/>
                <w:sz w:val="15"/>
                <w:szCs w:val="15"/>
              </w:rPr>
            </w:pPr>
            <w:r w:rsidRPr="00C93C49">
              <w:rPr>
                <w:rFonts w:ascii="Arial" w:eastAsia="Times New Roman" w:hAnsi="Arial" w:cs="Arial"/>
                <w:b/>
                <w:color w:val="000000"/>
                <w:sz w:val="15"/>
                <w:szCs w:val="15"/>
              </w:rPr>
              <w:t>Penn Power</w:t>
            </w:r>
          </w:p>
        </w:tc>
        <w:tc>
          <w:tcPr>
            <w:tcW w:w="763" w:type="dxa"/>
            <w:tcBorders>
              <w:top w:val="nil"/>
              <w:left w:val="nil"/>
              <w:bottom w:val="single" w:sz="4" w:space="0" w:color="auto"/>
              <w:right w:val="single" w:sz="4" w:space="0" w:color="auto"/>
            </w:tcBorders>
            <w:shd w:val="clear" w:color="auto" w:fill="FFFF00"/>
            <w:noWrap/>
            <w:vAlign w:val="bottom"/>
            <w:hideMark/>
          </w:tcPr>
          <w:p w14:paraId="67E69312" w14:textId="77777777" w:rsidR="00C93C49" w:rsidRPr="00C93C49" w:rsidRDefault="00C93C49" w:rsidP="00C93C49">
            <w:pPr>
              <w:spacing w:after="0" w:line="240" w:lineRule="auto"/>
              <w:jc w:val="center"/>
              <w:rPr>
                <w:rFonts w:ascii="Arial" w:eastAsia="Times New Roman" w:hAnsi="Arial" w:cs="Arial"/>
                <w:color w:val="000000"/>
                <w:sz w:val="15"/>
                <w:szCs w:val="15"/>
              </w:rPr>
            </w:pPr>
          </w:p>
        </w:tc>
        <w:tc>
          <w:tcPr>
            <w:tcW w:w="763" w:type="dxa"/>
            <w:tcBorders>
              <w:top w:val="nil"/>
              <w:left w:val="nil"/>
              <w:bottom w:val="single" w:sz="4" w:space="0" w:color="auto"/>
              <w:right w:val="single" w:sz="4" w:space="0" w:color="auto"/>
            </w:tcBorders>
            <w:shd w:val="clear" w:color="auto" w:fill="FFFF00"/>
            <w:noWrap/>
            <w:vAlign w:val="bottom"/>
            <w:hideMark/>
          </w:tcPr>
          <w:p w14:paraId="13A4FA33" w14:textId="77777777" w:rsidR="00C93C49" w:rsidRPr="00C93C49" w:rsidRDefault="00C93C49" w:rsidP="00C93C49">
            <w:pPr>
              <w:spacing w:after="0" w:line="240" w:lineRule="auto"/>
              <w:jc w:val="center"/>
              <w:rPr>
                <w:rFonts w:ascii="Arial" w:eastAsia="Times New Roman" w:hAnsi="Arial" w:cs="Arial"/>
                <w:color w:val="000000"/>
                <w:sz w:val="15"/>
                <w:szCs w:val="15"/>
              </w:rPr>
            </w:pPr>
          </w:p>
        </w:tc>
        <w:tc>
          <w:tcPr>
            <w:tcW w:w="763" w:type="dxa"/>
            <w:tcBorders>
              <w:top w:val="nil"/>
              <w:left w:val="nil"/>
              <w:bottom w:val="single" w:sz="4" w:space="0" w:color="auto"/>
              <w:right w:val="single" w:sz="4" w:space="0" w:color="auto"/>
            </w:tcBorders>
            <w:shd w:val="clear" w:color="auto" w:fill="FFFF00"/>
            <w:noWrap/>
            <w:vAlign w:val="bottom"/>
            <w:hideMark/>
          </w:tcPr>
          <w:p w14:paraId="3B1F3624" w14:textId="77777777" w:rsidR="00C93C49" w:rsidRPr="00C93C49" w:rsidRDefault="00C93C49" w:rsidP="00C93C49">
            <w:pPr>
              <w:spacing w:after="0" w:line="240" w:lineRule="auto"/>
              <w:jc w:val="center"/>
              <w:rPr>
                <w:rFonts w:ascii="Arial" w:eastAsia="Times New Roman" w:hAnsi="Arial" w:cs="Arial"/>
                <w:color w:val="000000"/>
                <w:sz w:val="15"/>
                <w:szCs w:val="15"/>
              </w:rPr>
            </w:pPr>
          </w:p>
        </w:tc>
        <w:tc>
          <w:tcPr>
            <w:tcW w:w="763" w:type="dxa"/>
            <w:tcBorders>
              <w:top w:val="nil"/>
              <w:left w:val="nil"/>
              <w:bottom w:val="single" w:sz="4" w:space="0" w:color="auto"/>
              <w:right w:val="single" w:sz="4" w:space="0" w:color="auto"/>
            </w:tcBorders>
            <w:shd w:val="clear" w:color="auto" w:fill="FFFF00"/>
            <w:noWrap/>
            <w:vAlign w:val="bottom"/>
            <w:hideMark/>
          </w:tcPr>
          <w:p w14:paraId="376CE516" w14:textId="77777777" w:rsidR="00C93C49" w:rsidRPr="00C93C49" w:rsidRDefault="00C93C49" w:rsidP="00C93C49">
            <w:pPr>
              <w:spacing w:after="0" w:line="240" w:lineRule="auto"/>
              <w:jc w:val="center"/>
              <w:rPr>
                <w:rFonts w:ascii="Arial" w:eastAsia="Times New Roman" w:hAnsi="Arial" w:cs="Arial"/>
                <w:color w:val="000000"/>
                <w:sz w:val="15"/>
                <w:szCs w:val="15"/>
              </w:rPr>
            </w:pPr>
          </w:p>
        </w:tc>
        <w:tc>
          <w:tcPr>
            <w:tcW w:w="763" w:type="dxa"/>
            <w:tcBorders>
              <w:top w:val="nil"/>
              <w:left w:val="nil"/>
              <w:bottom w:val="single" w:sz="4" w:space="0" w:color="auto"/>
              <w:right w:val="single" w:sz="4" w:space="0" w:color="auto"/>
            </w:tcBorders>
            <w:shd w:val="clear" w:color="auto" w:fill="FFFF00"/>
            <w:noWrap/>
            <w:vAlign w:val="bottom"/>
            <w:hideMark/>
          </w:tcPr>
          <w:p w14:paraId="679D46F2" w14:textId="77777777" w:rsidR="00C93C49" w:rsidRPr="00C93C49" w:rsidRDefault="00C93C49" w:rsidP="00C93C49">
            <w:pPr>
              <w:spacing w:after="0" w:line="240" w:lineRule="auto"/>
              <w:jc w:val="center"/>
              <w:rPr>
                <w:rFonts w:ascii="Arial" w:eastAsia="Times New Roman" w:hAnsi="Arial" w:cs="Arial"/>
                <w:color w:val="000000"/>
                <w:sz w:val="15"/>
                <w:szCs w:val="15"/>
              </w:rPr>
            </w:pPr>
          </w:p>
        </w:tc>
        <w:tc>
          <w:tcPr>
            <w:tcW w:w="763" w:type="dxa"/>
            <w:tcBorders>
              <w:top w:val="nil"/>
              <w:left w:val="nil"/>
              <w:bottom w:val="single" w:sz="4" w:space="0" w:color="auto"/>
              <w:right w:val="single" w:sz="4" w:space="0" w:color="auto"/>
            </w:tcBorders>
            <w:shd w:val="clear" w:color="auto" w:fill="auto"/>
            <w:noWrap/>
            <w:vAlign w:val="bottom"/>
            <w:hideMark/>
          </w:tcPr>
          <w:p w14:paraId="17B79678"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94.14%</w:t>
            </w:r>
          </w:p>
        </w:tc>
        <w:tc>
          <w:tcPr>
            <w:tcW w:w="763" w:type="dxa"/>
            <w:tcBorders>
              <w:top w:val="nil"/>
              <w:left w:val="nil"/>
              <w:bottom w:val="single" w:sz="4" w:space="0" w:color="auto"/>
              <w:right w:val="single" w:sz="4" w:space="0" w:color="auto"/>
            </w:tcBorders>
            <w:shd w:val="clear" w:color="auto" w:fill="auto"/>
            <w:noWrap/>
            <w:vAlign w:val="bottom"/>
            <w:hideMark/>
          </w:tcPr>
          <w:p w14:paraId="79144A4A"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92.05%</w:t>
            </w:r>
          </w:p>
        </w:tc>
        <w:tc>
          <w:tcPr>
            <w:tcW w:w="763" w:type="dxa"/>
            <w:tcBorders>
              <w:top w:val="nil"/>
              <w:left w:val="nil"/>
              <w:bottom w:val="single" w:sz="4" w:space="0" w:color="auto"/>
              <w:right w:val="single" w:sz="4" w:space="0" w:color="auto"/>
            </w:tcBorders>
            <w:shd w:val="clear" w:color="auto" w:fill="auto"/>
            <w:noWrap/>
            <w:vAlign w:val="bottom"/>
            <w:hideMark/>
          </w:tcPr>
          <w:p w14:paraId="1A72EAC7"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97.20%</w:t>
            </w:r>
          </w:p>
        </w:tc>
        <w:tc>
          <w:tcPr>
            <w:tcW w:w="763" w:type="dxa"/>
            <w:tcBorders>
              <w:top w:val="nil"/>
              <w:left w:val="nil"/>
              <w:bottom w:val="single" w:sz="4" w:space="0" w:color="auto"/>
              <w:right w:val="single" w:sz="4" w:space="0" w:color="auto"/>
            </w:tcBorders>
            <w:shd w:val="clear" w:color="auto" w:fill="auto"/>
            <w:noWrap/>
            <w:vAlign w:val="bottom"/>
            <w:hideMark/>
          </w:tcPr>
          <w:p w14:paraId="45A58B5E"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99.68%</w:t>
            </w:r>
          </w:p>
        </w:tc>
        <w:tc>
          <w:tcPr>
            <w:tcW w:w="763" w:type="dxa"/>
            <w:tcBorders>
              <w:top w:val="nil"/>
              <w:left w:val="nil"/>
              <w:bottom w:val="single" w:sz="4" w:space="0" w:color="auto"/>
              <w:right w:val="single" w:sz="4" w:space="0" w:color="auto"/>
            </w:tcBorders>
            <w:shd w:val="clear" w:color="auto" w:fill="auto"/>
            <w:noWrap/>
            <w:vAlign w:val="bottom"/>
            <w:hideMark/>
          </w:tcPr>
          <w:p w14:paraId="7AE05C07"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95.74%</w:t>
            </w:r>
          </w:p>
        </w:tc>
        <w:tc>
          <w:tcPr>
            <w:tcW w:w="763" w:type="dxa"/>
            <w:tcBorders>
              <w:top w:val="nil"/>
              <w:left w:val="nil"/>
              <w:bottom w:val="single" w:sz="4" w:space="0" w:color="auto"/>
              <w:right w:val="single" w:sz="4" w:space="0" w:color="auto"/>
            </w:tcBorders>
            <w:shd w:val="clear" w:color="auto" w:fill="auto"/>
            <w:noWrap/>
            <w:vAlign w:val="bottom"/>
            <w:hideMark/>
          </w:tcPr>
          <w:p w14:paraId="0C37724E"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97.41%</w:t>
            </w:r>
          </w:p>
        </w:tc>
        <w:tc>
          <w:tcPr>
            <w:tcW w:w="763" w:type="dxa"/>
            <w:tcBorders>
              <w:top w:val="nil"/>
              <w:left w:val="nil"/>
              <w:bottom w:val="single" w:sz="4" w:space="0" w:color="auto"/>
              <w:right w:val="single" w:sz="4" w:space="0" w:color="auto"/>
            </w:tcBorders>
            <w:shd w:val="clear" w:color="auto" w:fill="auto"/>
            <w:noWrap/>
            <w:vAlign w:val="bottom"/>
            <w:hideMark/>
          </w:tcPr>
          <w:p w14:paraId="4628D441"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99.42%</w:t>
            </w:r>
          </w:p>
        </w:tc>
      </w:tr>
      <w:tr w:rsidR="00C93C49" w:rsidRPr="00C93C49" w14:paraId="5EF33588" w14:textId="77777777" w:rsidTr="00347614">
        <w:trPr>
          <w:trHeight w:val="176"/>
          <w:jc w:val="center"/>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14:paraId="35A847C9" w14:textId="77777777" w:rsidR="00C93C49" w:rsidRPr="00C93C49" w:rsidRDefault="00C93C49" w:rsidP="00C93C49">
            <w:pPr>
              <w:spacing w:after="0" w:line="240" w:lineRule="auto"/>
              <w:rPr>
                <w:rFonts w:ascii="Arial" w:eastAsia="Times New Roman" w:hAnsi="Arial" w:cs="Arial"/>
                <w:b/>
                <w:color w:val="000000"/>
                <w:sz w:val="15"/>
                <w:szCs w:val="15"/>
              </w:rPr>
            </w:pPr>
            <w:r w:rsidRPr="00C93C49">
              <w:rPr>
                <w:rFonts w:ascii="Arial" w:eastAsia="Times New Roman" w:hAnsi="Arial" w:cs="Arial"/>
                <w:b/>
                <w:color w:val="000000"/>
                <w:sz w:val="15"/>
                <w:szCs w:val="15"/>
              </w:rPr>
              <w:t>West Penn Power</w:t>
            </w:r>
          </w:p>
        </w:tc>
        <w:tc>
          <w:tcPr>
            <w:tcW w:w="763" w:type="dxa"/>
            <w:tcBorders>
              <w:top w:val="nil"/>
              <w:left w:val="nil"/>
              <w:bottom w:val="single" w:sz="4" w:space="0" w:color="auto"/>
              <w:right w:val="single" w:sz="4" w:space="0" w:color="auto"/>
            </w:tcBorders>
            <w:shd w:val="clear" w:color="auto" w:fill="FFFF00"/>
            <w:noWrap/>
            <w:vAlign w:val="bottom"/>
            <w:hideMark/>
          </w:tcPr>
          <w:p w14:paraId="13D6B21B" w14:textId="77777777" w:rsidR="00C93C49" w:rsidRPr="00C93C49" w:rsidRDefault="00C93C49" w:rsidP="00C93C49">
            <w:pPr>
              <w:spacing w:after="0" w:line="240" w:lineRule="auto"/>
              <w:jc w:val="center"/>
              <w:rPr>
                <w:rFonts w:ascii="Arial" w:eastAsia="Times New Roman" w:hAnsi="Arial" w:cs="Arial"/>
                <w:color w:val="000000"/>
                <w:sz w:val="15"/>
                <w:szCs w:val="15"/>
              </w:rPr>
            </w:pPr>
          </w:p>
        </w:tc>
        <w:tc>
          <w:tcPr>
            <w:tcW w:w="763" w:type="dxa"/>
            <w:tcBorders>
              <w:top w:val="nil"/>
              <w:left w:val="nil"/>
              <w:bottom w:val="single" w:sz="4" w:space="0" w:color="auto"/>
              <w:right w:val="single" w:sz="4" w:space="0" w:color="auto"/>
            </w:tcBorders>
            <w:shd w:val="clear" w:color="auto" w:fill="FFFF00"/>
            <w:noWrap/>
            <w:vAlign w:val="bottom"/>
            <w:hideMark/>
          </w:tcPr>
          <w:p w14:paraId="2E7B5F3F" w14:textId="77777777" w:rsidR="00C93C49" w:rsidRPr="00C93C49" w:rsidRDefault="00C93C49" w:rsidP="00C93C49">
            <w:pPr>
              <w:spacing w:after="0" w:line="240" w:lineRule="auto"/>
              <w:jc w:val="center"/>
              <w:rPr>
                <w:rFonts w:ascii="Arial" w:eastAsia="Times New Roman" w:hAnsi="Arial" w:cs="Arial"/>
                <w:color w:val="000000"/>
                <w:sz w:val="15"/>
                <w:szCs w:val="15"/>
              </w:rPr>
            </w:pPr>
          </w:p>
        </w:tc>
        <w:tc>
          <w:tcPr>
            <w:tcW w:w="763" w:type="dxa"/>
            <w:tcBorders>
              <w:top w:val="nil"/>
              <w:left w:val="nil"/>
              <w:bottom w:val="single" w:sz="4" w:space="0" w:color="auto"/>
              <w:right w:val="single" w:sz="4" w:space="0" w:color="auto"/>
            </w:tcBorders>
            <w:shd w:val="clear" w:color="auto" w:fill="FFFF00"/>
            <w:noWrap/>
            <w:vAlign w:val="bottom"/>
            <w:hideMark/>
          </w:tcPr>
          <w:p w14:paraId="4E01B885" w14:textId="77777777" w:rsidR="00C93C49" w:rsidRPr="00C93C49" w:rsidRDefault="00C93C49" w:rsidP="00C93C49">
            <w:pPr>
              <w:spacing w:after="0" w:line="240" w:lineRule="auto"/>
              <w:jc w:val="center"/>
              <w:rPr>
                <w:rFonts w:ascii="Arial" w:eastAsia="Times New Roman" w:hAnsi="Arial" w:cs="Arial"/>
                <w:color w:val="000000"/>
                <w:sz w:val="15"/>
                <w:szCs w:val="15"/>
              </w:rPr>
            </w:pPr>
          </w:p>
        </w:tc>
        <w:tc>
          <w:tcPr>
            <w:tcW w:w="763" w:type="dxa"/>
            <w:tcBorders>
              <w:top w:val="nil"/>
              <w:left w:val="nil"/>
              <w:bottom w:val="single" w:sz="4" w:space="0" w:color="auto"/>
              <w:right w:val="single" w:sz="4" w:space="0" w:color="auto"/>
            </w:tcBorders>
            <w:shd w:val="clear" w:color="auto" w:fill="FFFF00"/>
            <w:noWrap/>
            <w:vAlign w:val="bottom"/>
            <w:hideMark/>
          </w:tcPr>
          <w:p w14:paraId="3310AED8" w14:textId="77777777" w:rsidR="00C93C49" w:rsidRPr="00C93C49" w:rsidRDefault="00C93C49" w:rsidP="00C93C49">
            <w:pPr>
              <w:spacing w:after="0" w:line="240" w:lineRule="auto"/>
              <w:jc w:val="center"/>
              <w:rPr>
                <w:rFonts w:ascii="Arial" w:eastAsia="Times New Roman" w:hAnsi="Arial" w:cs="Arial"/>
                <w:color w:val="000000"/>
                <w:sz w:val="15"/>
                <w:szCs w:val="15"/>
              </w:rPr>
            </w:pPr>
          </w:p>
        </w:tc>
        <w:tc>
          <w:tcPr>
            <w:tcW w:w="763" w:type="dxa"/>
            <w:tcBorders>
              <w:top w:val="nil"/>
              <w:left w:val="nil"/>
              <w:bottom w:val="single" w:sz="4" w:space="0" w:color="auto"/>
              <w:right w:val="single" w:sz="4" w:space="0" w:color="auto"/>
            </w:tcBorders>
            <w:shd w:val="clear" w:color="auto" w:fill="FFFF00"/>
            <w:noWrap/>
            <w:vAlign w:val="bottom"/>
            <w:hideMark/>
          </w:tcPr>
          <w:p w14:paraId="221056DB" w14:textId="77777777" w:rsidR="00C93C49" w:rsidRPr="00C93C49" w:rsidRDefault="00C93C49" w:rsidP="00C93C49">
            <w:pPr>
              <w:spacing w:after="0" w:line="240" w:lineRule="auto"/>
              <w:jc w:val="center"/>
              <w:rPr>
                <w:rFonts w:ascii="Arial" w:eastAsia="Times New Roman" w:hAnsi="Arial" w:cs="Arial"/>
                <w:color w:val="000000"/>
                <w:sz w:val="15"/>
                <w:szCs w:val="15"/>
              </w:rPr>
            </w:pPr>
          </w:p>
        </w:tc>
        <w:tc>
          <w:tcPr>
            <w:tcW w:w="763" w:type="dxa"/>
            <w:tcBorders>
              <w:top w:val="nil"/>
              <w:left w:val="nil"/>
              <w:bottom w:val="single" w:sz="4" w:space="0" w:color="auto"/>
              <w:right w:val="single" w:sz="4" w:space="0" w:color="auto"/>
            </w:tcBorders>
            <w:shd w:val="clear" w:color="auto" w:fill="auto"/>
            <w:noWrap/>
            <w:vAlign w:val="bottom"/>
            <w:hideMark/>
          </w:tcPr>
          <w:p w14:paraId="67E0E6D9"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88.27%</w:t>
            </w:r>
          </w:p>
        </w:tc>
        <w:tc>
          <w:tcPr>
            <w:tcW w:w="763" w:type="dxa"/>
            <w:tcBorders>
              <w:top w:val="nil"/>
              <w:left w:val="nil"/>
              <w:bottom w:val="single" w:sz="4" w:space="0" w:color="auto"/>
              <w:right w:val="single" w:sz="4" w:space="0" w:color="auto"/>
            </w:tcBorders>
            <w:shd w:val="clear" w:color="auto" w:fill="auto"/>
            <w:noWrap/>
            <w:vAlign w:val="bottom"/>
            <w:hideMark/>
          </w:tcPr>
          <w:p w14:paraId="3A050420"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82.27%</w:t>
            </w:r>
          </w:p>
        </w:tc>
        <w:tc>
          <w:tcPr>
            <w:tcW w:w="763" w:type="dxa"/>
            <w:tcBorders>
              <w:top w:val="nil"/>
              <w:left w:val="nil"/>
              <w:bottom w:val="single" w:sz="4" w:space="0" w:color="auto"/>
              <w:right w:val="single" w:sz="4" w:space="0" w:color="auto"/>
            </w:tcBorders>
            <w:shd w:val="clear" w:color="auto" w:fill="auto"/>
            <w:noWrap/>
            <w:vAlign w:val="bottom"/>
            <w:hideMark/>
          </w:tcPr>
          <w:p w14:paraId="6D7C0BAD"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81.13%</w:t>
            </w:r>
          </w:p>
        </w:tc>
        <w:tc>
          <w:tcPr>
            <w:tcW w:w="763" w:type="dxa"/>
            <w:tcBorders>
              <w:top w:val="nil"/>
              <w:left w:val="nil"/>
              <w:bottom w:val="single" w:sz="4" w:space="0" w:color="auto"/>
              <w:right w:val="single" w:sz="4" w:space="0" w:color="auto"/>
            </w:tcBorders>
            <w:shd w:val="clear" w:color="auto" w:fill="auto"/>
            <w:noWrap/>
            <w:vAlign w:val="bottom"/>
            <w:hideMark/>
          </w:tcPr>
          <w:p w14:paraId="4AD8D3B3"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91.59%</w:t>
            </w:r>
          </w:p>
        </w:tc>
        <w:tc>
          <w:tcPr>
            <w:tcW w:w="763" w:type="dxa"/>
            <w:tcBorders>
              <w:top w:val="nil"/>
              <w:left w:val="nil"/>
              <w:bottom w:val="single" w:sz="4" w:space="0" w:color="auto"/>
              <w:right w:val="single" w:sz="4" w:space="0" w:color="auto"/>
            </w:tcBorders>
            <w:shd w:val="clear" w:color="auto" w:fill="auto"/>
            <w:noWrap/>
            <w:vAlign w:val="bottom"/>
            <w:hideMark/>
          </w:tcPr>
          <w:p w14:paraId="7B3E4A92"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93.25%</w:t>
            </w:r>
          </w:p>
        </w:tc>
        <w:tc>
          <w:tcPr>
            <w:tcW w:w="763" w:type="dxa"/>
            <w:tcBorders>
              <w:top w:val="nil"/>
              <w:left w:val="nil"/>
              <w:bottom w:val="single" w:sz="4" w:space="0" w:color="auto"/>
              <w:right w:val="single" w:sz="4" w:space="0" w:color="auto"/>
            </w:tcBorders>
            <w:shd w:val="clear" w:color="auto" w:fill="auto"/>
            <w:noWrap/>
            <w:vAlign w:val="bottom"/>
            <w:hideMark/>
          </w:tcPr>
          <w:p w14:paraId="1FBFCD5C"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92.46%</w:t>
            </w:r>
          </w:p>
        </w:tc>
        <w:tc>
          <w:tcPr>
            <w:tcW w:w="763" w:type="dxa"/>
            <w:tcBorders>
              <w:top w:val="nil"/>
              <w:left w:val="nil"/>
              <w:bottom w:val="single" w:sz="4" w:space="0" w:color="auto"/>
              <w:right w:val="single" w:sz="4" w:space="0" w:color="auto"/>
            </w:tcBorders>
            <w:shd w:val="clear" w:color="auto" w:fill="auto"/>
            <w:noWrap/>
            <w:vAlign w:val="bottom"/>
            <w:hideMark/>
          </w:tcPr>
          <w:p w14:paraId="1C3601E3"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96.32%</w:t>
            </w:r>
          </w:p>
        </w:tc>
      </w:tr>
      <w:tr w:rsidR="00C93C49" w:rsidRPr="00C93C49" w14:paraId="789D9909" w14:textId="77777777" w:rsidTr="00347614">
        <w:trPr>
          <w:trHeight w:val="176"/>
          <w:jc w:val="center"/>
        </w:trPr>
        <w:tc>
          <w:tcPr>
            <w:tcW w:w="1584" w:type="dxa"/>
            <w:tcBorders>
              <w:top w:val="nil"/>
              <w:left w:val="single" w:sz="4" w:space="0" w:color="auto"/>
              <w:bottom w:val="single" w:sz="4" w:space="0" w:color="auto"/>
              <w:right w:val="single" w:sz="4" w:space="0" w:color="auto"/>
            </w:tcBorders>
            <w:shd w:val="clear" w:color="auto" w:fill="auto"/>
            <w:noWrap/>
            <w:vAlign w:val="bottom"/>
          </w:tcPr>
          <w:p w14:paraId="33599AF8" w14:textId="77777777" w:rsidR="00C93C49" w:rsidRPr="00C93C49" w:rsidRDefault="00C93C49" w:rsidP="00C93C49">
            <w:pPr>
              <w:spacing w:after="0" w:line="240" w:lineRule="auto"/>
              <w:jc w:val="center"/>
              <w:rPr>
                <w:rFonts w:ascii="Arial" w:eastAsia="Times New Roman" w:hAnsi="Arial" w:cs="Arial"/>
                <w:b/>
                <w:color w:val="000000"/>
                <w:sz w:val="15"/>
                <w:szCs w:val="15"/>
              </w:rPr>
            </w:pPr>
          </w:p>
        </w:tc>
        <w:tc>
          <w:tcPr>
            <w:tcW w:w="763" w:type="dxa"/>
            <w:tcBorders>
              <w:top w:val="nil"/>
              <w:left w:val="nil"/>
              <w:bottom w:val="single" w:sz="4" w:space="0" w:color="auto"/>
              <w:right w:val="single" w:sz="4" w:space="0" w:color="auto"/>
            </w:tcBorders>
            <w:shd w:val="clear" w:color="auto" w:fill="auto"/>
            <w:noWrap/>
            <w:vAlign w:val="bottom"/>
            <w:hideMark/>
          </w:tcPr>
          <w:p w14:paraId="0F9AD98A"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 xml:space="preserve">Jan </w:t>
            </w:r>
          </w:p>
          <w:p w14:paraId="42983483"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2016</w:t>
            </w:r>
          </w:p>
        </w:tc>
        <w:tc>
          <w:tcPr>
            <w:tcW w:w="763" w:type="dxa"/>
            <w:tcBorders>
              <w:top w:val="nil"/>
              <w:left w:val="nil"/>
              <w:bottom w:val="single" w:sz="4" w:space="0" w:color="auto"/>
              <w:right w:val="single" w:sz="4" w:space="0" w:color="auto"/>
            </w:tcBorders>
            <w:shd w:val="clear" w:color="auto" w:fill="auto"/>
            <w:noWrap/>
            <w:vAlign w:val="bottom"/>
            <w:hideMark/>
          </w:tcPr>
          <w:p w14:paraId="642353F7"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 xml:space="preserve">Feb </w:t>
            </w:r>
          </w:p>
          <w:p w14:paraId="3A59046C"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2016</w:t>
            </w:r>
          </w:p>
        </w:tc>
        <w:tc>
          <w:tcPr>
            <w:tcW w:w="763" w:type="dxa"/>
            <w:tcBorders>
              <w:top w:val="nil"/>
              <w:left w:val="nil"/>
              <w:bottom w:val="single" w:sz="4" w:space="0" w:color="auto"/>
              <w:right w:val="single" w:sz="4" w:space="0" w:color="auto"/>
            </w:tcBorders>
            <w:shd w:val="clear" w:color="auto" w:fill="auto"/>
            <w:noWrap/>
            <w:vAlign w:val="bottom"/>
            <w:hideMark/>
          </w:tcPr>
          <w:p w14:paraId="040B66F9"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 xml:space="preserve">Mar </w:t>
            </w:r>
          </w:p>
          <w:p w14:paraId="447A19BA"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2016</w:t>
            </w:r>
          </w:p>
        </w:tc>
        <w:tc>
          <w:tcPr>
            <w:tcW w:w="763" w:type="dxa"/>
            <w:tcBorders>
              <w:top w:val="nil"/>
              <w:left w:val="nil"/>
              <w:bottom w:val="single" w:sz="4" w:space="0" w:color="auto"/>
              <w:right w:val="single" w:sz="4" w:space="0" w:color="auto"/>
            </w:tcBorders>
            <w:shd w:val="clear" w:color="auto" w:fill="auto"/>
            <w:noWrap/>
            <w:vAlign w:val="bottom"/>
            <w:hideMark/>
          </w:tcPr>
          <w:p w14:paraId="1B39C20C"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 xml:space="preserve">Apr </w:t>
            </w:r>
          </w:p>
          <w:p w14:paraId="11D61929"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2016</w:t>
            </w:r>
          </w:p>
        </w:tc>
        <w:tc>
          <w:tcPr>
            <w:tcW w:w="763" w:type="dxa"/>
            <w:tcBorders>
              <w:top w:val="nil"/>
              <w:left w:val="nil"/>
              <w:bottom w:val="single" w:sz="4" w:space="0" w:color="auto"/>
              <w:right w:val="single" w:sz="4" w:space="0" w:color="auto"/>
            </w:tcBorders>
            <w:shd w:val="clear" w:color="auto" w:fill="auto"/>
            <w:noWrap/>
            <w:vAlign w:val="bottom"/>
            <w:hideMark/>
          </w:tcPr>
          <w:p w14:paraId="5D8FE25B"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May 2016</w:t>
            </w:r>
          </w:p>
        </w:tc>
        <w:tc>
          <w:tcPr>
            <w:tcW w:w="763" w:type="dxa"/>
            <w:tcBorders>
              <w:top w:val="nil"/>
              <w:left w:val="nil"/>
              <w:bottom w:val="single" w:sz="4" w:space="0" w:color="auto"/>
              <w:right w:val="single" w:sz="4" w:space="0" w:color="auto"/>
            </w:tcBorders>
            <w:shd w:val="clear" w:color="auto" w:fill="auto"/>
            <w:noWrap/>
            <w:vAlign w:val="bottom"/>
            <w:hideMark/>
          </w:tcPr>
          <w:p w14:paraId="73EB9A31"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 xml:space="preserve">Jun </w:t>
            </w:r>
          </w:p>
          <w:p w14:paraId="3087418A"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2016</w:t>
            </w:r>
          </w:p>
        </w:tc>
        <w:tc>
          <w:tcPr>
            <w:tcW w:w="763" w:type="dxa"/>
            <w:tcBorders>
              <w:top w:val="nil"/>
              <w:left w:val="nil"/>
              <w:bottom w:val="single" w:sz="4" w:space="0" w:color="auto"/>
              <w:right w:val="single" w:sz="4" w:space="0" w:color="auto"/>
            </w:tcBorders>
            <w:shd w:val="clear" w:color="auto" w:fill="auto"/>
            <w:noWrap/>
            <w:vAlign w:val="bottom"/>
            <w:hideMark/>
          </w:tcPr>
          <w:p w14:paraId="4FEA08CC"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 xml:space="preserve">Jul </w:t>
            </w:r>
          </w:p>
          <w:p w14:paraId="606066C1"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2016</w:t>
            </w:r>
          </w:p>
        </w:tc>
        <w:tc>
          <w:tcPr>
            <w:tcW w:w="763" w:type="dxa"/>
            <w:tcBorders>
              <w:top w:val="nil"/>
              <w:left w:val="nil"/>
              <w:bottom w:val="single" w:sz="4" w:space="0" w:color="auto"/>
              <w:right w:val="single" w:sz="4" w:space="0" w:color="auto"/>
            </w:tcBorders>
            <w:shd w:val="clear" w:color="auto" w:fill="auto"/>
            <w:noWrap/>
            <w:vAlign w:val="bottom"/>
            <w:hideMark/>
          </w:tcPr>
          <w:p w14:paraId="6D52E27C"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Aug 2016</w:t>
            </w:r>
          </w:p>
        </w:tc>
        <w:tc>
          <w:tcPr>
            <w:tcW w:w="763" w:type="dxa"/>
            <w:tcBorders>
              <w:top w:val="nil"/>
              <w:left w:val="nil"/>
              <w:bottom w:val="single" w:sz="4" w:space="0" w:color="auto"/>
              <w:right w:val="single" w:sz="4" w:space="0" w:color="auto"/>
            </w:tcBorders>
            <w:shd w:val="clear" w:color="auto" w:fill="auto"/>
            <w:noWrap/>
            <w:vAlign w:val="bottom"/>
            <w:hideMark/>
          </w:tcPr>
          <w:p w14:paraId="1FC7B03A"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Sept 2016</w:t>
            </w:r>
          </w:p>
        </w:tc>
        <w:tc>
          <w:tcPr>
            <w:tcW w:w="763" w:type="dxa"/>
            <w:tcBorders>
              <w:top w:val="nil"/>
              <w:left w:val="nil"/>
              <w:bottom w:val="single" w:sz="4" w:space="0" w:color="auto"/>
              <w:right w:val="single" w:sz="4" w:space="0" w:color="auto"/>
            </w:tcBorders>
            <w:shd w:val="clear" w:color="auto" w:fill="auto"/>
            <w:noWrap/>
            <w:vAlign w:val="bottom"/>
            <w:hideMark/>
          </w:tcPr>
          <w:p w14:paraId="4AC05A3E"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 xml:space="preserve">Oct </w:t>
            </w:r>
          </w:p>
          <w:p w14:paraId="5052C6B4"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2016</w:t>
            </w:r>
          </w:p>
        </w:tc>
        <w:tc>
          <w:tcPr>
            <w:tcW w:w="763" w:type="dxa"/>
            <w:tcBorders>
              <w:top w:val="nil"/>
              <w:left w:val="nil"/>
              <w:bottom w:val="single" w:sz="4" w:space="0" w:color="auto"/>
              <w:right w:val="single" w:sz="4" w:space="0" w:color="auto"/>
            </w:tcBorders>
            <w:shd w:val="clear" w:color="auto" w:fill="auto"/>
            <w:noWrap/>
            <w:vAlign w:val="bottom"/>
            <w:hideMark/>
          </w:tcPr>
          <w:p w14:paraId="129DBA7D"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Nov 2016</w:t>
            </w:r>
          </w:p>
        </w:tc>
        <w:tc>
          <w:tcPr>
            <w:tcW w:w="763" w:type="dxa"/>
            <w:tcBorders>
              <w:top w:val="nil"/>
              <w:left w:val="nil"/>
              <w:bottom w:val="single" w:sz="4" w:space="0" w:color="auto"/>
              <w:right w:val="single" w:sz="4" w:space="0" w:color="auto"/>
            </w:tcBorders>
            <w:shd w:val="clear" w:color="auto" w:fill="auto"/>
            <w:noWrap/>
            <w:vAlign w:val="bottom"/>
            <w:hideMark/>
          </w:tcPr>
          <w:p w14:paraId="480811BF"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Dec 2016</w:t>
            </w:r>
          </w:p>
        </w:tc>
      </w:tr>
      <w:tr w:rsidR="00C93C49" w:rsidRPr="00C93C49" w14:paraId="571C26E0" w14:textId="77777777" w:rsidTr="00347614">
        <w:trPr>
          <w:trHeight w:val="176"/>
          <w:jc w:val="center"/>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14:paraId="5104E781" w14:textId="77777777" w:rsidR="00C93C49" w:rsidRPr="00C93C49" w:rsidRDefault="00C93C49" w:rsidP="00C93C49">
            <w:pPr>
              <w:spacing w:after="0" w:line="240" w:lineRule="auto"/>
              <w:rPr>
                <w:rFonts w:ascii="Arial" w:eastAsia="Times New Roman" w:hAnsi="Arial" w:cs="Arial"/>
                <w:b/>
                <w:color w:val="000000"/>
                <w:sz w:val="15"/>
                <w:szCs w:val="15"/>
              </w:rPr>
            </w:pPr>
            <w:r w:rsidRPr="00C93C49">
              <w:rPr>
                <w:rFonts w:ascii="Arial" w:eastAsia="Times New Roman" w:hAnsi="Arial" w:cs="Arial"/>
                <w:b/>
                <w:color w:val="000000"/>
                <w:sz w:val="15"/>
                <w:szCs w:val="15"/>
              </w:rPr>
              <w:t>Met-Ed</w:t>
            </w:r>
          </w:p>
        </w:tc>
        <w:tc>
          <w:tcPr>
            <w:tcW w:w="763" w:type="dxa"/>
            <w:tcBorders>
              <w:top w:val="nil"/>
              <w:left w:val="nil"/>
              <w:bottom w:val="single" w:sz="4" w:space="0" w:color="auto"/>
              <w:right w:val="single" w:sz="4" w:space="0" w:color="auto"/>
            </w:tcBorders>
            <w:shd w:val="clear" w:color="auto" w:fill="auto"/>
            <w:noWrap/>
            <w:vAlign w:val="bottom"/>
            <w:hideMark/>
          </w:tcPr>
          <w:p w14:paraId="443215CE"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98.54%</w:t>
            </w:r>
          </w:p>
        </w:tc>
        <w:tc>
          <w:tcPr>
            <w:tcW w:w="763" w:type="dxa"/>
            <w:tcBorders>
              <w:top w:val="nil"/>
              <w:left w:val="nil"/>
              <w:bottom w:val="single" w:sz="4" w:space="0" w:color="auto"/>
              <w:right w:val="single" w:sz="4" w:space="0" w:color="auto"/>
            </w:tcBorders>
            <w:shd w:val="clear" w:color="auto" w:fill="auto"/>
            <w:noWrap/>
            <w:vAlign w:val="bottom"/>
            <w:hideMark/>
          </w:tcPr>
          <w:p w14:paraId="507B66C9"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97.46%</w:t>
            </w:r>
          </w:p>
        </w:tc>
        <w:tc>
          <w:tcPr>
            <w:tcW w:w="763" w:type="dxa"/>
            <w:tcBorders>
              <w:top w:val="nil"/>
              <w:left w:val="nil"/>
              <w:bottom w:val="single" w:sz="4" w:space="0" w:color="auto"/>
              <w:right w:val="single" w:sz="4" w:space="0" w:color="auto"/>
            </w:tcBorders>
            <w:shd w:val="clear" w:color="auto" w:fill="auto"/>
            <w:noWrap/>
            <w:vAlign w:val="bottom"/>
            <w:hideMark/>
          </w:tcPr>
          <w:p w14:paraId="29231CE4"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99.40%</w:t>
            </w:r>
          </w:p>
        </w:tc>
        <w:tc>
          <w:tcPr>
            <w:tcW w:w="763" w:type="dxa"/>
            <w:tcBorders>
              <w:top w:val="nil"/>
              <w:left w:val="nil"/>
              <w:bottom w:val="single" w:sz="4" w:space="0" w:color="auto"/>
              <w:right w:val="single" w:sz="4" w:space="0" w:color="auto"/>
            </w:tcBorders>
            <w:shd w:val="clear" w:color="auto" w:fill="auto"/>
            <w:noWrap/>
            <w:vAlign w:val="bottom"/>
            <w:hideMark/>
          </w:tcPr>
          <w:p w14:paraId="43181192"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98.61%</w:t>
            </w:r>
          </w:p>
        </w:tc>
        <w:tc>
          <w:tcPr>
            <w:tcW w:w="763" w:type="dxa"/>
            <w:tcBorders>
              <w:top w:val="nil"/>
              <w:left w:val="nil"/>
              <w:bottom w:val="single" w:sz="4" w:space="0" w:color="auto"/>
              <w:right w:val="single" w:sz="4" w:space="0" w:color="auto"/>
            </w:tcBorders>
            <w:shd w:val="clear" w:color="auto" w:fill="auto"/>
            <w:noWrap/>
            <w:vAlign w:val="bottom"/>
            <w:hideMark/>
          </w:tcPr>
          <w:p w14:paraId="0D66F777"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98.25%</w:t>
            </w:r>
          </w:p>
        </w:tc>
        <w:tc>
          <w:tcPr>
            <w:tcW w:w="763" w:type="dxa"/>
            <w:tcBorders>
              <w:top w:val="nil"/>
              <w:left w:val="nil"/>
              <w:bottom w:val="single" w:sz="4" w:space="0" w:color="auto"/>
              <w:right w:val="single" w:sz="4" w:space="0" w:color="auto"/>
            </w:tcBorders>
            <w:shd w:val="clear" w:color="auto" w:fill="auto"/>
            <w:noWrap/>
            <w:vAlign w:val="bottom"/>
            <w:hideMark/>
          </w:tcPr>
          <w:p w14:paraId="42305983"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99.03%</w:t>
            </w:r>
          </w:p>
        </w:tc>
        <w:tc>
          <w:tcPr>
            <w:tcW w:w="763" w:type="dxa"/>
            <w:tcBorders>
              <w:top w:val="nil"/>
              <w:left w:val="nil"/>
              <w:bottom w:val="single" w:sz="4" w:space="0" w:color="auto"/>
              <w:right w:val="single" w:sz="4" w:space="0" w:color="auto"/>
            </w:tcBorders>
            <w:shd w:val="clear" w:color="auto" w:fill="auto"/>
            <w:noWrap/>
            <w:vAlign w:val="bottom"/>
            <w:hideMark/>
          </w:tcPr>
          <w:p w14:paraId="53E6C2CB"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98.86%</w:t>
            </w:r>
          </w:p>
        </w:tc>
        <w:tc>
          <w:tcPr>
            <w:tcW w:w="763" w:type="dxa"/>
            <w:tcBorders>
              <w:top w:val="nil"/>
              <w:left w:val="nil"/>
              <w:bottom w:val="single" w:sz="4" w:space="0" w:color="auto"/>
              <w:right w:val="single" w:sz="4" w:space="0" w:color="auto"/>
            </w:tcBorders>
            <w:shd w:val="clear" w:color="auto" w:fill="auto"/>
            <w:noWrap/>
            <w:vAlign w:val="bottom"/>
            <w:hideMark/>
          </w:tcPr>
          <w:p w14:paraId="56CBB52B"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97.91%</w:t>
            </w:r>
          </w:p>
        </w:tc>
        <w:tc>
          <w:tcPr>
            <w:tcW w:w="763" w:type="dxa"/>
            <w:tcBorders>
              <w:top w:val="nil"/>
              <w:left w:val="nil"/>
              <w:bottom w:val="single" w:sz="4" w:space="0" w:color="auto"/>
              <w:right w:val="single" w:sz="4" w:space="0" w:color="auto"/>
            </w:tcBorders>
            <w:shd w:val="clear" w:color="auto" w:fill="auto"/>
            <w:noWrap/>
            <w:vAlign w:val="bottom"/>
            <w:hideMark/>
          </w:tcPr>
          <w:p w14:paraId="5FF22124"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98.49%</w:t>
            </w:r>
          </w:p>
        </w:tc>
        <w:tc>
          <w:tcPr>
            <w:tcW w:w="763" w:type="dxa"/>
            <w:tcBorders>
              <w:top w:val="nil"/>
              <w:left w:val="nil"/>
              <w:bottom w:val="single" w:sz="4" w:space="0" w:color="auto"/>
              <w:right w:val="single" w:sz="4" w:space="0" w:color="auto"/>
            </w:tcBorders>
            <w:shd w:val="clear" w:color="auto" w:fill="auto"/>
            <w:noWrap/>
            <w:vAlign w:val="bottom"/>
            <w:hideMark/>
          </w:tcPr>
          <w:p w14:paraId="66EE38D8"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98.69%</w:t>
            </w:r>
          </w:p>
        </w:tc>
        <w:tc>
          <w:tcPr>
            <w:tcW w:w="763" w:type="dxa"/>
            <w:tcBorders>
              <w:top w:val="nil"/>
              <w:left w:val="nil"/>
              <w:bottom w:val="single" w:sz="4" w:space="0" w:color="auto"/>
              <w:right w:val="single" w:sz="4" w:space="0" w:color="auto"/>
            </w:tcBorders>
            <w:shd w:val="clear" w:color="auto" w:fill="auto"/>
            <w:noWrap/>
            <w:vAlign w:val="bottom"/>
            <w:hideMark/>
          </w:tcPr>
          <w:p w14:paraId="5C079D58"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98.34%</w:t>
            </w:r>
          </w:p>
        </w:tc>
        <w:tc>
          <w:tcPr>
            <w:tcW w:w="763" w:type="dxa"/>
            <w:tcBorders>
              <w:top w:val="nil"/>
              <w:left w:val="nil"/>
              <w:bottom w:val="single" w:sz="4" w:space="0" w:color="auto"/>
              <w:right w:val="single" w:sz="4" w:space="0" w:color="auto"/>
            </w:tcBorders>
            <w:shd w:val="clear" w:color="auto" w:fill="auto"/>
            <w:noWrap/>
            <w:vAlign w:val="bottom"/>
            <w:hideMark/>
          </w:tcPr>
          <w:p w14:paraId="2B2C21DF"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98.91%</w:t>
            </w:r>
          </w:p>
        </w:tc>
      </w:tr>
      <w:tr w:rsidR="00C93C49" w:rsidRPr="00C93C49" w14:paraId="5945AD45" w14:textId="77777777" w:rsidTr="00347614">
        <w:trPr>
          <w:trHeight w:val="176"/>
          <w:jc w:val="center"/>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14:paraId="6E0C486C" w14:textId="77777777" w:rsidR="00C93C49" w:rsidRPr="00C93C49" w:rsidRDefault="00C93C49" w:rsidP="00C93C49">
            <w:pPr>
              <w:spacing w:after="0" w:line="240" w:lineRule="auto"/>
              <w:rPr>
                <w:rFonts w:ascii="Arial" w:eastAsia="Times New Roman" w:hAnsi="Arial" w:cs="Arial"/>
                <w:b/>
                <w:color w:val="000000"/>
                <w:sz w:val="15"/>
                <w:szCs w:val="15"/>
              </w:rPr>
            </w:pPr>
            <w:r w:rsidRPr="00C93C49">
              <w:rPr>
                <w:rFonts w:ascii="Arial" w:eastAsia="Times New Roman" w:hAnsi="Arial" w:cs="Arial"/>
                <w:b/>
                <w:color w:val="000000"/>
                <w:sz w:val="15"/>
                <w:szCs w:val="15"/>
              </w:rPr>
              <w:t>Penelec</w:t>
            </w:r>
          </w:p>
        </w:tc>
        <w:tc>
          <w:tcPr>
            <w:tcW w:w="763" w:type="dxa"/>
            <w:tcBorders>
              <w:top w:val="nil"/>
              <w:left w:val="nil"/>
              <w:bottom w:val="single" w:sz="4" w:space="0" w:color="auto"/>
              <w:right w:val="single" w:sz="4" w:space="0" w:color="auto"/>
            </w:tcBorders>
            <w:shd w:val="clear" w:color="auto" w:fill="auto"/>
            <w:noWrap/>
            <w:vAlign w:val="bottom"/>
            <w:hideMark/>
          </w:tcPr>
          <w:p w14:paraId="68434A66"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97.81%</w:t>
            </w:r>
          </w:p>
        </w:tc>
        <w:tc>
          <w:tcPr>
            <w:tcW w:w="763" w:type="dxa"/>
            <w:tcBorders>
              <w:top w:val="nil"/>
              <w:left w:val="nil"/>
              <w:bottom w:val="single" w:sz="4" w:space="0" w:color="auto"/>
              <w:right w:val="single" w:sz="4" w:space="0" w:color="auto"/>
            </w:tcBorders>
            <w:shd w:val="clear" w:color="auto" w:fill="auto"/>
            <w:noWrap/>
            <w:vAlign w:val="bottom"/>
            <w:hideMark/>
          </w:tcPr>
          <w:p w14:paraId="788A0BEF"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99.38%</w:t>
            </w:r>
          </w:p>
        </w:tc>
        <w:tc>
          <w:tcPr>
            <w:tcW w:w="763" w:type="dxa"/>
            <w:tcBorders>
              <w:top w:val="nil"/>
              <w:left w:val="nil"/>
              <w:bottom w:val="single" w:sz="4" w:space="0" w:color="auto"/>
              <w:right w:val="single" w:sz="4" w:space="0" w:color="auto"/>
            </w:tcBorders>
            <w:shd w:val="clear" w:color="auto" w:fill="auto"/>
            <w:noWrap/>
            <w:vAlign w:val="bottom"/>
            <w:hideMark/>
          </w:tcPr>
          <w:p w14:paraId="62F8CAB4"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99.46%</w:t>
            </w:r>
          </w:p>
        </w:tc>
        <w:tc>
          <w:tcPr>
            <w:tcW w:w="763" w:type="dxa"/>
            <w:tcBorders>
              <w:top w:val="nil"/>
              <w:left w:val="nil"/>
              <w:bottom w:val="single" w:sz="4" w:space="0" w:color="auto"/>
              <w:right w:val="single" w:sz="4" w:space="0" w:color="auto"/>
            </w:tcBorders>
            <w:shd w:val="clear" w:color="auto" w:fill="auto"/>
            <w:noWrap/>
            <w:vAlign w:val="bottom"/>
            <w:hideMark/>
          </w:tcPr>
          <w:p w14:paraId="7D855765"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99.54%</w:t>
            </w:r>
          </w:p>
        </w:tc>
        <w:tc>
          <w:tcPr>
            <w:tcW w:w="763" w:type="dxa"/>
            <w:tcBorders>
              <w:top w:val="nil"/>
              <w:left w:val="nil"/>
              <w:bottom w:val="single" w:sz="4" w:space="0" w:color="auto"/>
              <w:right w:val="single" w:sz="4" w:space="0" w:color="auto"/>
            </w:tcBorders>
            <w:shd w:val="clear" w:color="auto" w:fill="auto"/>
            <w:noWrap/>
            <w:vAlign w:val="bottom"/>
            <w:hideMark/>
          </w:tcPr>
          <w:p w14:paraId="7F76AF21"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98.28%</w:t>
            </w:r>
          </w:p>
        </w:tc>
        <w:tc>
          <w:tcPr>
            <w:tcW w:w="763" w:type="dxa"/>
            <w:tcBorders>
              <w:top w:val="nil"/>
              <w:left w:val="nil"/>
              <w:bottom w:val="single" w:sz="4" w:space="0" w:color="auto"/>
              <w:right w:val="single" w:sz="4" w:space="0" w:color="auto"/>
            </w:tcBorders>
            <w:shd w:val="clear" w:color="auto" w:fill="auto"/>
            <w:noWrap/>
            <w:vAlign w:val="bottom"/>
            <w:hideMark/>
          </w:tcPr>
          <w:p w14:paraId="0729857E"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99.28%</w:t>
            </w:r>
          </w:p>
        </w:tc>
        <w:tc>
          <w:tcPr>
            <w:tcW w:w="763" w:type="dxa"/>
            <w:tcBorders>
              <w:top w:val="nil"/>
              <w:left w:val="nil"/>
              <w:bottom w:val="single" w:sz="4" w:space="0" w:color="auto"/>
              <w:right w:val="single" w:sz="4" w:space="0" w:color="auto"/>
            </w:tcBorders>
            <w:shd w:val="clear" w:color="auto" w:fill="auto"/>
            <w:noWrap/>
            <w:vAlign w:val="bottom"/>
            <w:hideMark/>
          </w:tcPr>
          <w:p w14:paraId="5EF2FA07"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98.19%</w:t>
            </w:r>
          </w:p>
        </w:tc>
        <w:tc>
          <w:tcPr>
            <w:tcW w:w="763" w:type="dxa"/>
            <w:tcBorders>
              <w:top w:val="nil"/>
              <w:left w:val="nil"/>
              <w:bottom w:val="single" w:sz="4" w:space="0" w:color="auto"/>
              <w:right w:val="single" w:sz="4" w:space="0" w:color="auto"/>
            </w:tcBorders>
            <w:shd w:val="clear" w:color="auto" w:fill="auto"/>
            <w:noWrap/>
            <w:vAlign w:val="bottom"/>
            <w:hideMark/>
          </w:tcPr>
          <w:p w14:paraId="2A6ED4C8"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99.27%</w:t>
            </w:r>
          </w:p>
        </w:tc>
        <w:tc>
          <w:tcPr>
            <w:tcW w:w="763" w:type="dxa"/>
            <w:tcBorders>
              <w:top w:val="nil"/>
              <w:left w:val="nil"/>
              <w:bottom w:val="single" w:sz="4" w:space="0" w:color="auto"/>
              <w:right w:val="single" w:sz="4" w:space="0" w:color="auto"/>
            </w:tcBorders>
            <w:shd w:val="clear" w:color="auto" w:fill="auto"/>
            <w:noWrap/>
            <w:vAlign w:val="bottom"/>
            <w:hideMark/>
          </w:tcPr>
          <w:p w14:paraId="78E5C841"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99.71%</w:t>
            </w:r>
          </w:p>
        </w:tc>
        <w:tc>
          <w:tcPr>
            <w:tcW w:w="763" w:type="dxa"/>
            <w:tcBorders>
              <w:top w:val="nil"/>
              <w:left w:val="nil"/>
              <w:bottom w:val="single" w:sz="4" w:space="0" w:color="auto"/>
              <w:right w:val="single" w:sz="4" w:space="0" w:color="auto"/>
            </w:tcBorders>
            <w:shd w:val="clear" w:color="auto" w:fill="auto"/>
            <w:noWrap/>
            <w:vAlign w:val="bottom"/>
            <w:hideMark/>
          </w:tcPr>
          <w:p w14:paraId="22407062"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99.54%</w:t>
            </w:r>
          </w:p>
        </w:tc>
        <w:tc>
          <w:tcPr>
            <w:tcW w:w="763" w:type="dxa"/>
            <w:tcBorders>
              <w:top w:val="nil"/>
              <w:left w:val="nil"/>
              <w:bottom w:val="single" w:sz="4" w:space="0" w:color="auto"/>
              <w:right w:val="single" w:sz="4" w:space="0" w:color="auto"/>
            </w:tcBorders>
            <w:shd w:val="clear" w:color="auto" w:fill="auto"/>
            <w:noWrap/>
            <w:vAlign w:val="bottom"/>
            <w:hideMark/>
          </w:tcPr>
          <w:p w14:paraId="1D24225D"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99.71%</w:t>
            </w:r>
          </w:p>
        </w:tc>
        <w:tc>
          <w:tcPr>
            <w:tcW w:w="763" w:type="dxa"/>
            <w:tcBorders>
              <w:top w:val="nil"/>
              <w:left w:val="nil"/>
              <w:bottom w:val="single" w:sz="4" w:space="0" w:color="auto"/>
              <w:right w:val="single" w:sz="4" w:space="0" w:color="auto"/>
            </w:tcBorders>
            <w:shd w:val="clear" w:color="auto" w:fill="auto"/>
            <w:noWrap/>
            <w:vAlign w:val="bottom"/>
            <w:hideMark/>
          </w:tcPr>
          <w:p w14:paraId="0E471D8F"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99.42%</w:t>
            </w:r>
          </w:p>
        </w:tc>
      </w:tr>
      <w:tr w:rsidR="00C93C49" w:rsidRPr="00C93C49" w14:paraId="77655B50" w14:textId="77777777" w:rsidTr="00347614">
        <w:trPr>
          <w:trHeight w:val="176"/>
          <w:jc w:val="center"/>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14:paraId="6115245A" w14:textId="77777777" w:rsidR="00C93C49" w:rsidRPr="00C93C49" w:rsidRDefault="00C93C49" w:rsidP="00C93C49">
            <w:pPr>
              <w:spacing w:after="0" w:line="240" w:lineRule="auto"/>
              <w:rPr>
                <w:rFonts w:ascii="Arial" w:eastAsia="Times New Roman" w:hAnsi="Arial" w:cs="Arial"/>
                <w:b/>
                <w:color w:val="000000"/>
                <w:sz w:val="15"/>
                <w:szCs w:val="15"/>
              </w:rPr>
            </w:pPr>
            <w:r w:rsidRPr="00C93C49">
              <w:rPr>
                <w:rFonts w:ascii="Arial" w:eastAsia="Times New Roman" w:hAnsi="Arial" w:cs="Arial"/>
                <w:b/>
                <w:color w:val="000000"/>
                <w:sz w:val="15"/>
                <w:szCs w:val="15"/>
              </w:rPr>
              <w:t>Penn Power</w:t>
            </w:r>
          </w:p>
        </w:tc>
        <w:tc>
          <w:tcPr>
            <w:tcW w:w="763" w:type="dxa"/>
            <w:tcBorders>
              <w:top w:val="nil"/>
              <w:left w:val="nil"/>
              <w:bottom w:val="single" w:sz="4" w:space="0" w:color="auto"/>
              <w:right w:val="single" w:sz="4" w:space="0" w:color="auto"/>
            </w:tcBorders>
            <w:shd w:val="clear" w:color="auto" w:fill="auto"/>
            <w:noWrap/>
            <w:vAlign w:val="bottom"/>
            <w:hideMark/>
          </w:tcPr>
          <w:p w14:paraId="03208D4E"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96.84%</w:t>
            </w:r>
          </w:p>
        </w:tc>
        <w:tc>
          <w:tcPr>
            <w:tcW w:w="763" w:type="dxa"/>
            <w:tcBorders>
              <w:top w:val="nil"/>
              <w:left w:val="nil"/>
              <w:bottom w:val="single" w:sz="4" w:space="0" w:color="auto"/>
              <w:right w:val="single" w:sz="4" w:space="0" w:color="auto"/>
            </w:tcBorders>
            <w:shd w:val="clear" w:color="auto" w:fill="auto"/>
            <w:noWrap/>
            <w:vAlign w:val="bottom"/>
            <w:hideMark/>
          </w:tcPr>
          <w:p w14:paraId="12D99F70"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97.35%</w:t>
            </w:r>
          </w:p>
        </w:tc>
        <w:tc>
          <w:tcPr>
            <w:tcW w:w="763" w:type="dxa"/>
            <w:tcBorders>
              <w:top w:val="nil"/>
              <w:left w:val="nil"/>
              <w:bottom w:val="single" w:sz="4" w:space="0" w:color="auto"/>
              <w:right w:val="single" w:sz="4" w:space="0" w:color="auto"/>
            </w:tcBorders>
            <w:shd w:val="clear" w:color="auto" w:fill="auto"/>
            <w:noWrap/>
            <w:vAlign w:val="bottom"/>
            <w:hideMark/>
          </w:tcPr>
          <w:p w14:paraId="41C644B6"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95.71%</w:t>
            </w:r>
          </w:p>
        </w:tc>
        <w:tc>
          <w:tcPr>
            <w:tcW w:w="763" w:type="dxa"/>
            <w:tcBorders>
              <w:top w:val="nil"/>
              <w:left w:val="nil"/>
              <w:bottom w:val="single" w:sz="4" w:space="0" w:color="auto"/>
              <w:right w:val="single" w:sz="4" w:space="0" w:color="auto"/>
            </w:tcBorders>
            <w:shd w:val="clear" w:color="auto" w:fill="auto"/>
            <w:noWrap/>
            <w:vAlign w:val="bottom"/>
            <w:hideMark/>
          </w:tcPr>
          <w:p w14:paraId="6E46CD5C"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98.31%</w:t>
            </w:r>
          </w:p>
        </w:tc>
        <w:tc>
          <w:tcPr>
            <w:tcW w:w="763" w:type="dxa"/>
            <w:tcBorders>
              <w:top w:val="nil"/>
              <w:left w:val="nil"/>
              <w:bottom w:val="single" w:sz="4" w:space="0" w:color="auto"/>
              <w:right w:val="single" w:sz="4" w:space="0" w:color="auto"/>
            </w:tcBorders>
            <w:shd w:val="clear" w:color="auto" w:fill="auto"/>
            <w:noWrap/>
            <w:vAlign w:val="bottom"/>
            <w:hideMark/>
          </w:tcPr>
          <w:p w14:paraId="2D413B0F"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63" w:type="dxa"/>
            <w:tcBorders>
              <w:top w:val="nil"/>
              <w:left w:val="nil"/>
              <w:bottom w:val="single" w:sz="4" w:space="0" w:color="auto"/>
              <w:right w:val="single" w:sz="4" w:space="0" w:color="auto"/>
            </w:tcBorders>
            <w:shd w:val="clear" w:color="auto" w:fill="auto"/>
            <w:noWrap/>
            <w:vAlign w:val="bottom"/>
            <w:hideMark/>
          </w:tcPr>
          <w:p w14:paraId="3A837302"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97.96%</w:t>
            </w:r>
          </w:p>
        </w:tc>
        <w:tc>
          <w:tcPr>
            <w:tcW w:w="763" w:type="dxa"/>
            <w:tcBorders>
              <w:top w:val="nil"/>
              <w:left w:val="nil"/>
              <w:bottom w:val="single" w:sz="4" w:space="0" w:color="auto"/>
              <w:right w:val="single" w:sz="4" w:space="0" w:color="auto"/>
            </w:tcBorders>
            <w:shd w:val="clear" w:color="auto" w:fill="auto"/>
            <w:noWrap/>
            <w:vAlign w:val="bottom"/>
            <w:hideMark/>
          </w:tcPr>
          <w:p w14:paraId="5FDFF548"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63" w:type="dxa"/>
            <w:tcBorders>
              <w:top w:val="nil"/>
              <w:left w:val="nil"/>
              <w:bottom w:val="single" w:sz="4" w:space="0" w:color="auto"/>
              <w:right w:val="single" w:sz="4" w:space="0" w:color="auto"/>
            </w:tcBorders>
            <w:shd w:val="clear" w:color="auto" w:fill="auto"/>
            <w:noWrap/>
            <w:vAlign w:val="bottom"/>
            <w:hideMark/>
          </w:tcPr>
          <w:p w14:paraId="2DD1B807"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98.81%</w:t>
            </w:r>
          </w:p>
        </w:tc>
        <w:tc>
          <w:tcPr>
            <w:tcW w:w="763" w:type="dxa"/>
            <w:tcBorders>
              <w:top w:val="nil"/>
              <w:left w:val="nil"/>
              <w:bottom w:val="single" w:sz="4" w:space="0" w:color="auto"/>
              <w:right w:val="single" w:sz="4" w:space="0" w:color="auto"/>
            </w:tcBorders>
            <w:shd w:val="clear" w:color="auto" w:fill="auto"/>
            <w:noWrap/>
            <w:vAlign w:val="bottom"/>
            <w:hideMark/>
          </w:tcPr>
          <w:p w14:paraId="618DBB75"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99.48%</w:t>
            </w:r>
          </w:p>
        </w:tc>
        <w:tc>
          <w:tcPr>
            <w:tcW w:w="763" w:type="dxa"/>
            <w:tcBorders>
              <w:top w:val="nil"/>
              <w:left w:val="nil"/>
              <w:bottom w:val="single" w:sz="4" w:space="0" w:color="auto"/>
              <w:right w:val="single" w:sz="4" w:space="0" w:color="auto"/>
            </w:tcBorders>
            <w:shd w:val="clear" w:color="auto" w:fill="auto"/>
            <w:noWrap/>
            <w:vAlign w:val="bottom"/>
            <w:hideMark/>
          </w:tcPr>
          <w:p w14:paraId="155D6C52"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99.46%</w:t>
            </w:r>
          </w:p>
        </w:tc>
        <w:tc>
          <w:tcPr>
            <w:tcW w:w="763" w:type="dxa"/>
            <w:tcBorders>
              <w:top w:val="nil"/>
              <w:left w:val="nil"/>
              <w:bottom w:val="single" w:sz="4" w:space="0" w:color="auto"/>
              <w:right w:val="single" w:sz="4" w:space="0" w:color="auto"/>
            </w:tcBorders>
            <w:shd w:val="clear" w:color="auto" w:fill="auto"/>
            <w:noWrap/>
            <w:vAlign w:val="bottom"/>
            <w:hideMark/>
          </w:tcPr>
          <w:p w14:paraId="3C114015"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98.91%</w:t>
            </w:r>
          </w:p>
        </w:tc>
        <w:tc>
          <w:tcPr>
            <w:tcW w:w="763" w:type="dxa"/>
            <w:tcBorders>
              <w:top w:val="nil"/>
              <w:left w:val="nil"/>
              <w:bottom w:val="single" w:sz="4" w:space="0" w:color="auto"/>
              <w:right w:val="single" w:sz="4" w:space="0" w:color="auto"/>
            </w:tcBorders>
            <w:shd w:val="clear" w:color="auto" w:fill="auto"/>
            <w:noWrap/>
            <w:vAlign w:val="bottom"/>
            <w:hideMark/>
          </w:tcPr>
          <w:p w14:paraId="7CD44B9A"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98.68%</w:t>
            </w:r>
          </w:p>
        </w:tc>
      </w:tr>
      <w:tr w:rsidR="00C93C49" w:rsidRPr="00C93C49" w14:paraId="60CB2537" w14:textId="77777777" w:rsidTr="00347614">
        <w:trPr>
          <w:trHeight w:val="176"/>
          <w:jc w:val="center"/>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14:paraId="066CFC62" w14:textId="77777777" w:rsidR="00C93C49" w:rsidRPr="00C93C49" w:rsidRDefault="00C93C49" w:rsidP="00C93C49">
            <w:pPr>
              <w:spacing w:after="0" w:line="240" w:lineRule="auto"/>
              <w:rPr>
                <w:rFonts w:ascii="Arial" w:eastAsia="Times New Roman" w:hAnsi="Arial" w:cs="Arial"/>
                <w:b/>
                <w:color w:val="000000"/>
                <w:sz w:val="15"/>
                <w:szCs w:val="15"/>
              </w:rPr>
            </w:pPr>
            <w:r w:rsidRPr="00C93C49">
              <w:rPr>
                <w:rFonts w:ascii="Arial" w:eastAsia="Times New Roman" w:hAnsi="Arial" w:cs="Arial"/>
                <w:b/>
                <w:color w:val="000000"/>
                <w:sz w:val="15"/>
                <w:szCs w:val="15"/>
              </w:rPr>
              <w:t>West Penn Power</w:t>
            </w:r>
          </w:p>
        </w:tc>
        <w:tc>
          <w:tcPr>
            <w:tcW w:w="763" w:type="dxa"/>
            <w:tcBorders>
              <w:top w:val="nil"/>
              <w:left w:val="nil"/>
              <w:bottom w:val="single" w:sz="4" w:space="0" w:color="auto"/>
              <w:right w:val="single" w:sz="4" w:space="0" w:color="auto"/>
            </w:tcBorders>
            <w:shd w:val="clear" w:color="auto" w:fill="auto"/>
            <w:noWrap/>
            <w:vAlign w:val="bottom"/>
            <w:hideMark/>
          </w:tcPr>
          <w:p w14:paraId="1E1AF9DF"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96.84%</w:t>
            </w:r>
          </w:p>
        </w:tc>
        <w:tc>
          <w:tcPr>
            <w:tcW w:w="763" w:type="dxa"/>
            <w:tcBorders>
              <w:top w:val="nil"/>
              <w:left w:val="nil"/>
              <w:bottom w:val="single" w:sz="4" w:space="0" w:color="auto"/>
              <w:right w:val="single" w:sz="4" w:space="0" w:color="auto"/>
            </w:tcBorders>
            <w:shd w:val="clear" w:color="auto" w:fill="auto"/>
            <w:noWrap/>
            <w:vAlign w:val="bottom"/>
            <w:hideMark/>
          </w:tcPr>
          <w:p w14:paraId="0BF09151"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97.35%</w:t>
            </w:r>
          </w:p>
        </w:tc>
        <w:tc>
          <w:tcPr>
            <w:tcW w:w="763" w:type="dxa"/>
            <w:tcBorders>
              <w:top w:val="nil"/>
              <w:left w:val="nil"/>
              <w:bottom w:val="single" w:sz="4" w:space="0" w:color="auto"/>
              <w:right w:val="single" w:sz="4" w:space="0" w:color="auto"/>
            </w:tcBorders>
            <w:shd w:val="clear" w:color="auto" w:fill="auto"/>
            <w:noWrap/>
            <w:vAlign w:val="bottom"/>
            <w:hideMark/>
          </w:tcPr>
          <w:p w14:paraId="270397D6"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95.71%</w:t>
            </w:r>
          </w:p>
        </w:tc>
        <w:tc>
          <w:tcPr>
            <w:tcW w:w="763" w:type="dxa"/>
            <w:tcBorders>
              <w:top w:val="nil"/>
              <w:left w:val="nil"/>
              <w:bottom w:val="single" w:sz="4" w:space="0" w:color="auto"/>
              <w:right w:val="single" w:sz="4" w:space="0" w:color="auto"/>
            </w:tcBorders>
            <w:shd w:val="clear" w:color="auto" w:fill="auto"/>
            <w:noWrap/>
            <w:vAlign w:val="bottom"/>
            <w:hideMark/>
          </w:tcPr>
          <w:p w14:paraId="4FE4A430"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98.31%</w:t>
            </w:r>
          </w:p>
        </w:tc>
        <w:tc>
          <w:tcPr>
            <w:tcW w:w="763" w:type="dxa"/>
            <w:tcBorders>
              <w:top w:val="nil"/>
              <w:left w:val="nil"/>
              <w:bottom w:val="single" w:sz="4" w:space="0" w:color="auto"/>
              <w:right w:val="single" w:sz="4" w:space="0" w:color="auto"/>
            </w:tcBorders>
            <w:shd w:val="clear" w:color="auto" w:fill="auto"/>
            <w:noWrap/>
            <w:vAlign w:val="bottom"/>
            <w:hideMark/>
          </w:tcPr>
          <w:p w14:paraId="117BAF2A"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63" w:type="dxa"/>
            <w:tcBorders>
              <w:top w:val="nil"/>
              <w:left w:val="nil"/>
              <w:bottom w:val="single" w:sz="4" w:space="0" w:color="auto"/>
              <w:right w:val="single" w:sz="4" w:space="0" w:color="auto"/>
            </w:tcBorders>
            <w:shd w:val="clear" w:color="auto" w:fill="auto"/>
            <w:noWrap/>
            <w:vAlign w:val="bottom"/>
            <w:hideMark/>
          </w:tcPr>
          <w:p w14:paraId="50FB9D0C"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97.96%</w:t>
            </w:r>
          </w:p>
        </w:tc>
        <w:tc>
          <w:tcPr>
            <w:tcW w:w="763" w:type="dxa"/>
            <w:tcBorders>
              <w:top w:val="nil"/>
              <w:left w:val="nil"/>
              <w:bottom w:val="single" w:sz="4" w:space="0" w:color="auto"/>
              <w:right w:val="single" w:sz="4" w:space="0" w:color="auto"/>
            </w:tcBorders>
            <w:shd w:val="clear" w:color="auto" w:fill="auto"/>
            <w:noWrap/>
            <w:vAlign w:val="bottom"/>
            <w:hideMark/>
          </w:tcPr>
          <w:p w14:paraId="5FC4B770"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63" w:type="dxa"/>
            <w:tcBorders>
              <w:top w:val="nil"/>
              <w:left w:val="nil"/>
              <w:bottom w:val="single" w:sz="4" w:space="0" w:color="auto"/>
              <w:right w:val="single" w:sz="4" w:space="0" w:color="auto"/>
            </w:tcBorders>
            <w:shd w:val="clear" w:color="auto" w:fill="auto"/>
            <w:noWrap/>
            <w:vAlign w:val="bottom"/>
            <w:hideMark/>
          </w:tcPr>
          <w:p w14:paraId="18BE3AFA"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98.81%</w:t>
            </w:r>
          </w:p>
        </w:tc>
        <w:tc>
          <w:tcPr>
            <w:tcW w:w="763" w:type="dxa"/>
            <w:tcBorders>
              <w:top w:val="nil"/>
              <w:left w:val="nil"/>
              <w:bottom w:val="single" w:sz="4" w:space="0" w:color="auto"/>
              <w:right w:val="single" w:sz="4" w:space="0" w:color="auto"/>
            </w:tcBorders>
            <w:shd w:val="clear" w:color="auto" w:fill="auto"/>
            <w:noWrap/>
            <w:vAlign w:val="bottom"/>
            <w:hideMark/>
          </w:tcPr>
          <w:p w14:paraId="54E942E4"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99.48%</w:t>
            </w:r>
          </w:p>
        </w:tc>
        <w:tc>
          <w:tcPr>
            <w:tcW w:w="763" w:type="dxa"/>
            <w:tcBorders>
              <w:top w:val="nil"/>
              <w:left w:val="nil"/>
              <w:bottom w:val="single" w:sz="4" w:space="0" w:color="auto"/>
              <w:right w:val="single" w:sz="4" w:space="0" w:color="auto"/>
            </w:tcBorders>
            <w:shd w:val="clear" w:color="auto" w:fill="auto"/>
            <w:noWrap/>
            <w:vAlign w:val="bottom"/>
            <w:hideMark/>
          </w:tcPr>
          <w:p w14:paraId="13B7F5E7"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99.46%</w:t>
            </w:r>
          </w:p>
        </w:tc>
        <w:tc>
          <w:tcPr>
            <w:tcW w:w="763" w:type="dxa"/>
            <w:tcBorders>
              <w:top w:val="nil"/>
              <w:left w:val="nil"/>
              <w:bottom w:val="single" w:sz="4" w:space="0" w:color="auto"/>
              <w:right w:val="single" w:sz="4" w:space="0" w:color="auto"/>
            </w:tcBorders>
            <w:shd w:val="clear" w:color="auto" w:fill="auto"/>
            <w:noWrap/>
            <w:vAlign w:val="bottom"/>
            <w:hideMark/>
          </w:tcPr>
          <w:p w14:paraId="136166ED"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98.91%</w:t>
            </w:r>
          </w:p>
        </w:tc>
        <w:tc>
          <w:tcPr>
            <w:tcW w:w="763" w:type="dxa"/>
            <w:tcBorders>
              <w:top w:val="nil"/>
              <w:left w:val="nil"/>
              <w:bottom w:val="single" w:sz="4" w:space="0" w:color="auto"/>
              <w:right w:val="single" w:sz="4" w:space="0" w:color="auto"/>
            </w:tcBorders>
            <w:shd w:val="clear" w:color="auto" w:fill="auto"/>
            <w:noWrap/>
            <w:vAlign w:val="bottom"/>
            <w:hideMark/>
          </w:tcPr>
          <w:p w14:paraId="1AB65AEE"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98.68%</w:t>
            </w:r>
          </w:p>
        </w:tc>
      </w:tr>
      <w:tr w:rsidR="00C93C49" w:rsidRPr="00C93C49" w14:paraId="76CBE59A" w14:textId="77777777" w:rsidTr="00347614">
        <w:trPr>
          <w:trHeight w:val="176"/>
          <w:jc w:val="center"/>
        </w:trPr>
        <w:tc>
          <w:tcPr>
            <w:tcW w:w="1584" w:type="dxa"/>
            <w:tcBorders>
              <w:top w:val="nil"/>
              <w:left w:val="single" w:sz="4" w:space="0" w:color="auto"/>
              <w:bottom w:val="single" w:sz="4" w:space="0" w:color="auto"/>
              <w:right w:val="single" w:sz="4" w:space="0" w:color="auto"/>
            </w:tcBorders>
            <w:shd w:val="clear" w:color="auto" w:fill="auto"/>
            <w:noWrap/>
            <w:vAlign w:val="bottom"/>
          </w:tcPr>
          <w:p w14:paraId="6C5F9721" w14:textId="77777777" w:rsidR="00C93C49" w:rsidRPr="00C93C49" w:rsidRDefault="00C93C49" w:rsidP="00C93C49">
            <w:pPr>
              <w:spacing w:after="0" w:line="240" w:lineRule="auto"/>
              <w:jc w:val="center"/>
              <w:rPr>
                <w:rFonts w:ascii="Arial" w:eastAsia="Times New Roman" w:hAnsi="Arial" w:cs="Arial"/>
                <w:b/>
                <w:color w:val="000000"/>
                <w:sz w:val="15"/>
                <w:szCs w:val="15"/>
              </w:rPr>
            </w:pPr>
          </w:p>
        </w:tc>
        <w:tc>
          <w:tcPr>
            <w:tcW w:w="763" w:type="dxa"/>
            <w:tcBorders>
              <w:top w:val="nil"/>
              <w:left w:val="nil"/>
              <w:bottom w:val="single" w:sz="4" w:space="0" w:color="auto"/>
              <w:right w:val="single" w:sz="4" w:space="0" w:color="auto"/>
            </w:tcBorders>
            <w:shd w:val="clear" w:color="auto" w:fill="auto"/>
            <w:noWrap/>
            <w:vAlign w:val="bottom"/>
            <w:hideMark/>
          </w:tcPr>
          <w:p w14:paraId="2A35B943"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 xml:space="preserve">Jan </w:t>
            </w:r>
          </w:p>
          <w:p w14:paraId="6A1104F2"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2017</w:t>
            </w:r>
          </w:p>
        </w:tc>
        <w:tc>
          <w:tcPr>
            <w:tcW w:w="763" w:type="dxa"/>
            <w:tcBorders>
              <w:top w:val="nil"/>
              <w:left w:val="nil"/>
              <w:bottom w:val="single" w:sz="4" w:space="0" w:color="auto"/>
              <w:right w:val="single" w:sz="4" w:space="0" w:color="auto"/>
            </w:tcBorders>
            <w:shd w:val="clear" w:color="auto" w:fill="auto"/>
            <w:noWrap/>
            <w:vAlign w:val="bottom"/>
            <w:hideMark/>
          </w:tcPr>
          <w:p w14:paraId="29F7AE4D"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 xml:space="preserve">Feb </w:t>
            </w:r>
          </w:p>
          <w:p w14:paraId="1DE69984"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2017</w:t>
            </w:r>
          </w:p>
        </w:tc>
        <w:tc>
          <w:tcPr>
            <w:tcW w:w="763" w:type="dxa"/>
            <w:tcBorders>
              <w:top w:val="nil"/>
              <w:left w:val="nil"/>
              <w:bottom w:val="single" w:sz="4" w:space="0" w:color="auto"/>
              <w:right w:val="single" w:sz="4" w:space="0" w:color="auto"/>
            </w:tcBorders>
            <w:shd w:val="clear" w:color="auto" w:fill="auto"/>
            <w:noWrap/>
            <w:vAlign w:val="bottom"/>
            <w:hideMark/>
          </w:tcPr>
          <w:p w14:paraId="329C12C1"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 xml:space="preserve">Mar </w:t>
            </w:r>
          </w:p>
          <w:p w14:paraId="288839A0"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2017</w:t>
            </w:r>
          </w:p>
        </w:tc>
        <w:tc>
          <w:tcPr>
            <w:tcW w:w="763" w:type="dxa"/>
            <w:tcBorders>
              <w:top w:val="nil"/>
              <w:left w:val="nil"/>
              <w:bottom w:val="single" w:sz="4" w:space="0" w:color="auto"/>
              <w:right w:val="single" w:sz="4" w:space="0" w:color="auto"/>
            </w:tcBorders>
            <w:shd w:val="clear" w:color="auto" w:fill="auto"/>
            <w:noWrap/>
            <w:vAlign w:val="bottom"/>
            <w:hideMark/>
          </w:tcPr>
          <w:p w14:paraId="0D177BDB"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 xml:space="preserve">Apr </w:t>
            </w:r>
          </w:p>
          <w:p w14:paraId="58F73408"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2017</w:t>
            </w:r>
          </w:p>
        </w:tc>
        <w:tc>
          <w:tcPr>
            <w:tcW w:w="763" w:type="dxa"/>
            <w:tcBorders>
              <w:top w:val="nil"/>
              <w:left w:val="nil"/>
              <w:bottom w:val="single" w:sz="4" w:space="0" w:color="auto"/>
              <w:right w:val="single" w:sz="4" w:space="0" w:color="auto"/>
            </w:tcBorders>
            <w:shd w:val="clear" w:color="auto" w:fill="auto"/>
            <w:noWrap/>
            <w:vAlign w:val="bottom"/>
            <w:hideMark/>
          </w:tcPr>
          <w:p w14:paraId="1E940EF2"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May 2017</w:t>
            </w:r>
          </w:p>
        </w:tc>
        <w:tc>
          <w:tcPr>
            <w:tcW w:w="763" w:type="dxa"/>
            <w:tcBorders>
              <w:top w:val="nil"/>
              <w:left w:val="nil"/>
              <w:bottom w:val="single" w:sz="4" w:space="0" w:color="auto"/>
              <w:right w:val="single" w:sz="4" w:space="0" w:color="auto"/>
            </w:tcBorders>
            <w:shd w:val="clear" w:color="auto" w:fill="auto"/>
            <w:noWrap/>
            <w:vAlign w:val="bottom"/>
            <w:hideMark/>
          </w:tcPr>
          <w:p w14:paraId="310E0CF1"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 xml:space="preserve">Jun </w:t>
            </w:r>
          </w:p>
          <w:p w14:paraId="031347C8"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2017</w:t>
            </w:r>
          </w:p>
        </w:tc>
        <w:tc>
          <w:tcPr>
            <w:tcW w:w="763" w:type="dxa"/>
            <w:tcBorders>
              <w:top w:val="nil"/>
              <w:left w:val="nil"/>
              <w:bottom w:val="single" w:sz="4" w:space="0" w:color="auto"/>
              <w:right w:val="single" w:sz="4" w:space="0" w:color="auto"/>
            </w:tcBorders>
            <w:shd w:val="clear" w:color="auto" w:fill="auto"/>
            <w:noWrap/>
            <w:vAlign w:val="bottom"/>
            <w:hideMark/>
          </w:tcPr>
          <w:p w14:paraId="15B5690C"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 xml:space="preserve">Jul </w:t>
            </w:r>
          </w:p>
          <w:p w14:paraId="6B8BBD56"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2017</w:t>
            </w:r>
          </w:p>
        </w:tc>
        <w:tc>
          <w:tcPr>
            <w:tcW w:w="763" w:type="dxa"/>
            <w:tcBorders>
              <w:top w:val="nil"/>
              <w:left w:val="nil"/>
              <w:bottom w:val="single" w:sz="4" w:space="0" w:color="auto"/>
              <w:right w:val="single" w:sz="4" w:space="0" w:color="auto"/>
            </w:tcBorders>
            <w:shd w:val="clear" w:color="auto" w:fill="auto"/>
            <w:noWrap/>
            <w:vAlign w:val="bottom"/>
            <w:hideMark/>
          </w:tcPr>
          <w:p w14:paraId="6AEB8420"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Aug 2017</w:t>
            </w:r>
          </w:p>
        </w:tc>
        <w:tc>
          <w:tcPr>
            <w:tcW w:w="763" w:type="dxa"/>
            <w:tcBorders>
              <w:top w:val="nil"/>
              <w:left w:val="nil"/>
              <w:bottom w:val="single" w:sz="4" w:space="0" w:color="auto"/>
              <w:right w:val="single" w:sz="4" w:space="0" w:color="auto"/>
            </w:tcBorders>
            <w:shd w:val="clear" w:color="auto" w:fill="auto"/>
            <w:noWrap/>
            <w:vAlign w:val="bottom"/>
            <w:hideMark/>
          </w:tcPr>
          <w:p w14:paraId="6838B170"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Sept 2017</w:t>
            </w:r>
          </w:p>
        </w:tc>
        <w:tc>
          <w:tcPr>
            <w:tcW w:w="763" w:type="dxa"/>
            <w:tcBorders>
              <w:top w:val="nil"/>
              <w:left w:val="nil"/>
              <w:bottom w:val="single" w:sz="4" w:space="0" w:color="auto"/>
              <w:right w:val="single" w:sz="4" w:space="0" w:color="auto"/>
            </w:tcBorders>
            <w:shd w:val="clear" w:color="auto" w:fill="auto"/>
            <w:noWrap/>
            <w:vAlign w:val="bottom"/>
            <w:hideMark/>
          </w:tcPr>
          <w:p w14:paraId="61FC1297"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 xml:space="preserve">Oct </w:t>
            </w:r>
          </w:p>
          <w:p w14:paraId="1E622331"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2017</w:t>
            </w:r>
          </w:p>
        </w:tc>
        <w:tc>
          <w:tcPr>
            <w:tcW w:w="763" w:type="dxa"/>
            <w:tcBorders>
              <w:top w:val="nil"/>
              <w:left w:val="nil"/>
              <w:bottom w:val="single" w:sz="4" w:space="0" w:color="auto"/>
              <w:right w:val="single" w:sz="4" w:space="0" w:color="auto"/>
            </w:tcBorders>
            <w:shd w:val="clear" w:color="auto" w:fill="auto"/>
            <w:noWrap/>
            <w:vAlign w:val="bottom"/>
            <w:hideMark/>
          </w:tcPr>
          <w:p w14:paraId="35ECDDB4"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Nov 2017</w:t>
            </w:r>
          </w:p>
        </w:tc>
        <w:tc>
          <w:tcPr>
            <w:tcW w:w="763" w:type="dxa"/>
            <w:tcBorders>
              <w:top w:val="nil"/>
              <w:left w:val="nil"/>
              <w:bottom w:val="single" w:sz="4" w:space="0" w:color="auto"/>
              <w:right w:val="single" w:sz="4" w:space="0" w:color="auto"/>
            </w:tcBorders>
            <w:shd w:val="clear" w:color="auto" w:fill="auto"/>
            <w:noWrap/>
            <w:vAlign w:val="bottom"/>
            <w:hideMark/>
          </w:tcPr>
          <w:p w14:paraId="5B020021" w14:textId="77777777" w:rsidR="00C93C49" w:rsidRPr="00C93C49" w:rsidRDefault="00C93C49" w:rsidP="00C93C49">
            <w:pPr>
              <w:spacing w:after="0" w:line="240" w:lineRule="auto"/>
              <w:jc w:val="center"/>
              <w:rPr>
                <w:rFonts w:ascii="Arial" w:eastAsia="Times New Roman" w:hAnsi="Arial" w:cs="Arial"/>
                <w:b/>
                <w:color w:val="000000"/>
                <w:sz w:val="15"/>
                <w:szCs w:val="15"/>
              </w:rPr>
            </w:pPr>
            <w:r w:rsidRPr="00C93C49">
              <w:rPr>
                <w:rFonts w:ascii="Arial" w:eastAsia="Times New Roman" w:hAnsi="Arial" w:cs="Arial"/>
                <w:b/>
                <w:color w:val="000000"/>
                <w:sz w:val="15"/>
                <w:szCs w:val="15"/>
              </w:rPr>
              <w:t>Dec 2017</w:t>
            </w:r>
          </w:p>
        </w:tc>
      </w:tr>
      <w:tr w:rsidR="00C93C49" w:rsidRPr="00C93C49" w14:paraId="7F04F132" w14:textId="77777777" w:rsidTr="00347614">
        <w:trPr>
          <w:trHeight w:val="176"/>
          <w:jc w:val="center"/>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14:paraId="07342934" w14:textId="77777777" w:rsidR="00C93C49" w:rsidRPr="00C93C49" w:rsidRDefault="00C93C49" w:rsidP="00C93C49">
            <w:pPr>
              <w:spacing w:after="0" w:line="240" w:lineRule="auto"/>
              <w:rPr>
                <w:rFonts w:ascii="Arial" w:eastAsia="Times New Roman" w:hAnsi="Arial" w:cs="Arial"/>
                <w:b/>
                <w:color w:val="000000"/>
                <w:sz w:val="15"/>
                <w:szCs w:val="15"/>
              </w:rPr>
            </w:pPr>
            <w:r w:rsidRPr="00C93C49">
              <w:rPr>
                <w:rFonts w:ascii="Arial" w:eastAsia="Times New Roman" w:hAnsi="Arial" w:cs="Arial"/>
                <w:b/>
                <w:color w:val="000000"/>
                <w:sz w:val="15"/>
                <w:szCs w:val="15"/>
              </w:rPr>
              <w:t>Met-Ed</w:t>
            </w:r>
          </w:p>
        </w:tc>
        <w:tc>
          <w:tcPr>
            <w:tcW w:w="763" w:type="dxa"/>
            <w:tcBorders>
              <w:top w:val="nil"/>
              <w:left w:val="nil"/>
              <w:bottom w:val="single" w:sz="4" w:space="0" w:color="auto"/>
              <w:right w:val="single" w:sz="4" w:space="0" w:color="auto"/>
            </w:tcBorders>
            <w:shd w:val="clear" w:color="auto" w:fill="auto"/>
            <w:noWrap/>
            <w:vAlign w:val="bottom"/>
            <w:hideMark/>
          </w:tcPr>
          <w:p w14:paraId="771D64DD"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99.29%</w:t>
            </w:r>
          </w:p>
        </w:tc>
        <w:tc>
          <w:tcPr>
            <w:tcW w:w="763" w:type="dxa"/>
            <w:tcBorders>
              <w:top w:val="nil"/>
              <w:left w:val="nil"/>
              <w:bottom w:val="single" w:sz="4" w:space="0" w:color="auto"/>
              <w:right w:val="single" w:sz="4" w:space="0" w:color="auto"/>
            </w:tcBorders>
            <w:shd w:val="clear" w:color="auto" w:fill="auto"/>
            <w:noWrap/>
            <w:vAlign w:val="bottom"/>
            <w:hideMark/>
          </w:tcPr>
          <w:p w14:paraId="3DB35C3C"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98.88%</w:t>
            </w:r>
          </w:p>
        </w:tc>
        <w:tc>
          <w:tcPr>
            <w:tcW w:w="763" w:type="dxa"/>
            <w:tcBorders>
              <w:top w:val="nil"/>
              <w:left w:val="nil"/>
              <w:bottom w:val="single" w:sz="4" w:space="0" w:color="auto"/>
              <w:right w:val="single" w:sz="4" w:space="0" w:color="auto"/>
            </w:tcBorders>
            <w:shd w:val="clear" w:color="auto" w:fill="auto"/>
            <w:noWrap/>
            <w:vAlign w:val="bottom"/>
            <w:hideMark/>
          </w:tcPr>
          <w:p w14:paraId="24E63DA5"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97.59%</w:t>
            </w:r>
          </w:p>
        </w:tc>
        <w:tc>
          <w:tcPr>
            <w:tcW w:w="763" w:type="dxa"/>
            <w:tcBorders>
              <w:top w:val="nil"/>
              <w:left w:val="nil"/>
              <w:bottom w:val="single" w:sz="4" w:space="0" w:color="auto"/>
              <w:right w:val="single" w:sz="4" w:space="0" w:color="auto"/>
            </w:tcBorders>
            <w:shd w:val="clear" w:color="auto" w:fill="auto"/>
            <w:noWrap/>
            <w:vAlign w:val="bottom"/>
            <w:hideMark/>
          </w:tcPr>
          <w:p w14:paraId="2FD7A03C"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98.74%</w:t>
            </w:r>
          </w:p>
        </w:tc>
        <w:tc>
          <w:tcPr>
            <w:tcW w:w="763" w:type="dxa"/>
            <w:tcBorders>
              <w:top w:val="nil"/>
              <w:left w:val="nil"/>
              <w:bottom w:val="single" w:sz="4" w:space="0" w:color="auto"/>
              <w:right w:val="single" w:sz="4" w:space="0" w:color="auto"/>
            </w:tcBorders>
            <w:shd w:val="clear" w:color="auto" w:fill="auto"/>
            <w:noWrap/>
            <w:vAlign w:val="bottom"/>
            <w:hideMark/>
          </w:tcPr>
          <w:p w14:paraId="7E2AE799"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98.96%</w:t>
            </w:r>
          </w:p>
        </w:tc>
        <w:tc>
          <w:tcPr>
            <w:tcW w:w="763" w:type="dxa"/>
            <w:tcBorders>
              <w:top w:val="nil"/>
              <w:left w:val="nil"/>
              <w:bottom w:val="single" w:sz="4" w:space="0" w:color="auto"/>
              <w:right w:val="single" w:sz="4" w:space="0" w:color="auto"/>
            </w:tcBorders>
            <w:shd w:val="clear" w:color="auto" w:fill="auto"/>
            <w:noWrap/>
            <w:vAlign w:val="bottom"/>
            <w:hideMark/>
          </w:tcPr>
          <w:p w14:paraId="4F03D590"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98.53%</w:t>
            </w:r>
          </w:p>
        </w:tc>
        <w:tc>
          <w:tcPr>
            <w:tcW w:w="763" w:type="dxa"/>
            <w:tcBorders>
              <w:top w:val="nil"/>
              <w:left w:val="nil"/>
              <w:bottom w:val="single" w:sz="4" w:space="0" w:color="auto"/>
              <w:right w:val="single" w:sz="4" w:space="0" w:color="auto"/>
            </w:tcBorders>
            <w:shd w:val="clear" w:color="auto" w:fill="auto"/>
            <w:noWrap/>
            <w:vAlign w:val="bottom"/>
            <w:hideMark/>
          </w:tcPr>
          <w:p w14:paraId="6124CE40"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94.72%</w:t>
            </w:r>
          </w:p>
        </w:tc>
        <w:tc>
          <w:tcPr>
            <w:tcW w:w="763" w:type="dxa"/>
            <w:tcBorders>
              <w:top w:val="nil"/>
              <w:left w:val="nil"/>
              <w:bottom w:val="single" w:sz="4" w:space="0" w:color="auto"/>
              <w:right w:val="single" w:sz="4" w:space="0" w:color="auto"/>
            </w:tcBorders>
            <w:shd w:val="clear" w:color="auto" w:fill="auto"/>
            <w:noWrap/>
            <w:vAlign w:val="bottom"/>
            <w:hideMark/>
          </w:tcPr>
          <w:p w14:paraId="5C095E64"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63" w:type="dxa"/>
            <w:tcBorders>
              <w:top w:val="nil"/>
              <w:left w:val="nil"/>
              <w:bottom w:val="single" w:sz="4" w:space="0" w:color="auto"/>
              <w:right w:val="single" w:sz="4" w:space="0" w:color="auto"/>
            </w:tcBorders>
            <w:shd w:val="clear" w:color="auto" w:fill="auto"/>
            <w:noWrap/>
            <w:vAlign w:val="bottom"/>
            <w:hideMark/>
          </w:tcPr>
          <w:p w14:paraId="6E7706CE"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95.80%</w:t>
            </w:r>
          </w:p>
        </w:tc>
        <w:tc>
          <w:tcPr>
            <w:tcW w:w="763" w:type="dxa"/>
            <w:tcBorders>
              <w:top w:val="nil"/>
              <w:left w:val="nil"/>
              <w:bottom w:val="single" w:sz="4" w:space="0" w:color="auto"/>
              <w:right w:val="single" w:sz="4" w:space="0" w:color="auto"/>
            </w:tcBorders>
            <w:shd w:val="clear" w:color="auto" w:fill="auto"/>
            <w:noWrap/>
            <w:vAlign w:val="bottom"/>
            <w:hideMark/>
          </w:tcPr>
          <w:p w14:paraId="674CFCED"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63" w:type="dxa"/>
            <w:tcBorders>
              <w:top w:val="nil"/>
              <w:left w:val="nil"/>
              <w:bottom w:val="single" w:sz="4" w:space="0" w:color="auto"/>
              <w:right w:val="single" w:sz="4" w:space="0" w:color="auto"/>
            </w:tcBorders>
            <w:shd w:val="clear" w:color="auto" w:fill="auto"/>
            <w:noWrap/>
            <w:vAlign w:val="bottom"/>
            <w:hideMark/>
          </w:tcPr>
          <w:p w14:paraId="0F90061D"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97.15%</w:t>
            </w:r>
          </w:p>
        </w:tc>
        <w:tc>
          <w:tcPr>
            <w:tcW w:w="763" w:type="dxa"/>
            <w:tcBorders>
              <w:top w:val="nil"/>
              <w:left w:val="nil"/>
              <w:bottom w:val="single" w:sz="4" w:space="0" w:color="auto"/>
              <w:right w:val="single" w:sz="4" w:space="0" w:color="auto"/>
            </w:tcBorders>
            <w:shd w:val="clear" w:color="auto" w:fill="auto"/>
            <w:noWrap/>
            <w:vAlign w:val="bottom"/>
            <w:hideMark/>
          </w:tcPr>
          <w:p w14:paraId="23473D3C"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97.10%</w:t>
            </w:r>
          </w:p>
        </w:tc>
      </w:tr>
      <w:tr w:rsidR="00C93C49" w:rsidRPr="00C93C49" w14:paraId="4584DC7A" w14:textId="77777777" w:rsidTr="00347614">
        <w:trPr>
          <w:trHeight w:val="176"/>
          <w:jc w:val="center"/>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14:paraId="7BA61986" w14:textId="77777777" w:rsidR="00C93C49" w:rsidRPr="00C93C49" w:rsidRDefault="00C93C49" w:rsidP="00C93C49">
            <w:pPr>
              <w:spacing w:after="0" w:line="240" w:lineRule="auto"/>
              <w:rPr>
                <w:rFonts w:ascii="Arial" w:eastAsia="Times New Roman" w:hAnsi="Arial" w:cs="Arial"/>
                <w:b/>
                <w:color w:val="000000"/>
                <w:sz w:val="15"/>
                <w:szCs w:val="15"/>
              </w:rPr>
            </w:pPr>
            <w:r w:rsidRPr="00C93C49">
              <w:rPr>
                <w:rFonts w:ascii="Arial" w:eastAsia="Times New Roman" w:hAnsi="Arial" w:cs="Arial"/>
                <w:b/>
                <w:color w:val="000000"/>
                <w:sz w:val="15"/>
                <w:szCs w:val="15"/>
              </w:rPr>
              <w:t>Penelec</w:t>
            </w:r>
          </w:p>
        </w:tc>
        <w:tc>
          <w:tcPr>
            <w:tcW w:w="763" w:type="dxa"/>
            <w:tcBorders>
              <w:top w:val="nil"/>
              <w:left w:val="nil"/>
              <w:bottom w:val="single" w:sz="4" w:space="0" w:color="auto"/>
              <w:right w:val="single" w:sz="4" w:space="0" w:color="auto"/>
            </w:tcBorders>
            <w:shd w:val="clear" w:color="auto" w:fill="auto"/>
            <w:noWrap/>
            <w:vAlign w:val="bottom"/>
            <w:hideMark/>
          </w:tcPr>
          <w:p w14:paraId="2E2E2E61"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99.75%</w:t>
            </w:r>
          </w:p>
        </w:tc>
        <w:tc>
          <w:tcPr>
            <w:tcW w:w="763" w:type="dxa"/>
            <w:tcBorders>
              <w:top w:val="nil"/>
              <w:left w:val="nil"/>
              <w:bottom w:val="single" w:sz="4" w:space="0" w:color="auto"/>
              <w:right w:val="single" w:sz="4" w:space="0" w:color="auto"/>
            </w:tcBorders>
            <w:shd w:val="clear" w:color="auto" w:fill="auto"/>
            <w:noWrap/>
            <w:vAlign w:val="bottom"/>
            <w:hideMark/>
          </w:tcPr>
          <w:p w14:paraId="3CB60D17"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63" w:type="dxa"/>
            <w:tcBorders>
              <w:top w:val="nil"/>
              <w:left w:val="nil"/>
              <w:bottom w:val="single" w:sz="4" w:space="0" w:color="auto"/>
              <w:right w:val="single" w:sz="4" w:space="0" w:color="auto"/>
            </w:tcBorders>
            <w:shd w:val="clear" w:color="auto" w:fill="auto"/>
            <w:noWrap/>
            <w:vAlign w:val="bottom"/>
            <w:hideMark/>
          </w:tcPr>
          <w:p w14:paraId="2F20FAA2"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63" w:type="dxa"/>
            <w:tcBorders>
              <w:top w:val="nil"/>
              <w:left w:val="nil"/>
              <w:bottom w:val="single" w:sz="4" w:space="0" w:color="auto"/>
              <w:right w:val="single" w:sz="4" w:space="0" w:color="auto"/>
            </w:tcBorders>
            <w:shd w:val="clear" w:color="auto" w:fill="auto"/>
            <w:noWrap/>
            <w:vAlign w:val="bottom"/>
            <w:hideMark/>
          </w:tcPr>
          <w:p w14:paraId="1F3BD313"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63" w:type="dxa"/>
            <w:tcBorders>
              <w:top w:val="nil"/>
              <w:left w:val="nil"/>
              <w:bottom w:val="single" w:sz="4" w:space="0" w:color="auto"/>
              <w:right w:val="single" w:sz="4" w:space="0" w:color="auto"/>
            </w:tcBorders>
            <w:shd w:val="clear" w:color="auto" w:fill="auto"/>
            <w:noWrap/>
            <w:vAlign w:val="bottom"/>
            <w:hideMark/>
          </w:tcPr>
          <w:p w14:paraId="551D388C"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99.50%</w:t>
            </w:r>
          </w:p>
        </w:tc>
        <w:tc>
          <w:tcPr>
            <w:tcW w:w="763" w:type="dxa"/>
            <w:tcBorders>
              <w:top w:val="nil"/>
              <w:left w:val="nil"/>
              <w:bottom w:val="single" w:sz="4" w:space="0" w:color="auto"/>
              <w:right w:val="single" w:sz="4" w:space="0" w:color="auto"/>
            </w:tcBorders>
            <w:shd w:val="clear" w:color="auto" w:fill="auto"/>
            <w:noWrap/>
            <w:vAlign w:val="bottom"/>
            <w:hideMark/>
          </w:tcPr>
          <w:p w14:paraId="5D0F38FC"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99.85%</w:t>
            </w:r>
          </w:p>
        </w:tc>
        <w:tc>
          <w:tcPr>
            <w:tcW w:w="763" w:type="dxa"/>
            <w:tcBorders>
              <w:top w:val="nil"/>
              <w:left w:val="nil"/>
              <w:bottom w:val="single" w:sz="4" w:space="0" w:color="auto"/>
              <w:right w:val="single" w:sz="4" w:space="0" w:color="auto"/>
            </w:tcBorders>
            <w:shd w:val="clear" w:color="auto" w:fill="auto"/>
            <w:noWrap/>
            <w:vAlign w:val="bottom"/>
            <w:hideMark/>
          </w:tcPr>
          <w:p w14:paraId="2C0A0B7E"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99.48%</w:t>
            </w:r>
          </w:p>
        </w:tc>
        <w:tc>
          <w:tcPr>
            <w:tcW w:w="763" w:type="dxa"/>
            <w:tcBorders>
              <w:top w:val="nil"/>
              <w:left w:val="nil"/>
              <w:bottom w:val="single" w:sz="4" w:space="0" w:color="auto"/>
              <w:right w:val="single" w:sz="4" w:space="0" w:color="auto"/>
            </w:tcBorders>
            <w:shd w:val="clear" w:color="auto" w:fill="auto"/>
            <w:noWrap/>
            <w:vAlign w:val="bottom"/>
            <w:hideMark/>
          </w:tcPr>
          <w:p w14:paraId="1867A27D"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99.86%</w:t>
            </w:r>
          </w:p>
        </w:tc>
        <w:tc>
          <w:tcPr>
            <w:tcW w:w="763" w:type="dxa"/>
            <w:tcBorders>
              <w:top w:val="nil"/>
              <w:left w:val="nil"/>
              <w:bottom w:val="single" w:sz="4" w:space="0" w:color="auto"/>
              <w:right w:val="single" w:sz="4" w:space="0" w:color="auto"/>
            </w:tcBorders>
            <w:shd w:val="clear" w:color="auto" w:fill="auto"/>
            <w:noWrap/>
            <w:vAlign w:val="bottom"/>
            <w:hideMark/>
          </w:tcPr>
          <w:p w14:paraId="5AD15459"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99.41%</w:t>
            </w:r>
          </w:p>
        </w:tc>
        <w:tc>
          <w:tcPr>
            <w:tcW w:w="763" w:type="dxa"/>
            <w:tcBorders>
              <w:top w:val="nil"/>
              <w:left w:val="nil"/>
              <w:bottom w:val="single" w:sz="4" w:space="0" w:color="auto"/>
              <w:right w:val="single" w:sz="4" w:space="0" w:color="auto"/>
            </w:tcBorders>
            <w:shd w:val="clear" w:color="auto" w:fill="auto"/>
            <w:noWrap/>
            <w:vAlign w:val="bottom"/>
            <w:hideMark/>
          </w:tcPr>
          <w:p w14:paraId="2B9DCA5A"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99.56%</w:t>
            </w:r>
          </w:p>
        </w:tc>
        <w:tc>
          <w:tcPr>
            <w:tcW w:w="763" w:type="dxa"/>
            <w:tcBorders>
              <w:top w:val="nil"/>
              <w:left w:val="nil"/>
              <w:bottom w:val="single" w:sz="4" w:space="0" w:color="auto"/>
              <w:right w:val="single" w:sz="4" w:space="0" w:color="auto"/>
            </w:tcBorders>
            <w:shd w:val="clear" w:color="auto" w:fill="auto"/>
            <w:noWrap/>
            <w:vAlign w:val="bottom"/>
            <w:hideMark/>
          </w:tcPr>
          <w:p w14:paraId="5F68A760"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99.44%</w:t>
            </w:r>
          </w:p>
        </w:tc>
        <w:tc>
          <w:tcPr>
            <w:tcW w:w="763" w:type="dxa"/>
            <w:tcBorders>
              <w:top w:val="nil"/>
              <w:left w:val="nil"/>
              <w:bottom w:val="single" w:sz="4" w:space="0" w:color="auto"/>
              <w:right w:val="single" w:sz="4" w:space="0" w:color="auto"/>
            </w:tcBorders>
            <w:shd w:val="clear" w:color="auto" w:fill="auto"/>
            <w:noWrap/>
            <w:vAlign w:val="bottom"/>
            <w:hideMark/>
          </w:tcPr>
          <w:p w14:paraId="4CE9EF0E"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99.61%</w:t>
            </w:r>
          </w:p>
        </w:tc>
      </w:tr>
      <w:tr w:rsidR="00C93C49" w:rsidRPr="00C93C49" w14:paraId="7159D499" w14:textId="77777777" w:rsidTr="00347614">
        <w:trPr>
          <w:trHeight w:val="176"/>
          <w:jc w:val="center"/>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14:paraId="150B1FD8" w14:textId="77777777" w:rsidR="00C93C49" w:rsidRPr="00C93C49" w:rsidRDefault="00C93C49" w:rsidP="00C93C49">
            <w:pPr>
              <w:spacing w:after="0" w:line="240" w:lineRule="auto"/>
              <w:rPr>
                <w:rFonts w:ascii="Arial" w:eastAsia="Times New Roman" w:hAnsi="Arial" w:cs="Arial"/>
                <w:b/>
                <w:color w:val="000000"/>
                <w:sz w:val="15"/>
                <w:szCs w:val="15"/>
              </w:rPr>
            </w:pPr>
            <w:r w:rsidRPr="00C93C49">
              <w:rPr>
                <w:rFonts w:ascii="Arial" w:eastAsia="Times New Roman" w:hAnsi="Arial" w:cs="Arial"/>
                <w:b/>
                <w:color w:val="000000"/>
                <w:sz w:val="15"/>
                <w:szCs w:val="15"/>
              </w:rPr>
              <w:t>Penn Power</w:t>
            </w:r>
          </w:p>
        </w:tc>
        <w:tc>
          <w:tcPr>
            <w:tcW w:w="763" w:type="dxa"/>
            <w:tcBorders>
              <w:top w:val="nil"/>
              <w:left w:val="nil"/>
              <w:bottom w:val="single" w:sz="4" w:space="0" w:color="auto"/>
              <w:right w:val="single" w:sz="4" w:space="0" w:color="auto"/>
            </w:tcBorders>
            <w:shd w:val="clear" w:color="auto" w:fill="auto"/>
            <w:noWrap/>
            <w:vAlign w:val="bottom"/>
            <w:hideMark/>
          </w:tcPr>
          <w:p w14:paraId="66D16E0B"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63" w:type="dxa"/>
            <w:tcBorders>
              <w:top w:val="nil"/>
              <w:left w:val="nil"/>
              <w:bottom w:val="single" w:sz="4" w:space="0" w:color="auto"/>
              <w:right w:val="single" w:sz="4" w:space="0" w:color="auto"/>
            </w:tcBorders>
            <w:shd w:val="clear" w:color="auto" w:fill="auto"/>
            <w:noWrap/>
            <w:vAlign w:val="bottom"/>
            <w:hideMark/>
          </w:tcPr>
          <w:p w14:paraId="0B778E44"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63" w:type="dxa"/>
            <w:tcBorders>
              <w:top w:val="nil"/>
              <w:left w:val="nil"/>
              <w:bottom w:val="single" w:sz="4" w:space="0" w:color="auto"/>
              <w:right w:val="single" w:sz="4" w:space="0" w:color="auto"/>
            </w:tcBorders>
            <w:shd w:val="clear" w:color="auto" w:fill="auto"/>
            <w:noWrap/>
            <w:vAlign w:val="bottom"/>
            <w:hideMark/>
          </w:tcPr>
          <w:p w14:paraId="04997A42"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99.30%</w:t>
            </w:r>
          </w:p>
        </w:tc>
        <w:tc>
          <w:tcPr>
            <w:tcW w:w="763" w:type="dxa"/>
            <w:tcBorders>
              <w:top w:val="nil"/>
              <w:left w:val="nil"/>
              <w:bottom w:val="single" w:sz="4" w:space="0" w:color="auto"/>
              <w:right w:val="single" w:sz="4" w:space="0" w:color="auto"/>
            </w:tcBorders>
            <w:shd w:val="clear" w:color="auto" w:fill="auto"/>
            <w:noWrap/>
            <w:vAlign w:val="bottom"/>
            <w:hideMark/>
          </w:tcPr>
          <w:p w14:paraId="0EF3E842"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63" w:type="dxa"/>
            <w:tcBorders>
              <w:top w:val="nil"/>
              <w:left w:val="nil"/>
              <w:bottom w:val="single" w:sz="4" w:space="0" w:color="auto"/>
              <w:right w:val="single" w:sz="4" w:space="0" w:color="auto"/>
            </w:tcBorders>
            <w:shd w:val="clear" w:color="auto" w:fill="auto"/>
            <w:noWrap/>
            <w:vAlign w:val="bottom"/>
            <w:hideMark/>
          </w:tcPr>
          <w:p w14:paraId="3E21DAE2"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63" w:type="dxa"/>
            <w:tcBorders>
              <w:top w:val="nil"/>
              <w:left w:val="nil"/>
              <w:bottom w:val="single" w:sz="4" w:space="0" w:color="auto"/>
              <w:right w:val="single" w:sz="4" w:space="0" w:color="auto"/>
            </w:tcBorders>
            <w:shd w:val="clear" w:color="auto" w:fill="auto"/>
            <w:noWrap/>
            <w:vAlign w:val="bottom"/>
            <w:hideMark/>
          </w:tcPr>
          <w:p w14:paraId="33D6DEB4"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63" w:type="dxa"/>
            <w:tcBorders>
              <w:top w:val="nil"/>
              <w:left w:val="nil"/>
              <w:bottom w:val="single" w:sz="4" w:space="0" w:color="auto"/>
              <w:right w:val="single" w:sz="4" w:space="0" w:color="auto"/>
            </w:tcBorders>
            <w:shd w:val="clear" w:color="auto" w:fill="auto"/>
            <w:noWrap/>
            <w:vAlign w:val="bottom"/>
            <w:hideMark/>
          </w:tcPr>
          <w:p w14:paraId="552A679F"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63" w:type="dxa"/>
            <w:tcBorders>
              <w:top w:val="nil"/>
              <w:left w:val="nil"/>
              <w:bottom w:val="single" w:sz="4" w:space="0" w:color="auto"/>
              <w:right w:val="single" w:sz="4" w:space="0" w:color="auto"/>
            </w:tcBorders>
            <w:shd w:val="clear" w:color="auto" w:fill="auto"/>
            <w:noWrap/>
            <w:vAlign w:val="bottom"/>
            <w:hideMark/>
          </w:tcPr>
          <w:p w14:paraId="56D61C7F"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63" w:type="dxa"/>
            <w:tcBorders>
              <w:top w:val="nil"/>
              <w:left w:val="nil"/>
              <w:bottom w:val="single" w:sz="4" w:space="0" w:color="auto"/>
              <w:right w:val="single" w:sz="4" w:space="0" w:color="auto"/>
            </w:tcBorders>
            <w:shd w:val="clear" w:color="auto" w:fill="auto"/>
            <w:noWrap/>
            <w:vAlign w:val="bottom"/>
            <w:hideMark/>
          </w:tcPr>
          <w:p w14:paraId="6F1016E4"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100%</w:t>
            </w:r>
          </w:p>
        </w:tc>
        <w:tc>
          <w:tcPr>
            <w:tcW w:w="763" w:type="dxa"/>
            <w:tcBorders>
              <w:top w:val="nil"/>
              <w:left w:val="nil"/>
              <w:bottom w:val="single" w:sz="4" w:space="0" w:color="auto"/>
              <w:right w:val="single" w:sz="4" w:space="0" w:color="auto"/>
            </w:tcBorders>
            <w:shd w:val="clear" w:color="auto" w:fill="auto"/>
            <w:noWrap/>
            <w:vAlign w:val="bottom"/>
            <w:hideMark/>
          </w:tcPr>
          <w:p w14:paraId="574B121A"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99.44%</w:t>
            </w:r>
          </w:p>
        </w:tc>
        <w:tc>
          <w:tcPr>
            <w:tcW w:w="763" w:type="dxa"/>
            <w:tcBorders>
              <w:top w:val="nil"/>
              <w:left w:val="nil"/>
              <w:bottom w:val="single" w:sz="4" w:space="0" w:color="auto"/>
              <w:right w:val="single" w:sz="4" w:space="0" w:color="auto"/>
            </w:tcBorders>
            <w:shd w:val="clear" w:color="auto" w:fill="auto"/>
            <w:noWrap/>
            <w:vAlign w:val="bottom"/>
            <w:hideMark/>
          </w:tcPr>
          <w:p w14:paraId="76025139"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98.37%</w:t>
            </w:r>
          </w:p>
        </w:tc>
        <w:tc>
          <w:tcPr>
            <w:tcW w:w="763" w:type="dxa"/>
            <w:tcBorders>
              <w:top w:val="nil"/>
              <w:left w:val="nil"/>
              <w:bottom w:val="single" w:sz="4" w:space="0" w:color="auto"/>
              <w:right w:val="single" w:sz="4" w:space="0" w:color="auto"/>
            </w:tcBorders>
            <w:shd w:val="clear" w:color="auto" w:fill="auto"/>
            <w:noWrap/>
            <w:vAlign w:val="bottom"/>
            <w:hideMark/>
          </w:tcPr>
          <w:p w14:paraId="51F2F97B"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97.31%</w:t>
            </w:r>
          </w:p>
        </w:tc>
      </w:tr>
      <w:tr w:rsidR="00C93C49" w:rsidRPr="00C93C49" w14:paraId="4B6DF1A2" w14:textId="77777777" w:rsidTr="00347614">
        <w:trPr>
          <w:trHeight w:val="176"/>
          <w:jc w:val="center"/>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14:paraId="1E3DE786" w14:textId="77777777" w:rsidR="00C93C49" w:rsidRPr="00C93C49" w:rsidRDefault="00C93C49" w:rsidP="00C93C49">
            <w:pPr>
              <w:spacing w:after="0" w:line="240" w:lineRule="auto"/>
              <w:rPr>
                <w:rFonts w:ascii="Arial" w:eastAsia="Times New Roman" w:hAnsi="Arial" w:cs="Arial"/>
                <w:b/>
                <w:color w:val="000000"/>
                <w:sz w:val="15"/>
                <w:szCs w:val="15"/>
              </w:rPr>
            </w:pPr>
            <w:r w:rsidRPr="00C93C49">
              <w:rPr>
                <w:rFonts w:ascii="Arial" w:eastAsia="Times New Roman" w:hAnsi="Arial" w:cs="Arial"/>
                <w:b/>
                <w:color w:val="000000"/>
                <w:sz w:val="15"/>
                <w:szCs w:val="15"/>
              </w:rPr>
              <w:t>West Penn Power</w:t>
            </w:r>
          </w:p>
        </w:tc>
        <w:tc>
          <w:tcPr>
            <w:tcW w:w="763" w:type="dxa"/>
            <w:tcBorders>
              <w:top w:val="nil"/>
              <w:left w:val="nil"/>
              <w:bottom w:val="single" w:sz="4" w:space="0" w:color="auto"/>
              <w:right w:val="single" w:sz="4" w:space="0" w:color="auto"/>
            </w:tcBorders>
            <w:shd w:val="clear" w:color="auto" w:fill="auto"/>
            <w:noWrap/>
            <w:vAlign w:val="bottom"/>
            <w:hideMark/>
          </w:tcPr>
          <w:p w14:paraId="47E7AF8F"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98.91%</w:t>
            </w:r>
          </w:p>
        </w:tc>
        <w:tc>
          <w:tcPr>
            <w:tcW w:w="763" w:type="dxa"/>
            <w:tcBorders>
              <w:top w:val="nil"/>
              <w:left w:val="nil"/>
              <w:bottom w:val="single" w:sz="4" w:space="0" w:color="auto"/>
              <w:right w:val="single" w:sz="4" w:space="0" w:color="auto"/>
            </w:tcBorders>
            <w:shd w:val="clear" w:color="auto" w:fill="auto"/>
            <w:noWrap/>
            <w:vAlign w:val="bottom"/>
            <w:hideMark/>
          </w:tcPr>
          <w:p w14:paraId="1E46DD6A"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98.41%</w:t>
            </w:r>
          </w:p>
        </w:tc>
        <w:tc>
          <w:tcPr>
            <w:tcW w:w="763" w:type="dxa"/>
            <w:tcBorders>
              <w:top w:val="nil"/>
              <w:left w:val="nil"/>
              <w:bottom w:val="single" w:sz="4" w:space="0" w:color="auto"/>
              <w:right w:val="single" w:sz="4" w:space="0" w:color="auto"/>
            </w:tcBorders>
            <w:shd w:val="clear" w:color="auto" w:fill="auto"/>
            <w:noWrap/>
            <w:vAlign w:val="bottom"/>
            <w:hideMark/>
          </w:tcPr>
          <w:p w14:paraId="1FA8E488"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98.64%</w:t>
            </w:r>
          </w:p>
        </w:tc>
        <w:tc>
          <w:tcPr>
            <w:tcW w:w="763" w:type="dxa"/>
            <w:tcBorders>
              <w:top w:val="nil"/>
              <w:left w:val="nil"/>
              <w:bottom w:val="single" w:sz="4" w:space="0" w:color="auto"/>
              <w:right w:val="single" w:sz="4" w:space="0" w:color="auto"/>
            </w:tcBorders>
            <w:shd w:val="clear" w:color="auto" w:fill="auto"/>
            <w:noWrap/>
            <w:vAlign w:val="bottom"/>
            <w:hideMark/>
          </w:tcPr>
          <w:p w14:paraId="2D53F1A6"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97.98%</w:t>
            </w:r>
          </w:p>
        </w:tc>
        <w:tc>
          <w:tcPr>
            <w:tcW w:w="763" w:type="dxa"/>
            <w:tcBorders>
              <w:top w:val="nil"/>
              <w:left w:val="nil"/>
              <w:bottom w:val="single" w:sz="4" w:space="0" w:color="auto"/>
              <w:right w:val="single" w:sz="4" w:space="0" w:color="auto"/>
            </w:tcBorders>
            <w:shd w:val="clear" w:color="auto" w:fill="auto"/>
            <w:noWrap/>
            <w:vAlign w:val="bottom"/>
            <w:hideMark/>
          </w:tcPr>
          <w:p w14:paraId="086A48A5"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99.52%</w:t>
            </w:r>
          </w:p>
        </w:tc>
        <w:tc>
          <w:tcPr>
            <w:tcW w:w="763" w:type="dxa"/>
            <w:tcBorders>
              <w:top w:val="nil"/>
              <w:left w:val="nil"/>
              <w:bottom w:val="single" w:sz="4" w:space="0" w:color="auto"/>
              <w:right w:val="single" w:sz="4" w:space="0" w:color="auto"/>
            </w:tcBorders>
            <w:shd w:val="clear" w:color="auto" w:fill="auto"/>
            <w:noWrap/>
            <w:vAlign w:val="bottom"/>
            <w:hideMark/>
          </w:tcPr>
          <w:p w14:paraId="7071A586"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98.88%</w:t>
            </w:r>
          </w:p>
        </w:tc>
        <w:tc>
          <w:tcPr>
            <w:tcW w:w="763" w:type="dxa"/>
            <w:tcBorders>
              <w:top w:val="nil"/>
              <w:left w:val="nil"/>
              <w:bottom w:val="single" w:sz="4" w:space="0" w:color="auto"/>
              <w:right w:val="single" w:sz="4" w:space="0" w:color="auto"/>
            </w:tcBorders>
            <w:shd w:val="clear" w:color="auto" w:fill="auto"/>
            <w:noWrap/>
            <w:vAlign w:val="bottom"/>
            <w:hideMark/>
          </w:tcPr>
          <w:p w14:paraId="52E7FFBD"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99.20%</w:t>
            </w:r>
          </w:p>
        </w:tc>
        <w:tc>
          <w:tcPr>
            <w:tcW w:w="763" w:type="dxa"/>
            <w:tcBorders>
              <w:top w:val="nil"/>
              <w:left w:val="nil"/>
              <w:bottom w:val="single" w:sz="4" w:space="0" w:color="auto"/>
              <w:right w:val="single" w:sz="4" w:space="0" w:color="auto"/>
            </w:tcBorders>
            <w:shd w:val="clear" w:color="auto" w:fill="auto"/>
            <w:noWrap/>
            <w:vAlign w:val="bottom"/>
            <w:hideMark/>
          </w:tcPr>
          <w:p w14:paraId="294ACB74"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97.82%</w:t>
            </w:r>
          </w:p>
        </w:tc>
        <w:tc>
          <w:tcPr>
            <w:tcW w:w="763" w:type="dxa"/>
            <w:tcBorders>
              <w:top w:val="nil"/>
              <w:left w:val="nil"/>
              <w:bottom w:val="single" w:sz="4" w:space="0" w:color="auto"/>
              <w:right w:val="single" w:sz="4" w:space="0" w:color="auto"/>
            </w:tcBorders>
            <w:shd w:val="clear" w:color="auto" w:fill="auto"/>
            <w:noWrap/>
            <w:vAlign w:val="bottom"/>
            <w:hideMark/>
          </w:tcPr>
          <w:p w14:paraId="356BFA28"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93.92%</w:t>
            </w:r>
          </w:p>
        </w:tc>
        <w:tc>
          <w:tcPr>
            <w:tcW w:w="763" w:type="dxa"/>
            <w:tcBorders>
              <w:top w:val="nil"/>
              <w:left w:val="nil"/>
              <w:bottom w:val="single" w:sz="4" w:space="0" w:color="auto"/>
              <w:right w:val="single" w:sz="4" w:space="0" w:color="auto"/>
            </w:tcBorders>
            <w:shd w:val="clear" w:color="auto" w:fill="auto"/>
            <w:noWrap/>
            <w:vAlign w:val="bottom"/>
            <w:hideMark/>
          </w:tcPr>
          <w:p w14:paraId="0A68A248"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95.82%</w:t>
            </w:r>
          </w:p>
        </w:tc>
        <w:tc>
          <w:tcPr>
            <w:tcW w:w="763" w:type="dxa"/>
            <w:tcBorders>
              <w:top w:val="nil"/>
              <w:left w:val="nil"/>
              <w:bottom w:val="single" w:sz="4" w:space="0" w:color="auto"/>
              <w:right w:val="single" w:sz="4" w:space="0" w:color="auto"/>
            </w:tcBorders>
            <w:shd w:val="clear" w:color="auto" w:fill="auto"/>
            <w:noWrap/>
            <w:vAlign w:val="bottom"/>
            <w:hideMark/>
          </w:tcPr>
          <w:p w14:paraId="6B265E26"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92.10%</w:t>
            </w:r>
          </w:p>
        </w:tc>
        <w:tc>
          <w:tcPr>
            <w:tcW w:w="763" w:type="dxa"/>
            <w:tcBorders>
              <w:top w:val="nil"/>
              <w:left w:val="nil"/>
              <w:bottom w:val="single" w:sz="4" w:space="0" w:color="auto"/>
              <w:right w:val="single" w:sz="4" w:space="0" w:color="auto"/>
            </w:tcBorders>
            <w:shd w:val="clear" w:color="auto" w:fill="auto"/>
            <w:noWrap/>
            <w:vAlign w:val="bottom"/>
            <w:hideMark/>
          </w:tcPr>
          <w:p w14:paraId="39F6C846" w14:textId="77777777" w:rsidR="00C93C49" w:rsidRPr="00C93C49" w:rsidRDefault="00C93C49" w:rsidP="00C93C49">
            <w:pPr>
              <w:spacing w:after="0" w:line="240" w:lineRule="auto"/>
              <w:jc w:val="center"/>
              <w:rPr>
                <w:rFonts w:ascii="Arial" w:eastAsia="Times New Roman" w:hAnsi="Arial" w:cs="Arial"/>
                <w:color w:val="000000"/>
                <w:sz w:val="15"/>
                <w:szCs w:val="15"/>
              </w:rPr>
            </w:pPr>
            <w:r w:rsidRPr="00C93C49">
              <w:rPr>
                <w:rFonts w:ascii="Arial" w:eastAsia="Times New Roman" w:hAnsi="Arial" w:cs="Arial"/>
                <w:color w:val="000000"/>
                <w:sz w:val="15"/>
                <w:szCs w:val="15"/>
              </w:rPr>
              <w:t>96.34%</w:t>
            </w:r>
          </w:p>
        </w:tc>
      </w:tr>
    </w:tbl>
    <w:p w14:paraId="53DBA346" w14:textId="77777777" w:rsidR="00C93C49" w:rsidRPr="00C93C49" w:rsidRDefault="00C93C49" w:rsidP="00C93C49">
      <w:pPr>
        <w:spacing w:after="0" w:line="240" w:lineRule="auto"/>
        <w:ind w:hanging="720"/>
        <w:rPr>
          <w:rFonts w:ascii="Arial" w:eastAsia="Times New Roman" w:hAnsi="Arial" w:cs="Arial"/>
          <w:snapToGrid w:val="0"/>
          <w:sz w:val="18"/>
          <w:szCs w:val="18"/>
        </w:rPr>
      </w:pPr>
      <w:r w:rsidRPr="00C93C49">
        <w:rPr>
          <w:rFonts w:ascii="Arial" w:eastAsia="Times New Roman" w:hAnsi="Arial" w:cs="Arial"/>
          <w:snapToGrid w:val="0"/>
          <w:sz w:val="18"/>
          <w:szCs w:val="18"/>
        </w:rPr>
        <w:t>Source: Data Request CS-6</w:t>
      </w:r>
    </w:p>
    <w:p w14:paraId="2C13A2F3" w14:textId="77777777" w:rsidR="00C93C49" w:rsidRPr="00C93C49" w:rsidRDefault="00C93C49" w:rsidP="00C93C49">
      <w:pPr>
        <w:widowControl w:val="0"/>
        <w:spacing w:after="0" w:line="240" w:lineRule="auto"/>
        <w:rPr>
          <w:rFonts w:ascii="Arial" w:eastAsia="Times New Roman" w:hAnsi="Arial" w:cs="Arial"/>
          <w:snapToGrid w:val="0"/>
          <w:sz w:val="24"/>
          <w:szCs w:val="24"/>
        </w:rPr>
      </w:pPr>
    </w:p>
    <w:p w14:paraId="085F1B0C" w14:textId="77777777" w:rsidR="00C93C49" w:rsidRPr="00C93C49" w:rsidRDefault="00C93C49" w:rsidP="00C93C49">
      <w:pPr>
        <w:widowControl w:val="0"/>
        <w:spacing w:after="0" w:line="240" w:lineRule="auto"/>
        <w:ind w:firstLine="720"/>
        <w:rPr>
          <w:rFonts w:ascii="Arial" w:eastAsia="Times New Roman" w:hAnsi="Arial" w:cs="Arial"/>
          <w:snapToGrid w:val="0"/>
          <w:sz w:val="24"/>
          <w:szCs w:val="24"/>
        </w:rPr>
      </w:pPr>
      <w:r w:rsidRPr="00C93C49">
        <w:rPr>
          <w:rFonts w:ascii="Arial" w:eastAsia="Times New Roman" w:hAnsi="Arial" w:cs="Arial"/>
          <w:snapToGrid w:val="0"/>
          <w:sz w:val="24"/>
          <w:szCs w:val="24"/>
        </w:rPr>
        <w:t xml:space="preserve">Presently, the </w:t>
      </w:r>
      <w:r w:rsidR="00DC3D9B">
        <w:rPr>
          <w:rFonts w:ascii="Arial" w:eastAsia="Times New Roman" w:hAnsi="Arial" w:cs="Arial"/>
          <w:snapToGrid w:val="0"/>
          <w:sz w:val="24"/>
          <w:szCs w:val="24"/>
        </w:rPr>
        <w:t>FE-PA companies</w:t>
      </w:r>
      <w:r w:rsidRPr="00C93C49">
        <w:rPr>
          <w:rFonts w:ascii="Arial" w:eastAsia="Times New Roman" w:hAnsi="Arial" w:cs="Arial"/>
          <w:snapToGrid w:val="0"/>
          <w:sz w:val="24"/>
          <w:szCs w:val="24"/>
        </w:rPr>
        <w:t xml:space="preserve"> are not contemplating changing their goal of completing 90% of new service installations requiring construction within ten days to 100%.  </w:t>
      </w:r>
      <w:r w:rsidRPr="00C93C49">
        <w:rPr>
          <w:rFonts w:ascii="Arial" w:eastAsia="Times New Roman" w:hAnsi="Arial" w:cs="Arial"/>
          <w:snapToGrid w:val="0"/>
          <w:sz w:val="24"/>
          <w:szCs w:val="20"/>
        </w:rPr>
        <w:t xml:space="preserve">The </w:t>
      </w:r>
      <w:r w:rsidR="00DC3D9B">
        <w:rPr>
          <w:rFonts w:ascii="Arial" w:eastAsia="Times New Roman" w:hAnsi="Arial" w:cs="Arial"/>
          <w:snapToGrid w:val="0"/>
          <w:sz w:val="24"/>
          <w:szCs w:val="20"/>
        </w:rPr>
        <w:t>companies</w:t>
      </w:r>
      <w:r w:rsidRPr="00C93C49">
        <w:rPr>
          <w:rFonts w:ascii="Arial" w:eastAsia="Times New Roman" w:hAnsi="Arial" w:cs="Arial"/>
          <w:snapToGrid w:val="0"/>
          <w:sz w:val="24"/>
          <w:szCs w:val="20"/>
        </w:rPr>
        <w:t xml:space="preserve"> stated that the improvement in the performance to new service installations is due to increased oversight of the program.  The </w:t>
      </w:r>
      <w:r w:rsidR="00DC3D9B">
        <w:rPr>
          <w:rFonts w:ascii="Arial" w:eastAsia="Times New Roman" w:hAnsi="Arial" w:cs="Arial"/>
          <w:snapToGrid w:val="0"/>
          <w:sz w:val="24"/>
          <w:szCs w:val="20"/>
        </w:rPr>
        <w:t>FE-PA companies</w:t>
      </w:r>
      <w:r w:rsidRPr="00C93C49">
        <w:rPr>
          <w:rFonts w:ascii="Arial" w:eastAsia="Times New Roman" w:hAnsi="Arial" w:cs="Arial"/>
          <w:snapToGrid w:val="0"/>
          <w:sz w:val="24"/>
          <w:szCs w:val="20"/>
        </w:rPr>
        <w:t xml:space="preserve"> have established a process to review and proactively monitor new service installations against the current established performance standards.  Specifically, reports have been developed and programmed that provide a level of detail necessary to monitor and analyze this type of data consistently across the </w:t>
      </w:r>
      <w:r w:rsidR="00DC3D9B">
        <w:rPr>
          <w:rFonts w:ascii="Arial" w:eastAsia="Times New Roman" w:hAnsi="Arial" w:cs="Arial"/>
          <w:snapToGrid w:val="0"/>
          <w:sz w:val="24"/>
          <w:szCs w:val="20"/>
        </w:rPr>
        <w:t>companies</w:t>
      </w:r>
      <w:r w:rsidRPr="00C93C49">
        <w:rPr>
          <w:rFonts w:ascii="Arial" w:eastAsia="Times New Roman" w:hAnsi="Arial" w:cs="Arial"/>
          <w:snapToGrid w:val="0"/>
          <w:sz w:val="24"/>
          <w:szCs w:val="20"/>
        </w:rPr>
        <w:t xml:space="preserve">.  The process was designed such that service installation data is extracted and reviewed monthly.  Any installations that exceed the required timeframe are further analyzed to determine the reason the deadline was not achieved.  Improvements and lessons learned are developed and implemented where needed for continuous improvements.  </w:t>
      </w:r>
    </w:p>
    <w:p w14:paraId="439D5BDF" w14:textId="77777777" w:rsidR="00C93C49" w:rsidRPr="00C93C49" w:rsidRDefault="00C93C49" w:rsidP="00C93C49">
      <w:pPr>
        <w:spacing w:after="0" w:line="20" w:lineRule="atLeast"/>
        <w:contextualSpacing/>
        <w:rPr>
          <w:rFonts w:ascii="Arial" w:eastAsia="Times New Roman" w:hAnsi="Arial" w:cs="Times New Roman"/>
          <w:b/>
          <w:sz w:val="24"/>
          <w:szCs w:val="24"/>
          <w:u w:val="single"/>
        </w:rPr>
      </w:pPr>
    </w:p>
    <w:p w14:paraId="06DA62EA" w14:textId="77777777" w:rsidR="00C93C49" w:rsidRPr="00C93C49" w:rsidRDefault="00C93C49" w:rsidP="00C93C49">
      <w:pPr>
        <w:spacing w:after="0" w:line="20" w:lineRule="atLeast"/>
        <w:contextualSpacing/>
        <w:rPr>
          <w:rFonts w:ascii="Arial" w:eastAsia="Times New Roman" w:hAnsi="Arial" w:cs="Arial"/>
          <w:b/>
          <w:snapToGrid w:val="0"/>
          <w:sz w:val="24"/>
          <w:szCs w:val="20"/>
        </w:rPr>
      </w:pPr>
      <w:r w:rsidRPr="00C93C49">
        <w:rPr>
          <w:rFonts w:ascii="Arial" w:eastAsia="Times New Roman" w:hAnsi="Arial" w:cs="Times New Roman"/>
          <w:b/>
          <w:sz w:val="24"/>
          <w:szCs w:val="24"/>
          <w:u w:val="single"/>
        </w:rPr>
        <w:t>Follow-up Recommendation</w:t>
      </w:r>
      <w:r w:rsidRPr="00C93C49">
        <w:rPr>
          <w:rFonts w:ascii="Arial" w:eastAsia="Times New Roman" w:hAnsi="Arial" w:cs="Times New Roman"/>
          <w:b/>
          <w:sz w:val="24"/>
          <w:szCs w:val="24"/>
        </w:rPr>
        <w:t xml:space="preserve"> – </w:t>
      </w:r>
      <w:r w:rsidRPr="00C93C49">
        <w:rPr>
          <w:rFonts w:ascii="Arial" w:eastAsia="Times New Roman" w:hAnsi="Arial" w:cs="Arial"/>
          <w:b/>
          <w:snapToGrid w:val="0"/>
          <w:sz w:val="24"/>
          <w:szCs w:val="20"/>
        </w:rPr>
        <w:t>None</w:t>
      </w:r>
    </w:p>
    <w:p w14:paraId="031169E0" w14:textId="77777777" w:rsidR="00C93C49" w:rsidRPr="00C93C49" w:rsidRDefault="00C93C49" w:rsidP="00C93C49">
      <w:pPr>
        <w:spacing w:after="0" w:line="20" w:lineRule="atLeast"/>
        <w:contextualSpacing/>
        <w:rPr>
          <w:rFonts w:ascii="Arial" w:eastAsia="Times New Roman" w:hAnsi="Arial" w:cs="Arial"/>
          <w:b/>
          <w:snapToGrid w:val="0"/>
          <w:sz w:val="24"/>
          <w:szCs w:val="20"/>
        </w:rPr>
      </w:pPr>
    </w:p>
    <w:p w14:paraId="4E177910" w14:textId="77777777" w:rsidR="00F53771" w:rsidRDefault="00F53771">
      <w:pPr>
        <w:rPr>
          <w:rFonts w:ascii="Arial" w:eastAsia="Times New Roman" w:hAnsi="Arial" w:cs="Times New Roman"/>
          <w:b/>
          <w:sz w:val="24"/>
          <w:szCs w:val="24"/>
          <w:u w:val="single"/>
        </w:rPr>
      </w:pPr>
      <w:r>
        <w:rPr>
          <w:rFonts w:ascii="Arial" w:eastAsia="Times New Roman" w:hAnsi="Arial" w:cs="Times New Roman"/>
          <w:b/>
          <w:sz w:val="24"/>
          <w:szCs w:val="24"/>
          <w:u w:val="single"/>
        </w:rPr>
        <w:br w:type="page"/>
      </w:r>
    </w:p>
    <w:p w14:paraId="758C279D" w14:textId="77777777" w:rsidR="00C93C49" w:rsidRPr="00C93C49" w:rsidRDefault="00C93C49" w:rsidP="00C93C49">
      <w:pPr>
        <w:spacing w:after="0" w:line="20" w:lineRule="atLeast"/>
        <w:contextualSpacing/>
        <w:jc w:val="center"/>
        <w:rPr>
          <w:rFonts w:ascii="Arial" w:eastAsia="Times New Roman" w:hAnsi="Arial" w:cs="Times New Roman"/>
          <w:b/>
          <w:sz w:val="24"/>
          <w:szCs w:val="24"/>
          <w:u w:val="single"/>
        </w:rPr>
      </w:pPr>
      <w:r w:rsidRPr="00C93C49">
        <w:rPr>
          <w:rFonts w:ascii="Arial" w:eastAsia="Times New Roman" w:hAnsi="Arial" w:cs="Times New Roman"/>
          <w:b/>
          <w:sz w:val="24"/>
          <w:szCs w:val="24"/>
          <w:u w:val="single"/>
        </w:rPr>
        <w:t>Finding No. X-8</w:t>
      </w:r>
    </w:p>
    <w:p w14:paraId="1CD8A9D9" w14:textId="77777777" w:rsidR="00C93C49" w:rsidRPr="00C93C49" w:rsidRDefault="00C93C49" w:rsidP="00C93C49">
      <w:pPr>
        <w:spacing w:after="0" w:line="20" w:lineRule="atLeast"/>
        <w:contextualSpacing/>
        <w:rPr>
          <w:rFonts w:ascii="Arial" w:eastAsia="Times New Roman" w:hAnsi="Arial" w:cs="Times New Roman"/>
          <w:sz w:val="24"/>
          <w:szCs w:val="24"/>
        </w:rPr>
      </w:pPr>
    </w:p>
    <w:p w14:paraId="3EF8AE64" w14:textId="77777777" w:rsidR="00C93C49" w:rsidRPr="00C93C49" w:rsidRDefault="00C93C49" w:rsidP="00C93C49">
      <w:pPr>
        <w:spacing w:after="0" w:line="20" w:lineRule="atLeast"/>
        <w:contextualSpacing/>
        <w:rPr>
          <w:rFonts w:ascii="Arial" w:eastAsia="Times New Roman" w:hAnsi="Arial" w:cs="Times New Roman"/>
          <w:sz w:val="24"/>
          <w:szCs w:val="24"/>
        </w:rPr>
      </w:pPr>
      <w:r w:rsidRPr="00C93C49">
        <w:rPr>
          <w:rFonts w:ascii="Arial" w:eastAsia="Times New Roman" w:hAnsi="Arial" w:cs="Times New Roman"/>
          <w:b/>
          <w:sz w:val="24"/>
          <w:szCs w:val="24"/>
          <w:u w:val="single"/>
        </w:rPr>
        <w:t>Prior Situation</w:t>
      </w:r>
      <w:r w:rsidRPr="00C93C49">
        <w:rPr>
          <w:rFonts w:ascii="Arial" w:eastAsia="Times New Roman" w:hAnsi="Arial" w:cs="Times New Roman"/>
          <w:sz w:val="24"/>
          <w:szCs w:val="24"/>
        </w:rPr>
        <w:t xml:space="preserve"> – As a result of requesting customer meter set location data (i.e., number of meters located inside or outside customer premises) by </w:t>
      </w:r>
      <w:r w:rsidR="007C326B">
        <w:rPr>
          <w:rFonts w:ascii="Arial" w:eastAsia="Times New Roman" w:hAnsi="Arial" w:cs="Times New Roman"/>
          <w:sz w:val="24"/>
          <w:szCs w:val="24"/>
        </w:rPr>
        <w:t>individual company</w:t>
      </w:r>
      <w:r w:rsidRPr="00C93C49">
        <w:rPr>
          <w:rFonts w:ascii="Arial" w:eastAsia="Times New Roman" w:hAnsi="Arial" w:cs="Times New Roman"/>
          <w:sz w:val="24"/>
          <w:szCs w:val="24"/>
        </w:rPr>
        <w:t xml:space="preserve">, the auditors noted that a sizeable number of meters were classified as unknown.  The number and percentage of meters classified as unknown for each of the </w:t>
      </w:r>
      <w:r w:rsidR="00DC3D9B">
        <w:rPr>
          <w:rFonts w:ascii="Arial" w:eastAsia="Times New Roman" w:hAnsi="Arial" w:cs="Times New Roman"/>
          <w:sz w:val="24"/>
          <w:szCs w:val="24"/>
        </w:rPr>
        <w:t>FE-PA companies</w:t>
      </w:r>
      <w:r w:rsidRPr="00C93C49">
        <w:rPr>
          <w:rFonts w:ascii="Arial" w:eastAsia="Times New Roman" w:hAnsi="Arial" w:cs="Times New Roman"/>
          <w:sz w:val="24"/>
          <w:szCs w:val="24"/>
        </w:rPr>
        <w:t xml:space="preserve"> were as follows:</w:t>
      </w:r>
    </w:p>
    <w:p w14:paraId="654713E2" w14:textId="77777777" w:rsidR="00C93C49" w:rsidRPr="00C93C49" w:rsidRDefault="00C93C49" w:rsidP="00C93C49">
      <w:pPr>
        <w:spacing w:after="0" w:line="20" w:lineRule="atLeast"/>
        <w:contextualSpacing/>
        <w:rPr>
          <w:rFonts w:ascii="Arial" w:eastAsia="Times New Roman" w:hAnsi="Arial" w:cs="Times New Roman"/>
          <w:sz w:val="24"/>
          <w:szCs w:val="24"/>
        </w:rPr>
      </w:pPr>
    </w:p>
    <w:p w14:paraId="72D2B1F8" w14:textId="77777777" w:rsidR="00C93C49" w:rsidRPr="00C93C49" w:rsidRDefault="00C93C49" w:rsidP="00D94B11">
      <w:pPr>
        <w:numPr>
          <w:ilvl w:val="0"/>
          <w:numId w:val="29"/>
        </w:numPr>
        <w:spacing w:after="0" w:line="20" w:lineRule="atLeast"/>
        <w:ind w:left="1080"/>
        <w:contextualSpacing/>
        <w:rPr>
          <w:rFonts w:ascii="Arial" w:eastAsia="Times New Roman" w:hAnsi="Arial" w:cs="Times New Roman"/>
          <w:sz w:val="24"/>
          <w:szCs w:val="24"/>
        </w:rPr>
      </w:pPr>
      <w:r w:rsidRPr="00C93C49">
        <w:rPr>
          <w:rFonts w:ascii="Arial" w:eastAsia="Times New Roman" w:hAnsi="Arial" w:cs="Times New Roman"/>
          <w:sz w:val="24"/>
          <w:szCs w:val="24"/>
        </w:rPr>
        <w:t>Met-Ed – 1,652 or 0.30%</w:t>
      </w:r>
    </w:p>
    <w:p w14:paraId="18027460" w14:textId="77777777" w:rsidR="00C93C49" w:rsidRPr="00C93C49" w:rsidRDefault="00C93C49" w:rsidP="00D94B11">
      <w:pPr>
        <w:numPr>
          <w:ilvl w:val="0"/>
          <w:numId w:val="29"/>
        </w:numPr>
        <w:spacing w:after="0" w:line="20" w:lineRule="atLeast"/>
        <w:ind w:left="1080"/>
        <w:contextualSpacing/>
        <w:rPr>
          <w:rFonts w:ascii="Arial" w:eastAsia="Times New Roman" w:hAnsi="Arial" w:cs="Times New Roman"/>
          <w:sz w:val="24"/>
          <w:szCs w:val="24"/>
        </w:rPr>
      </w:pPr>
      <w:r w:rsidRPr="00C93C49">
        <w:rPr>
          <w:rFonts w:ascii="Arial" w:eastAsia="Times New Roman" w:hAnsi="Arial" w:cs="Times New Roman"/>
          <w:sz w:val="24"/>
          <w:szCs w:val="24"/>
        </w:rPr>
        <w:t>Penelec – 1,135 or 0.19%</w:t>
      </w:r>
    </w:p>
    <w:p w14:paraId="31375553" w14:textId="77777777" w:rsidR="00C93C49" w:rsidRPr="00C93C49" w:rsidRDefault="00C93C49" w:rsidP="00D94B11">
      <w:pPr>
        <w:numPr>
          <w:ilvl w:val="0"/>
          <w:numId w:val="29"/>
        </w:numPr>
        <w:spacing w:after="0" w:line="20" w:lineRule="atLeast"/>
        <w:ind w:left="1080"/>
        <w:contextualSpacing/>
        <w:rPr>
          <w:rFonts w:ascii="Arial" w:eastAsia="Times New Roman" w:hAnsi="Arial" w:cs="Times New Roman"/>
          <w:sz w:val="24"/>
          <w:szCs w:val="24"/>
        </w:rPr>
      </w:pPr>
      <w:r w:rsidRPr="00C93C49">
        <w:rPr>
          <w:rFonts w:ascii="Arial" w:eastAsia="Times New Roman" w:hAnsi="Arial" w:cs="Times New Roman"/>
          <w:sz w:val="24"/>
          <w:szCs w:val="24"/>
        </w:rPr>
        <w:t>Penn Power – 1,190 or 0.70%</w:t>
      </w:r>
    </w:p>
    <w:p w14:paraId="32D131D0" w14:textId="77777777" w:rsidR="00C93C49" w:rsidRPr="00C93C49" w:rsidRDefault="00C93C49" w:rsidP="00D94B11">
      <w:pPr>
        <w:numPr>
          <w:ilvl w:val="0"/>
          <w:numId w:val="29"/>
        </w:numPr>
        <w:spacing w:after="0" w:line="20" w:lineRule="atLeast"/>
        <w:ind w:left="1080"/>
        <w:contextualSpacing/>
        <w:rPr>
          <w:rFonts w:ascii="Arial" w:eastAsia="Times New Roman" w:hAnsi="Arial" w:cs="Times New Roman"/>
          <w:sz w:val="24"/>
          <w:szCs w:val="24"/>
        </w:rPr>
      </w:pPr>
      <w:r w:rsidRPr="00C93C49">
        <w:rPr>
          <w:rFonts w:ascii="Arial" w:eastAsia="Times New Roman" w:hAnsi="Arial" w:cs="Times New Roman"/>
          <w:sz w:val="24"/>
          <w:szCs w:val="24"/>
        </w:rPr>
        <w:t>West Penn Power – 2,918 or 0.41%</w:t>
      </w:r>
    </w:p>
    <w:p w14:paraId="1E70B82E" w14:textId="77777777" w:rsidR="00C93C49" w:rsidRPr="00C93C49" w:rsidRDefault="00C93C49" w:rsidP="00C93C49">
      <w:pPr>
        <w:spacing w:after="0" w:line="20" w:lineRule="atLeast"/>
        <w:contextualSpacing/>
        <w:rPr>
          <w:rFonts w:ascii="Arial" w:eastAsia="Times New Roman" w:hAnsi="Arial" w:cs="Times New Roman"/>
          <w:sz w:val="24"/>
          <w:szCs w:val="24"/>
        </w:rPr>
      </w:pPr>
    </w:p>
    <w:p w14:paraId="6556785A" w14:textId="77777777" w:rsidR="00C93C49" w:rsidRPr="00C93C49" w:rsidRDefault="00C93C49" w:rsidP="00C93C49">
      <w:pPr>
        <w:spacing w:after="0" w:line="20" w:lineRule="atLeast"/>
        <w:contextualSpacing/>
        <w:rPr>
          <w:rFonts w:ascii="Arial" w:eastAsia="Times New Roman" w:hAnsi="Arial" w:cs="Times New Roman"/>
          <w:sz w:val="24"/>
          <w:szCs w:val="24"/>
        </w:rPr>
      </w:pPr>
    </w:p>
    <w:p w14:paraId="41540503" w14:textId="77777777" w:rsidR="00C93C49" w:rsidRPr="00C93C49" w:rsidRDefault="00C93C49" w:rsidP="00C93C49">
      <w:pPr>
        <w:spacing w:after="0" w:line="20" w:lineRule="atLeast"/>
        <w:ind w:firstLine="720"/>
        <w:contextualSpacing/>
        <w:rPr>
          <w:rFonts w:ascii="Arial" w:eastAsia="Times New Roman" w:hAnsi="Arial" w:cs="Times New Roman"/>
          <w:sz w:val="24"/>
          <w:szCs w:val="24"/>
        </w:rPr>
      </w:pPr>
      <w:r w:rsidRPr="00C93C49">
        <w:rPr>
          <w:rFonts w:ascii="Arial" w:eastAsia="Times New Roman" w:hAnsi="Arial" w:cs="Times New Roman"/>
          <w:sz w:val="24"/>
          <w:szCs w:val="24"/>
        </w:rPr>
        <w:t xml:space="preserve">The auditors then requested the same information by customer class for each of the </w:t>
      </w:r>
      <w:r w:rsidR="00DC3D9B">
        <w:rPr>
          <w:rFonts w:ascii="Arial" w:eastAsia="Times New Roman" w:hAnsi="Arial" w:cs="Times New Roman"/>
          <w:sz w:val="24"/>
          <w:szCs w:val="24"/>
        </w:rPr>
        <w:t>FE-PA companies</w:t>
      </w:r>
      <w:r w:rsidRPr="00C93C49">
        <w:rPr>
          <w:rFonts w:ascii="Arial" w:eastAsia="Times New Roman" w:hAnsi="Arial" w:cs="Times New Roman"/>
          <w:sz w:val="24"/>
          <w:szCs w:val="24"/>
        </w:rPr>
        <w:t xml:space="preserve">.  However, FirstEnergy Service Corporation’s (FESC’s) Metering and Supports Systems Department responded that this type of information was not readily available </w:t>
      </w:r>
      <w:r w:rsidR="002D24BF">
        <w:rPr>
          <w:rFonts w:ascii="Arial" w:eastAsia="Times New Roman" w:hAnsi="Arial" w:cs="Times New Roman"/>
          <w:sz w:val="24"/>
          <w:szCs w:val="24"/>
        </w:rPr>
        <w:t>nor</w:t>
      </w:r>
      <w:r w:rsidRPr="00C93C49">
        <w:rPr>
          <w:rFonts w:ascii="Arial" w:eastAsia="Times New Roman" w:hAnsi="Arial" w:cs="Times New Roman"/>
          <w:sz w:val="24"/>
          <w:szCs w:val="24"/>
        </w:rPr>
        <w:t xml:space="preserve"> maintained.  Also, the meters designated as unknown had a blank location field attached to the meter record as the meter location field was not a required field in the system of records.</w:t>
      </w:r>
    </w:p>
    <w:p w14:paraId="4F5128A5" w14:textId="77777777" w:rsidR="00C93C49" w:rsidRPr="00C93C49" w:rsidRDefault="00C93C49" w:rsidP="00C93C49">
      <w:pPr>
        <w:spacing w:after="0" w:line="20" w:lineRule="atLeast"/>
        <w:contextualSpacing/>
        <w:rPr>
          <w:rFonts w:ascii="Arial" w:eastAsia="Times New Roman" w:hAnsi="Arial" w:cs="Times New Roman"/>
          <w:sz w:val="24"/>
          <w:szCs w:val="24"/>
        </w:rPr>
      </w:pPr>
    </w:p>
    <w:p w14:paraId="779112A3" w14:textId="77777777" w:rsidR="00C93C49" w:rsidRPr="00C93C49" w:rsidRDefault="00C93C49" w:rsidP="00C93C49">
      <w:pPr>
        <w:spacing w:after="0" w:line="20" w:lineRule="atLeast"/>
        <w:ind w:firstLine="720"/>
        <w:contextualSpacing/>
        <w:rPr>
          <w:rFonts w:ascii="Arial" w:eastAsia="Times New Roman" w:hAnsi="Arial" w:cs="Times New Roman"/>
          <w:sz w:val="24"/>
          <w:szCs w:val="24"/>
        </w:rPr>
      </w:pPr>
      <w:r w:rsidRPr="00C93C49">
        <w:rPr>
          <w:rFonts w:ascii="Arial" w:eastAsia="Times New Roman" w:hAnsi="Arial" w:cs="Times New Roman"/>
          <w:sz w:val="24"/>
          <w:szCs w:val="24"/>
        </w:rPr>
        <w:t>As far as billing information was concerned, the service amperage and rate drove</w:t>
      </w:r>
    </w:p>
    <w:p w14:paraId="1384E91C" w14:textId="77777777" w:rsidR="00C93C49" w:rsidRPr="00C93C49" w:rsidRDefault="00C93C49" w:rsidP="00C93C49">
      <w:pPr>
        <w:spacing w:after="0" w:line="20" w:lineRule="atLeast"/>
        <w:contextualSpacing/>
        <w:rPr>
          <w:rFonts w:ascii="Arial" w:eastAsia="Times New Roman" w:hAnsi="Arial" w:cs="Times New Roman"/>
          <w:sz w:val="24"/>
          <w:szCs w:val="24"/>
        </w:rPr>
      </w:pPr>
      <w:r w:rsidRPr="00C93C49">
        <w:rPr>
          <w:rFonts w:ascii="Arial" w:eastAsia="Times New Roman" w:hAnsi="Arial" w:cs="Times New Roman"/>
          <w:sz w:val="24"/>
          <w:szCs w:val="24"/>
        </w:rPr>
        <w:t>the selection of the correct meter necessary to bill the customer.  Customers were</w:t>
      </w:r>
    </w:p>
    <w:p w14:paraId="6CEF8E3E" w14:textId="77777777" w:rsidR="00C93C49" w:rsidRPr="00C93C49" w:rsidRDefault="00C93C49" w:rsidP="00C93C49">
      <w:pPr>
        <w:spacing w:after="0" w:line="20" w:lineRule="atLeast"/>
        <w:contextualSpacing/>
        <w:rPr>
          <w:rFonts w:ascii="Arial" w:eastAsia="Times New Roman" w:hAnsi="Arial" w:cs="Times New Roman"/>
          <w:sz w:val="24"/>
          <w:szCs w:val="24"/>
        </w:rPr>
      </w:pPr>
      <w:r w:rsidRPr="00C93C49">
        <w:rPr>
          <w:rFonts w:ascii="Arial" w:eastAsia="Times New Roman" w:hAnsi="Arial" w:cs="Times New Roman"/>
          <w:sz w:val="24"/>
          <w:szCs w:val="24"/>
        </w:rPr>
        <w:t xml:space="preserve">classified into revenue classes and the rate and classification fields were available in the meter records.  FESC’s billing system contained information such as meter location and customer class and could be referenced for a specific customer if needed.  Management indicated as a result of multiple mergers that customer account information was not fully converted from system to system and unknown meters accounted for a very small portion of its overall meter totals.  Some meters in the </w:t>
      </w:r>
      <w:r w:rsidR="00DC3D9B">
        <w:rPr>
          <w:rFonts w:ascii="Arial" w:eastAsia="Times New Roman" w:hAnsi="Arial" w:cs="Times New Roman"/>
          <w:sz w:val="24"/>
          <w:szCs w:val="24"/>
        </w:rPr>
        <w:t>FE-PA companies</w:t>
      </w:r>
      <w:r w:rsidRPr="00C93C49">
        <w:rPr>
          <w:rFonts w:ascii="Arial" w:eastAsia="Times New Roman" w:hAnsi="Arial" w:cs="Times New Roman"/>
          <w:sz w:val="24"/>
          <w:szCs w:val="24"/>
        </w:rPr>
        <w:t xml:space="preserve">’ service territory were originally placed inside structures, and over time, more meters were placed outdoors during new service installations.  Indoor meters were also not considered to be an issue by the </w:t>
      </w:r>
      <w:r w:rsidR="00DC3D9B">
        <w:rPr>
          <w:rFonts w:ascii="Arial" w:eastAsia="Times New Roman" w:hAnsi="Arial" w:cs="Times New Roman"/>
          <w:sz w:val="24"/>
          <w:szCs w:val="24"/>
        </w:rPr>
        <w:t>FE-PA companies</w:t>
      </w:r>
      <w:r w:rsidRPr="00C93C49">
        <w:rPr>
          <w:rFonts w:ascii="Arial" w:eastAsia="Times New Roman" w:hAnsi="Arial" w:cs="Times New Roman"/>
          <w:sz w:val="24"/>
          <w:szCs w:val="24"/>
        </w:rPr>
        <w:t xml:space="preserve"> and there were currently no efforts to move meters outside or to classify the unknown meters. </w:t>
      </w:r>
    </w:p>
    <w:p w14:paraId="3D30CDC5" w14:textId="77777777" w:rsidR="00C93C49" w:rsidRPr="00C93C49" w:rsidRDefault="00C93C49" w:rsidP="00C93C49">
      <w:pPr>
        <w:spacing w:after="0" w:line="20" w:lineRule="atLeast"/>
        <w:contextualSpacing/>
        <w:rPr>
          <w:rFonts w:ascii="Arial" w:eastAsia="Times New Roman" w:hAnsi="Arial" w:cs="Times New Roman"/>
          <w:sz w:val="24"/>
          <w:szCs w:val="24"/>
        </w:rPr>
      </w:pPr>
    </w:p>
    <w:p w14:paraId="1452D21D" w14:textId="77777777" w:rsidR="00C93C49" w:rsidRPr="00C93C49" w:rsidRDefault="00C93C49" w:rsidP="00C93C49">
      <w:pPr>
        <w:spacing w:after="0" w:line="20" w:lineRule="atLeast"/>
        <w:ind w:firstLine="720"/>
        <w:contextualSpacing/>
        <w:rPr>
          <w:rFonts w:ascii="Arial" w:eastAsia="Times New Roman" w:hAnsi="Arial" w:cs="Times New Roman"/>
          <w:sz w:val="24"/>
          <w:szCs w:val="24"/>
        </w:rPr>
      </w:pPr>
      <w:r w:rsidRPr="00C93C49">
        <w:rPr>
          <w:rFonts w:ascii="Arial" w:eastAsia="Times New Roman" w:hAnsi="Arial" w:cs="Times New Roman"/>
          <w:sz w:val="24"/>
          <w:szCs w:val="24"/>
        </w:rPr>
        <w:t>Customer meter information was not readily available by FESC’s Meter and Supports Systems Department to ensure data integrity and reliable data for annual reporting to the PUC.  The auditors noted that meter reading by an employee or contractor for the utility and/or problems with a meter may not be properly addressed if a meter is located inside a customer’s premises or the location is unknown and</w:t>
      </w:r>
      <w:r w:rsidR="002D24BF">
        <w:rPr>
          <w:rFonts w:ascii="Arial" w:eastAsia="Times New Roman" w:hAnsi="Arial" w:cs="Times New Roman"/>
          <w:sz w:val="24"/>
          <w:szCs w:val="24"/>
        </w:rPr>
        <w:t>/or</w:t>
      </w:r>
      <w:r w:rsidRPr="00C93C49">
        <w:rPr>
          <w:rFonts w:ascii="Arial" w:eastAsia="Times New Roman" w:hAnsi="Arial" w:cs="Times New Roman"/>
          <w:sz w:val="24"/>
          <w:szCs w:val="24"/>
        </w:rPr>
        <w:t xml:space="preserve"> accessibility is an issue.  Problems could also be exacerbated due to a lack of readily available information interfaced with the customer billing information system such as meter number, meter address, location inside/outside of customer’s property, customer class, customer account number, etc.  By maintaining a database of relevant information, a utility can quickly identify information that would be needed for meter reading and billing purposes as well as assist in service restoration efforts to identify locations experiencing a service interruption.  </w:t>
      </w:r>
    </w:p>
    <w:p w14:paraId="48536A51" w14:textId="77777777" w:rsidR="00C93C49" w:rsidRPr="00C93C49" w:rsidRDefault="00C93C49" w:rsidP="00C93C49">
      <w:pPr>
        <w:spacing w:after="0" w:line="20" w:lineRule="atLeast"/>
        <w:contextualSpacing/>
        <w:rPr>
          <w:rFonts w:ascii="Arial" w:eastAsia="Times New Roman" w:hAnsi="Arial" w:cs="Times New Roman"/>
          <w:sz w:val="24"/>
          <w:szCs w:val="24"/>
        </w:rPr>
      </w:pPr>
    </w:p>
    <w:p w14:paraId="43227FB7" w14:textId="77777777" w:rsidR="00C93C49" w:rsidRPr="00C93C49" w:rsidRDefault="00C93C49" w:rsidP="00C93C49">
      <w:pPr>
        <w:spacing w:after="0" w:line="20" w:lineRule="atLeast"/>
        <w:contextualSpacing/>
        <w:rPr>
          <w:rFonts w:ascii="Arial" w:eastAsia="Times New Roman" w:hAnsi="Arial" w:cs="Times New Roman"/>
          <w:bCs/>
          <w:sz w:val="24"/>
          <w:szCs w:val="24"/>
        </w:rPr>
      </w:pPr>
      <w:r w:rsidRPr="00C93C49">
        <w:rPr>
          <w:rFonts w:ascii="Arial" w:eastAsia="Times New Roman" w:hAnsi="Arial" w:cs="Times New Roman"/>
          <w:b/>
          <w:sz w:val="24"/>
          <w:szCs w:val="24"/>
          <w:u w:val="single"/>
        </w:rPr>
        <w:t>Prior Recommendation</w:t>
      </w:r>
      <w:r w:rsidRPr="00C93C49">
        <w:rPr>
          <w:rFonts w:ascii="Arial" w:eastAsia="Times New Roman" w:hAnsi="Arial" w:cs="Times New Roman"/>
          <w:sz w:val="24"/>
          <w:szCs w:val="24"/>
        </w:rPr>
        <w:t xml:space="preserve"> – </w:t>
      </w:r>
      <w:r w:rsidRPr="00C93C49">
        <w:rPr>
          <w:rFonts w:ascii="Arial" w:eastAsia="Times New Roman" w:hAnsi="Arial" w:cs="Times New Roman"/>
          <w:bCs/>
          <w:sz w:val="24"/>
          <w:szCs w:val="24"/>
        </w:rPr>
        <w:t>Develop and maintain a customer meter record database which provides accurate data for reporting purposes, and eliminate unknown meter</w:t>
      </w:r>
    </w:p>
    <w:p w14:paraId="1D8A649A" w14:textId="77777777" w:rsidR="00C93C49" w:rsidRPr="00C93C49" w:rsidRDefault="00C93C49" w:rsidP="00C93C49">
      <w:pPr>
        <w:spacing w:after="0" w:line="20" w:lineRule="atLeast"/>
        <w:contextualSpacing/>
        <w:rPr>
          <w:rFonts w:ascii="Arial" w:eastAsia="Times New Roman" w:hAnsi="Arial" w:cs="Times New Roman"/>
          <w:bCs/>
          <w:sz w:val="24"/>
          <w:szCs w:val="24"/>
        </w:rPr>
      </w:pPr>
      <w:r w:rsidRPr="00C93C49">
        <w:rPr>
          <w:rFonts w:ascii="Arial" w:eastAsia="Times New Roman" w:hAnsi="Arial" w:cs="Times New Roman"/>
          <w:bCs/>
          <w:sz w:val="24"/>
          <w:szCs w:val="24"/>
        </w:rPr>
        <w:t>location classifications as part of the Advanced Metering Infrastructure (AMI) implementation process.</w:t>
      </w:r>
    </w:p>
    <w:p w14:paraId="6142289B" w14:textId="77777777" w:rsidR="00C93C49" w:rsidRPr="00C93C49" w:rsidRDefault="00C93C49" w:rsidP="00C93C49">
      <w:pPr>
        <w:spacing w:after="0" w:line="20" w:lineRule="atLeast"/>
        <w:contextualSpacing/>
        <w:rPr>
          <w:rFonts w:ascii="Arial" w:eastAsia="Times New Roman" w:hAnsi="Arial" w:cs="Times New Roman"/>
          <w:sz w:val="24"/>
          <w:szCs w:val="24"/>
        </w:rPr>
      </w:pPr>
    </w:p>
    <w:p w14:paraId="421CB925" w14:textId="77777777" w:rsidR="00C93C49" w:rsidRPr="00C93C49" w:rsidRDefault="00C93C49" w:rsidP="00C93C49">
      <w:pPr>
        <w:spacing w:after="0" w:line="20" w:lineRule="atLeast"/>
        <w:rPr>
          <w:rFonts w:ascii="Arial" w:eastAsia="Times New Roman" w:hAnsi="Arial" w:cs="Times New Roman"/>
          <w:b/>
          <w:sz w:val="24"/>
          <w:szCs w:val="24"/>
        </w:rPr>
      </w:pPr>
      <w:r w:rsidRPr="00C93C49">
        <w:rPr>
          <w:rFonts w:ascii="Arial" w:eastAsia="Times New Roman" w:hAnsi="Arial" w:cs="Times New Roman"/>
          <w:b/>
          <w:sz w:val="24"/>
          <w:szCs w:val="24"/>
          <w:u w:val="single"/>
        </w:rPr>
        <w:t>Follow-up Finding and Conclusion No. X-8</w:t>
      </w:r>
      <w:r w:rsidRPr="00C93C49">
        <w:rPr>
          <w:rFonts w:ascii="Arial" w:eastAsia="Times New Roman" w:hAnsi="Arial" w:cs="Times New Roman"/>
          <w:b/>
          <w:sz w:val="24"/>
          <w:szCs w:val="24"/>
        </w:rPr>
        <w:t xml:space="preserve"> – The </w:t>
      </w:r>
      <w:r w:rsidR="00DC3D9B">
        <w:rPr>
          <w:rFonts w:ascii="Arial" w:eastAsia="Times New Roman" w:hAnsi="Arial" w:cs="Times New Roman"/>
          <w:b/>
          <w:sz w:val="24"/>
          <w:szCs w:val="24"/>
        </w:rPr>
        <w:t>FE-PA companies</w:t>
      </w:r>
      <w:r w:rsidRPr="00C93C49">
        <w:rPr>
          <w:rFonts w:ascii="Arial" w:eastAsia="Times New Roman" w:hAnsi="Arial" w:cs="Times New Roman"/>
          <w:b/>
          <w:sz w:val="24"/>
          <w:szCs w:val="24"/>
        </w:rPr>
        <w:t xml:space="preserve"> have significantly decreased the number of meters requiring location updates.</w:t>
      </w:r>
    </w:p>
    <w:p w14:paraId="62F79D6D" w14:textId="77777777" w:rsidR="00C93C49" w:rsidRPr="00C93C49" w:rsidRDefault="00C93C49" w:rsidP="00C93C49">
      <w:pPr>
        <w:spacing w:after="0" w:line="20" w:lineRule="atLeast"/>
        <w:rPr>
          <w:rFonts w:ascii="Arial" w:eastAsia="Times New Roman" w:hAnsi="Arial" w:cs="Times New Roman"/>
          <w:b/>
          <w:sz w:val="24"/>
          <w:szCs w:val="24"/>
        </w:rPr>
      </w:pPr>
    </w:p>
    <w:p w14:paraId="505F4865" w14:textId="77777777" w:rsidR="00C93C49" w:rsidRPr="00C93C49" w:rsidRDefault="00C93C49" w:rsidP="00C93C49">
      <w:pPr>
        <w:widowControl w:val="0"/>
        <w:spacing w:after="0" w:line="240" w:lineRule="auto"/>
        <w:rPr>
          <w:rFonts w:ascii="Arial" w:eastAsia="Times New Roman" w:hAnsi="Arial" w:cs="Arial"/>
          <w:snapToGrid w:val="0"/>
          <w:sz w:val="24"/>
          <w:szCs w:val="20"/>
        </w:rPr>
      </w:pPr>
      <w:r w:rsidRPr="00C93C49">
        <w:rPr>
          <w:rFonts w:ascii="Arial" w:eastAsia="Times New Roman" w:hAnsi="Arial" w:cs="Arial"/>
          <w:b/>
          <w:snapToGrid w:val="0"/>
          <w:sz w:val="24"/>
          <w:szCs w:val="20"/>
          <w:u w:val="single"/>
        </w:rPr>
        <w:t>Current Review</w:t>
      </w:r>
      <w:r w:rsidRPr="00C93C49">
        <w:rPr>
          <w:rFonts w:ascii="Arial" w:eastAsia="Times New Roman" w:hAnsi="Arial" w:cs="Arial"/>
          <w:snapToGrid w:val="0"/>
          <w:sz w:val="24"/>
          <w:szCs w:val="20"/>
        </w:rPr>
        <w:t xml:space="preserve"> </w:t>
      </w:r>
      <w:r w:rsidRPr="00C93C49">
        <w:rPr>
          <w:rFonts w:ascii="Arial" w:eastAsia="Times New Roman" w:hAnsi="Arial" w:cs="Times New Roman"/>
          <w:sz w:val="24"/>
          <w:szCs w:val="24"/>
        </w:rPr>
        <w:t>–</w:t>
      </w:r>
      <w:r w:rsidRPr="00C93C49">
        <w:rPr>
          <w:rFonts w:ascii="Arial" w:eastAsia="Times New Roman" w:hAnsi="Arial" w:cs="Arial"/>
          <w:snapToGrid w:val="0"/>
          <w:sz w:val="24"/>
          <w:szCs w:val="20"/>
        </w:rPr>
        <w:t xml:space="preserve"> Meter and billing information for each of the </w:t>
      </w:r>
      <w:r w:rsidR="00DC3D9B">
        <w:rPr>
          <w:rFonts w:ascii="Arial" w:eastAsia="Times New Roman" w:hAnsi="Arial" w:cs="Arial"/>
          <w:snapToGrid w:val="0"/>
          <w:sz w:val="24"/>
          <w:szCs w:val="20"/>
        </w:rPr>
        <w:t>FE-PA companies</w:t>
      </w:r>
      <w:r w:rsidRPr="00C93C49">
        <w:rPr>
          <w:rFonts w:ascii="Arial" w:eastAsia="Times New Roman" w:hAnsi="Arial" w:cs="Arial"/>
          <w:snapToGrid w:val="0"/>
          <w:sz w:val="24"/>
          <w:szCs w:val="20"/>
        </w:rPr>
        <w:t xml:space="preserve">’ customers is maintained within SAP for customer set-up, meter reading, rates, and billing/invoicing. As previously mentioned, PMRs were created in 2015 to address specific performance objectives and other regulatory requirements and are to be reviewed in conjunction with the ELT Reports.  Based on the various stages of development of the PMRs, some PMR metrics </w:t>
      </w:r>
      <w:r w:rsidR="002D24BF" w:rsidRPr="00C93C49">
        <w:rPr>
          <w:rFonts w:ascii="Arial" w:eastAsia="Times New Roman" w:hAnsi="Arial" w:cs="Arial"/>
          <w:snapToGrid w:val="0"/>
          <w:sz w:val="24"/>
          <w:szCs w:val="20"/>
        </w:rPr>
        <w:t>began</w:t>
      </w:r>
      <w:r w:rsidRPr="00C93C49">
        <w:rPr>
          <w:rFonts w:ascii="Arial" w:eastAsia="Times New Roman" w:hAnsi="Arial" w:cs="Arial"/>
          <w:snapToGrid w:val="0"/>
          <w:sz w:val="24"/>
          <w:szCs w:val="20"/>
        </w:rPr>
        <w:t xml:space="preserve"> at different times.  Meters without a Meter Location reporting became available in the July 2015 PMR.  As shown in Exhibit X-26, meters requiring location updates have decreased substantially from April 2015 to 2017.</w:t>
      </w:r>
    </w:p>
    <w:p w14:paraId="726936CF" w14:textId="77777777" w:rsidR="00C93C49" w:rsidRPr="00C93C49" w:rsidRDefault="00C93C49" w:rsidP="00C93C49">
      <w:pPr>
        <w:widowControl w:val="0"/>
        <w:spacing w:after="0" w:line="240" w:lineRule="auto"/>
        <w:rPr>
          <w:rFonts w:ascii="Arial" w:eastAsia="Times New Roman" w:hAnsi="Arial" w:cs="Arial"/>
          <w:b/>
          <w:snapToGrid w:val="0"/>
          <w:sz w:val="24"/>
          <w:szCs w:val="20"/>
          <w:u w:val="single"/>
        </w:rPr>
      </w:pPr>
    </w:p>
    <w:p w14:paraId="4968A786" w14:textId="77777777" w:rsidR="00C93C49" w:rsidRPr="00C93C49" w:rsidRDefault="00C93C49" w:rsidP="00C93C49">
      <w:pPr>
        <w:widowControl w:val="0"/>
        <w:spacing w:after="0" w:line="240" w:lineRule="auto"/>
        <w:rPr>
          <w:rFonts w:ascii="Arial" w:eastAsia="Times New Roman" w:hAnsi="Arial" w:cs="Arial"/>
          <w:b/>
          <w:snapToGrid w:val="0"/>
          <w:sz w:val="24"/>
          <w:szCs w:val="20"/>
          <w:u w:val="single"/>
        </w:rPr>
      </w:pPr>
    </w:p>
    <w:p w14:paraId="4EEF9120" w14:textId="77777777" w:rsidR="00C93C49" w:rsidRPr="00C93C49" w:rsidRDefault="00C93C49" w:rsidP="00C93C49">
      <w:pPr>
        <w:widowControl w:val="0"/>
        <w:spacing w:after="0" w:line="240" w:lineRule="auto"/>
        <w:jc w:val="center"/>
        <w:rPr>
          <w:rFonts w:ascii="Arial" w:eastAsia="Times New Roman" w:hAnsi="Arial" w:cs="Arial"/>
          <w:b/>
          <w:sz w:val="24"/>
          <w:szCs w:val="20"/>
        </w:rPr>
      </w:pPr>
      <w:r w:rsidRPr="00C93C49">
        <w:rPr>
          <w:rFonts w:ascii="Arial" w:eastAsia="Times New Roman" w:hAnsi="Arial" w:cs="Arial"/>
          <w:b/>
          <w:snapToGrid w:val="0"/>
          <w:sz w:val="24"/>
          <w:szCs w:val="20"/>
        </w:rPr>
        <w:t xml:space="preserve">Exhibit X – 26 </w:t>
      </w:r>
    </w:p>
    <w:p w14:paraId="579F6379" w14:textId="77777777" w:rsidR="00C93C49" w:rsidRPr="00C93C49" w:rsidRDefault="00C93C49" w:rsidP="00C93C49">
      <w:pPr>
        <w:widowControl w:val="0"/>
        <w:spacing w:after="0" w:line="240" w:lineRule="auto"/>
        <w:jc w:val="center"/>
        <w:rPr>
          <w:rFonts w:ascii="Arial" w:eastAsia="Times New Roman" w:hAnsi="Arial" w:cs="Arial"/>
          <w:b/>
          <w:snapToGrid w:val="0"/>
          <w:sz w:val="24"/>
          <w:szCs w:val="20"/>
        </w:rPr>
      </w:pPr>
      <w:r w:rsidRPr="00C93C49">
        <w:rPr>
          <w:rFonts w:ascii="Arial" w:eastAsia="Calibri" w:hAnsi="Arial" w:cs="Arial"/>
          <w:b/>
          <w:sz w:val="24"/>
          <w:szCs w:val="24"/>
        </w:rPr>
        <w:t>FirstEnergy Pennsylvania Companies</w:t>
      </w:r>
      <w:r w:rsidRPr="00C93C49">
        <w:rPr>
          <w:rFonts w:ascii="Arial" w:eastAsia="Times New Roman" w:hAnsi="Arial" w:cs="Arial"/>
          <w:b/>
          <w:snapToGrid w:val="0"/>
          <w:sz w:val="24"/>
          <w:szCs w:val="20"/>
        </w:rPr>
        <w:t xml:space="preserve"> </w:t>
      </w:r>
    </w:p>
    <w:p w14:paraId="18B7F38C" w14:textId="77777777" w:rsidR="00C93C49" w:rsidRPr="00C93C49" w:rsidRDefault="00C93C49" w:rsidP="00C93C49">
      <w:pPr>
        <w:widowControl w:val="0"/>
        <w:spacing w:after="0" w:line="240" w:lineRule="auto"/>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Meters Requiring Location Updates</w:t>
      </w:r>
    </w:p>
    <w:p w14:paraId="64070C7C" w14:textId="77777777" w:rsidR="00C93C49" w:rsidRPr="00C93C49" w:rsidRDefault="00C93C49" w:rsidP="00C93C49">
      <w:pPr>
        <w:widowControl w:val="0"/>
        <w:spacing w:after="0" w:line="240" w:lineRule="auto"/>
        <w:jc w:val="center"/>
        <w:rPr>
          <w:rFonts w:ascii="Arial" w:eastAsia="Times New Roman" w:hAnsi="Arial" w:cs="Arial"/>
          <w:b/>
          <w:snapToGrid w:val="0"/>
          <w:sz w:val="24"/>
          <w:szCs w:val="20"/>
        </w:rPr>
      </w:pPr>
      <w:r w:rsidRPr="00C93C49">
        <w:rPr>
          <w:rFonts w:ascii="Arial" w:eastAsia="Times New Roman" w:hAnsi="Arial" w:cs="Arial"/>
          <w:b/>
          <w:snapToGrid w:val="0"/>
          <w:sz w:val="24"/>
          <w:szCs w:val="20"/>
        </w:rPr>
        <w:t>For the Period April 2015 through 2017</w:t>
      </w:r>
    </w:p>
    <w:p w14:paraId="7D76EDF3" w14:textId="77777777" w:rsidR="00C93C49" w:rsidRPr="00C93C49" w:rsidRDefault="00C93C49" w:rsidP="00C93C49">
      <w:pPr>
        <w:widowControl w:val="0"/>
        <w:spacing w:after="0" w:line="240" w:lineRule="auto"/>
        <w:rPr>
          <w:rFonts w:ascii="Arial" w:eastAsia="Times New Roman" w:hAnsi="Arial" w:cs="Arial"/>
          <w:snapToGrid w:val="0"/>
          <w:sz w:val="8"/>
          <w:szCs w:val="8"/>
        </w:rPr>
      </w:pPr>
    </w:p>
    <w:tbl>
      <w:tblPr>
        <w:tblW w:w="5868" w:type="dxa"/>
        <w:jc w:val="center"/>
        <w:tblLayout w:type="fixed"/>
        <w:tblLook w:val="04A0" w:firstRow="1" w:lastRow="0" w:firstColumn="1" w:lastColumn="0" w:noHBand="0" w:noVBand="1"/>
      </w:tblPr>
      <w:tblGrid>
        <w:gridCol w:w="1980"/>
        <w:gridCol w:w="1296"/>
        <w:gridCol w:w="1296"/>
        <w:gridCol w:w="1296"/>
      </w:tblGrid>
      <w:tr w:rsidR="00C93C49" w:rsidRPr="00C93C49" w14:paraId="2C2F2D98" w14:textId="77777777" w:rsidTr="00347614">
        <w:trPr>
          <w:trHeight w:val="144"/>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37B9C" w14:textId="77777777" w:rsidR="00C93C49" w:rsidRPr="00C93C49" w:rsidRDefault="00C93C49" w:rsidP="00C93C49">
            <w:pPr>
              <w:spacing w:after="0" w:line="240" w:lineRule="auto"/>
              <w:jc w:val="center"/>
              <w:rPr>
                <w:rFonts w:ascii="Arial" w:eastAsia="Times New Roman" w:hAnsi="Arial" w:cs="Arial"/>
                <w:color w:val="000000"/>
                <w:sz w:val="20"/>
                <w:szCs w:val="20"/>
              </w:rPr>
            </w:pP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72FA0515"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April 2015</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7CA1E8AB"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2016</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6A67D3A4" w14:textId="77777777" w:rsidR="00C93C49" w:rsidRPr="00C93C49" w:rsidRDefault="00C93C49" w:rsidP="00C93C49">
            <w:pPr>
              <w:spacing w:after="0" w:line="240" w:lineRule="auto"/>
              <w:jc w:val="center"/>
              <w:rPr>
                <w:rFonts w:ascii="Arial" w:eastAsia="Times New Roman" w:hAnsi="Arial" w:cs="Arial"/>
                <w:b/>
                <w:color w:val="000000"/>
                <w:sz w:val="20"/>
                <w:szCs w:val="20"/>
              </w:rPr>
            </w:pPr>
            <w:r w:rsidRPr="00C93C49">
              <w:rPr>
                <w:rFonts w:ascii="Arial" w:eastAsia="Times New Roman" w:hAnsi="Arial" w:cs="Arial"/>
                <w:b/>
                <w:color w:val="000000"/>
                <w:sz w:val="20"/>
                <w:szCs w:val="20"/>
              </w:rPr>
              <w:t>2017</w:t>
            </w:r>
          </w:p>
        </w:tc>
      </w:tr>
      <w:tr w:rsidR="00C93C49" w:rsidRPr="00C93C49" w14:paraId="69E240A0" w14:textId="77777777" w:rsidTr="00347614">
        <w:trPr>
          <w:trHeight w:val="144"/>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8F4F317" w14:textId="77777777" w:rsidR="00C93C49" w:rsidRPr="00C93C49" w:rsidRDefault="00C93C49" w:rsidP="00C93C49">
            <w:pPr>
              <w:spacing w:after="0" w:line="240" w:lineRule="auto"/>
              <w:rPr>
                <w:rFonts w:ascii="Arial" w:eastAsia="Times New Roman" w:hAnsi="Arial" w:cs="Arial"/>
                <w:b/>
                <w:color w:val="000000"/>
                <w:sz w:val="20"/>
                <w:szCs w:val="20"/>
              </w:rPr>
            </w:pPr>
            <w:r w:rsidRPr="00C93C49">
              <w:rPr>
                <w:rFonts w:ascii="Arial" w:eastAsia="Times New Roman" w:hAnsi="Arial" w:cs="Arial"/>
                <w:b/>
                <w:color w:val="000000"/>
                <w:sz w:val="20"/>
                <w:szCs w:val="20"/>
              </w:rPr>
              <w:t>Met-Ed</w:t>
            </w:r>
          </w:p>
        </w:tc>
        <w:tc>
          <w:tcPr>
            <w:tcW w:w="1296" w:type="dxa"/>
            <w:tcBorders>
              <w:top w:val="nil"/>
              <w:left w:val="nil"/>
              <w:bottom w:val="single" w:sz="4" w:space="0" w:color="auto"/>
              <w:right w:val="single" w:sz="4" w:space="0" w:color="auto"/>
            </w:tcBorders>
            <w:shd w:val="clear" w:color="auto" w:fill="auto"/>
            <w:noWrap/>
            <w:vAlign w:val="bottom"/>
            <w:hideMark/>
          </w:tcPr>
          <w:p w14:paraId="581E8F26" w14:textId="77777777" w:rsidR="00C93C49" w:rsidRPr="00C93C49" w:rsidRDefault="00C93C49" w:rsidP="00C93C49">
            <w:pPr>
              <w:spacing w:after="0" w:line="240" w:lineRule="auto"/>
              <w:jc w:val="right"/>
              <w:rPr>
                <w:rFonts w:ascii="Arial" w:eastAsia="Times New Roman" w:hAnsi="Arial" w:cs="Arial"/>
                <w:color w:val="000000"/>
                <w:sz w:val="20"/>
                <w:szCs w:val="20"/>
              </w:rPr>
            </w:pPr>
            <w:r w:rsidRPr="00C93C49">
              <w:rPr>
                <w:rFonts w:ascii="Arial" w:eastAsia="Times New Roman" w:hAnsi="Arial" w:cs="Arial"/>
                <w:color w:val="000000"/>
                <w:sz w:val="20"/>
                <w:szCs w:val="20"/>
              </w:rPr>
              <w:t>749</w:t>
            </w:r>
          </w:p>
        </w:tc>
        <w:tc>
          <w:tcPr>
            <w:tcW w:w="1296" w:type="dxa"/>
            <w:tcBorders>
              <w:top w:val="nil"/>
              <w:left w:val="nil"/>
              <w:bottom w:val="single" w:sz="4" w:space="0" w:color="auto"/>
              <w:right w:val="single" w:sz="4" w:space="0" w:color="auto"/>
            </w:tcBorders>
            <w:shd w:val="clear" w:color="auto" w:fill="auto"/>
            <w:noWrap/>
            <w:vAlign w:val="bottom"/>
            <w:hideMark/>
          </w:tcPr>
          <w:p w14:paraId="27667DD2" w14:textId="77777777" w:rsidR="00C93C49" w:rsidRPr="00C93C49" w:rsidRDefault="00C93C49" w:rsidP="00C93C49">
            <w:pPr>
              <w:spacing w:after="0" w:line="240" w:lineRule="auto"/>
              <w:jc w:val="right"/>
              <w:rPr>
                <w:rFonts w:ascii="Arial" w:eastAsia="Times New Roman" w:hAnsi="Arial" w:cs="Arial"/>
                <w:color w:val="000000"/>
                <w:sz w:val="20"/>
                <w:szCs w:val="20"/>
              </w:rPr>
            </w:pPr>
            <w:r w:rsidRPr="00C93C49">
              <w:rPr>
                <w:rFonts w:ascii="Arial" w:eastAsia="Times New Roman" w:hAnsi="Arial" w:cs="Arial"/>
                <w:color w:val="000000"/>
                <w:sz w:val="20"/>
                <w:szCs w:val="20"/>
              </w:rPr>
              <w:t>89</w:t>
            </w:r>
          </w:p>
        </w:tc>
        <w:tc>
          <w:tcPr>
            <w:tcW w:w="1296" w:type="dxa"/>
            <w:tcBorders>
              <w:top w:val="nil"/>
              <w:left w:val="nil"/>
              <w:bottom w:val="single" w:sz="4" w:space="0" w:color="auto"/>
              <w:right w:val="single" w:sz="4" w:space="0" w:color="auto"/>
            </w:tcBorders>
            <w:shd w:val="clear" w:color="auto" w:fill="auto"/>
            <w:noWrap/>
            <w:vAlign w:val="bottom"/>
            <w:hideMark/>
          </w:tcPr>
          <w:p w14:paraId="21F5B30A" w14:textId="77777777" w:rsidR="00C93C49" w:rsidRPr="00C93C49" w:rsidRDefault="00C93C49" w:rsidP="00C93C49">
            <w:pPr>
              <w:spacing w:after="0" w:line="240" w:lineRule="auto"/>
              <w:jc w:val="right"/>
              <w:rPr>
                <w:rFonts w:ascii="Arial" w:eastAsia="Times New Roman" w:hAnsi="Arial" w:cs="Arial"/>
                <w:color w:val="000000"/>
                <w:sz w:val="20"/>
                <w:szCs w:val="20"/>
              </w:rPr>
            </w:pPr>
            <w:r w:rsidRPr="00C93C49">
              <w:rPr>
                <w:rFonts w:ascii="Arial" w:eastAsia="Times New Roman" w:hAnsi="Arial" w:cs="Arial"/>
                <w:color w:val="000000"/>
                <w:sz w:val="20"/>
                <w:szCs w:val="20"/>
              </w:rPr>
              <w:t>83</w:t>
            </w:r>
          </w:p>
        </w:tc>
      </w:tr>
      <w:tr w:rsidR="00C93C49" w:rsidRPr="00C93C49" w14:paraId="3C410DF0" w14:textId="77777777" w:rsidTr="00347614">
        <w:trPr>
          <w:trHeight w:val="144"/>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7D62A98" w14:textId="77777777" w:rsidR="00C93C49" w:rsidRPr="00C93C49" w:rsidRDefault="00C93C49" w:rsidP="00C93C49">
            <w:pPr>
              <w:spacing w:after="0" w:line="240" w:lineRule="auto"/>
              <w:rPr>
                <w:rFonts w:ascii="Arial" w:eastAsia="Times New Roman" w:hAnsi="Arial" w:cs="Arial"/>
                <w:b/>
                <w:color w:val="000000"/>
                <w:sz w:val="20"/>
                <w:szCs w:val="20"/>
              </w:rPr>
            </w:pPr>
            <w:r w:rsidRPr="00C93C49">
              <w:rPr>
                <w:rFonts w:ascii="Arial" w:eastAsia="Times New Roman" w:hAnsi="Arial" w:cs="Arial"/>
                <w:b/>
                <w:color w:val="000000"/>
                <w:sz w:val="20"/>
                <w:szCs w:val="20"/>
              </w:rPr>
              <w:t>Penelec</w:t>
            </w:r>
          </w:p>
        </w:tc>
        <w:tc>
          <w:tcPr>
            <w:tcW w:w="1296" w:type="dxa"/>
            <w:tcBorders>
              <w:top w:val="nil"/>
              <w:left w:val="nil"/>
              <w:bottom w:val="single" w:sz="4" w:space="0" w:color="auto"/>
              <w:right w:val="single" w:sz="4" w:space="0" w:color="auto"/>
            </w:tcBorders>
            <w:shd w:val="clear" w:color="auto" w:fill="auto"/>
            <w:noWrap/>
            <w:vAlign w:val="bottom"/>
            <w:hideMark/>
          </w:tcPr>
          <w:p w14:paraId="5E2CD558" w14:textId="77777777" w:rsidR="00C93C49" w:rsidRPr="00C93C49" w:rsidRDefault="00C93C49" w:rsidP="00C93C49">
            <w:pPr>
              <w:spacing w:after="0" w:line="240" w:lineRule="auto"/>
              <w:jc w:val="right"/>
              <w:rPr>
                <w:rFonts w:ascii="Arial" w:eastAsia="Times New Roman" w:hAnsi="Arial" w:cs="Arial"/>
                <w:color w:val="000000"/>
                <w:sz w:val="20"/>
                <w:szCs w:val="20"/>
              </w:rPr>
            </w:pPr>
            <w:r w:rsidRPr="00C93C49">
              <w:rPr>
                <w:rFonts w:ascii="Arial" w:eastAsia="Times New Roman" w:hAnsi="Arial" w:cs="Arial"/>
                <w:color w:val="000000"/>
                <w:sz w:val="20"/>
                <w:szCs w:val="20"/>
              </w:rPr>
              <w:t>146</w:t>
            </w:r>
          </w:p>
        </w:tc>
        <w:tc>
          <w:tcPr>
            <w:tcW w:w="1296" w:type="dxa"/>
            <w:tcBorders>
              <w:top w:val="nil"/>
              <w:left w:val="nil"/>
              <w:bottom w:val="single" w:sz="4" w:space="0" w:color="auto"/>
              <w:right w:val="single" w:sz="4" w:space="0" w:color="auto"/>
            </w:tcBorders>
            <w:shd w:val="clear" w:color="auto" w:fill="auto"/>
            <w:noWrap/>
            <w:vAlign w:val="bottom"/>
            <w:hideMark/>
          </w:tcPr>
          <w:p w14:paraId="79017FC9" w14:textId="77777777" w:rsidR="00C93C49" w:rsidRPr="00C93C49" w:rsidRDefault="00C93C49" w:rsidP="00C93C49">
            <w:pPr>
              <w:spacing w:after="0" w:line="240" w:lineRule="auto"/>
              <w:jc w:val="right"/>
              <w:rPr>
                <w:rFonts w:ascii="Arial" w:eastAsia="Times New Roman" w:hAnsi="Arial" w:cs="Arial"/>
                <w:color w:val="000000"/>
                <w:sz w:val="20"/>
                <w:szCs w:val="20"/>
              </w:rPr>
            </w:pPr>
            <w:r w:rsidRPr="00C93C49">
              <w:rPr>
                <w:rFonts w:ascii="Arial" w:eastAsia="Times New Roman" w:hAnsi="Arial" w:cs="Arial"/>
                <w:color w:val="000000"/>
                <w:sz w:val="20"/>
                <w:szCs w:val="20"/>
              </w:rPr>
              <w:t>43</w:t>
            </w:r>
          </w:p>
        </w:tc>
        <w:tc>
          <w:tcPr>
            <w:tcW w:w="1296" w:type="dxa"/>
            <w:tcBorders>
              <w:top w:val="nil"/>
              <w:left w:val="nil"/>
              <w:bottom w:val="single" w:sz="4" w:space="0" w:color="auto"/>
              <w:right w:val="single" w:sz="4" w:space="0" w:color="auto"/>
            </w:tcBorders>
            <w:shd w:val="clear" w:color="auto" w:fill="auto"/>
            <w:noWrap/>
            <w:vAlign w:val="bottom"/>
            <w:hideMark/>
          </w:tcPr>
          <w:p w14:paraId="499034A9" w14:textId="77777777" w:rsidR="00C93C49" w:rsidRPr="00C93C49" w:rsidRDefault="00C93C49" w:rsidP="00C93C49">
            <w:pPr>
              <w:spacing w:after="0" w:line="240" w:lineRule="auto"/>
              <w:jc w:val="right"/>
              <w:rPr>
                <w:rFonts w:ascii="Arial" w:eastAsia="Times New Roman" w:hAnsi="Arial" w:cs="Arial"/>
                <w:color w:val="000000"/>
                <w:sz w:val="20"/>
                <w:szCs w:val="20"/>
              </w:rPr>
            </w:pPr>
            <w:r w:rsidRPr="00C93C49">
              <w:rPr>
                <w:rFonts w:ascii="Arial" w:eastAsia="Times New Roman" w:hAnsi="Arial" w:cs="Arial"/>
                <w:color w:val="000000"/>
                <w:sz w:val="20"/>
                <w:szCs w:val="20"/>
              </w:rPr>
              <w:t>28</w:t>
            </w:r>
          </w:p>
        </w:tc>
      </w:tr>
      <w:tr w:rsidR="00C93C49" w:rsidRPr="00C93C49" w14:paraId="6F7579AA" w14:textId="77777777" w:rsidTr="00347614">
        <w:trPr>
          <w:trHeight w:val="144"/>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6C08229" w14:textId="77777777" w:rsidR="00C93C49" w:rsidRPr="00C93C49" w:rsidRDefault="00C93C49" w:rsidP="00C93C49">
            <w:pPr>
              <w:spacing w:after="0" w:line="240" w:lineRule="auto"/>
              <w:rPr>
                <w:rFonts w:ascii="Arial" w:eastAsia="Times New Roman" w:hAnsi="Arial" w:cs="Arial"/>
                <w:b/>
                <w:color w:val="000000"/>
                <w:sz w:val="20"/>
                <w:szCs w:val="20"/>
              </w:rPr>
            </w:pPr>
            <w:r w:rsidRPr="00C93C49">
              <w:rPr>
                <w:rFonts w:ascii="Arial" w:eastAsia="Times New Roman" w:hAnsi="Arial" w:cs="Arial"/>
                <w:b/>
                <w:color w:val="000000"/>
                <w:sz w:val="20"/>
                <w:szCs w:val="20"/>
              </w:rPr>
              <w:t>Penn Power</w:t>
            </w:r>
          </w:p>
        </w:tc>
        <w:tc>
          <w:tcPr>
            <w:tcW w:w="1296" w:type="dxa"/>
            <w:tcBorders>
              <w:top w:val="nil"/>
              <w:left w:val="nil"/>
              <w:bottom w:val="single" w:sz="4" w:space="0" w:color="auto"/>
              <w:right w:val="single" w:sz="4" w:space="0" w:color="auto"/>
            </w:tcBorders>
            <w:shd w:val="clear" w:color="auto" w:fill="auto"/>
            <w:noWrap/>
            <w:vAlign w:val="bottom"/>
            <w:hideMark/>
          </w:tcPr>
          <w:p w14:paraId="424E2DCB" w14:textId="77777777" w:rsidR="00C93C49" w:rsidRPr="00C93C49" w:rsidRDefault="00C93C49" w:rsidP="00C93C49">
            <w:pPr>
              <w:spacing w:after="0" w:line="240" w:lineRule="auto"/>
              <w:jc w:val="right"/>
              <w:rPr>
                <w:rFonts w:ascii="Arial" w:eastAsia="Times New Roman" w:hAnsi="Arial" w:cs="Arial"/>
                <w:color w:val="000000"/>
                <w:sz w:val="20"/>
                <w:szCs w:val="20"/>
              </w:rPr>
            </w:pPr>
            <w:r w:rsidRPr="00C93C49">
              <w:rPr>
                <w:rFonts w:ascii="Arial" w:eastAsia="Times New Roman" w:hAnsi="Arial" w:cs="Arial"/>
                <w:color w:val="000000"/>
                <w:sz w:val="20"/>
                <w:szCs w:val="20"/>
              </w:rPr>
              <w:t>270</w:t>
            </w:r>
          </w:p>
        </w:tc>
        <w:tc>
          <w:tcPr>
            <w:tcW w:w="1296" w:type="dxa"/>
            <w:tcBorders>
              <w:top w:val="nil"/>
              <w:left w:val="nil"/>
              <w:bottom w:val="single" w:sz="4" w:space="0" w:color="auto"/>
              <w:right w:val="single" w:sz="4" w:space="0" w:color="auto"/>
            </w:tcBorders>
            <w:shd w:val="clear" w:color="auto" w:fill="auto"/>
            <w:noWrap/>
            <w:vAlign w:val="bottom"/>
            <w:hideMark/>
          </w:tcPr>
          <w:p w14:paraId="4C3FA8DA" w14:textId="77777777" w:rsidR="00C93C49" w:rsidRPr="00C93C49" w:rsidRDefault="00C93C49" w:rsidP="00C93C49">
            <w:pPr>
              <w:spacing w:after="0" w:line="240" w:lineRule="auto"/>
              <w:jc w:val="right"/>
              <w:rPr>
                <w:rFonts w:ascii="Arial" w:eastAsia="Times New Roman" w:hAnsi="Arial" w:cs="Arial"/>
                <w:color w:val="000000"/>
                <w:sz w:val="20"/>
                <w:szCs w:val="20"/>
              </w:rPr>
            </w:pPr>
            <w:r w:rsidRPr="00C93C49">
              <w:rPr>
                <w:rFonts w:ascii="Arial" w:eastAsia="Times New Roman" w:hAnsi="Arial" w:cs="Arial"/>
                <w:color w:val="000000"/>
                <w:sz w:val="20"/>
                <w:szCs w:val="20"/>
              </w:rPr>
              <w:t>158</w:t>
            </w:r>
          </w:p>
        </w:tc>
        <w:tc>
          <w:tcPr>
            <w:tcW w:w="1296" w:type="dxa"/>
            <w:tcBorders>
              <w:top w:val="nil"/>
              <w:left w:val="nil"/>
              <w:bottom w:val="single" w:sz="4" w:space="0" w:color="auto"/>
              <w:right w:val="single" w:sz="4" w:space="0" w:color="auto"/>
            </w:tcBorders>
            <w:shd w:val="clear" w:color="auto" w:fill="auto"/>
            <w:noWrap/>
            <w:vAlign w:val="bottom"/>
            <w:hideMark/>
          </w:tcPr>
          <w:p w14:paraId="413D8072" w14:textId="77777777" w:rsidR="00C93C49" w:rsidRPr="00C93C49" w:rsidRDefault="00C93C49" w:rsidP="00C93C49">
            <w:pPr>
              <w:spacing w:after="0" w:line="240" w:lineRule="auto"/>
              <w:jc w:val="right"/>
              <w:rPr>
                <w:rFonts w:ascii="Arial" w:eastAsia="Times New Roman" w:hAnsi="Arial" w:cs="Arial"/>
                <w:color w:val="000000"/>
                <w:sz w:val="20"/>
                <w:szCs w:val="20"/>
              </w:rPr>
            </w:pPr>
            <w:r w:rsidRPr="00C93C49">
              <w:rPr>
                <w:rFonts w:ascii="Arial" w:eastAsia="Times New Roman" w:hAnsi="Arial" w:cs="Arial"/>
                <w:color w:val="000000"/>
                <w:sz w:val="20"/>
                <w:szCs w:val="20"/>
              </w:rPr>
              <w:t>0</w:t>
            </w:r>
          </w:p>
        </w:tc>
      </w:tr>
      <w:tr w:rsidR="00C93C49" w:rsidRPr="00C93C49" w14:paraId="3CC85461" w14:textId="77777777" w:rsidTr="00347614">
        <w:trPr>
          <w:trHeight w:val="144"/>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8C97050" w14:textId="77777777" w:rsidR="00C93C49" w:rsidRPr="00C93C49" w:rsidRDefault="00C93C49" w:rsidP="00C93C49">
            <w:pPr>
              <w:spacing w:after="0" w:line="240" w:lineRule="auto"/>
              <w:rPr>
                <w:rFonts w:ascii="Arial" w:eastAsia="Times New Roman" w:hAnsi="Arial" w:cs="Arial"/>
                <w:b/>
                <w:color w:val="000000"/>
                <w:sz w:val="20"/>
                <w:szCs w:val="20"/>
              </w:rPr>
            </w:pPr>
            <w:r w:rsidRPr="00C93C49">
              <w:rPr>
                <w:rFonts w:ascii="Arial" w:eastAsia="Times New Roman" w:hAnsi="Arial" w:cs="Arial"/>
                <w:b/>
                <w:color w:val="000000"/>
                <w:sz w:val="20"/>
                <w:szCs w:val="20"/>
              </w:rPr>
              <w:t>West Penn Power</w:t>
            </w:r>
          </w:p>
        </w:tc>
        <w:tc>
          <w:tcPr>
            <w:tcW w:w="1296" w:type="dxa"/>
            <w:tcBorders>
              <w:top w:val="nil"/>
              <w:left w:val="nil"/>
              <w:bottom w:val="single" w:sz="4" w:space="0" w:color="auto"/>
              <w:right w:val="single" w:sz="4" w:space="0" w:color="auto"/>
            </w:tcBorders>
            <w:shd w:val="clear" w:color="auto" w:fill="auto"/>
            <w:noWrap/>
            <w:vAlign w:val="bottom"/>
            <w:hideMark/>
          </w:tcPr>
          <w:p w14:paraId="32E662CA" w14:textId="77777777" w:rsidR="00C93C49" w:rsidRPr="00C93C49" w:rsidRDefault="00C93C49" w:rsidP="00C93C49">
            <w:pPr>
              <w:spacing w:after="0" w:line="240" w:lineRule="auto"/>
              <w:jc w:val="right"/>
              <w:rPr>
                <w:rFonts w:ascii="Arial" w:eastAsia="Times New Roman" w:hAnsi="Arial" w:cs="Arial"/>
                <w:color w:val="000000"/>
                <w:sz w:val="20"/>
                <w:szCs w:val="20"/>
              </w:rPr>
            </w:pPr>
            <w:r w:rsidRPr="00C93C49">
              <w:rPr>
                <w:rFonts w:ascii="Arial" w:eastAsia="Times New Roman" w:hAnsi="Arial" w:cs="Arial"/>
                <w:color w:val="000000"/>
                <w:sz w:val="20"/>
                <w:szCs w:val="20"/>
              </w:rPr>
              <w:t>18,500</w:t>
            </w:r>
          </w:p>
        </w:tc>
        <w:tc>
          <w:tcPr>
            <w:tcW w:w="1296" w:type="dxa"/>
            <w:tcBorders>
              <w:top w:val="nil"/>
              <w:left w:val="nil"/>
              <w:bottom w:val="single" w:sz="4" w:space="0" w:color="auto"/>
              <w:right w:val="single" w:sz="4" w:space="0" w:color="auto"/>
            </w:tcBorders>
            <w:shd w:val="clear" w:color="auto" w:fill="auto"/>
            <w:noWrap/>
            <w:vAlign w:val="bottom"/>
            <w:hideMark/>
          </w:tcPr>
          <w:p w14:paraId="4B689BED" w14:textId="77777777" w:rsidR="00C93C49" w:rsidRPr="00C93C49" w:rsidRDefault="00C93C49" w:rsidP="00C93C49">
            <w:pPr>
              <w:spacing w:after="0" w:line="240" w:lineRule="auto"/>
              <w:jc w:val="right"/>
              <w:rPr>
                <w:rFonts w:ascii="Arial" w:eastAsia="Times New Roman" w:hAnsi="Arial" w:cs="Arial"/>
                <w:color w:val="000000"/>
                <w:sz w:val="20"/>
                <w:szCs w:val="20"/>
              </w:rPr>
            </w:pPr>
            <w:r w:rsidRPr="00C93C49">
              <w:rPr>
                <w:rFonts w:ascii="Arial" w:eastAsia="Times New Roman" w:hAnsi="Arial" w:cs="Arial"/>
                <w:color w:val="000000"/>
                <w:sz w:val="20"/>
                <w:szCs w:val="20"/>
              </w:rPr>
              <w:t>287</w:t>
            </w:r>
          </w:p>
        </w:tc>
        <w:tc>
          <w:tcPr>
            <w:tcW w:w="1296" w:type="dxa"/>
            <w:tcBorders>
              <w:top w:val="nil"/>
              <w:left w:val="nil"/>
              <w:bottom w:val="single" w:sz="4" w:space="0" w:color="auto"/>
              <w:right w:val="single" w:sz="4" w:space="0" w:color="auto"/>
            </w:tcBorders>
            <w:shd w:val="clear" w:color="auto" w:fill="auto"/>
            <w:noWrap/>
            <w:vAlign w:val="bottom"/>
            <w:hideMark/>
          </w:tcPr>
          <w:p w14:paraId="0732A3F3" w14:textId="77777777" w:rsidR="00C93C49" w:rsidRPr="00C93C49" w:rsidRDefault="00C93C49" w:rsidP="00C93C49">
            <w:pPr>
              <w:spacing w:after="0" w:line="240" w:lineRule="auto"/>
              <w:jc w:val="right"/>
              <w:rPr>
                <w:rFonts w:ascii="Arial" w:eastAsia="Times New Roman" w:hAnsi="Arial" w:cs="Arial"/>
                <w:color w:val="000000"/>
                <w:sz w:val="20"/>
                <w:szCs w:val="20"/>
              </w:rPr>
            </w:pPr>
            <w:r w:rsidRPr="00C93C49">
              <w:rPr>
                <w:rFonts w:ascii="Arial" w:eastAsia="Times New Roman" w:hAnsi="Arial" w:cs="Arial"/>
                <w:color w:val="000000"/>
                <w:sz w:val="20"/>
                <w:szCs w:val="20"/>
              </w:rPr>
              <w:t>53</w:t>
            </w:r>
          </w:p>
        </w:tc>
      </w:tr>
    </w:tbl>
    <w:p w14:paraId="6C59E26E" w14:textId="77777777" w:rsidR="00C93C49" w:rsidRPr="00C93C49" w:rsidRDefault="00C93C49" w:rsidP="00C93C49">
      <w:pPr>
        <w:widowControl w:val="0"/>
        <w:spacing w:after="0" w:line="240" w:lineRule="auto"/>
        <w:ind w:firstLine="1800"/>
        <w:rPr>
          <w:rFonts w:ascii="Arial" w:eastAsia="Times New Roman" w:hAnsi="Arial" w:cs="Arial"/>
          <w:snapToGrid w:val="0"/>
          <w:sz w:val="18"/>
          <w:szCs w:val="18"/>
        </w:rPr>
      </w:pPr>
      <w:r w:rsidRPr="00C93C49">
        <w:rPr>
          <w:rFonts w:ascii="Arial" w:eastAsia="Times New Roman" w:hAnsi="Arial" w:cs="Arial"/>
          <w:snapToGrid w:val="0"/>
          <w:sz w:val="18"/>
          <w:szCs w:val="18"/>
        </w:rPr>
        <w:t>Source: Data Request CS-8</w:t>
      </w:r>
    </w:p>
    <w:p w14:paraId="4F5083F4" w14:textId="77777777" w:rsidR="00C93C49" w:rsidRPr="00C93C49" w:rsidRDefault="00C93C49" w:rsidP="00C93C49">
      <w:pPr>
        <w:widowControl w:val="0"/>
        <w:spacing w:after="0" w:line="240" w:lineRule="auto"/>
        <w:rPr>
          <w:rFonts w:ascii="Arial" w:eastAsia="Times New Roman" w:hAnsi="Arial" w:cs="Arial"/>
          <w:snapToGrid w:val="0"/>
          <w:sz w:val="24"/>
          <w:szCs w:val="20"/>
        </w:rPr>
      </w:pPr>
    </w:p>
    <w:p w14:paraId="5EE31A5B" w14:textId="77777777" w:rsidR="00C93C49" w:rsidRPr="00C93C49" w:rsidRDefault="00C93C49" w:rsidP="00C93C49">
      <w:pPr>
        <w:widowControl w:val="0"/>
        <w:spacing w:after="0" w:line="240" w:lineRule="auto"/>
        <w:rPr>
          <w:rFonts w:ascii="Arial" w:eastAsia="Times New Roman" w:hAnsi="Arial" w:cs="Arial"/>
          <w:b/>
          <w:snapToGrid w:val="0"/>
          <w:sz w:val="24"/>
          <w:szCs w:val="20"/>
          <w:u w:val="single"/>
        </w:rPr>
      </w:pPr>
    </w:p>
    <w:p w14:paraId="4976F26B" w14:textId="57AA23CD" w:rsidR="00C93C49" w:rsidRPr="00C93C49" w:rsidRDefault="00C93C49" w:rsidP="00C93C49">
      <w:pPr>
        <w:widowControl w:val="0"/>
        <w:spacing w:after="0" w:line="240" w:lineRule="auto"/>
        <w:ind w:firstLine="720"/>
        <w:rPr>
          <w:rFonts w:ascii="Arial" w:eastAsia="Times New Roman" w:hAnsi="Arial" w:cs="Arial"/>
          <w:snapToGrid w:val="0"/>
          <w:sz w:val="24"/>
          <w:szCs w:val="20"/>
        </w:rPr>
      </w:pPr>
      <w:r w:rsidRPr="00C93C49">
        <w:rPr>
          <w:rFonts w:ascii="Arial" w:eastAsia="Times New Roman" w:hAnsi="Arial" w:cs="Arial"/>
          <w:snapToGrid w:val="0"/>
          <w:sz w:val="24"/>
          <w:szCs w:val="20"/>
        </w:rPr>
        <w:t xml:space="preserve">The </w:t>
      </w:r>
      <w:r w:rsidR="00DC3D9B">
        <w:rPr>
          <w:rFonts w:ascii="Arial" w:eastAsia="Times New Roman" w:hAnsi="Arial" w:cs="Arial"/>
          <w:snapToGrid w:val="0"/>
          <w:sz w:val="24"/>
          <w:szCs w:val="20"/>
        </w:rPr>
        <w:t>FE-PA companies</w:t>
      </w:r>
      <w:r w:rsidRPr="00C93C49">
        <w:rPr>
          <w:rFonts w:ascii="Arial" w:eastAsia="Times New Roman" w:hAnsi="Arial" w:cs="Arial"/>
          <w:snapToGrid w:val="0"/>
          <w:sz w:val="24"/>
          <w:szCs w:val="20"/>
        </w:rPr>
        <w:t xml:space="preserve"> </w:t>
      </w:r>
      <w:r w:rsidR="007C326B">
        <w:rPr>
          <w:rFonts w:ascii="Arial" w:eastAsia="Times New Roman" w:hAnsi="Arial" w:cs="Arial"/>
          <w:snapToGrid w:val="0"/>
          <w:sz w:val="24"/>
          <w:szCs w:val="20"/>
        </w:rPr>
        <w:t xml:space="preserve">stated </w:t>
      </w:r>
      <w:r w:rsidR="009C200A">
        <w:rPr>
          <w:rFonts w:ascii="Arial" w:eastAsia="Times New Roman" w:hAnsi="Arial" w:cs="Arial"/>
          <w:snapToGrid w:val="0"/>
          <w:sz w:val="24"/>
          <w:szCs w:val="20"/>
        </w:rPr>
        <w:t xml:space="preserve">that emphasis is placed </w:t>
      </w:r>
      <w:r w:rsidRPr="00C93C49">
        <w:rPr>
          <w:rFonts w:ascii="Arial" w:eastAsia="Times New Roman" w:hAnsi="Arial" w:cs="Arial"/>
          <w:snapToGrid w:val="0"/>
          <w:sz w:val="24"/>
          <w:szCs w:val="20"/>
        </w:rPr>
        <w:t>updating undisclosed meter locations as part of morning job briefings</w:t>
      </w:r>
      <w:r w:rsidR="009C200A">
        <w:rPr>
          <w:rFonts w:ascii="Arial" w:eastAsia="Times New Roman" w:hAnsi="Arial" w:cs="Arial"/>
          <w:snapToGrid w:val="0"/>
          <w:sz w:val="24"/>
          <w:szCs w:val="20"/>
        </w:rPr>
        <w:t xml:space="preserve"> with employees</w:t>
      </w:r>
      <w:r w:rsidRPr="00C93C49">
        <w:rPr>
          <w:rFonts w:ascii="Arial" w:eastAsia="Times New Roman" w:hAnsi="Arial" w:cs="Arial"/>
          <w:snapToGrid w:val="0"/>
          <w:sz w:val="24"/>
          <w:szCs w:val="20"/>
        </w:rPr>
        <w:t xml:space="preserve">.  Also, communications are held with the smart meter deployment vendor to ensure that any necessary updates to the meter locations have been made.  Additionally, a report was created and is distributed monthly to meter reading management that summarizes meters without a meter location.  </w:t>
      </w:r>
      <w:r w:rsidR="002D24BF" w:rsidRPr="00C93C49">
        <w:rPr>
          <w:rFonts w:ascii="Arial" w:eastAsia="Times New Roman" w:hAnsi="Arial" w:cs="Arial"/>
          <w:snapToGrid w:val="0"/>
          <w:sz w:val="24"/>
          <w:szCs w:val="20"/>
        </w:rPr>
        <w:t>Regardless</w:t>
      </w:r>
      <w:r w:rsidRPr="00C93C49">
        <w:rPr>
          <w:rFonts w:ascii="Arial" w:eastAsia="Times New Roman" w:hAnsi="Arial" w:cs="Arial"/>
          <w:snapToGrid w:val="0"/>
          <w:sz w:val="24"/>
          <w:szCs w:val="20"/>
        </w:rPr>
        <w:t xml:space="preserve"> if a meter set is located inside or outside a structure, as smart meter technology is implemented throughout the </w:t>
      </w:r>
      <w:r w:rsidR="00DC3D9B">
        <w:rPr>
          <w:rFonts w:ascii="Arial" w:eastAsia="Times New Roman" w:hAnsi="Arial" w:cs="Arial"/>
          <w:snapToGrid w:val="0"/>
          <w:sz w:val="24"/>
          <w:szCs w:val="20"/>
        </w:rPr>
        <w:t>FE-PA companies</w:t>
      </w:r>
      <w:r w:rsidRPr="00C93C49">
        <w:rPr>
          <w:rFonts w:ascii="Arial" w:eastAsia="Times New Roman" w:hAnsi="Arial" w:cs="Arial"/>
          <w:snapToGrid w:val="0"/>
          <w:sz w:val="24"/>
          <w:szCs w:val="20"/>
        </w:rPr>
        <w:t>, it will be easier to obtain a read.</w:t>
      </w:r>
    </w:p>
    <w:p w14:paraId="733ED925" w14:textId="77777777" w:rsidR="00C93C49" w:rsidRPr="00C93C49" w:rsidRDefault="00C93C49" w:rsidP="00C93C49">
      <w:pPr>
        <w:widowControl w:val="0"/>
        <w:spacing w:after="0" w:line="240" w:lineRule="auto"/>
        <w:rPr>
          <w:rFonts w:ascii="Arial" w:eastAsia="Times New Roman" w:hAnsi="Arial" w:cs="Arial"/>
          <w:snapToGrid w:val="0"/>
          <w:sz w:val="24"/>
          <w:szCs w:val="20"/>
        </w:rPr>
      </w:pPr>
    </w:p>
    <w:p w14:paraId="4D1D5E52" w14:textId="77777777" w:rsidR="00C93C49" w:rsidRPr="00C93C49" w:rsidRDefault="00C93C49" w:rsidP="00C93C49">
      <w:pPr>
        <w:widowControl w:val="0"/>
        <w:spacing w:after="0" w:line="20" w:lineRule="atLeast"/>
        <w:contextualSpacing/>
        <w:rPr>
          <w:rFonts w:ascii="Arial" w:hAnsi="Arial" w:cs="Arial"/>
          <w:sz w:val="24"/>
          <w:szCs w:val="24"/>
        </w:rPr>
      </w:pPr>
      <w:r w:rsidRPr="00C93C49">
        <w:rPr>
          <w:rFonts w:ascii="Arial" w:eastAsia="Times New Roman" w:hAnsi="Arial" w:cs="Times New Roman"/>
          <w:b/>
          <w:sz w:val="24"/>
          <w:szCs w:val="24"/>
          <w:u w:val="single"/>
        </w:rPr>
        <w:t>Follow-up Recommendation</w:t>
      </w:r>
      <w:r w:rsidRPr="00C93C49">
        <w:rPr>
          <w:rFonts w:ascii="Arial" w:eastAsia="Times New Roman" w:hAnsi="Arial" w:cs="Times New Roman"/>
          <w:b/>
          <w:sz w:val="24"/>
          <w:szCs w:val="24"/>
        </w:rPr>
        <w:t xml:space="preserve"> –</w:t>
      </w:r>
      <w:r w:rsidRPr="00C93C49">
        <w:rPr>
          <w:rFonts w:ascii="Arial" w:eastAsia="Times New Roman" w:hAnsi="Arial" w:cs="Arial"/>
          <w:b/>
          <w:snapToGrid w:val="0"/>
          <w:sz w:val="24"/>
          <w:szCs w:val="20"/>
        </w:rPr>
        <w:t xml:space="preserve"> None</w:t>
      </w:r>
    </w:p>
    <w:p w14:paraId="7AB84F9E" w14:textId="77777777" w:rsidR="00C93C49" w:rsidRDefault="00C93C49">
      <w:pPr>
        <w:rPr>
          <w:rFonts w:ascii="Arial" w:hAnsi="Arial" w:cs="Arial"/>
          <w:bCs/>
          <w:color w:val="000000"/>
          <w:sz w:val="24"/>
          <w:szCs w:val="24"/>
        </w:rPr>
      </w:pPr>
      <w:r>
        <w:rPr>
          <w:rFonts w:ascii="Arial" w:hAnsi="Arial" w:cs="Arial"/>
          <w:bCs/>
          <w:color w:val="000000"/>
          <w:sz w:val="24"/>
          <w:szCs w:val="24"/>
        </w:rPr>
        <w:br w:type="page"/>
      </w:r>
    </w:p>
    <w:p w14:paraId="0BD36CD1" w14:textId="77777777" w:rsidR="00C93C49" w:rsidRPr="00BD0A46" w:rsidRDefault="00C93C49" w:rsidP="00C93C49">
      <w:pPr>
        <w:spacing w:line="240" w:lineRule="auto"/>
        <w:contextualSpacing/>
        <w:jc w:val="center"/>
        <w:rPr>
          <w:rFonts w:ascii="Arial" w:hAnsi="Arial" w:cs="Arial"/>
          <w:b/>
          <w:sz w:val="26"/>
          <w:szCs w:val="26"/>
        </w:rPr>
      </w:pPr>
      <w:r>
        <w:rPr>
          <w:rFonts w:ascii="Arial" w:hAnsi="Arial" w:cs="Arial"/>
          <w:b/>
          <w:sz w:val="26"/>
          <w:szCs w:val="26"/>
        </w:rPr>
        <w:t>XI. HUMAN RESOURCES</w:t>
      </w:r>
    </w:p>
    <w:p w14:paraId="490250B0" w14:textId="77777777" w:rsidR="00C93C49" w:rsidRPr="00BB48FA" w:rsidRDefault="00C93C49" w:rsidP="00C93C49">
      <w:pPr>
        <w:spacing w:line="240" w:lineRule="auto"/>
        <w:contextualSpacing/>
        <w:rPr>
          <w:rFonts w:ascii="Arial" w:hAnsi="Arial" w:cs="Arial"/>
          <w:b/>
          <w:sz w:val="24"/>
          <w:szCs w:val="24"/>
        </w:rPr>
      </w:pPr>
    </w:p>
    <w:p w14:paraId="78DE43B4" w14:textId="77777777" w:rsidR="00C93C49" w:rsidRPr="00BB48FA" w:rsidRDefault="00C93C49" w:rsidP="00C93C49">
      <w:pPr>
        <w:spacing w:line="240" w:lineRule="auto"/>
        <w:contextualSpacing/>
        <w:rPr>
          <w:rFonts w:ascii="Arial" w:hAnsi="Arial" w:cs="Arial"/>
          <w:b/>
          <w:sz w:val="24"/>
          <w:szCs w:val="24"/>
        </w:rPr>
      </w:pPr>
    </w:p>
    <w:p w14:paraId="01D85372" w14:textId="77777777" w:rsidR="00C93C49" w:rsidRPr="00451187" w:rsidRDefault="00C93C49" w:rsidP="00C93C49">
      <w:pPr>
        <w:spacing w:line="240" w:lineRule="auto"/>
        <w:contextualSpacing/>
        <w:rPr>
          <w:rFonts w:ascii="Arial" w:hAnsi="Arial" w:cs="Arial"/>
          <w:b/>
          <w:sz w:val="24"/>
          <w:szCs w:val="24"/>
        </w:rPr>
      </w:pPr>
      <w:r w:rsidRPr="00B54669">
        <w:rPr>
          <w:rFonts w:ascii="Arial" w:hAnsi="Arial" w:cs="Arial"/>
          <w:b/>
          <w:sz w:val="24"/>
          <w:szCs w:val="24"/>
          <w:u w:val="single"/>
        </w:rPr>
        <w:t>Background</w:t>
      </w:r>
      <w:r w:rsidRPr="00B54669">
        <w:rPr>
          <w:rFonts w:ascii="Arial" w:hAnsi="Arial" w:cs="Arial"/>
          <w:sz w:val="24"/>
          <w:szCs w:val="24"/>
        </w:rPr>
        <w:t xml:space="preserve"> – </w:t>
      </w:r>
      <w:r w:rsidR="0081335C" w:rsidRPr="007C465E">
        <w:rPr>
          <w:rFonts w:ascii="Arial" w:eastAsia="Times New Roman" w:hAnsi="Arial" w:cs="Times New Roman"/>
          <w:sz w:val="24"/>
          <w:szCs w:val="24"/>
        </w:rPr>
        <w:t xml:space="preserve">The </w:t>
      </w:r>
      <w:r w:rsidR="0081335C">
        <w:rPr>
          <w:rFonts w:ascii="Arial" w:eastAsia="Times New Roman" w:hAnsi="Arial" w:cs="Times New Roman"/>
          <w:sz w:val="24"/>
          <w:szCs w:val="24"/>
        </w:rPr>
        <w:t xml:space="preserve">2014 </w:t>
      </w:r>
      <w:r w:rsidR="0081335C" w:rsidRPr="007C465E">
        <w:rPr>
          <w:rFonts w:ascii="Arial" w:eastAsia="Times New Roman" w:hAnsi="Arial" w:cs="Times New Roman"/>
          <w:sz w:val="24"/>
          <w:szCs w:val="24"/>
        </w:rPr>
        <w:t xml:space="preserve">Focused Management and Operations Audit of </w:t>
      </w:r>
      <w:r w:rsidR="0081335C">
        <w:rPr>
          <w:rFonts w:ascii="Arial" w:eastAsia="Times New Roman" w:hAnsi="Arial" w:cs="Times New Roman"/>
          <w:sz w:val="24"/>
          <w:szCs w:val="24"/>
        </w:rPr>
        <w:t xml:space="preserve">the </w:t>
      </w:r>
      <w:r w:rsidR="00DC3D9B">
        <w:rPr>
          <w:rFonts w:ascii="Arial" w:eastAsia="Times New Roman" w:hAnsi="Arial" w:cs="Times New Roman"/>
          <w:sz w:val="24"/>
          <w:szCs w:val="24"/>
        </w:rPr>
        <w:t>FE-PA companies</w:t>
      </w:r>
      <w:r w:rsidR="0081335C">
        <w:rPr>
          <w:rFonts w:ascii="Arial" w:eastAsia="Times New Roman" w:hAnsi="Arial" w:cs="Times New Roman"/>
          <w:sz w:val="24"/>
          <w:szCs w:val="24"/>
        </w:rPr>
        <w:t xml:space="preserve"> </w:t>
      </w:r>
      <w:r w:rsidR="000458C1">
        <w:rPr>
          <w:rFonts w:ascii="Arial" w:eastAsia="Times New Roman" w:hAnsi="Arial" w:cs="Times New Roman"/>
          <w:sz w:val="24"/>
          <w:szCs w:val="24"/>
        </w:rPr>
        <w:t xml:space="preserve">examined the </w:t>
      </w:r>
      <w:r w:rsidR="000458C1">
        <w:rPr>
          <w:rFonts w:ascii="Arial" w:hAnsi="Arial" w:cs="Arial"/>
          <w:sz w:val="24"/>
          <w:szCs w:val="24"/>
        </w:rPr>
        <w:t>Human Resources</w:t>
      </w:r>
      <w:r w:rsidR="000458C1" w:rsidRPr="00451187">
        <w:rPr>
          <w:rFonts w:ascii="Arial" w:hAnsi="Arial" w:cs="Arial"/>
          <w:sz w:val="24"/>
          <w:szCs w:val="24"/>
        </w:rPr>
        <w:t xml:space="preserve"> </w:t>
      </w:r>
      <w:r w:rsidR="000458C1">
        <w:rPr>
          <w:rFonts w:ascii="Arial" w:eastAsia="Times New Roman" w:hAnsi="Arial" w:cs="Times New Roman"/>
          <w:sz w:val="24"/>
          <w:szCs w:val="24"/>
        </w:rPr>
        <w:t>function</w:t>
      </w:r>
      <w:r w:rsidR="000458C1">
        <w:rPr>
          <w:rFonts w:ascii="Arial" w:hAnsi="Arial" w:cs="Arial"/>
          <w:sz w:val="24"/>
          <w:szCs w:val="24"/>
        </w:rPr>
        <w:t>, which</w:t>
      </w:r>
      <w:r w:rsidR="000458C1" w:rsidRPr="00C209CF">
        <w:rPr>
          <w:rFonts w:ascii="Arial" w:hAnsi="Arial" w:cs="Arial"/>
          <w:sz w:val="24"/>
          <w:szCs w:val="24"/>
        </w:rPr>
        <w:t xml:space="preserve"> included a review of </w:t>
      </w:r>
      <w:r w:rsidR="000458C1">
        <w:rPr>
          <w:rFonts w:ascii="Arial" w:eastAsia="Times New Roman" w:hAnsi="Arial" w:cs="Arial"/>
          <w:sz w:val="24"/>
          <w:szCs w:val="24"/>
        </w:rPr>
        <w:t xml:space="preserve">the </w:t>
      </w:r>
      <w:r w:rsidR="00DC3D9B">
        <w:rPr>
          <w:rFonts w:ascii="Arial" w:eastAsia="Times New Roman" w:hAnsi="Arial" w:cs="Arial"/>
          <w:sz w:val="24"/>
          <w:szCs w:val="24"/>
        </w:rPr>
        <w:t>FE-PA companies</w:t>
      </w:r>
      <w:r w:rsidR="000458C1">
        <w:rPr>
          <w:rFonts w:ascii="Arial" w:eastAsia="Times New Roman" w:hAnsi="Arial" w:cs="Arial"/>
          <w:sz w:val="24"/>
          <w:szCs w:val="24"/>
        </w:rPr>
        <w:t>’ HR</w:t>
      </w:r>
      <w:r w:rsidR="000458C1" w:rsidRPr="004C6AAF">
        <w:rPr>
          <w:rFonts w:ascii="Arial" w:eastAsia="Times New Roman" w:hAnsi="Arial" w:cs="Arial"/>
          <w:sz w:val="24"/>
          <w:szCs w:val="24"/>
        </w:rPr>
        <w:t xml:space="preserve"> information system</w:t>
      </w:r>
      <w:r w:rsidR="000458C1">
        <w:rPr>
          <w:rFonts w:ascii="Arial" w:eastAsia="Times New Roman" w:hAnsi="Arial" w:cs="Arial"/>
          <w:sz w:val="24"/>
          <w:szCs w:val="24"/>
        </w:rPr>
        <w:t>s</w:t>
      </w:r>
      <w:r w:rsidR="000458C1" w:rsidRPr="004C6AAF">
        <w:rPr>
          <w:rFonts w:ascii="Arial" w:eastAsia="Times New Roman" w:hAnsi="Arial" w:cs="Arial"/>
          <w:sz w:val="24"/>
          <w:szCs w:val="24"/>
        </w:rPr>
        <w:t xml:space="preserve">, </w:t>
      </w:r>
      <w:r w:rsidR="000458C1">
        <w:rPr>
          <w:rFonts w:ascii="Arial" w:eastAsia="Times New Roman" w:hAnsi="Arial" w:cs="Arial"/>
          <w:sz w:val="24"/>
          <w:szCs w:val="24"/>
        </w:rPr>
        <w:t xml:space="preserve">policies and procedures, </w:t>
      </w:r>
      <w:r w:rsidR="000458C1" w:rsidRPr="004C6AAF">
        <w:rPr>
          <w:rFonts w:ascii="Arial" w:eastAsia="Times New Roman" w:hAnsi="Arial" w:cs="Arial"/>
          <w:sz w:val="24"/>
          <w:szCs w:val="24"/>
        </w:rPr>
        <w:t xml:space="preserve">safety programs, training, </w:t>
      </w:r>
      <w:r w:rsidR="000458C1">
        <w:rPr>
          <w:rFonts w:ascii="Arial" w:eastAsia="Times New Roman" w:hAnsi="Arial" w:cs="Arial"/>
          <w:sz w:val="24"/>
          <w:szCs w:val="24"/>
        </w:rPr>
        <w:t xml:space="preserve">compensation, </w:t>
      </w:r>
      <w:r w:rsidR="000458C1" w:rsidRPr="004C6AAF">
        <w:rPr>
          <w:rFonts w:ascii="Arial" w:eastAsia="Times New Roman" w:hAnsi="Arial" w:cs="Arial"/>
          <w:sz w:val="24"/>
          <w:szCs w:val="24"/>
        </w:rPr>
        <w:t xml:space="preserve">benefits, and </w:t>
      </w:r>
      <w:r w:rsidR="000458C1">
        <w:rPr>
          <w:rFonts w:ascii="Arial" w:eastAsia="Times New Roman" w:hAnsi="Arial" w:cs="Arial"/>
          <w:sz w:val="24"/>
          <w:szCs w:val="24"/>
        </w:rPr>
        <w:t xml:space="preserve">diversity programs.  </w:t>
      </w:r>
      <w:r w:rsidR="000F5114">
        <w:rPr>
          <w:rFonts w:ascii="Arial" w:eastAsia="Times New Roman" w:hAnsi="Arial" w:cs="Arial"/>
          <w:sz w:val="24"/>
          <w:szCs w:val="24"/>
        </w:rPr>
        <w:t xml:space="preserve">The </w:t>
      </w:r>
      <w:r w:rsidR="002F53D6">
        <w:rPr>
          <w:rFonts w:ascii="Arial" w:eastAsia="Times New Roman" w:hAnsi="Arial" w:cs="Arial"/>
          <w:sz w:val="24"/>
          <w:szCs w:val="24"/>
        </w:rPr>
        <w:t>Human Resources functions for FirstEnergy and the FE-PA Companies are performed by a combination of personnel within FirstEnergy, FirstEnergy Service Company</w:t>
      </w:r>
      <w:r w:rsidR="00030517">
        <w:rPr>
          <w:rFonts w:ascii="Arial" w:eastAsia="Times New Roman" w:hAnsi="Arial" w:cs="Arial"/>
          <w:sz w:val="24"/>
          <w:szCs w:val="24"/>
        </w:rPr>
        <w:t xml:space="preserve"> (FESC)</w:t>
      </w:r>
      <w:r w:rsidR="002F53D6">
        <w:rPr>
          <w:rFonts w:ascii="Arial" w:eastAsia="Times New Roman" w:hAnsi="Arial" w:cs="Arial"/>
          <w:sz w:val="24"/>
          <w:szCs w:val="24"/>
        </w:rPr>
        <w:t xml:space="preserve">, and each of the FE-PA companies.  </w:t>
      </w:r>
      <w:r w:rsidR="000458C1" w:rsidRPr="007C465E">
        <w:rPr>
          <w:rFonts w:ascii="Arial" w:eastAsia="Times New Roman" w:hAnsi="Arial" w:cs="Times New Roman"/>
          <w:sz w:val="24"/>
          <w:szCs w:val="24"/>
        </w:rPr>
        <w:t>The</w:t>
      </w:r>
      <w:r w:rsidR="000458C1">
        <w:rPr>
          <w:rFonts w:ascii="Arial" w:eastAsia="Times New Roman" w:hAnsi="Arial" w:cs="Times New Roman"/>
          <w:sz w:val="24"/>
          <w:szCs w:val="24"/>
        </w:rPr>
        <w:t xml:space="preserve"> PUC</w:t>
      </w:r>
      <w:r w:rsidR="000458C1" w:rsidRPr="007C465E">
        <w:rPr>
          <w:rFonts w:ascii="Arial" w:eastAsia="Times New Roman" w:hAnsi="Arial" w:cs="Times New Roman"/>
          <w:sz w:val="24"/>
          <w:szCs w:val="24"/>
        </w:rPr>
        <w:t xml:space="preserve"> </w:t>
      </w:r>
      <w:r w:rsidR="000458C1">
        <w:rPr>
          <w:rFonts w:ascii="Arial" w:eastAsia="Times New Roman" w:hAnsi="Arial" w:cs="Times New Roman"/>
          <w:sz w:val="24"/>
          <w:szCs w:val="24"/>
        </w:rPr>
        <w:t>auditors</w:t>
      </w:r>
      <w:r w:rsidR="000458C1" w:rsidRPr="007C465E">
        <w:rPr>
          <w:rFonts w:ascii="Arial" w:eastAsia="Times New Roman" w:hAnsi="Arial" w:cs="Times New Roman"/>
          <w:sz w:val="24"/>
          <w:szCs w:val="24"/>
        </w:rPr>
        <w:t xml:space="preserve"> </w:t>
      </w:r>
      <w:r w:rsidR="000458C1">
        <w:rPr>
          <w:rFonts w:ascii="Arial" w:eastAsia="Times New Roman" w:hAnsi="Arial" w:cs="Times New Roman"/>
          <w:sz w:val="24"/>
          <w:szCs w:val="24"/>
        </w:rPr>
        <w:t xml:space="preserve">issued </w:t>
      </w:r>
      <w:r>
        <w:rPr>
          <w:rFonts w:ascii="Arial" w:hAnsi="Arial" w:cs="Arial"/>
          <w:sz w:val="24"/>
          <w:szCs w:val="24"/>
        </w:rPr>
        <w:t>two</w:t>
      </w:r>
      <w:r w:rsidRPr="00451187">
        <w:rPr>
          <w:rFonts w:ascii="Arial" w:hAnsi="Arial" w:cs="Arial"/>
          <w:sz w:val="24"/>
          <w:szCs w:val="24"/>
        </w:rPr>
        <w:t xml:space="preserve"> recommendations </w:t>
      </w:r>
      <w:r w:rsidR="0094097A">
        <w:rPr>
          <w:rFonts w:ascii="Arial" w:hAnsi="Arial" w:cs="Arial"/>
          <w:sz w:val="24"/>
          <w:szCs w:val="24"/>
        </w:rPr>
        <w:t xml:space="preserve">in </w:t>
      </w:r>
      <w:r w:rsidRPr="00451187">
        <w:rPr>
          <w:rFonts w:ascii="Arial" w:hAnsi="Arial" w:cs="Arial"/>
          <w:sz w:val="24"/>
          <w:szCs w:val="24"/>
        </w:rPr>
        <w:t xml:space="preserve">the </w:t>
      </w:r>
      <w:r>
        <w:rPr>
          <w:rFonts w:ascii="Arial" w:hAnsi="Arial" w:cs="Arial"/>
          <w:sz w:val="24"/>
          <w:szCs w:val="24"/>
        </w:rPr>
        <w:t>Human Resources</w:t>
      </w:r>
      <w:r w:rsidRPr="00451187">
        <w:rPr>
          <w:rFonts w:ascii="Arial" w:hAnsi="Arial" w:cs="Arial"/>
          <w:sz w:val="24"/>
          <w:szCs w:val="24"/>
        </w:rPr>
        <w:t xml:space="preserve"> chapter</w:t>
      </w:r>
      <w:r w:rsidR="000458C1">
        <w:rPr>
          <w:rFonts w:ascii="Arial" w:hAnsi="Arial" w:cs="Arial"/>
          <w:sz w:val="24"/>
          <w:szCs w:val="24"/>
        </w:rPr>
        <w:t xml:space="preserve"> and </w:t>
      </w:r>
      <w:r w:rsidRPr="00451187">
        <w:rPr>
          <w:rFonts w:ascii="Arial" w:hAnsi="Arial" w:cs="Arial"/>
          <w:sz w:val="24"/>
          <w:szCs w:val="24"/>
        </w:rPr>
        <w:t xml:space="preserve">rated this functional area as needing moderate improvement.  In this chapter, the </w:t>
      </w:r>
      <w:r>
        <w:rPr>
          <w:rFonts w:ascii="Arial" w:hAnsi="Arial" w:cs="Arial"/>
          <w:sz w:val="24"/>
          <w:szCs w:val="24"/>
        </w:rPr>
        <w:t>two</w:t>
      </w:r>
      <w:r w:rsidRPr="00451187">
        <w:rPr>
          <w:rFonts w:ascii="Arial" w:hAnsi="Arial" w:cs="Arial"/>
          <w:sz w:val="24"/>
          <w:szCs w:val="24"/>
        </w:rPr>
        <w:t xml:space="preserve"> prior</w:t>
      </w:r>
      <w:r w:rsidR="009559F4">
        <w:rPr>
          <w:rFonts w:ascii="Arial" w:hAnsi="Arial" w:cs="Arial"/>
          <w:sz w:val="24"/>
          <w:szCs w:val="24"/>
        </w:rPr>
        <w:t xml:space="preserve"> </w:t>
      </w:r>
      <w:r w:rsidRPr="00451187">
        <w:rPr>
          <w:rFonts w:ascii="Arial" w:hAnsi="Arial" w:cs="Arial"/>
          <w:sz w:val="24"/>
          <w:szCs w:val="24"/>
        </w:rPr>
        <w:t xml:space="preserve">recommendations and </w:t>
      </w:r>
      <w:r>
        <w:rPr>
          <w:rFonts w:ascii="Arial" w:hAnsi="Arial" w:cs="Arial"/>
          <w:sz w:val="24"/>
          <w:szCs w:val="24"/>
        </w:rPr>
        <w:t>two</w:t>
      </w:r>
      <w:r w:rsidRPr="00451187">
        <w:rPr>
          <w:rFonts w:ascii="Arial" w:hAnsi="Arial" w:cs="Arial"/>
          <w:sz w:val="24"/>
          <w:szCs w:val="24"/>
        </w:rPr>
        <w:t xml:space="preserve"> prior situations are reviewed</w:t>
      </w:r>
      <w:r w:rsidR="00035C5C">
        <w:rPr>
          <w:rFonts w:ascii="Arial" w:hAnsi="Arial" w:cs="Arial"/>
          <w:sz w:val="24"/>
          <w:szCs w:val="24"/>
        </w:rPr>
        <w:t>,</w:t>
      </w:r>
      <w:r w:rsidRPr="00451187">
        <w:rPr>
          <w:rFonts w:ascii="Arial" w:hAnsi="Arial" w:cs="Arial"/>
          <w:sz w:val="24"/>
          <w:szCs w:val="24"/>
        </w:rPr>
        <w:t xml:space="preserve"> and </w:t>
      </w:r>
      <w:r>
        <w:rPr>
          <w:rFonts w:ascii="Arial" w:hAnsi="Arial" w:cs="Arial"/>
          <w:sz w:val="24"/>
          <w:szCs w:val="24"/>
        </w:rPr>
        <w:t>two</w:t>
      </w:r>
      <w:r w:rsidRPr="00451187">
        <w:rPr>
          <w:rFonts w:ascii="Arial" w:hAnsi="Arial" w:cs="Arial"/>
          <w:sz w:val="24"/>
          <w:szCs w:val="24"/>
        </w:rPr>
        <w:t xml:space="preserve"> follow-up findings are presented.</w:t>
      </w:r>
    </w:p>
    <w:p w14:paraId="6305E40D" w14:textId="77777777" w:rsidR="00C93C49" w:rsidRDefault="00C93C49" w:rsidP="00C93C49">
      <w:pPr>
        <w:spacing w:line="240" w:lineRule="auto"/>
        <w:contextualSpacing/>
        <w:rPr>
          <w:rFonts w:ascii="Arial" w:hAnsi="Arial" w:cs="Arial"/>
          <w:sz w:val="24"/>
          <w:szCs w:val="24"/>
        </w:rPr>
      </w:pPr>
    </w:p>
    <w:p w14:paraId="740AA3EF" w14:textId="77777777" w:rsidR="000458C1" w:rsidRDefault="000458C1" w:rsidP="00C4057E">
      <w:pPr>
        <w:spacing w:line="240" w:lineRule="auto"/>
        <w:contextualSpacing/>
        <w:jc w:val="center"/>
        <w:rPr>
          <w:rFonts w:ascii="Arial" w:eastAsia="Times New Roman" w:hAnsi="Arial" w:cs="Times New Roman"/>
          <w:b/>
          <w:sz w:val="24"/>
          <w:szCs w:val="24"/>
          <w:u w:val="single"/>
        </w:rPr>
      </w:pPr>
      <w:r w:rsidRPr="00C93C49">
        <w:rPr>
          <w:rFonts w:ascii="Arial" w:eastAsia="Times New Roman" w:hAnsi="Arial" w:cs="Times New Roman"/>
          <w:b/>
          <w:sz w:val="24"/>
          <w:szCs w:val="24"/>
          <w:u w:val="single"/>
        </w:rPr>
        <w:t>Finding No. X</w:t>
      </w:r>
      <w:r>
        <w:rPr>
          <w:rFonts w:ascii="Arial" w:eastAsia="Times New Roman" w:hAnsi="Arial" w:cs="Times New Roman"/>
          <w:b/>
          <w:sz w:val="24"/>
          <w:szCs w:val="24"/>
          <w:u w:val="single"/>
        </w:rPr>
        <w:t>I</w:t>
      </w:r>
      <w:r w:rsidRPr="00C93C49">
        <w:rPr>
          <w:rFonts w:ascii="Arial" w:eastAsia="Times New Roman" w:hAnsi="Arial" w:cs="Times New Roman"/>
          <w:b/>
          <w:sz w:val="24"/>
          <w:szCs w:val="24"/>
          <w:u w:val="single"/>
        </w:rPr>
        <w:t>-</w:t>
      </w:r>
      <w:r>
        <w:rPr>
          <w:rFonts w:ascii="Arial" w:eastAsia="Times New Roman" w:hAnsi="Arial" w:cs="Times New Roman"/>
          <w:b/>
          <w:sz w:val="24"/>
          <w:szCs w:val="24"/>
          <w:u w:val="single"/>
        </w:rPr>
        <w:t>1</w:t>
      </w:r>
    </w:p>
    <w:p w14:paraId="573FF72B" w14:textId="77777777" w:rsidR="000458C1" w:rsidRPr="00451187" w:rsidRDefault="000458C1" w:rsidP="000458C1">
      <w:pPr>
        <w:spacing w:line="240" w:lineRule="auto"/>
        <w:contextualSpacing/>
        <w:rPr>
          <w:rFonts w:ascii="Arial" w:hAnsi="Arial" w:cs="Arial"/>
          <w:sz w:val="24"/>
          <w:szCs w:val="24"/>
        </w:rPr>
      </w:pPr>
    </w:p>
    <w:p w14:paraId="4BFA0376" w14:textId="77777777" w:rsidR="00C93C49" w:rsidRDefault="00C93C49" w:rsidP="00C93C49">
      <w:pPr>
        <w:spacing w:after="0" w:line="20" w:lineRule="atLeast"/>
        <w:rPr>
          <w:rFonts w:ascii="Arial" w:hAnsi="Arial" w:cs="Arial"/>
          <w:sz w:val="24"/>
          <w:szCs w:val="24"/>
        </w:rPr>
      </w:pPr>
      <w:r w:rsidRPr="00451187">
        <w:rPr>
          <w:rFonts w:ascii="Arial" w:hAnsi="Arial" w:cs="Arial"/>
          <w:b/>
          <w:sz w:val="24"/>
          <w:szCs w:val="24"/>
          <w:u w:val="single"/>
        </w:rPr>
        <w:t>Prior Situation</w:t>
      </w:r>
      <w:r w:rsidRPr="00451187">
        <w:rPr>
          <w:rFonts w:ascii="Arial" w:hAnsi="Arial" w:cs="Arial"/>
          <w:sz w:val="24"/>
          <w:szCs w:val="24"/>
        </w:rPr>
        <w:t xml:space="preserve"> – </w:t>
      </w:r>
      <w:r w:rsidRPr="0075723C">
        <w:rPr>
          <w:rFonts w:ascii="Arial" w:hAnsi="Arial" w:cs="Arial"/>
          <w:sz w:val="24"/>
          <w:szCs w:val="24"/>
        </w:rPr>
        <w:t xml:space="preserve">There were three safety related measures monitored within the </w:t>
      </w:r>
      <w:r>
        <w:rPr>
          <w:rFonts w:ascii="Arial" w:hAnsi="Arial" w:cs="Arial"/>
          <w:sz w:val="24"/>
          <w:szCs w:val="24"/>
        </w:rPr>
        <w:t>FirstEnergy Corporation (FirstEnergy)</w:t>
      </w:r>
      <w:r w:rsidRPr="0075723C">
        <w:rPr>
          <w:rFonts w:ascii="Arial" w:hAnsi="Arial" w:cs="Arial"/>
          <w:sz w:val="24"/>
          <w:szCs w:val="24"/>
        </w:rPr>
        <w:t xml:space="preserve"> Executive Leadership Team (ELT) Reports:</w:t>
      </w:r>
    </w:p>
    <w:p w14:paraId="5163B3B6" w14:textId="77777777" w:rsidR="00C93C49" w:rsidRPr="0075723C" w:rsidRDefault="00C93C49" w:rsidP="00C93C49">
      <w:pPr>
        <w:spacing w:after="0" w:line="20" w:lineRule="atLeast"/>
        <w:rPr>
          <w:rFonts w:ascii="Arial" w:hAnsi="Arial" w:cs="Arial"/>
          <w:sz w:val="24"/>
          <w:szCs w:val="24"/>
        </w:rPr>
      </w:pPr>
    </w:p>
    <w:p w14:paraId="78F231E5" w14:textId="77777777" w:rsidR="00C93C49" w:rsidRPr="0075723C" w:rsidRDefault="00C93C49" w:rsidP="00D94B11">
      <w:pPr>
        <w:pStyle w:val="ListParagraph"/>
        <w:widowControl w:val="0"/>
        <w:numPr>
          <w:ilvl w:val="0"/>
          <w:numId w:val="30"/>
        </w:numPr>
        <w:spacing w:after="0" w:line="20" w:lineRule="atLeast"/>
        <w:rPr>
          <w:rFonts w:ascii="Arial" w:hAnsi="Arial" w:cs="Arial"/>
          <w:sz w:val="24"/>
          <w:szCs w:val="24"/>
        </w:rPr>
      </w:pPr>
      <w:r w:rsidRPr="0075723C">
        <w:rPr>
          <w:rFonts w:ascii="Arial" w:hAnsi="Arial" w:cs="Arial"/>
          <w:sz w:val="24"/>
          <w:szCs w:val="24"/>
        </w:rPr>
        <w:t>Occupational Safety and Health Administration (OSHA) Incident Rate</w:t>
      </w:r>
      <w:r>
        <w:rPr>
          <w:rFonts w:ascii="Arial" w:hAnsi="Arial" w:cs="Arial"/>
          <w:sz w:val="24"/>
          <w:szCs w:val="24"/>
        </w:rPr>
        <w:t>,</w:t>
      </w:r>
    </w:p>
    <w:p w14:paraId="7E7103CA" w14:textId="77777777" w:rsidR="00C93C49" w:rsidRPr="0075723C" w:rsidRDefault="00C93C49" w:rsidP="00D94B11">
      <w:pPr>
        <w:pStyle w:val="ListParagraph"/>
        <w:widowControl w:val="0"/>
        <w:numPr>
          <w:ilvl w:val="0"/>
          <w:numId w:val="30"/>
        </w:numPr>
        <w:spacing w:after="0" w:line="20" w:lineRule="atLeast"/>
        <w:rPr>
          <w:rFonts w:ascii="Arial" w:hAnsi="Arial" w:cs="Arial"/>
          <w:sz w:val="24"/>
          <w:szCs w:val="24"/>
        </w:rPr>
      </w:pPr>
      <w:r w:rsidRPr="0075723C">
        <w:rPr>
          <w:rFonts w:ascii="Arial" w:hAnsi="Arial" w:cs="Arial"/>
          <w:sz w:val="24"/>
          <w:szCs w:val="24"/>
        </w:rPr>
        <w:t>Days Away, Restricted work or Transferred (DART) Rate</w:t>
      </w:r>
      <w:r>
        <w:rPr>
          <w:rFonts w:ascii="Arial" w:hAnsi="Arial" w:cs="Arial"/>
          <w:sz w:val="24"/>
          <w:szCs w:val="24"/>
        </w:rPr>
        <w:t>,</w:t>
      </w:r>
    </w:p>
    <w:p w14:paraId="50AB6846" w14:textId="77777777" w:rsidR="00C93C49" w:rsidRDefault="00C93C49" w:rsidP="00D94B11">
      <w:pPr>
        <w:pStyle w:val="ListParagraph"/>
        <w:widowControl w:val="0"/>
        <w:numPr>
          <w:ilvl w:val="0"/>
          <w:numId w:val="30"/>
        </w:numPr>
        <w:spacing w:after="0" w:line="20" w:lineRule="atLeast"/>
        <w:rPr>
          <w:rFonts w:ascii="Arial" w:hAnsi="Arial" w:cs="Arial"/>
          <w:sz w:val="24"/>
          <w:szCs w:val="24"/>
        </w:rPr>
      </w:pPr>
      <w:r w:rsidRPr="0075723C">
        <w:rPr>
          <w:rFonts w:ascii="Arial" w:hAnsi="Arial" w:cs="Arial"/>
          <w:sz w:val="24"/>
          <w:szCs w:val="24"/>
        </w:rPr>
        <w:t>Motor Vehicle Accident Rate (MVAR) (accidents per 1,000,000 miles).</w:t>
      </w:r>
    </w:p>
    <w:p w14:paraId="5ACC2410" w14:textId="77777777" w:rsidR="00C93C49" w:rsidRDefault="00C93C49" w:rsidP="00C93C49">
      <w:pPr>
        <w:widowControl w:val="0"/>
        <w:spacing w:after="0" w:line="20" w:lineRule="atLeast"/>
        <w:rPr>
          <w:rFonts w:ascii="Arial" w:hAnsi="Arial" w:cs="Arial"/>
          <w:sz w:val="24"/>
          <w:szCs w:val="24"/>
        </w:rPr>
      </w:pPr>
    </w:p>
    <w:p w14:paraId="64906376" w14:textId="77777777" w:rsidR="00C93C49" w:rsidRDefault="00C93C49" w:rsidP="00C93C49">
      <w:pPr>
        <w:widowControl w:val="0"/>
        <w:spacing w:after="0" w:line="20" w:lineRule="atLeast"/>
        <w:rPr>
          <w:rFonts w:ascii="Arial" w:hAnsi="Arial" w:cs="Arial"/>
          <w:sz w:val="24"/>
          <w:szCs w:val="24"/>
        </w:rPr>
      </w:pPr>
    </w:p>
    <w:p w14:paraId="1244840E" w14:textId="77777777" w:rsidR="00C93C49" w:rsidRDefault="00C93C49" w:rsidP="00C93C49">
      <w:pPr>
        <w:widowControl w:val="0"/>
        <w:spacing w:after="0" w:line="20" w:lineRule="atLeast"/>
        <w:ind w:firstLine="720"/>
        <w:rPr>
          <w:rFonts w:ascii="Arial" w:hAnsi="Arial" w:cs="Arial"/>
          <w:sz w:val="24"/>
          <w:szCs w:val="24"/>
        </w:rPr>
      </w:pPr>
      <w:r>
        <w:rPr>
          <w:rFonts w:ascii="Arial" w:hAnsi="Arial" w:cs="Arial"/>
          <w:sz w:val="24"/>
          <w:szCs w:val="24"/>
        </w:rPr>
        <w:t xml:space="preserve">The </w:t>
      </w:r>
      <w:r w:rsidR="00DC3D9B">
        <w:rPr>
          <w:rFonts w:ascii="Arial" w:hAnsi="Arial" w:cs="Arial"/>
          <w:sz w:val="24"/>
          <w:szCs w:val="24"/>
        </w:rPr>
        <w:t>FE-PA companies</w:t>
      </w:r>
      <w:r>
        <w:rPr>
          <w:rFonts w:ascii="Arial" w:hAnsi="Arial" w:cs="Arial"/>
          <w:sz w:val="24"/>
          <w:szCs w:val="24"/>
        </w:rPr>
        <w:t xml:space="preserve"> </w:t>
      </w:r>
      <w:r w:rsidR="009559F4">
        <w:rPr>
          <w:rFonts w:ascii="Arial" w:hAnsi="Arial" w:cs="Arial"/>
          <w:sz w:val="24"/>
          <w:szCs w:val="24"/>
        </w:rPr>
        <w:t xml:space="preserve">shared </w:t>
      </w:r>
      <w:r>
        <w:rPr>
          <w:rFonts w:ascii="Arial" w:hAnsi="Arial" w:cs="Arial"/>
          <w:sz w:val="24"/>
          <w:szCs w:val="24"/>
        </w:rPr>
        <w:t xml:space="preserve">a corporate objective for the OSHA and DART incident rates to deliver top decile safety performance among members of a panel from the Edison Electric Institute (EEI), and this did not align with less stringent goals established in the ELT reports.  This issue was investigated further in the Executive Management chapter, specifically Follow-Up Finding and </w:t>
      </w:r>
      <w:r w:rsidRPr="00C83205">
        <w:rPr>
          <w:rFonts w:ascii="Arial" w:hAnsi="Arial" w:cs="Arial"/>
          <w:sz w:val="24"/>
          <w:szCs w:val="24"/>
        </w:rPr>
        <w:t xml:space="preserve">Conclusion No. III-1.  </w:t>
      </w:r>
      <w:r>
        <w:rPr>
          <w:rFonts w:ascii="Arial" w:hAnsi="Arial" w:cs="Arial"/>
          <w:sz w:val="24"/>
          <w:szCs w:val="24"/>
        </w:rPr>
        <w:t xml:space="preserve">Consequently, the auditors investigated whether the </w:t>
      </w:r>
      <w:r w:rsidR="00DC3D9B">
        <w:rPr>
          <w:rFonts w:ascii="Arial" w:hAnsi="Arial" w:cs="Arial"/>
          <w:sz w:val="24"/>
          <w:szCs w:val="24"/>
        </w:rPr>
        <w:t>companies</w:t>
      </w:r>
      <w:r>
        <w:rPr>
          <w:rFonts w:ascii="Arial" w:hAnsi="Arial" w:cs="Arial"/>
          <w:sz w:val="24"/>
          <w:szCs w:val="24"/>
        </w:rPr>
        <w:t xml:space="preserve"> were meeting these less stringent safety goals in the ELT reports as shown in Exhibit XI-1.</w:t>
      </w:r>
      <w:r>
        <w:rPr>
          <w:rFonts w:ascii="Arial" w:hAnsi="Arial" w:cs="Arial"/>
          <w:sz w:val="24"/>
          <w:szCs w:val="24"/>
        </w:rPr>
        <w:br/>
      </w:r>
    </w:p>
    <w:p w14:paraId="698ACCEC" w14:textId="77777777" w:rsidR="00C93C49" w:rsidRDefault="00C93C49" w:rsidP="00C93C49">
      <w:pPr>
        <w:autoSpaceDE w:val="0"/>
        <w:autoSpaceDN w:val="0"/>
        <w:adjustRightInd w:val="0"/>
        <w:spacing w:line="240" w:lineRule="auto"/>
        <w:ind w:firstLine="720"/>
        <w:rPr>
          <w:rFonts w:ascii="Arial" w:hAnsi="Arial" w:cs="Arial"/>
          <w:b/>
          <w:sz w:val="24"/>
          <w:szCs w:val="24"/>
        </w:rPr>
      </w:pPr>
      <w:r w:rsidRPr="002C562B">
        <w:rPr>
          <w:rFonts w:ascii="Arial" w:hAnsi="Arial" w:cs="Arial"/>
          <w:sz w:val="24"/>
          <w:szCs w:val="24"/>
        </w:rPr>
        <w:t>As can be s</w:t>
      </w:r>
      <w:r>
        <w:rPr>
          <w:rFonts w:ascii="Arial" w:hAnsi="Arial" w:cs="Arial"/>
          <w:sz w:val="24"/>
          <w:szCs w:val="24"/>
        </w:rPr>
        <w:t>hown</w:t>
      </w:r>
      <w:r w:rsidRPr="002C562B">
        <w:rPr>
          <w:rFonts w:ascii="Arial" w:hAnsi="Arial" w:cs="Arial"/>
          <w:sz w:val="24"/>
          <w:szCs w:val="24"/>
        </w:rPr>
        <w:t xml:space="preserve"> in Exhibit XI-1, only 19 of the 54 individual goals were met by the </w:t>
      </w:r>
      <w:r w:rsidR="00DC3D9B">
        <w:rPr>
          <w:rFonts w:ascii="Arial" w:hAnsi="Arial" w:cs="Arial"/>
          <w:sz w:val="24"/>
          <w:szCs w:val="24"/>
        </w:rPr>
        <w:t>FE-PA companies</w:t>
      </w:r>
      <w:r w:rsidRPr="002C562B">
        <w:rPr>
          <w:rFonts w:ascii="Arial" w:hAnsi="Arial" w:cs="Arial"/>
          <w:sz w:val="24"/>
          <w:szCs w:val="24"/>
        </w:rPr>
        <w:t xml:space="preserve"> for this five-year period (West Penn Power did not have available statistics for these measures until 2011,</w:t>
      </w:r>
      <w:r>
        <w:rPr>
          <w:rFonts w:ascii="Arial" w:hAnsi="Arial" w:cs="Arial"/>
          <w:sz w:val="24"/>
          <w:szCs w:val="24"/>
        </w:rPr>
        <w:t xml:space="preserve"> as it had been recently acquired by FirstEnergy at the time).  T</w:t>
      </w:r>
      <w:r>
        <w:rPr>
          <w:rFonts w:ascii="Arial" w:eastAsia="Times New Roman" w:hAnsi="Arial" w:cs="Arial"/>
          <w:sz w:val="24"/>
          <w:szCs w:val="24"/>
        </w:rPr>
        <w:t xml:space="preserve">he auditors concluded adequate resources and appropriate programs appeared to be in place; however, a safety culture issue potentially existed in which a potential disconnect exists between the safety program’s intent and desired results.  </w:t>
      </w:r>
    </w:p>
    <w:p w14:paraId="0CE470A6" w14:textId="77777777" w:rsidR="00C93C49" w:rsidRDefault="00C93C49" w:rsidP="00C93C49">
      <w:pPr>
        <w:rPr>
          <w:rFonts w:ascii="Arial" w:hAnsi="Arial" w:cs="Arial"/>
          <w:b/>
          <w:sz w:val="24"/>
          <w:szCs w:val="24"/>
        </w:rPr>
      </w:pPr>
      <w:r>
        <w:rPr>
          <w:rFonts w:ascii="Arial" w:hAnsi="Arial" w:cs="Arial"/>
          <w:b/>
          <w:sz w:val="24"/>
          <w:szCs w:val="24"/>
        </w:rPr>
        <w:br w:type="page"/>
      </w:r>
    </w:p>
    <w:p w14:paraId="32C24DE6" w14:textId="77777777" w:rsidR="00C93C49" w:rsidRPr="007116D1" w:rsidRDefault="00C93C49" w:rsidP="00C93C49">
      <w:pPr>
        <w:widowControl w:val="0"/>
        <w:spacing w:after="0" w:line="240" w:lineRule="auto"/>
        <w:jc w:val="center"/>
        <w:rPr>
          <w:rFonts w:ascii="Arial" w:hAnsi="Arial" w:cs="Arial"/>
          <w:b/>
          <w:sz w:val="24"/>
          <w:szCs w:val="24"/>
        </w:rPr>
      </w:pPr>
      <w:r>
        <w:rPr>
          <w:rFonts w:ascii="Arial" w:hAnsi="Arial" w:cs="Arial"/>
          <w:b/>
          <w:sz w:val="24"/>
          <w:szCs w:val="24"/>
        </w:rPr>
        <w:t>Exhibit XI – 1</w:t>
      </w:r>
    </w:p>
    <w:p w14:paraId="63332FDE" w14:textId="77777777" w:rsidR="00C93C49" w:rsidRPr="007116D1" w:rsidRDefault="00C93C49" w:rsidP="00C93C49">
      <w:pPr>
        <w:widowControl w:val="0"/>
        <w:spacing w:after="0" w:line="240" w:lineRule="auto"/>
        <w:jc w:val="center"/>
        <w:rPr>
          <w:rFonts w:ascii="Arial" w:hAnsi="Arial" w:cs="Arial"/>
          <w:b/>
          <w:sz w:val="24"/>
          <w:szCs w:val="24"/>
        </w:rPr>
      </w:pPr>
      <w:r w:rsidRPr="007116D1">
        <w:rPr>
          <w:rFonts w:ascii="Arial" w:hAnsi="Arial" w:cs="Arial"/>
          <w:b/>
          <w:sz w:val="24"/>
          <w:szCs w:val="24"/>
        </w:rPr>
        <w:t>FirstEnergy Pennsylvania Companies</w:t>
      </w:r>
    </w:p>
    <w:p w14:paraId="3DC04425" w14:textId="77777777" w:rsidR="00C93C49" w:rsidRPr="007116D1" w:rsidRDefault="00C93C49" w:rsidP="00C93C49">
      <w:pPr>
        <w:widowControl w:val="0"/>
        <w:spacing w:after="0" w:line="240" w:lineRule="auto"/>
        <w:jc w:val="center"/>
        <w:rPr>
          <w:rFonts w:ascii="Arial" w:hAnsi="Arial" w:cs="Arial"/>
          <w:b/>
          <w:sz w:val="24"/>
          <w:szCs w:val="24"/>
        </w:rPr>
      </w:pPr>
      <w:r w:rsidRPr="007116D1">
        <w:rPr>
          <w:rFonts w:ascii="Arial" w:hAnsi="Arial" w:cs="Arial"/>
          <w:b/>
          <w:sz w:val="24"/>
          <w:szCs w:val="24"/>
        </w:rPr>
        <w:t>Record of Achieving Safety Goals</w:t>
      </w:r>
    </w:p>
    <w:p w14:paraId="140319E2" w14:textId="77777777" w:rsidR="00C93C49" w:rsidRPr="0030543D" w:rsidRDefault="00C93C49" w:rsidP="00C93C49">
      <w:pPr>
        <w:widowControl w:val="0"/>
        <w:spacing w:after="0" w:line="240" w:lineRule="auto"/>
        <w:jc w:val="center"/>
        <w:rPr>
          <w:rFonts w:ascii="Arial" w:hAnsi="Arial" w:cs="Arial"/>
          <w:b/>
          <w:sz w:val="8"/>
          <w:szCs w:val="8"/>
        </w:rPr>
      </w:pPr>
      <w:r w:rsidRPr="007116D1">
        <w:rPr>
          <w:rFonts w:ascii="Arial" w:hAnsi="Arial" w:cs="Arial"/>
          <w:b/>
          <w:sz w:val="24"/>
          <w:szCs w:val="24"/>
        </w:rPr>
        <w:t>For the Years 2009 through 2013</w:t>
      </w:r>
      <w:r>
        <w:rPr>
          <w:rFonts w:ascii="Arial" w:hAnsi="Arial" w:cs="Arial"/>
          <w:b/>
          <w:sz w:val="24"/>
          <w:szCs w:val="24"/>
        </w:rPr>
        <w:br/>
      </w:r>
    </w:p>
    <w:p w14:paraId="5604AFCB" w14:textId="77777777" w:rsidR="00C93C49" w:rsidRPr="0075723C" w:rsidRDefault="00C93C49" w:rsidP="00C93C49">
      <w:pPr>
        <w:widowControl w:val="0"/>
        <w:spacing w:after="0" w:line="240" w:lineRule="auto"/>
        <w:jc w:val="center"/>
        <w:rPr>
          <w:rFonts w:ascii="Arial" w:hAnsi="Arial" w:cs="Arial"/>
          <w:sz w:val="24"/>
          <w:szCs w:val="24"/>
        </w:rPr>
      </w:pPr>
      <w:r>
        <w:rPr>
          <w:rFonts w:ascii="Arial" w:hAnsi="Arial" w:cs="Arial"/>
          <w:sz w:val="24"/>
          <w:szCs w:val="24"/>
        </w:rPr>
        <w:object w:dxaOrig="8129" w:dyaOrig="1820" w14:anchorId="5BA59A02">
          <v:shape id="_x0000_i1031" type="#_x0000_t75" style="width:316.8pt;height:1in" o:ole="">
            <v:imagedata r:id="rId57" o:title=""/>
          </v:shape>
          <o:OLEObject Type="Embed" ProgID="Excel.Sheet.12" ShapeID="_x0000_i1031" DrawAspect="Content" ObjectID="_1599049581" r:id="rId58"/>
        </w:object>
      </w:r>
    </w:p>
    <w:p w14:paraId="0CD8DD89" w14:textId="77777777" w:rsidR="00C93C49" w:rsidRPr="00451187" w:rsidRDefault="00C93C49" w:rsidP="00C93C49">
      <w:pPr>
        <w:spacing w:line="240" w:lineRule="auto"/>
        <w:contextualSpacing/>
        <w:rPr>
          <w:rFonts w:ascii="Arial" w:hAnsi="Arial" w:cs="Arial"/>
          <w:sz w:val="24"/>
          <w:szCs w:val="24"/>
        </w:rPr>
      </w:pPr>
    </w:p>
    <w:p w14:paraId="76B77BA0" w14:textId="77777777" w:rsidR="00C93C49" w:rsidRDefault="00C93C49" w:rsidP="00C93C49">
      <w:pPr>
        <w:autoSpaceDE w:val="0"/>
        <w:autoSpaceDN w:val="0"/>
        <w:adjustRightInd w:val="0"/>
        <w:spacing w:line="240" w:lineRule="auto"/>
        <w:ind w:left="1530"/>
        <w:rPr>
          <w:rFonts w:ascii="Arial" w:hAnsi="Arial" w:cs="Arial"/>
          <w:sz w:val="20"/>
          <w:szCs w:val="20"/>
        </w:rPr>
      </w:pPr>
      <w:bookmarkStart w:id="36" w:name="_Hlk511725458"/>
      <w:r w:rsidRPr="00474144">
        <w:rPr>
          <w:rFonts w:ascii="Arial" w:hAnsi="Arial" w:cs="Arial"/>
          <w:sz w:val="20"/>
          <w:szCs w:val="20"/>
        </w:rPr>
        <w:t>O = OHSA Safety Rate</w:t>
      </w:r>
      <w:r w:rsidRPr="00474144">
        <w:rPr>
          <w:rFonts w:ascii="Arial" w:hAnsi="Arial" w:cs="Arial"/>
          <w:sz w:val="20"/>
          <w:szCs w:val="20"/>
        </w:rPr>
        <w:br/>
        <w:t>D = DART Rate</w:t>
      </w:r>
      <w:r w:rsidRPr="00474144">
        <w:rPr>
          <w:rFonts w:ascii="Arial" w:hAnsi="Arial" w:cs="Arial"/>
          <w:sz w:val="20"/>
          <w:szCs w:val="20"/>
        </w:rPr>
        <w:br/>
        <w:t>M = Motor Vehicle Accident Rate</w:t>
      </w:r>
    </w:p>
    <w:p w14:paraId="780EA56E" w14:textId="77777777" w:rsidR="00C93C49" w:rsidRDefault="00C93C49" w:rsidP="00B779E0">
      <w:pPr>
        <w:spacing w:after="0"/>
        <w:ind w:left="1530"/>
        <w:rPr>
          <w:rFonts w:ascii="Arial" w:hAnsi="Arial" w:cs="Arial"/>
          <w:sz w:val="20"/>
          <w:szCs w:val="20"/>
        </w:rPr>
      </w:pPr>
      <w:r w:rsidRPr="0078365F">
        <w:rPr>
          <w:rFonts w:ascii="Wingdings" w:eastAsia="Times New Roman" w:hAnsi="Wingdings" w:cs="Times New Roman"/>
          <w:color w:val="000000"/>
        </w:rPr>
        <w:t></w:t>
      </w:r>
      <w:r>
        <w:rPr>
          <w:rFonts w:ascii="Arial" w:hAnsi="Arial" w:cs="Arial"/>
          <w:sz w:val="20"/>
          <w:szCs w:val="20"/>
        </w:rPr>
        <w:t xml:space="preserve"> = Achieved goal</w:t>
      </w:r>
      <w:r>
        <w:rPr>
          <w:rFonts w:ascii="Arial" w:hAnsi="Arial" w:cs="Arial"/>
          <w:sz w:val="20"/>
          <w:szCs w:val="20"/>
        </w:rPr>
        <w:br/>
        <w:t>X = Did not achieve goal</w:t>
      </w:r>
    </w:p>
    <w:p w14:paraId="64ED53FC" w14:textId="77777777" w:rsidR="00C93C49" w:rsidRPr="000D1963" w:rsidRDefault="00C93C49" w:rsidP="00B779E0">
      <w:pPr>
        <w:widowControl w:val="0"/>
        <w:spacing w:after="0" w:line="240" w:lineRule="auto"/>
        <w:ind w:left="1530"/>
        <w:rPr>
          <w:rFonts w:ascii="Arial" w:hAnsi="Arial" w:cs="Arial"/>
          <w:i/>
          <w:sz w:val="18"/>
          <w:szCs w:val="18"/>
        </w:rPr>
      </w:pPr>
      <w:r w:rsidRPr="000D1963">
        <w:rPr>
          <w:rFonts w:ascii="Arial" w:hAnsi="Arial" w:cs="Arial"/>
          <w:sz w:val="18"/>
          <w:szCs w:val="18"/>
        </w:rPr>
        <w:t xml:space="preserve">Source: </w:t>
      </w:r>
      <w:r w:rsidR="00B779E0">
        <w:rPr>
          <w:rFonts w:ascii="Arial" w:hAnsi="Arial" w:cs="Arial"/>
          <w:sz w:val="18"/>
          <w:szCs w:val="18"/>
        </w:rPr>
        <w:t xml:space="preserve">2014 </w:t>
      </w:r>
      <w:r w:rsidRPr="000D1963">
        <w:rPr>
          <w:rFonts w:ascii="Arial" w:hAnsi="Arial" w:cs="Arial"/>
          <w:sz w:val="18"/>
          <w:szCs w:val="18"/>
        </w:rPr>
        <w:t>Management Audit Exhibit XI-7</w:t>
      </w:r>
      <w:r w:rsidRPr="000D1963">
        <w:rPr>
          <w:rFonts w:ascii="Arial" w:hAnsi="Arial" w:cs="Arial"/>
          <w:i/>
          <w:sz w:val="18"/>
          <w:szCs w:val="18"/>
        </w:rPr>
        <w:t>.</w:t>
      </w:r>
    </w:p>
    <w:bookmarkEnd w:id="36"/>
    <w:p w14:paraId="7FBBE174" w14:textId="77777777" w:rsidR="00C93C49" w:rsidRDefault="00C93C49" w:rsidP="00C93C49">
      <w:pPr>
        <w:widowControl w:val="0"/>
        <w:spacing w:after="0" w:line="240" w:lineRule="auto"/>
        <w:rPr>
          <w:rFonts w:ascii="Arial" w:hAnsi="Arial" w:cs="Arial"/>
          <w:sz w:val="24"/>
          <w:szCs w:val="24"/>
        </w:rPr>
      </w:pPr>
    </w:p>
    <w:p w14:paraId="65C52975" w14:textId="77777777" w:rsidR="00C93C49" w:rsidRDefault="00C93C49" w:rsidP="00C93C49">
      <w:pPr>
        <w:widowControl w:val="0"/>
        <w:spacing w:after="0" w:line="240" w:lineRule="auto"/>
        <w:rPr>
          <w:rFonts w:ascii="Arial" w:hAnsi="Arial" w:cs="Arial"/>
          <w:sz w:val="24"/>
          <w:szCs w:val="24"/>
        </w:rPr>
      </w:pPr>
    </w:p>
    <w:p w14:paraId="57D45355" w14:textId="77777777" w:rsidR="000458C1" w:rsidRPr="00451187" w:rsidRDefault="000458C1" w:rsidP="000458C1">
      <w:pPr>
        <w:spacing w:line="240" w:lineRule="auto"/>
        <w:contextualSpacing/>
        <w:rPr>
          <w:rFonts w:ascii="Arial" w:hAnsi="Arial" w:cs="Arial"/>
          <w:sz w:val="24"/>
          <w:szCs w:val="24"/>
        </w:rPr>
      </w:pPr>
      <w:r w:rsidRPr="00451187">
        <w:rPr>
          <w:rFonts w:ascii="Arial" w:hAnsi="Arial" w:cs="Arial"/>
          <w:b/>
          <w:sz w:val="24"/>
          <w:szCs w:val="24"/>
          <w:u w:val="single"/>
        </w:rPr>
        <w:t xml:space="preserve">Prior Recommendation </w:t>
      </w:r>
      <w:r w:rsidRPr="00451187">
        <w:rPr>
          <w:rFonts w:ascii="Arial" w:hAnsi="Arial" w:cs="Arial"/>
          <w:sz w:val="24"/>
          <w:szCs w:val="24"/>
        </w:rPr>
        <w:t xml:space="preserve">– </w:t>
      </w:r>
      <w:r w:rsidRPr="00495851">
        <w:rPr>
          <w:rFonts w:ascii="Arial" w:hAnsi="Arial" w:cs="Arial"/>
          <w:sz w:val="24"/>
          <w:szCs w:val="24"/>
        </w:rPr>
        <w:t>Conduct a safety culture survey in</w:t>
      </w:r>
      <w:r>
        <w:rPr>
          <w:rFonts w:ascii="Arial" w:hAnsi="Arial" w:cs="Arial"/>
          <w:sz w:val="24"/>
          <w:szCs w:val="24"/>
        </w:rPr>
        <w:t>-</w:t>
      </w:r>
      <w:r w:rsidRPr="00495851">
        <w:rPr>
          <w:rFonts w:ascii="Arial" w:hAnsi="Arial" w:cs="Arial"/>
          <w:sz w:val="24"/>
          <w:szCs w:val="24"/>
        </w:rPr>
        <w:t>order</w:t>
      </w:r>
      <w:r>
        <w:rPr>
          <w:rFonts w:ascii="Arial" w:hAnsi="Arial" w:cs="Arial"/>
          <w:sz w:val="24"/>
          <w:szCs w:val="24"/>
        </w:rPr>
        <w:t>-</w:t>
      </w:r>
      <w:r w:rsidRPr="00495851">
        <w:rPr>
          <w:rFonts w:ascii="Arial" w:hAnsi="Arial" w:cs="Arial"/>
          <w:sz w:val="24"/>
          <w:szCs w:val="24"/>
        </w:rPr>
        <w:t>to identify employee safety related concerns,</w:t>
      </w:r>
      <w:r>
        <w:rPr>
          <w:rFonts w:ascii="Arial" w:hAnsi="Arial" w:cs="Arial"/>
          <w:sz w:val="24"/>
          <w:szCs w:val="24"/>
        </w:rPr>
        <w:t xml:space="preserve"> </w:t>
      </w:r>
      <w:r w:rsidRPr="00495851">
        <w:rPr>
          <w:rFonts w:ascii="Arial" w:hAnsi="Arial" w:cs="Arial"/>
          <w:sz w:val="24"/>
          <w:szCs w:val="24"/>
        </w:rPr>
        <w:t>perceptions, behaviors and implement training, methodologies, equipment, and ergonomic</w:t>
      </w:r>
      <w:r>
        <w:rPr>
          <w:rFonts w:ascii="Arial" w:hAnsi="Arial" w:cs="Arial"/>
          <w:sz w:val="24"/>
          <w:szCs w:val="24"/>
        </w:rPr>
        <w:t xml:space="preserve"> </w:t>
      </w:r>
      <w:r w:rsidRPr="00495851">
        <w:rPr>
          <w:rFonts w:ascii="Arial" w:hAnsi="Arial" w:cs="Arial"/>
          <w:sz w:val="24"/>
          <w:szCs w:val="24"/>
        </w:rPr>
        <w:t xml:space="preserve">changes which address the primary causes of accidents at the FE-PA </w:t>
      </w:r>
      <w:r w:rsidR="00B15AC3">
        <w:rPr>
          <w:rFonts w:ascii="Arial" w:hAnsi="Arial" w:cs="Arial"/>
          <w:sz w:val="24"/>
          <w:szCs w:val="24"/>
        </w:rPr>
        <w:t>c</w:t>
      </w:r>
      <w:r w:rsidRPr="00495851">
        <w:rPr>
          <w:rFonts w:ascii="Arial" w:hAnsi="Arial" w:cs="Arial"/>
          <w:sz w:val="24"/>
          <w:szCs w:val="24"/>
        </w:rPr>
        <w:t>ompanies in</w:t>
      </w:r>
      <w:r>
        <w:rPr>
          <w:rFonts w:ascii="Arial" w:hAnsi="Arial" w:cs="Arial"/>
          <w:sz w:val="24"/>
          <w:szCs w:val="24"/>
        </w:rPr>
        <w:t>-</w:t>
      </w:r>
      <w:r w:rsidRPr="00495851">
        <w:rPr>
          <w:rFonts w:ascii="Arial" w:hAnsi="Arial" w:cs="Arial"/>
          <w:sz w:val="24"/>
          <w:szCs w:val="24"/>
        </w:rPr>
        <w:t>order</w:t>
      </w:r>
      <w:r>
        <w:rPr>
          <w:rFonts w:ascii="Arial" w:hAnsi="Arial" w:cs="Arial"/>
          <w:sz w:val="24"/>
          <w:szCs w:val="24"/>
        </w:rPr>
        <w:t>-</w:t>
      </w:r>
      <w:r w:rsidRPr="00495851">
        <w:rPr>
          <w:rFonts w:ascii="Arial" w:hAnsi="Arial" w:cs="Arial"/>
          <w:sz w:val="24"/>
          <w:szCs w:val="24"/>
        </w:rPr>
        <w:t>to improve actual performance and ensure safety goals are aligned with corporate</w:t>
      </w:r>
      <w:r>
        <w:rPr>
          <w:rFonts w:ascii="Arial" w:hAnsi="Arial" w:cs="Arial"/>
          <w:sz w:val="24"/>
          <w:szCs w:val="24"/>
        </w:rPr>
        <w:t xml:space="preserve"> </w:t>
      </w:r>
      <w:r w:rsidRPr="00495851">
        <w:rPr>
          <w:rFonts w:ascii="Arial" w:hAnsi="Arial" w:cs="Arial"/>
          <w:sz w:val="24"/>
          <w:szCs w:val="24"/>
        </w:rPr>
        <w:t>objectives.</w:t>
      </w:r>
    </w:p>
    <w:p w14:paraId="078DB7F4" w14:textId="77777777" w:rsidR="000458C1" w:rsidRDefault="000458C1" w:rsidP="00C93C49">
      <w:pPr>
        <w:widowControl w:val="0"/>
        <w:spacing w:after="0" w:line="240" w:lineRule="auto"/>
        <w:rPr>
          <w:rFonts w:ascii="Arial" w:hAnsi="Arial" w:cs="Arial"/>
          <w:sz w:val="24"/>
          <w:szCs w:val="24"/>
        </w:rPr>
      </w:pPr>
    </w:p>
    <w:p w14:paraId="62D6B779" w14:textId="77777777" w:rsidR="00C93C49" w:rsidRPr="0077312E" w:rsidRDefault="00C93C49" w:rsidP="00C93C49">
      <w:pPr>
        <w:widowControl w:val="0"/>
        <w:spacing w:after="0" w:line="240" w:lineRule="auto"/>
        <w:rPr>
          <w:rFonts w:ascii="Arial" w:hAnsi="Arial" w:cs="Arial"/>
          <w:b/>
          <w:sz w:val="24"/>
          <w:szCs w:val="24"/>
          <w:u w:val="single"/>
        </w:rPr>
      </w:pPr>
      <w:bookmarkStart w:id="37" w:name="_Hlk511823939"/>
      <w:r w:rsidRPr="008D4B4E">
        <w:rPr>
          <w:rFonts w:ascii="Arial" w:hAnsi="Arial" w:cs="Arial"/>
          <w:b/>
          <w:sz w:val="24"/>
          <w:szCs w:val="24"/>
          <w:u w:val="single"/>
        </w:rPr>
        <w:t>Follow-up Finding and Conclusion No. XI-1</w:t>
      </w:r>
      <w:r w:rsidRPr="008D4B4E">
        <w:rPr>
          <w:rFonts w:ascii="Arial" w:hAnsi="Arial" w:cs="Arial"/>
          <w:b/>
          <w:sz w:val="24"/>
          <w:szCs w:val="24"/>
        </w:rPr>
        <w:t xml:space="preserve"> – The </w:t>
      </w:r>
      <w:bookmarkEnd w:id="37"/>
      <w:r w:rsidR="00DC3D9B">
        <w:rPr>
          <w:rFonts w:ascii="Arial" w:hAnsi="Arial" w:cs="Arial"/>
          <w:b/>
          <w:sz w:val="24"/>
          <w:szCs w:val="24"/>
        </w:rPr>
        <w:t>FE-PA companies</w:t>
      </w:r>
      <w:r w:rsidRPr="008D4B4E">
        <w:rPr>
          <w:rFonts w:ascii="Arial" w:hAnsi="Arial" w:cs="Arial"/>
          <w:b/>
          <w:sz w:val="24"/>
          <w:szCs w:val="24"/>
        </w:rPr>
        <w:t xml:space="preserve">’ performance regarding safety measures has </w:t>
      </w:r>
      <w:r w:rsidR="00B61EF3">
        <w:rPr>
          <w:rFonts w:ascii="Arial" w:hAnsi="Arial" w:cs="Arial"/>
          <w:b/>
          <w:sz w:val="24"/>
          <w:szCs w:val="24"/>
        </w:rPr>
        <w:t xml:space="preserve">been a </w:t>
      </w:r>
      <w:r w:rsidRPr="008D4B4E">
        <w:rPr>
          <w:rFonts w:ascii="Arial" w:hAnsi="Arial" w:cs="Arial"/>
          <w:b/>
          <w:sz w:val="24"/>
          <w:szCs w:val="24"/>
        </w:rPr>
        <w:t xml:space="preserve">mixed success and the </w:t>
      </w:r>
      <w:r w:rsidR="00DC3D9B">
        <w:rPr>
          <w:rFonts w:ascii="Arial" w:hAnsi="Arial" w:cs="Arial"/>
          <w:b/>
          <w:sz w:val="24"/>
          <w:szCs w:val="24"/>
        </w:rPr>
        <w:t>FE-PA companies</w:t>
      </w:r>
      <w:r w:rsidRPr="008D4B4E">
        <w:rPr>
          <w:rFonts w:ascii="Arial" w:hAnsi="Arial" w:cs="Arial"/>
          <w:b/>
          <w:sz w:val="24"/>
          <w:szCs w:val="24"/>
        </w:rPr>
        <w:t xml:space="preserve"> continue to frequently </w:t>
      </w:r>
      <w:r w:rsidR="00B61EF3">
        <w:rPr>
          <w:rFonts w:ascii="Arial" w:hAnsi="Arial" w:cs="Arial"/>
          <w:b/>
          <w:sz w:val="24"/>
          <w:szCs w:val="24"/>
        </w:rPr>
        <w:t>miss</w:t>
      </w:r>
      <w:r w:rsidRPr="008D4B4E">
        <w:rPr>
          <w:rFonts w:ascii="Arial" w:hAnsi="Arial" w:cs="Arial"/>
          <w:b/>
          <w:sz w:val="24"/>
          <w:szCs w:val="24"/>
        </w:rPr>
        <w:t xml:space="preserve"> target goals for safety.</w:t>
      </w:r>
    </w:p>
    <w:p w14:paraId="624980C2" w14:textId="77777777" w:rsidR="00C93C49" w:rsidRPr="00090C3B" w:rsidRDefault="00C93C49" w:rsidP="00C93C49">
      <w:pPr>
        <w:spacing w:line="240" w:lineRule="auto"/>
        <w:contextualSpacing/>
        <w:rPr>
          <w:rFonts w:ascii="Arial" w:hAnsi="Arial" w:cs="Arial"/>
          <w:sz w:val="24"/>
          <w:szCs w:val="24"/>
        </w:rPr>
      </w:pPr>
    </w:p>
    <w:p w14:paraId="38DD9095" w14:textId="77777777" w:rsidR="00C93C49" w:rsidRPr="006273A7" w:rsidRDefault="00C93C49" w:rsidP="00C93C49">
      <w:pPr>
        <w:spacing w:line="240" w:lineRule="auto"/>
        <w:ind w:firstLine="720"/>
        <w:contextualSpacing/>
        <w:rPr>
          <w:rFonts w:ascii="Arial" w:hAnsi="Arial" w:cs="Arial"/>
          <w:sz w:val="24"/>
          <w:szCs w:val="24"/>
        </w:rPr>
      </w:pPr>
      <w:r>
        <w:rPr>
          <w:rFonts w:ascii="Arial" w:hAnsi="Arial" w:cs="Arial"/>
          <w:sz w:val="24"/>
          <w:szCs w:val="24"/>
        </w:rPr>
        <w:t xml:space="preserve">There are numerous current safety programs at the </w:t>
      </w:r>
      <w:r w:rsidR="00DC3D9B">
        <w:rPr>
          <w:rFonts w:ascii="Arial" w:hAnsi="Arial" w:cs="Arial"/>
          <w:sz w:val="24"/>
          <w:szCs w:val="24"/>
        </w:rPr>
        <w:t>FE-PA companies</w:t>
      </w:r>
      <w:r>
        <w:rPr>
          <w:rFonts w:ascii="Arial" w:hAnsi="Arial" w:cs="Arial"/>
          <w:sz w:val="24"/>
          <w:szCs w:val="24"/>
        </w:rPr>
        <w:t xml:space="preserve"> which are constantly being monitored and improved upon.  </w:t>
      </w:r>
      <w:r w:rsidRPr="006273A7">
        <w:rPr>
          <w:rFonts w:ascii="Arial" w:hAnsi="Arial" w:cs="Arial"/>
          <w:sz w:val="24"/>
          <w:szCs w:val="24"/>
        </w:rPr>
        <w:t xml:space="preserve">After the management audit, all four </w:t>
      </w:r>
      <w:r w:rsidR="00DC3D9B">
        <w:rPr>
          <w:rFonts w:ascii="Arial" w:hAnsi="Arial" w:cs="Arial"/>
          <w:sz w:val="24"/>
          <w:szCs w:val="24"/>
        </w:rPr>
        <w:t>companies</w:t>
      </w:r>
      <w:r w:rsidRPr="006273A7">
        <w:rPr>
          <w:rFonts w:ascii="Arial" w:hAnsi="Arial" w:cs="Arial"/>
          <w:sz w:val="24"/>
          <w:szCs w:val="24"/>
        </w:rPr>
        <w:t xml:space="preserve"> conducted safety culture surveys from 2014 to 2016</w:t>
      </w:r>
      <w:r>
        <w:rPr>
          <w:rFonts w:ascii="Arial" w:hAnsi="Arial" w:cs="Arial"/>
          <w:sz w:val="24"/>
          <w:szCs w:val="24"/>
        </w:rPr>
        <w:t xml:space="preserve">, </w:t>
      </w:r>
      <w:r w:rsidRPr="006273A7">
        <w:rPr>
          <w:rFonts w:ascii="Arial" w:hAnsi="Arial" w:cs="Arial"/>
          <w:sz w:val="24"/>
          <w:szCs w:val="24"/>
        </w:rPr>
        <w:t>and the following five focus areas were identified</w:t>
      </w:r>
      <w:r>
        <w:rPr>
          <w:rFonts w:ascii="Arial" w:hAnsi="Arial" w:cs="Arial"/>
          <w:sz w:val="24"/>
          <w:szCs w:val="24"/>
        </w:rPr>
        <w:t xml:space="preserve"> as areas to focus on for these improvements</w:t>
      </w:r>
      <w:r w:rsidRPr="006273A7">
        <w:rPr>
          <w:rFonts w:ascii="Arial" w:hAnsi="Arial" w:cs="Arial"/>
          <w:sz w:val="24"/>
          <w:szCs w:val="24"/>
        </w:rPr>
        <w:t>:</w:t>
      </w:r>
    </w:p>
    <w:p w14:paraId="27007281" w14:textId="77777777" w:rsidR="00C93C49" w:rsidRPr="006273A7" w:rsidRDefault="00C93C49" w:rsidP="00D94B11">
      <w:pPr>
        <w:pStyle w:val="ListParagraph"/>
        <w:widowControl w:val="0"/>
        <w:numPr>
          <w:ilvl w:val="0"/>
          <w:numId w:val="30"/>
        </w:numPr>
        <w:spacing w:after="0" w:line="240" w:lineRule="auto"/>
        <w:rPr>
          <w:rFonts w:ascii="Arial" w:hAnsi="Arial" w:cs="Arial"/>
          <w:sz w:val="24"/>
          <w:szCs w:val="24"/>
        </w:rPr>
      </w:pPr>
      <w:r>
        <w:rPr>
          <w:rFonts w:ascii="Arial" w:hAnsi="Arial" w:cs="Arial"/>
          <w:sz w:val="24"/>
          <w:szCs w:val="24"/>
        </w:rPr>
        <w:t>I</w:t>
      </w:r>
      <w:r w:rsidRPr="006273A7">
        <w:rPr>
          <w:rFonts w:ascii="Arial" w:hAnsi="Arial" w:cs="Arial"/>
          <w:sz w:val="24"/>
          <w:szCs w:val="24"/>
        </w:rPr>
        <w:t>ncrease employee engagement,</w:t>
      </w:r>
    </w:p>
    <w:p w14:paraId="5735988D" w14:textId="77777777" w:rsidR="00C93C49" w:rsidRPr="006273A7" w:rsidRDefault="00C93C49" w:rsidP="00D94B11">
      <w:pPr>
        <w:pStyle w:val="ListParagraph"/>
        <w:widowControl w:val="0"/>
        <w:numPr>
          <w:ilvl w:val="0"/>
          <w:numId w:val="30"/>
        </w:numPr>
        <w:spacing w:after="0" w:line="240" w:lineRule="auto"/>
        <w:rPr>
          <w:rFonts w:ascii="Arial" w:hAnsi="Arial" w:cs="Arial"/>
          <w:sz w:val="24"/>
          <w:szCs w:val="24"/>
        </w:rPr>
      </w:pPr>
      <w:r>
        <w:rPr>
          <w:rFonts w:ascii="Arial" w:hAnsi="Arial" w:cs="Arial"/>
          <w:sz w:val="24"/>
          <w:szCs w:val="24"/>
        </w:rPr>
        <w:t>B</w:t>
      </w:r>
      <w:r w:rsidRPr="006273A7">
        <w:rPr>
          <w:rFonts w:ascii="Arial" w:hAnsi="Arial" w:cs="Arial"/>
          <w:sz w:val="24"/>
          <w:szCs w:val="24"/>
        </w:rPr>
        <w:t>uild leadership skills and credibility,</w:t>
      </w:r>
    </w:p>
    <w:p w14:paraId="3E2A4352" w14:textId="77777777" w:rsidR="00C93C49" w:rsidRPr="006273A7" w:rsidRDefault="00C93C49" w:rsidP="00D94B11">
      <w:pPr>
        <w:pStyle w:val="ListParagraph"/>
        <w:widowControl w:val="0"/>
        <w:numPr>
          <w:ilvl w:val="0"/>
          <w:numId w:val="30"/>
        </w:numPr>
        <w:spacing w:after="0" w:line="240" w:lineRule="auto"/>
        <w:rPr>
          <w:rFonts w:ascii="Arial" w:hAnsi="Arial" w:cs="Arial"/>
          <w:sz w:val="24"/>
          <w:szCs w:val="24"/>
        </w:rPr>
      </w:pPr>
      <w:r>
        <w:rPr>
          <w:rFonts w:ascii="Arial" w:hAnsi="Arial" w:cs="Arial"/>
          <w:sz w:val="24"/>
          <w:szCs w:val="24"/>
        </w:rPr>
        <w:t>I</w:t>
      </w:r>
      <w:r w:rsidRPr="006273A7">
        <w:rPr>
          <w:rFonts w:ascii="Arial" w:hAnsi="Arial" w:cs="Arial"/>
          <w:sz w:val="24"/>
          <w:szCs w:val="24"/>
        </w:rPr>
        <w:t>mprove communications,</w:t>
      </w:r>
    </w:p>
    <w:p w14:paraId="7665826B" w14:textId="77777777" w:rsidR="00C93C49" w:rsidRPr="006273A7" w:rsidRDefault="00C93C49" w:rsidP="00D94B11">
      <w:pPr>
        <w:pStyle w:val="ListParagraph"/>
        <w:widowControl w:val="0"/>
        <w:numPr>
          <w:ilvl w:val="0"/>
          <w:numId w:val="30"/>
        </w:numPr>
        <w:spacing w:after="0" w:line="240" w:lineRule="auto"/>
        <w:rPr>
          <w:rFonts w:ascii="Arial" w:hAnsi="Arial" w:cs="Arial"/>
          <w:sz w:val="24"/>
          <w:szCs w:val="24"/>
        </w:rPr>
      </w:pPr>
      <w:r>
        <w:rPr>
          <w:rFonts w:ascii="Arial" w:hAnsi="Arial" w:cs="Arial"/>
          <w:sz w:val="24"/>
          <w:szCs w:val="24"/>
        </w:rPr>
        <w:t>I</w:t>
      </w:r>
      <w:r w:rsidRPr="006273A7">
        <w:rPr>
          <w:rFonts w:ascii="Arial" w:hAnsi="Arial" w:cs="Arial"/>
          <w:sz w:val="24"/>
          <w:szCs w:val="24"/>
        </w:rPr>
        <w:t>mprove employee recognition, and</w:t>
      </w:r>
    </w:p>
    <w:p w14:paraId="2F4936B6" w14:textId="77777777" w:rsidR="00C93C49" w:rsidRDefault="00C93C49" w:rsidP="00D94B11">
      <w:pPr>
        <w:pStyle w:val="ListParagraph"/>
        <w:widowControl w:val="0"/>
        <w:numPr>
          <w:ilvl w:val="0"/>
          <w:numId w:val="30"/>
        </w:numPr>
        <w:spacing w:after="0" w:line="240" w:lineRule="auto"/>
        <w:rPr>
          <w:rFonts w:ascii="Arial" w:hAnsi="Arial" w:cs="Arial"/>
          <w:sz w:val="24"/>
          <w:szCs w:val="24"/>
        </w:rPr>
      </w:pPr>
      <w:r>
        <w:rPr>
          <w:rFonts w:ascii="Arial" w:hAnsi="Arial" w:cs="Arial"/>
          <w:sz w:val="24"/>
          <w:szCs w:val="24"/>
        </w:rPr>
        <w:t>C</w:t>
      </w:r>
      <w:r w:rsidRPr="006273A7">
        <w:rPr>
          <w:rFonts w:ascii="Arial" w:hAnsi="Arial" w:cs="Arial"/>
          <w:sz w:val="24"/>
          <w:szCs w:val="24"/>
        </w:rPr>
        <w:t xml:space="preserve">ontinue </w:t>
      </w:r>
      <w:r w:rsidR="00B61EF3">
        <w:rPr>
          <w:rFonts w:ascii="Arial" w:hAnsi="Arial" w:cs="Arial"/>
          <w:sz w:val="24"/>
          <w:szCs w:val="24"/>
        </w:rPr>
        <w:t xml:space="preserve">to </w:t>
      </w:r>
      <w:r w:rsidRPr="006273A7">
        <w:rPr>
          <w:rFonts w:ascii="Arial" w:hAnsi="Arial" w:cs="Arial"/>
          <w:sz w:val="24"/>
          <w:szCs w:val="24"/>
        </w:rPr>
        <w:t xml:space="preserve">focus on human performance principles and tools.  </w:t>
      </w:r>
    </w:p>
    <w:p w14:paraId="26C4B711" w14:textId="77777777" w:rsidR="00C93C49" w:rsidRDefault="00C93C49" w:rsidP="00C93C49">
      <w:pPr>
        <w:spacing w:line="240" w:lineRule="auto"/>
        <w:contextualSpacing/>
        <w:rPr>
          <w:rFonts w:ascii="Arial" w:hAnsi="Arial" w:cs="Arial"/>
          <w:sz w:val="24"/>
          <w:szCs w:val="24"/>
        </w:rPr>
      </w:pPr>
    </w:p>
    <w:p w14:paraId="63AFBD92" w14:textId="77777777" w:rsidR="00C93C49" w:rsidRPr="00090C3B" w:rsidRDefault="00C93C49" w:rsidP="00C93C49">
      <w:pPr>
        <w:spacing w:line="240" w:lineRule="auto"/>
        <w:contextualSpacing/>
        <w:rPr>
          <w:rFonts w:ascii="Arial" w:hAnsi="Arial" w:cs="Arial"/>
          <w:sz w:val="24"/>
          <w:szCs w:val="24"/>
        </w:rPr>
      </w:pPr>
    </w:p>
    <w:p w14:paraId="6808854B" w14:textId="77777777" w:rsidR="00C93C49" w:rsidRPr="009F7FD8" w:rsidRDefault="00C93C49" w:rsidP="00C93C49">
      <w:pPr>
        <w:spacing w:line="240" w:lineRule="auto"/>
        <w:ind w:firstLine="720"/>
        <w:contextualSpacing/>
        <w:rPr>
          <w:rFonts w:ascii="Arial" w:hAnsi="Arial" w:cs="Arial"/>
          <w:sz w:val="24"/>
          <w:szCs w:val="24"/>
        </w:rPr>
      </w:pPr>
      <w:r>
        <w:rPr>
          <w:rFonts w:ascii="Arial" w:hAnsi="Arial" w:cs="Arial"/>
          <w:sz w:val="24"/>
          <w:szCs w:val="24"/>
        </w:rPr>
        <w:t>Many</w:t>
      </w:r>
      <w:r w:rsidRPr="009F7FD8">
        <w:rPr>
          <w:rFonts w:ascii="Arial" w:hAnsi="Arial" w:cs="Arial"/>
          <w:sz w:val="24"/>
          <w:szCs w:val="24"/>
        </w:rPr>
        <w:t xml:space="preserve"> safety programs were modified </w:t>
      </w:r>
      <w:r>
        <w:rPr>
          <w:rFonts w:ascii="Arial" w:hAnsi="Arial" w:cs="Arial"/>
          <w:sz w:val="24"/>
          <w:szCs w:val="24"/>
        </w:rPr>
        <w:t xml:space="preserve">or adjusted </w:t>
      </w:r>
      <w:r w:rsidRPr="009F7FD8">
        <w:rPr>
          <w:rFonts w:ascii="Arial" w:hAnsi="Arial" w:cs="Arial"/>
          <w:sz w:val="24"/>
          <w:szCs w:val="24"/>
        </w:rPr>
        <w:t xml:space="preserve">with these principles in mind. </w:t>
      </w:r>
      <w:r>
        <w:rPr>
          <w:rFonts w:ascii="Arial" w:hAnsi="Arial" w:cs="Arial"/>
          <w:sz w:val="24"/>
          <w:szCs w:val="24"/>
        </w:rPr>
        <w:t xml:space="preserve"> Additionally, newer programs have been implemented in recent years with this approach, and among them are the following:</w:t>
      </w:r>
    </w:p>
    <w:p w14:paraId="29EE86BC" w14:textId="77777777" w:rsidR="00C93C49" w:rsidRDefault="00C93C49" w:rsidP="00D94B11">
      <w:pPr>
        <w:pStyle w:val="ListParagraph"/>
        <w:widowControl w:val="0"/>
        <w:numPr>
          <w:ilvl w:val="0"/>
          <w:numId w:val="30"/>
        </w:numPr>
        <w:spacing w:after="0" w:line="240" w:lineRule="auto"/>
        <w:rPr>
          <w:rFonts w:ascii="Arial" w:hAnsi="Arial" w:cs="Arial"/>
          <w:sz w:val="24"/>
          <w:szCs w:val="24"/>
        </w:rPr>
      </w:pPr>
      <w:r w:rsidRPr="009F7FD8">
        <w:rPr>
          <w:rFonts w:ascii="Arial" w:hAnsi="Arial" w:cs="Arial"/>
          <w:sz w:val="24"/>
          <w:szCs w:val="24"/>
        </w:rPr>
        <w:t>Field observers note safety issues and identify these issues without blame assigned to the violating employees (they remain anonymous) to improve the safety program</w:t>
      </w:r>
      <w:r>
        <w:rPr>
          <w:rFonts w:ascii="Arial" w:hAnsi="Arial" w:cs="Arial"/>
          <w:sz w:val="24"/>
          <w:szCs w:val="24"/>
        </w:rPr>
        <w:t>.</w:t>
      </w:r>
      <w:r w:rsidRPr="009F7FD8">
        <w:rPr>
          <w:rFonts w:ascii="Arial" w:hAnsi="Arial" w:cs="Arial"/>
          <w:sz w:val="24"/>
          <w:szCs w:val="24"/>
        </w:rPr>
        <w:t xml:space="preserve">  </w:t>
      </w:r>
      <w:r>
        <w:rPr>
          <w:rFonts w:ascii="Arial" w:hAnsi="Arial" w:cs="Arial"/>
          <w:sz w:val="24"/>
          <w:szCs w:val="24"/>
        </w:rPr>
        <w:t>T</w:t>
      </w:r>
      <w:r w:rsidRPr="009F7FD8">
        <w:rPr>
          <w:rFonts w:ascii="Arial" w:hAnsi="Arial" w:cs="Arial"/>
          <w:sz w:val="24"/>
          <w:szCs w:val="24"/>
        </w:rPr>
        <w:t>rainings or discussions are given to all employees as learning opportunities</w:t>
      </w:r>
      <w:r>
        <w:rPr>
          <w:rFonts w:ascii="Arial" w:hAnsi="Arial" w:cs="Arial"/>
          <w:sz w:val="24"/>
          <w:szCs w:val="24"/>
        </w:rPr>
        <w:t xml:space="preserve"> </w:t>
      </w:r>
      <w:r w:rsidRPr="009F7FD8">
        <w:rPr>
          <w:rFonts w:ascii="Arial" w:hAnsi="Arial" w:cs="Arial"/>
          <w:sz w:val="24"/>
          <w:szCs w:val="24"/>
        </w:rPr>
        <w:t>(Nov</w:t>
      </w:r>
      <w:r>
        <w:rPr>
          <w:rFonts w:ascii="Arial" w:hAnsi="Arial" w:cs="Arial"/>
          <w:sz w:val="24"/>
          <w:szCs w:val="24"/>
        </w:rPr>
        <w:t>ember</w:t>
      </w:r>
      <w:r w:rsidRPr="009F7FD8">
        <w:rPr>
          <w:rFonts w:ascii="Arial" w:hAnsi="Arial" w:cs="Arial"/>
          <w:sz w:val="24"/>
          <w:szCs w:val="24"/>
        </w:rPr>
        <w:t xml:space="preserve"> 2014)</w:t>
      </w:r>
      <w:r>
        <w:rPr>
          <w:rFonts w:ascii="Arial" w:hAnsi="Arial" w:cs="Arial"/>
          <w:sz w:val="24"/>
          <w:szCs w:val="24"/>
        </w:rPr>
        <w:t>.</w:t>
      </w:r>
    </w:p>
    <w:p w14:paraId="3EB390C5" w14:textId="77777777" w:rsidR="00C93C49" w:rsidRDefault="00C93C49" w:rsidP="00D94B11">
      <w:pPr>
        <w:pStyle w:val="ListParagraph"/>
        <w:widowControl w:val="0"/>
        <w:numPr>
          <w:ilvl w:val="0"/>
          <w:numId w:val="30"/>
        </w:numPr>
        <w:spacing w:after="0" w:line="240" w:lineRule="auto"/>
        <w:rPr>
          <w:rFonts w:ascii="Arial" w:hAnsi="Arial" w:cs="Arial"/>
          <w:sz w:val="24"/>
          <w:szCs w:val="24"/>
        </w:rPr>
      </w:pPr>
      <w:r w:rsidRPr="009F7FD8">
        <w:rPr>
          <w:rFonts w:ascii="Arial" w:hAnsi="Arial" w:cs="Arial"/>
          <w:sz w:val="24"/>
          <w:szCs w:val="24"/>
        </w:rPr>
        <w:t>Union representation is now involved in higher level safety meetings</w:t>
      </w:r>
      <w:r>
        <w:rPr>
          <w:rFonts w:ascii="Arial" w:hAnsi="Arial" w:cs="Arial"/>
          <w:sz w:val="24"/>
          <w:szCs w:val="24"/>
        </w:rPr>
        <w:t xml:space="preserve"> </w:t>
      </w:r>
      <w:r w:rsidRPr="009F7FD8">
        <w:rPr>
          <w:rFonts w:ascii="Arial" w:hAnsi="Arial" w:cs="Arial"/>
          <w:sz w:val="24"/>
          <w:szCs w:val="24"/>
        </w:rPr>
        <w:t>(Jan</w:t>
      </w:r>
      <w:r>
        <w:rPr>
          <w:rFonts w:ascii="Arial" w:hAnsi="Arial" w:cs="Arial"/>
          <w:sz w:val="24"/>
          <w:szCs w:val="24"/>
        </w:rPr>
        <w:t>uary</w:t>
      </w:r>
      <w:r w:rsidRPr="009F7FD8">
        <w:rPr>
          <w:rFonts w:ascii="Arial" w:hAnsi="Arial" w:cs="Arial"/>
          <w:sz w:val="24"/>
          <w:szCs w:val="24"/>
        </w:rPr>
        <w:t xml:space="preserve"> 2015)</w:t>
      </w:r>
      <w:r>
        <w:rPr>
          <w:rFonts w:ascii="Arial" w:hAnsi="Arial" w:cs="Arial"/>
          <w:sz w:val="24"/>
          <w:szCs w:val="24"/>
        </w:rPr>
        <w:t>.</w:t>
      </w:r>
    </w:p>
    <w:p w14:paraId="09C5B16F" w14:textId="77777777" w:rsidR="00F33FB1" w:rsidRPr="009F7FD8" w:rsidRDefault="00F33FB1" w:rsidP="002F53D6">
      <w:pPr>
        <w:pStyle w:val="ListParagraph"/>
        <w:widowControl w:val="0"/>
        <w:spacing w:after="0" w:line="240" w:lineRule="auto"/>
        <w:ind w:left="1080"/>
        <w:rPr>
          <w:rFonts w:ascii="Arial" w:hAnsi="Arial" w:cs="Arial"/>
          <w:sz w:val="24"/>
          <w:szCs w:val="24"/>
        </w:rPr>
      </w:pPr>
    </w:p>
    <w:p w14:paraId="003496F7" w14:textId="77777777" w:rsidR="00C93C49" w:rsidRDefault="00C93C49" w:rsidP="00D94B11">
      <w:pPr>
        <w:pStyle w:val="ListParagraph"/>
        <w:widowControl w:val="0"/>
        <w:numPr>
          <w:ilvl w:val="0"/>
          <w:numId w:val="30"/>
        </w:numPr>
        <w:spacing w:after="0" w:line="240" w:lineRule="auto"/>
        <w:rPr>
          <w:rFonts w:ascii="Arial" w:hAnsi="Arial" w:cs="Arial"/>
          <w:sz w:val="24"/>
          <w:szCs w:val="24"/>
        </w:rPr>
      </w:pPr>
      <w:r w:rsidRPr="009F7FD8">
        <w:rPr>
          <w:rFonts w:ascii="Arial" w:hAnsi="Arial" w:cs="Arial"/>
          <w:sz w:val="24"/>
          <w:szCs w:val="24"/>
        </w:rPr>
        <w:t>Safety awards are now given to individuals, departments, and shops</w:t>
      </w:r>
      <w:r>
        <w:rPr>
          <w:rFonts w:ascii="Arial" w:hAnsi="Arial" w:cs="Arial"/>
          <w:sz w:val="24"/>
          <w:szCs w:val="24"/>
        </w:rPr>
        <w:t xml:space="preserve"> </w:t>
      </w:r>
      <w:r w:rsidRPr="009F7FD8">
        <w:rPr>
          <w:rFonts w:ascii="Arial" w:hAnsi="Arial" w:cs="Arial"/>
          <w:sz w:val="24"/>
          <w:szCs w:val="24"/>
        </w:rPr>
        <w:t>(May 2015)</w:t>
      </w:r>
      <w:r>
        <w:rPr>
          <w:rFonts w:ascii="Arial" w:hAnsi="Arial" w:cs="Arial"/>
          <w:sz w:val="24"/>
          <w:szCs w:val="24"/>
        </w:rPr>
        <w:t>.</w:t>
      </w:r>
    </w:p>
    <w:p w14:paraId="7C903893" w14:textId="77777777" w:rsidR="000458C1" w:rsidRDefault="000458C1" w:rsidP="00C93C49">
      <w:pPr>
        <w:widowControl w:val="0"/>
        <w:spacing w:after="0" w:line="240" w:lineRule="auto"/>
        <w:ind w:firstLine="720"/>
        <w:rPr>
          <w:rFonts w:ascii="Arial" w:hAnsi="Arial" w:cs="Arial"/>
          <w:sz w:val="24"/>
          <w:szCs w:val="24"/>
        </w:rPr>
      </w:pPr>
    </w:p>
    <w:p w14:paraId="43D75E1C" w14:textId="77777777" w:rsidR="000458C1" w:rsidRDefault="000458C1" w:rsidP="00C93C49">
      <w:pPr>
        <w:widowControl w:val="0"/>
        <w:spacing w:after="0" w:line="240" w:lineRule="auto"/>
        <w:ind w:firstLine="720"/>
        <w:rPr>
          <w:rFonts w:ascii="Arial" w:hAnsi="Arial" w:cs="Arial"/>
          <w:sz w:val="24"/>
          <w:szCs w:val="24"/>
        </w:rPr>
      </w:pPr>
    </w:p>
    <w:p w14:paraId="38422007" w14:textId="77777777" w:rsidR="00C93C49" w:rsidRPr="00511ABC" w:rsidRDefault="00C93C49" w:rsidP="00C93C49">
      <w:pPr>
        <w:widowControl w:val="0"/>
        <w:spacing w:after="0" w:line="240" w:lineRule="auto"/>
        <w:ind w:firstLine="720"/>
        <w:rPr>
          <w:rFonts w:ascii="Arial" w:hAnsi="Arial" w:cs="Arial"/>
          <w:sz w:val="24"/>
          <w:szCs w:val="24"/>
        </w:rPr>
      </w:pPr>
      <w:r>
        <w:rPr>
          <w:rFonts w:ascii="Arial" w:hAnsi="Arial" w:cs="Arial"/>
          <w:sz w:val="24"/>
          <w:szCs w:val="24"/>
        </w:rPr>
        <w:t xml:space="preserve">Another recent change to the safety program is how vehicular accidents are measured and monitored.  The </w:t>
      </w:r>
      <w:r w:rsidR="00DC3D9B">
        <w:rPr>
          <w:rFonts w:ascii="Arial" w:hAnsi="Arial" w:cs="Arial"/>
          <w:sz w:val="24"/>
          <w:szCs w:val="24"/>
        </w:rPr>
        <w:t>FE-PA companies</w:t>
      </w:r>
      <w:r w:rsidRPr="00511ABC">
        <w:rPr>
          <w:rFonts w:ascii="Arial" w:hAnsi="Arial" w:cs="Arial"/>
          <w:sz w:val="24"/>
          <w:szCs w:val="24"/>
        </w:rPr>
        <w:t xml:space="preserve"> previously measured MVAR</w:t>
      </w:r>
      <w:r>
        <w:rPr>
          <w:rFonts w:ascii="Arial" w:hAnsi="Arial" w:cs="Arial"/>
          <w:sz w:val="24"/>
          <w:szCs w:val="24"/>
        </w:rPr>
        <w:t>,</w:t>
      </w:r>
      <w:r w:rsidRPr="00511ABC">
        <w:rPr>
          <w:rFonts w:ascii="Arial" w:hAnsi="Arial" w:cs="Arial"/>
          <w:sz w:val="24"/>
          <w:szCs w:val="24"/>
        </w:rPr>
        <w:t xml:space="preserve"> but </w:t>
      </w:r>
      <w:r>
        <w:rPr>
          <w:rFonts w:ascii="Arial" w:hAnsi="Arial" w:cs="Arial"/>
          <w:sz w:val="24"/>
          <w:szCs w:val="24"/>
        </w:rPr>
        <w:t>implemented</w:t>
      </w:r>
      <w:r w:rsidRPr="00511ABC">
        <w:rPr>
          <w:rFonts w:ascii="Arial" w:hAnsi="Arial" w:cs="Arial"/>
          <w:sz w:val="24"/>
          <w:szCs w:val="24"/>
        </w:rPr>
        <w:t xml:space="preserve"> a new index called Chargea</w:t>
      </w:r>
      <w:r>
        <w:rPr>
          <w:rFonts w:ascii="Arial" w:hAnsi="Arial" w:cs="Arial"/>
          <w:sz w:val="24"/>
          <w:szCs w:val="24"/>
        </w:rPr>
        <w:t xml:space="preserve">ble Motor Vehicle Accident </w:t>
      </w:r>
      <w:r w:rsidRPr="00511ABC">
        <w:rPr>
          <w:rFonts w:ascii="Arial" w:hAnsi="Arial" w:cs="Arial"/>
          <w:sz w:val="24"/>
          <w:szCs w:val="24"/>
        </w:rPr>
        <w:t>(CMVA)</w:t>
      </w:r>
      <w:r>
        <w:rPr>
          <w:rFonts w:ascii="Arial" w:hAnsi="Arial" w:cs="Arial"/>
          <w:sz w:val="24"/>
          <w:szCs w:val="24"/>
        </w:rPr>
        <w:t xml:space="preserve"> Rate as of 2014</w:t>
      </w:r>
      <w:r w:rsidRPr="00511ABC">
        <w:rPr>
          <w:rFonts w:ascii="Arial" w:hAnsi="Arial" w:cs="Arial"/>
          <w:sz w:val="24"/>
          <w:szCs w:val="24"/>
        </w:rPr>
        <w:t>.  This measures acciden</w:t>
      </w:r>
      <w:r>
        <w:rPr>
          <w:rFonts w:ascii="Arial" w:hAnsi="Arial" w:cs="Arial"/>
          <w:sz w:val="24"/>
          <w:szCs w:val="24"/>
        </w:rPr>
        <w:t>ts that were preventable by FirstEnergy</w:t>
      </w:r>
      <w:r w:rsidRPr="00511ABC">
        <w:rPr>
          <w:rFonts w:ascii="Arial" w:hAnsi="Arial" w:cs="Arial"/>
          <w:sz w:val="24"/>
          <w:szCs w:val="24"/>
        </w:rPr>
        <w:t xml:space="preserve"> empl</w:t>
      </w:r>
      <w:r>
        <w:rPr>
          <w:rFonts w:ascii="Arial" w:hAnsi="Arial" w:cs="Arial"/>
          <w:sz w:val="24"/>
          <w:szCs w:val="24"/>
        </w:rPr>
        <w:t>oyees.  In other words, if a FirstEnergy</w:t>
      </w:r>
      <w:r w:rsidRPr="00511ABC">
        <w:rPr>
          <w:rFonts w:ascii="Arial" w:hAnsi="Arial" w:cs="Arial"/>
          <w:sz w:val="24"/>
          <w:szCs w:val="24"/>
        </w:rPr>
        <w:t xml:space="preserve"> vehicle was hit due to someone else’s fault this would have previously been included in the </w:t>
      </w:r>
      <w:r>
        <w:rPr>
          <w:rFonts w:ascii="Arial" w:hAnsi="Arial" w:cs="Arial"/>
          <w:sz w:val="24"/>
          <w:szCs w:val="24"/>
        </w:rPr>
        <w:t xml:space="preserve">MVAR </w:t>
      </w:r>
      <w:r w:rsidRPr="00511ABC">
        <w:rPr>
          <w:rFonts w:ascii="Arial" w:hAnsi="Arial" w:cs="Arial"/>
          <w:sz w:val="24"/>
          <w:szCs w:val="24"/>
        </w:rPr>
        <w:t>statistics whereas now it is not</w:t>
      </w:r>
      <w:r>
        <w:rPr>
          <w:rFonts w:ascii="Arial" w:hAnsi="Arial" w:cs="Arial"/>
          <w:sz w:val="24"/>
          <w:szCs w:val="24"/>
        </w:rPr>
        <w:t xml:space="preserve"> included in the CMVA statistics</w:t>
      </w:r>
      <w:r w:rsidRPr="00511ABC">
        <w:rPr>
          <w:rFonts w:ascii="Arial" w:hAnsi="Arial" w:cs="Arial"/>
          <w:sz w:val="24"/>
          <w:szCs w:val="24"/>
        </w:rPr>
        <w:t>.</w:t>
      </w:r>
      <w:r>
        <w:rPr>
          <w:rFonts w:ascii="Arial" w:hAnsi="Arial" w:cs="Arial"/>
          <w:sz w:val="24"/>
          <w:szCs w:val="24"/>
        </w:rPr>
        <w:t xml:space="preserve">  </w:t>
      </w:r>
      <w:r w:rsidRPr="00511ABC">
        <w:rPr>
          <w:rFonts w:ascii="Arial" w:hAnsi="Arial" w:cs="Arial"/>
          <w:sz w:val="24"/>
          <w:szCs w:val="24"/>
        </w:rPr>
        <w:t>Because of this</w:t>
      </w:r>
      <w:r>
        <w:rPr>
          <w:rFonts w:ascii="Arial" w:hAnsi="Arial" w:cs="Arial"/>
          <w:sz w:val="24"/>
          <w:szCs w:val="24"/>
        </w:rPr>
        <w:t>,</w:t>
      </w:r>
      <w:r w:rsidRPr="00511ABC">
        <w:rPr>
          <w:rFonts w:ascii="Arial" w:hAnsi="Arial" w:cs="Arial"/>
          <w:sz w:val="24"/>
          <w:szCs w:val="24"/>
        </w:rPr>
        <w:t xml:space="preserve"> it would not be reasonable to compare the previous </w:t>
      </w:r>
      <w:r>
        <w:rPr>
          <w:rFonts w:ascii="Arial" w:hAnsi="Arial" w:cs="Arial"/>
          <w:sz w:val="24"/>
          <w:szCs w:val="24"/>
        </w:rPr>
        <w:t xml:space="preserve">MVAR rates to the CMVA rates for </w:t>
      </w:r>
      <w:r w:rsidRPr="00511ABC">
        <w:rPr>
          <w:rFonts w:ascii="Arial" w:hAnsi="Arial" w:cs="Arial"/>
          <w:sz w:val="24"/>
          <w:szCs w:val="24"/>
        </w:rPr>
        <w:t>analysis</w:t>
      </w:r>
      <w:r>
        <w:rPr>
          <w:rFonts w:ascii="Arial" w:hAnsi="Arial" w:cs="Arial"/>
          <w:sz w:val="24"/>
          <w:szCs w:val="24"/>
        </w:rPr>
        <w:t xml:space="preserve"> of improvement</w:t>
      </w:r>
      <w:r w:rsidRPr="00511ABC">
        <w:rPr>
          <w:rFonts w:ascii="Arial" w:hAnsi="Arial" w:cs="Arial"/>
          <w:sz w:val="24"/>
          <w:szCs w:val="24"/>
        </w:rPr>
        <w:t>.</w:t>
      </w:r>
    </w:p>
    <w:p w14:paraId="5BD38DCC" w14:textId="77777777" w:rsidR="00C93C49" w:rsidRPr="00090C3B" w:rsidRDefault="00C93C49" w:rsidP="00C93C49">
      <w:pPr>
        <w:spacing w:line="240" w:lineRule="auto"/>
        <w:contextualSpacing/>
        <w:rPr>
          <w:rFonts w:ascii="Arial" w:hAnsi="Arial" w:cs="Arial"/>
          <w:sz w:val="24"/>
          <w:szCs w:val="24"/>
        </w:rPr>
      </w:pPr>
    </w:p>
    <w:p w14:paraId="5DF3C278" w14:textId="77777777" w:rsidR="00C93C49" w:rsidRDefault="00C93C49" w:rsidP="00C93C49">
      <w:pPr>
        <w:spacing w:after="0" w:line="240" w:lineRule="auto"/>
        <w:ind w:firstLine="720"/>
        <w:contextualSpacing/>
        <w:rPr>
          <w:rFonts w:ascii="Arial" w:hAnsi="Arial" w:cs="Arial"/>
          <w:sz w:val="24"/>
          <w:szCs w:val="24"/>
        </w:rPr>
      </w:pPr>
      <w:r>
        <w:rPr>
          <w:rFonts w:ascii="Arial" w:hAnsi="Arial" w:cs="Arial"/>
          <w:sz w:val="24"/>
          <w:szCs w:val="24"/>
        </w:rPr>
        <w:t xml:space="preserve">Overall, the auditors determined that, similar to the situation in the prior management audit, the safety programs in place appeared to be effective and suitably managed.  To determine if there were improvements in safety measurement results, data </w:t>
      </w:r>
      <w:r w:rsidRPr="00090C3B">
        <w:rPr>
          <w:rFonts w:ascii="Arial" w:hAnsi="Arial" w:cs="Arial"/>
          <w:sz w:val="24"/>
          <w:szCs w:val="24"/>
        </w:rPr>
        <w:t xml:space="preserve">from 2014 to 2017 </w:t>
      </w:r>
      <w:r>
        <w:rPr>
          <w:rFonts w:ascii="Arial" w:hAnsi="Arial" w:cs="Arial"/>
          <w:sz w:val="24"/>
          <w:szCs w:val="24"/>
        </w:rPr>
        <w:t xml:space="preserve">(the timeframe directly after the management audit) was compared to the results from 2009 to 2013 (the recent timeframe before the prior management audit).  Performance has notably improved for </w:t>
      </w:r>
      <w:r w:rsidRPr="009F7FD8">
        <w:rPr>
          <w:rFonts w:ascii="Arial" w:hAnsi="Arial" w:cs="Arial"/>
          <w:sz w:val="24"/>
          <w:szCs w:val="24"/>
        </w:rPr>
        <w:t>Met-Ed and West Penn Power</w:t>
      </w:r>
      <w:r>
        <w:rPr>
          <w:rFonts w:ascii="Arial" w:hAnsi="Arial" w:cs="Arial"/>
          <w:sz w:val="24"/>
          <w:szCs w:val="24"/>
        </w:rPr>
        <w:t>,</w:t>
      </w:r>
      <w:r w:rsidRPr="009F7FD8">
        <w:rPr>
          <w:rFonts w:ascii="Arial" w:hAnsi="Arial" w:cs="Arial"/>
          <w:sz w:val="24"/>
          <w:szCs w:val="24"/>
        </w:rPr>
        <w:t xml:space="preserve"> and </w:t>
      </w:r>
      <w:r>
        <w:rPr>
          <w:rFonts w:ascii="Arial" w:hAnsi="Arial" w:cs="Arial"/>
          <w:sz w:val="24"/>
          <w:szCs w:val="24"/>
        </w:rPr>
        <w:t xml:space="preserve">slightly </w:t>
      </w:r>
      <w:r w:rsidRPr="009F7FD8">
        <w:rPr>
          <w:rFonts w:ascii="Arial" w:hAnsi="Arial" w:cs="Arial"/>
          <w:sz w:val="24"/>
          <w:szCs w:val="24"/>
        </w:rPr>
        <w:t>diminish</w:t>
      </w:r>
      <w:r>
        <w:rPr>
          <w:rFonts w:ascii="Arial" w:hAnsi="Arial" w:cs="Arial"/>
          <w:sz w:val="24"/>
          <w:szCs w:val="24"/>
        </w:rPr>
        <w:t xml:space="preserve">ed at Penelec and Penn Power (though it should be noted that Penelec and Penn Power were historically the two better performing distribution companies with regards to safety measures, and the four </w:t>
      </w:r>
      <w:r w:rsidR="00DC3D9B">
        <w:rPr>
          <w:rFonts w:ascii="Arial" w:hAnsi="Arial" w:cs="Arial"/>
          <w:sz w:val="24"/>
          <w:szCs w:val="24"/>
        </w:rPr>
        <w:t>companies</w:t>
      </w:r>
      <w:r>
        <w:rPr>
          <w:rFonts w:ascii="Arial" w:hAnsi="Arial" w:cs="Arial"/>
          <w:sz w:val="24"/>
          <w:szCs w:val="24"/>
        </w:rPr>
        <w:t xml:space="preserve"> are now very comparable). </w:t>
      </w:r>
      <w:r w:rsidRPr="00090C3B">
        <w:rPr>
          <w:rFonts w:ascii="Arial" w:hAnsi="Arial" w:cs="Arial"/>
          <w:sz w:val="24"/>
          <w:szCs w:val="24"/>
        </w:rPr>
        <w:t xml:space="preserve"> </w:t>
      </w:r>
      <w:r>
        <w:rPr>
          <w:rFonts w:ascii="Arial" w:hAnsi="Arial" w:cs="Arial"/>
          <w:sz w:val="24"/>
          <w:szCs w:val="24"/>
        </w:rPr>
        <w:t xml:space="preserve">Exhibits XI-2, XI-3, and XI-4 display current performance for the </w:t>
      </w:r>
      <w:r w:rsidR="00DC3D9B">
        <w:rPr>
          <w:rFonts w:ascii="Arial" w:hAnsi="Arial" w:cs="Arial"/>
          <w:sz w:val="24"/>
          <w:szCs w:val="24"/>
        </w:rPr>
        <w:t>FE-PA companies</w:t>
      </w:r>
      <w:r>
        <w:rPr>
          <w:rFonts w:ascii="Arial" w:hAnsi="Arial" w:cs="Arial"/>
          <w:sz w:val="24"/>
          <w:szCs w:val="24"/>
        </w:rPr>
        <w:t xml:space="preserve"> with regards to OSHA, DART, and CMVA rates, respectively.  For OSHA and DART, performance for the previous timeframe is also displayed for comparison purposes.  Because CMVA is a new measurement, this could not be compared to </w:t>
      </w:r>
      <w:r w:rsidR="00F33FB1">
        <w:rPr>
          <w:rFonts w:ascii="Arial" w:hAnsi="Arial" w:cs="Arial"/>
          <w:sz w:val="24"/>
          <w:szCs w:val="24"/>
        </w:rPr>
        <w:t>earlier</w:t>
      </w:r>
      <w:r>
        <w:rPr>
          <w:rFonts w:ascii="Arial" w:hAnsi="Arial" w:cs="Arial"/>
          <w:sz w:val="24"/>
          <w:szCs w:val="24"/>
        </w:rPr>
        <w:t xml:space="preserve"> rates.  </w:t>
      </w:r>
    </w:p>
    <w:p w14:paraId="6B785CFE" w14:textId="77777777" w:rsidR="00C93C49" w:rsidRDefault="00C93C49" w:rsidP="00C93C49">
      <w:pPr>
        <w:spacing w:after="0" w:line="240" w:lineRule="auto"/>
        <w:contextualSpacing/>
        <w:rPr>
          <w:rFonts w:ascii="Arial" w:hAnsi="Arial" w:cs="Arial"/>
          <w:sz w:val="24"/>
          <w:szCs w:val="24"/>
        </w:rPr>
      </w:pPr>
    </w:p>
    <w:p w14:paraId="03946F98" w14:textId="77777777" w:rsidR="00C93C49" w:rsidRPr="007116D1" w:rsidRDefault="00C93C49" w:rsidP="00C93C49">
      <w:pPr>
        <w:widowControl w:val="0"/>
        <w:spacing w:after="0" w:line="240" w:lineRule="auto"/>
        <w:jc w:val="center"/>
        <w:rPr>
          <w:rFonts w:ascii="Arial" w:hAnsi="Arial" w:cs="Arial"/>
          <w:b/>
          <w:sz w:val="24"/>
          <w:szCs w:val="24"/>
        </w:rPr>
      </w:pPr>
      <w:r>
        <w:rPr>
          <w:rFonts w:ascii="Arial" w:hAnsi="Arial" w:cs="Arial"/>
          <w:b/>
          <w:sz w:val="24"/>
          <w:szCs w:val="24"/>
        </w:rPr>
        <w:t>Exhibit XI – 2</w:t>
      </w:r>
    </w:p>
    <w:p w14:paraId="7089BC4F" w14:textId="77777777" w:rsidR="00C93C49" w:rsidRPr="007116D1" w:rsidRDefault="00C93C49" w:rsidP="00C93C49">
      <w:pPr>
        <w:widowControl w:val="0"/>
        <w:spacing w:after="0" w:line="240" w:lineRule="auto"/>
        <w:jc w:val="center"/>
        <w:rPr>
          <w:rFonts w:ascii="Arial" w:hAnsi="Arial" w:cs="Arial"/>
          <w:b/>
          <w:sz w:val="24"/>
          <w:szCs w:val="24"/>
        </w:rPr>
      </w:pPr>
      <w:r w:rsidRPr="007116D1">
        <w:rPr>
          <w:rFonts w:ascii="Arial" w:hAnsi="Arial" w:cs="Arial"/>
          <w:b/>
          <w:sz w:val="24"/>
          <w:szCs w:val="24"/>
        </w:rPr>
        <w:t>FirstEnergy Pennsylvania Companies</w:t>
      </w:r>
    </w:p>
    <w:p w14:paraId="6F0A1556" w14:textId="77777777" w:rsidR="00C93C49" w:rsidRPr="007116D1" w:rsidRDefault="00C93C49" w:rsidP="00C93C49">
      <w:pPr>
        <w:widowControl w:val="0"/>
        <w:spacing w:after="0" w:line="240" w:lineRule="auto"/>
        <w:jc w:val="center"/>
        <w:rPr>
          <w:rFonts w:ascii="Arial" w:hAnsi="Arial" w:cs="Arial"/>
          <w:b/>
          <w:sz w:val="24"/>
          <w:szCs w:val="24"/>
        </w:rPr>
      </w:pPr>
      <w:r>
        <w:rPr>
          <w:rFonts w:ascii="Arial" w:hAnsi="Arial" w:cs="Arial"/>
          <w:b/>
          <w:sz w:val="24"/>
          <w:szCs w:val="24"/>
        </w:rPr>
        <w:t>OSHA Rates Comparison</w:t>
      </w:r>
    </w:p>
    <w:p w14:paraId="70E18125" w14:textId="77777777" w:rsidR="00C93C49" w:rsidRDefault="00C93C49" w:rsidP="00C93C49">
      <w:pPr>
        <w:spacing w:after="0" w:line="240" w:lineRule="auto"/>
        <w:contextualSpacing/>
        <w:jc w:val="center"/>
        <w:rPr>
          <w:rFonts w:ascii="Arial" w:hAnsi="Arial" w:cs="Arial"/>
          <w:sz w:val="24"/>
          <w:szCs w:val="24"/>
        </w:rPr>
      </w:pPr>
      <w:r w:rsidRPr="007116D1">
        <w:rPr>
          <w:rFonts w:ascii="Arial" w:hAnsi="Arial" w:cs="Arial"/>
          <w:b/>
          <w:sz w:val="24"/>
          <w:szCs w:val="24"/>
        </w:rPr>
        <w:t>For the Years 2009 through 2013</w:t>
      </w:r>
      <w:r>
        <w:rPr>
          <w:rFonts w:ascii="Arial" w:hAnsi="Arial" w:cs="Arial"/>
          <w:b/>
          <w:sz w:val="24"/>
          <w:szCs w:val="24"/>
        </w:rPr>
        <w:t xml:space="preserve"> and 2014 through 2017</w:t>
      </w:r>
    </w:p>
    <w:p w14:paraId="162460DB" w14:textId="77777777" w:rsidR="00C93C49" w:rsidRPr="0030543D" w:rsidRDefault="00C93C49" w:rsidP="00C93C49">
      <w:pPr>
        <w:spacing w:after="0" w:line="240" w:lineRule="auto"/>
        <w:contextualSpacing/>
        <w:rPr>
          <w:rFonts w:ascii="Arial" w:hAnsi="Arial" w:cs="Arial"/>
          <w:sz w:val="12"/>
          <w:szCs w:val="12"/>
        </w:rPr>
      </w:pPr>
    </w:p>
    <w:bookmarkStart w:id="38" w:name="_MON_1585649892"/>
    <w:bookmarkEnd w:id="38"/>
    <w:p w14:paraId="0CA46124" w14:textId="77777777" w:rsidR="00C93C49" w:rsidRDefault="00C93C49" w:rsidP="00C93C49">
      <w:pPr>
        <w:spacing w:after="0" w:line="240" w:lineRule="auto"/>
        <w:contextualSpacing/>
        <w:jc w:val="center"/>
        <w:rPr>
          <w:rFonts w:ascii="Arial" w:hAnsi="Arial" w:cs="Arial"/>
          <w:sz w:val="24"/>
          <w:szCs w:val="24"/>
        </w:rPr>
      </w:pPr>
      <w:r>
        <w:rPr>
          <w:rFonts w:ascii="Arial" w:hAnsi="Arial" w:cs="Arial"/>
          <w:sz w:val="24"/>
          <w:szCs w:val="24"/>
        </w:rPr>
        <w:object w:dxaOrig="9459" w:dyaOrig="3825" w14:anchorId="7B123782">
          <v:shape id="_x0000_i1032" type="#_x0000_t75" style="width:366.1pt;height:151.2pt" o:ole="">
            <v:imagedata r:id="rId59" o:title=""/>
          </v:shape>
          <o:OLEObject Type="Embed" ProgID="Excel.Sheet.12" ShapeID="_x0000_i1032" DrawAspect="Content" ObjectID="_1599049582" r:id="rId60"/>
        </w:object>
      </w:r>
    </w:p>
    <w:p w14:paraId="192F62AB" w14:textId="77777777" w:rsidR="00C93C49" w:rsidRPr="00B2669C" w:rsidRDefault="00C93C49" w:rsidP="00C93C49">
      <w:pPr>
        <w:spacing w:after="0" w:line="240" w:lineRule="auto"/>
        <w:ind w:left="1800" w:right="1080" w:hanging="720"/>
        <w:contextualSpacing/>
        <w:rPr>
          <w:rFonts w:ascii="Arial" w:hAnsi="Arial" w:cs="Arial"/>
          <w:sz w:val="18"/>
          <w:szCs w:val="18"/>
        </w:rPr>
      </w:pPr>
      <w:r w:rsidRPr="00B2669C">
        <w:rPr>
          <w:rFonts w:ascii="Arial" w:hAnsi="Arial" w:cs="Arial"/>
          <w:sz w:val="18"/>
          <w:szCs w:val="18"/>
        </w:rPr>
        <w:t xml:space="preserve">Source:  </w:t>
      </w:r>
      <w:r w:rsidR="00B779E0">
        <w:rPr>
          <w:rFonts w:ascii="Arial" w:hAnsi="Arial" w:cs="Arial"/>
          <w:sz w:val="18"/>
          <w:szCs w:val="18"/>
        </w:rPr>
        <w:t xml:space="preserve">2014 </w:t>
      </w:r>
      <w:r w:rsidRPr="00B2669C">
        <w:rPr>
          <w:rFonts w:ascii="Arial" w:hAnsi="Arial" w:cs="Arial"/>
          <w:sz w:val="18"/>
          <w:szCs w:val="18"/>
        </w:rPr>
        <w:t>Management Audit Exhibit XI-5</w:t>
      </w:r>
      <w:r w:rsidR="00B779E0">
        <w:rPr>
          <w:rFonts w:ascii="Arial" w:hAnsi="Arial" w:cs="Arial"/>
          <w:sz w:val="18"/>
          <w:szCs w:val="18"/>
        </w:rPr>
        <w:t>;</w:t>
      </w:r>
      <w:r w:rsidRPr="00B2669C">
        <w:rPr>
          <w:rFonts w:ascii="Arial" w:hAnsi="Arial" w:cs="Arial"/>
          <w:sz w:val="18"/>
          <w:szCs w:val="18"/>
        </w:rPr>
        <w:t xml:space="preserve"> Data Requests HR-5 and HR-12</w:t>
      </w:r>
      <w:r w:rsidR="00B779E0">
        <w:rPr>
          <w:rFonts w:ascii="Arial" w:hAnsi="Arial" w:cs="Arial"/>
          <w:sz w:val="18"/>
          <w:szCs w:val="18"/>
        </w:rPr>
        <w:t>;</w:t>
      </w:r>
      <w:r w:rsidRPr="00B2669C">
        <w:rPr>
          <w:rFonts w:ascii="Arial" w:hAnsi="Arial" w:cs="Arial"/>
          <w:sz w:val="18"/>
          <w:szCs w:val="18"/>
        </w:rPr>
        <w:t xml:space="preserve"> and auditor analysis</w:t>
      </w:r>
    </w:p>
    <w:p w14:paraId="49E903A0" w14:textId="77777777" w:rsidR="00C93C49" w:rsidRPr="007116D1" w:rsidRDefault="00C93C49" w:rsidP="00C93C49">
      <w:pPr>
        <w:widowControl w:val="0"/>
        <w:spacing w:after="0" w:line="240" w:lineRule="auto"/>
        <w:jc w:val="center"/>
        <w:rPr>
          <w:rFonts w:ascii="Arial" w:hAnsi="Arial" w:cs="Arial"/>
          <w:b/>
          <w:sz w:val="24"/>
          <w:szCs w:val="24"/>
        </w:rPr>
      </w:pPr>
      <w:r>
        <w:rPr>
          <w:rFonts w:ascii="Arial" w:hAnsi="Arial" w:cs="Arial"/>
          <w:b/>
          <w:sz w:val="24"/>
          <w:szCs w:val="24"/>
        </w:rPr>
        <w:t>Exhibit XI – 3</w:t>
      </w:r>
    </w:p>
    <w:p w14:paraId="0B3CF23C" w14:textId="77777777" w:rsidR="00C93C49" w:rsidRPr="007116D1" w:rsidRDefault="00C93C49" w:rsidP="00C93C49">
      <w:pPr>
        <w:widowControl w:val="0"/>
        <w:spacing w:after="0" w:line="240" w:lineRule="auto"/>
        <w:jc w:val="center"/>
        <w:rPr>
          <w:rFonts w:ascii="Arial" w:hAnsi="Arial" w:cs="Arial"/>
          <w:b/>
          <w:sz w:val="24"/>
          <w:szCs w:val="24"/>
        </w:rPr>
      </w:pPr>
      <w:r w:rsidRPr="007116D1">
        <w:rPr>
          <w:rFonts w:ascii="Arial" w:hAnsi="Arial" w:cs="Arial"/>
          <w:b/>
          <w:sz w:val="24"/>
          <w:szCs w:val="24"/>
        </w:rPr>
        <w:t>FirstEnergy Pennsylvania Companies</w:t>
      </w:r>
    </w:p>
    <w:p w14:paraId="3C25AADC" w14:textId="77777777" w:rsidR="00C93C49" w:rsidRPr="007116D1" w:rsidRDefault="00C93C49" w:rsidP="00C93C49">
      <w:pPr>
        <w:widowControl w:val="0"/>
        <w:spacing w:after="0" w:line="240" w:lineRule="auto"/>
        <w:jc w:val="center"/>
        <w:rPr>
          <w:rFonts w:ascii="Arial" w:hAnsi="Arial" w:cs="Arial"/>
          <w:b/>
          <w:sz w:val="24"/>
          <w:szCs w:val="24"/>
        </w:rPr>
      </w:pPr>
      <w:r>
        <w:rPr>
          <w:rFonts w:ascii="Arial" w:hAnsi="Arial" w:cs="Arial"/>
          <w:b/>
          <w:sz w:val="24"/>
          <w:szCs w:val="24"/>
        </w:rPr>
        <w:t>DART Rates Comparison</w:t>
      </w:r>
    </w:p>
    <w:p w14:paraId="0C188335" w14:textId="77777777" w:rsidR="00C93C49" w:rsidRDefault="00C93C49" w:rsidP="00C93C49">
      <w:pPr>
        <w:spacing w:after="0" w:line="240" w:lineRule="auto"/>
        <w:contextualSpacing/>
        <w:jc w:val="center"/>
        <w:rPr>
          <w:rFonts w:ascii="Arial" w:hAnsi="Arial" w:cs="Arial"/>
          <w:sz w:val="24"/>
          <w:szCs w:val="24"/>
        </w:rPr>
      </w:pPr>
      <w:r w:rsidRPr="007116D1">
        <w:rPr>
          <w:rFonts w:ascii="Arial" w:hAnsi="Arial" w:cs="Arial"/>
          <w:b/>
          <w:sz w:val="24"/>
          <w:szCs w:val="24"/>
        </w:rPr>
        <w:t>For the Years 2009 through 2013</w:t>
      </w:r>
      <w:r>
        <w:rPr>
          <w:rFonts w:ascii="Arial" w:hAnsi="Arial" w:cs="Arial"/>
          <w:b/>
          <w:sz w:val="24"/>
          <w:szCs w:val="24"/>
        </w:rPr>
        <w:t xml:space="preserve"> and 2014 through 2017</w:t>
      </w:r>
    </w:p>
    <w:p w14:paraId="236E2E18" w14:textId="77777777" w:rsidR="00C93C49" w:rsidRPr="0030543D" w:rsidRDefault="00C93C49" w:rsidP="00C93C49">
      <w:pPr>
        <w:spacing w:after="0" w:line="240" w:lineRule="auto"/>
        <w:contextualSpacing/>
        <w:rPr>
          <w:rFonts w:ascii="Arial" w:hAnsi="Arial" w:cs="Arial"/>
          <w:sz w:val="12"/>
          <w:szCs w:val="12"/>
        </w:rPr>
      </w:pPr>
    </w:p>
    <w:bookmarkStart w:id="39" w:name="_MON_1586167780"/>
    <w:bookmarkEnd w:id="39"/>
    <w:p w14:paraId="54EB1E24" w14:textId="77777777" w:rsidR="00C93C49" w:rsidRDefault="00C93C49" w:rsidP="00C93C49">
      <w:pPr>
        <w:spacing w:after="0" w:line="240" w:lineRule="auto"/>
        <w:contextualSpacing/>
        <w:jc w:val="center"/>
        <w:rPr>
          <w:rFonts w:ascii="Arial" w:hAnsi="Arial" w:cs="Arial"/>
          <w:sz w:val="24"/>
          <w:szCs w:val="24"/>
        </w:rPr>
      </w:pPr>
      <w:r>
        <w:rPr>
          <w:rFonts w:ascii="Arial" w:hAnsi="Arial" w:cs="Arial"/>
          <w:sz w:val="24"/>
          <w:szCs w:val="24"/>
        </w:rPr>
        <w:object w:dxaOrig="9459" w:dyaOrig="3825" w14:anchorId="04E86EF1">
          <v:shape id="_x0000_i1033" type="#_x0000_t75" style="width:366.1pt;height:2in" o:ole="">
            <v:imagedata r:id="rId61" o:title=""/>
          </v:shape>
          <o:OLEObject Type="Embed" ProgID="Excel.Sheet.12" ShapeID="_x0000_i1033" DrawAspect="Content" ObjectID="_1599049583" r:id="rId62"/>
        </w:object>
      </w:r>
    </w:p>
    <w:p w14:paraId="5AF03999" w14:textId="77777777" w:rsidR="00C93C49" w:rsidRPr="00B2669C" w:rsidRDefault="00C93C49" w:rsidP="00C93C49">
      <w:pPr>
        <w:spacing w:after="0" w:line="240" w:lineRule="auto"/>
        <w:ind w:left="1800" w:right="1080" w:hanging="720"/>
        <w:contextualSpacing/>
        <w:rPr>
          <w:rFonts w:ascii="Arial" w:hAnsi="Arial" w:cs="Arial"/>
          <w:sz w:val="18"/>
          <w:szCs w:val="18"/>
        </w:rPr>
      </w:pPr>
      <w:r w:rsidRPr="00B2669C">
        <w:rPr>
          <w:rFonts w:ascii="Arial" w:hAnsi="Arial" w:cs="Arial"/>
          <w:sz w:val="18"/>
          <w:szCs w:val="18"/>
        </w:rPr>
        <w:t xml:space="preserve">Source: </w:t>
      </w:r>
      <w:r>
        <w:rPr>
          <w:rFonts w:ascii="Arial" w:hAnsi="Arial" w:cs="Arial"/>
          <w:sz w:val="18"/>
          <w:szCs w:val="18"/>
        </w:rPr>
        <w:t xml:space="preserve"> </w:t>
      </w:r>
      <w:r w:rsidR="00B779E0">
        <w:rPr>
          <w:rFonts w:ascii="Arial" w:hAnsi="Arial" w:cs="Arial"/>
          <w:sz w:val="18"/>
          <w:szCs w:val="18"/>
        </w:rPr>
        <w:t xml:space="preserve">2014 </w:t>
      </w:r>
      <w:r w:rsidRPr="00B2669C">
        <w:rPr>
          <w:rFonts w:ascii="Arial" w:hAnsi="Arial" w:cs="Arial"/>
          <w:sz w:val="18"/>
          <w:szCs w:val="18"/>
        </w:rPr>
        <w:t>Management Audit Exhibit XI-5</w:t>
      </w:r>
      <w:r w:rsidR="00B779E0">
        <w:rPr>
          <w:rFonts w:ascii="Arial" w:hAnsi="Arial" w:cs="Arial"/>
          <w:sz w:val="18"/>
          <w:szCs w:val="18"/>
        </w:rPr>
        <w:t>;</w:t>
      </w:r>
      <w:r w:rsidRPr="00B2669C">
        <w:rPr>
          <w:rFonts w:ascii="Arial" w:hAnsi="Arial" w:cs="Arial"/>
          <w:sz w:val="18"/>
          <w:szCs w:val="18"/>
        </w:rPr>
        <w:t xml:space="preserve"> Data Requests HR-5 and HR-12</w:t>
      </w:r>
      <w:r w:rsidR="00B779E0">
        <w:rPr>
          <w:rFonts w:ascii="Arial" w:hAnsi="Arial" w:cs="Arial"/>
          <w:sz w:val="18"/>
          <w:szCs w:val="18"/>
        </w:rPr>
        <w:t>;</w:t>
      </w:r>
      <w:r w:rsidRPr="00B2669C">
        <w:rPr>
          <w:rFonts w:ascii="Arial" w:hAnsi="Arial" w:cs="Arial"/>
          <w:sz w:val="18"/>
          <w:szCs w:val="18"/>
        </w:rPr>
        <w:t xml:space="preserve"> and auditor analysis</w:t>
      </w:r>
    </w:p>
    <w:p w14:paraId="4CDE7959" w14:textId="77777777" w:rsidR="00C93C49" w:rsidRDefault="00C93C49" w:rsidP="00C93C49">
      <w:pPr>
        <w:spacing w:after="0" w:line="240" w:lineRule="auto"/>
        <w:contextualSpacing/>
        <w:rPr>
          <w:rFonts w:ascii="Arial" w:hAnsi="Arial" w:cs="Arial"/>
          <w:sz w:val="24"/>
          <w:szCs w:val="24"/>
        </w:rPr>
      </w:pPr>
    </w:p>
    <w:p w14:paraId="0DE23236" w14:textId="77777777" w:rsidR="00C93C49" w:rsidRDefault="00C93C49" w:rsidP="00C93C49">
      <w:pPr>
        <w:spacing w:after="0" w:line="240" w:lineRule="auto"/>
        <w:contextualSpacing/>
        <w:rPr>
          <w:rFonts w:ascii="Arial" w:hAnsi="Arial" w:cs="Arial"/>
          <w:sz w:val="24"/>
          <w:szCs w:val="24"/>
        </w:rPr>
      </w:pPr>
    </w:p>
    <w:p w14:paraId="39AD0427" w14:textId="77777777" w:rsidR="00C93C49" w:rsidRPr="007116D1" w:rsidRDefault="00C93C49" w:rsidP="00C93C49">
      <w:pPr>
        <w:widowControl w:val="0"/>
        <w:spacing w:after="0" w:line="240" w:lineRule="auto"/>
        <w:jc w:val="center"/>
        <w:rPr>
          <w:rFonts w:ascii="Arial" w:hAnsi="Arial" w:cs="Arial"/>
          <w:b/>
          <w:sz w:val="24"/>
          <w:szCs w:val="24"/>
        </w:rPr>
      </w:pPr>
      <w:r>
        <w:rPr>
          <w:rFonts w:ascii="Arial" w:hAnsi="Arial" w:cs="Arial"/>
          <w:b/>
          <w:sz w:val="24"/>
          <w:szCs w:val="24"/>
        </w:rPr>
        <w:t>Exhibit XI – 4</w:t>
      </w:r>
    </w:p>
    <w:p w14:paraId="3D853166" w14:textId="77777777" w:rsidR="00C93C49" w:rsidRPr="007116D1" w:rsidRDefault="00C93C49" w:rsidP="00C93C49">
      <w:pPr>
        <w:widowControl w:val="0"/>
        <w:spacing w:after="0" w:line="240" w:lineRule="auto"/>
        <w:jc w:val="center"/>
        <w:rPr>
          <w:rFonts w:ascii="Arial" w:hAnsi="Arial" w:cs="Arial"/>
          <w:b/>
          <w:sz w:val="24"/>
          <w:szCs w:val="24"/>
        </w:rPr>
      </w:pPr>
      <w:r w:rsidRPr="007116D1">
        <w:rPr>
          <w:rFonts w:ascii="Arial" w:hAnsi="Arial" w:cs="Arial"/>
          <w:b/>
          <w:sz w:val="24"/>
          <w:szCs w:val="24"/>
        </w:rPr>
        <w:t>FirstEnergy Pennsylvania Companies</w:t>
      </w:r>
    </w:p>
    <w:p w14:paraId="39C4D8BE" w14:textId="77777777" w:rsidR="00C93C49" w:rsidRPr="007116D1" w:rsidRDefault="00C93C49" w:rsidP="00C93C49">
      <w:pPr>
        <w:widowControl w:val="0"/>
        <w:spacing w:after="0" w:line="240" w:lineRule="auto"/>
        <w:jc w:val="center"/>
        <w:rPr>
          <w:rFonts w:ascii="Arial" w:hAnsi="Arial" w:cs="Arial"/>
          <w:b/>
          <w:sz w:val="24"/>
          <w:szCs w:val="24"/>
        </w:rPr>
      </w:pPr>
      <w:r>
        <w:rPr>
          <w:rFonts w:ascii="Arial" w:hAnsi="Arial" w:cs="Arial"/>
          <w:b/>
          <w:sz w:val="24"/>
          <w:szCs w:val="24"/>
        </w:rPr>
        <w:t>CMVA Performance</w:t>
      </w:r>
    </w:p>
    <w:p w14:paraId="4FBBBDD3" w14:textId="77777777" w:rsidR="00C93C49" w:rsidRDefault="00C93C49" w:rsidP="00C93C49">
      <w:pPr>
        <w:spacing w:after="0" w:line="240" w:lineRule="auto"/>
        <w:contextualSpacing/>
        <w:jc w:val="center"/>
        <w:rPr>
          <w:rFonts w:ascii="Arial" w:hAnsi="Arial" w:cs="Arial"/>
          <w:sz w:val="24"/>
          <w:szCs w:val="24"/>
        </w:rPr>
      </w:pPr>
      <w:r w:rsidRPr="007116D1">
        <w:rPr>
          <w:rFonts w:ascii="Arial" w:hAnsi="Arial" w:cs="Arial"/>
          <w:b/>
          <w:sz w:val="24"/>
          <w:szCs w:val="24"/>
        </w:rPr>
        <w:t xml:space="preserve">For the Years </w:t>
      </w:r>
      <w:r>
        <w:rPr>
          <w:rFonts w:ascii="Arial" w:hAnsi="Arial" w:cs="Arial"/>
          <w:b/>
          <w:sz w:val="24"/>
          <w:szCs w:val="24"/>
        </w:rPr>
        <w:t>2014 through 2017</w:t>
      </w:r>
    </w:p>
    <w:p w14:paraId="706E2875" w14:textId="77777777" w:rsidR="00C93C49" w:rsidRPr="0030543D" w:rsidRDefault="00C93C49" w:rsidP="00C93C49">
      <w:pPr>
        <w:spacing w:after="0" w:line="240" w:lineRule="auto"/>
        <w:contextualSpacing/>
        <w:rPr>
          <w:rFonts w:ascii="Arial" w:hAnsi="Arial" w:cs="Arial"/>
          <w:sz w:val="12"/>
          <w:szCs w:val="12"/>
        </w:rPr>
      </w:pPr>
    </w:p>
    <w:bookmarkStart w:id="40" w:name="_MON_1586167924"/>
    <w:bookmarkEnd w:id="40"/>
    <w:p w14:paraId="4D13046B" w14:textId="77777777" w:rsidR="00C93C49" w:rsidRDefault="00C93C49" w:rsidP="00C93C49">
      <w:pPr>
        <w:spacing w:after="0" w:line="240" w:lineRule="auto"/>
        <w:contextualSpacing/>
        <w:jc w:val="center"/>
        <w:rPr>
          <w:rFonts w:ascii="Arial" w:hAnsi="Arial" w:cs="Arial"/>
          <w:sz w:val="24"/>
          <w:szCs w:val="24"/>
        </w:rPr>
      </w:pPr>
      <w:r>
        <w:rPr>
          <w:rFonts w:ascii="Arial" w:hAnsi="Arial" w:cs="Arial"/>
          <w:sz w:val="24"/>
          <w:szCs w:val="24"/>
        </w:rPr>
        <w:object w:dxaOrig="9459" w:dyaOrig="1820" w14:anchorId="63F4B8A3">
          <v:shape id="_x0000_i1034" type="#_x0000_t75" style="width:366.1pt;height:1in" o:ole="">
            <v:imagedata r:id="rId63" o:title=""/>
          </v:shape>
          <o:OLEObject Type="Embed" ProgID="Excel.Sheet.12" ShapeID="_x0000_i1034" DrawAspect="Content" ObjectID="_1599049584" r:id="rId64"/>
        </w:object>
      </w:r>
    </w:p>
    <w:p w14:paraId="6D9D56B5" w14:textId="77777777" w:rsidR="00C93C49" w:rsidRPr="00B2669C" w:rsidRDefault="00C93C49" w:rsidP="00C93C49">
      <w:pPr>
        <w:spacing w:after="0" w:line="240" w:lineRule="auto"/>
        <w:ind w:left="1080"/>
        <w:contextualSpacing/>
        <w:rPr>
          <w:rFonts w:ascii="Arial" w:hAnsi="Arial" w:cs="Arial"/>
          <w:sz w:val="18"/>
          <w:szCs w:val="18"/>
        </w:rPr>
      </w:pPr>
      <w:r w:rsidRPr="00B2669C">
        <w:rPr>
          <w:rFonts w:ascii="Arial" w:hAnsi="Arial" w:cs="Arial"/>
          <w:sz w:val="18"/>
          <w:szCs w:val="18"/>
        </w:rPr>
        <w:t xml:space="preserve">Source: </w:t>
      </w:r>
      <w:bookmarkStart w:id="41" w:name="_Hlk511725566"/>
      <w:r w:rsidRPr="00B2669C">
        <w:rPr>
          <w:rFonts w:ascii="Arial" w:hAnsi="Arial" w:cs="Arial"/>
          <w:sz w:val="18"/>
          <w:szCs w:val="18"/>
        </w:rPr>
        <w:t>Data Requests HR-5 and HR-12</w:t>
      </w:r>
      <w:bookmarkEnd w:id="41"/>
    </w:p>
    <w:p w14:paraId="481455CA" w14:textId="77777777" w:rsidR="00C93C49" w:rsidRDefault="00C93C49" w:rsidP="00C93C49">
      <w:pPr>
        <w:spacing w:after="0" w:line="240" w:lineRule="auto"/>
        <w:contextualSpacing/>
        <w:rPr>
          <w:rFonts w:ascii="Arial" w:hAnsi="Arial" w:cs="Arial"/>
          <w:sz w:val="24"/>
          <w:szCs w:val="24"/>
        </w:rPr>
      </w:pPr>
    </w:p>
    <w:p w14:paraId="4F2BFFEC" w14:textId="77777777" w:rsidR="00C93C49" w:rsidRDefault="00C93C49" w:rsidP="00C93C49">
      <w:pPr>
        <w:spacing w:after="0" w:line="240" w:lineRule="auto"/>
        <w:contextualSpacing/>
        <w:rPr>
          <w:rFonts w:ascii="Arial" w:hAnsi="Arial" w:cs="Arial"/>
          <w:sz w:val="24"/>
          <w:szCs w:val="24"/>
        </w:rPr>
      </w:pPr>
    </w:p>
    <w:p w14:paraId="6605DCE5" w14:textId="77777777" w:rsidR="00C93C49" w:rsidRDefault="00C93C49" w:rsidP="00C93C49">
      <w:pPr>
        <w:spacing w:after="0" w:line="240" w:lineRule="auto"/>
        <w:ind w:firstLine="720"/>
        <w:contextualSpacing/>
        <w:rPr>
          <w:rFonts w:ascii="Arial" w:hAnsi="Arial" w:cs="Arial"/>
          <w:sz w:val="24"/>
          <w:szCs w:val="24"/>
        </w:rPr>
      </w:pPr>
      <w:r>
        <w:rPr>
          <w:rFonts w:ascii="Arial" w:hAnsi="Arial" w:cs="Arial"/>
          <w:sz w:val="24"/>
          <w:szCs w:val="24"/>
        </w:rPr>
        <w:t xml:space="preserve">Along with reviewing current performance against previous performance for each distribution company, the auditors also reviewed the appropriateness of the safety goals.  The OSHA goal is comprised of three levels with attainable financial incentives associated with each level.  The first level or threshold goal represents the industry average for the EEI panel companies.  The second level or target goal represents the EEI panel top quartile performance.  Finally, the third level or stretch goal represents the EEI panel top decile performance.  The DART goal is not incentivized and is based on the EEI panel top quartile performance.  Because numerous distribution companies define and calculate vehicular accidents differently, the </w:t>
      </w:r>
      <w:r w:rsidR="00DC3D9B">
        <w:rPr>
          <w:rFonts w:ascii="Arial" w:hAnsi="Arial" w:cs="Arial"/>
          <w:sz w:val="24"/>
          <w:szCs w:val="24"/>
        </w:rPr>
        <w:t>FE-PA companies</w:t>
      </w:r>
      <w:r>
        <w:rPr>
          <w:rFonts w:ascii="Arial" w:hAnsi="Arial" w:cs="Arial"/>
          <w:sz w:val="24"/>
          <w:szCs w:val="24"/>
        </w:rPr>
        <w:t xml:space="preserve"> have established the CMVA goal based on the history of the four distribution companies as opposed to the EEI panel.</w:t>
      </w:r>
    </w:p>
    <w:p w14:paraId="09F82712" w14:textId="77777777" w:rsidR="00C93C49" w:rsidRPr="00090C3B" w:rsidRDefault="00C93C49" w:rsidP="00C93C49">
      <w:pPr>
        <w:spacing w:after="0" w:line="240" w:lineRule="auto"/>
        <w:contextualSpacing/>
        <w:rPr>
          <w:rFonts w:ascii="Arial" w:hAnsi="Arial" w:cs="Arial"/>
          <w:sz w:val="24"/>
          <w:szCs w:val="24"/>
        </w:rPr>
      </w:pPr>
    </w:p>
    <w:p w14:paraId="0FFF83E8" w14:textId="77777777" w:rsidR="00C93C49" w:rsidRDefault="00C93C49" w:rsidP="00C93C49">
      <w:pPr>
        <w:spacing w:after="0" w:line="240" w:lineRule="auto"/>
        <w:ind w:firstLine="720"/>
        <w:contextualSpacing/>
        <w:rPr>
          <w:rFonts w:ascii="Arial" w:hAnsi="Arial" w:cs="Arial"/>
          <w:sz w:val="24"/>
          <w:szCs w:val="24"/>
        </w:rPr>
      </w:pPr>
      <w:r>
        <w:rPr>
          <w:rFonts w:ascii="Arial" w:hAnsi="Arial" w:cs="Arial"/>
          <w:sz w:val="24"/>
          <w:szCs w:val="24"/>
        </w:rPr>
        <w:t xml:space="preserve">Although the auditors feel that the proper safety programs are in place to improve OSHA, DART, and CMVA performance, the </w:t>
      </w:r>
      <w:r w:rsidR="00DC3D9B">
        <w:rPr>
          <w:rFonts w:ascii="Arial" w:hAnsi="Arial" w:cs="Arial"/>
          <w:sz w:val="24"/>
          <w:szCs w:val="24"/>
        </w:rPr>
        <w:t>companies</w:t>
      </w:r>
      <w:r>
        <w:rPr>
          <w:rFonts w:ascii="Arial" w:hAnsi="Arial" w:cs="Arial"/>
          <w:sz w:val="24"/>
          <w:szCs w:val="24"/>
        </w:rPr>
        <w:t xml:space="preserve"> are still not consistently meeting their ELT established safety goals.  Exhibit XI-5 displays the varied results in meeting safety goals since the management audit.    </w:t>
      </w:r>
    </w:p>
    <w:p w14:paraId="58740EC1" w14:textId="77777777" w:rsidR="00C93C49" w:rsidRDefault="00C93C49" w:rsidP="00C93C49">
      <w:pPr>
        <w:spacing w:after="0" w:line="240" w:lineRule="auto"/>
        <w:contextualSpacing/>
        <w:rPr>
          <w:rFonts w:ascii="Arial" w:hAnsi="Arial" w:cs="Arial"/>
          <w:sz w:val="24"/>
          <w:szCs w:val="24"/>
        </w:rPr>
      </w:pPr>
    </w:p>
    <w:p w14:paraId="44975D32" w14:textId="77777777" w:rsidR="00C93C49" w:rsidRPr="007116D1" w:rsidRDefault="00C93C49" w:rsidP="00C93C49">
      <w:pPr>
        <w:widowControl w:val="0"/>
        <w:spacing w:after="0" w:line="240" w:lineRule="auto"/>
        <w:jc w:val="center"/>
        <w:rPr>
          <w:rFonts w:ascii="Arial" w:hAnsi="Arial" w:cs="Arial"/>
          <w:b/>
          <w:sz w:val="24"/>
          <w:szCs w:val="24"/>
        </w:rPr>
      </w:pPr>
      <w:bookmarkStart w:id="42" w:name="_Hlk511828614"/>
      <w:r>
        <w:rPr>
          <w:rFonts w:ascii="Arial" w:hAnsi="Arial" w:cs="Arial"/>
          <w:b/>
          <w:sz w:val="24"/>
          <w:szCs w:val="24"/>
        </w:rPr>
        <w:t>Exhibit XI – 5</w:t>
      </w:r>
    </w:p>
    <w:p w14:paraId="7DDF1576" w14:textId="77777777" w:rsidR="00C93C49" w:rsidRPr="007116D1" w:rsidRDefault="00C93C49" w:rsidP="00C93C49">
      <w:pPr>
        <w:widowControl w:val="0"/>
        <w:spacing w:after="0" w:line="240" w:lineRule="auto"/>
        <w:jc w:val="center"/>
        <w:rPr>
          <w:rFonts w:ascii="Arial" w:hAnsi="Arial" w:cs="Arial"/>
          <w:b/>
          <w:sz w:val="24"/>
          <w:szCs w:val="24"/>
        </w:rPr>
      </w:pPr>
      <w:r w:rsidRPr="007116D1">
        <w:rPr>
          <w:rFonts w:ascii="Arial" w:hAnsi="Arial" w:cs="Arial"/>
          <w:b/>
          <w:sz w:val="24"/>
          <w:szCs w:val="24"/>
        </w:rPr>
        <w:t>FirstEnergy Pennsylvania Companies</w:t>
      </w:r>
    </w:p>
    <w:p w14:paraId="724748F3" w14:textId="77777777" w:rsidR="00C93C49" w:rsidRPr="007116D1" w:rsidRDefault="00C93C49" w:rsidP="00C93C49">
      <w:pPr>
        <w:widowControl w:val="0"/>
        <w:spacing w:after="0" w:line="240" w:lineRule="auto"/>
        <w:jc w:val="center"/>
        <w:rPr>
          <w:rFonts w:ascii="Arial" w:hAnsi="Arial" w:cs="Arial"/>
          <w:b/>
          <w:sz w:val="24"/>
          <w:szCs w:val="24"/>
        </w:rPr>
      </w:pPr>
      <w:r w:rsidRPr="007116D1">
        <w:rPr>
          <w:rFonts w:ascii="Arial" w:hAnsi="Arial" w:cs="Arial"/>
          <w:b/>
          <w:sz w:val="24"/>
          <w:szCs w:val="24"/>
        </w:rPr>
        <w:t>Record of Achieving Safety Goals</w:t>
      </w:r>
    </w:p>
    <w:p w14:paraId="33C6807F" w14:textId="77777777" w:rsidR="00C93C49" w:rsidRDefault="00C93C49" w:rsidP="00C93C49">
      <w:pPr>
        <w:spacing w:after="0" w:line="240" w:lineRule="auto"/>
        <w:contextualSpacing/>
        <w:jc w:val="center"/>
        <w:rPr>
          <w:rFonts w:ascii="Arial" w:hAnsi="Arial" w:cs="Arial"/>
          <w:sz w:val="24"/>
          <w:szCs w:val="24"/>
        </w:rPr>
      </w:pPr>
      <w:r>
        <w:rPr>
          <w:rFonts w:ascii="Arial" w:hAnsi="Arial" w:cs="Arial"/>
          <w:b/>
          <w:sz w:val="24"/>
          <w:szCs w:val="24"/>
        </w:rPr>
        <w:t>For the Years 2014 through 2017</w:t>
      </w:r>
    </w:p>
    <w:bookmarkEnd w:id="42"/>
    <w:p w14:paraId="613C6978" w14:textId="77777777" w:rsidR="00C93C49" w:rsidRPr="0030543D" w:rsidRDefault="00C93C49" w:rsidP="00C93C49">
      <w:pPr>
        <w:spacing w:after="0" w:line="240" w:lineRule="auto"/>
        <w:contextualSpacing/>
        <w:rPr>
          <w:rFonts w:ascii="Arial" w:hAnsi="Arial" w:cs="Arial"/>
          <w:sz w:val="8"/>
          <w:szCs w:val="8"/>
        </w:rPr>
      </w:pPr>
    </w:p>
    <w:p w14:paraId="65A6F88F" w14:textId="77777777" w:rsidR="00C93C49" w:rsidRDefault="00C93C49" w:rsidP="00C93C49">
      <w:pPr>
        <w:spacing w:after="0" w:line="240" w:lineRule="auto"/>
        <w:contextualSpacing/>
        <w:jc w:val="center"/>
        <w:rPr>
          <w:rFonts w:ascii="Arial" w:hAnsi="Arial" w:cs="Arial"/>
          <w:sz w:val="24"/>
          <w:szCs w:val="24"/>
        </w:rPr>
      </w:pPr>
      <w:r>
        <w:rPr>
          <w:rFonts w:ascii="Arial" w:hAnsi="Arial" w:cs="Arial"/>
          <w:sz w:val="24"/>
          <w:szCs w:val="24"/>
        </w:rPr>
        <w:object w:dxaOrig="6922" w:dyaOrig="1820" w14:anchorId="3E5C420C">
          <v:shape id="_x0000_i1035" type="#_x0000_t75" style="width:280.25pt;height:1in" o:ole="">
            <v:imagedata r:id="rId65" o:title=""/>
          </v:shape>
          <o:OLEObject Type="Embed" ProgID="Excel.Sheet.12" ShapeID="_x0000_i1035" DrawAspect="Content" ObjectID="_1599049585" r:id="rId66"/>
        </w:object>
      </w:r>
    </w:p>
    <w:p w14:paraId="519A693A" w14:textId="77777777" w:rsidR="00C93C49" w:rsidRDefault="00C93C49" w:rsidP="00C93C49">
      <w:pPr>
        <w:spacing w:after="0" w:line="240" w:lineRule="auto"/>
        <w:contextualSpacing/>
        <w:rPr>
          <w:rFonts w:ascii="Arial" w:hAnsi="Arial" w:cs="Arial"/>
          <w:sz w:val="24"/>
          <w:szCs w:val="24"/>
        </w:rPr>
      </w:pPr>
    </w:p>
    <w:p w14:paraId="2BC3C9C3" w14:textId="77777777" w:rsidR="00C93C49" w:rsidRDefault="00C93C49" w:rsidP="00C93C49">
      <w:pPr>
        <w:autoSpaceDE w:val="0"/>
        <w:autoSpaceDN w:val="0"/>
        <w:adjustRightInd w:val="0"/>
        <w:spacing w:line="240" w:lineRule="auto"/>
        <w:ind w:left="1890"/>
        <w:rPr>
          <w:rFonts w:ascii="Arial" w:hAnsi="Arial" w:cs="Arial"/>
          <w:sz w:val="20"/>
          <w:szCs w:val="20"/>
        </w:rPr>
      </w:pPr>
      <w:r w:rsidRPr="00474144">
        <w:rPr>
          <w:rFonts w:ascii="Arial" w:hAnsi="Arial" w:cs="Arial"/>
          <w:sz w:val="20"/>
          <w:szCs w:val="20"/>
        </w:rPr>
        <w:t>O = OHSA Safety Rate</w:t>
      </w:r>
      <w:r>
        <w:rPr>
          <w:rFonts w:ascii="Arial" w:hAnsi="Arial" w:cs="Arial"/>
          <w:sz w:val="20"/>
          <w:szCs w:val="20"/>
        </w:rPr>
        <w:br/>
        <w:t>D = DART Rate</w:t>
      </w:r>
      <w:r>
        <w:rPr>
          <w:rFonts w:ascii="Arial" w:hAnsi="Arial" w:cs="Arial"/>
          <w:sz w:val="20"/>
          <w:szCs w:val="20"/>
        </w:rPr>
        <w:br/>
        <w:t>C</w:t>
      </w:r>
      <w:r w:rsidRPr="00474144">
        <w:rPr>
          <w:rFonts w:ascii="Arial" w:hAnsi="Arial" w:cs="Arial"/>
          <w:sz w:val="20"/>
          <w:szCs w:val="20"/>
        </w:rPr>
        <w:t xml:space="preserve"> = </w:t>
      </w:r>
      <w:r>
        <w:rPr>
          <w:rFonts w:ascii="Arial" w:hAnsi="Arial" w:cs="Arial"/>
          <w:sz w:val="20"/>
          <w:szCs w:val="20"/>
        </w:rPr>
        <w:t xml:space="preserve">Chargeable </w:t>
      </w:r>
      <w:r w:rsidRPr="00474144">
        <w:rPr>
          <w:rFonts w:ascii="Arial" w:hAnsi="Arial" w:cs="Arial"/>
          <w:sz w:val="20"/>
          <w:szCs w:val="20"/>
        </w:rPr>
        <w:t>Motor Vehicle Accident Rate</w:t>
      </w:r>
    </w:p>
    <w:p w14:paraId="112002B4" w14:textId="77777777" w:rsidR="00C93C49" w:rsidRDefault="00C93C49" w:rsidP="00C93C49">
      <w:pPr>
        <w:spacing w:after="0"/>
        <w:ind w:left="1890"/>
        <w:rPr>
          <w:rFonts w:ascii="Arial" w:hAnsi="Arial" w:cs="Arial"/>
          <w:sz w:val="20"/>
          <w:szCs w:val="20"/>
        </w:rPr>
      </w:pPr>
      <w:r w:rsidRPr="0078365F">
        <w:rPr>
          <w:rFonts w:ascii="Wingdings" w:eastAsia="Times New Roman" w:hAnsi="Wingdings" w:cs="Times New Roman"/>
          <w:color w:val="000000"/>
        </w:rPr>
        <w:t></w:t>
      </w:r>
      <w:r>
        <w:rPr>
          <w:rFonts w:ascii="Arial" w:hAnsi="Arial" w:cs="Arial"/>
          <w:sz w:val="20"/>
          <w:szCs w:val="20"/>
        </w:rPr>
        <w:t xml:space="preserve"> = Achieved goal</w:t>
      </w:r>
      <w:r>
        <w:rPr>
          <w:rFonts w:ascii="Arial" w:hAnsi="Arial" w:cs="Arial"/>
          <w:sz w:val="20"/>
          <w:szCs w:val="20"/>
        </w:rPr>
        <w:br/>
        <w:t>X = Did not achieve goal</w:t>
      </w:r>
    </w:p>
    <w:p w14:paraId="14146419" w14:textId="77777777" w:rsidR="00C93C49" w:rsidRPr="00B2669C" w:rsidRDefault="00C93C49" w:rsidP="00C93C49">
      <w:pPr>
        <w:widowControl w:val="0"/>
        <w:spacing w:after="0" w:line="240" w:lineRule="auto"/>
        <w:ind w:left="1890"/>
        <w:rPr>
          <w:rFonts w:ascii="Arial" w:hAnsi="Arial" w:cs="Arial"/>
          <w:sz w:val="18"/>
          <w:szCs w:val="18"/>
        </w:rPr>
      </w:pPr>
      <w:r w:rsidRPr="00B2669C">
        <w:rPr>
          <w:rFonts w:ascii="Arial" w:hAnsi="Arial" w:cs="Arial"/>
          <w:sz w:val="18"/>
          <w:szCs w:val="18"/>
        </w:rPr>
        <w:t>Source: Data Requests HR-5 and HR-12 and auditor analysis</w:t>
      </w:r>
    </w:p>
    <w:p w14:paraId="6D50C91A" w14:textId="77777777" w:rsidR="00C93C49" w:rsidRDefault="00C93C49" w:rsidP="00C93C49">
      <w:pPr>
        <w:spacing w:after="0" w:line="240" w:lineRule="auto"/>
        <w:contextualSpacing/>
        <w:rPr>
          <w:rFonts w:ascii="Arial" w:hAnsi="Arial" w:cs="Arial"/>
          <w:sz w:val="24"/>
          <w:szCs w:val="24"/>
        </w:rPr>
      </w:pPr>
    </w:p>
    <w:p w14:paraId="4F3FE939" w14:textId="77777777" w:rsidR="00C93C49" w:rsidRDefault="00C93C49" w:rsidP="00C93C49">
      <w:pPr>
        <w:spacing w:after="0" w:line="240" w:lineRule="auto"/>
        <w:contextualSpacing/>
        <w:rPr>
          <w:rFonts w:ascii="Arial" w:hAnsi="Arial" w:cs="Arial"/>
          <w:sz w:val="24"/>
          <w:szCs w:val="24"/>
        </w:rPr>
      </w:pPr>
    </w:p>
    <w:p w14:paraId="61E3166F" w14:textId="77777777" w:rsidR="00C93C49" w:rsidRDefault="00C93C49" w:rsidP="00C93C49">
      <w:pPr>
        <w:spacing w:after="0" w:line="240" w:lineRule="auto"/>
        <w:ind w:firstLine="720"/>
        <w:contextualSpacing/>
        <w:rPr>
          <w:rFonts w:ascii="Arial" w:hAnsi="Arial" w:cs="Arial"/>
          <w:sz w:val="24"/>
          <w:szCs w:val="24"/>
        </w:rPr>
      </w:pPr>
      <w:r>
        <w:rPr>
          <w:rFonts w:ascii="Arial" w:hAnsi="Arial" w:cs="Arial"/>
          <w:sz w:val="24"/>
          <w:szCs w:val="24"/>
        </w:rPr>
        <w:t xml:space="preserve">Note that there were no specific CMVA goals in 2015 and 2016 </w:t>
      </w:r>
      <w:r w:rsidRPr="00C2552F">
        <w:rPr>
          <w:rFonts w:ascii="Arial" w:hAnsi="Arial" w:cs="Arial"/>
          <w:sz w:val="24"/>
          <w:szCs w:val="24"/>
        </w:rPr>
        <w:t>because F</w:t>
      </w:r>
      <w:r>
        <w:rPr>
          <w:rFonts w:ascii="Arial" w:hAnsi="Arial" w:cs="Arial"/>
          <w:sz w:val="24"/>
          <w:szCs w:val="24"/>
        </w:rPr>
        <w:t>irst</w:t>
      </w:r>
      <w:r w:rsidRPr="00C2552F">
        <w:rPr>
          <w:rFonts w:ascii="Arial" w:hAnsi="Arial" w:cs="Arial"/>
          <w:sz w:val="24"/>
          <w:szCs w:val="24"/>
        </w:rPr>
        <w:t>E</w:t>
      </w:r>
      <w:r>
        <w:rPr>
          <w:rFonts w:ascii="Arial" w:hAnsi="Arial" w:cs="Arial"/>
          <w:sz w:val="24"/>
          <w:szCs w:val="24"/>
        </w:rPr>
        <w:t>nergy</w:t>
      </w:r>
      <w:r w:rsidRPr="00C2552F">
        <w:rPr>
          <w:rFonts w:ascii="Arial" w:hAnsi="Arial" w:cs="Arial"/>
          <w:sz w:val="24"/>
          <w:szCs w:val="24"/>
        </w:rPr>
        <w:t xml:space="preserve"> experimented with a new goal called “Triple Play” which was the sum of OSHA goals, perfect attendance, and CMVAs.  This has since been discontinued.</w:t>
      </w:r>
      <w:r>
        <w:rPr>
          <w:rFonts w:ascii="Arial" w:hAnsi="Arial" w:cs="Arial"/>
          <w:sz w:val="24"/>
          <w:szCs w:val="24"/>
        </w:rPr>
        <w:t xml:space="preserve">  The goals for 2018 for OSHA, DART, and CMVA are as follows:</w:t>
      </w:r>
    </w:p>
    <w:p w14:paraId="5FE07B49" w14:textId="77777777" w:rsidR="00C93C49" w:rsidRDefault="00C93C49" w:rsidP="00C93C49">
      <w:pPr>
        <w:spacing w:after="0" w:line="240" w:lineRule="auto"/>
        <w:contextualSpacing/>
        <w:rPr>
          <w:rFonts w:ascii="Arial" w:hAnsi="Arial" w:cs="Arial"/>
          <w:sz w:val="24"/>
          <w:szCs w:val="24"/>
        </w:rPr>
      </w:pPr>
    </w:p>
    <w:p w14:paraId="41E68CFD" w14:textId="77777777" w:rsidR="00C93C49" w:rsidRPr="009A291C" w:rsidRDefault="00C93C49" w:rsidP="00D94B11">
      <w:pPr>
        <w:pStyle w:val="ListParagraph"/>
        <w:widowControl w:val="0"/>
        <w:numPr>
          <w:ilvl w:val="0"/>
          <w:numId w:val="30"/>
        </w:numPr>
        <w:spacing w:after="0" w:line="240" w:lineRule="auto"/>
        <w:rPr>
          <w:rFonts w:ascii="Arial" w:hAnsi="Arial" w:cs="Arial"/>
          <w:sz w:val="24"/>
          <w:szCs w:val="24"/>
        </w:rPr>
      </w:pPr>
      <w:r w:rsidRPr="009A291C">
        <w:rPr>
          <w:rFonts w:ascii="Arial" w:hAnsi="Arial" w:cs="Arial"/>
          <w:sz w:val="24"/>
          <w:szCs w:val="24"/>
        </w:rPr>
        <w:t>OSHA Rate Target: 0.98</w:t>
      </w:r>
    </w:p>
    <w:p w14:paraId="44BBAE36" w14:textId="77777777" w:rsidR="00C93C49" w:rsidRPr="009A291C" w:rsidRDefault="00C93C49" w:rsidP="00D94B11">
      <w:pPr>
        <w:pStyle w:val="ListParagraph"/>
        <w:widowControl w:val="0"/>
        <w:numPr>
          <w:ilvl w:val="0"/>
          <w:numId w:val="30"/>
        </w:numPr>
        <w:spacing w:after="0" w:line="240" w:lineRule="auto"/>
        <w:rPr>
          <w:rFonts w:ascii="Arial" w:hAnsi="Arial" w:cs="Arial"/>
          <w:sz w:val="24"/>
          <w:szCs w:val="24"/>
        </w:rPr>
      </w:pPr>
      <w:r w:rsidRPr="009A291C">
        <w:rPr>
          <w:rFonts w:ascii="Arial" w:hAnsi="Arial" w:cs="Arial"/>
          <w:sz w:val="24"/>
          <w:szCs w:val="24"/>
        </w:rPr>
        <w:t>DART Rate Target: 0.58</w:t>
      </w:r>
    </w:p>
    <w:p w14:paraId="6F172176" w14:textId="77777777" w:rsidR="00C93C49" w:rsidRPr="009A291C" w:rsidRDefault="00C93C49" w:rsidP="00D94B11">
      <w:pPr>
        <w:pStyle w:val="ListParagraph"/>
        <w:widowControl w:val="0"/>
        <w:numPr>
          <w:ilvl w:val="0"/>
          <w:numId w:val="30"/>
        </w:numPr>
        <w:spacing w:after="0" w:line="240" w:lineRule="auto"/>
        <w:rPr>
          <w:rFonts w:ascii="Arial" w:hAnsi="Arial" w:cs="Arial"/>
          <w:sz w:val="24"/>
          <w:szCs w:val="24"/>
        </w:rPr>
      </w:pPr>
      <w:r w:rsidRPr="009A291C">
        <w:rPr>
          <w:rFonts w:ascii="Arial" w:hAnsi="Arial" w:cs="Arial"/>
          <w:sz w:val="24"/>
          <w:szCs w:val="24"/>
        </w:rPr>
        <w:t>CMVA Rate Target: 1.82</w:t>
      </w:r>
    </w:p>
    <w:p w14:paraId="656B8F85" w14:textId="77777777" w:rsidR="00C93C49" w:rsidRDefault="00C93C49" w:rsidP="00C93C49">
      <w:pPr>
        <w:spacing w:after="0" w:line="240" w:lineRule="auto"/>
        <w:contextualSpacing/>
        <w:rPr>
          <w:rFonts w:ascii="Arial" w:hAnsi="Arial" w:cs="Arial"/>
          <w:sz w:val="24"/>
          <w:szCs w:val="24"/>
        </w:rPr>
      </w:pPr>
    </w:p>
    <w:p w14:paraId="6A6DD1A2" w14:textId="77777777" w:rsidR="00C93C49" w:rsidRDefault="00C93C49" w:rsidP="00C93C49">
      <w:pPr>
        <w:spacing w:after="0" w:line="240" w:lineRule="auto"/>
        <w:contextualSpacing/>
        <w:rPr>
          <w:rFonts w:ascii="Arial" w:hAnsi="Arial" w:cs="Arial"/>
          <w:sz w:val="24"/>
          <w:szCs w:val="24"/>
        </w:rPr>
      </w:pPr>
    </w:p>
    <w:p w14:paraId="12101869" w14:textId="77777777" w:rsidR="00C93C49" w:rsidRDefault="00C93C49" w:rsidP="00C93C49">
      <w:pPr>
        <w:spacing w:after="0" w:line="240" w:lineRule="auto"/>
        <w:ind w:firstLine="720"/>
        <w:contextualSpacing/>
        <w:rPr>
          <w:rFonts w:ascii="Arial" w:hAnsi="Arial" w:cs="Arial"/>
          <w:sz w:val="24"/>
          <w:szCs w:val="24"/>
        </w:rPr>
      </w:pPr>
      <w:r w:rsidRPr="00024680">
        <w:rPr>
          <w:rFonts w:ascii="Arial" w:hAnsi="Arial" w:cs="Arial"/>
          <w:sz w:val="24"/>
          <w:szCs w:val="24"/>
        </w:rPr>
        <w:t xml:space="preserve">A causal analysis conducted by the auditors revealed no </w:t>
      </w:r>
      <w:r>
        <w:rPr>
          <w:rFonts w:ascii="Arial" w:hAnsi="Arial" w:cs="Arial"/>
          <w:sz w:val="24"/>
          <w:szCs w:val="24"/>
        </w:rPr>
        <w:t>apparent</w:t>
      </w:r>
      <w:r w:rsidRPr="00024680">
        <w:rPr>
          <w:rFonts w:ascii="Arial" w:hAnsi="Arial" w:cs="Arial"/>
          <w:sz w:val="24"/>
          <w:szCs w:val="24"/>
        </w:rPr>
        <w:t xml:space="preserve"> </w:t>
      </w:r>
      <w:r>
        <w:rPr>
          <w:rFonts w:ascii="Arial" w:hAnsi="Arial" w:cs="Arial"/>
          <w:sz w:val="24"/>
          <w:szCs w:val="24"/>
        </w:rPr>
        <w:t xml:space="preserve">deficiencies related to the safety programs. Most reportable safety incidents were minor in nature, with approximately half of the incidents caused by three issues: improper body positioning, uneven or slippery surfaces, and tick or insect bites.  The other half of the incidents were distributed among approximately 30 other causal descriptions.  With the </w:t>
      </w:r>
      <w:r w:rsidR="00035C5C">
        <w:rPr>
          <w:rFonts w:ascii="Arial" w:hAnsi="Arial" w:cs="Arial"/>
          <w:sz w:val="24"/>
          <w:szCs w:val="24"/>
        </w:rPr>
        <w:t>five</w:t>
      </w:r>
      <w:r>
        <w:rPr>
          <w:rFonts w:ascii="Arial" w:hAnsi="Arial" w:cs="Arial"/>
          <w:sz w:val="24"/>
          <w:szCs w:val="24"/>
        </w:rPr>
        <w:t xml:space="preserve"> focus areas for improvement and a continued concentration on education, training, and ergonomic improvements, the auditors believe that the </w:t>
      </w:r>
      <w:r w:rsidR="00DC3D9B">
        <w:rPr>
          <w:rFonts w:ascii="Arial" w:hAnsi="Arial" w:cs="Arial"/>
          <w:sz w:val="24"/>
          <w:szCs w:val="24"/>
        </w:rPr>
        <w:t>FE-PA companies</w:t>
      </w:r>
      <w:r>
        <w:rPr>
          <w:rFonts w:ascii="Arial" w:hAnsi="Arial" w:cs="Arial"/>
          <w:sz w:val="24"/>
          <w:szCs w:val="24"/>
        </w:rPr>
        <w:t xml:space="preserve"> will continue to trend towards improved safety results.  However, because the industry appears to be trending towards improvement as well, albeit at a slightly faster pace, the </w:t>
      </w:r>
      <w:r w:rsidR="00DC3D9B">
        <w:rPr>
          <w:rFonts w:ascii="Arial" w:hAnsi="Arial" w:cs="Arial"/>
          <w:sz w:val="24"/>
          <w:szCs w:val="24"/>
        </w:rPr>
        <w:t>companies</w:t>
      </w:r>
      <w:r>
        <w:rPr>
          <w:rFonts w:ascii="Arial" w:hAnsi="Arial" w:cs="Arial"/>
          <w:sz w:val="24"/>
          <w:szCs w:val="24"/>
        </w:rPr>
        <w:t xml:space="preserve"> will need continued improvements to the safety program.</w:t>
      </w:r>
    </w:p>
    <w:p w14:paraId="0E851E7B" w14:textId="77777777" w:rsidR="00C93C49" w:rsidRPr="00451187" w:rsidRDefault="00C93C49" w:rsidP="00C93C49">
      <w:pPr>
        <w:spacing w:after="0" w:line="240" w:lineRule="auto"/>
        <w:contextualSpacing/>
        <w:rPr>
          <w:rFonts w:ascii="Arial" w:hAnsi="Arial" w:cs="Arial"/>
          <w:sz w:val="24"/>
          <w:szCs w:val="24"/>
        </w:rPr>
      </w:pPr>
    </w:p>
    <w:p w14:paraId="23EF2037" w14:textId="77777777" w:rsidR="00C93C49" w:rsidRPr="00451187" w:rsidRDefault="00C93C49" w:rsidP="00C93C49">
      <w:pPr>
        <w:widowControl w:val="0"/>
        <w:autoSpaceDE w:val="0"/>
        <w:autoSpaceDN w:val="0"/>
        <w:adjustRightInd w:val="0"/>
        <w:spacing w:after="0" w:line="240" w:lineRule="auto"/>
        <w:contextualSpacing/>
        <w:rPr>
          <w:rFonts w:ascii="Arial" w:hAnsi="Arial" w:cs="Arial"/>
          <w:b/>
          <w:bCs/>
          <w:color w:val="000000"/>
          <w:sz w:val="24"/>
          <w:szCs w:val="24"/>
        </w:rPr>
      </w:pPr>
      <w:bookmarkStart w:id="43" w:name="_Hlk511899262"/>
      <w:r w:rsidRPr="00451187">
        <w:rPr>
          <w:rFonts w:ascii="Arial" w:hAnsi="Arial" w:cs="Arial"/>
          <w:b/>
          <w:bCs/>
          <w:color w:val="000000"/>
          <w:sz w:val="24"/>
          <w:szCs w:val="24"/>
          <w:u w:val="single"/>
        </w:rPr>
        <w:t>Staff’s Recommendation</w:t>
      </w:r>
      <w:r w:rsidRPr="00451187">
        <w:rPr>
          <w:rFonts w:ascii="Arial" w:hAnsi="Arial" w:cs="Arial"/>
          <w:b/>
          <w:bCs/>
          <w:color w:val="000000"/>
          <w:sz w:val="24"/>
          <w:szCs w:val="24"/>
        </w:rPr>
        <w:t xml:space="preserve"> </w:t>
      </w:r>
      <w:r w:rsidRPr="00451187">
        <w:rPr>
          <w:rFonts w:ascii="Arial" w:hAnsi="Arial" w:cs="Arial"/>
          <w:bCs/>
          <w:color w:val="000000"/>
          <w:sz w:val="24"/>
          <w:szCs w:val="24"/>
        </w:rPr>
        <w:t>–</w:t>
      </w:r>
      <w:r w:rsidRPr="00451187">
        <w:rPr>
          <w:rFonts w:ascii="Arial" w:hAnsi="Arial" w:cs="Arial"/>
          <w:b/>
          <w:bCs/>
          <w:color w:val="000000"/>
          <w:sz w:val="24"/>
          <w:szCs w:val="24"/>
        </w:rPr>
        <w:t xml:space="preserve"> </w:t>
      </w:r>
      <w:r w:rsidRPr="009A291C">
        <w:rPr>
          <w:rFonts w:ascii="Arial" w:hAnsi="Arial" w:cs="Arial"/>
          <w:b/>
          <w:bCs/>
          <w:color w:val="000000"/>
          <w:sz w:val="24"/>
          <w:szCs w:val="24"/>
        </w:rPr>
        <w:t>Continue to periodically review and improve upon the existing safety program</w:t>
      </w:r>
      <w:r>
        <w:rPr>
          <w:rFonts w:ascii="Arial" w:hAnsi="Arial" w:cs="Arial"/>
          <w:b/>
          <w:bCs/>
          <w:color w:val="000000"/>
          <w:sz w:val="24"/>
          <w:szCs w:val="24"/>
        </w:rPr>
        <w:t>s</w:t>
      </w:r>
      <w:r w:rsidRPr="009A291C">
        <w:rPr>
          <w:rFonts w:ascii="Arial" w:hAnsi="Arial" w:cs="Arial"/>
          <w:b/>
          <w:bCs/>
          <w:color w:val="000000"/>
          <w:sz w:val="24"/>
          <w:szCs w:val="24"/>
        </w:rPr>
        <w:t xml:space="preserve"> to </w:t>
      </w:r>
      <w:r>
        <w:rPr>
          <w:rFonts w:ascii="Arial" w:hAnsi="Arial" w:cs="Arial"/>
          <w:b/>
          <w:bCs/>
          <w:color w:val="000000"/>
          <w:sz w:val="24"/>
          <w:szCs w:val="24"/>
        </w:rPr>
        <w:t>attain</w:t>
      </w:r>
      <w:r w:rsidRPr="009A291C">
        <w:rPr>
          <w:rFonts w:ascii="Arial" w:hAnsi="Arial" w:cs="Arial"/>
          <w:b/>
          <w:bCs/>
          <w:color w:val="000000"/>
          <w:sz w:val="24"/>
          <w:szCs w:val="24"/>
        </w:rPr>
        <w:t xml:space="preserve"> performance </w:t>
      </w:r>
      <w:r>
        <w:rPr>
          <w:rFonts w:ascii="Arial" w:hAnsi="Arial" w:cs="Arial"/>
          <w:b/>
          <w:bCs/>
          <w:color w:val="000000"/>
          <w:sz w:val="24"/>
          <w:szCs w:val="24"/>
        </w:rPr>
        <w:t>consistent with established</w:t>
      </w:r>
      <w:r w:rsidRPr="009A291C">
        <w:rPr>
          <w:rFonts w:ascii="Arial" w:hAnsi="Arial" w:cs="Arial"/>
          <w:b/>
          <w:bCs/>
          <w:color w:val="000000"/>
          <w:sz w:val="24"/>
          <w:szCs w:val="24"/>
        </w:rPr>
        <w:t xml:space="preserve"> safety goals.</w:t>
      </w:r>
    </w:p>
    <w:bookmarkEnd w:id="43"/>
    <w:p w14:paraId="27B3950E" w14:textId="77777777" w:rsidR="00C93C49" w:rsidRPr="00451187" w:rsidRDefault="00C93C49" w:rsidP="00C93C49">
      <w:pPr>
        <w:spacing w:after="0" w:line="240" w:lineRule="auto"/>
        <w:rPr>
          <w:rFonts w:ascii="Arial" w:hAnsi="Arial" w:cs="Arial"/>
          <w:b/>
          <w:sz w:val="24"/>
          <w:szCs w:val="24"/>
          <w:u w:val="single"/>
        </w:rPr>
      </w:pPr>
    </w:p>
    <w:p w14:paraId="2F6A00F8" w14:textId="77777777" w:rsidR="000458C1" w:rsidRDefault="000458C1" w:rsidP="00C93C49">
      <w:pPr>
        <w:spacing w:after="0" w:line="240" w:lineRule="auto"/>
        <w:rPr>
          <w:rFonts w:ascii="Arial" w:hAnsi="Arial" w:cs="Arial"/>
          <w:b/>
          <w:sz w:val="24"/>
          <w:szCs w:val="24"/>
          <w:u w:val="single"/>
        </w:rPr>
      </w:pPr>
    </w:p>
    <w:p w14:paraId="10B3FD7E" w14:textId="77777777" w:rsidR="0094097A" w:rsidRDefault="0094097A" w:rsidP="00C93C49">
      <w:pPr>
        <w:spacing w:after="0" w:line="240" w:lineRule="auto"/>
        <w:rPr>
          <w:rFonts w:ascii="Arial" w:hAnsi="Arial" w:cs="Arial"/>
          <w:b/>
          <w:sz w:val="24"/>
          <w:szCs w:val="24"/>
          <w:u w:val="single"/>
        </w:rPr>
      </w:pPr>
    </w:p>
    <w:p w14:paraId="6410849E" w14:textId="77777777" w:rsidR="00F33FB1" w:rsidRDefault="00F33FB1">
      <w:pPr>
        <w:rPr>
          <w:rFonts w:ascii="Arial" w:eastAsia="Times New Roman" w:hAnsi="Arial" w:cs="Times New Roman"/>
          <w:b/>
          <w:sz w:val="24"/>
          <w:szCs w:val="24"/>
          <w:u w:val="single"/>
        </w:rPr>
      </w:pPr>
      <w:r>
        <w:rPr>
          <w:rFonts w:ascii="Arial" w:eastAsia="Times New Roman" w:hAnsi="Arial" w:cs="Times New Roman"/>
          <w:b/>
          <w:sz w:val="24"/>
          <w:szCs w:val="24"/>
          <w:u w:val="single"/>
        </w:rPr>
        <w:br w:type="page"/>
      </w:r>
    </w:p>
    <w:p w14:paraId="68BC83ED" w14:textId="77777777" w:rsidR="0094097A" w:rsidRDefault="0094097A" w:rsidP="0094097A">
      <w:pPr>
        <w:spacing w:line="240" w:lineRule="auto"/>
        <w:contextualSpacing/>
        <w:jc w:val="center"/>
        <w:rPr>
          <w:rFonts w:ascii="Arial" w:eastAsia="Times New Roman" w:hAnsi="Arial" w:cs="Times New Roman"/>
          <w:b/>
          <w:sz w:val="24"/>
          <w:szCs w:val="24"/>
          <w:u w:val="single"/>
        </w:rPr>
      </w:pPr>
      <w:r w:rsidRPr="00C93C49">
        <w:rPr>
          <w:rFonts w:ascii="Arial" w:eastAsia="Times New Roman" w:hAnsi="Arial" w:cs="Times New Roman"/>
          <w:b/>
          <w:sz w:val="24"/>
          <w:szCs w:val="24"/>
          <w:u w:val="single"/>
        </w:rPr>
        <w:t>Finding No. X</w:t>
      </w:r>
      <w:r>
        <w:rPr>
          <w:rFonts w:ascii="Arial" w:eastAsia="Times New Roman" w:hAnsi="Arial" w:cs="Times New Roman"/>
          <w:b/>
          <w:sz w:val="24"/>
          <w:szCs w:val="24"/>
          <w:u w:val="single"/>
        </w:rPr>
        <w:t>I</w:t>
      </w:r>
      <w:r w:rsidRPr="00C93C49">
        <w:rPr>
          <w:rFonts w:ascii="Arial" w:eastAsia="Times New Roman" w:hAnsi="Arial" w:cs="Times New Roman"/>
          <w:b/>
          <w:sz w:val="24"/>
          <w:szCs w:val="24"/>
          <w:u w:val="single"/>
        </w:rPr>
        <w:t>-</w:t>
      </w:r>
      <w:r>
        <w:rPr>
          <w:rFonts w:ascii="Arial" w:eastAsia="Times New Roman" w:hAnsi="Arial" w:cs="Times New Roman"/>
          <w:b/>
          <w:sz w:val="24"/>
          <w:szCs w:val="24"/>
          <w:u w:val="single"/>
        </w:rPr>
        <w:t>2</w:t>
      </w:r>
    </w:p>
    <w:p w14:paraId="231E15D5" w14:textId="77777777" w:rsidR="0094097A" w:rsidRDefault="0094097A" w:rsidP="00C4057E">
      <w:pPr>
        <w:spacing w:after="0" w:line="240" w:lineRule="auto"/>
        <w:jc w:val="center"/>
        <w:rPr>
          <w:rFonts w:ascii="Arial" w:hAnsi="Arial" w:cs="Arial"/>
          <w:b/>
          <w:sz w:val="24"/>
          <w:szCs w:val="24"/>
          <w:u w:val="single"/>
        </w:rPr>
      </w:pPr>
    </w:p>
    <w:p w14:paraId="54385416" w14:textId="77777777" w:rsidR="00C93C49" w:rsidRDefault="00C93C49" w:rsidP="00C93C49">
      <w:pPr>
        <w:spacing w:after="0" w:line="240" w:lineRule="auto"/>
        <w:rPr>
          <w:rFonts w:ascii="Arial" w:hAnsi="Arial" w:cs="Arial"/>
          <w:sz w:val="24"/>
          <w:szCs w:val="24"/>
        </w:rPr>
      </w:pPr>
      <w:r w:rsidRPr="00451187">
        <w:rPr>
          <w:rFonts w:ascii="Arial" w:hAnsi="Arial" w:cs="Arial"/>
          <w:b/>
          <w:sz w:val="24"/>
          <w:szCs w:val="24"/>
          <w:u w:val="single"/>
        </w:rPr>
        <w:t>Prior Situation</w:t>
      </w:r>
      <w:r w:rsidRPr="00451187">
        <w:rPr>
          <w:rFonts w:ascii="Arial" w:hAnsi="Arial" w:cs="Arial"/>
          <w:sz w:val="24"/>
          <w:szCs w:val="24"/>
        </w:rPr>
        <w:t xml:space="preserve"> – </w:t>
      </w:r>
      <w:r w:rsidRPr="00B55C40">
        <w:rPr>
          <w:rFonts w:ascii="Arial" w:hAnsi="Arial" w:cs="Arial"/>
          <w:sz w:val="24"/>
          <w:szCs w:val="24"/>
        </w:rPr>
        <w:t xml:space="preserve">Absenteeism was monitored in the ELT Reports to determine the effectiveness of controlling the </w:t>
      </w:r>
      <w:r>
        <w:rPr>
          <w:rFonts w:ascii="Arial" w:hAnsi="Arial" w:cs="Arial"/>
          <w:sz w:val="24"/>
          <w:szCs w:val="24"/>
        </w:rPr>
        <w:t>employee absence</w:t>
      </w:r>
      <w:r w:rsidRPr="00B55C40">
        <w:rPr>
          <w:rFonts w:ascii="Arial" w:hAnsi="Arial" w:cs="Arial"/>
          <w:sz w:val="24"/>
          <w:szCs w:val="24"/>
        </w:rPr>
        <w:t xml:space="preserve"> rate</w:t>
      </w:r>
      <w:r w:rsidRPr="009B6336">
        <w:rPr>
          <w:rFonts w:ascii="Arial" w:hAnsi="Arial" w:cs="Arial"/>
          <w:sz w:val="24"/>
          <w:szCs w:val="24"/>
        </w:rPr>
        <w:t xml:space="preserve">.  Goals for absentee rates were established for each </w:t>
      </w:r>
      <w:r>
        <w:rPr>
          <w:rFonts w:ascii="Arial" w:hAnsi="Arial" w:cs="Arial"/>
          <w:sz w:val="24"/>
          <w:szCs w:val="24"/>
        </w:rPr>
        <w:t xml:space="preserve">of the </w:t>
      </w:r>
      <w:r w:rsidR="00DC3D9B">
        <w:rPr>
          <w:rFonts w:ascii="Arial" w:hAnsi="Arial" w:cs="Arial"/>
          <w:sz w:val="24"/>
          <w:szCs w:val="24"/>
        </w:rPr>
        <w:t>FE-PA companies</w:t>
      </w:r>
      <w:r>
        <w:rPr>
          <w:rFonts w:ascii="Arial" w:hAnsi="Arial" w:cs="Arial"/>
          <w:sz w:val="24"/>
          <w:szCs w:val="24"/>
        </w:rPr>
        <w:t xml:space="preserve"> and updated annually</w:t>
      </w:r>
      <w:r w:rsidRPr="009B6336">
        <w:rPr>
          <w:rFonts w:ascii="Arial" w:hAnsi="Arial" w:cs="Arial"/>
          <w:sz w:val="24"/>
          <w:szCs w:val="24"/>
        </w:rPr>
        <w:t xml:space="preserve">.  </w:t>
      </w:r>
      <w:r>
        <w:rPr>
          <w:rFonts w:ascii="Arial" w:hAnsi="Arial" w:cs="Arial"/>
          <w:sz w:val="24"/>
          <w:szCs w:val="24"/>
        </w:rPr>
        <w:t>G</w:t>
      </w:r>
      <w:r w:rsidRPr="009138B4">
        <w:rPr>
          <w:rFonts w:ascii="Arial" w:hAnsi="Arial" w:cs="Arial"/>
          <w:sz w:val="24"/>
          <w:szCs w:val="24"/>
        </w:rPr>
        <w:t xml:space="preserve">oals for each of the </w:t>
      </w:r>
      <w:r w:rsidR="00DC3D9B">
        <w:rPr>
          <w:rFonts w:ascii="Arial" w:hAnsi="Arial" w:cs="Arial"/>
          <w:sz w:val="24"/>
          <w:szCs w:val="24"/>
        </w:rPr>
        <w:t>companies</w:t>
      </w:r>
      <w:r>
        <w:rPr>
          <w:rFonts w:ascii="Arial" w:hAnsi="Arial" w:cs="Arial"/>
          <w:sz w:val="24"/>
          <w:szCs w:val="24"/>
        </w:rPr>
        <w:t xml:space="preserve"> were established for all employee classifications i.e., </w:t>
      </w:r>
      <w:r w:rsidRPr="009138B4">
        <w:rPr>
          <w:rFonts w:ascii="Arial" w:hAnsi="Arial" w:cs="Arial"/>
          <w:sz w:val="24"/>
          <w:szCs w:val="24"/>
        </w:rPr>
        <w:t>bargaining and non</w:t>
      </w:r>
      <w:r w:rsidRPr="009138B4">
        <w:rPr>
          <w:rFonts w:ascii="Arial" w:hAnsi="Arial" w:cs="Arial"/>
          <w:sz w:val="24"/>
          <w:szCs w:val="24"/>
        </w:rPr>
        <w:noBreakHyphen/>
        <w:t xml:space="preserve">bargaining </w:t>
      </w:r>
      <w:r>
        <w:rPr>
          <w:rFonts w:ascii="Arial" w:hAnsi="Arial" w:cs="Arial"/>
          <w:sz w:val="24"/>
          <w:szCs w:val="24"/>
        </w:rPr>
        <w:t>unit positions.</w:t>
      </w:r>
      <w:r w:rsidRPr="009138B4">
        <w:rPr>
          <w:rFonts w:ascii="Arial" w:hAnsi="Arial" w:cs="Arial"/>
          <w:sz w:val="24"/>
          <w:szCs w:val="24"/>
        </w:rPr>
        <w:t xml:space="preserve"> </w:t>
      </w:r>
      <w:r>
        <w:rPr>
          <w:rFonts w:ascii="Arial" w:hAnsi="Arial" w:cs="Arial"/>
          <w:sz w:val="24"/>
          <w:szCs w:val="24"/>
        </w:rPr>
        <w:t xml:space="preserve">However, </w:t>
      </w:r>
      <w:r w:rsidRPr="009138B4">
        <w:rPr>
          <w:rFonts w:ascii="Arial" w:hAnsi="Arial" w:cs="Arial"/>
          <w:sz w:val="24"/>
          <w:szCs w:val="24"/>
        </w:rPr>
        <w:t xml:space="preserve">when </w:t>
      </w:r>
      <w:r w:rsidR="00FC4A5D">
        <w:rPr>
          <w:rFonts w:ascii="Arial" w:hAnsi="Arial" w:cs="Arial"/>
          <w:sz w:val="24"/>
          <w:szCs w:val="24"/>
        </w:rPr>
        <w:t>viewed</w:t>
      </w:r>
      <w:r>
        <w:rPr>
          <w:rFonts w:ascii="Arial" w:hAnsi="Arial" w:cs="Arial"/>
          <w:sz w:val="24"/>
          <w:szCs w:val="24"/>
        </w:rPr>
        <w:t xml:space="preserve"> </w:t>
      </w:r>
      <w:r w:rsidRPr="009138B4">
        <w:rPr>
          <w:rFonts w:ascii="Arial" w:hAnsi="Arial" w:cs="Arial"/>
          <w:sz w:val="24"/>
          <w:szCs w:val="24"/>
        </w:rPr>
        <w:t>separate</w:t>
      </w:r>
      <w:r>
        <w:rPr>
          <w:rFonts w:ascii="Arial" w:hAnsi="Arial" w:cs="Arial"/>
          <w:sz w:val="24"/>
          <w:szCs w:val="24"/>
        </w:rPr>
        <w:t>ly</w:t>
      </w:r>
      <w:r w:rsidRPr="009138B4">
        <w:rPr>
          <w:rFonts w:ascii="Arial" w:hAnsi="Arial" w:cs="Arial"/>
          <w:sz w:val="24"/>
          <w:szCs w:val="24"/>
        </w:rPr>
        <w:t>, each of the bargaining units incurred</w:t>
      </w:r>
      <w:r w:rsidRPr="009B6336">
        <w:rPr>
          <w:rFonts w:ascii="Arial" w:hAnsi="Arial" w:cs="Arial"/>
          <w:sz w:val="24"/>
          <w:szCs w:val="24"/>
        </w:rPr>
        <w:t xml:space="preserve"> </w:t>
      </w:r>
      <w:r>
        <w:rPr>
          <w:rFonts w:ascii="Arial" w:hAnsi="Arial" w:cs="Arial"/>
          <w:sz w:val="24"/>
          <w:szCs w:val="24"/>
        </w:rPr>
        <w:t xml:space="preserve">absentee rates </w:t>
      </w:r>
      <w:r w:rsidRPr="009B6336">
        <w:rPr>
          <w:rFonts w:ascii="Arial" w:hAnsi="Arial" w:cs="Arial"/>
          <w:sz w:val="24"/>
          <w:szCs w:val="24"/>
        </w:rPr>
        <w:t>above the goal</w:t>
      </w:r>
      <w:r>
        <w:rPr>
          <w:rFonts w:ascii="Arial" w:hAnsi="Arial" w:cs="Arial"/>
          <w:sz w:val="24"/>
          <w:szCs w:val="24"/>
        </w:rPr>
        <w:t>s</w:t>
      </w:r>
      <w:r w:rsidRPr="009B6336">
        <w:rPr>
          <w:rFonts w:ascii="Arial" w:hAnsi="Arial" w:cs="Arial"/>
          <w:sz w:val="24"/>
          <w:szCs w:val="24"/>
        </w:rPr>
        <w:t xml:space="preserve"> set for each of the respective </w:t>
      </w:r>
      <w:r w:rsidR="00DC3D9B">
        <w:rPr>
          <w:rFonts w:ascii="Arial" w:hAnsi="Arial" w:cs="Arial"/>
          <w:sz w:val="24"/>
          <w:szCs w:val="24"/>
        </w:rPr>
        <w:t>companies</w:t>
      </w:r>
      <w:r w:rsidR="00FC4A5D">
        <w:rPr>
          <w:rFonts w:ascii="Arial" w:hAnsi="Arial" w:cs="Arial"/>
          <w:sz w:val="24"/>
          <w:szCs w:val="24"/>
        </w:rPr>
        <w:t>.</w:t>
      </w:r>
      <w:r w:rsidR="00856AE7">
        <w:rPr>
          <w:rFonts w:ascii="Arial" w:hAnsi="Arial" w:cs="Arial"/>
          <w:sz w:val="24"/>
          <w:szCs w:val="24"/>
        </w:rPr>
        <w:t xml:space="preserve">  </w:t>
      </w:r>
      <w:r w:rsidRPr="009B6336">
        <w:rPr>
          <w:rFonts w:ascii="Arial" w:hAnsi="Arial" w:cs="Arial"/>
          <w:sz w:val="24"/>
          <w:szCs w:val="24"/>
        </w:rPr>
        <w:t xml:space="preserve">In contrast, the </w:t>
      </w:r>
      <w:r>
        <w:rPr>
          <w:rFonts w:ascii="Arial" w:hAnsi="Arial" w:cs="Arial"/>
          <w:sz w:val="24"/>
          <w:szCs w:val="24"/>
        </w:rPr>
        <w:t>absentee rates</w:t>
      </w:r>
      <w:r w:rsidRPr="009B6336">
        <w:rPr>
          <w:rFonts w:ascii="Arial" w:hAnsi="Arial" w:cs="Arial"/>
          <w:sz w:val="24"/>
          <w:szCs w:val="24"/>
        </w:rPr>
        <w:t xml:space="preserve"> incurred for the non-bargaining unit employees for each of the </w:t>
      </w:r>
      <w:r w:rsidR="00DC3D9B">
        <w:rPr>
          <w:rFonts w:ascii="Arial" w:hAnsi="Arial" w:cs="Arial"/>
          <w:sz w:val="24"/>
          <w:szCs w:val="24"/>
        </w:rPr>
        <w:t>FE-PA companies</w:t>
      </w:r>
      <w:r w:rsidRPr="009B6336">
        <w:rPr>
          <w:rFonts w:ascii="Arial" w:hAnsi="Arial" w:cs="Arial"/>
          <w:sz w:val="24"/>
          <w:szCs w:val="24"/>
        </w:rPr>
        <w:t xml:space="preserve"> was significantly </w:t>
      </w:r>
      <w:r w:rsidR="00402E9A">
        <w:rPr>
          <w:rFonts w:ascii="Arial" w:hAnsi="Arial" w:cs="Arial"/>
          <w:sz w:val="24"/>
          <w:szCs w:val="24"/>
        </w:rPr>
        <w:t>better</w:t>
      </w:r>
      <w:r w:rsidRPr="009B6336">
        <w:rPr>
          <w:rFonts w:ascii="Arial" w:hAnsi="Arial" w:cs="Arial"/>
          <w:sz w:val="24"/>
          <w:szCs w:val="24"/>
        </w:rPr>
        <w:t>.</w:t>
      </w:r>
      <w:r>
        <w:rPr>
          <w:rFonts w:ascii="Arial" w:hAnsi="Arial" w:cs="Arial"/>
          <w:sz w:val="24"/>
          <w:szCs w:val="24"/>
        </w:rPr>
        <w:t xml:space="preserve"> </w:t>
      </w:r>
    </w:p>
    <w:p w14:paraId="0FFEA351" w14:textId="77777777" w:rsidR="00C93C49" w:rsidRDefault="00C93C49" w:rsidP="00C93C49">
      <w:pPr>
        <w:spacing w:after="0" w:line="240" w:lineRule="auto"/>
        <w:rPr>
          <w:rFonts w:ascii="Arial" w:hAnsi="Arial" w:cs="Arial"/>
          <w:sz w:val="24"/>
          <w:szCs w:val="24"/>
        </w:rPr>
      </w:pPr>
    </w:p>
    <w:p w14:paraId="36CC0D4E" w14:textId="77777777" w:rsidR="00C93C49" w:rsidRDefault="00C93C49" w:rsidP="00C93C49">
      <w:pPr>
        <w:spacing w:after="0" w:line="240" w:lineRule="auto"/>
        <w:ind w:firstLine="720"/>
        <w:rPr>
          <w:rFonts w:ascii="Arial" w:hAnsi="Arial" w:cs="Arial"/>
          <w:sz w:val="24"/>
          <w:szCs w:val="24"/>
        </w:rPr>
      </w:pPr>
      <w:r>
        <w:rPr>
          <w:rFonts w:ascii="Arial" w:hAnsi="Arial" w:cs="Arial"/>
          <w:sz w:val="24"/>
          <w:szCs w:val="24"/>
        </w:rPr>
        <w:t>The auditors</w:t>
      </w:r>
      <w:r w:rsidRPr="009B6336">
        <w:rPr>
          <w:rFonts w:ascii="Arial" w:hAnsi="Arial" w:cs="Arial"/>
          <w:sz w:val="24"/>
          <w:szCs w:val="24"/>
        </w:rPr>
        <w:t xml:space="preserve"> estimated that</w:t>
      </w:r>
      <w:r w:rsidR="00FC4A5D">
        <w:rPr>
          <w:rFonts w:ascii="Arial" w:hAnsi="Arial" w:cs="Arial"/>
          <w:sz w:val="24"/>
          <w:szCs w:val="24"/>
        </w:rPr>
        <w:t xml:space="preserve"> in 2013</w:t>
      </w:r>
      <w:r w:rsidRPr="009B6336">
        <w:rPr>
          <w:rFonts w:ascii="Arial" w:hAnsi="Arial" w:cs="Arial"/>
          <w:sz w:val="24"/>
          <w:szCs w:val="24"/>
        </w:rPr>
        <w:t>, Met-Ed, Penn Power, and West Penn Power could annually save $138,000; $25,000; and $92,000, respectively</w:t>
      </w:r>
      <w:r>
        <w:rPr>
          <w:rFonts w:ascii="Arial" w:hAnsi="Arial" w:cs="Arial"/>
          <w:sz w:val="24"/>
          <w:szCs w:val="24"/>
        </w:rPr>
        <w:t>,</w:t>
      </w:r>
      <w:r w:rsidRPr="009B6336">
        <w:rPr>
          <w:rFonts w:ascii="Arial" w:hAnsi="Arial" w:cs="Arial"/>
          <w:sz w:val="24"/>
          <w:szCs w:val="24"/>
        </w:rPr>
        <w:t xml:space="preserve"> if overall </w:t>
      </w:r>
      <w:r>
        <w:rPr>
          <w:rFonts w:ascii="Arial" w:hAnsi="Arial" w:cs="Arial"/>
          <w:sz w:val="24"/>
          <w:szCs w:val="24"/>
        </w:rPr>
        <w:t>absentee rate</w:t>
      </w:r>
      <w:r w:rsidRPr="009B6336">
        <w:rPr>
          <w:rFonts w:ascii="Arial" w:hAnsi="Arial" w:cs="Arial"/>
          <w:sz w:val="24"/>
          <w:szCs w:val="24"/>
        </w:rPr>
        <w:t xml:space="preserve"> per employee was reduced to meet each of the </w:t>
      </w:r>
      <w:r w:rsidR="00DC3D9B">
        <w:rPr>
          <w:rFonts w:ascii="Arial" w:hAnsi="Arial" w:cs="Arial"/>
          <w:sz w:val="24"/>
          <w:szCs w:val="24"/>
        </w:rPr>
        <w:t>FE-PA companies</w:t>
      </w:r>
      <w:r w:rsidRPr="009B6336">
        <w:rPr>
          <w:rFonts w:ascii="Arial" w:hAnsi="Arial" w:cs="Arial"/>
          <w:sz w:val="24"/>
          <w:szCs w:val="24"/>
        </w:rPr>
        <w:t>’ respective goals</w:t>
      </w:r>
      <w:r>
        <w:rPr>
          <w:rFonts w:ascii="Arial" w:hAnsi="Arial" w:cs="Arial"/>
          <w:sz w:val="24"/>
          <w:szCs w:val="24"/>
        </w:rPr>
        <w:t xml:space="preserve"> (Penelec was meeting its goal at the time)</w:t>
      </w:r>
      <w:r w:rsidRPr="009B6336">
        <w:rPr>
          <w:rFonts w:ascii="Arial" w:hAnsi="Arial" w:cs="Arial"/>
          <w:sz w:val="24"/>
          <w:szCs w:val="24"/>
        </w:rPr>
        <w:t xml:space="preserve">.  In addition to financial costs, high absentee rates affect productivity for field operations employees and all operations support employees who are assigned to work with employees who abuse sick time.  Although absenteeism was not directly or primarily </w:t>
      </w:r>
      <w:r w:rsidR="00FC4A5D">
        <w:rPr>
          <w:rFonts w:ascii="Arial" w:hAnsi="Arial" w:cs="Arial"/>
          <w:sz w:val="24"/>
          <w:szCs w:val="24"/>
        </w:rPr>
        <w:t>a cause of</w:t>
      </w:r>
      <w:r w:rsidRPr="009B6336">
        <w:rPr>
          <w:rFonts w:ascii="Arial" w:hAnsi="Arial" w:cs="Arial"/>
          <w:sz w:val="24"/>
          <w:szCs w:val="24"/>
        </w:rPr>
        <w:t xml:space="preserve"> reliability and </w:t>
      </w:r>
      <w:r>
        <w:rPr>
          <w:rFonts w:ascii="Arial" w:hAnsi="Arial" w:cs="Arial"/>
          <w:sz w:val="24"/>
          <w:szCs w:val="24"/>
        </w:rPr>
        <w:t>overtime issues (see Chapter VII</w:t>
      </w:r>
      <w:r w:rsidRPr="009B6336">
        <w:rPr>
          <w:rFonts w:ascii="Arial" w:hAnsi="Arial" w:cs="Arial"/>
          <w:sz w:val="24"/>
          <w:szCs w:val="24"/>
        </w:rPr>
        <w:t xml:space="preserve"> – Electric Operations Finding and Conclusions Nos. 1 and 2), it was likely that high absenteeism was, in part, a contributing factor.</w:t>
      </w:r>
    </w:p>
    <w:p w14:paraId="4D2729A0" w14:textId="77777777" w:rsidR="00C93C49" w:rsidRDefault="00C93C49" w:rsidP="00C93C49">
      <w:pPr>
        <w:spacing w:after="0" w:line="240" w:lineRule="auto"/>
        <w:rPr>
          <w:rFonts w:ascii="Arial" w:hAnsi="Arial" w:cs="Arial"/>
          <w:sz w:val="24"/>
          <w:szCs w:val="24"/>
        </w:rPr>
      </w:pPr>
    </w:p>
    <w:p w14:paraId="7274B31E" w14:textId="77777777" w:rsidR="0094097A" w:rsidRDefault="0094097A" w:rsidP="0094097A">
      <w:pPr>
        <w:spacing w:after="0" w:line="240" w:lineRule="auto"/>
        <w:rPr>
          <w:rFonts w:ascii="Arial" w:hAnsi="Arial" w:cs="Arial"/>
          <w:sz w:val="24"/>
          <w:szCs w:val="24"/>
        </w:rPr>
      </w:pPr>
      <w:r w:rsidRPr="00451187">
        <w:rPr>
          <w:rFonts w:ascii="Arial" w:hAnsi="Arial" w:cs="Arial"/>
          <w:b/>
          <w:sz w:val="24"/>
          <w:szCs w:val="24"/>
          <w:u w:val="single"/>
        </w:rPr>
        <w:t>Prior Recommendation</w:t>
      </w:r>
      <w:r w:rsidRPr="00451187">
        <w:rPr>
          <w:rFonts w:ascii="Arial" w:hAnsi="Arial" w:cs="Arial"/>
          <w:sz w:val="24"/>
          <w:szCs w:val="24"/>
        </w:rPr>
        <w:t xml:space="preserve"> – </w:t>
      </w:r>
      <w:r w:rsidRPr="003B2AB6">
        <w:rPr>
          <w:rFonts w:ascii="Arial" w:hAnsi="Arial" w:cs="Arial"/>
          <w:sz w:val="24"/>
          <w:szCs w:val="24"/>
        </w:rPr>
        <w:t>Reduce absenteeism through appropriate enforcement of union contract language</w:t>
      </w:r>
      <w:r>
        <w:rPr>
          <w:rFonts w:ascii="Arial" w:hAnsi="Arial" w:cs="Arial"/>
          <w:sz w:val="24"/>
          <w:szCs w:val="24"/>
        </w:rPr>
        <w:t xml:space="preserve"> </w:t>
      </w:r>
      <w:r w:rsidRPr="003B2AB6">
        <w:rPr>
          <w:rFonts w:ascii="Arial" w:hAnsi="Arial" w:cs="Arial"/>
          <w:sz w:val="24"/>
          <w:szCs w:val="24"/>
        </w:rPr>
        <w:t>regarding provisions for sick leave as well as encouraging employee attendance.</w:t>
      </w:r>
    </w:p>
    <w:p w14:paraId="0208777E" w14:textId="77777777" w:rsidR="00C93C49" w:rsidRDefault="00C93C49" w:rsidP="00C93C49">
      <w:pPr>
        <w:spacing w:after="0" w:line="240" w:lineRule="auto"/>
        <w:rPr>
          <w:rFonts w:ascii="Arial" w:hAnsi="Arial" w:cs="Arial"/>
          <w:sz w:val="24"/>
          <w:szCs w:val="24"/>
        </w:rPr>
      </w:pPr>
    </w:p>
    <w:p w14:paraId="19DCDE57" w14:textId="7861369E" w:rsidR="00C93C49" w:rsidRDefault="00C93C49" w:rsidP="00C93C49">
      <w:pPr>
        <w:spacing w:after="0" w:line="240" w:lineRule="auto"/>
        <w:rPr>
          <w:rFonts w:ascii="Arial" w:hAnsi="Arial" w:cs="Arial"/>
          <w:b/>
          <w:sz w:val="24"/>
          <w:szCs w:val="24"/>
        </w:rPr>
      </w:pPr>
      <w:r w:rsidRPr="0077312E">
        <w:rPr>
          <w:rFonts w:ascii="Arial" w:hAnsi="Arial" w:cs="Arial"/>
          <w:b/>
          <w:sz w:val="24"/>
          <w:szCs w:val="24"/>
          <w:u w:val="single"/>
        </w:rPr>
        <w:t>Follow-up Finding and C</w:t>
      </w:r>
      <w:r>
        <w:rPr>
          <w:rFonts w:ascii="Arial" w:hAnsi="Arial" w:cs="Arial"/>
          <w:b/>
          <w:sz w:val="24"/>
          <w:szCs w:val="24"/>
          <w:u w:val="single"/>
        </w:rPr>
        <w:t>onclusion No. XI</w:t>
      </w:r>
      <w:r w:rsidRPr="0077312E">
        <w:rPr>
          <w:rFonts w:ascii="Arial" w:hAnsi="Arial" w:cs="Arial"/>
          <w:b/>
          <w:sz w:val="24"/>
          <w:szCs w:val="24"/>
          <w:u w:val="single"/>
        </w:rPr>
        <w:t>-</w:t>
      </w:r>
      <w:r>
        <w:rPr>
          <w:rFonts w:ascii="Arial" w:hAnsi="Arial" w:cs="Arial"/>
          <w:b/>
          <w:sz w:val="24"/>
          <w:szCs w:val="24"/>
          <w:u w:val="single"/>
        </w:rPr>
        <w:t>2</w:t>
      </w:r>
      <w:r w:rsidRPr="00CA6E27">
        <w:rPr>
          <w:rFonts w:ascii="Arial" w:hAnsi="Arial" w:cs="Arial"/>
          <w:b/>
          <w:sz w:val="24"/>
          <w:szCs w:val="24"/>
        </w:rPr>
        <w:t xml:space="preserve"> – </w:t>
      </w:r>
      <w:r w:rsidRPr="00174A85">
        <w:rPr>
          <w:rFonts w:ascii="Arial" w:hAnsi="Arial" w:cs="Arial"/>
          <w:b/>
          <w:sz w:val="24"/>
          <w:szCs w:val="24"/>
        </w:rPr>
        <w:t xml:space="preserve">The </w:t>
      </w:r>
      <w:r w:rsidR="00DC3D9B">
        <w:rPr>
          <w:rFonts w:ascii="Arial" w:hAnsi="Arial" w:cs="Arial"/>
          <w:b/>
          <w:sz w:val="24"/>
          <w:szCs w:val="24"/>
        </w:rPr>
        <w:t xml:space="preserve">FE-PA </w:t>
      </w:r>
      <w:r w:rsidR="00166204">
        <w:rPr>
          <w:rFonts w:ascii="Arial" w:hAnsi="Arial" w:cs="Arial"/>
          <w:b/>
          <w:sz w:val="24"/>
          <w:szCs w:val="24"/>
        </w:rPr>
        <w:t>companies</w:t>
      </w:r>
      <w:r w:rsidRPr="00174A85">
        <w:rPr>
          <w:rFonts w:ascii="Arial" w:hAnsi="Arial" w:cs="Arial"/>
          <w:b/>
          <w:sz w:val="24"/>
          <w:szCs w:val="24"/>
        </w:rPr>
        <w:t xml:space="preserve"> </w:t>
      </w:r>
      <w:r w:rsidR="00FC4A5D">
        <w:rPr>
          <w:rFonts w:ascii="Arial" w:hAnsi="Arial" w:cs="Arial"/>
          <w:b/>
          <w:sz w:val="24"/>
          <w:szCs w:val="24"/>
        </w:rPr>
        <w:t>experienced</w:t>
      </w:r>
      <w:r w:rsidRPr="00174A85">
        <w:rPr>
          <w:rFonts w:ascii="Arial" w:hAnsi="Arial" w:cs="Arial"/>
          <w:b/>
          <w:sz w:val="24"/>
          <w:szCs w:val="24"/>
        </w:rPr>
        <w:t xml:space="preserve"> mixed results from their attempts to reduce absenteeism and are still not consistently meeting absenteeism goals.</w:t>
      </w:r>
    </w:p>
    <w:p w14:paraId="494A609C" w14:textId="77777777" w:rsidR="00C93C49" w:rsidRDefault="00C93C49" w:rsidP="00C93C49">
      <w:pPr>
        <w:spacing w:after="0" w:line="240" w:lineRule="auto"/>
        <w:rPr>
          <w:rFonts w:ascii="Arial" w:hAnsi="Arial" w:cs="Arial"/>
          <w:b/>
          <w:sz w:val="24"/>
          <w:szCs w:val="24"/>
        </w:rPr>
      </w:pPr>
    </w:p>
    <w:p w14:paraId="45692992" w14:textId="77777777" w:rsidR="00C93C49" w:rsidRDefault="00C93C49" w:rsidP="00C93C49">
      <w:pPr>
        <w:spacing w:after="0" w:line="240" w:lineRule="auto"/>
        <w:ind w:firstLine="720"/>
        <w:rPr>
          <w:rFonts w:ascii="Arial" w:hAnsi="Arial" w:cs="Arial"/>
          <w:sz w:val="24"/>
          <w:szCs w:val="24"/>
        </w:rPr>
      </w:pPr>
      <w:r>
        <w:rPr>
          <w:rFonts w:ascii="Arial" w:hAnsi="Arial" w:cs="Arial"/>
          <w:sz w:val="24"/>
          <w:szCs w:val="24"/>
        </w:rPr>
        <w:t xml:space="preserve">Since the management audit, the </w:t>
      </w:r>
      <w:r w:rsidR="00DC3D9B">
        <w:rPr>
          <w:rFonts w:ascii="Arial" w:hAnsi="Arial" w:cs="Arial"/>
          <w:sz w:val="24"/>
          <w:szCs w:val="24"/>
        </w:rPr>
        <w:t>FE-PA companies</w:t>
      </w:r>
      <w:r>
        <w:rPr>
          <w:rFonts w:ascii="Arial" w:hAnsi="Arial" w:cs="Arial"/>
          <w:sz w:val="24"/>
          <w:szCs w:val="24"/>
        </w:rPr>
        <w:t xml:space="preserve"> have</w:t>
      </w:r>
      <w:r w:rsidRPr="000678F6">
        <w:rPr>
          <w:rFonts w:ascii="Arial" w:hAnsi="Arial" w:cs="Arial"/>
          <w:sz w:val="24"/>
          <w:szCs w:val="24"/>
        </w:rPr>
        <w:t xml:space="preserve"> made changes to </w:t>
      </w:r>
      <w:r>
        <w:rPr>
          <w:rFonts w:ascii="Arial" w:hAnsi="Arial" w:cs="Arial"/>
          <w:sz w:val="24"/>
          <w:szCs w:val="24"/>
        </w:rPr>
        <w:t>the</w:t>
      </w:r>
      <w:r w:rsidRPr="000678F6">
        <w:rPr>
          <w:rFonts w:ascii="Arial" w:hAnsi="Arial" w:cs="Arial"/>
          <w:sz w:val="24"/>
          <w:szCs w:val="24"/>
        </w:rPr>
        <w:t xml:space="preserve"> leave policy for non-bargaining unit</w:t>
      </w:r>
      <w:r>
        <w:rPr>
          <w:rFonts w:ascii="Arial" w:hAnsi="Arial" w:cs="Arial"/>
          <w:sz w:val="24"/>
          <w:szCs w:val="24"/>
        </w:rPr>
        <w:t xml:space="preserve"> positions</w:t>
      </w:r>
      <w:r w:rsidRPr="000678F6">
        <w:rPr>
          <w:rFonts w:ascii="Arial" w:hAnsi="Arial" w:cs="Arial"/>
          <w:sz w:val="24"/>
          <w:szCs w:val="24"/>
        </w:rPr>
        <w:t xml:space="preserve">.  </w:t>
      </w:r>
      <w:r>
        <w:rPr>
          <w:rFonts w:ascii="Arial" w:hAnsi="Arial" w:cs="Arial"/>
          <w:sz w:val="24"/>
          <w:szCs w:val="24"/>
        </w:rPr>
        <w:t xml:space="preserve">On January 1, 2016, personal time-off (PTO) was established to replace </w:t>
      </w:r>
      <w:r w:rsidRPr="000678F6">
        <w:rPr>
          <w:rFonts w:ascii="Arial" w:hAnsi="Arial" w:cs="Arial"/>
          <w:sz w:val="24"/>
          <w:szCs w:val="24"/>
        </w:rPr>
        <w:t xml:space="preserve">traditional </w:t>
      </w:r>
      <w:r>
        <w:rPr>
          <w:rFonts w:ascii="Arial" w:hAnsi="Arial" w:cs="Arial"/>
          <w:sz w:val="24"/>
          <w:szCs w:val="24"/>
        </w:rPr>
        <w:t xml:space="preserve">leave policy options (e.g., </w:t>
      </w:r>
      <w:r w:rsidRPr="000678F6">
        <w:rPr>
          <w:rFonts w:ascii="Arial" w:hAnsi="Arial" w:cs="Arial"/>
          <w:sz w:val="24"/>
          <w:szCs w:val="24"/>
        </w:rPr>
        <w:t>vacation, personal, and sick days</w:t>
      </w:r>
      <w:r>
        <w:rPr>
          <w:rFonts w:ascii="Arial" w:hAnsi="Arial" w:cs="Arial"/>
          <w:sz w:val="24"/>
          <w:szCs w:val="24"/>
        </w:rPr>
        <w:t>).</w:t>
      </w:r>
      <w:r w:rsidRPr="000678F6">
        <w:rPr>
          <w:rFonts w:ascii="Arial" w:hAnsi="Arial" w:cs="Arial"/>
          <w:sz w:val="24"/>
          <w:szCs w:val="24"/>
        </w:rPr>
        <w:t xml:space="preserve"> </w:t>
      </w:r>
      <w:r>
        <w:rPr>
          <w:rFonts w:ascii="Arial" w:hAnsi="Arial" w:cs="Arial"/>
          <w:sz w:val="24"/>
          <w:szCs w:val="24"/>
        </w:rPr>
        <w:t xml:space="preserve"> </w:t>
      </w:r>
      <w:r w:rsidR="00856AE7">
        <w:rPr>
          <w:rFonts w:ascii="Arial" w:hAnsi="Arial" w:cs="Arial"/>
          <w:sz w:val="24"/>
          <w:szCs w:val="24"/>
        </w:rPr>
        <w:t>Because of this</w:t>
      </w:r>
      <w:r>
        <w:rPr>
          <w:rFonts w:ascii="Arial" w:hAnsi="Arial" w:cs="Arial"/>
          <w:sz w:val="24"/>
          <w:szCs w:val="24"/>
        </w:rPr>
        <w:t>,</w:t>
      </w:r>
      <w:r w:rsidRPr="000678F6">
        <w:rPr>
          <w:rFonts w:ascii="Arial" w:hAnsi="Arial" w:cs="Arial"/>
          <w:sz w:val="24"/>
          <w:szCs w:val="24"/>
        </w:rPr>
        <w:t xml:space="preserve"> the </w:t>
      </w:r>
      <w:r>
        <w:rPr>
          <w:rFonts w:ascii="Arial" w:hAnsi="Arial" w:cs="Arial"/>
          <w:sz w:val="24"/>
          <w:szCs w:val="24"/>
        </w:rPr>
        <w:t>data</w:t>
      </w:r>
      <w:r w:rsidRPr="000678F6">
        <w:rPr>
          <w:rFonts w:ascii="Arial" w:hAnsi="Arial" w:cs="Arial"/>
          <w:sz w:val="24"/>
          <w:szCs w:val="24"/>
        </w:rPr>
        <w:t xml:space="preserve"> for the </w:t>
      </w:r>
      <w:r>
        <w:rPr>
          <w:rFonts w:ascii="Arial" w:hAnsi="Arial" w:cs="Arial"/>
          <w:sz w:val="24"/>
          <w:szCs w:val="24"/>
        </w:rPr>
        <w:t>non-</w:t>
      </w:r>
      <w:r w:rsidRPr="000678F6">
        <w:rPr>
          <w:rFonts w:ascii="Arial" w:hAnsi="Arial" w:cs="Arial"/>
          <w:sz w:val="24"/>
          <w:szCs w:val="24"/>
        </w:rPr>
        <w:t>bargaining unit</w:t>
      </w:r>
      <w:r>
        <w:rPr>
          <w:rFonts w:ascii="Arial" w:hAnsi="Arial" w:cs="Arial"/>
          <w:sz w:val="24"/>
          <w:szCs w:val="24"/>
        </w:rPr>
        <w:t xml:space="preserve"> positions</w:t>
      </w:r>
      <w:r w:rsidRPr="000678F6">
        <w:rPr>
          <w:rFonts w:ascii="Arial" w:hAnsi="Arial" w:cs="Arial"/>
          <w:sz w:val="24"/>
          <w:szCs w:val="24"/>
        </w:rPr>
        <w:t xml:space="preserve"> since that time only reflect Short Term Disability (STD), as STD is excluded from the PTO policy.</w:t>
      </w:r>
      <w:r>
        <w:rPr>
          <w:rFonts w:ascii="Arial" w:hAnsi="Arial" w:cs="Arial"/>
          <w:sz w:val="24"/>
          <w:szCs w:val="24"/>
        </w:rPr>
        <w:t xml:space="preserve">  </w:t>
      </w:r>
      <w:r w:rsidR="00856AE7">
        <w:rPr>
          <w:rFonts w:ascii="Arial" w:hAnsi="Arial" w:cs="Arial"/>
          <w:sz w:val="24"/>
          <w:szCs w:val="24"/>
        </w:rPr>
        <w:t>As a result</w:t>
      </w:r>
      <w:r>
        <w:rPr>
          <w:rFonts w:ascii="Arial" w:hAnsi="Arial" w:cs="Arial"/>
          <w:sz w:val="24"/>
          <w:szCs w:val="24"/>
        </w:rPr>
        <w:t xml:space="preserve">, </w:t>
      </w:r>
      <w:r w:rsidRPr="000678F6">
        <w:rPr>
          <w:rFonts w:ascii="Arial" w:hAnsi="Arial" w:cs="Arial"/>
          <w:sz w:val="24"/>
          <w:szCs w:val="24"/>
        </w:rPr>
        <w:t xml:space="preserve">a </w:t>
      </w:r>
      <w:r>
        <w:rPr>
          <w:rFonts w:ascii="Arial" w:hAnsi="Arial" w:cs="Arial"/>
          <w:sz w:val="24"/>
          <w:szCs w:val="24"/>
        </w:rPr>
        <w:t xml:space="preserve">true </w:t>
      </w:r>
      <w:r w:rsidRPr="000678F6">
        <w:rPr>
          <w:rFonts w:ascii="Arial" w:hAnsi="Arial" w:cs="Arial"/>
          <w:sz w:val="24"/>
          <w:szCs w:val="24"/>
        </w:rPr>
        <w:t>comparison</w:t>
      </w:r>
      <w:r>
        <w:rPr>
          <w:rFonts w:ascii="Arial" w:hAnsi="Arial" w:cs="Arial"/>
          <w:sz w:val="24"/>
          <w:szCs w:val="24"/>
        </w:rPr>
        <w:t xml:space="preserve"> between time periods (pre- and post-management audit) need to be assessed accordingly.  </w:t>
      </w:r>
      <w:r w:rsidR="0000585F">
        <w:rPr>
          <w:rFonts w:ascii="Arial" w:hAnsi="Arial" w:cs="Arial"/>
          <w:sz w:val="24"/>
          <w:szCs w:val="24"/>
        </w:rPr>
        <w:t>To account for this change, t</w:t>
      </w:r>
      <w:r w:rsidR="00856AE7">
        <w:rPr>
          <w:rFonts w:ascii="Arial" w:hAnsi="Arial" w:cs="Arial"/>
          <w:sz w:val="24"/>
          <w:szCs w:val="24"/>
        </w:rPr>
        <w:t xml:space="preserve">he absentee metrics were temporarily discontinued in 2016 for review purposes and </w:t>
      </w:r>
      <w:r w:rsidR="0000585F">
        <w:rPr>
          <w:rFonts w:ascii="Arial" w:hAnsi="Arial" w:cs="Arial"/>
          <w:sz w:val="24"/>
          <w:szCs w:val="24"/>
        </w:rPr>
        <w:t xml:space="preserve">the 2017 </w:t>
      </w:r>
      <w:r w:rsidR="00856AE7">
        <w:rPr>
          <w:rFonts w:ascii="Arial" w:hAnsi="Arial" w:cs="Arial"/>
          <w:sz w:val="24"/>
          <w:szCs w:val="24"/>
        </w:rPr>
        <w:t>g</w:t>
      </w:r>
      <w:r>
        <w:rPr>
          <w:rFonts w:ascii="Arial" w:hAnsi="Arial" w:cs="Arial"/>
          <w:sz w:val="24"/>
          <w:szCs w:val="24"/>
        </w:rPr>
        <w:t>oals were adjusted.  The 2017 goals (hours per year per employee) for Met-Ed, Penelec, Penn Power, and West Penn Power were 51.6, 40</w:t>
      </w:r>
      <w:r w:rsidR="00227A58">
        <w:rPr>
          <w:rFonts w:ascii="Arial" w:hAnsi="Arial" w:cs="Arial"/>
          <w:sz w:val="24"/>
          <w:szCs w:val="24"/>
        </w:rPr>
        <w:t>.0</w:t>
      </w:r>
      <w:r>
        <w:rPr>
          <w:rFonts w:ascii="Arial" w:hAnsi="Arial" w:cs="Arial"/>
          <w:sz w:val="24"/>
          <w:szCs w:val="24"/>
        </w:rPr>
        <w:t>, 38.2, and 42.4, respectively.</w:t>
      </w:r>
      <w:r w:rsidR="0000585F">
        <w:rPr>
          <w:rFonts w:ascii="Arial" w:hAnsi="Arial" w:cs="Arial"/>
          <w:sz w:val="24"/>
          <w:szCs w:val="24"/>
        </w:rPr>
        <w:t xml:space="preserve">  These goals are different from the goals reviewed during the</w:t>
      </w:r>
      <w:r w:rsidR="00227A58">
        <w:rPr>
          <w:rFonts w:ascii="Arial" w:hAnsi="Arial" w:cs="Arial"/>
          <w:sz w:val="24"/>
          <w:szCs w:val="24"/>
        </w:rPr>
        <w:t xml:space="preserve"> management audit and subsequent years (from 2013 up to the 2016 discontinuation).  The previous absenteeism goals for Met-Ed, Penelec, Penn Power, and West Penn Power are 41.5, 42.0, 38.5, and 50.8 respectively.  Goals were modified based on the PTO/STD changes, each company’s performance, and achievability and were specific to each company.</w:t>
      </w:r>
    </w:p>
    <w:p w14:paraId="6E6CAB44" w14:textId="77777777" w:rsidR="00C93C49" w:rsidRDefault="00C93C49" w:rsidP="00C93C49">
      <w:pPr>
        <w:spacing w:after="0" w:line="240" w:lineRule="auto"/>
        <w:ind w:firstLine="720"/>
        <w:rPr>
          <w:rFonts w:ascii="Arial" w:hAnsi="Arial" w:cs="Arial"/>
          <w:sz w:val="24"/>
          <w:szCs w:val="24"/>
        </w:rPr>
      </w:pPr>
    </w:p>
    <w:p w14:paraId="59F338C0" w14:textId="77777777" w:rsidR="00C93C49" w:rsidRDefault="00C93C49" w:rsidP="00C93C49">
      <w:pPr>
        <w:spacing w:after="0" w:line="240" w:lineRule="auto"/>
        <w:ind w:firstLine="720"/>
        <w:rPr>
          <w:rFonts w:ascii="Arial" w:hAnsi="Arial" w:cs="Arial"/>
          <w:sz w:val="24"/>
          <w:szCs w:val="24"/>
        </w:rPr>
      </w:pPr>
      <w:r w:rsidRPr="009C25C4">
        <w:rPr>
          <w:rFonts w:ascii="Arial" w:hAnsi="Arial" w:cs="Arial"/>
          <w:sz w:val="24"/>
          <w:szCs w:val="24"/>
        </w:rPr>
        <w:t xml:space="preserve">To address the absenteeism issue </w:t>
      </w:r>
      <w:r>
        <w:rPr>
          <w:rFonts w:ascii="Arial" w:hAnsi="Arial" w:cs="Arial"/>
          <w:sz w:val="24"/>
          <w:szCs w:val="24"/>
        </w:rPr>
        <w:t>subsequent to</w:t>
      </w:r>
      <w:r w:rsidRPr="009C25C4">
        <w:rPr>
          <w:rFonts w:ascii="Arial" w:hAnsi="Arial" w:cs="Arial"/>
          <w:sz w:val="24"/>
          <w:szCs w:val="24"/>
        </w:rPr>
        <w:t xml:space="preserve"> the management audit, the </w:t>
      </w:r>
      <w:r w:rsidR="00DC3D9B">
        <w:rPr>
          <w:rFonts w:ascii="Arial" w:hAnsi="Arial" w:cs="Arial"/>
          <w:sz w:val="24"/>
          <w:szCs w:val="24"/>
        </w:rPr>
        <w:t>FE</w:t>
      </w:r>
      <w:r w:rsidR="00BF1E2D">
        <w:rPr>
          <w:rFonts w:ascii="Arial" w:hAnsi="Arial" w:cs="Arial"/>
          <w:sz w:val="24"/>
          <w:szCs w:val="24"/>
        </w:rPr>
        <w:noBreakHyphen/>
      </w:r>
      <w:r w:rsidR="00DC3D9B">
        <w:rPr>
          <w:rFonts w:ascii="Arial" w:hAnsi="Arial" w:cs="Arial"/>
          <w:sz w:val="24"/>
          <w:szCs w:val="24"/>
        </w:rPr>
        <w:t>PA companies</w:t>
      </w:r>
      <w:r w:rsidRPr="009C25C4">
        <w:rPr>
          <w:rFonts w:ascii="Arial" w:hAnsi="Arial" w:cs="Arial"/>
          <w:sz w:val="24"/>
          <w:szCs w:val="24"/>
        </w:rPr>
        <w:t xml:space="preserve"> have been monitoring employee absences (short and long</w:t>
      </w:r>
      <w:r w:rsidR="00FC4A5D">
        <w:rPr>
          <w:rFonts w:ascii="Arial" w:hAnsi="Arial" w:cs="Arial"/>
          <w:sz w:val="24"/>
          <w:szCs w:val="24"/>
        </w:rPr>
        <w:t>-</w:t>
      </w:r>
      <w:r w:rsidRPr="009C25C4">
        <w:rPr>
          <w:rFonts w:ascii="Arial" w:hAnsi="Arial" w:cs="Arial"/>
          <w:sz w:val="24"/>
          <w:szCs w:val="24"/>
        </w:rPr>
        <w:t xml:space="preserve">term) </w:t>
      </w:r>
      <w:r>
        <w:rPr>
          <w:rFonts w:ascii="Arial" w:hAnsi="Arial" w:cs="Arial"/>
          <w:sz w:val="24"/>
          <w:szCs w:val="24"/>
        </w:rPr>
        <w:t xml:space="preserve">and </w:t>
      </w:r>
      <w:r w:rsidRPr="009C25C4">
        <w:rPr>
          <w:rFonts w:ascii="Arial" w:hAnsi="Arial" w:cs="Arial"/>
          <w:sz w:val="24"/>
          <w:szCs w:val="24"/>
        </w:rPr>
        <w:t>i</w:t>
      </w:r>
      <w:r>
        <w:rPr>
          <w:rFonts w:ascii="Arial" w:hAnsi="Arial" w:cs="Arial"/>
          <w:sz w:val="24"/>
          <w:szCs w:val="24"/>
        </w:rPr>
        <w:t xml:space="preserve">mplemented </w:t>
      </w:r>
      <w:r w:rsidRPr="009C25C4">
        <w:rPr>
          <w:rFonts w:ascii="Arial" w:hAnsi="Arial" w:cs="Arial"/>
          <w:sz w:val="24"/>
          <w:szCs w:val="24"/>
        </w:rPr>
        <w:t xml:space="preserve">a daily absence report, a healthy incentive program, and </w:t>
      </w:r>
      <w:r w:rsidR="00FC4A5D">
        <w:rPr>
          <w:rFonts w:ascii="Arial" w:hAnsi="Arial" w:cs="Arial"/>
          <w:sz w:val="24"/>
          <w:szCs w:val="24"/>
        </w:rPr>
        <w:t xml:space="preserve">the </w:t>
      </w:r>
      <w:r w:rsidRPr="009C25C4">
        <w:rPr>
          <w:rFonts w:ascii="Arial" w:hAnsi="Arial" w:cs="Arial"/>
          <w:sz w:val="24"/>
          <w:szCs w:val="24"/>
        </w:rPr>
        <w:t>us</w:t>
      </w:r>
      <w:r>
        <w:rPr>
          <w:rFonts w:ascii="Arial" w:hAnsi="Arial" w:cs="Arial"/>
          <w:sz w:val="24"/>
          <w:szCs w:val="24"/>
        </w:rPr>
        <w:t>e of</w:t>
      </w:r>
      <w:r w:rsidRPr="009C25C4">
        <w:rPr>
          <w:rFonts w:ascii="Arial" w:hAnsi="Arial" w:cs="Arial"/>
          <w:sz w:val="24"/>
          <w:szCs w:val="24"/>
        </w:rPr>
        <w:t xml:space="preserve"> a third</w:t>
      </w:r>
      <w:r>
        <w:rPr>
          <w:rFonts w:ascii="Arial" w:hAnsi="Arial" w:cs="Arial"/>
          <w:sz w:val="24"/>
          <w:szCs w:val="24"/>
        </w:rPr>
        <w:noBreakHyphen/>
      </w:r>
      <w:r w:rsidRPr="009C25C4">
        <w:rPr>
          <w:rFonts w:ascii="Arial" w:hAnsi="Arial" w:cs="Arial"/>
          <w:sz w:val="24"/>
          <w:szCs w:val="24"/>
        </w:rPr>
        <w:t xml:space="preserve">party for medical case management.  </w:t>
      </w:r>
      <w:r>
        <w:rPr>
          <w:rFonts w:ascii="Arial" w:hAnsi="Arial" w:cs="Arial"/>
          <w:sz w:val="24"/>
          <w:szCs w:val="24"/>
        </w:rPr>
        <w:t xml:space="preserve">Additionally, supervisors </w:t>
      </w:r>
      <w:r w:rsidR="00FC4A5D">
        <w:rPr>
          <w:rFonts w:ascii="Arial" w:hAnsi="Arial" w:cs="Arial"/>
          <w:sz w:val="24"/>
          <w:szCs w:val="24"/>
        </w:rPr>
        <w:t xml:space="preserve">now </w:t>
      </w:r>
      <w:r>
        <w:rPr>
          <w:rFonts w:ascii="Arial" w:hAnsi="Arial" w:cs="Arial"/>
          <w:sz w:val="24"/>
          <w:szCs w:val="24"/>
        </w:rPr>
        <w:t>have the discretion to meet with employees regarding absence levels to provide counseling or address specific considerations.  FirstEnergy briefly introduced</w:t>
      </w:r>
      <w:r w:rsidRPr="009C25C4">
        <w:rPr>
          <w:rFonts w:ascii="Arial" w:hAnsi="Arial" w:cs="Arial"/>
          <w:sz w:val="24"/>
          <w:szCs w:val="24"/>
        </w:rPr>
        <w:t xml:space="preserve"> an incentive program to reduce absences</w:t>
      </w:r>
      <w:r>
        <w:rPr>
          <w:rFonts w:ascii="Arial" w:hAnsi="Arial" w:cs="Arial"/>
          <w:sz w:val="24"/>
          <w:szCs w:val="24"/>
        </w:rPr>
        <w:t>,</w:t>
      </w:r>
      <w:r w:rsidRPr="009C25C4">
        <w:rPr>
          <w:rFonts w:ascii="Arial" w:hAnsi="Arial" w:cs="Arial"/>
          <w:sz w:val="24"/>
          <w:szCs w:val="24"/>
        </w:rPr>
        <w:t xml:space="preserve"> but this was </w:t>
      </w:r>
      <w:r>
        <w:rPr>
          <w:rFonts w:ascii="Arial" w:hAnsi="Arial" w:cs="Arial"/>
          <w:sz w:val="24"/>
          <w:szCs w:val="24"/>
        </w:rPr>
        <w:t>discontinued</w:t>
      </w:r>
      <w:r w:rsidRPr="009C25C4">
        <w:rPr>
          <w:rFonts w:ascii="Arial" w:hAnsi="Arial" w:cs="Arial"/>
          <w:sz w:val="24"/>
          <w:szCs w:val="24"/>
        </w:rPr>
        <w:t xml:space="preserve"> </w:t>
      </w:r>
      <w:r>
        <w:rPr>
          <w:rFonts w:ascii="Arial" w:hAnsi="Arial" w:cs="Arial"/>
          <w:sz w:val="24"/>
          <w:szCs w:val="24"/>
        </w:rPr>
        <w:t>due to a dispute regarding</w:t>
      </w:r>
      <w:r w:rsidRPr="009C25C4">
        <w:rPr>
          <w:rFonts w:ascii="Arial" w:hAnsi="Arial" w:cs="Arial"/>
          <w:sz w:val="24"/>
          <w:szCs w:val="24"/>
        </w:rPr>
        <w:t xml:space="preserve"> the OSHA Act of 1970</w:t>
      </w:r>
      <w:r>
        <w:rPr>
          <w:rFonts w:ascii="Arial" w:hAnsi="Arial" w:cs="Arial"/>
          <w:sz w:val="24"/>
          <w:szCs w:val="24"/>
        </w:rPr>
        <w:t xml:space="preserve"> (which involves</w:t>
      </w:r>
      <w:r w:rsidRPr="009C25C4">
        <w:rPr>
          <w:rFonts w:ascii="Arial" w:hAnsi="Arial" w:cs="Arial"/>
          <w:sz w:val="24"/>
          <w:szCs w:val="24"/>
        </w:rPr>
        <w:t xml:space="preserve"> a variety of </w:t>
      </w:r>
      <w:r>
        <w:rPr>
          <w:rFonts w:ascii="Arial" w:hAnsi="Arial" w:cs="Arial"/>
          <w:sz w:val="24"/>
          <w:szCs w:val="24"/>
        </w:rPr>
        <w:t xml:space="preserve">employee rights, </w:t>
      </w:r>
      <w:r w:rsidRPr="009C25C4">
        <w:rPr>
          <w:rFonts w:ascii="Arial" w:hAnsi="Arial" w:cs="Arial"/>
          <w:sz w:val="24"/>
          <w:szCs w:val="24"/>
        </w:rPr>
        <w:t xml:space="preserve">specifically sick days in this case).  </w:t>
      </w:r>
      <w:r w:rsidR="00227A58">
        <w:rPr>
          <w:rFonts w:ascii="Arial" w:hAnsi="Arial" w:cs="Arial"/>
          <w:sz w:val="24"/>
          <w:szCs w:val="24"/>
        </w:rPr>
        <w:t xml:space="preserve">As a result, </w:t>
      </w:r>
      <w:r w:rsidRPr="009C25C4">
        <w:rPr>
          <w:rFonts w:ascii="Arial" w:hAnsi="Arial" w:cs="Arial"/>
          <w:sz w:val="24"/>
          <w:szCs w:val="24"/>
        </w:rPr>
        <w:t xml:space="preserve">the </w:t>
      </w:r>
      <w:r w:rsidR="00DC3D9B">
        <w:rPr>
          <w:rFonts w:ascii="Arial" w:hAnsi="Arial" w:cs="Arial"/>
          <w:sz w:val="24"/>
          <w:szCs w:val="24"/>
        </w:rPr>
        <w:t>FE-PA companies</w:t>
      </w:r>
      <w:r w:rsidRPr="009C25C4">
        <w:rPr>
          <w:rFonts w:ascii="Arial" w:hAnsi="Arial" w:cs="Arial"/>
          <w:sz w:val="24"/>
          <w:szCs w:val="24"/>
        </w:rPr>
        <w:t xml:space="preserve"> </w:t>
      </w:r>
      <w:r>
        <w:rPr>
          <w:rFonts w:ascii="Arial" w:hAnsi="Arial" w:cs="Arial"/>
          <w:sz w:val="24"/>
          <w:szCs w:val="24"/>
        </w:rPr>
        <w:t>eliminated this</w:t>
      </w:r>
      <w:r w:rsidRPr="009C25C4">
        <w:rPr>
          <w:rFonts w:ascii="Arial" w:hAnsi="Arial" w:cs="Arial"/>
          <w:sz w:val="24"/>
          <w:szCs w:val="24"/>
        </w:rPr>
        <w:t xml:space="preserve"> in</w:t>
      </w:r>
      <w:r>
        <w:rPr>
          <w:rFonts w:ascii="Arial" w:hAnsi="Arial" w:cs="Arial"/>
          <w:sz w:val="24"/>
          <w:szCs w:val="24"/>
        </w:rPr>
        <w:t>centive and recognition program.</w:t>
      </w:r>
    </w:p>
    <w:p w14:paraId="62D51110" w14:textId="77777777" w:rsidR="00C93C49" w:rsidRDefault="00C93C49" w:rsidP="00C93C49">
      <w:pPr>
        <w:spacing w:after="0" w:line="240" w:lineRule="auto"/>
        <w:ind w:firstLine="720"/>
        <w:rPr>
          <w:rFonts w:ascii="Arial" w:hAnsi="Arial" w:cs="Arial"/>
          <w:sz w:val="24"/>
          <w:szCs w:val="24"/>
        </w:rPr>
      </w:pPr>
    </w:p>
    <w:p w14:paraId="22FC818F" w14:textId="77777777" w:rsidR="00C93C49" w:rsidRDefault="00C93C49" w:rsidP="00C93C49">
      <w:pPr>
        <w:spacing w:after="0" w:line="240" w:lineRule="auto"/>
        <w:ind w:firstLine="720"/>
        <w:rPr>
          <w:rFonts w:ascii="Arial" w:hAnsi="Arial" w:cs="Arial"/>
          <w:sz w:val="24"/>
          <w:szCs w:val="24"/>
        </w:rPr>
      </w:pPr>
      <w:r w:rsidRPr="009C25C4">
        <w:rPr>
          <w:rFonts w:ascii="Arial" w:hAnsi="Arial" w:cs="Arial"/>
          <w:sz w:val="24"/>
          <w:szCs w:val="24"/>
        </w:rPr>
        <w:t>The auditor</w:t>
      </w:r>
      <w:r>
        <w:rPr>
          <w:rFonts w:ascii="Arial" w:hAnsi="Arial" w:cs="Arial"/>
          <w:sz w:val="24"/>
          <w:szCs w:val="24"/>
        </w:rPr>
        <w:t>s</w:t>
      </w:r>
      <w:r w:rsidRPr="009C25C4">
        <w:rPr>
          <w:rFonts w:ascii="Arial" w:hAnsi="Arial" w:cs="Arial"/>
          <w:sz w:val="24"/>
          <w:szCs w:val="24"/>
        </w:rPr>
        <w:t xml:space="preserve"> evaluated the </w:t>
      </w:r>
      <w:r>
        <w:rPr>
          <w:rFonts w:ascii="Arial" w:hAnsi="Arial" w:cs="Arial"/>
          <w:sz w:val="24"/>
          <w:szCs w:val="24"/>
        </w:rPr>
        <w:t xml:space="preserve">absenteeism performance in periods prior and post </w:t>
      </w:r>
      <w:r w:rsidRPr="009C25C4">
        <w:rPr>
          <w:rFonts w:ascii="Arial" w:hAnsi="Arial" w:cs="Arial"/>
          <w:sz w:val="24"/>
          <w:szCs w:val="24"/>
        </w:rPr>
        <w:t xml:space="preserve">management audit to determine if the changes implemented by the </w:t>
      </w:r>
      <w:r w:rsidR="00DC3D9B">
        <w:rPr>
          <w:rFonts w:ascii="Arial" w:hAnsi="Arial" w:cs="Arial"/>
          <w:sz w:val="24"/>
          <w:szCs w:val="24"/>
        </w:rPr>
        <w:t>FE-PA companies</w:t>
      </w:r>
      <w:r w:rsidRPr="009C25C4">
        <w:rPr>
          <w:rFonts w:ascii="Arial" w:hAnsi="Arial" w:cs="Arial"/>
          <w:sz w:val="24"/>
          <w:szCs w:val="24"/>
        </w:rPr>
        <w:t xml:space="preserve"> produced positive results.  Even </w:t>
      </w:r>
      <w:r>
        <w:rPr>
          <w:rFonts w:ascii="Arial" w:hAnsi="Arial" w:cs="Arial"/>
          <w:sz w:val="24"/>
          <w:szCs w:val="24"/>
        </w:rPr>
        <w:t>accounting for</w:t>
      </w:r>
      <w:r w:rsidRPr="009C25C4">
        <w:rPr>
          <w:rFonts w:ascii="Arial" w:hAnsi="Arial" w:cs="Arial"/>
          <w:sz w:val="24"/>
          <w:szCs w:val="24"/>
        </w:rPr>
        <w:t xml:space="preserve"> the new PTO policy </w:t>
      </w:r>
      <w:r>
        <w:rPr>
          <w:rFonts w:ascii="Arial" w:hAnsi="Arial" w:cs="Arial"/>
          <w:sz w:val="24"/>
          <w:szCs w:val="24"/>
        </w:rPr>
        <w:t xml:space="preserve">which </w:t>
      </w:r>
      <w:r w:rsidRPr="009C25C4">
        <w:rPr>
          <w:rFonts w:ascii="Arial" w:hAnsi="Arial" w:cs="Arial"/>
          <w:sz w:val="24"/>
          <w:szCs w:val="24"/>
        </w:rPr>
        <w:t>significantly reduc</w:t>
      </w:r>
      <w:r>
        <w:rPr>
          <w:rFonts w:ascii="Arial" w:hAnsi="Arial" w:cs="Arial"/>
          <w:sz w:val="24"/>
          <w:szCs w:val="24"/>
        </w:rPr>
        <w:t>ed</w:t>
      </w:r>
      <w:r w:rsidRPr="009C25C4">
        <w:rPr>
          <w:rFonts w:ascii="Arial" w:hAnsi="Arial" w:cs="Arial"/>
          <w:sz w:val="24"/>
          <w:szCs w:val="24"/>
        </w:rPr>
        <w:t xml:space="preserve"> the absenteeism </w:t>
      </w:r>
      <w:r>
        <w:rPr>
          <w:rFonts w:ascii="Arial" w:hAnsi="Arial" w:cs="Arial"/>
          <w:sz w:val="24"/>
          <w:szCs w:val="24"/>
        </w:rPr>
        <w:t>levels</w:t>
      </w:r>
      <w:r w:rsidRPr="009C25C4">
        <w:rPr>
          <w:rFonts w:ascii="Arial" w:hAnsi="Arial" w:cs="Arial"/>
          <w:sz w:val="24"/>
          <w:szCs w:val="24"/>
        </w:rPr>
        <w:t xml:space="preserve"> for the non-ba</w:t>
      </w:r>
      <w:r>
        <w:rPr>
          <w:rFonts w:ascii="Arial" w:hAnsi="Arial" w:cs="Arial"/>
          <w:sz w:val="24"/>
          <w:szCs w:val="24"/>
        </w:rPr>
        <w:t xml:space="preserve">rgaining unit, three of the </w:t>
      </w:r>
      <w:r w:rsidR="00DC3D9B">
        <w:rPr>
          <w:rFonts w:ascii="Arial" w:hAnsi="Arial" w:cs="Arial"/>
          <w:sz w:val="24"/>
          <w:szCs w:val="24"/>
        </w:rPr>
        <w:t>companies</w:t>
      </w:r>
      <w:r w:rsidR="00FC4A5D">
        <w:rPr>
          <w:rFonts w:ascii="Arial" w:hAnsi="Arial" w:cs="Arial"/>
          <w:sz w:val="24"/>
          <w:szCs w:val="24"/>
        </w:rPr>
        <w:t>’</w:t>
      </w:r>
      <w:r w:rsidRPr="009C25C4">
        <w:rPr>
          <w:rFonts w:ascii="Arial" w:hAnsi="Arial" w:cs="Arial"/>
          <w:sz w:val="24"/>
          <w:szCs w:val="24"/>
        </w:rPr>
        <w:t xml:space="preserve"> absentee</w:t>
      </w:r>
      <w:r>
        <w:rPr>
          <w:rFonts w:ascii="Arial" w:hAnsi="Arial" w:cs="Arial"/>
          <w:sz w:val="24"/>
          <w:szCs w:val="24"/>
        </w:rPr>
        <w:t>ism performance</w:t>
      </w:r>
      <w:r w:rsidRPr="009C25C4">
        <w:rPr>
          <w:rFonts w:ascii="Arial" w:hAnsi="Arial" w:cs="Arial"/>
          <w:sz w:val="24"/>
          <w:szCs w:val="24"/>
        </w:rPr>
        <w:t xml:space="preserve"> </w:t>
      </w:r>
      <w:r w:rsidR="00FC4A5D">
        <w:rPr>
          <w:rFonts w:ascii="Arial" w:hAnsi="Arial" w:cs="Arial"/>
          <w:sz w:val="24"/>
          <w:szCs w:val="24"/>
        </w:rPr>
        <w:t>worsened</w:t>
      </w:r>
      <w:r w:rsidRPr="009C25C4">
        <w:rPr>
          <w:rFonts w:ascii="Arial" w:hAnsi="Arial" w:cs="Arial"/>
          <w:sz w:val="24"/>
          <w:szCs w:val="24"/>
        </w:rPr>
        <w:t xml:space="preserve">.  Only West Penn Power met </w:t>
      </w:r>
      <w:r w:rsidR="00FC4A5D">
        <w:rPr>
          <w:rFonts w:ascii="Arial" w:hAnsi="Arial" w:cs="Arial"/>
          <w:sz w:val="24"/>
          <w:szCs w:val="24"/>
        </w:rPr>
        <w:t>its</w:t>
      </w:r>
      <w:r w:rsidR="00FC4A5D" w:rsidRPr="009C25C4">
        <w:rPr>
          <w:rFonts w:ascii="Arial" w:hAnsi="Arial" w:cs="Arial"/>
          <w:sz w:val="24"/>
          <w:szCs w:val="24"/>
        </w:rPr>
        <w:t xml:space="preserve"> </w:t>
      </w:r>
      <w:r w:rsidRPr="009C25C4">
        <w:rPr>
          <w:rFonts w:ascii="Arial" w:hAnsi="Arial" w:cs="Arial"/>
          <w:sz w:val="24"/>
          <w:szCs w:val="24"/>
        </w:rPr>
        <w:t xml:space="preserve">2017 goals for absenteeism (note that each </w:t>
      </w:r>
      <w:r>
        <w:rPr>
          <w:rFonts w:ascii="Arial" w:hAnsi="Arial" w:cs="Arial"/>
          <w:sz w:val="24"/>
          <w:szCs w:val="24"/>
        </w:rPr>
        <w:t xml:space="preserve">of the </w:t>
      </w:r>
      <w:r w:rsidR="00DC3D9B">
        <w:rPr>
          <w:rFonts w:ascii="Arial" w:hAnsi="Arial" w:cs="Arial"/>
          <w:sz w:val="24"/>
          <w:szCs w:val="24"/>
        </w:rPr>
        <w:t>companies</w:t>
      </w:r>
      <w:r w:rsidRPr="009C25C4">
        <w:rPr>
          <w:rFonts w:ascii="Arial" w:hAnsi="Arial" w:cs="Arial"/>
          <w:sz w:val="24"/>
          <w:szCs w:val="24"/>
        </w:rPr>
        <w:t xml:space="preserve"> has different </w:t>
      </w:r>
      <w:r>
        <w:rPr>
          <w:rFonts w:ascii="Arial" w:hAnsi="Arial" w:cs="Arial"/>
          <w:sz w:val="24"/>
          <w:szCs w:val="24"/>
        </w:rPr>
        <w:t xml:space="preserve">annual </w:t>
      </w:r>
      <w:r w:rsidRPr="009C25C4">
        <w:rPr>
          <w:rFonts w:ascii="Arial" w:hAnsi="Arial" w:cs="Arial"/>
          <w:sz w:val="24"/>
          <w:szCs w:val="24"/>
        </w:rPr>
        <w:t>goal</w:t>
      </w:r>
      <w:r>
        <w:rPr>
          <w:rFonts w:ascii="Arial" w:hAnsi="Arial" w:cs="Arial"/>
          <w:sz w:val="24"/>
          <w:szCs w:val="24"/>
        </w:rPr>
        <w:t>s</w:t>
      </w:r>
      <w:r w:rsidRPr="009C25C4">
        <w:rPr>
          <w:rFonts w:ascii="Arial" w:hAnsi="Arial" w:cs="Arial"/>
          <w:sz w:val="24"/>
          <w:szCs w:val="24"/>
        </w:rPr>
        <w:t xml:space="preserve"> which are based on </w:t>
      </w:r>
      <w:r>
        <w:rPr>
          <w:rFonts w:ascii="Arial" w:hAnsi="Arial" w:cs="Arial"/>
          <w:sz w:val="24"/>
          <w:szCs w:val="24"/>
        </w:rPr>
        <w:t xml:space="preserve">its specific </w:t>
      </w:r>
      <w:r w:rsidRPr="009C25C4">
        <w:rPr>
          <w:rFonts w:ascii="Arial" w:hAnsi="Arial" w:cs="Arial"/>
          <w:sz w:val="24"/>
          <w:szCs w:val="24"/>
        </w:rPr>
        <w:t>hist</w:t>
      </w:r>
      <w:r>
        <w:rPr>
          <w:rFonts w:ascii="Arial" w:hAnsi="Arial" w:cs="Arial"/>
          <w:sz w:val="24"/>
          <w:szCs w:val="24"/>
        </w:rPr>
        <w:t xml:space="preserve">ory).  The absence rates </w:t>
      </w:r>
      <w:r w:rsidR="003423E6">
        <w:rPr>
          <w:rFonts w:ascii="Arial" w:hAnsi="Arial" w:cs="Arial"/>
          <w:sz w:val="24"/>
          <w:szCs w:val="24"/>
        </w:rPr>
        <w:t xml:space="preserve">for each of the companies </w:t>
      </w:r>
      <w:r>
        <w:rPr>
          <w:rFonts w:ascii="Arial" w:hAnsi="Arial" w:cs="Arial"/>
          <w:sz w:val="24"/>
          <w:szCs w:val="24"/>
        </w:rPr>
        <w:t>are detailed in Exhibit XI-6, XI-7, XI-8, and XI-9 (separate bargaining and non-bargaining rates were not available before 2012).</w:t>
      </w:r>
    </w:p>
    <w:p w14:paraId="4C031042" w14:textId="77777777" w:rsidR="00C93C49" w:rsidRDefault="00C93C49" w:rsidP="00C93C49">
      <w:pPr>
        <w:spacing w:after="0" w:line="240" w:lineRule="auto"/>
        <w:rPr>
          <w:rFonts w:ascii="Arial" w:hAnsi="Arial" w:cs="Arial"/>
          <w:sz w:val="24"/>
          <w:szCs w:val="24"/>
        </w:rPr>
      </w:pPr>
    </w:p>
    <w:p w14:paraId="2C938E7E" w14:textId="77777777" w:rsidR="00C93C49" w:rsidRDefault="00C93C49" w:rsidP="00C93C49">
      <w:pPr>
        <w:spacing w:after="0" w:line="240" w:lineRule="auto"/>
        <w:rPr>
          <w:rFonts w:ascii="Arial" w:hAnsi="Arial" w:cs="Arial"/>
          <w:sz w:val="24"/>
          <w:szCs w:val="24"/>
        </w:rPr>
      </w:pPr>
    </w:p>
    <w:p w14:paraId="33CE3B6F" w14:textId="77777777" w:rsidR="00C93C49" w:rsidRPr="007116D1" w:rsidRDefault="00C93C49" w:rsidP="00C93C49">
      <w:pPr>
        <w:widowControl w:val="0"/>
        <w:spacing w:after="0" w:line="240" w:lineRule="auto"/>
        <w:jc w:val="center"/>
        <w:rPr>
          <w:rFonts w:ascii="Arial" w:hAnsi="Arial" w:cs="Arial"/>
          <w:b/>
          <w:sz w:val="24"/>
          <w:szCs w:val="24"/>
        </w:rPr>
      </w:pPr>
      <w:bookmarkStart w:id="44" w:name="_Hlk511890196"/>
      <w:r>
        <w:rPr>
          <w:rFonts w:ascii="Arial" w:hAnsi="Arial" w:cs="Arial"/>
          <w:b/>
          <w:sz w:val="24"/>
          <w:szCs w:val="24"/>
        </w:rPr>
        <w:t>Exhibit XI – 6</w:t>
      </w:r>
    </w:p>
    <w:p w14:paraId="09CAEBFE" w14:textId="77777777" w:rsidR="00C93C49" w:rsidRPr="007116D1" w:rsidRDefault="00C93C49" w:rsidP="00C93C49">
      <w:pPr>
        <w:widowControl w:val="0"/>
        <w:spacing w:after="0" w:line="240" w:lineRule="auto"/>
        <w:jc w:val="center"/>
        <w:rPr>
          <w:rFonts w:ascii="Arial" w:hAnsi="Arial" w:cs="Arial"/>
          <w:b/>
          <w:sz w:val="24"/>
          <w:szCs w:val="24"/>
        </w:rPr>
      </w:pPr>
      <w:r>
        <w:rPr>
          <w:rFonts w:ascii="Arial" w:hAnsi="Arial" w:cs="Arial"/>
          <w:b/>
          <w:sz w:val="24"/>
          <w:szCs w:val="24"/>
        </w:rPr>
        <w:t>Metropolitan Edison Company</w:t>
      </w:r>
    </w:p>
    <w:p w14:paraId="48CC1A82" w14:textId="77777777" w:rsidR="00C93C49" w:rsidRPr="007116D1" w:rsidRDefault="00C93C49" w:rsidP="00C93C49">
      <w:pPr>
        <w:widowControl w:val="0"/>
        <w:spacing w:after="0" w:line="240" w:lineRule="auto"/>
        <w:jc w:val="center"/>
        <w:rPr>
          <w:rFonts w:ascii="Arial" w:hAnsi="Arial" w:cs="Arial"/>
          <w:b/>
          <w:sz w:val="24"/>
          <w:szCs w:val="24"/>
        </w:rPr>
      </w:pPr>
      <w:r>
        <w:rPr>
          <w:rFonts w:ascii="Arial" w:hAnsi="Arial" w:cs="Arial"/>
          <w:b/>
          <w:sz w:val="24"/>
          <w:szCs w:val="24"/>
        </w:rPr>
        <w:t xml:space="preserve">Absenteeism Rates </w:t>
      </w:r>
    </w:p>
    <w:p w14:paraId="5921BFA5" w14:textId="77777777" w:rsidR="00C93C49" w:rsidRDefault="00C93C49" w:rsidP="00C93C49">
      <w:pPr>
        <w:spacing w:after="0" w:line="240" w:lineRule="auto"/>
        <w:contextualSpacing/>
        <w:jc w:val="center"/>
        <w:rPr>
          <w:rFonts w:ascii="Arial" w:hAnsi="Arial" w:cs="Arial"/>
          <w:sz w:val="24"/>
          <w:szCs w:val="24"/>
        </w:rPr>
      </w:pPr>
      <w:r>
        <w:rPr>
          <w:rFonts w:ascii="Arial" w:hAnsi="Arial" w:cs="Arial"/>
          <w:b/>
          <w:sz w:val="24"/>
          <w:szCs w:val="24"/>
        </w:rPr>
        <w:t>For the Years 2009 through 2017</w:t>
      </w:r>
    </w:p>
    <w:bookmarkEnd w:id="44"/>
    <w:p w14:paraId="7EC215A6" w14:textId="77777777" w:rsidR="00C93C49" w:rsidRPr="0030543D" w:rsidRDefault="00C93C49" w:rsidP="00C93C49">
      <w:pPr>
        <w:spacing w:after="0" w:line="240" w:lineRule="auto"/>
        <w:rPr>
          <w:rFonts w:ascii="Arial" w:hAnsi="Arial" w:cs="Arial"/>
          <w:sz w:val="8"/>
          <w:szCs w:val="8"/>
        </w:rPr>
      </w:pPr>
    </w:p>
    <w:bookmarkStart w:id="45" w:name="_MON_1585632344"/>
    <w:bookmarkEnd w:id="45"/>
    <w:p w14:paraId="76C5730B" w14:textId="77777777" w:rsidR="00C93C49" w:rsidRPr="00B2669C" w:rsidRDefault="00C93C49" w:rsidP="00C93C49">
      <w:pPr>
        <w:spacing w:after="0" w:line="240" w:lineRule="auto"/>
        <w:jc w:val="center"/>
        <w:rPr>
          <w:rFonts w:ascii="Arial" w:hAnsi="Arial" w:cs="Arial"/>
          <w:sz w:val="18"/>
          <w:szCs w:val="18"/>
        </w:rPr>
      </w:pPr>
      <w:r>
        <w:rPr>
          <w:rFonts w:ascii="Arial" w:hAnsi="Arial" w:cs="Arial"/>
          <w:sz w:val="24"/>
          <w:szCs w:val="24"/>
        </w:rPr>
        <w:object w:dxaOrig="11219" w:dyaOrig="3114" w14:anchorId="745E915C">
          <v:shape id="_x0000_i1036" type="#_x0000_t75" style="width:417.05pt;height:115.75pt" o:ole="" o:bordertopcolor="this" o:borderleftcolor="this" o:borderbottomcolor="this" o:borderrightcolor="this">
            <v:imagedata r:id="rId67" o:title=""/>
            <w10:bordertop type="single" width="4"/>
            <w10:borderleft type="single" width="4"/>
            <w10:borderbottom type="single" width="4"/>
            <w10:borderright type="single" width="4"/>
          </v:shape>
          <o:OLEObject Type="Embed" ProgID="Excel.Sheet.12" ShapeID="_x0000_i1036" DrawAspect="Content" ObjectID="_1599049586" r:id="rId68"/>
        </w:object>
      </w:r>
    </w:p>
    <w:p w14:paraId="0FDB6303" w14:textId="77777777" w:rsidR="00C93C49" w:rsidRPr="00B2669C" w:rsidRDefault="00C93C49" w:rsidP="00C93C49">
      <w:pPr>
        <w:tabs>
          <w:tab w:val="left" w:pos="8190"/>
        </w:tabs>
        <w:spacing w:after="0" w:line="240" w:lineRule="auto"/>
        <w:ind w:left="1800" w:right="720" w:hanging="1260"/>
        <w:rPr>
          <w:rFonts w:ascii="Arial" w:hAnsi="Arial" w:cs="Arial"/>
          <w:sz w:val="18"/>
          <w:szCs w:val="18"/>
        </w:rPr>
      </w:pPr>
      <w:r w:rsidRPr="00B2669C">
        <w:rPr>
          <w:rFonts w:ascii="Arial" w:hAnsi="Arial" w:cs="Arial"/>
          <w:sz w:val="18"/>
          <w:szCs w:val="18"/>
        </w:rPr>
        <w:t xml:space="preserve">Source: </w:t>
      </w:r>
      <w:r w:rsidR="00BF1E2D">
        <w:rPr>
          <w:rFonts w:ascii="Arial" w:hAnsi="Arial" w:cs="Arial"/>
          <w:sz w:val="18"/>
          <w:szCs w:val="18"/>
        </w:rPr>
        <w:t xml:space="preserve">2014 </w:t>
      </w:r>
      <w:r w:rsidRPr="00B2669C">
        <w:rPr>
          <w:rFonts w:ascii="Arial" w:hAnsi="Arial" w:cs="Arial"/>
          <w:sz w:val="18"/>
          <w:szCs w:val="18"/>
        </w:rPr>
        <w:t>Management Audit Exhibits XI-9, XI-10 and Data Requests HR-10 and HR-16</w:t>
      </w:r>
    </w:p>
    <w:p w14:paraId="6E7220DC" w14:textId="77777777" w:rsidR="00C93C49" w:rsidRDefault="00C93C49" w:rsidP="00C93C49">
      <w:pPr>
        <w:spacing w:after="0" w:line="240" w:lineRule="auto"/>
        <w:rPr>
          <w:rFonts w:ascii="Arial" w:hAnsi="Arial" w:cs="Arial"/>
          <w:b/>
          <w:sz w:val="24"/>
          <w:szCs w:val="24"/>
          <w:u w:val="single"/>
        </w:rPr>
      </w:pPr>
    </w:p>
    <w:p w14:paraId="2B638FA9" w14:textId="77777777" w:rsidR="00C93C49" w:rsidRPr="007116D1" w:rsidRDefault="00C93C49" w:rsidP="00C93C49">
      <w:pPr>
        <w:widowControl w:val="0"/>
        <w:spacing w:after="0" w:line="240" w:lineRule="auto"/>
        <w:jc w:val="center"/>
        <w:rPr>
          <w:rFonts w:ascii="Arial" w:hAnsi="Arial" w:cs="Arial"/>
          <w:b/>
          <w:sz w:val="24"/>
          <w:szCs w:val="24"/>
        </w:rPr>
      </w:pPr>
      <w:r>
        <w:rPr>
          <w:rFonts w:ascii="Arial" w:hAnsi="Arial" w:cs="Arial"/>
          <w:b/>
          <w:sz w:val="24"/>
          <w:szCs w:val="24"/>
        </w:rPr>
        <w:t>Exhibit XI – 7</w:t>
      </w:r>
    </w:p>
    <w:p w14:paraId="258B0410" w14:textId="77777777" w:rsidR="00C93C49" w:rsidRPr="007116D1" w:rsidRDefault="00C93C49" w:rsidP="00C93C49">
      <w:pPr>
        <w:widowControl w:val="0"/>
        <w:spacing w:after="0" w:line="240" w:lineRule="auto"/>
        <w:jc w:val="center"/>
        <w:rPr>
          <w:rFonts w:ascii="Arial" w:hAnsi="Arial" w:cs="Arial"/>
          <w:b/>
          <w:sz w:val="24"/>
          <w:szCs w:val="24"/>
        </w:rPr>
      </w:pPr>
      <w:r>
        <w:rPr>
          <w:rFonts w:ascii="Arial" w:hAnsi="Arial" w:cs="Arial"/>
          <w:b/>
          <w:sz w:val="24"/>
          <w:szCs w:val="24"/>
        </w:rPr>
        <w:t>Pennsylvania Electric Company</w:t>
      </w:r>
      <w:r w:rsidRPr="007116D1">
        <w:rPr>
          <w:rFonts w:ascii="Arial" w:hAnsi="Arial" w:cs="Arial"/>
          <w:b/>
          <w:sz w:val="24"/>
          <w:szCs w:val="24"/>
        </w:rPr>
        <w:t xml:space="preserve"> </w:t>
      </w:r>
    </w:p>
    <w:p w14:paraId="6127A018" w14:textId="77777777" w:rsidR="00C93C49" w:rsidRPr="007116D1" w:rsidRDefault="00C93C49" w:rsidP="00C93C49">
      <w:pPr>
        <w:widowControl w:val="0"/>
        <w:spacing w:after="0" w:line="240" w:lineRule="auto"/>
        <w:jc w:val="center"/>
        <w:rPr>
          <w:rFonts w:ascii="Arial" w:hAnsi="Arial" w:cs="Arial"/>
          <w:b/>
          <w:sz w:val="24"/>
          <w:szCs w:val="24"/>
        </w:rPr>
      </w:pPr>
      <w:r>
        <w:rPr>
          <w:rFonts w:ascii="Arial" w:hAnsi="Arial" w:cs="Arial"/>
          <w:b/>
          <w:sz w:val="24"/>
          <w:szCs w:val="24"/>
        </w:rPr>
        <w:t>Absenteeism Rates</w:t>
      </w:r>
    </w:p>
    <w:p w14:paraId="4835A118" w14:textId="77777777" w:rsidR="00C93C49" w:rsidRDefault="00C93C49" w:rsidP="00C93C49">
      <w:pPr>
        <w:spacing w:after="0" w:line="240" w:lineRule="auto"/>
        <w:contextualSpacing/>
        <w:jc w:val="center"/>
        <w:rPr>
          <w:rFonts w:ascii="Arial" w:hAnsi="Arial" w:cs="Arial"/>
          <w:sz w:val="24"/>
          <w:szCs w:val="24"/>
        </w:rPr>
      </w:pPr>
      <w:r>
        <w:rPr>
          <w:rFonts w:ascii="Arial" w:hAnsi="Arial" w:cs="Arial"/>
          <w:b/>
          <w:sz w:val="24"/>
          <w:szCs w:val="24"/>
        </w:rPr>
        <w:t>For the Years 2009 through 2017</w:t>
      </w:r>
    </w:p>
    <w:p w14:paraId="4C71F088" w14:textId="77777777" w:rsidR="00C93C49" w:rsidRPr="0030543D" w:rsidRDefault="00C93C49" w:rsidP="00C93C49">
      <w:pPr>
        <w:spacing w:after="0" w:line="240" w:lineRule="auto"/>
        <w:rPr>
          <w:rFonts w:ascii="Arial" w:hAnsi="Arial" w:cs="Arial"/>
          <w:b/>
          <w:sz w:val="8"/>
          <w:szCs w:val="8"/>
          <w:u w:val="single"/>
        </w:rPr>
      </w:pPr>
    </w:p>
    <w:bookmarkStart w:id="46" w:name="_MON_1585632453"/>
    <w:bookmarkEnd w:id="46"/>
    <w:p w14:paraId="4A2570F1" w14:textId="77777777" w:rsidR="00C93C49" w:rsidRPr="00B2669C" w:rsidRDefault="00C93C49" w:rsidP="00C93C49">
      <w:pPr>
        <w:spacing w:after="0" w:line="240" w:lineRule="auto"/>
        <w:jc w:val="center"/>
        <w:rPr>
          <w:rFonts w:ascii="Arial" w:hAnsi="Arial" w:cs="Arial"/>
          <w:b/>
          <w:sz w:val="18"/>
          <w:szCs w:val="18"/>
          <w:u w:val="single"/>
        </w:rPr>
      </w:pPr>
      <w:r w:rsidRPr="002733AC">
        <w:rPr>
          <w:rFonts w:ascii="Arial" w:hAnsi="Arial" w:cs="Arial"/>
          <w:sz w:val="24"/>
          <w:szCs w:val="24"/>
        </w:rPr>
        <w:object w:dxaOrig="10455" w:dyaOrig="3210" w14:anchorId="6AFB6FCE">
          <v:shape id="_x0000_i1037" type="#_x0000_t75" style="width:389.9pt;height:122.4pt" o:ole="" o:bordertopcolor="this" o:borderleftcolor="this" o:borderbottomcolor="this" o:borderrightcolor="this">
            <v:imagedata r:id="rId69" o:title=""/>
            <w10:bordertop type="single" width="4"/>
            <w10:borderleft type="single" width="4"/>
            <w10:borderbottom type="single" width="4"/>
            <w10:borderright type="single" width="4"/>
          </v:shape>
          <o:OLEObject Type="Embed" ProgID="Excel.Sheet.12" ShapeID="_x0000_i1037" DrawAspect="Content" ObjectID="_1599049587" r:id="rId70"/>
        </w:object>
      </w:r>
    </w:p>
    <w:p w14:paraId="196A97BC" w14:textId="77777777" w:rsidR="00C93C49" w:rsidRPr="00B2669C" w:rsidRDefault="00C93C49" w:rsidP="00C93C49">
      <w:pPr>
        <w:tabs>
          <w:tab w:val="left" w:pos="810"/>
        </w:tabs>
        <w:spacing w:after="0" w:line="240" w:lineRule="auto"/>
        <w:ind w:left="810" w:right="720"/>
        <w:rPr>
          <w:rFonts w:ascii="Arial" w:hAnsi="Arial" w:cs="Arial"/>
          <w:sz w:val="18"/>
          <w:szCs w:val="18"/>
        </w:rPr>
      </w:pPr>
      <w:bookmarkStart w:id="47" w:name="_Hlk511890930"/>
      <w:r w:rsidRPr="00B2669C">
        <w:rPr>
          <w:rFonts w:ascii="Arial" w:hAnsi="Arial" w:cs="Arial"/>
          <w:sz w:val="18"/>
          <w:szCs w:val="18"/>
        </w:rPr>
        <w:t xml:space="preserve">Source: </w:t>
      </w:r>
      <w:r w:rsidR="00BF1E2D">
        <w:rPr>
          <w:rFonts w:ascii="Arial" w:hAnsi="Arial" w:cs="Arial"/>
          <w:sz w:val="18"/>
          <w:szCs w:val="18"/>
        </w:rPr>
        <w:t xml:space="preserve">2014 </w:t>
      </w:r>
      <w:r w:rsidRPr="00B2669C">
        <w:rPr>
          <w:rFonts w:ascii="Arial" w:hAnsi="Arial" w:cs="Arial"/>
          <w:sz w:val="18"/>
          <w:szCs w:val="18"/>
        </w:rPr>
        <w:t>Management Audit Exhibits XI-9, XI-10 and Data Requests HR-10 and HR-16</w:t>
      </w:r>
    </w:p>
    <w:p w14:paraId="294BB408" w14:textId="77777777" w:rsidR="0094097A" w:rsidRDefault="0094097A" w:rsidP="00C93C49">
      <w:pPr>
        <w:widowControl w:val="0"/>
        <w:spacing w:after="0" w:line="240" w:lineRule="auto"/>
        <w:jc w:val="center"/>
        <w:rPr>
          <w:rFonts w:ascii="Arial" w:hAnsi="Arial" w:cs="Arial"/>
          <w:b/>
          <w:sz w:val="24"/>
          <w:szCs w:val="24"/>
        </w:rPr>
      </w:pPr>
      <w:bookmarkStart w:id="48" w:name="_Hlk511896268"/>
      <w:bookmarkEnd w:id="47"/>
    </w:p>
    <w:p w14:paraId="58465B3D" w14:textId="77777777" w:rsidR="00C93C49" w:rsidRPr="007116D1" w:rsidRDefault="00C93C49" w:rsidP="00C93C49">
      <w:pPr>
        <w:widowControl w:val="0"/>
        <w:spacing w:after="0" w:line="240" w:lineRule="auto"/>
        <w:jc w:val="center"/>
        <w:rPr>
          <w:rFonts w:ascii="Arial" w:hAnsi="Arial" w:cs="Arial"/>
          <w:b/>
          <w:sz w:val="24"/>
          <w:szCs w:val="24"/>
        </w:rPr>
      </w:pPr>
      <w:r>
        <w:rPr>
          <w:rFonts w:ascii="Arial" w:hAnsi="Arial" w:cs="Arial"/>
          <w:b/>
          <w:sz w:val="24"/>
          <w:szCs w:val="24"/>
        </w:rPr>
        <w:t>Exhibit XI – 8</w:t>
      </w:r>
    </w:p>
    <w:p w14:paraId="1E27262D" w14:textId="77777777" w:rsidR="00C93C49" w:rsidRPr="007116D1" w:rsidRDefault="00C93C49" w:rsidP="00C93C49">
      <w:pPr>
        <w:widowControl w:val="0"/>
        <w:spacing w:after="0" w:line="240" w:lineRule="auto"/>
        <w:jc w:val="center"/>
        <w:rPr>
          <w:rFonts w:ascii="Arial" w:hAnsi="Arial" w:cs="Arial"/>
          <w:b/>
          <w:sz w:val="24"/>
          <w:szCs w:val="24"/>
        </w:rPr>
      </w:pPr>
      <w:r>
        <w:rPr>
          <w:rFonts w:ascii="Arial" w:hAnsi="Arial" w:cs="Arial"/>
          <w:b/>
          <w:sz w:val="24"/>
          <w:szCs w:val="24"/>
        </w:rPr>
        <w:t>Pennsylvania Power Company</w:t>
      </w:r>
    </w:p>
    <w:p w14:paraId="5EF05F37" w14:textId="77777777" w:rsidR="00C93C49" w:rsidRPr="007116D1" w:rsidRDefault="00C93C49" w:rsidP="00C93C49">
      <w:pPr>
        <w:widowControl w:val="0"/>
        <w:spacing w:after="0" w:line="240" w:lineRule="auto"/>
        <w:jc w:val="center"/>
        <w:rPr>
          <w:rFonts w:ascii="Arial" w:hAnsi="Arial" w:cs="Arial"/>
          <w:b/>
          <w:sz w:val="24"/>
          <w:szCs w:val="24"/>
        </w:rPr>
      </w:pPr>
      <w:r>
        <w:rPr>
          <w:rFonts w:ascii="Arial" w:hAnsi="Arial" w:cs="Arial"/>
          <w:b/>
          <w:sz w:val="24"/>
          <w:szCs w:val="24"/>
        </w:rPr>
        <w:t>Absenteeism Rates</w:t>
      </w:r>
    </w:p>
    <w:p w14:paraId="4681BD23" w14:textId="77777777" w:rsidR="00C93C49" w:rsidRDefault="00C93C49" w:rsidP="00C93C49">
      <w:pPr>
        <w:spacing w:after="0" w:line="240" w:lineRule="auto"/>
        <w:contextualSpacing/>
        <w:jc w:val="center"/>
        <w:rPr>
          <w:rFonts w:ascii="Arial" w:hAnsi="Arial" w:cs="Arial"/>
          <w:sz w:val="24"/>
          <w:szCs w:val="24"/>
        </w:rPr>
      </w:pPr>
      <w:r>
        <w:rPr>
          <w:rFonts w:ascii="Arial" w:hAnsi="Arial" w:cs="Arial"/>
          <w:b/>
          <w:sz w:val="24"/>
          <w:szCs w:val="24"/>
        </w:rPr>
        <w:t>For the Years 2009 through 2017</w:t>
      </w:r>
      <w:bookmarkEnd w:id="48"/>
    </w:p>
    <w:p w14:paraId="7A41C0BA" w14:textId="77777777" w:rsidR="00C93C49" w:rsidRPr="0030543D" w:rsidRDefault="00C93C49" w:rsidP="00C93C49">
      <w:pPr>
        <w:spacing w:after="0" w:line="240" w:lineRule="auto"/>
        <w:rPr>
          <w:rFonts w:ascii="Arial" w:hAnsi="Arial" w:cs="Arial"/>
          <w:b/>
          <w:sz w:val="8"/>
          <w:szCs w:val="8"/>
          <w:u w:val="single"/>
        </w:rPr>
      </w:pPr>
    </w:p>
    <w:bookmarkStart w:id="49" w:name="_MON_1586170943"/>
    <w:bookmarkEnd w:id="49"/>
    <w:p w14:paraId="478B97AE" w14:textId="77777777" w:rsidR="00C93C49" w:rsidRPr="00B2669C" w:rsidRDefault="00C93C49" w:rsidP="00C93C49">
      <w:pPr>
        <w:spacing w:line="240" w:lineRule="auto"/>
        <w:jc w:val="center"/>
        <w:rPr>
          <w:rFonts w:ascii="Arial" w:hAnsi="Arial" w:cs="Arial"/>
          <w:b/>
          <w:sz w:val="18"/>
          <w:szCs w:val="18"/>
          <w:u w:val="single"/>
        </w:rPr>
      </w:pPr>
      <w:r w:rsidRPr="00F90F1A">
        <w:rPr>
          <w:rFonts w:ascii="Arial" w:hAnsi="Arial" w:cs="Arial"/>
          <w:sz w:val="24"/>
          <w:szCs w:val="24"/>
        </w:rPr>
        <w:object w:dxaOrig="11219" w:dyaOrig="3114" w14:anchorId="4AFD1591">
          <v:shape id="_x0000_i1038" type="#_x0000_t75" style="width:396pt;height:108.55pt" o:ole="" o:bordertopcolor="this" o:borderleftcolor="this" o:borderbottomcolor="this" o:borderrightcolor="this">
            <v:imagedata r:id="rId71" o:title=""/>
            <w10:bordertop type="single" width="4"/>
            <w10:borderleft type="single" width="4"/>
            <w10:borderbottom type="single" width="4"/>
            <w10:borderright type="single" width="4"/>
          </v:shape>
          <o:OLEObject Type="Embed" ProgID="Excel.Sheet.12" ShapeID="_x0000_i1038" DrawAspect="Content" ObjectID="_1599049588" r:id="rId72"/>
        </w:object>
      </w:r>
    </w:p>
    <w:p w14:paraId="5146CEA5" w14:textId="77777777" w:rsidR="00C93C49" w:rsidRPr="00FC193B" w:rsidRDefault="00C93C49" w:rsidP="00C93C49">
      <w:pPr>
        <w:spacing w:after="0"/>
        <w:ind w:left="900" w:right="720" w:hanging="180"/>
        <w:rPr>
          <w:rFonts w:ascii="Arial" w:hAnsi="Arial" w:cs="Arial"/>
          <w:sz w:val="20"/>
          <w:szCs w:val="20"/>
        </w:rPr>
      </w:pPr>
      <w:r w:rsidRPr="00FC193B">
        <w:rPr>
          <w:rFonts w:ascii="Arial" w:hAnsi="Arial" w:cs="Arial"/>
          <w:sz w:val="20"/>
          <w:szCs w:val="20"/>
        </w:rPr>
        <w:t xml:space="preserve">* </w:t>
      </w:r>
      <w:r>
        <w:rPr>
          <w:rFonts w:ascii="Arial" w:hAnsi="Arial" w:cs="Arial"/>
          <w:sz w:val="20"/>
          <w:szCs w:val="20"/>
        </w:rPr>
        <w:t xml:space="preserve"> </w:t>
      </w:r>
      <w:r w:rsidRPr="00FC193B">
        <w:rPr>
          <w:rFonts w:ascii="Arial" w:hAnsi="Arial" w:cs="Arial"/>
          <w:sz w:val="20"/>
          <w:szCs w:val="20"/>
        </w:rPr>
        <w:t>Until 2016 Penn Power statistics are combined with Ohio Edison.  2017 is Penn Power statistics only</w:t>
      </w:r>
      <w:r>
        <w:rPr>
          <w:rFonts w:ascii="Arial" w:hAnsi="Arial" w:cs="Arial"/>
          <w:sz w:val="20"/>
          <w:szCs w:val="20"/>
        </w:rPr>
        <w:t>.</w:t>
      </w:r>
    </w:p>
    <w:p w14:paraId="24726104" w14:textId="77777777" w:rsidR="00C93C49" w:rsidRPr="00B2669C" w:rsidRDefault="00C93C49" w:rsidP="00C93C49">
      <w:pPr>
        <w:spacing w:after="0" w:line="240" w:lineRule="auto"/>
        <w:ind w:left="720"/>
        <w:rPr>
          <w:rFonts w:ascii="Arial" w:hAnsi="Arial" w:cs="Arial"/>
          <w:sz w:val="18"/>
          <w:szCs w:val="18"/>
        </w:rPr>
      </w:pPr>
      <w:bookmarkStart w:id="50" w:name="_Hlk511896576"/>
      <w:r w:rsidRPr="00B2669C">
        <w:rPr>
          <w:rFonts w:ascii="Arial" w:hAnsi="Arial" w:cs="Arial"/>
          <w:sz w:val="18"/>
          <w:szCs w:val="18"/>
        </w:rPr>
        <w:t xml:space="preserve">Source: </w:t>
      </w:r>
      <w:r w:rsidR="00BF1E2D">
        <w:rPr>
          <w:rFonts w:ascii="Arial" w:hAnsi="Arial" w:cs="Arial"/>
          <w:sz w:val="18"/>
          <w:szCs w:val="18"/>
        </w:rPr>
        <w:t xml:space="preserve">2014 </w:t>
      </w:r>
      <w:r w:rsidRPr="00B2669C">
        <w:rPr>
          <w:rFonts w:ascii="Arial" w:hAnsi="Arial" w:cs="Arial"/>
          <w:sz w:val="18"/>
          <w:szCs w:val="18"/>
        </w:rPr>
        <w:t>Management Audit Exhibits XI-9, XI-10 and Data Requests HR-10 and HR-16</w:t>
      </w:r>
    </w:p>
    <w:bookmarkEnd w:id="50"/>
    <w:p w14:paraId="53009E75" w14:textId="77777777" w:rsidR="00C93C49" w:rsidRDefault="00C93C49" w:rsidP="00C93C49">
      <w:pPr>
        <w:rPr>
          <w:rFonts w:ascii="Arial" w:hAnsi="Arial" w:cs="Arial"/>
          <w:sz w:val="24"/>
          <w:szCs w:val="24"/>
        </w:rPr>
      </w:pPr>
    </w:p>
    <w:p w14:paraId="59CBDDB2" w14:textId="77777777" w:rsidR="00C93C49" w:rsidRPr="007116D1" w:rsidRDefault="00C93C49" w:rsidP="00C93C49">
      <w:pPr>
        <w:widowControl w:val="0"/>
        <w:spacing w:after="0" w:line="240" w:lineRule="auto"/>
        <w:jc w:val="center"/>
        <w:rPr>
          <w:rFonts w:ascii="Arial" w:hAnsi="Arial" w:cs="Arial"/>
          <w:b/>
          <w:sz w:val="24"/>
          <w:szCs w:val="24"/>
        </w:rPr>
      </w:pPr>
      <w:r>
        <w:rPr>
          <w:rFonts w:ascii="Arial" w:hAnsi="Arial" w:cs="Arial"/>
          <w:b/>
          <w:sz w:val="24"/>
          <w:szCs w:val="24"/>
        </w:rPr>
        <w:t>Exhibit XI – 9</w:t>
      </w:r>
    </w:p>
    <w:p w14:paraId="7D04E4C8" w14:textId="77777777" w:rsidR="00C93C49" w:rsidRPr="007116D1" w:rsidRDefault="00C93C49" w:rsidP="00C93C49">
      <w:pPr>
        <w:widowControl w:val="0"/>
        <w:spacing w:after="0" w:line="240" w:lineRule="auto"/>
        <w:jc w:val="center"/>
        <w:rPr>
          <w:rFonts w:ascii="Arial" w:hAnsi="Arial" w:cs="Arial"/>
          <w:b/>
          <w:sz w:val="24"/>
          <w:szCs w:val="24"/>
        </w:rPr>
      </w:pPr>
      <w:r>
        <w:rPr>
          <w:rFonts w:ascii="Arial" w:hAnsi="Arial" w:cs="Arial"/>
          <w:b/>
          <w:sz w:val="24"/>
          <w:szCs w:val="24"/>
        </w:rPr>
        <w:t>West Penn Power Company</w:t>
      </w:r>
    </w:p>
    <w:p w14:paraId="3FC9B4CF" w14:textId="77777777" w:rsidR="00C93C49" w:rsidRPr="007116D1" w:rsidRDefault="00C93C49" w:rsidP="00C93C49">
      <w:pPr>
        <w:widowControl w:val="0"/>
        <w:spacing w:after="0" w:line="240" w:lineRule="auto"/>
        <w:jc w:val="center"/>
        <w:rPr>
          <w:rFonts w:ascii="Arial" w:hAnsi="Arial" w:cs="Arial"/>
          <w:b/>
          <w:sz w:val="24"/>
          <w:szCs w:val="24"/>
        </w:rPr>
      </w:pPr>
      <w:r>
        <w:rPr>
          <w:rFonts w:ascii="Arial" w:hAnsi="Arial" w:cs="Arial"/>
          <w:b/>
          <w:sz w:val="24"/>
          <w:szCs w:val="24"/>
        </w:rPr>
        <w:t>Absenteeism Rates</w:t>
      </w:r>
    </w:p>
    <w:p w14:paraId="382A2F42" w14:textId="77777777" w:rsidR="00C93C49" w:rsidRDefault="00C93C49" w:rsidP="00C93C49">
      <w:pPr>
        <w:tabs>
          <w:tab w:val="left" w:pos="3087"/>
        </w:tabs>
        <w:spacing w:after="0"/>
        <w:jc w:val="center"/>
        <w:rPr>
          <w:rFonts w:ascii="Arial" w:hAnsi="Arial" w:cs="Arial"/>
          <w:b/>
          <w:sz w:val="24"/>
          <w:szCs w:val="24"/>
        </w:rPr>
      </w:pPr>
      <w:r>
        <w:rPr>
          <w:rFonts w:ascii="Arial" w:hAnsi="Arial" w:cs="Arial"/>
          <w:b/>
          <w:sz w:val="24"/>
          <w:szCs w:val="24"/>
        </w:rPr>
        <w:t>For the Years 2009 through 2017</w:t>
      </w:r>
    </w:p>
    <w:p w14:paraId="4563CA72" w14:textId="77777777" w:rsidR="00C93C49" w:rsidRPr="0030543D" w:rsidRDefault="00C93C49" w:rsidP="00C93C49">
      <w:pPr>
        <w:tabs>
          <w:tab w:val="left" w:pos="3087"/>
        </w:tabs>
        <w:spacing w:after="0"/>
        <w:jc w:val="center"/>
        <w:rPr>
          <w:rFonts w:ascii="Arial" w:hAnsi="Arial" w:cs="Arial"/>
          <w:b/>
          <w:sz w:val="8"/>
          <w:szCs w:val="8"/>
        </w:rPr>
      </w:pPr>
    </w:p>
    <w:bookmarkStart w:id="51" w:name="_MON_1586171101"/>
    <w:bookmarkEnd w:id="51"/>
    <w:p w14:paraId="205A5E98" w14:textId="77777777" w:rsidR="00C93C49" w:rsidRPr="00B2669C" w:rsidRDefault="00C93C49" w:rsidP="00C93C49">
      <w:pPr>
        <w:tabs>
          <w:tab w:val="left" w:pos="3087"/>
        </w:tabs>
        <w:spacing w:after="0"/>
        <w:jc w:val="center"/>
        <w:rPr>
          <w:rFonts w:ascii="Arial" w:hAnsi="Arial" w:cs="Arial"/>
          <w:b/>
          <w:sz w:val="18"/>
          <w:szCs w:val="18"/>
        </w:rPr>
      </w:pPr>
      <w:r>
        <w:rPr>
          <w:rFonts w:ascii="Arial" w:hAnsi="Arial" w:cs="Arial"/>
          <w:b/>
          <w:sz w:val="24"/>
          <w:szCs w:val="24"/>
        </w:rPr>
        <w:object w:dxaOrig="11219" w:dyaOrig="3114" w14:anchorId="6A312C85">
          <v:shape id="_x0000_i1039" type="#_x0000_t75" style="width:396pt;height:108.55pt" o:ole="" o:bordertopcolor="this" o:borderleftcolor="this" o:borderbottomcolor="this" o:borderrightcolor="this">
            <v:imagedata r:id="rId73" o:title=""/>
            <w10:bordertop type="single" width="4"/>
            <w10:borderleft type="single" width="4"/>
            <w10:borderbottom type="single" width="4"/>
            <w10:borderright type="single" width="4"/>
          </v:shape>
          <o:OLEObject Type="Embed" ProgID="Excel.Sheet.12" ShapeID="_x0000_i1039" DrawAspect="Content" ObjectID="_1599049589" r:id="rId74"/>
        </w:object>
      </w:r>
    </w:p>
    <w:p w14:paraId="45EBA544" w14:textId="77777777" w:rsidR="00C93C49" w:rsidRPr="00B2669C" w:rsidRDefault="00C93C49" w:rsidP="00C93C49">
      <w:pPr>
        <w:spacing w:after="0" w:line="240" w:lineRule="auto"/>
        <w:ind w:left="720"/>
        <w:rPr>
          <w:rFonts w:ascii="Arial" w:hAnsi="Arial" w:cs="Arial"/>
          <w:sz w:val="18"/>
          <w:szCs w:val="18"/>
        </w:rPr>
      </w:pPr>
      <w:r w:rsidRPr="00B2669C">
        <w:rPr>
          <w:rFonts w:ascii="Arial" w:hAnsi="Arial" w:cs="Arial"/>
          <w:sz w:val="18"/>
          <w:szCs w:val="18"/>
        </w:rPr>
        <w:t xml:space="preserve">Source: </w:t>
      </w:r>
      <w:r w:rsidR="00BF1E2D">
        <w:rPr>
          <w:rFonts w:ascii="Arial" w:hAnsi="Arial" w:cs="Arial"/>
          <w:sz w:val="18"/>
          <w:szCs w:val="18"/>
        </w:rPr>
        <w:t xml:space="preserve">2014 </w:t>
      </w:r>
      <w:r w:rsidRPr="00B2669C">
        <w:rPr>
          <w:rFonts w:ascii="Arial" w:hAnsi="Arial" w:cs="Arial"/>
          <w:sz w:val="18"/>
          <w:szCs w:val="18"/>
        </w:rPr>
        <w:t>Management Audit Exhibits XI-9, XI-10 and Data Requests HR-10 and HR-16</w:t>
      </w:r>
    </w:p>
    <w:p w14:paraId="7C2FF672" w14:textId="77777777" w:rsidR="00C93C49" w:rsidRDefault="00C93C49" w:rsidP="00C93C49">
      <w:pPr>
        <w:spacing w:after="0" w:line="240" w:lineRule="auto"/>
        <w:ind w:firstLine="630"/>
        <w:rPr>
          <w:rFonts w:ascii="Arial" w:hAnsi="Arial" w:cs="Arial"/>
          <w:sz w:val="24"/>
          <w:szCs w:val="24"/>
        </w:rPr>
      </w:pPr>
    </w:p>
    <w:p w14:paraId="570E5DF6" w14:textId="77777777" w:rsidR="00C93C49" w:rsidRDefault="00C93C49" w:rsidP="00C93C49">
      <w:pPr>
        <w:spacing w:after="0" w:line="240" w:lineRule="auto"/>
        <w:ind w:firstLine="630"/>
        <w:rPr>
          <w:rFonts w:ascii="Arial" w:hAnsi="Arial" w:cs="Arial"/>
          <w:sz w:val="24"/>
          <w:szCs w:val="24"/>
        </w:rPr>
      </w:pPr>
    </w:p>
    <w:p w14:paraId="5D378B98" w14:textId="77777777" w:rsidR="00C93C49" w:rsidRDefault="00C93C49" w:rsidP="00C93C49">
      <w:pPr>
        <w:spacing w:after="0" w:line="240" w:lineRule="auto"/>
        <w:ind w:firstLine="630"/>
        <w:rPr>
          <w:rFonts w:ascii="Arial" w:hAnsi="Arial" w:cs="Arial"/>
          <w:sz w:val="24"/>
          <w:szCs w:val="24"/>
        </w:rPr>
      </w:pPr>
      <w:r>
        <w:rPr>
          <w:rFonts w:ascii="Arial" w:hAnsi="Arial" w:cs="Arial"/>
          <w:sz w:val="24"/>
          <w:szCs w:val="24"/>
        </w:rPr>
        <w:t xml:space="preserve">West Penn Power’s 2017 absenteeism performance of 31.9 hours per employee is the lowest of the four </w:t>
      </w:r>
      <w:r w:rsidR="00DC3D9B">
        <w:rPr>
          <w:rFonts w:ascii="Arial" w:hAnsi="Arial" w:cs="Arial"/>
          <w:sz w:val="24"/>
          <w:szCs w:val="24"/>
        </w:rPr>
        <w:t>FE-PA companies</w:t>
      </w:r>
      <w:r>
        <w:rPr>
          <w:rFonts w:ascii="Arial" w:hAnsi="Arial" w:cs="Arial"/>
          <w:sz w:val="24"/>
          <w:szCs w:val="24"/>
        </w:rPr>
        <w:t xml:space="preserve">.  This is </w:t>
      </w:r>
      <w:r w:rsidR="003423E6">
        <w:rPr>
          <w:rFonts w:ascii="Arial" w:hAnsi="Arial" w:cs="Arial"/>
          <w:sz w:val="24"/>
          <w:szCs w:val="24"/>
        </w:rPr>
        <w:t xml:space="preserve">especially </w:t>
      </w:r>
      <w:r>
        <w:rPr>
          <w:rFonts w:ascii="Arial" w:hAnsi="Arial" w:cs="Arial"/>
          <w:sz w:val="24"/>
          <w:szCs w:val="24"/>
        </w:rPr>
        <w:t xml:space="preserve">significant considering that West Penn Power’s 2011 performance of 79.1 hours per employee was the highest of the </w:t>
      </w:r>
      <w:r w:rsidR="00DC3D9B">
        <w:rPr>
          <w:rFonts w:ascii="Arial" w:hAnsi="Arial" w:cs="Arial"/>
          <w:sz w:val="24"/>
          <w:szCs w:val="24"/>
        </w:rPr>
        <w:t>companies</w:t>
      </w:r>
      <w:r>
        <w:rPr>
          <w:rFonts w:ascii="Arial" w:hAnsi="Arial" w:cs="Arial"/>
          <w:sz w:val="24"/>
          <w:szCs w:val="24"/>
        </w:rPr>
        <w:t xml:space="preserve">.  </w:t>
      </w:r>
      <w:r w:rsidRPr="000B09F8">
        <w:rPr>
          <w:rFonts w:ascii="Arial" w:hAnsi="Arial" w:cs="Arial"/>
          <w:sz w:val="24"/>
          <w:szCs w:val="24"/>
        </w:rPr>
        <w:t>Also noteworthy, the</w:t>
      </w:r>
      <w:r>
        <w:rPr>
          <w:rFonts w:ascii="Arial" w:hAnsi="Arial" w:cs="Arial"/>
          <w:sz w:val="24"/>
          <w:szCs w:val="24"/>
        </w:rPr>
        <w:t xml:space="preserve"> </w:t>
      </w:r>
      <w:r w:rsidRPr="000B09F8">
        <w:rPr>
          <w:rFonts w:ascii="Arial" w:hAnsi="Arial" w:cs="Arial"/>
          <w:sz w:val="24"/>
          <w:szCs w:val="24"/>
        </w:rPr>
        <w:t xml:space="preserve">absence </w:t>
      </w:r>
      <w:r>
        <w:rPr>
          <w:rFonts w:ascii="Arial" w:hAnsi="Arial" w:cs="Arial"/>
          <w:sz w:val="24"/>
          <w:szCs w:val="24"/>
        </w:rPr>
        <w:t xml:space="preserve">rate for bargaining unit positions </w:t>
      </w:r>
      <w:r w:rsidRPr="000B09F8">
        <w:rPr>
          <w:rFonts w:ascii="Arial" w:hAnsi="Arial" w:cs="Arial"/>
          <w:sz w:val="24"/>
          <w:szCs w:val="24"/>
        </w:rPr>
        <w:t>decreased from 60.3 hours in 2012 to 46.4 hours in 2017.</w:t>
      </w:r>
      <w:r>
        <w:rPr>
          <w:rFonts w:ascii="Arial" w:hAnsi="Arial" w:cs="Arial"/>
          <w:sz w:val="24"/>
          <w:szCs w:val="24"/>
        </w:rPr>
        <w:t xml:space="preserve">  As the exhibits </w:t>
      </w:r>
      <w:r w:rsidR="003423E6">
        <w:rPr>
          <w:rFonts w:ascii="Arial" w:hAnsi="Arial" w:cs="Arial"/>
          <w:sz w:val="24"/>
          <w:szCs w:val="24"/>
        </w:rPr>
        <w:t>illustrate</w:t>
      </w:r>
      <w:r>
        <w:rPr>
          <w:rFonts w:ascii="Arial" w:hAnsi="Arial" w:cs="Arial"/>
          <w:sz w:val="24"/>
          <w:szCs w:val="24"/>
        </w:rPr>
        <w:t>, West Penn Power is the only distribution company in which absenteeism for the bargaining unit positions decreased after the management audit, whereas Met-Ed, Penelec, and Penn Power have experienced minor to significant absenteeism increases.  Consequently, Met-Ed, Penelec, and Penn Power should make appropriate adjustments to each company’s specific work culture or methodologies as needed to emulate West Penn Power’s success including continued or more stringent employee counselling and monitoring</w:t>
      </w:r>
      <w:r w:rsidR="003423E6">
        <w:rPr>
          <w:rFonts w:ascii="Arial" w:hAnsi="Arial" w:cs="Arial"/>
          <w:sz w:val="24"/>
          <w:szCs w:val="24"/>
        </w:rPr>
        <w:t>,</w:t>
      </w:r>
      <w:r>
        <w:rPr>
          <w:rFonts w:ascii="Arial" w:hAnsi="Arial" w:cs="Arial"/>
          <w:sz w:val="24"/>
          <w:szCs w:val="24"/>
        </w:rPr>
        <w:t xml:space="preserve"> and additional requests for physician approval for absence, etc.</w:t>
      </w:r>
    </w:p>
    <w:p w14:paraId="36F32F45" w14:textId="77777777" w:rsidR="00C93C49" w:rsidRDefault="00C93C49" w:rsidP="00C93C49">
      <w:pPr>
        <w:spacing w:after="0" w:line="240" w:lineRule="auto"/>
        <w:ind w:firstLine="630"/>
        <w:rPr>
          <w:rFonts w:ascii="Arial" w:hAnsi="Arial" w:cs="Arial"/>
          <w:sz w:val="24"/>
          <w:szCs w:val="24"/>
        </w:rPr>
      </w:pPr>
    </w:p>
    <w:p w14:paraId="2A6936DF" w14:textId="77777777" w:rsidR="00C93C49" w:rsidRDefault="00C93C49" w:rsidP="00C93C49">
      <w:pPr>
        <w:spacing w:after="0" w:line="240" w:lineRule="auto"/>
        <w:ind w:firstLine="630"/>
        <w:rPr>
          <w:rFonts w:ascii="Arial" w:hAnsi="Arial" w:cs="Arial"/>
          <w:sz w:val="24"/>
          <w:szCs w:val="24"/>
        </w:rPr>
      </w:pPr>
      <w:r>
        <w:rPr>
          <w:rFonts w:ascii="Arial" w:hAnsi="Arial" w:cs="Arial"/>
          <w:sz w:val="24"/>
          <w:szCs w:val="24"/>
        </w:rPr>
        <w:t>The auditors estimate based on the average salary of a bargaining unit position that West Penn Power has realized an annual savings of approximately $215,000 when comparing absenteeism rates between the periods 2014 and 2015 and the periods 2016 and 2017.  If the bargaining units from Met-Ed, Penelec, and Penn Power were to achieve the same absenteeism performance as that of West Penn Power in 2017, the auditors estimate that each could realize approximate annual savings of $330,000, $140,000, and $12,000, respectively.</w:t>
      </w:r>
    </w:p>
    <w:p w14:paraId="216AC375" w14:textId="77777777" w:rsidR="00C93C49" w:rsidRDefault="00C93C49" w:rsidP="00C93C49">
      <w:pPr>
        <w:spacing w:after="0" w:line="240" w:lineRule="auto"/>
        <w:rPr>
          <w:rFonts w:ascii="Arial" w:hAnsi="Arial" w:cs="Arial"/>
          <w:sz w:val="24"/>
          <w:szCs w:val="24"/>
        </w:rPr>
      </w:pPr>
    </w:p>
    <w:p w14:paraId="17D92D0F" w14:textId="77777777" w:rsidR="00C93C49" w:rsidRDefault="00C93C49" w:rsidP="00C93C49">
      <w:pPr>
        <w:spacing w:after="0" w:line="240" w:lineRule="auto"/>
        <w:rPr>
          <w:rFonts w:ascii="Arial" w:hAnsi="Arial" w:cs="Arial"/>
          <w:sz w:val="24"/>
          <w:szCs w:val="24"/>
        </w:rPr>
      </w:pPr>
    </w:p>
    <w:p w14:paraId="01A24BDB" w14:textId="77777777" w:rsidR="00C93C49" w:rsidRPr="00451187" w:rsidRDefault="00C93C49" w:rsidP="00C93C49">
      <w:pPr>
        <w:widowControl w:val="0"/>
        <w:autoSpaceDE w:val="0"/>
        <w:autoSpaceDN w:val="0"/>
        <w:adjustRightInd w:val="0"/>
        <w:spacing w:after="0" w:line="240" w:lineRule="auto"/>
        <w:contextualSpacing/>
        <w:rPr>
          <w:rFonts w:ascii="Arial" w:hAnsi="Arial" w:cs="Arial"/>
          <w:b/>
          <w:bCs/>
          <w:color w:val="000000"/>
          <w:sz w:val="24"/>
          <w:szCs w:val="24"/>
        </w:rPr>
      </w:pPr>
      <w:r w:rsidRPr="00451187">
        <w:rPr>
          <w:rFonts w:ascii="Arial" w:hAnsi="Arial" w:cs="Arial"/>
          <w:b/>
          <w:bCs/>
          <w:color w:val="000000"/>
          <w:sz w:val="24"/>
          <w:szCs w:val="24"/>
          <w:u w:val="single"/>
        </w:rPr>
        <w:t>Staff’s Recommendation</w:t>
      </w:r>
      <w:r w:rsidRPr="00451187">
        <w:rPr>
          <w:rFonts w:ascii="Arial" w:hAnsi="Arial" w:cs="Arial"/>
          <w:b/>
          <w:bCs/>
          <w:color w:val="000000"/>
          <w:sz w:val="24"/>
          <w:szCs w:val="24"/>
        </w:rPr>
        <w:t xml:space="preserve"> </w:t>
      </w:r>
      <w:r w:rsidRPr="00451187">
        <w:rPr>
          <w:rFonts w:ascii="Arial" w:hAnsi="Arial" w:cs="Arial"/>
          <w:bCs/>
          <w:color w:val="000000"/>
          <w:sz w:val="24"/>
          <w:szCs w:val="24"/>
        </w:rPr>
        <w:t>–</w:t>
      </w:r>
      <w:r w:rsidRPr="00451187">
        <w:rPr>
          <w:rFonts w:ascii="Arial" w:hAnsi="Arial" w:cs="Arial"/>
          <w:b/>
          <w:bCs/>
          <w:color w:val="000000"/>
          <w:sz w:val="24"/>
          <w:szCs w:val="24"/>
        </w:rPr>
        <w:t xml:space="preserve"> </w:t>
      </w:r>
      <w:r w:rsidRPr="00154F01">
        <w:rPr>
          <w:rFonts w:ascii="Arial" w:hAnsi="Arial" w:cs="Arial"/>
          <w:b/>
          <w:bCs/>
          <w:color w:val="000000"/>
          <w:sz w:val="24"/>
          <w:szCs w:val="24"/>
        </w:rPr>
        <w:t>Continue effort</w:t>
      </w:r>
      <w:r>
        <w:rPr>
          <w:rFonts w:ascii="Arial" w:hAnsi="Arial" w:cs="Arial"/>
          <w:b/>
          <w:bCs/>
          <w:color w:val="000000"/>
          <w:sz w:val="24"/>
          <w:szCs w:val="24"/>
        </w:rPr>
        <w:t>s</w:t>
      </w:r>
      <w:r w:rsidRPr="00154F01">
        <w:rPr>
          <w:rFonts w:ascii="Arial" w:hAnsi="Arial" w:cs="Arial"/>
          <w:b/>
          <w:bCs/>
          <w:color w:val="000000"/>
          <w:sz w:val="24"/>
          <w:szCs w:val="24"/>
        </w:rPr>
        <w:t xml:space="preserve"> to reduce absenteeism through improved </w:t>
      </w:r>
      <w:r>
        <w:rPr>
          <w:rFonts w:ascii="Arial" w:hAnsi="Arial" w:cs="Arial"/>
          <w:b/>
          <w:bCs/>
          <w:color w:val="000000"/>
          <w:sz w:val="24"/>
          <w:szCs w:val="24"/>
        </w:rPr>
        <w:t>sick leave monitoring, counseling, and sharing of best practices.</w:t>
      </w:r>
    </w:p>
    <w:p w14:paraId="4A44B4E6" w14:textId="77777777" w:rsidR="00CD3C92" w:rsidRDefault="00CD3C92">
      <w:pPr>
        <w:rPr>
          <w:rFonts w:ascii="Arial" w:hAnsi="Arial" w:cs="Arial"/>
          <w:sz w:val="24"/>
          <w:szCs w:val="24"/>
        </w:rPr>
      </w:pPr>
      <w:r>
        <w:rPr>
          <w:rFonts w:ascii="Arial" w:hAnsi="Arial" w:cs="Arial"/>
          <w:sz w:val="24"/>
          <w:szCs w:val="24"/>
        </w:rPr>
        <w:br w:type="page"/>
      </w:r>
    </w:p>
    <w:p w14:paraId="48DCB911" w14:textId="77777777" w:rsidR="00A359F2" w:rsidRPr="003D39B7" w:rsidRDefault="00A359F2" w:rsidP="00A359F2">
      <w:pPr>
        <w:spacing w:after="0" w:line="20" w:lineRule="atLeast"/>
        <w:contextualSpacing/>
        <w:jc w:val="center"/>
        <w:rPr>
          <w:rFonts w:ascii="Arial" w:eastAsia="Times New Roman" w:hAnsi="Arial" w:cs="Times New Roman"/>
          <w:b/>
          <w:sz w:val="26"/>
          <w:szCs w:val="26"/>
        </w:rPr>
      </w:pPr>
      <w:r>
        <w:rPr>
          <w:rFonts w:ascii="Arial" w:eastAsia="Times New Roman" w:hAnsi="Arial" w:cs="Times New Roman"/>
          <w:b/>
          <w:sz w:val="26"/>
          <w:szCs w:val="26"/>
        </w:rPr>
        <w:t>XII. FLEET MANAGEMENT</w:t>
      </w:r>
    </w:p>
    <w:p w14:paraId="56B49A7D" w14:textId="77777777" w:rsidR="00A359F2" w:rsidRPr="003D39B7" w:rsidRDefault="00A359F2" w:rsidP="00A359F2">
      <w:pPr>
        <w:spacing w:after="0" w:line="20" w:lineRule="atLeast"/>
        <w:contextualSpacing/>
        <w:rPr>
          <w:rFonts w:ascii="Arial" w:eastAsia="Times New Roman" w:hAnsi="Arial" w:cs="Times New Roman"/>
          <w:sz w:val="24"/>
          <w:szCs w:val="20"/>
        </w:rPr>
      </w:pPr>
    </w:p>
    <w:p w14:paraId="69979B07" w14:textId="77777777" w:rsidR="00A359F2" w:rsidRDefault="00A359F2" w:rsidP="00A359F2">
      <w:pPr>
        <w:spacing w:after="0" w:line="20" w:lineRule="atLeast"/>
        <w:contextualSpacing/>
        <w:rPr>
          <w:rFonts w:ascii="Arial" w:eastAsia="Times New Roman" w:hAnsi="Arial" w:cs="Times New Roman"/>
          <w:sz w:val="24"/>
          <w:szCs w:val="20"/>
        </w:rPr>
      </w:pPr>
    </w:p>
    <w:p w14:paraId="782351C7" w14:textId="77777777" w:rsidR="00A359F2" w:rsidRPr="007C465E" w:rsidRDefault="00A359F2" w:rsidP="00A359F2">
      <w:pPr>
        <w:spacing w:after="0" w:line="20" w:lineRule="atLeast"/>
        <w:contextualSpacing/>
        <w:rPr>
          <w:rFonts w:ascii="Arial" w:eastAsia="Times New Roman" w:hAnsi="Arial" w:cs="Times New Roman"/>
          <w:sz w:val="24"/>
          <w:szCs w:val="24"/>
        </w:rPr>
      </w:pPr>
      <w:r w:rsidRPr="00A67D31">
        <w:rPr>
          <w:rFonts w:ascii="Arial" w:eastAsia="Times New Roman" w:hAnsi="Arial" w:cs="Times New Roman"/>
          <w:b/>
          <w:sz w:val="24"/>
          <w:szCs w:val="24"/>
          <w:u w:val="single"/>
        </w:rPr>
        <w:t>Background</w:t>
      </w:r>
      <w:r w:rsidRPr="004D579B">
        <w:rPr>
          <w:rFonts w:ascii="Arial" w:eastAsia="Times New Roman" w:hAnsi="Arial" w:cs="Times New Roman"/>
          <w:sz w:val="24"/>
          <w:szCs w:val="24"/>
        </w:rPr>
        <w:t xml:space="preserve"> </w:t>
      </w:r>
      <w:r w:rsidRPr="00A67D31">
        <w:rPr>
          <w:rFonts w:ascii="Arial" w:eastAsia="Times New Roman" w:hAnsi="Arial" w:cs="Times New Roman"/>
          <w:sz w:val="24"/>
          <w:szCs w:val="24"/>
        </w:rPr>
        <w:t xml:space="preserve">– </w:t>
      </w:r>
      <w:r w:rsidR="00F50B17">
        <w:rPr>
          <w:rFonts w:ascii="Arial" w:eastAsia="Times New Roman" w:hAnsi="Arial" w:cs="Times New Roman"/>
          <w:sz w:val="24"/>
          <w:szCs w:val="24"/>
        </w:rPr>
        <w:t>FirstEnergy Fleet Services</w:t>
      </w:r>
      <w:r w:rsidR="007C04EF">
        <w:rPr>
          <w:rFonts w:ascii="Arial" w:eastAsia="Times New Roman" w:hAnsi="Arial" w:cs="Times New Roman"/>
          <w:sz w:val="24"/>
          <w:szCs w:val="24"/>
        </w:rPr>
        <w:t xml:space="preserve"> is</w:t>
      </w:r>
      <w:r w:rsidR="00F50B17">
        <w:rPr>
          <w:rFonts w:ascii="Arial" w:eastAsia="Times New Roman" w:hAnsi="Arial" w:cs="Times New Roman"/>
          <w:sz w:val="24"/>
          <w:szCs w:val="24"/>
        </w:rPr>
        <w:t xml:space="preserve"> part of the FirstEnergy Service Company</w:t>
      </w:r>
      <w:r w:rsidR="007C04EF">
        <w:rPr>
          <w:rFonts w:ascii="Arial" w:eastAsia="Times New Roman" w:hAnsi="Arial" w:cs="Times New Roman"/>
          <w:sz w:val="24"/>
          <w:szCs w:val="24"/>
        </w:rPr>
        <w:t xml:space="preserve"> (FESC)</w:t>
      </w:r>
      <w:r w:rsidR="00F50B17">
        <w:rPr>
          <w:rFonts w:ascii="Arial" w:eastAsia="Times New Roman" w:hAnsi="Arial" w:cs="Times New Roman"/>
          <w:sz w:val="24"/>
          <w:szCs w:val="24"/>
        </w:rPr>
        <w:t xml:space="preserve">, </w:t>
      </w:r>
      <w:r w:rsidR="007C04EF">
        <w:rPr>
          <w:rFonts w:ascii="Arial" w:eastAsia="Times New Roman" w:hAnsi="Arial" w:cs="Times New Roman"/>
          <w:sz w:val="24"/>
          <w:szCs w:val="24"/>
        </w:rPr>
        <w:t xml:space="preserve">which </w:t>
      </w:r>
      <w:r w:rsidR="00F50B17">
        <w:rPr>
          <w:rFonts w:ascii="Arial" w:eastAsia="Times New Roman" w:hAnsi="Arial" w:cs="Times New Roman"/>
          <w:sz w:val="24"/>
          <w:szCs w:val="24"/>
        </w:rPr>
        <w:t xml:space="preserve">provides support to each of the FE-PA companies including vehicle and equipment acquisition, leasing, and disposal, manages the Fleet Management Information System, and facilitates licensing, permitting, and compliance with regulations.  In addition, each of the FE-PA companies has its own Manager of Regional Fleet Services, each of whom reports to their respective Director of Operations Support.  </w:t>
      </w:r>
      <w:r w:rsidR="00A54159">
        <w:rPr>
          <w:rFonts w:ascii="Arial" w:eastAsia="Times New Roman" w:hAnsi="Arial" w:cs="Times New Roman"/>
          <w:sz w:val="24"/>
          <w:szCs w:val="24"/>
        </w:rPr>
        <w:t xml:space="preserve">Each Manager of Regional Fleet Services is responsible for maintaining fleet equipment and directing supervisors of the mechanic work force and fleet support personnel at one or more maintenance repair facilities engaged in the inspection and repair of fleet vehicles and equipment.  </w:t>
      </w:r>
      <w:r w:rsidR="0081335C" w:rsidRPr="007C465E">
        <w:rPr>
          <w:rFonts w:ascii="Arial" w:eastAsia="Times New Roman" w:hAnsi="Arial" w:cs="Times New Roman"/>
          <w:sz w:val="24"/>
          <w:szCs w:val="24"/>
        </w:rPr>
        <w:t xml:space="preserve">The </w:t>
      </w:r>
      <w:r w:rsidR="0081335C">
        <w:rPr>
          <w:rFonts w:ascii="Arial" w:eastAsia="Times New Roman" w:hAnsi="Arial" w:cs="Times New Roman"/>
          <w:sz w:val="24"/>
          <w:szCs w:val="24"/>
        </w:rPr>
        <w:t xml:space="preserve">2014 </w:t>
      </w:r>
      <w:r w:rsidR="0081335C" w:rsidRPr="007C465E">
        <w:rPr>
          <w:rFonts w:ascii="Arial" w:eastAsia="Times New Roman" w:hAnsi="Arial" w:cs="Times New Roman"/>
          <w:sz w:val="24"/>
          <w:szCs w:val="24"/>
        </w:rPr>
        <w:t xml:space="preserve">Focused Management and Operations Audit of </w:t>
      </w:r>
      <w:r w:rsidR="0081335C">
        <w:rPr>
          <w:rFonts w:ascii="Arial" w:eastAsia="Times New Roman" w:hAnsi="Arial" w:cs="Times New Roman"/>
          <w:sz w:val="24"/>
          <w:szCs w:val="24"/>
        </w:rPr>
        <w:t xml:space="preserve">the </w:t>
      </w:r>
      <w:r w:rsidR="00DC3D9B">
        <w:rPr>
          <w:rFonts w:ascii="Arial" w:eastAsia="Times New Roman" w:hAnsi="Arial" w:cs="Times New Roman"/>
          <w:sz w:val="24"/>
          <w:szCs w:val="24"/>
        </w:rPr>
        <w:t>FE-PA companies</w:t>
      </w:r>
      <w:r w:rsidR="0081335C">
        <w:rPr>
          <w:rFonts w:ascii="Arial" w:eastAsia="Times New Roman" w:hAnsi="Arial" w:cs="Times New Roman"/>
          <w:sz w:val="24"/>
          <w:szCs w:val="24"/>
        </w:rPr>
        <w:t xml:space="preserve"> </w:t>
      </w:r>
      <w:r w:rsidR="0094097A">
        <w:rPr>
          <w:rFonts w:ascii="Arial" w:eastAsia="Times New Roman" w:hAnsi="Arial" w:cs="Times New Roman"/>
          <w:sz w:val="24"/>
          <w:szCs w:val="24"/>
        </w:rPr>
        <w:t>examined the Fleet Management function</w:t>
      </w:r>
      <w:r w:rsidR="0094097A">
        <w:rPr>
          <w:rFonts w:ascii="Arial" w:hAnsi="Arial" w:cs="Arial"/>
          <w:sz w:val="24"/>
          <w:szCs w:val="24"/>
        </w:rPr>
        <w:t>, which</w:t>
      </w:r>
      <w:r w:rsidR="0094097A" w:rsidRPr="00C209CF">
        <w:rPr>
          <w:rFonts w:ascii="Arial" w:hAnsi="Arial" w:cs="Arial"/>
          <w:sz w:val="24"/>
          <w:szCs w:val="24"/>
        </w:rPr>
        <w:t xml:space="preserve"> included a review of </w:t>
      </w:r>
      <w:r w:rsidR="0094097A" w:rsidRPr="00352E0A">
        <w:rPr>
          <w:rFonts w:ascii="Arial" w:eastAsia="Times New Roman" w:hAnsi="Arial" w:cs="Arial"/>
          <w:iCs/>
          <w:sz w:val="24"/>
          <w:szCs w:val="24"/>
        </w:rPr>
        <w:t xml:space="preserve">maintenance, operating, and safety policies and procedures, staffing levels, acquisition practices, vehicle maintenance and operating costs, utilization levels, and benchmarking analyses.  </w:t>
      </w:r>
      <w:r w:rsidR="0094097A" w:rsidRPr="007C465E">
        <w:rPr>
          <w:rFonts w:ascii="Arial" w:eastAsia="Times New Roman" w:hAnsi="Arial" w:cs="Times New Roman"/>
          <w:sz w:val="24"/>
          <w:szCs w:val="24"/>
        </w:rPr>
        <w:t>The</w:t>
      </w:r>
      <w:r w:rsidR="0094097A">
        <w:rPr>
          <w:rFonts w:ascii="Arial" w:eastAsia="Times New Roman" w:hAnsi="Arial" w:cs="Times New Roman"/>
          <w:sz w:val="24"/>
          <w:szCs w:val="24"/>
        </w:rPr>
        <w:t xml:space="preserve"> PUC</w:t>
      </w:r>
      <w:r w:rsidR="0094097A" w:rsidRPr="007C465E">
        <w:rPr>
          <w:rFonts w:ascii="Arial" w:eastAsia="Times New Roman" w:hAnsi="Arial" w:cs="Times New Roman"/>
          <w:sz w:val="24"/>
          <w:szCs w:val="24"/>
        </w:rPr>
        <w:t xml:space="preserve"> </w:t>
      </w:r>
      <w:r w:rsidR="0094097A">
        <w:rPr>
          <w:rFonts w:ascii="Arial" w:eastAsia="Times New Roman" w:hAnsi="Arial" w:cs="Times New Roman"/>
          <w:sz w:val="24"/>
          <w:szCs w:val="24"/>
        </w:rPr>
        <w:t>auditors</w:t>
      </w:r>
      <w:r w:rsidR="0094097A" w:rsidRPr="007C465E">
        <w:rPr>
          <w:rFonts w:ascii="Arial" w:eastAsia="Times New Roman" w:hAnsi="Arial" w:cs="Times New Roman"/>
          <w:sz w:val="24"/>
          <w:szCs w:val="24"/>
        </w:rPr>
        <w:t xml:space="preserve"> </w:t>
      </w:r>
      <w:r w:rsidR="0094097A">
        <w:rPr>
          <w:rFonts w:ascii="Arial" w:eastAsia="Times New Roman" w:hAnsi="Arial" w:cs="Times New Roman"/>
          <w:sz w:val="24"/>
          <w:szCs w:val="24"/>
        </w:rPr>
        <w:t xml:space="preserve">issued </w:t>
      </w:r>
      <w:r>
        <w:rPr>
          <w:rFonts w:ascii="Arial" w:eastAsia="Times New Roman" w:hAnsi="Arial" w:cs="Times New Roman"/>
          <w:sz w:val="24"/>
          <w:szCs w:val="24"/>
        </w:rPr>
        <w:t>four recommendations</w:t>
      </w:r>
      <w:r w:rsidRPr="007C465E">
        <w:rPr>
          <w:rFonts w:ascii="Arial" w:eastAsia="Times New Roman" w:hAnsi="Arial" w:cs="Times New Roman"/>
          <w:sz w:val="24"/>
          <w:szCs w:val="24"/>
        </w:rPr>
        <w:t xml:space="preserve"> </w:t>
      </w:r>
      <w:r w:rsidR="0094097A">
        <w:rPr>
          <w:rFonts w:ascii="Arial" w:eastAsia="Times New Roman" w:hAnsi="Arial" w:cs="Times New Roman"/>
          <w:sz w:val="24"/>
          <w:szCs w:val="24"/>
        </w:rPr>
        <w:t xml:space="preserve">in </w:t>
      </w:r>
      <w:r w:rsidRPr="007C465E">
        <w:rPr>
          <w:rFonts w:ascii="Arial" w:eastAsia="Times New Roman" w:hAnsi="Arial" w:cs="Times New Roman"/>
          <w:sz w:val="24"/>
          <w:szCs w:val="24"/>
        </w:rPr>
        <w:t xml:space="preserve">the </w:t>
      </w:r>
      <w:r>
        <w:rPr>
          <w:rFonts w:ascii="Arial" w:eastAsia="Times New Roman" w:hAnsi="Arial" w:cs="Times New Roman"/>
          <w:sz w:val="24"/>
          <w:szCs w:val="24"/>
        </w:rPr>
        <w:t xml:space="preserve">Fleet Management </w:t>
      </w:r>
      <w:r w:rsidRPr="007C465E">
        <w:rPr>
          <w:rFonts w:ascii="Arial" w:eastAsia="Times New Roman" w:hAnsi="Arial" w:cs="Times New Roman"/>
          <w:sz w:val="24"/>
          <w:szCs w:val="24"/>
        </w:rPr>
        <w:t>chapter</w:t>
      </w:r>
      <w:r w:rsidR="0094097A">
        <w:rPr>
          <w:rFonts w:ascii="Arial" w:eastAsia="Times New Roman" w:hAnsi="Arial" w:cs="Times New Roman"/>
          <w:sz w:val="24"/>
          <w:szCs w:val="24"/>
        </w:rPr>
        <w:t xml:space="preserve"> and </w:t>
      </w:r>
      <w:r w:rsidRPr="007C465E">
        <w:rPr>
          <w:rFonts w:ascii="Arial" w:eastAsia="Times New Roman" w:hAnsi="Arial" w:cs="Times New Roman"/>
          <w:sz w:val="24"/>
          <w:szCs w:val="24"/>
        </w:rPr>
        <w:t xml:space="preserve">rated </w:t>
      </w:r>
      <w:r>
        <w:rPr>
          <w:rFonts w:ascii="Arial" w:eastAsia="Times New Roman" w:hAnsi="Arial" w:cs="Times New Roman"/>
          <w:sz w:val="24"/>
          <w:szCs w:val="24"/>
        </w:rPr>
        <w:t>the</w:t>
      </w:r>
      <w:r w:rsidRPr="007C465E">
        <w:rPr>
          <w:rFonts w:ascii="Arial" w:eastAsia="Times New Roman" w:hAnsi="Arial" w:cs="Times New Roman"/>
          <w:sz w:val="24"/>
          <w:szCs w:val="24"/>
        </w:rPr>
        <w:t xml:space="preserve"> functional area as needing </w:t>
      </w:r>
      <w:r>
        <w:rPr>
          <w:rFonts w:ascii="Arial" w:eastAsia="Times New Roman" w:hAnsi="Arial" w:cs="Times New Roman"/>
          <w:sz w:val="24"/>
          <w:szCs w:val="24"/>
        </w:rPr>
        <w:t xml:space="preserve">moderate improvement.  In this chapter, four </w:t>
      </w:r>
      <w:r w:rsidRPr="007C465E">
        <w:rPr>
          <w:rFonts w:ascii="Arial" w:eastAsia="Times New Roman" w:hAnsi="Arial" w:cs="Times New Roman"/>
          <w:sz w:val="24"/>
          <w:szCs w:val="24"/>
        </w:rPr>
        <w:t>prior recommendation</w:t>
      </w:r>
      <w:r>
        <w:rPr>
          <w:rFonts w:ascii="Arial" w:eastAsia="Times New Roman" w:hAnsi="Arial" w:cs="Times New Roman"/>
          <w:sz w:val="24"/>
          <w:szCs w:val="24"/>
        </w:rPr>
        <w:t>s</w:t>
      </w:r>
      <w:r w:rsidRPr="007C465E">
        <w:rPr>
          <w:rFonts w:ascii="Arial" w:eastAsia="Times New Roman" w:hAnsi="Arial" w:cs="Times New Roman"/>
          <w:sz w:val="24"/>
          <w:szCs w:val="24"/>
        </w:rPr>
        <w:t xml:space="preserve"> and </w:t>
      </w:r>
      <w:r>
        <w:rPr>
          <w:rFonts w:ascii="Arial" w:eastAsia="Times New Roman" w:hAnsi="Arial" w:cs="Times New Roman"/>
          <w:sz w:val="24"/>
          <w:szCs w:val="24"/>
        </w:rPr>
        <w:t xml:space="preserve">four </w:t>
      </w:r>
      <w:r w:rsidRPr="007C465E">
        <w:rPr>
          <w:rFonts w:ascii="Arial" w:eastAsia="Times New Roman" w:hAnsi="Arial" w:cs="Times New Roman"/>
          <w:sz w:val="24"/>
          <w:szCs w:val="24"/>
        </w:rPr>
        <w:t>prior situation</w:t>
      </w:r>
      <w:r>
        <w:rPr>
          <w:rFonts w:ascii="Arial" w:eastAsia="Times New Roman" w:hAnsi="Arial" w:cs="Times New Roman"/>
          <w:sz w:val="24"/>
          <w:szCs w:val="24"/>
        </w:rPr>
        <w:t>s are</w:t>
      </w:r>
      <w:r w:rsidRPr="007C465E">
        <w:rPr>
          <w:rFonts w:ascii="Arial" w:eastAsia="Times New Roman" w:hAnsi="Arial" w:cs="Times New Roman"/>
          <w:sz w:val="24"/>
          <w:szCs w:val="24"/>
        </w:rPr>
        <w:t xml:space="preserve"> reviewed and </w:t>
      </w:r>
      <w:r>
        <w:rPr>
          <w:rFonts w:ascii="Arial" w:eastAsia="Times New Roman" w:hAnsi="Arial" w:cs="Times New Roman"/>
          <w:sz w:val="24"/>
          <w:szCs w:val="24"/>
        </w:rPr>
        <w:t xml:space="preserve">four </w:t>
      </w:r>
      <w:r w:rsidRPr="007C465E">
        <w:rPr>
          <w:rFonts w:ascii="Arial" w:eastAsia="Times New Roman" w:hAnsi="Arial" w:cs="Times New Roman"/>
          <w:sz w:val="24"/>
          <w:szCs w:val="24"/>
        </w:rPr>
        <w:t>follow</w:t>
      </w:r>
      <w:r w:rsidRPr="007C465E">
        <w:rPr>
          <w:rFonts w:ascii="Arial" w:eastAsia="Times New Roman" w:hAnsi="Arial" w:cs="Times New Roman"/>
          <w:sz w:val="24"/>
          <w:szCs w:val="24"/>
        </w:rPr>
        <w:noBreakHyphen/>
        <w:t>up finding</w:t>
      </w:r>
      <w:r>
        <w:rPr>
          <w:rFonts w:ascii="Arial" w:eastAsia="Times New Roman" w:hAnsi="Arial" w:cs="Times New Roman"/>
          <w:sz w:val="24"/>
          <w:szCs w:val="24"/>
        </w:rPr>
        <w:t xml:space="preserve">s and one </w:t>
      </w:r>
      <w:r w:rsidRPr="00F47DF7">
        <w:rPr>
          <w:rFonts w:ascii="Arial" w:eastAsia="Times New Roman" w:hAnsi="Arial" w:cs="Times New Roman"/>
          <w:sz w:val="24"/>
          <w:szCs w:val="24"/>
        </w:rPr>
        <w:t>follow-up recommendation</w:t>
      </w:r>
      <w:r>
        <w:rPr>
          <w:rFonts w:ascii="Arial" w:eastAsia="Times New Roman" w:hAnsi="Arial" w:cs="Times New Roman"/>
          <w:sz w:val="24"/>
          <w:szCs w:val="24"/>
        </w:rPr>
        <w:t xml:space="preserve"> are </w:t>
      </w:r>
      <w:r w:rsidRPr="007C465E">
        <w:rPr>
          <w:rFonts w:ascii="Arial" w:eastAsia="Times New Roman" w:hAnsi="Arial" w:cs="Times New Roman"/>
          <w:sz w:val="24"/>
          <w:szCs w:val="24"/>
        </w:rPr>
        <w:t>presented.</w:t>
      </w:r>
    </w:p>
    <w:p w14:paraId="7E053141" w14:textId="77777777" w:rsidR="00A359F2" w:rsidRDefault="00A359F2" w:rsidP="00A359F2">
      <w:pPr>
        <w:spacing w:after="0" w:line="20" w:lineRule="atLeast"/>
        <w:contextualSpacing/>
        <w:rPr>
          <w:rFonts w:ascii="Arial" w:eastAsia="Times New Roman" w:hAnsi="Arial" w:cs="Times New Roman"/>
          <w:sz w:val="24"/>
          <w:szCs w:val="24"/>
          <w:highlight w:val="yellow"/>
        </w:rPr>
      </w:pPr>
    </w:p>
    <w:p w14:paraId="283F9575" w14:textId="77777777" w:rsidR="00A359F2" w:rsidRPr="00B10358" w:rsidRDefault="00A359F2" w:rsidP="00A359F2">
      <w:pPr>
        <w:spacing w:after="0" w:line="240" w:lineRule="auto"/>
        <w:jc w:val="center"/>
        <w:rPr>
          <w:rFonts w:ascii="Arial" w:hAnsi="Arial" w:cs="Arial"/>
          <w:b/>
          <w:sz w:val="24"/>
          <w:szCs w:val="24"/>
          <w:u w:val="single"/>
        </w:rPr>
      </w:pPr>
      <w:r w:rsidRPr="00B10358">
        <w:rPr>
          <w:rFonts w:ascii="Arial" w:hAnsi="Arial" w:cs="Arial"/>
          <w:b/>
          <w:sz w:val="24"/>
          <w:szCs w:val="24"/>
          <w:u w:val="single"/>
        </w:rPr>
        <w:t>Finding No. XII-1</w:t>
      </w:r>
    </w:p>
    <w:p w14:paraId="2A55734F" w14:textId="77777777" w:rsidR="00A359F2" w:rsidRPr="005B09DE" w:rsidRDefault="00A359F2" w:rsidP="00A359F2">
      <w:pPr>
        <w:spacing w:after="0" w:line="20" w:lineRule="atLeast"/>
        <w:jc w:val="both"/>
        <w:rPr>
          <w:rFonts w:ascii="Arial" w:eastAsia="Times New Roman" w:hAnsi="Arial" w:cs="Arial"/>
          <w:b/>
          <w:snapToGrid w:val="0"/>
          <w:sz w:val="24"/>
          <w:szCs w:val="20"/>
        </w:rPr>
      </w:pPr>
    </w:p>
    <w:p w14:paraId="2B357451" w14:textId="77777777" w:rsidR="00A359F2" w:rsidRDefault="00A359F2" w:rsidP="00A359F2">
      <w:pPr>
        <w:spacing w:after="0" w:line="20" w:lineRule="atLeast"/>
        <w:contextualSpacing/>
        <w:rPr>
          <w:rFonts w:ascii="Arial" w:eastAsia="Times New Roman" w:hAnsi="Arial" w:cs="Arial"/>
          <w:snapToGrid w:val="0"/>
          <w:sz w:val="24"/>
          <w:szCs w:val="20"/>
        </w:rPr>
      </w:pPr>
      <w:r w:rsidRPr="004D579B">
        <w:rPr>
          <w:rFonts w:ascii="Arial" w:hAnsi="Arial" w:cs="Arial"/>
          <w:b/>
          <w:sz w:val="24"/>
          <w:szCs w:val="24"/>
          <w:u w:val="single"/>
        </w:rPr>
        <w:t>Prior Situation</w:t>
      </w:r>
      <w:r w:rsidRPr="004D579B">
        <w:rPr>
          <w:rFonts w:ascii="Arial" w:hAnsi="Arial" w:cs="Arial"/>
          <w:b/>
          <w:sz w:val="24"/>
          <w:szCs w:val="24"/>
        </w:rPr>
        <w:t xml:space="preserve"> </w:t>
      </w:r>
      <w:r w:rsidRPr="00A67D31">
        <w:rPr>
          <w:rFonts w:ascii="Arial" w:eastAsia="Times New Roman" w:hAnsi="Arial" w:cs="Times New Roman"/>
          <w:sz w:val="24"/>
          <w:szCs w:val="24"/>
        </w:rPr>
        <w:t>–</w:t>
      </w:r>
      <w:r w:rsidR="007C04EF">
        <w:rPr>
          <w:rFonts w:ascii="Arial" w:eastAsia="Times New Roman" w:hAnsi="Arial" w:cs="Times New Roman"/>
          <w:sz w:val="24"/>
          <w:szCs w:val="24"/>
        </w:rPr>
        <w:t xml:space="preserve"> </w:t>
      </w:r>
      <w:r w:rsidRPr="00A72ECC" w:rsidDel="006F59A9">
        <w:rPr>
          <w:rFonts w:ascii="Arial" w:eastAsia="Times New Roman" w:hAnsi="Arial" w:cs="Arial"/>
          <w:snapToGrid w:val="0"/>
          <w:sz w:val="24"/>
          <w:szCs w:val="20"/>
        </w:rPr>
        <w:t>F</w:t>
      </w:r>
      <w:r w:rsidDel="006F59A9">
        <w:rPr>
          <w:rFonts w:ascii="Arial" w:eastAsia="Times New Roman" w:hAnsi="Arial" w:cs="Arial"/>
          <w:snapToGrid w:val="0"/>
          <w:sz w:val="24"/>
          <w:szCs w:val="20"/>
        </w:rPr>
        <w:t>irst</w:t>
      </w:r>
      <w:r w:rsidRPr="00A72ECC" w:rsidDel="006F59A9">
        <w:rPr>
          <w:rFonts w:ascii="Arial" w:eastAsia="Times New Roman" w:hAnsi="Arial" w:cs="Arial"/>
          <w:snapToGrid w:val="0"/>
          <w:sz w:val="24"/>
          <w:szCs w:val="20"/>
        </w:rPr>
        <w:t>E</w:t>
      </w:r>
      <w:r w:rsidDel="006F59A9">
        <w:rPr>
          <w:rFonts w:ascii="Arial" w:eastAsia="Times New Roman" w:hAnsi="Arial" w:cs="Arial"/>
          <w:snapToGrid w:val="0"/>
          <w:sz w:val="24"/>
          <w:szCs w:val="20"/>
        </w:rPr>
        <w:t>nergy</w:t>
      </w:r>
      <w:r w:rsidRPr="00A72ECC" w:rsidDel="006F59A9">
        <w:rPr>
          <w:rFonts w:ascii="Arial" w:eastAsia="Times New Roman" w:hAnsi="Arial" w:cs="Arial"/>
          <w:snapToGrid w:val="0"/>
          <w:sz w:val="24"/>
          <w:szCs w:val="20"/>
        </w:rPr>
        <w:t>’s Vehicle Replacement Criteria w</w:t>
      </w:r>
      <w:r w:rsidDel="006F59A9">
        <w:rPr>
          <w:rFonts w:ascii="Arial" w:eastAsia="Times New Roman" w:hAnsi="Arial" w:cs="Arial"/>
          <w:snapToGrid w:val="0"/>
          <w:sz w:val="24"/>
          <w:szCs w:val="20"/>
        </w:rPr>
        <w:t>as</w:t>
      </w:r>
      <w:r w:rsidRPr="00A72ECC" w:rsidDel="006F59A9">
        <w:rPr>
          <w:rFonts w:ascii="Arial" w:eastAsia="Times New Roman" w:hAnsi="Arial" w:cs="Arial"/>
          <w:snapToGrid w:val="0"/>
          <w:sz w:val="24"/>
          <w:szCs w:val="20"/>
        </w:rPr>
        <w:t xml:space="preserve"> established in 1997 and had not been subsequently updated.  </w:t>
      </w:r>
      <w:r w:rsidRPr="00A72ECC">
        <w:rPr>
          <w:rFonts w:ascii="Arial" w:eastAsia="Times New Roman" w:hAnsi="Arial" w:cs="Arial"/>
          <w:snapToGrid w:val="0"/>
          <w:sz w:val="24"/>
          <w:szCs w:val="20"/>
        </w:rPr>
        <w:t xml:space="preserve">For Asset Classes 1 to 6, replacement was based on either age (i.e., 10, 12, or 15 years) or mileage (i.e., 100,000, 125,000, or 150,000 miles).  For Asset Classes 7 to 9, replacement was based on strictly age (i.e., 15 years).  </w:t>
      </w:r>
      <w:r w:rsidR="006F59A9" w:rsidRPr="003025F2">
        <w:rPr>
          <w:rFonts w:ascii="Arial" w:eastAsia="Times New Roman" w:hAnsi="Arial" w:cs="Arial"/>
          <w:snapToGrid w:val="0"/>
          <w:sz w:val="24"/>
          <w:szCs w:val="20"/>
        </w:rPr>
        <w:t xml:space="preserve">The FE-PA </w:t>
      </w:r>
      <w:r w:rsidR="006F59A9">
        <w:rPr>
          <w:rFonts w:ascii="Arial" w:eastAsia="Times New Roman" w:hAnsi="Arial" w:cs="Arial"/>
          <w:snapToGrid w:val="0"/>
          <w:sz w:val="24"/>
          <w:szCs w:val="20"/>
        </w:rPr>
        <w:t>c</w:t>
      </w:r>
      <w:r w:rsidR="006F59A9" w:rsidRPr="003025F2">
        <w:rPr>
          <w:rFonts w:ascii="Arial" w:eastAsia="Times New Roman" w:hAnsi="Arial" w:cs="Arial"/>
          <w:snapToGrid w:val="0"/>
          <w:sz w:val="24"/>
          <w:szCs w:val="20"/>
        </w:rPr>
        <w:t>ompanies practice with respect to vehicle replacement deviated from FirstEnergy’s Vehicle</w:t>
      </w:r>
      <w:r w:rsidR="006F59A9" w:rsidRPr="00A72ECC">
        <w:rPr>
          <w:rFonts w:ascii="Arial" w:eastAsia="Times New Roman" w:hAnsi="Arial" w:cs="Arial"/>
          <w:snapToGrid w:val="0"/>
          <w:sz w:val="24"/>
          <w:szCs w:val="20"/>
        </w:rPr>
        <w:t xml:space="preserve"> Replacement Criteria.  </w:t>
      </w:r>
      <w:r>
        <w:rPr>
          <w:rFonts w:ascii="Arial" w:eastAsia="Times New Roman" w:hAnsi="Arial" w:cs="Arial"/>
          <w:snapToGrid w:val="0"/>
          <w:sz w:val="24"/>
          <w:szCs w:val="20"/>
        </w:rPr>
        <w:t xml:space="preserve">As </w:t>
      </w:r>
      <w:r w:rsidRPr="00A72ECC">
        <w:rPr>
          <w:rFonts w:ascii="Arial" w:eastAsia="Times New Roman" w:hAnsi="Arial" w:cs="Arial"/>
          <w:snapToGrid w:val="0"/>
          <w:sz w:val="24"/>
          <w:szCs w:val="20"/>
        </w:rPr>
        <w:t xml:space="preserve">shown in Exhibit XII-1, </w:t>
      </w:r>
      <w:r>
        <w:rPr>
          <w:rFonts w:ascii="Arial" w:eastAsia="Times New Roman" w:hAnsi="Arial" w:cs="Arial"/>
          <w:snapToGrid w:val="0"/>
          <w:sz w:val="24"/>
          <w:szCs w:val="20"/>
        </w:rPr>
        <w:t xml:space="preserve">the percentage of vehicles in the </w:t>
      </w:r>
      <w:r w:rsidRPr="00A72ECC">
        <w:rPr>
          <w:rFonts w:ascii="Arial" w:eastAsia="Times New Roman" w:hAnsi="Arial" w:cs="Arial"/>
          <w:snapToGrid w:val="0"/>
          <w:sz w:val="24"/>
          <w:szCs w:val="20"/>
        </w:rPr>
        <w:t>fleet greater than 15 years old</w:t>
      </w:r>
      <w:r>
        <w:rPr>
          <w:rFonts w:ascii="Arial" w:eastAsia="Times New Roman" w:hAnsi="Arial" w:cs="Arial"/>
          <w:snapToGrid w:val="0"/>
          <w:sz w:val="24"/>
          <w:szCs w:val="20"/>
        </w:rPr>
        <w:t xml:space="preserve"> at </w:t>
      </w:r>
      <w:r w:rsidRPr="00A72ECC">
        <w:rPr>
          <w:rFonts w:ascii="Arial" w:eastAsia="Times New Roman" w:hAnsi="Arial" w:cs="Arial"/>
          <w:snapToGrid w:val="0"/>
          <w:sz w:val="24"/>
          <w:szCs w:val="20"/>
        </w:rPr>
        <w:t xml:space="preserve">Met-Ed, Penelec, Penn Power, and West Penn Power </w:t>
      </w:r>
      <w:r>
        <w:rPr>
          <w:rFonts w:ascii="Arial" w:eastAsia="Times New Roman" w:hAnsi="Arial" w:cs="Arial"/>
          <w:snapToGrid w:val="0"/>
          <w:sz w:val="24"/>
          <w:szCs w:val="20"/>
        </w:rPr>
        <w:t>were</w:t>
      </w:r>
      <w:r w:rsidRPr="00A72ECC">
        <w:rPr>
          <w:rFonts w:ascii="Arial" w:eastAsia="Times New Roman" w:hAnsi="Arial" w:cs="Arial"/>
          <w:snapToGrid w:val="0"/>
          <w:sz w:val="24"/>
          <w:szCs w:val="20"/>
        </w:rPr>
        <w:t xml:space="preserve"> 38.0%, 45.7%, 24.7%, and 13.3%, respectively.  F</w:t>
      </w:r>
      <w:r>
        <w:rPr>
          <w:rFonts w:ascii="Arial" w:eastAsia="Times New Roman" w:hAnsi="Arial" w:cs="Arial"/>
          <w:snapToGrid w:val="0"/>
          <w:sz w:val="24"/>
          <w:szCs w:val="20"/>
        </w:rPr>
        <w:t>irst</w:t>
      </w:r>
      <w:r w:rsidRPr="00A72ECC">
        <w:rPr>
          <w:rFonts w:ascii="Arial" w:eastAsia="Times New Roman" w:hAnsi="Arial" w:cs="Arial"/>
          <w:snapToGrid w:val="0"/>
          <w:sz w:val="24"/>
          <w:szCs w:val="20"/>
        </w:rPr>
        <w:t>E</w:t>
      </w:r>
      <w:r>
        <w:rPr>
          <w:rFonts w:ascii="Arial" w:eastAsia="Times New Roman" w:hAnsi="Arial" w:cs="Arial"/>
          <w:snapToGrid w:val="0"/>
          <w:sz w:val="24"/>
          <w:szCs w:val="20"/>
        </w:rPr>
        <w:t>nergy</w:t>
      </w:r>
      <w:r w:rsidRPr="00A72ECC">
        <w:rPr>
          <w:rFonts w:ascii="Arial" w:eastAsia="Times New Roman" w:hAnsi="Arial" w:cs="Arial"/>
          <w:snapToGrid w:val="0"/>
          <w:sz w:val="24"/>
          <w:szCs w:val="20"/>
        </w:rPr>
        <w:t xml:space="preserve">’s Vehicle Replacement Criteria </w:t>
      </w:r>
      <w:r>
        <w:rPr>
          <w:rFonts w:ascii="Arial" w:eastAsia="Times New Roman" w:hAnsi="Arial" w:cs="Arial"/>
          <w:snapToGrid w:val="0"/>
          <w:sz w:val="24"/>
          <w:szCs w:val="20"/>
        </w:rPr>
        <w:t xml:space="preserve">specified that </w:t>
      </w:r>
      <w:r w:rsidRPr="00A72ECC">
        <w:rPr>
          <w:rFonts w:ascii="Arial" w:eastAsia="Times New Roman" w:hAnsi="Arial" w:cs="Arial"/>
          <w:snapToGrid w:val="0"/>
          <w:sz w:val="24"/>
          <w:szCs w:val="20"/>
        </w:rPr>
        <w:t>these vehicl</w:t>
      </w:r>
      <w:r>
        <w:rPr>
          <w:rFonts w:ascii="Arial" w:eastAsia="Times New Roman" w:hAnsi="Arial" w:cs="Arial"/>
          <w:snapToGrid w:val="0"/>
          <w:sz w:val="24"/>
          <w:szCs w:val="20"/>
        </w:rPr>
        <w:t>es should have been replaced.</w:t>
      </w:r>
    </w:p>
    <w:p w14:paraId="3CBC205E" w14:textId="77777777" w:rsidR="00A359F2" w:rsidRDefault="00A359F2" w:rsidP="00A359F2">
      <w:pPr>
        <w:spacing w:after="0" w:line="20" w:lineRule="atLeast"/>
        <w:rPr>
          <w:rFonts w:ascii="Arial" w:eastAsia="Times New Roman" w:hAnsi="Arial" w:cs="Arial"/>
          <w:snapToGrid w:val="0"/>
          <w:sz w:val="24"/>
          <w:szCs w:val="20"/>
        </w:rPr>
      </w:pPr>
    </w:p>
    <w:p w14:paraId="183280EE" w14:textId="77777777" w:rsidR="007C04EF" w:rsidRPr="00A72ECC" w:rsidRDefault="007C04EF" w:rsidP="007C04EF">
      <w:pPr>
        <w:widowControl w:val="0"/>
        <w:spacing w:after="0" w:line="20" w:lineRule="atLeast"/>
        <w:ind w:firstLine="720"/>
        <w:contextualSpacing/>
        <w:rPr>
          <w:rFonts w:ascii="Arial" w:eastAsia="Times New Roman" w:hAnsi="Arial" w:cs="Arial"/>
          <w:snapToGrid w:val="0"/>
          <w:sz w:val="24"/>
          <w:szCs w:val="20"/>
        </w:rPr>
      </w:pPr>
      <w:r w:rsidRPr="00A72ECC">
        <w:rPr>
          <w:rFonts w:ascii="Arial" w:eastAsia="Times New Roman" w:hAnsi="Arial" w:cs="Arial"/>
          <w:snapToGrid w:val="0"/>
          <w:sz w:val="24"/>
          <w:szCs w:val="20"/>
        </w:rPr>
        <w:t xml:space="preserve">The Manager of Regional Fleet Services at each of the </w:t>
      </w:r>
      <w:r>
        <w:rPr>
          <w:rFonts w:ascii="Arial" w:eastAsia="Times New Roman" w:hAnsi="Arial" w:cs="Arial"/>
          <w:snapToGrid w:val="0"/>
          <w:sz w:val="24"/>
          <w:szCs w:val="20"/>
        </w:rPr>
        <w:t>FE-PA companies</w:t>
      </w:r>
      <w:r w:rsidRPr="00A72ECC">
        <w:rPr>
          <w:rFonts w:ascii="Arial" w:eastAsia="Times New Roman" w:hAnsi="Arial" w:cs="Arial"/>
          <w:snapToGrid w:val="0"/>
          <w:sz w:val="24"/>
          <w:szCs w:val="20"/>
        </w:rPr>
        <w:t xml:space="preserve"> reviewed the list of vehicles qualifying for replacement, along with applicable maintenance records, to determine the most appropriate units to replace.  Also, vehicle utilization reports were reviewed to ensure that the replacement units were still needed.  However, a formal vehicle replacement policy should have been developed which clearly indicated the Vehicle Replacement Criteria and applicable maintenance records, utilization reports, etc. that are to be utilized when making vehicle replacement decisions.</w:t>
      </w:r>
    </w:p>
    <w:p w14:paraId="6488E893" w14:textId="77777777" w:rsidR="00A359F2" w:rsidRDefault="00A359F2" w:rsidP="00A359F2">
      <w:pPr>
        <w:spacing w:after="0" w:line="20" w:lineRule="atLeast"/>
        <w:rPr>
          <w:rFonts w:ascii="Arial" w:eastAsia="Times New Roman" w:hAnsi="Arial" w:cs="Arial"/>
          <w:snapToGrid w:val="0"/>
          <w:sz w:val="24"/>
          <w:szCs w:val="20"/>
        </w:rPr>
      </w:pPr>
    </w:p>
    <w:p w14:paraId="734F3F7E" w14:textId="77777777" w:rsidR="0086784A" w:rsidRDefault="0086784A">
      <w:pPr>
        <w:rPr>
          <w:rFonts w:ascii="Arial" w:eastAsia="Times New Roman" w:hAnsi="Arial" w:cs="Arial"/>
          <w:b/>
          <w:bCs/>
          <w:snapToGrid w:val="0"/>
          <w:sz w:val="24"/>
          <w:szCs w:val="24"/>
          <w:lang w:val="en"/>
        </w:rPr>
      </w:pPr>
      <w:r>
        <w:rPr>
          <w:rFonts w:ascii="Arial" w:eastAsia="Times New Roman" w:hAnsi="Arial" w:cs="Arial"/>
          <w:b/>
          <w:bCs/>
          <w:snapToGrid w:val="0"/>
          <w:sz w:val="24"/>
          <w:szCs w:val="24"/>
          <w:lang w:val="en"/>
        </w:rPr>
        <w:br w:type="page"/>
      </w:r>
    </w:p>
    <w:p w14:paraId="4243BAC9" w14:textId="77777777" w:rsidR="00A359F2" w:rsidRPr="00A72ECC" w:rsidRDefault="00A359F2" w:rsidP="00A359F2">
      <w:pPr>
        <w:keepNext/>
        <w:widowControl w:val="0"/>
        <w:spacing w:after="0" w:line="20" w:lineRule="atLeast"/>
        <w:jc w:val="center"/>
        <w:rPr>
          <w:rFonts w:ascii="Arial" w:eastAsia="Times New Roman" w:hAnsi="Arial" w:cs="Arial"/>
          <w:b/>
          <w:bCs/>
          <w:sz w:val="24"/>
          <w:szCs w:val="24"/>
          <w:lang w:val="en"/>
        </w:rPr>
      </w:pPr>
      <w:r w:rsidRPr="00A72ECC">
        <w:rPr>
          <w:rFonts w:ascii="Arial" w:eastAsia="Times New Roman" w:hAnsi="Arial" w:cs="Arial"/>
          <w:b/>
          <w:bCs/>
          <w:snapToGrid w:val="0"/>
          <w:sz w:val="24"/>
          <w:szCs w:val="24"/>
          <w:lang w:val="en"/>
        </w:rPr>
        <w:t>Exhibit XII – 1</w:t>
      </w:r>
    </w:p>
    <w:p w14:paraId="3B618E28" w14:textId="77777777" w:rsidR="00A359F2" w:rsidRPr="00A72ECC" w:rsidRDefault="00A359F2" w:rsidP="00A359F2">
      <w:pPr>
        <w:keepNext/>
        <w:widowControl w:val="0"/>
        <w:spacing w:after="0" w:line="20" w:lineRule="atLeast"/>
        <w:jc w:val="center"/>
        <w:rPr>
          <w:rFonts w:ascii="Arial" w:eastAsia="Times New Roman" w:hAnsi="Arial" w:cs="Arial"/>
          <w:b/>
          <w:bCs/>
          <w:snapToGrid w:val="0"/>
          <w:sz w:val="24"/>
          <w:szCs w:val="24"/>
          <w:lang w:val="en"/>
        </w:rPr>
      </w:pPr>
      <w:r w:rsidRPr="00A72ECC">
        <w:rPr>
          <w:rFonts w:ascii="Arial" w:eastAsia="Times New Roman" w:hAnsi="Arial" w:cs="Arial"/>
          <w:b/>
          <w:bCs/>
          <w:snapToGrid w:val="0"/>
          <w:sz w:val="24"/>
          <w:szCs w:val="24"/>
          <w:lang w:val="en"/>
        </w:rPr>
        <w:t>FirstEnergy Pennsylvania Companies</w:t>
      </w:r>
    </w:p>
    <w:p w14:paraId="289765E8" w14:textId="77777777" w:rsidR="00A359F2" w:rsidRPr="00A72ECC" w:rsidRDefault="00A359F2" w:rsidP="00A359F2">
      <w:pPr>
        <w:keepNext/>
        <w:widowControl w:val="0"/>
        <w:spacing w:after="0" w:line="20" w:lineRule="atLeast"/>
        <w:jc w:val="center"/>
        <w:rPr>
          <w:rFonts w:ascii="Arial" w:eastAsia="Times New Roman" w:hAnsi="Arial" w:cs="Arial"/>
          <w:b/>
          <w:bCs/>
          <w:snapToGrid w:val="0"/>
          <w:sz w:val="24"/>
          <w:szCs w:val="24"/>
          <w:lang w:val="en"/>
        </w:rPr>
      </w:pPr>
      <w:r w:rsidRPr="00A72ECC">
        <w:rPr>
          <w:rFonts w:ascii="Arial" w:eastAsia="Times New Roman" w:hAnsi="Arial" w:cs="Arial"/>
          <w:b/>
          <w:bCs/>
          <w:snapToGrid w:val="0"/>
          <w:sz w:val="24"/>
          <w:szCs w:val="24"/>
          <w:lang w:val="en"/>
        </w:rPr>
        <w:t>Fleet Age Analysis by Vehicle Class</w:t>
      </w:r>
    </w:p>
    <w:p w14:paraId="532D32CC" w14:textId="77777777" w:rsidR="00A359F2" w:rsidRPr="00A72ECC" w:rsidRDefault="00A359F2" w:rsidP="00A359F2">
      <w:pPr>
        <w:keepNext/>
        <w:widowControl w:val="0"/>
        <w:spacing w:after="0" w:line="20" w:lineRule="atLeast"/>
        <w:jc w:val="center"/>
        <w:rPr>
          <w:rFonts w:ascii="Arial" w:eastAsia="Times New Roman" w:hAnsi="Arial" w:cs="Arial"/>
          <w:b/>
          <w:bCs/>
          <w:sz w:val="24"/>
          <w:szCs w:val="24"/>
          <w:lang w:val="en"/>
        </w:rPr>
      </w:pPr>
      <w:r w:rsidRPr="00A72ECC">
        <w:rPr>
          <w:rFonts w:ascii="Arial" w:eastAsia="Times New Roman" w:hAnsi="Arial" w:cs="Arial"/>
          <w:b/>
          <w:bCs/>
          <w:snapToGrid w:val="0"/>
          <w:sz w:val="24"/>
          <w:szCs w:val="24"/>
          <w:lang w:val="en"/>
        </w:rPr>
        <w:t>As of August 2013</w:t>
      </w:r>
    </w:p>
    <w:p w14:paraId="08029AD3" w14:textId="77777777" w:rsidR="00A359F2" w:rsidRPr="00B10358" w:rsidRDefault="00A359F2" w:rsidP="00A359F2">
      <w:pPr>
        <w:widowControl w:val="0"/>
        <w:spacing w:after="0" w:line="20" w:lineRule="atLeast"/>
        <w:ind w:firstLine="720"/>
        <w:rPr>
          <w:rFonts w:ascii="Arial" w:eastAsia="Times New Roman" w:hAnsi="Arial" w:cs="Arial"/>
          <w:snapToGrid w:val="0"/>
          <w:sz w:val="8"/>
          <w:szCs w:val="8"/>
        </w:rPr>
      </w:pPr>
    </w:p>
    <w:tbl>
      <w:tblPr>
        <w:tblW w:w="9192" w:type="dxa"/>
        <w:jc w:val="center"/>
        <w:tblCellMar>
          <w:left w:w="0" w:type="dxa"/>
          <w:right w:w="0" w:type="dxa"/>
        </w:tblCellMar>
        <w:tblLook w:val="04A0" w:firstRow="1" w:lastRow="0" w:firstColumn="1" w:lastColumn="0" w:noHBand="0" w:noVBand="1"/>
      </w:tblPr>
      <w:tblGrid>
        <w:gridCol w:w="751"/>
        <w:gridCol w:w="718"/>
        <w:gridCol w:w="745"/>
        <w:gridCol w:w="627"/>
        <w:gridCol w:w="718"/>
        <w:gridCol w:w="745"/>
        <w:gridCol w:w="627"/>
        <w:gridCol w:w="718"/>
        <w:gridCol w:w="827"/>
        <w:gridCol w:w="627"/>
        <w:gridCol w:w="703"/>
        <w:gridCol w:w="759"/>
        <w:gridCol w:w="627"/>
      </w:tblGrid>
      <w:tr w:rsidR="00A359F2" w:rsidRPr="00A72ECC" w14:paraId="596CE704" w14:textId="77777777" w:rsidTr="00347614">
        <w:trPr>
          <w:trHeight w:val="144"/>
          <w:jc w:val="center"/>
        </w:trPr>
        <w:tc>
          <w:tcPr>
            <w:tcW w:w="751" w:type="dxa"/>
            <w:vMerge w:val="restart"/>
            <w:tcBorders>
              <w:top w:val="single" w:sz="8" w:space="0" w:color="auto"/>
              <w:left w:val="single" w:sz="8" w:space="0" w:color="auto"/>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66FA348A" w14:textId="77777777" w:rsidR="00A359F2" w:rsidRPr="0053566B" w:rsidRDefault="00A359F2" w:rsidP="00347614">
            <w:pPr>
              <w:widowControl w:val="0"/>
              <w:spacing w:after="0" w:line="20" w:lineRule="atLeast"/>
              <w:jc w:val="center"/>
              <w:rPr>
                <w:rFonts w:ascii="Arial" w:eastAsia="Times New Roman" w:hAnsi="Arial" w:cs="Arial"/>
                <w:b/>
                <w:snapToGrid w:val="0"/>
                <w:color w:val="000000"/>
                <w:sz w:val="18"/>
                <w:szCs w:val="18"/>
              </w:rPr>
            </w:pPr>
            <w:r w:rsidRPr="0053566B">
              <w:rPr>
                <w:rFonts w:ascii="Arial" w:eastAsia="Times New Roman" w:hAnsi="Arial" w:cs="Arial"/>
                <w:b/>
                <w:snapToGrid w:val="0"/>
                <w:color w:val="000000"/>
                <w:sz w:val="18"/>
                <w:szCs w:val="18"/>
              </w:rPr>
              <w:t>Class</w:t>
            </w:r>
          </w:p>
        </w:tc>
        <w:tc>
          <w:tcPr>
            <w:tcW w:w="2103" w:type="dxa"/>
            <w:gridSpan w:val="3"/>
            <w:tcBorders>
              <w:top w:val="single" w:sz="8" w:space="0" w:color="auto"/>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14:paraId="27BE9290" w14:textId="77777777" w:rsidR="00A359F2" w:rsidRPr="0053566B" w:rsidRDefault="00A359F2" w:rsidP="00347614">
            <w:pPr>
              <w:widowControl w:val="0"/>
              <w:spacing w:after="0" w:line="20" w:lineRule="atLeast"/>
              <w:jc w:val="center"/>
              <w:rPr>
                <w:rFonts w:ascii="Arial" w:eastAsia="Times New Roman" w:hAnsi="Arial" w:cs="Arial"/>
                <w:b/>
                <w:snapToGrid w:val="0"/>
                <w:color w:val="000000"/>
                <w:sz w:val="18"/>
                <w:szCs w:val="18"/>
              </w:rPr>
            </w:pPr>
            <w:r w:rsidRPr="0053566B">
              <w:rPr>
                <w:rFonts w:ascii="Arial" w:eastAsia="Times New Roman" w:hAnsi="Arial" w:cs="Arial"/>
                <w:b/>
                <w:snapToGrid w:val="0"/>
                <w:color w:val="000000"/>
                <w:sz w:val="18"/>
                <w:szCs w:val="18"/>
              </w:rPr>
              <w:t>Met Ed</w:t>
            </w:r>
          </w:p>
        </w:tc>
        <w:tc>
          <w:tcPr>
            <w:tcW w:w="2104" w:type="dxa"/>
            <w:gridSpan w:val="3"/>
            <w:tcBorders>
              <w:top w:val="single" w:sz="8" w:space="0" w:color="auto"/>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14:paraId="55095E86" w14:textId="77777777" w:rsidR="00A359F2" w:rsidRPr="0053566B" w:rsidRDefault="00A359F2" w:rsidP="00347614">
            <w:pPr>
              <w:widowControl w:val="0"/>
              <w:spacing w:after="0" w:line="20" w:lineRule="atLeast"/>
              <w:jc w:val="center"/>
              <w:rPr>
                <w:rFonts w:ascii="Arial" w:eastAsia="Times New Roman" w:hAnsi="Arial" w:cs="Arial"/>
                <w:b/>
                <w:snapToGrid w:val="0"/>
                <w:color w:val="000000"/>
                <w:sz w:val="18"/>
                <w:szCs w:val="18"/>
              </w:rPr>
            </w:pPr>
            <w:r w:rsidRPr="0053566B">
              <w:rPr>
                <w:rFonts w:ascii="Arial" w:eastAsia="Times New Roman" w:hAnsi="Arial" w:cs="Arial"/>
                <w:b/>
                <w:snapToGrid w:val="0"/>
                <w:color w:val="000000"/>
                <w:sz w:val="18"/>
                <w:szCs w:val="18"/>
              </w:rPr>
              <w:t>Penelec</w:t>
            </w:r>
          </w:p>
        </w:tc>
        <w:tc>
          <w:tcPr>
            <w:tcW w:w="2131" w:type="dxa"/>
            <w:gridSpan w:val="3"/>
            <w:tcBorders>
              <w:top w:val="single" w:sz="8" w:space="0" w:color="auto"/>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14:paraId="637C2E11" w14:textId="77777777" w:rsidR="00A359F2" w:rsidRPr="0053566B" w:rsidRDefault="00A359F2" w:rsidP="00347614">
            <w:pPr>
              <w:widowControl w:val="0"/>
              <w:spacing w:after="0" w:line="20" w:lineRule="atLeast"/>
              <w:jc w:val="center"/>
              <w:rPr>
                <w:rFonts w:ascii="Arial" w:eastAsia="Times New Roman" w:hAnsi="Arial" w:cs="Arial"/>
                <w:b/>
                <w:snapToGrid w:val="0"/>
                <w:color w:val="000000"/>
                <w:sz w:val="18"/>
                <w:szCs w:val="18"/>
              </w:rPr>
            </w:pPr>
            <w:r w:rsidRPr="0053566B">
              <w:rPr>
                <w:rFonts w:ascii="Arial" w:eastAsia="Times New Roman" w:hAnsi="Arial" w:cs="Arial"/>
                <w:b/>
                <w:snapToGrid w:val="0"/>
                <w:color w:val="000000"/>
                <w:sz w:val="18"/>
                <w:szCs w:val="18"/>
              </w:rPr>
              <w:t>Penn Power</w:t>
            </w:r>
          </w:p>
        </w:tc>
        <w:tc>
          <w:tcPr>
            <w:tcW w:w="2103" w:type="dxa"/>
            <w:gridSpan w:val="3"/>
            <w:tcBorders>
              <w:top w:val="single" w:sz="8" w:space="0" w:color="auto"/>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14:paraId="2E0037E4" w14:textId="77777777" w:rsidR="00A359F2" w:rsidRPr="0053566B" w:rsidRDefault="00A359F2" w:rsidP="00347614">
            <w:pPr>
              <w:widowControl w:val="0"/>
              <w:spacing w:after="0" w:line="20" w:lineRule="atLeast"/>
              <w:jc w:val="center"/>
              <w:rPr>
                <w:rFonts w:ascii="Arial" w:eastAsia="Times New Roman" w:hAnsi="Arial" w:cs="Arial"/>
                <w:b/>
                <w:snapToGrid w:val="0"/>
                <w:color w:val="000000"/>
                <w:sz w:val="18"/>
                <w:szCs w:val="18"/>
              </w:rPr>
            </w:pPr>
            <w:r w:rsidRPr="0053566B">
              <w:rPr>
                <w:rFonts w:ascii="Arial" w:eastAsia="Times New Roman" w:hAnsi="Arial" w:cs="Arial"/>
                <w:b/>
                <w:snapToGrid w:val="0"/>
                <w:color w:val="000000"/>
                <w:sz w:val="18"/>
                <w:szCs w:val="18"/>
              </w:rPr>
              <w:t>West Penn Power</w:t>
            </w:r>
          </w:p>
        </w:tc>
      </w:tr>
      <w:tr w:rsidR="00A359F2" w:rsidRPr="00A72ECC" w14:paraId="5BF85765" w14:textId="77777777" w:rsidTr="00347614">
        <w:trPr>
          <w:trHeight w:val="14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1E75F57" w14:textId="77777777" w:rsidR="00A359F2" w:rsidRPr="0053566B" w:rsidRDefault="00A359F2" w:rsidP="00347614">
            <w:pPr>
              <w:widowControl w:val="0"/>
              <w:spacing w:after="0" w:line="20" w:lineRule="atLeast"/>
              <w:rPr>
                <w:rFonts w:ascii="Arial" w:eastAsia="Calibri" w:hAnsi="Arial" w:cs="Arial"/>
                <w:b/>
                <w:snapToGrid w:val="0"/>
                <w:color w:val="000000"/>
                <w:sz w:val="18"/>
                <w:szCs w:val="18"/>
              </w:rPr>
            </w:pPr>
          </w:p>
        </w:tc>
        <w:tc>
          <w:tcPr>
            <w:tcW w:w="75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bottom"/>
            <w:hideMark/>
          </w:tcPr>
          <w:p w14:paraId="6441731B" w14:textId="77777777" w:rsidR="00A359F2" w:rsidRPr="0053566B" w:rsidRDefault="00A359F2" w:rsidP="00347614">
            <w:pPr>
              <w:widowControl w:val="0"/>
              <w:spacing w:after="0" w:line="20" w:lineRule="atLeast"/>
              <w:jc w:val="center"/>
              <w:rPr>
                <w:rFonts w:ascii="Arial" w:eastAsia="Times New Roman" w:hAnsi="Arial" w:cs="Arial"/>
                <w:b/>
                <w:snapToGrid w:val="0"/>
                <w:color w:val="000000"/>
                <w:sz w:val="18"/>
                <w:szCs w:val="18"/>
              </w:rPr>
            </w:pPr>
            <w:r w:rsidRPr="0053566B">
              <w:rPr>
                <w:rFonts w:ascii="Arial" w:eastAsia="Times New Roman" w:hAnsi="Arial" w:cs="Arial"/>
                <w:b/>
                <w:snapToGrid w:val="0"/>
                <w:color w:val="000000"/>
                <w:sz w:val="18"/>
                <w:szCs w:val="18"/>
              </w:rPr>
              <w:t>Units &gt; 15 Yrs</w:t>
            </w:r>
          </w:p>
        </w:tc>
        <w:tc>
          <w:tcPr>
            <w:tcW w:w="758"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bottom"/>
            <w:hideMark/>
          </w:tcPr>
          <w:p w14:paraId="3DE9BF3B" w14:textId="77777777" w:rsidR="00A359F2" w:rsidRPr="0053566B" w:rsidRDefault="00A359F2" w:rsidP="00347614">
            <w:pPr>
              <w:widowControl w:val="0"/>
              <w:spacing w:after="0" w:line="20" w:lineRule="atLeast"/>
              <w:jc w:val="center"/>
              <w:rPr>
                <w:rFonts w:ascii="Arial" w:eastAsia="Times New Roman" w:hAnsi="Arial" w:cs="Arial"/>
                <w:b/>
                <w:snapToGrid w:val="0"/>
                <w:color w:val="000000"/>
                <w:sz w:val="18"/>
                <w:szCs w:val="18"/>
              </w:rPr>
            </w:pPr>
            <w:r w:rsidRPr="0053566B">
              <w:rPr>
                <w:rFonts w:ascii="Arial" w:eastAsia="Times New Roman" w:hAnsi="Arial" w:cs="Arial"/>
                <w:b/>
                <w:snapToGrid w:val="0"/>
                <w:color w:val="000000"/>
                <w:sz w:val="18"/>
                <w:szCs w:val="18"/>
              </w:rPr>
              <w:t>% of Total</w:t>
            </w:r>
          </w:p>
        </w:tc>
        <w:tc>
          <w:tcPr>
            <w:tcW w:w="589"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bottom"/>
            <w:hideMark/>
          </w:tcPr>
          <w:p w14:paraId="4B5A0DE7" w14:textId="77777777" w:rsidR="00A359F2" w:rsidRPr="0053566B" w:rsidRDefault="00A359F2" w:rsidP="00347614">
            <w:pPr>
              <w:widowControl w:val="0"/>
              <w:spacing w:after="0" w:line="20" w:lineRule="atLeast"/>
              <w:jc w:val="center"/>
              <w:rPr>
                <w:rFonts w:ascii="Arial" w:eastAsia="Times New Roman" w:hAnsi="Arial" w:cs="Arial"/>
                <w:b/>
                <w:snapToGrid w:val="0"/>
                <w:color w:val="000000"/>
                <w:sz w:val="18"/>
                <w:szCs w:val="18"/>
              </w:rPr>
            </w:pPr>
            <w:r w:rsidRPr="0053566B">
              <w:rPr>
                <w:rFonts w:ascii="Arial" w:eastAsia="Times New Roman" w:hAnsi="Arial" w:cs="Arial"/>
                <w:b/>
                <w:snapToGrid w:val="0"/>
                <w:color w:val="000000"/>
                <w:sz w:val="18"/>
                <w:szCs w:val="18"/>
              </w:rPr>
              <w:t>Avg Age (Yrs)</w:t>
            </w:r>
          </w:p>
        </w:tc>
        <w:tc>
          <w:tcPr>
            <w:tcW w:w="757"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bottom"/>
            <w:hideMark/>
          </w:tcPr>
          <w:p w14:paraId="58D43E18" w14:textId="77777777" w:rsidR="00A359F2" w:rsidRPr="0053566B" w:rsidRDefault="00A359F2" w:rsidP="00347614">
            <w:pPr>
              <w:widowControl w:val="0"/>
              <w:spacing w:after="0" w:line="20" w:lineRule="atLeast"/>
              <w:jc w:val="center"/>
              <w:rPr>
                <w:rFonts w:ascii="Arial" w:eastAsia="Times New Roman" w:hAnsi="Arial" w:cs="Arial"/>
                <w:b/>
                <w:snapToGrid w:val="0"/>
                <w:color w:val="000000"/>
                <w:sz w:val="18"/>
                <w:szCs w:val="18"/>
              </w:rPr>
            </w:pPr>
            <w:r w:rsidRPr="0053566B">
              <w:rPr>
                <w:rFonts w:ascii="Arial" w:eastAsia="Times New Roman" w:hAnsi="Arial" w:cs="Arial"/>
                <w:b/>
                <w:snapToGrid w:val="0"/>
                <w:color w:val="000000"/>
                <w:sz w:val="18"/>
                <w:szCs w:val="18"/>
              </w:rPr>
              <w:t>Units &gt; 15 Yrs</w:t>
            </w:r>
          </w:p>
        </w:tc>
        <w:tc>
          <w:tcPr>
            <w:tcW w:w="758"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bottom"/>
            <w:hideMark/>
          </w:tcPr>
          <w:p w14:paraId="615EFD20" w14:textId="77777777" w:rsidR="00A359F2" w:rsidRPr="0053566B" w:rsidRDefault="00A359F2" w:rsidP="00347614">
            <w:pPr>
              <w:widowControl w:val="0"/>
              <w:spacing w:after="0" w:line="20" w:lineRule="atLeast"/>
              <w:jc w:val="center"/>
              <w:rPr>
                <w:rFonts w:ascii="Arial" w:eastAsia="Times New Roman" w:hAnsi="Arial" w:cs="Arial"/>
                <w:b/>
                <w:snapToGrid w:val="0"/>
                <w:color w:val="000000"/>
                <w:sz w:val="18"/>
                <w:szCs w:val="18"/>
              </w:rPr>
            </w:pPr>
            <w:r w:rsidRPr="0053566B">
              <w:rPr>
                <w:rFonts w:ascii="Arial" w:eastAsia="Times New Roman" w:hAnsi="Arial" w:cs="Arial"/>
                <w:b/>
                <w:snapToGrid w:val="0"/>
                <w:color w:val="000000"/>
                <w:sz w:val="18"/>
                <w:szCs w:val="18"/>
              </w:rPr>
              <w:t>% of Total</w:t>
            </w:r>
          </w:p>
        </w:tc>
        <w:tc>
          <w:tcPr>
            <w:tcW w:w="589"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bottom"/>
            <w:hideMark/>
          </w:tcPr>
          <w:p w14:paraId="1421AFBC" w14:textId="77777777" w:rsidR="00A359F2" w:rsidRPr="0053566B" w:rsidRDefault="00A359F2" w:rsidP="00347614">
            <w:pPr>
              <w:widowControl w:val="0"/>
              <w:spacing w:after="0" w:line="20" w:lineRule="atLeast"/>
              <w:jc w:val="center"/>
              <w:rPr>
                <w:rFonts w:ascii="Arial" w:eastAsia="Times New Roman" w:hAnsi="Arial" w:cs="Arial"/>
                <w:b/>
                <w:snapToGrid w:val="0"/>
                <w:color w:val="000000"/>
                <w:sz w:val="18"/>
                <w:szCs w:val="18"/>
              </w:rPr>
            </w:pPr>
            <w:r w:rsidRPr="0053566B">
              <w:rPr>
                <w:rFonts w:ascii="Arial" w:eastAsia="Times New Roman" w:hAnsi="Arial" w:cs="Arial"/>
                <w:b/>
                <w:snapToGrid w:val="0"/>
                <w:color w:val="000000"/>
                <w:sz w:val="18"/>
                <w:szCs w:val="18"/>
              </w:rPr>
              <w:t>Avg Age (Yrs)</w:t>
            </w:r>
          </w:p>
        </w:tc>
        <w:tc>
          <w:tcPr>
            <w:tcW w:w="757"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bottom"/>
            <w:hideMark/>
          </w:tcPr>
          <w:p w14:paraId="6B5F837B" w14:textId="77777777" w:rsidR="00A359F2" w:rsidRPr="0053566B" w:rsidRDefault="00A359F2" w:rsidP="00347614">
            <w:pPr>
              <w:widowControl w:val="0"/>
              <w:spacing w:after="0" w:line="20" w:lineRule="atLeast"/>
              <w:jc w:val="center"/>
              <w:rPr>
                <w:rFonts w:ascii="Arial" w:eastAsia="Times New Roman" w:hAnsi="Arial" w:cs="Arial"/>
                <w:b/>
                <w:snapToGrid w:val="0"/>
                <w:color w:val="000000"/>
                <w:sz w:val="18"/>
                <w:szCs w:val="18"/>
              </w:rPr>
            </w:pPr>
            <w:r w:rsidRPr="0053566B">
              <w:rPr>
                <w:rFonts w:ascii="Arial" w:eastAsia="Times New Roman" w:hAnsi="Arial" w:cs="Arial"/>
                <w:b/>
                <w:snapToGrid w:val="0"/>
                <w:color w:val="000000"/>
                <w:sz w:val="18"/>
                <w:szCs w:val="18"/>
              </w:rPr>
              <w:t>Units &gt; 15 Yrs</w:t>
            </w:r>
          </w:p>
        </w:tc>
        <w:tc>
          <w:tcPr>
            <w:tcW w:w="784"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bottom"/>
            <w:hideMark/>
          </w:tcPr>
          <w:p w14:paraId="4A43EAC3" w14:textId="77777777" w:rsidR="00A359F2" w:rsidRPr="0053566B" w:rsidRDefault="00A359F2" w:rsidP="00347614">
            <w:pPr>
              <w:widowControl w:val="0"/>
              <w:spacing w:after="0" w:line="20" w:lineRule="atLeast"/>
              <w:jc w:val="center"/>
              <w:rPr>
                <w:rFonts w:ascii="Arial" w:eastAsia="Times New Roman" w:hAnsi="Arial" w:cs="Arial"/>
                <w:b/>
                <w:snapToGrid w:val="0"/>
                <w:color w:val="000000"/>
                <w:sz w:val="18"/>
                <w:szCs w:val="18"/>
              </w:rPr>
            </w:pPr>
            <w:r w:rsidRPr="0053566B">
              <w:rPr>
                <w:rFonts w:ascii="Arial" w:eastAsia="Times New Roman" w:hAnsi="Arial" w:cs="Arial"/>
                <w:b/>
                <w:snapToGrid w:val="0"/>
                <w:color w:val="000000"/>
                <w:sz w:val="18"/>
                <w:szCs w:val="18"/>
              </w:rPr>
              <w:t>% of Total</w:t>
            </w:r>
          </w:p>
        </w:tc>
        <w:tc>
          <w:tcPr>
            <w:tcW w:w="58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2A921607" w14:textId="77777777" w:rsidR="00A359F2" w:rsidRPr="0053566B" w:rsidRDefault="00A359F2" w:rsidP="00347614">
            <w:pPr>
              <w:widowControl w:val="0"/>
              <w:spacing w:after="0" w:line="20" w:lineRule="atLeast"/>
              <w:jc w:val="center"/>
              <w:rPr>
                <w:rFonts w:ascii="Arial" w:eastAsia="Times New Roman" w:hAnsi="Arial" w:cs="Arial"/>
                <w:b/>
                <w:snapToGrid w:val="0"/>
                <w:color w:val="000000"/>
                <w:sz w:val="18"/>
                <w:szCs w:val="18"/>
              </w:rPr>
            </w:pPr>
            <w:r w:rsidRPr="0053566B">
              <w:rPr>
                <w:rFonts w:ascii="Arial" w:eastAsia="Times New Roman" w:hAnsi="Arial" w:cs="Arial"/>
                <w:b/>
                <w:snapToGrid w:val="0"/>
                <w:color w:val="000000"/>
                <w:sz w:val="18"/>
                <w:szCs w:val="18"/>
              </w:rPr>
              <w:t>Avg Age (Yrs)</w:t>
            </w:r>
          </w:p>
        </w:tc>
        <w:tc>
          <w:tcPr>
            <w:tcW w:w="730"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bottom"/>
            <w:hideMark/>
          </w:tcPr>
          <w:p w14:paraId="4163E68E" w14:textId="77777777" w:rsidR="00A359F2" w:rsidRPr="0053566B" w:rsidRDefault="00A359F2" w:rsidP="00347614">
            <w:pPr>
              <w:widowControl w:val="0"/>
              <w:spacing w:after="0" w:line="20" w:lineRule="atLeast"/>
              <w:jc w:val="center"/>
              <w:rPr>
                <w:rFonts w:ascii="Arial" w:eastAsia="Times New Roman" w:hAnsi="Arial" w:cs="Arial"/>
                <w:b/>
                <w:snapToGrid w:val="0"/>
                <w:color w:val="000000"/>
                <w:sz w:val="18"/>
                <w:szCs w:val="18"/>
              </w:rPr>
            </w:pPr>
            <w:r w:rsidRPr="0053566B">
              <w:rPr>
                <w:rFonts w:ascii="Arial" w:eastAsia="Times New Roman" w:hAnsi="Arial" w:cs="Arial"/>
                <w:b/>
                <w:snapToGrid w:val="0"/>
                <w:color w:val="000000"/>
                <w:sz w:val="18"/>
                <w:szCs w:val="18"/>
              </w:rPr>
              <w:t>Units &gt; 15 Yrs</w:t>
            </w:r>
          </w:p>
        </w:tc>
        <w:tc>
          <w:tcPr>
            <w:tcW w:w="783"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bottom"/>
            <w:hideMark/>
          </w:tcPr>
          <w:p w14:paraId="3090B186" w14:textId="77777777" w:rsidR="00A359F2" w:rsidRPr="0053566B" w:rsidRDefault="00A359F2" w:rsidP="00347614">
            <w:pPr>
              <w:widowControl w:val="0"/>
              <w:spacing w:after="0" w:line="20" w:lineRule="atLeast"/>
              <w:jc w:val="center"/>
              <w:rPr>
                <w:rFonts w:ascii="Arial" w:eastAsia="Times New Roman" w:hAnsi="Arial" w:cs="Arial"/>
                <w:b/>
                <w:snapToGrid w:val="0"/>
                <w:color w:val="000000"/>
                <w:sz w:val="18"/>
                <w:szCs w:val="18"/>
              </w:rPr>
            </w:pPr>
            <w:r w:rsidRPr="0053566B">
              <w:rPr>
                <w:rFonts w:ascii="Arial" w:eastAsia="Times New Roman" w:hAnsi="Arial" w:cs="Arial"/>
                <w:b/>
                <w:snapToGrid w:val="0"/>
                <w:color w:val="000000"/>
                <w:sz w:val="18"/>
                <w:szCs w:val="18"/>
              </w:rPr>
              <w:t>% of Total</w:t>
            </w:r>
          </w:p>
        </w:tc>
        <w:tc>
          <w:tcPr>
            <w:tcW w:w="58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39F736A6" w14:textId="77777777" w:rsidR="00A359F2" w:rsidRPr="0053566B" w:rsidRDefault="00A359F2" w:rsidP="00347614">
            <w:pPr>
              <w:widowControl w:val="0"/>
              <w:spacing w:after="0" w:line="20" w:lineRule="atLeast"/>
              <w:jc w:val="center"/>
              <w:rPr>
                <w:rFonts w:ascii="Arial" w:eastAsia="Times New Roman" w:hAnsi="Arial" w:cs="Arial"/>
                <w:b/>
                <w:snapToGrid w:val="0"/>
                <w:color w:val="000000"/>
                <w:sz w:val="18"/>
                <w:szCs w:val="18"/>
              </w:rPr>
            </w:pPr>
            <w:r w:rsidRPr="0053566B">
              <w:rPr>
                <w:rFonts w:ascii="Arial" w:eastAsia="Times New Roman" w:hAnsi="Arial" w:cs="Arial"/>
                <w:b/>
                <w:snapToGrid w:val="0"/>
                <w:color w:val="000000"/>
                <w:sz w:val="18"/>
                <w:szCs w:val="18"/>
              </w:rPr>
              <w:t>Avg Age (Yrs)</w:t>
            </w:r>
          </w:p>
        </w:tc>
      </w:tr>
      <w:tr w:rsidR="00A359F2" w:rsidRPr="00A72ECC" w14:paraId="173A9298" w14:textId="77777777" w:rsidTr="00347614">
        <w:trPr>
          <w:trHeight w:val="144"/>
          <w:jc w:val="center"/>
        </w:trPr>
        <w:tc>
          <w:tcPr>
            <w:tcW w:w="7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13D9668"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1</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BFF005"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55</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7BA4B"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27.8%</w:t>
            </w:r>
          </w:p>
        </w:tc>
        <w:tc>
          <w:tcPr>
            <w:tcW w:w="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2BE36"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9.0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81E31"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31</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1B3250"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14.9%</w:t>
            </w:r>
          </w:p>
        </w:tc>
        <w:tc>
          <w:tcPr>
            <w:tcW w:w="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61236"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8.0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D571B6"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4</w:t>
            </w:r>
          </w:p>
        </w:tc>
        <w:tc>
          <w:tcPr>
            <w:tcW w:w="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7859FD"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15.4%</w:t>
            </w:r>
          </w:p>
        </w:tc>
        <w:tc>
          <w:tcPr>
            <w:tcW w:w="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2116F4"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6.0</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7A5287"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3</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BCCE3F"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1.3%</w:t>
            </w:r>
          </w:p>
        </w:tc>
        <w:tc>
          <w:tcPr>
            <w:tcW w:w="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41327C"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5.0</w:t>
            </w:r>
          </w:p>
        </w:tc>
      </w:tr>
      <w:tr w:rsidR="00A359F2" w:rsidRPr="00A72ECC" w14:paraId="08A74B63" w14:textId="77777777" w:rsidTr="00347614">
        <w:trPr>
          <w:trHeight w:val="144"/>
          <w:jc w:val="center"/>
        </w:trPr>
        <w:tc>
          <w:tcPr>
            <w:tcW w:w="7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169900"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2</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86F4A"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47</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D23F01"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25.0%</w:t>
            </w:r>
          </w:p>
        </w:tc>
        <w:tc>
          <w:tcPr>
            <w:tcW w:w="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C7CA07"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7.2</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9E3F04"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60</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E45970"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26.5%</w:t>
            </w:r>
          </w:p>
        </w:tc>
        <w:tc>
          <w:tcPr>
            <w:tcW w:w="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48077E"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8.3</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40C2C"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0</w:t>
            </w:r>
          </w:p>
        </w:tc>
        <w:tc>
          <w:tcPr>
            <w:tcW w:w="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63AB95"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0.0%</w:t>
            </w:r>
          </w:p>
        </w:tc>
        <w:tc>
          <w:tcPr>
            <w:tcW w:w="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BA5B6E"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6.0</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525ECE"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6</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BE87D"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3.7%</w:t>
            </w:r>
          </w:p>
        </w:tc>
        <w:tc>
          <w:tcPr>
            <w:tcW w:w="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E2F393"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6.2</w:t>
            </w:r>
          </w:p>
        </w:tc>
      </w:tr>
      <w:tr w:rsidR="00A359F2" w:rsidRPr="00A72ECC" w14:paraId="5CA62460" w14:textId="77777777" w:rsidTr="00347614">
        <w:trPr>
          <w:trHeight w:val="144"/>
          <w:jc w:val="center"/>
        </w:trPr>
        <w:tc>
          <w:tcPr>
            <w:tcW w:w="7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503C78B"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3</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0AEA46"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13</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CA63E9"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56.5%</w:t>
            </w:r>
          </w:p>
        </w:tc>
        <w:tc>
          <w:tcPr>
            <w:tcW w:w="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67AB61"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16.9</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65186"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16</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125EBE"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64.0%</w:t>
            </w:r>
          </w:p>
        </w:tc>
        <w:tc>
          <w:tcPr>
            <w:tcW w:w="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C9696E"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16.0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DE629A"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2</w:t>
            </w:r>
          </w:p>
        </w:tc>
        <w:tc>
          <w:tcPr>
            <w:tcW w:w="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7965EC"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33.3%</w:t>
            </w:r>
          </w:p>
        </w:tc>
        <w:tc>
          <w:tcPr>
            <w:tcW w:w="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47B626"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11.0</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23981D"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0</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8F4EE1"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0.0%</w:t>
            </w:r>
          </w:p>
        </w:tc>
        <w:tc>
          <w:tcPr>
            <w:tcW w:w="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D1C602"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5.3</w:t>
            </w:r>
          </w:p>
        </w:tc>
      </w:tr>
      <w:tr w:rsidR="00A359F2" w:rsidRPr="00A72ECC" w14:paraId="3AB23F6D" w14:textId="77777777" w:rsidTr="00347614">
        <w:trPr>
          <w:trHeight w:val="144"/>
          <w:jc w:val="center"/>
        </w:trPr>
        <w:tc>
          <w:tcPr>
            <w:tcW w:w="7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CCE5535"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4</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A7C665"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40</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72D926"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23.8%</w:t>
            </w:r>
          </w:p>
        </w:tc>
        <w:tc>
          <w:tcPr>
            <w:tcW w:w="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015316"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7.0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DD2305"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47</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956136"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18.1%</w:t>
            </w:r>
          </w:p>
        </w:tc>
        <w:tc>
          <w:tcPr>
            <w:tcW w:w="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BF5220"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7.3</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BE52B1"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7</w:t>
            </w:r>
          </w:p>
        </w:tc>
        <w:tc>
          <w:tcPr>
            <w:tcW w:w="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772B90"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10.6%</w:t>
            </w:r>
          </w:p>
        </w:tc>
        <w:tc>
          <w:tcPr>
            <w:tcW w:w="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CF164A"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6.0</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7130F"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0</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C32228"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0.0%</w:t>
            </w:r>
          </w:p>
        </w:tc>
        <w:tc>
          <w:tcPr>
            <w:tcW w:w="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022E2D"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6.7</w:t>
            </w:r>
          </w:p>
        </w:tc>
      </w:tr>
      <w:tr w:rsidR="00A359F2" w:rsidRPr="00A72ECC" w14:paraId="38194495" w14:textId="77777777" w:rsidTr="00347614">
        <w:trPr>
          <w:trHeight w:val="144"/>
          <w:jc w:val="center"/>
        </w:trPr>
        <w:tc>
          <w:tcPr>
            <w:tcW w:w="7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3381296"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5</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2DE419"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22</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948A97"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53.7%</w:t>
            </w:r>
          </w:p>
        </w:tc>
        <w:tc>
          <w:tcPr>
            <w:tcW w:w="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95B846"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10.5</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CAFAD2"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44</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051644"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66.7%</w:t>
            </w:r>
          </w:p>
        </w:tc>
        <w:tc>
          <w:tcPr>
            <w:tcW w:w="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340F96"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13.0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46C204"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4</w:t>
            </w:r>
          </w:p>
        </w:tc>
        <w:tc>
          <w:tcPr>
            <w:tcW w:w="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8DC2BC"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30.8%</w:t>
            </w:r>
          </w:p>
        </w:tc>
        <w:tc>
          <w:tcPr>
            <w:tcW w:w="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747161"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9.0</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E49DD"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3</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D482E6"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9.7%</w:t>
            </w:r>
          </w:p>
        </w:tc>
        <w:tc>
          <w:tcPr>
            <w:tcW w:w="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AE5C57"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7.0</w:t>
            </w:r>
          </w:p>
        </w:tc>
      </w:tr>
      <w:tr w:rsidR="00A359F2" w:rsidRPr="00A72ECC" w14:paraId="4A253156" w14:textId="77777777" w:rsidTr="00347614">
        <w:trPr>
          <w:trHeight w:val="144"/>
          <w:jc w:val="center"/>
        </w:trPr>
        <w:tc>
          <w:tcPr>
            <w:tcW w:w="7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68CCD7"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6</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871D3D"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12</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96B6D"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75.0%</w:t>
            </w:r>
          </w:p>
        </w:tc>
        <w:tc>
          <w:tcPr>
            <w:tcW w:w="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1B0C44"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20.0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B2541C"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7</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193FC"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70.0%</w:t>
            </w:r>
          </w:p>
        </w:tc>
        <w:tc>
          <w:tcPr>
            <w:tcW w:w="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A6EDE8"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18.0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01C270"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6</w:t>
            </w:r>
          </w:p>
        </w:tc>
        <w:tc>
          <w:tcPr>
            <w:tcW w:w="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8CFE68"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85.7%</w:t>
            </w:r>
          </w:p>
        </w:tc>
        <w:tc>
          <w:tcPr>
            <w:tcW w:w="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08ACB4"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17.0</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D655D2"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0</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A750BA"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0.0%</w:t>
            </w:r>
          </w:p>
        </w:tc>
        <w:tc>
          <w:tcPr>
            <w:tcW w:w="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D0B7BB"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4.4</w:t>
            </w:r>
          </w:p>
        </w:tc>
      </w:tr>
      <w:tr w:rsidR="00A359F2" w:rsidRPr="00A72ECC" w14:paraId="60898A7E" w14:textId="77777777" w:rsidTr="00347614">
        <w:trPr>
          <w:trHeight w:val="144"/>
          <w:jc w:val="center"/>
        </w:trPr>
        <w:tc>
          <w:tcPr>
            <w:tcW w:w="7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E2971F"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7</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CC42CD"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100</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2B7156"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52.4%</w:t>
            </w:r>
          </w:p>
        </w:tc>
        <w:tc>
          <w:tcPr>
            <w:tcW w:w="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A7D94C"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21.3</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47F621"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261</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BA0855"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79.8%</w:t>
            </w:r>
          </w:p>
        </w:tc>
        <w:tc>
          <w:tcPr>
            <w:tcW w:w="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E9580"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22.0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A0333"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30</w:t>
            </w:r>
          </w:p>
        </w:tc>
        <w:tc>
          <w:tcPr>
            <w:tcW w:w="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9A21B"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48.3%</w:t>
            </w:r>
          </w:p>
        </w:tc>
        <w:tc>
          <w:tcPr>
            <w:tcW w:w="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CCB2EA"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18.0</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F86AF7"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79</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2C42CC"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33.8%</w:t>
            </w:r>
          </w:p>
        </w:tc>
        <w:tc>
          <w:tcPr>
            <w:tcW w:w="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0B675F"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13.0</w:t>
            </w:r>
          </w:p>
        </w:tc>
      </w:tr>
      <w:tr w:rsidR="00A359F2" w:rsidRPr="00A72ECC" w14:paraId="672469DC" w14:textId="77777777" w:rsidTr="00347614">
        <w:trPr>
          <w:trHeight w:val="144"/>
          <w:jc w:val="center"/>
        </w:trPr>
        <w:tc>
          <w:tcPr>
            <w:tcW w:w="7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792DB98"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8</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FF0532"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14</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774B19"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70.0%</w:t>
            </w:r>
          </w:p>
        </w:tc>
        <w:tc>
          <w:tcPr>
            <w:tcW w:w="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88C258"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20.2</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946FA6"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38</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8C30A9"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80.9%</w:t>
            </w:r>
          </w:p>
        </w:tc>
        <w:tc>
          <w:tcPr>
            <w:tcW w:w="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3398E4"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21.0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7D1FF9"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1</w:t>
            </w:r>
          </w:p>
        </w:tc>
        <w:tc>
          <w:tcPr>
            <w:tcW w:w="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404F54"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14.3%</w:t>
            </w:r>
          </w:p>
        </w:tc>
        <w:tc>
          <w:tcPr>
            <w:tcW w:w="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300203"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12.0</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CA0548"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11</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96CFA"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50.0%</w:t>
            </w:r>
          </w:p>
        </w:tc>
        <w:tc>
          <w:tcPr>
            <w:tcW w:w="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169A25"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14.0</w:t>
            </w:r>
          </w:p>
        </w:tc>
      </w:tr>
      <w:tr w:rsidR="00A359F2" w:rsidRPr="00A72ECC" w14:paraId="55A40AB8" w14:textId="77777777" w:rsidTr="00347614">
        <w:trPr>
          <w:trHeight w:val="144"/>
          <w:jc w:val="center"/>
        </w:trPr>
        <w:tc>
          <w:tcPr>
            <w:tcW w:w="7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FE16D4"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9</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BEB12A"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34</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9F4C56"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82.9%</w:t>
            </w:r>
          </w:p>
        </w:tc>
        <w:tc>
          <w:tcPr>
            <w:tcW w:w="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403BF0"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21.2</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482A1D"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75</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84540C"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75.8%</w:t>
            </w:r>
          </w:p>
        </w:tc>
        <w:tc>
          <w:tcPr>
            <w:tcW w:w="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99005B"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20.0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AF506E"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8</w:t>
            </w:r>
          </w:p>
        </w:tc>
        <w:tc>
          <w:tcPr>
            <w:tcW w:w="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AD51FC"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100.0%</w:t>
            </w:r>
          </w:p>
        </w:tc>
        <w:tc>
          <w:tcPr>
            <w:tcW w:w="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2EED64"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26.0</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55DBAF"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20</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D9B7EC"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37.0%</w:t>
            </w:r>
          </w:p>
        </w:tc>
        <w:tc>
          <w:tcPr>
            <w:tcW w:w="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718911" w14:textId="77777777" w:rsidR="00A359F2" w:rsidRPr="00A72ECC" w:rsidRDefault="00A359F2" w:rsidP="00347614">
            <w:pPr>
              <w:widowControl w:val="0"/>
              <w:spacing w:after="0" w:line="20" w:lineRule="atLeast"/>
              <w:jc w:val="center"/>
              <w:rPr>
                <w:rFonts w:ascii="Arial" w:eastAsia="Times New Roman" w:hAnsi="Arial" w:cs="Arial"/>
                <w:snapToGrid w:val="0"/>
                <w:color w:val="000000"/>
                <w:sz w:val="18"/>
                <w:szCs w:val="18"/>
              </w:rPr>
            </w:pPr>
            <w:r w:rsidRPr="00A72ECC">
              <w:rPr>
                <w:rFonts w:ascii="Arial" w:eastAsia="Times New Roman" w:hAnsi="Arial" w:cs="Arial"/>
                <w:snapToGrid w:val="0"/>
                <w:color w:val="000000"/>
                <w:sz w:val="18"/>
                <w:szCs w:val="18"/>
              </w:rPr>
              <w:t>13.0</w:t>
            </w:r>
          </w:p>
        </w:tc>
      </w:tr>
      <w:tr w:rsidR="00A359F2" w:rsidRPr="00A72ECC" w14:paraId="60A9F344" w14:textId="77777777" w:rsidTr="00347614">
        <w:trPr>
          <w:trHeight w:val="144"/>
          <w:jc w:val="center"/>
        </w:trPr>
        <w:tc>
          <w:tcPr>
            <w:tcW w:w="7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13C21DE" w14:textId="77777777" w:rsidR="00A359F2" w:rsidRPr="00A72ECC" w:rsidRDefault="00A359F2" w:rsidP="00347614">
            <w:pPr>
              <w:widowControl w:val="0"/>
              <w:spacing w:after="0" w:line="20" w:lineRule="atLeast"/>
              <w:jc w:val="center"/>
              <w:rPr>
                <w:rFonts w:ascii="Arial" w:eastAsia="Times New Roman" w:hAnsi="Arial" w:cs="Arial"/>
                <w:b/>
                <w:bCs/>
                <w:snapToGrid w:val="0"/>
                <w:color w:val="000000"/>
                <w:sz w:val="18"/>
                <w:szCs w:val="18"/>
              </w:rPr>
            </w:pPr>
            <w:r w:rsidRPr="00A72ECC">
              <w:rPr>
                <w:rFonts w:ascii="Arial" w:eastAsia="Times New Roman" w:hAnsi="Arial" w:cs="Arial"/>
                <w:b/>
                <w:bCs/>
                <w:snapToGrid w:val="0"/>
                <w:color w:val="000000"/>
                <w:sz w:val="18"/>
                <w:szCs w:val="18"/>
              </w:rPr>
              <w:t>Totals</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C0023" w14:textId="77777777" w:rsidR="00A359F2" w:rsidRPr="00A72ECC" w:rsidRDefault="00A359F2" w:rsidP="00347614">
            <w:pPr>
              <w:widowControl w:val="0"/>
              <w:spacing w:after="0" w:line="20" w:lineRule="atLeast"/>
              <w:jc w:val="center"/>
              <w:rPr>
                <w:rFonts w:ascii="Arial" w:eastAsia="Times New Roman" w:hAnsi="Arial" w:cs="Arial"/>
                <w:b/>
                <w:bCs/>
                <w:snapToGrid w:val="0"/>
                <w:color w:val="000000"/>
                <w:sz w:val="18"/>
                <w:szCs w:val="18"/>
              </w:rPr>
            </w:pPr>
            <w:r w:rsidRPr="00A72ECC">
              <w:rPr>
                <w:rFonts w:ascii="Arial" w:eastAsia="Times New Roman" w:hAnsi="Arial" w:cs="Arial"/>
                <w:b/>
                <w:bCs/>
                <w:snapToGrid w:val="0"/>
                <w:color w:val="000000"/>
                <w:sz w:val="18"/>
                <w:szCs w:val="18"/>
              </w:rPr>
              <w:t>337</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CE2B49" w14:textId="77777777" w:rsidR="00A359F2" w:rsidRPr="00A72ECC" w:rsidRDefault="00A359F2" w:rsidP="00347614">
            <w:pPr>
              <w:widowControl w:val="0"/>
              <w:spacing w:after="0" w:line="20" w:lineRule="atLeast"/>
              <w:jc w:val="center"/>
              <w:rPr>
                <w:rFonts w:ascii="Arial" w:eastAsia="Times New Roman" w:hAnsi="Arial" w:cs="Arial"/>
                <w:b/>
                <w:bCs/>
                <w:snapToGrid w:val="0"/>
                <w:color w:val="000000"/>
                <w:sz w:val="18"/>
                <w:szCs w:val="18"/>
              </w:rPr>
            </w:pPr>
            <w:r w:rsidRPr="00A72ECC">
              <w:rPr>
                <w:rFonts w:ascii="Arial" w:eastAsia="Times New Roman" w:hAnsi="Arial" w:cs="Arial"/>
                <w:b/>
                <w:bCs/>
                <w:snapToGrid w:val="0"/>
                <w:color w:val="000000"/>
                <w:sz w:val="18"/>
                <w:szCs w:val="18"/>
              </w:rPr>
              <w:t>38.0%</w:t>
            </w:r>
          </w:p>
        </w:tc>
        <w:tc>
          <w:tcPr>
            <w:tcW w:w="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F70ED" w14:textId="77777777" w:rsidR="00A359F2" w:rsidRPr="00A72ECC" w:rsidRDefault="00A359F2" w:rsidP="00347614">
            <w:pPr>
              <w:widowControl w:val="0"/>
              <w:spacing w:after="0" w:line="20" w:lineRule="atLeast"/>
              <w:jc w:val="center"/>
              <w:rPr>
                <w:rFonts w:ascii="Arial" w:eastAsia="Times New Roman" w:hAnsi="Arial" w:cs="Arial"/>
                <w:b/>
                <w:bCs/>
                <w:snapToGrid w:val="0"/>
                <w:color w:val="000000"/>
                <w:sz w:val="18"/>
                <w:szCs w:val="18"/>
              </w:rPr>
            </w:pPr>
            <w:r w:rsidRPr="00A72ECC">
              <w:rPr>
                <w:rFonts w:ascii="Arial" w:eastAsia="Times New Roman" w:hAnsi="Arial" w:cs="Arial"/>
                <w:b/>
                <w:bCs/>
                <w:snapToGrid w:val="0"/>
                <w:color w:val="000000"/>
                <w:sz w:val="18"/>
                <w:szCs w:val="18"/>
              </w:rPr>
              <w:t>14.8</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7C1309" w14:textId="77777777" w:rsidR="00A359F2" w:rsidRPr="00A72ECC" w:rsidRDefault="00A359F2" w:rsidP="00347614">
            <w:pPr>
              <w:widowControl w:val="0"/>
              <w:spacing w:after="0" w:line="20" w:lineRule="atLeast"/>
              <w:jc w:val="center"/>
              <w:rPr>
                <w:rFonts w:ascii="Arial" w:eastAsia="Times New Roman" w:hAnsi="Arial" w:cs="Arial"/>
                <w:b/>
                <w:bCs/>
                <w:snapToGrid w:val="0"/>
                <w:color w:val="000000"/>
                <w:sz w:val="18"/>
                <w:szCs w:val="18"/>
              </w:rPr>
            </w:pPr>
            <w:r w:rsidRPr="00A72ECC">
              <w:rPr>
                <w:rFonts w:ascii="Arial" w:eastAsia="Times New Roman" w:hAnsi="Arial" w:cs="Arial"/>
                <w:b/>
                <w:bCs/>
                <w:snapToGrid w:val="0"/>
                <w:color w:val="000000"/>
                <w:sz w:val="18"/>
                <w:szCs w:val="18"/>
              </w:rPr>
              <w:t>579</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F2F911" w14:textId="77777777" w:rsidR="00A359F2" w:rsidRPr="00A72ECC" w:rsidRDefault="00A359F2" w:rsidP="00347614">
            <w:pPr>
              <w:widowControl w:val="0"/>
              <w:spacing w:after="0" w:line="20" w:lineRule="atLeast"/>
              <w:jc w:val="center"/>
              <w:rPr>
                <w:rFonts w:ascii="Arial" w:eastAsia="Times New Roman" w:hAnsi="Arial" w:cs="Arial"/>
                <w:b/>
                <w:bCs/>
                <w:snapToGrid w:val="0"/>
                <w:color w:val="000000"/>
                <w:sz w:val="18"/>
                <w:szCs w:val="18"/>
              </w:rPr>
            </w:pPr>
            <w:r w:rsidRPr="00A72ECC">
              <w:rPr>
                <w:rFonts w:ascii="Arial" w:eastAsia="Times New Roman" w:hAnsi="Arial" w:cs="Arial"/>
                <w:b/>
                <w:bCs/>
                <w:snapToGrid w:val="0"/>
                <w:color w:val="000000"/>
                <w:sz w:val="18"/>
                <w:szCs w:val="18"/>
              </w:rPr>
              <w:t>45.7%</w:t>
            </w:r>
          </w:p>
        </w:tc>
        <w:tc>
          <w:tcPr>
            <w:tcW w:w="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49CEE0" w14:textId="77777777" w:rsidR="00A359F2" w:rsidRPr="00A72ECC" w:rsidRDefault="00A359F2" w:rsidP="00347614">
            <w:pPr>
              <w:widowControl w:val="0"/>
              <w:spacing w:after="0" w:line="20" w:lineRule="atLeast"/>
              <w:jc w:val="center"/>
              <w:rPr>
                <w:rFonts w:ascii="Arial" w:eastAsia="Times New Roman" w:hAnsi="Arial" w:cs="Arial"/>
                <w:b/>
                <w:bCs/>
                <w:snapToGrid w:val="0"/>
                <w:color w:val="000000"/>
                <w:sz w:val="18"/>
                <w:szCs w:val="18"/>
              </w:rPr>
            </w:pPr>
            <w:r w:rsidRPr="00A72ECC">
              <w:rPr>
                <w:rFonts w:ascii="Arial" w:eastAsia="Times New Roman" w:hAnsi="Arial" w:cs="Arial"/>
                <w:b/>
                <w:bCs/>
                <w:snapToGrid w:val="0"/>
                <w:color w:val="000000"/>
                <w:sz w:val="18"/>
                <w:szCs w:val="18"/>
              </w:rPr>
              <w:t>14.8</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924F14" w14:textId="77777777" w:rsidR="00A359F2" w:rsidRPr="00A72ECC" w:rsidRDefault="00A359F2" w:rsidP="00347614">
            <w:pPr>
              <w:widowControl w:val="0"/>
              <w:spacing w:after="0" w:line="20" w:lineRule="atLeast"/>
              <w:jc w:val="center"/>
              <w:rPr>
                <w:rFonts w:ascii="Arial" w:eastAsia="Times New Roman" w:hAnsi="Arial" w:cs="Arial"/>
                <w:b/>
                <w:bCs/>
                <w:snapToGrid w:val="0"/>
                <w:color w:val="000000"/>
                <w:sz w:val="18"/>
                <w:szCs w:val="18"/>
              </w:rPr>
            </w:pPr>
            <w:r w:rsidRPr="00A72ECC">
              <w:rPr>
                <w:rFonts w:ascii="Arial" w:eastAsia="Times New Roman" w:hAnsi="Arial" w:cs="Arial"/>
                <w:b/>
                <w:bCs/>
                <w:snapToGrid w:val="0"/>
                <w:color w:val="000000"/>
                <w:sz w:val="18"/>
                <w:szCs w:val="18"/>
              </w:rPr>
              <w:t>62</w:t>
            </w:r>
          </w:p>
        </w:tc>
        <w:tc>
          <w:tcPr>
            <w:tcW w:w="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074BB" w14:textId="77777777" w:rsidR="00A359F2" w:rsidRPr="00A72ECC" w:rsidRDefault="00A359F2" w:rsidP="00347614">
            <w:pPr>
              <w:widowControl w:val="0"/>
              <w:spacing w:after="0" w:line="20" w:lineRule="atLeast"/>
              <w:jc w:val="center"/>
              <w:rPr>
                <w:rFonts w:ascii="Arial" w:eastAsia="Times New Roman" w:hAnsi="Arial" w:cs="Arial"/>
                <w:b/>
                <w:bCs/>
                <w:snapToGrid w:val="0"/>
                <w:color w:val="000000"/>
                <w:sz w:val="18"/>
                <w:szCs w:val="18"/>
              </w:rPr>
            </w:pPr>
            <w:r w:rsidRPr="00A72ECC">
              <w:rPr>
                <w:rFonts w:ascii="Arial" w:eastAsia="Times New Roman" w:hAnsi="Arial" w:cs="Arial"/>
                <w:b/>
                <w:bCs/>
                <w:snapToGrid w:val="0"/>
                <w:color w:val="000000"/>
                <w:sz w:val="18"/>
                <w:szCs w:val="18"/>
              </w:rPr>
              <w:t>24.7%</w:t>
            </w:r>
          </w:p>
        </w:tc>
        <w:tc>
          <w:tcPr>
            <w:tcW w:w="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BAE1D5" w14:textId="77777777" w:rsidR="00A359F2" w:rsidRPr="00A72ECC" w:rsidRDefault="00A359F2" w:rsidP="00347614">
            <w:pPr>
              <w:widowControl w:val="0"/>
              <w:spacing w:after="0" w:line="20" w:lineRule="atLeast"/>
              <w:jc w:val="center"/>
              <w:rPr>
                <w:rFonts w:ascii="Arial" w:eastAsia="Times New Roman" w:hAnsi="Arial" w:cs="Arial"/>
                <w:b/>
                <w:bCs/>
                <w:snapToGrid w:val="0"/>
                <w:color w:val="000000"/>
                <w:sz w:val="18"/>
                <w:szCs w:val="18"/>
              </w:rPr>
            </w:pPr>
            <w:r w:rsidRPr="00A72ECC">
              <w:rPr>
                <w:rFonts w:ascii="Arial" w:eastAsia="Times New Roman" w:hAnsi="Arial" w:cs="Arial"/>
                <w:b/>
                <w:bCs/>
                <w:snapToGrid w:val="0"/>
                <w:color w:val="000000"/>
                <w:sz w:val="18"/>
                <w:szCs w:val="18"/>
              </w:rPr>
              <w:t>12.3</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766F2F" w14:textId="77777777" w:rsidR="00A359F2" w:rsidRPr="00A72ECC" w:rsidRDefault="00A359F2" w:rsidP="00347614">
            <w:pPr>
              <w:widowControl w:val="0"/>
              <w:spacing w:after="0" w:line="20" w:lineRule="atLeast"/>
              <w:jc w:val="center"/>
              <w:rPr>
                <w:rFonts w:ascii="Arial" w:eastAsia="Times New Roman" w:hAnsi="Arial" w:cs="Arial"/>
                <w:b/>
                <w:bCs/>
                <w:snapToGrid w:val="0"/>
                <w:color w:val="000000"/>
                <w:sz w:val="18"/>
                <w:szCs w:val="18"/>
              </w:rPr>
            </w:pPr>
            <w:r w:rsidRPr="00A72ECC">
              <w:rPr>
                <w:rFonts w:ascii="Arial" w:eastAsia="Times New Roman" w:hAnsi="Arial" w:cs="Arial"/>
                <w:b/>
                <w:bCs/>
                <w:snapToGrid w:val="0"/>
                <w:color w:val="000000"/>
                <w:sz w:val="18"/>
                <w:szCs w:val="18"/>
              </w:rPr>
              <w:t>122</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9450DC" w14:textId="77777777" w:rsidR="00A359F2" w:rsidRPr="00A72ECC" w:rsidRDefault="00A359F2" w:rsidP="00347614">
            <w:pPr>
              <w:widowControl w:val="0"/>
              <w:spacing w:after="0" w:line="20" w:lineRule="atLeast"/>
              <w:jc w:val="center"/>
              <w:rPr>
                <w:rFonts w:ascii="Arial" w:eastAsia="Times New Roman" w:hAnsi="Arial" w:cs="Arial"/>
                <w:b/>
                <w:bCs/>
                <w:snapToGrid w:val="0"/>
                <w:color w:val="000000"/>
                <w:sz w:val="18"/>
                <w:szCs w:val="18"/>
              </w:rPr>
            </w:pPr>
            <w:r w:rsidRPr="00A72ECC">
              <w:rPr>
                <w:rFonts w:ascii="Arial" w:eastAsia="Times New Roman" w:hAnsi="Arial" w:cs="Arial"/>
                <w:b/>
                <w:bCs/>
                <w:snapToGrid w:val="0"/>
                <w:color w:val="000000"/>
                <w:sz w:val="18"/>
                <w:szCs w:val="18"/>
              </w:rPr>
              <w:t>13.3%</w:t>
            </w:r>
          </w:p>
        </w:tc>
        <w:tc>
          <w:tcPr>
            <w:tcW w:w="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EF129E" w14:textId="77777777" w:rsidR="00A359F2" w:rsidRPr="00A72ECC" w:rsidRDefault="00A359F2" w:rsidP="00347614">
            <w:pPr>
              <w:widowControl w:val="0"/>
              <w:spacing w:after="0" w:line="20" w:lineRule="atLeast"/>
              <w:jc w:val="center"/>
              <w:rPr>
                <w:rFonts w:ascii="Arial" w:eastAsia="Times New Roman" w:hAnsi="Arial" w:cs="Arial"/>
                <w:b/>
                <w:bCs/>
                <w:snapToGrid w:val="0"/>
                <w:color w:val="000000"/>
                <w:sz w:val="18"/>
                <w:szCs w:val="18"/>
              </w:rPr>
            </w:pPr>
            <w:r w:rsidRPr="00A72ECC">
              <w:rPr>
                <w:rFonts w:ascii="Arial" w:eastAsia="Times New Roman" w:hAnsi="Arial" w:cs="Arial"/>
                <w:b/>
                <w:bCs/>
                <w:snapToGrid w:val="0"/>
                <w:color w:val="000000"/>
                <w:sz w:val="18"/>
                <w:szCs w:val="18"/>
              </w:rPr>
              <w:t>8.3</w:t>
            </w:r>
          </w:p>
        </w:tc>
      </w:tr>
    </w:tbl>
    <w:p w14:paraId="72E6568F" w14:textId="77777777" w:rsidR="00A359F2" w:rsidRDefault="00A359F2" w:rsidP="00A359F2">
      <w:pPr>
        <w:widowControl w:val="0"/>
        <w:spacing w:after="0" w:line="20" w:lineRule="atLeast"/>
        <w:ind w:left="90"/>
        <w:rPr>
          <w:rFonts w:ascii="Arial" w:eastAsia="Times New Roman" w:hAnsi="Arial" w:cs="Arial"/>
          <w:snapToGrid w:val="0"/>
          <w:sz w:val="18"/>
          <w:szCs w:val="18"/>
        </w:rPr>
      </w:pPr>
      <w:r w:rsidRPr="00A72ECC">
        <w:rPr>
          <w:rFonts w:ascii="Arial" w:eastAsia="Times New Roman" w:hAnsi="Arial" w:cs="Arial"/>
          <w:snapToGrid w:val="0"/>
          <w:sz w:val="18"/>
          <w:szCs w:val="18"/>
        </w:rPr>
        <w:t xml:space="preserve">Source: </w:t>
      </w:r>
      <w:r>
        <w:rPr>
          <w:rFonts w:ascii="Arial" w:eastAsia="Times New Roman" w:hAnsi="Arial" w:cs="Arial"/>
          <w:snapToGrid w:val="0"/>
          <w:sz w:val="18"/>
          <w:szCs w:val="18"/>
        </w:rPr>
        <w:t>2014</w:t>
      </w:r>
      <w:r w:rsidRPr="00A72ECC">
        <w:rPr>
          <w:rFonts w:ascii="Arial" w:eastAsia="Times New Roman" w:hAnsi="Arial" w:cs="Arial"/>
          <w:snapToGrid w:val="0"/>
          <w:sz w:val="18"/>
          <w:szCs w:val="18"/>
        </w:rPr>
        <w:t xml:space="preserve"> Management Audit </w:t>
      </w:r>
      <w:r w:rsidR="007C04EF" w:rsidRPr="00A72ECC">
        <w:rPr>
          <w:rFonts w:ascii="Arial" w:eastAsia="Times New Roman" w:hAnsi="Arial" w:cs="Arial"/>
          <w:snapToGrid w:val="0"/>
          <w:sz w:val="18"/>
          <w:szCs w:val="18"/>
        </w:rPr>
        <w:t>Exhibit XIII-8</w:t>
      </w:r>
    </w:p>
    <w:p w14:paraId="0993AA82" w14:textId="77777777" w:rsidR="00A359F2" w:rsidRDefault="00A359F2" w:rsidP="00A359F2">
      <w:pPr>
        <w:widowControl w:val="0"/>
        <w:spacing w:after="0" w:line="20" w:lineRule="atLeast"/>
        <w:rPr>
          <w:rFonts w:ascii="Arial" w:eastAsia="Times New Roman" w:hAnsi="Arial" w:cs="Arial"/>
          <w:snapToGrid w:val="0"/>
          <w:sz w:val="24"/>
          <w:szCs w:val="24"/>
        </w:rPr>
      </w:pPr>
    </w:p>
    <w:p w14:paraId="0100E8C4" w14:textId="77777777" w:rsidR="00A359F2" w:rsidRDefault="00A359F2" w:rsidP="00A359F2">
      <w:pPr>
        <w:widowControl w:val="0"/>
        <w:spacing w:after="0" w:line="20" w:lineRule="atLeast"/>
        <w:rPr>
          <w:rFonts w:ascii="Arial" w:eastAsia="Times New Roman" w:hAnsi="Arial" w:cs="Arial"/>
          <w:snapToGrid w:val="0"/>
          <w:sz w:val="24"/>
          <w:szCs w:val="24"/>
        </w:rPr>
      </w:pPr>
    </w:p>
    <w:p w14:paraId="1AEE48C6" w14:textId="77777777" w:rsidR="00A359F2" w:rsidRDefault="00A359F2" w:rsidP="00A359F2">
      <w:pPr>
        <w:spacing w:after="0" w:line="20" w:lineRule="atLeast"/>
        <w:jc w:val="both"/>
        <w:rPr>
          <w:rFonts w:ascii="Arial" w:eastAsia="Times New Roman" w:hAnsi="Arial" w:cs="Arial"/>
          <w:b/>
          <w:snapToGrid w:val="0"/>
          <w:sz w:val="24"/>
          <w:szCs w:val="20"/>
        </w:rPr>
      </w:pPr>
      <w:r w:rsidRPr="004D579B">
        <w:rPr>
          <w:rFonts w:ascii="Arial" w:eastAsia="Times New Roman" w:hAnsi="Arial" w:cs="Arial"/>
          <w:b/>
          <w:snapToGrid w:val="0"/>
          <w:sz w:val="24"/>
          <w:szCs w:val="20"/>
          <w:u w:val="single"/>
        </w:rPr>
        <w:t>Prior Recommendation</w:t>
      </w:r>
      <w:r w:rsidRPr="004D579B">
        <w:rPr>
          <w:rFonts w:ascii="Arial" w:eastAsia="Times New Roman" w:hAnsi="Arial" w:cs="Arial"/>
          <w:snapToGrid w:val="0"/>
          <w:sz w:val="24"/>
          <w:szCs w:val="20"/>
        </w:rPr>
        <w:t xml:space="preserve"> </w:t>
      </w:r>
      <w:r w:rsidRPr="001A29DB">
        <w:rPr>
          <w:rFonts w:ascii="Arial" w:eastAsia="Times New Roman" w:hAnsi="Arial" w:cs="Times New Roman"/>
          <w:sz w:val="24"/>
          <w:szCs w:val="24"/>
        </w:rPr>
        <w:t xml:space="preserve">– </w:t>
      </w:r>
      <w:r w:rsidRPr="00B10358">
        <w:rPr>
          <w:rFonts w:ascii="Arial" w:eastAsia="Times New Roman" w:hAnsi="Arial" w:cs="Arial"/>
          <w:snapToGrid w:val="0"/>
          <w:sz w:val="24"/>
          <w:szCs w:val="20"/>
        </w:rPr>
        <w:t>Develop a written vehicle replacement policy.</w:t>
      </w:r>
    </w:p>
    <w:p w14:paraId="426A95CB" w14:textId="77777777" w:rsidR="00A359F2" w:rsidRPr="00A72ECC" w:rsidRDefault="00A359F2" w:rsidP="00A359F2">
      <w:pPr>
        <w:widowControl w:val="0"/>
        <w:spacing w:after="0" w:line="20" w:lineRule="atLeast"/>
        <w:contextualSpacing/>
        <w:rPr>
          <w:rFonts w:ascii="Arial" w:eastAsia="Times New Roman" w:hAnsi="Arial" w:cs="Arial"/>
          <w:snapToGrid w:val="0"/>
          <w:sz w:val="24"/>
          <w:szCs w:val="24"/>
        </w:rPr>
      </w:pPr>
    </w:p>
    <w:p w14:paraId="0E016521" w14:textId="77777777" w:rsidR="00A359F2" w:rsidRPr="00390583" w:rsidRDefault="00A359F2" w:rsidP="00A359F2">
      <w:pPr>
        <w:spacing w:after="0" w:line="20" w:lineRule="atLeast"/>
        <w:jc w:val="both"/>
        <w:rPr>
          <w:rFonts w:ascii="Arial" w:eastAsia="Times New Roman" w:hAnsi="Arial" w:cs="Arial"/>
          <w:b/>
          <w:snapToGrid w:val="0"/>
          <w:sz w:val="24"/>
          <w:szCs w:val="20"/>
        </w:rPr>
      </w:pPr>
      <w:r w:rsidRPr="00B146D6">
        <w:rPr>
          <w:rFonts w:ascii="Arial" w:eastAsia="Times New Roman" w:hAnsi="Arial" w:cs="Times New Roman"/>
          <w:b/>
          <w:sz w:val="24"/>
          <w:szCs w:val="24"/>
          <w:u w:val="single"/>
        </w:rPr>
        <w:t>Follow-</w:t>
      </w:r>
      <w:r>
        <w:rPr>
          <w:rFonts w:ascii="Arial" w:eastAsia="Times New Roman" w:hAnsi="Arial" w:cs="Times New Roman"/>
          <w:b/>
          <w:sz w:val="24"/>
          <w:szCs w:val="24"/>
          <w:u w:val="single"/>
        </w:rPr>
        <w:t>up Finding and Conclusion</w:t>
      </w:r>
      <w:r w:rsidR="00F65A25" w:rsidRPr="00F65A25">
        <w:rPr>
          <w:rFonts w:ascii="Arial" w:eastAsia="Times New Roman" w:hAnsi="Arial" w:cs="Times New Roman"/>
          <w:b/>
          <w:sz w:val="24"/>
          <w:szCs w:val="24"/>
          <w:u w:val="single"/>
        </w:rPr>
        <w:t xml:space="preserve"> </w:t>
      </w:r>
      <w:r w:rsidR="00F65A25" w:rsidRPr="00C93C49">
        <w:rPr>
          <w:rFonts w:ascii="Arial" w:eastAsia="Times New Roman" w:hAnsi="Arial" w:cs="Times New Roman"/>
          <w:b/>
          <w:sz w:val="24"/>
          <w:szCs w:val="24"/>
          <w:u w:val="single"/>
        </w:rPr>
        <w:t>No. X</w:t>
      </w:r>
      <w:r w:rsidR="00F65A25">
        <w:rPr>
          <w:rFonts w:ascii="Arial" w:eastAsia="Times New Roman" w:hAnsi="Arial" w:cs="Times New Roman"/>
          <w:b/>
          <w:sz w:val="24"/>
          <w:szCs w:val="24"/>
          <w:u w:val="single"/>
        </w:rPr>
        <w:t>II</w:t>
      </w:r>
      <w:r w:rsidR="00F65A25" w:rsidRPr="00C93C49">
        <w:rPr>
          <w:rFonts w:ascii="Arial" w:eastAsia="Times New Roman" w:hAnsi="Arial" w:cs="Times New Roman"/>
          <w:b/>
          <w:sz w:val="24"/>
          <w:szCs w:val="24"/>
          <w:u w:val="single"/>
        </w:rPr>
        <w:t>-1</w:t>
      </w:r>
      <w:r w:rsidRPr="00A67D31">
        <w:rPr>
          <w:rFonts w:ascii="Arial" w:eastAsia="Times New Roman" w:hAnsi="Arial" w:cs="Times New Roman"/>
          <w:b/>
          <w:sz w:val="24"/>
          <w:szCs w:val="24"/>
        </w:rPr>
        <w:t xml:space="preserve"> – </w:t>
      </w:r>
      <w:r w:rsidRPr="00390583">
        <w:rPr>
          <w:rFonts w:ascii="Arial" w:eastAsia="Times New Roman" w:hAnsi="Arial" w:cs="Arial"/>
          <w:b/>
          <w:snapToGrid w:val="0"/>
          <w:sz w:val="24"/>
          <w:szCs w:val="20"/>
        </w:rPr>
        <w:t>A written vehicle replacement policy was implemented in November 2014.</w:t>
      </w:r>
    </w:p>
    <w:p w14:paraId="66914CA5" w14:textId="77777777" w:rsidR="00A359F2" w:rsidRDefault="00A359F2" w:rsidP="00A359F2">
      <w:pPr>
        <w:spacing w:after="0" w:line="20" w:lineRule="atLeast"/>
        <w:jc w:val="both"/>
        <w:rPr>
          <w:rFonts w:ascii="Arial" w:eastAsia="Times New Roman" w:hAnsi="Arial" w:cs="Arial"/>
          <w:snapToGrid w:val="0"/>
          <w:sz w:val="24"/>
          <w:szCs w:val="20"/>
        </w:rPr>
      </w:pPr>
    </w:p>
    <w:p w14:paraId="6F3655D7" w14:textId="77777777" w:rsidR="000E33E3" w:rsidRDefault="00A359F2" w:rsidP="00A359F2">
      <w:pPr>
        <w:spacing w:after="0" w:line="20" w:lineRule="atLeast"/>
        <w:rPr>
          <w:rFonts w:ascii="Arial" w:eastAsia="Times New Roman" w:hAnsi="Arial" w:cs="Arial"/>
          <w:snapToGrid w:val="0"/>
          <w:sz w:val="24"/>
          <w:szCs w:val="24"/>
        </w:rPr>
      </w:pPr>
      <w:r w:rsidRPr="0048474B">
        <w:rPr>
          <w:rFonts w:ascii="Arial" w:hAnsi="Arial" w:cs="Arial"/>
          <w:b/>
          <w:u w:val="single"/>
        </w:rPr>
        <w:t>Current Review</w:t>
      </w:r>
      <w:r>
        <w:rPr>
          <w:rFonts w:ascii="Arial" w:hAnsi="Arial" w:cs="Arial"/>
        </w:rPr>
        <w:t xml:space="preserve"> – </w:t>
      </w:r>
      <w:r w:rsidRPr="00390583">
        <w:rPr>
          <w:rFonts w:ascii="Arial" w:eastAsia="Times New Roman" w:hAnsi="Arial" w:cs="Arial"/>
          <w:snapToGrid w:val="0"/>
          <w:sz w:val="24"/>
          <w:szCs w:val="20"/>
        </w:rPr>
        <w:t>The F</w:t>
      </w:r>
      <w:r>
        <w:rPr>
          <w:rFonts w:ascii="Arial" w:eastAsia="Times New Roman" w:hAnsi="Arial" w:cs="Arial"/>
          <w:snapToGrid w:val="0"/>
          <w:sz w:val="24"/>
          <w:szCs w:val="20"/>
        </w:rPr>
        <w:t>irst</w:t>
      </w:r>
      <w:r w:rsidRPr="00390583">
        <w:rPr>
          <w:rFonts w:ascii="Arial" w:eastAsia="Times New Roman" w:hAnsi="Arial" w:cs="Arial"/>
          <w:snapToGrid w:val="0"/>
          <w:sz w:val="24"/>
          <w:szCs w:val="20"/>
        </w:rPr>
        <w:t>E</w:t>
      </w:r>
      <w:r>
        <w:rPr>
          <w:rFonts w:ascii="Arial" w:eastAsia="Times New Roman" w:hAnsi="Arial" w:cs="Arial"/>
          <w:snapToGrid w:val="0"/>
          <w:sz w:val="24"/>
          <w:szCs w:val="20"/>
        </w:rPr>
        <w:t>nergy</w:t>
      </w:r>
      <w:r w:rsidRPr="00390583">
        <w:rPr>
          <w:rFonts w:ascii="Arial" w:eastAsia="Times New Roman" w:hAnsi="Arial" w:cs="Arial"/>
          <w:snapToGrid w:val="0"/>
          <w:sz w:val="24"/>
          <w:szCs w:val="20"/>
        </w:rPr>
        <w:t xml:space="preserve"> Vehicle and Equipment Acquisition Policy (Acquisition Policy) </w:t>
      </w:r>
      <w:r>
        <w:rPr>
          <w:rFonts w:ascii="Arial" w:eastAsia="Times New Roman" w:hAnsi="Arial" w:cs="Arial"/>
          <w:snapToGrid w:val="0"/>
          <w:sz w:val="24"/>
          <w:szCs w:val="20"/>
        </w:rPr>
        <w:t xml:space="preserve">was </w:t>
      </w:r>
      <w:r w:rsidRPr="00390583">
        <w:rPr>
          <w:rFonts w:ascii="Arial" w:eastAsia="Times New Roman" w:hAnsi="Arial" w:cs="Arial"/>
          <w:snapToGrid w:val="0"/>
          <w:sz w:val="24"/>
          <w:szCs w:val="20"/>
        </w:rPr>
        <w:t xml:space="preserve">implemented in November 2014 </w:t>
      </w:r>
      <w:r>
        <w:rPr>
          <w:rFonts w:ascii="Arial" w:eastAsia="Times New Roman" w:hAnsi="Arial" w:cs="Arial"/>
          <w:snapToGrid w:val="0"/>
          <w:sz w:val="24"/>
          <w:szCs w:val="20"/>
        </w:rPr>
        <w:t xml:space="preserve">and </w:t>
      </w:r>
      <w:r w:rsidRPr="00390583">
        <w:rPr>
          <w:rFonts w:ascii="Arial" w:eastAsia="Times New Roman" w:hAnsi="Arial" w:cs="Arial"/>
          <w:snapToGrid w:val="0"/>
          <w:sz w:val="24"/>
          <w:szCs w:val="20"/>
        </w:rPr>
        <w:t xml:space="preserve">takes into consideration vehicle and equipment replacement criteria when deciding to replace a vehicle.  If a vehicle meets the mileage and age criteria for replacement, its maintenance records and utilization are then further analyzed to make a final decision on whether replacement is warranted.  </w:t>
      </w:r>
      <w:r w:rsidRPr="00390583">
        <w:rPr>
          <w:rFonts w:ascii="Arial" w:eastAsia="Times New Roman" w:hAnsi="Arial" w:cs="Arial"/>
          <w:snapToGrid w:val="0"/>
          <w:sz w:val="24"/>
          <w:szCs w:val="24"/>
        </w:rPr>
        <w:t>Consideration is given to the vehicle’s overall condition.  The replacement decision is made at the operating company level</w:t>
      </w:r>
      <w:r>
        <w:rPr>
          <w:rFonts w:ascii="Arial" w:eastAsia="Times New Roman" w:hAnsi="Arial" w:cs="Arial"/>
          <w:snapToGrid w:val="0"/>
          <w:sz w:val="24"/>
          <w:szCs w:val="24"/>
        </w:rPr>
        <w:t xml:space="preserve"> by those </w:t>
      </w:r>
      <w:r w:rsidRPr="00390583">
        <w:rPr>
          <w:rFonts w:ascii="Arial" w:eastAsia="Times New Roman" w:hAnsi="Arial" w:cs="Arial"/>
          <w:snapToGrid w:val="0"/>
          <w:sz w:val="24"/>
          <w:szCs w:val="24"/>
        </w:rPr>
        <w:t xml:space="preserve">who are familiar with how the vehicle is performing.  A 15-year-old bulldozer, which has </w:t>
      </w:r>
      <w:r w:rsidR="00035C5C" w:rsidRPr="00390583">
        <w:rPr>
          <w:rFonts w:ascii="Arial" w:eastAsia="Times New Roman" w:hAnsi="Arial" w:cs="Arial"/>
          <w:snapToGrid w:val="0"/>
          <w:sz w:val="24"/>
          <w:szCs w:val="24"/>
        </w:rPr>
        <w:t>a replacement criterion of 15 years</w:t>
      </w:r>
      <w:r w:rsidRPr="00390583">
        <w:rPr>
          <w:rFonts w:ascii="Arial" w:eastAsia="Times New Roman" w:hAnsi="Arial" w:cs="Arial"/>
          <w:snapToGrid w:val="0"/>
          <w:sz w:val="24"/>
          <w:szCs w:val="24"/>
        </w:rPr>
        <w:t xml:space="preserve">, may last for another 15-20 years.  Therefore, an operating company may continue to use </w:t>
      </w:r>
      <w:r>
        <w:rPr>
          <w:rFonts w:ascii="Arial" w:eastAsia="Times New Roman" w:hAnsi="Arial" w:cs="Arial"/>
          <w:snapToGrid w:val="0"/>
          <w:sz w:val="24"/>
          <w:szCs w:val="24"/>
        </w:rPr>
        <w:t xml:space="preserve">the respective equipment or </w:t>
      </w:r>
      <w:r w:rsidRPr="00390583">
        <w:rPr>
          <w:rFonts w:ascii="Arial" w:eastAsia="Times New Roman" w:hAnsi="Arial" w:cs="Arial"/>
          <w:snapToGrid w:val="0"/>
          <w:sz w:val="24"/>
          <w:szCs w:val="24"/>
        </w:rPr>
        <w:t xml:space="preserve">vehicle if the analysis indicates it is in good condition and still useful.  </w:t>
      </w:r>
    </w:p>
    <w:p w14:paraId="12881BA2" w14:textId="77777777" w:rsidR="000E33E3" w:rsidRDefault="000E33E3" w:rsidP="00A359F2">
      <w:pPr>
        <w:spacing w:after="0" w:line="20" w:lineRule="atLeast"/>
        <w:rPr>
          <w:rFonts w:ascii="Arial" w:eastAsia="Times New Roman" w:hAnsi="Arial" w:cs="Arial"/>
          <w:snapToGrid w:val="0"/>
          <w:sz w:val="24"/>
          <w:szCs w:val="20"/>
        </w:rPr>
      </w:pPr>
    </w:p>
    <w:p w14:paraId="0A98D984" w14:textId="77777777" w:rsidR="00A359F2" w:rsidRDefault="00A359F2" w:rsidP="0086784A">
      <w:pPr>
        <w:spacing w:after="0" w:line="20" w:lineRule="atLeast"/>
        <w:ind w:firstLine="720"/>
        <w:rPr>
          <w:rFonts w:ascii="Arial" w:eastAsia="Times New Roman" w:hAnsi="Arial" w:cs="Arial"/>
          <w:snapToGrid w:val="0"/>
          <w:sz w:val="24"/>
          <w:szCs w:val="20"/>
        </w:rPr>
      </w:pPr>
      <w:r w:rsidRPr="00390583">
        <w:rPr>
          <w:rFonts w:ascii="Arial" w:eastAsia="Times New Roman" w:hAnsi="Arial" w:cs="Arial"/>
          <w:snapToGrid w:val="0"/>
          <w:sz w:val="24"/>
          <w:szCs w:val="20"/>
        </w:rPr>
        <w:t xml:space="preserve">The Acquisition Policy was updated in 2017 to include instructions on using and entering a new unit request via the Fleet Services Web App.  When new unit requests are submitted electronically, they are then routed for the proper approval(s) based on </w:t>
      </w:r>
      <w:r>
        <w:rPr>
          <w:rFonts w:ascii="Arial" w:eastAsia="Times New Roman" w:hAnsi="Arial" w:cs="Arial"/>
          <w:snapToGrid w:val="0"/>
          <w:sz w:val="24"/>
          <w:szCs w:val="20"/>
        </w:rPr>
        <w:t xml:space="preserve">which of </w:t>
      </w:r>
      <w:r w:rsidRPr="00390583">
        <w:rPr>
          <w:rFonts w:ascii="Arial" w:eastAsia="Times New Roman" w:hAnsi="Arial" w:cs="Arial"/>
          <w:snapToGrid w:val="0"/>
          <w:sz w:val="24"/>
          <w:szCs w:val="20"/>
        </w:rPr>
        <w:t xml:space="preserve">the </w:t>
      </w:r>
      <w:r w:rsidR="00DC3D9B">
        <w:rPr>
          <w:rFonts w:ascii="Arial" w:eastAsia="Times New Roman" w:hAnsi="Arial" w:cs="Arial"/>
          <w:snapToGrid w:val="0"/>
          <w:sz w:val="24"/>
          <w:szCs w:val="20"/>
        </w:rPr>
        <w:t>companies</w:t>
      </w:r>
      <w:r w:rsidRPr="00390583">
        <w:rPr>
          <w:rFonts w:ascii="Arial" w:eastAsia="Times New Roman" w:hAnsi="Arial" w:cs="Arial"/>
          <w:snapToGrid w:val="0"/>
          <w:sz w:val="24"/>
          <w:szCs w:val="20"/>
        </w:rPr>
        <w:t xml:space="preserve"> </w:t>
      </w:r>
      <w:r>
        <w:rPr>
          <w:rFonts w:ascii="Arial" w:eastAsia="Times New Roman" w:hAnsi="Arial" w:cs="Arial"/>
          <w:snapToGrid w:val="0"/>
          <w:sz w:val="24"/>
          <w:szCs w:val="20"/>
        </w:rPr>
        <w:t xml:space="preserve">is </w:t>
      </w:r>
      <w:r w:rsidRPr="00390583">
        <w:rPr>
          <w:rFonts w:ascii="Arial" w:eastAsia="Times New Roman" w:hAnsi="Arial" w:cs="Arial"/>
          <w:snapToGrid w:val="0"/>
          <w:sz w:val="24"/>
          <w:szCs w:val="20"/>
        </w:rPr>
        <w:t>involved and the total dollar value of the unit being requested.  The Acquisition Policy covers the acquisition of any motor vehicle, trailer and/or piece of equipment that falls under the F</w:t>
      </w:r>
      <w:r>
        <w:rPr>
          <w:rFonts w:ascii="Arial" w:eastAsia="Times New Roman" w:hAnsi="Arial" w:cs="Arial"/>
          <w:snapToGrid w:val="0"/>
          <w:sz w:val="24"/>
          <w:szCs w:val="20"/>
        </w:rPr>
        <w:t>irst</w:t>
      </w:r>
      <w:r w:rsidRPr="00390583">
        <w:rPr>
          <w:rFonts w:ascii="Arial" w:eastAsia="Times New Roman" w:hAnsi="Arial" w:cs="Arial"/>
          <w:snapToGrid w:val="0"/>
          <w:sz w:val="24"/>
          <w:szCs w:val="20"/>
        </w:rPr>
        <w:t>E</w:t>
      </w:r>
      <w:r>
        <w:rPr>
          <w:rFonts w:ascii="Arial" w:eastAsia="Times New Roman" w:hAnsi="Arial" w:cs="Arial"/>
          <w:snapToGrid w:val="0"/>
          <w:sz w:val="24"/>
          <w:szCs w:val="20"/>
        </w:rPr>
        <w:t>nergy</w:t>
      </w:r>
      <w:r w:rsidRPr="00390583">
        <w:rPr>
          <w:rFonts w:ascii="Arial" w:eastAsia="Times New Roman" w:hAnsi="Arial" w:cs="Arial"/>
          <w:snapToGrid w:val="0"/>
          <w:sz w:val="24"/>
          <w:szCs w:val="20"/>
        </w:rPr>
        <w:t xml:space="preserve"> Asset Classes 1 through 9.  </w:t>
      </w:r>
      <w:r w:rsidRPr="00390583">
        <w:rPr>
          <w:rFonts w:ascii="Arial" w:eastAsia="Times New Roman" w:hAnsi="Arial" w:cs="Arial"/>
          <w:snapToGrid w:val="0"/>
          <w:sz w:val="24"/>
          <w:szCs w:val="24"/>
        </w:rPr>
        <w:t xml:space="preserve">The only exceptions to the </w:t>
      </w:r>
      <w:r w:rsidRPr="00390583">
        <w:rPr>
          <w:rFonts w:ascii="Arial" w:eastAsia="Times New Roman" w:hAnsi="Arial" w:cs="Arial"/>
          <w:snapToGrid w:val="0"/>
          <w:sz w:val="24"/>
          <w:szCs w:val="20"/>
        </w:rPr>
        <w:t>Acquisition Policy are airplanes and construction equipment used directly in coal handling such as backhoes and rail cars.  All vehicle and equipment acquisitions are to be coordinated with F</w:t>
      </w:r>
      <w:r>
        <w:rPr>
          <w:rFonts w:ascii="Arial" w:eastAsia="Times New Roman" w:hAnsi="Arial" w:cs="Arial"/>
          <w:snapToGrid w:val="0"/>
          <w:sz w:val="24"/>
          <w:szCs w:val="20"/>
        </w:rPr>
        <w:t>irst</w:t>
      </w:r>
      <w:r w:rsidRPr="00390583">
        <w:rPr>
          <w:rFonts w:ascii="Arial" w:eastAsia="Times New Roman" w:hAnsi="Arial" w:cs="Arial"/>
          <w:snapToGrid w:val="0"/>
          <w:sz w:val="24"/>
          <w:szCs w:val="20"/>
        </w:rPr>
        <w:t>E</w:t>
      </w:r>
      <w:r>
        <w:rPr>
          <w:rFonts w:ascii="Arial" w:eastAsia="Times New Roman" w:hAnsi="Arial" w:cs="Arial"/>
          <w:snapToGrid w:val="0"/>
          <w:sz w:val="24"/>
          <w:szCs w:val="20"/>
        </w:rPr>
        <w:t>nergy</w:t>
      </w:r>
      <w:r w:rsidRPr="00390583">
        <w:rPr>
          <w:rFonts w:ascii="Arial" w:eastAsia="Times New Roman" w:hAnsi="Arial" w:cs="Arial"/>
          <w:snapToGrid w:val="0"/>
          <w:sz w:val="24"/>
          <w:szCs w:val="20"/>
        </w:rPr>
        <w:t xml:space="preserve"> Fleet Services</w:t>
      </w:r>
      <w:r>
        <w:rPr>
          <w:rFonts w:ascii="Arial" w:eastAsia="Times New Roman" w:hAnsi="Arial" w:cs="Arial"/>
          <w:snapToGrid w:val="0"/>
          <w:sz w:val="24"/>
          <w:szCs w:val="20"/>
        </w:rPr>
        <w:t>,</w:t>
      </w:r>
      <w:r w:rsidRPr="00390583">
        <w:rPr>
          <w:rFonts w:ascii="Arial" w:eastAsia="Times New Roman" w:hAnsi="Arial" w:cs="Arial"/>
          <w:snapToGrid w:val="0"/>
          <w:sz w:val="24"/>
          <w:szCs w:val="20"/>
        </w:rPr>
        <w:t xml:space="preserve"> even when F</w:t>
      </w:r>
      <w:r>
        <w:rPr>
          <w:rFonts w:ascii="Arial" w:eastAsia="Times New Roman" w:hAnsi="Arial" w:cs="Arial"/>
          <w:snapToGrid w:val="0"/>
          <w:sz w:val="24"/>
          <w:szCs w:val="20"/>
        </w:rPr>
        <w:t>irst</w:t>
      </w:r>
      <w:r w:rsidRPr="00390583">
        <w:rPr>
          <w:rFonts w:ascii="Arial" w:eastAsia="Times New Roman" w:hAnsi="Arial" w:cs="Arial"/>
          <w:snapToGrid w:val="0"/>
          <w:sz w:val="24"/>
          <w:szCs w:val="20"/>
        </w:rPr>
        <w:t>E</w:t>
      </w:r>
      <w:r>
        <w:rPr>
          <w:rFonts w:ascii="Arial" w:eastAsia="Times New Roman" w:hAnsi="Arial" w:cs="Arial"/>
          <w:snapToGrid w:val="0"/>
          <w:sz w:val="24"/>
          <w:szCs w:val="20"/>
        </w:rPr>
        <w:t>nergy</w:t>
      </w:r>
      <w:r w:rsidRPr="00390583">
        <w:rPr>
          <w:rFonts w:ascii="Arial" w:eastAsia="Times New Roman" w:hAnsi="Arial" w:cs="Arial"/>
          <w:snapToGrid w:val="0"/>
          <w:sz w:val="24"/>
          <w:szCs w:val="20"/>
        </w:rPr>
        <w:t xml:space="preserve"> Supply Chain is involved.  This is to ensure the asset is accounted for properly for depreciation and asset tracking along with making sure all paperwork, including title and bill of sale, is issued under the correct </w:t>
      </w:r>
      <w:r w:rsidR="000E33E3">
        <w:rPr>
          <w:rFonts w:ascii="Arial" w:eastAsia="Times New Roman" w:hAnsi="Arial" w:cs="Arial"/>
          <w:snapToGrid w:val="0"/>
          <w:sz w:val="24"/>
          <w:szCs w:val="20"/>
        </w:rPr>
        <w:t xml:space="preserve">entity’s </w:t>
      </w:r>
      <w:r w:rsidRPr="00390583">
        <w:rPr>
          <w:rFonts w:ascii="Arial" w:eastAsia="Times New Roman" w:hAnsi="Arial" w:cs="Arial"/>
          <w:snapToGrid w:val="0"/>
          <w:sz w:val="24"/>
          <w:szCs w:val="20"/>
        </w:rPr>
        <w:t xml:space="preserve">legal name.  All vehicle and equipment acquisitions are to be done on a </w:t>
      </w:r>
      <w:r>
        <w:rPr>
          <w:rFonts w:ascii="Arial" w:eastAsia="Times New Roman" w:hAnsi="Arial" w:cs="Arial"/>
          <w:snapToGrid w:val="0"/>
          <w:sz w:val="24"/>
          <w:szCs w:val="20"/>
        </w:rPr>
        <w:t>one</w:t>
      </w:r>
      <w:r w:rsidRPr="00390583">
        <w:rPr>
          <w:rFonts w:ascii="Arial" w:eastAsia="Times New Roman" w:hAnsi="Arial" w:cs="Arial"/>
          <w:snapToGrid w:val="0"/>
          <w:sz w:val="24"/>
          <w:szCs w:val="20"/>
        </w:rPr>
        <w:t xml:space="preserve"> for </w:t>
      </w:r>
      <w:r>
        <w:rPr>
          <w:rFonts w:ascii="Arial" w:eastAsia="Times New Roman" w:hAnsi="Arial" w:cs="Arial"/>
          <w:snapToGrid w:val="0"/>
          <w:sz w:val="24"/>
          <w:szCs w:val="20"/>
        </w:rPr>
        <w:t>one</w:t>
      </w:r>
      <w:r w:rsidRPr="00390583">
        <w:rPr>
          <w:rFonts w:ascii="Arial" w:eastAsia="Times New Roman" w:hAnsi="Arial" w:cs="Arial"/>
          <w:snapToGrid w:val="0"/>
          <w:sz w:val="24"/>
          <w:szCs w:val="20"/>
        </w:rPr>
        <w:t xml:space="preserve"> basis (i.e., replacing an existing unit which should be identified upfront when possible</w:t>
      </w:r>
      <w:r>
        <w:rPr>
          <w:rFonts w:ascii="Arial" w:eastAsia="Times New Roman" w:hAnsi="Arial" w:cs="Arial"/>
          <w:snapToGrid w:val="0"/>
          <w:sz w:val="24"/>
          <w:szCs w:val="20"/>
        </w:rPr>
        <w:t>).  The Replacement Criteria is</w:t>
      </w:r>
      <w:r w:rsidRPr="00390583">
        <w:rPr>
          <w:rFonts w:ascii="Arial" w:eastAsia="Times New Roman" w:hAnsi="Arial" w:cs="Arial"/>
          <w:snapToGrid w:val="0"/>
          <w:sz w:val="24"/>
          <w:szCs w:val="20"/>
        </w:rPr>
        <w:t xml:space="preserve"> shown </w:t>
      </w:r>
      <w:r>
        <w:rPr>
          <w:rFonts w:ascii="Arial" w:eastAsia="Times New Roman" w:hAnsi="Arial" w:cs="Arial"/>
          <w:snapToGrid w:val="0"/>
          <w:sz w:val="24"/>
          <w:szCs w:val="20"/>
        </w:rPr>
        <w:t>in Exhibit XII-2</w:t>
      </w:r>
      <w:r w:rsidRPr="00390583">
        <w:rPr>
          <w:rFonts w:ascii="Arial" w:eastAsia="Times New Roman" w:hAnsi="Arial" w:cs="Arial"/>
          <w:snapToGrid w:val="0"/>
          <w:sz w:val="24"/>
          <w:szCs w:val="20"/>
        </w:rPr>
        <w:t>.</w:t>
      </w:r>
    </w:p>
    <w:p w14:paraId="24DD5141" w14:textId="77777777" w:rsidR="00A359F2" w:rsidRDefault="00A359F2" w:rsidP="00A359F2">
      <w:pPr>
        <w:keepNext/>
        <w:widowControl w:val="0"/>
        <w:spacing w:after="0" w:line="20" w:lineRule="atLeast"/>
        <w:jc w:val="center"/>
        <w:rPr>
          <w:rFonts w:ascii="Arial" w:eastAsia="Times New Roman" w:hAnsi="Arial" w:cs="Arial"/>
          <w:b/>
          <w:bCs/>
          <w:snapToGrid w:val="0"/>
          <w:sz w:val="24"/>
          <w:szCs w:val="24"/>
          <w:lang w:val="en"/>
        </w:rPr>
      </w:pPr>
    </w:p>
    <w:p w14:paraId="5982FC35" w14:textId="77777777" w:rsidR="00A359F2" w:rsidRPr="00A72ECC" w:rsidRDefault="00A359F2" w:rsidP="00A359F2">
      <w:pPr>
        <w:keepNext/>
        <w:widowControl w:val="0"/>
        <w:spacing w:after="0" w:line="20" w:lineRule="atLeast"/>
        <w:jc w:val="center"/>
        <w:rPr>
          <w:rFonts w:ascii="Arial" w:eastAsia="Times New Roman" w:hAnsi="Arial" w:cs="Arial"/>
          <w:b/>
          <w:bCs/>
          <w:sz w:val="24"/>
          <w:szCs w:val="24"/>
          <w:lang w:val="en"/>
        </w:rPr>
      </w:pPr>
      <w:r w:rsidRPr="00A72ECC">
        <w:rPr>
          <w:rFonts w:ascii="Arial" w:eastAsia="Times New Roman" w:hAnsi="Arial" w:cs="Arial"/>
          <w:b/>
          <w:bCs/>
          <w:snapToGrid w:val="0"/>
          <w:sz w:val="24"/>
          <w:szCs w:val="24"/>
          <w:lang w:val="en"/>
        </w:rPr>
        <w:t xml:space="preserve">Exhibit XII – </w:t>
      </w:r>
      <w:r>
        <w:rPr>
          <w:rFonts w:ascii="Arial" w:eastAsia="Times New Roman" w:hAnsi="Arial" w:cs="Arial"/>
          <w:b/>
          <w:bCs/>
          <w:snapToGrid w:val="0"/>
          <w:sz w:val="24"/>
          <w:szCs w:val="24"/>
          <w:lang w:val="en"/>
        </w:rPr>
        <w:t>2</w:t>
      </w:r>
    </w:p>
    <w:p w14:paraId="1112760B" w14:textId="77777777" w:rsidR="00A359F2" w:rsidRPr="00A72ECC" w:rsidRDefault="00A359F2" w:rsidP="00A359F2">
      <w:pPr>
        <w:keepNext/>
        <w:widowControl w:val="0"/>
        <w:spacing w:after="0" w:line="20" w:lineRule="atLeast"/>
        <w:jc w:val="center"/>
        <w:rPr>
          <w:rFonts w:ascii="Arial" w:eastAsia="Times New Roman" w:hAnsi="Arial" w:cs="Arial"/>
          <w:b/>
          <w:bCs/>
          <w:snapToGrid w:val="0"/>
          <w:sz w:val="24"/>
          <w:szCs w:val="24"/>
          <w:lang w:val="en"/>
        </w:rPr>
      </w:pPr>
      <w:r w:rsidRPr="00A72ECC">
        <w:rPr>
          <w:rFonts w:ascii="Arial" w:eastAsia="Times New Roman" w:hAnsi="Arial" w:cs="Arial"/>
          <w:b/>
          <w:bCs/>
          <w:snapToGrid w:val="0"/>
          <w:sz w:val="24"/>
          <w:szCs w:val="24"/>
          <w:lang w:val="en"/>
        </w:rPr>
        <w:t>FirstEnergy Pennsylvania Companies</w:t>
      </w:r>
    </w:p>
    <w:p w14:paraId="0C472FFC" w14:textId="77777777" w:rsidR="00A359F2" w:rsidRPr="0062691B" w:rsidRDefault="00A359F2" w:rsidP="00A359F2">
      <w:pPr>
        <w:keepNext/>
        <w:widowControl w:val="0"/>
        <w:spacing w:after="0" w:line="20" w:lineRule="atLeast"/>
        <w:jc w:val="center"/>
        <w:rPr>
          <w:rFonts w:ascii="Arial" w:eastAsia="Times New Roman" w:hAnsi="Arial" w:cs="Arial"/>
          <w:b/>
          <w:bCs/>
          <w:snapToGrid w:val="0"/>
          <w:sz w:val="24"/>
          <w:szCs w:val="24"/>
          <w:lang w:val="en"/>
        </w:rPr>
      </w:pPr>
      <w:r>
        <w:rPr>
          <w:rFonts w:ascii="Arial" w:eastAsia="Times New Roman" w:hAnsi="Arial" w:cs="Arial"/>
          <w:b/>
          <w:bCs/>
          <w:snapToGrid w:val="0"/>
          <w:sz w:val="24"/>
          <w:szCs w:val="24"/>
          <w:lang w:val="en"/>
        </w:rPr>
        <w:t>Vehicle and Equipment Replacement Criteria</w:t>
      </w:r>
    </w:p>
    <w:p w14:paraId="22087B90" w14:textId="77777777" w:rsidR="00A359F2" w:rsidRPr="00301633" w:rsidRDefault="00A359F2" w:rsidP="00A359F2">
      <w:pPr>
        <w:widowControl w:val="0"/>
        <w:spacing w:after="0" w:line="20" w:lineRule="atLeast"/>
        <w:rPr>
          <w:rFonts w:ascii="Arial" w:eastAsia="Times New Roman" w:hAnsi="Arial" w:cs="Arial"/>
          <w:snapToGrid w:val="0"/>
          <w:sz w:val="8"/>
          <w:szCs w:val="8"/>
        </w:rPr>
      </w:pPr>
    </w:p>
    <w:tbl>
      <w:tblPr>
        <w:tblStyle w:val="TableGrid5"/>
        <w:tblW w:w="0" w:type="auto"/>
        <w:jc w:val="center"/>
        <w:tblLook w:val="04A0" w:firstRow="1" w:lastRow="0" w:firstColumn="1" w:lastColumn="0" w:noHBand="0" w:noVBand="1"/>
      </w:tblPr>
      <w:tblGrid>
        <w:gridCol w:w="870"/>
        <w:gridCol w:w="3168"/>
        <w:gridCol w:w="2518"/>
        <w:gridCol w:w="2518"/>
      </w:tblGrid>
      <w:tr w:rsidR="00A359F2" w:rsidRPr="00862BDC" w14:paraId="2D530962" w14:textId="77777777" w:rsidTr="00347614">
        <w:trPr>
          <w:trHeight w:val="144"/>
          <w:jc w:val="center"/>
        </w:trPr>
        <w:tc>
          <w:tcPr>
            <w:tcW w:w="870" w:type="dxa"/>
            <w:vMerge w:val="restart"/>
            <w:vAlign w:val="center"/>
          </w:tcPr>
          <w:p w14:paraId="3A7912D0" w14:textId="77777777" w:rsidR="00A359F2" w:rsidRPr="00862BDC" w:rsidRDefault="00A359F2" w:rsidP="00347614">
            <w:pPr>
              <w:widowControl w:val="0"/>
              <w:spacing w:line="20" w:lineRule="atLeast"/>
              <w:jc w:val="center"/>
              <w:rPr>
                <w:rFonts w:ascii="Arial" w:hAnsi="Arial" w:cs="Arial"/>
                <w:b/>
                <w:snapToGrid w:val="0"/>
                <w:sz w:val="22"/>
                <w:szCs w:val="22"/>
              </w:rPr>
            </w:pPr>
            <w:r w:rsidRPr="00862BDC">
              <w:rPr>
                <w:rFonts w:ascii="Arial" w:hAnsi="Arial" w:cs="Arial"/>
                <w:b/>
                <w:snapToGrid w:val="0"/>
                <w:sz w:val="22"/>
                <w:szCs w:val="22"/>
              </w:rPr>
              <w:t>Asset Class</w:t>
            </w:r>
          </w:p>
        </w:tc>
        <w:tc>
          <w:tcPr>
            <w:tcW w:w="3168" w:type="dxa"/>
            <w:vMerge w:val="restart"/>
            <w:vAlign w:val="center"/>
          </w:tcPr>
          <w:p w14:paraId="51D384B0" w14:textId="77777777" w:rsidR="00A359F2" w:rsidRPr="00862BDC" w:rsidRDefault="00A359F2" w:rsidP="00347614">
            <w:pPr>
              <w:widowControl w:val="0"/>
              <w:spacing w:line="20" w:lineRule="atLeast"/>
              <w:jc w:val="center"/>
              <w:rPr>
                <w:rFonts w:ascii="Arial" w:hAnsi="Arial" w:cs="Arial"/>
                <w:b/>
                <w:snapToGrid w:val="0"/>
                <w:sz w:val="22"/>
                <w:szCs w:val="22"/>
              </w:rPr>
            </w:pPr>
            <w:r w:rsidRPr="00862BDC">
              <w:rPr>
                <w:rFonts w:ascii="Arial" w:hAnsi="Arial" w:cs="Arial"/>
                <w:b/>
                <w:snapToGrid w:val="0"/>
                <w:sz w:val="22"/>
                <w:szCs w:val="22"/>
              </w:rPr>
              <w:t>Asset Class Description</w:t>
            </w:r>
          </w:p>
        </w:tc>
        <w:tc>
          <w:tcPr>
            <w:tcW w:w="5036" w:type="dxa"/>
            <w:gridSpan w:val="2"/>
            <w:vAlign w:val="center"/>
          </w:tcPr>
          <w:p w14:paraId="3A962696" w14:textId="77777777" w:rsidR="00A359F2" w:rsidRPr="00862BDC" w:rsidRDefault="00A359F2" w:rsidP="00347614">
            <w:pPr>
              <w:widowControl w:val="0"/>
              <w:spacing w:line="20" w:lineRule="atLeast"/>
              <w:jc w:val="center"/>
              <w:rPr>
                <w:rFonts w:ascii="Arial" w:hAnsi="Arial" w:cs="Arial"/>
                <w:b/>
                <w:snapToGrid w:val="0"/>
                <w:sz w:val="22"/>
                <w:szCs w:val="22"/>
              </w:rPr>
            </w:pPr>
            <w:r w:rsidRPr="00862BDC">
              <w:rPr>
                <w:rFonts w:ascii="Arial" w:hAnsi="Arial" w:cs="Arial"/>
                <w:b/>
                <w:snapToGrid w:val="0"/>
                <w:sz w:val="22"/>
                <w:szCs w:val="22"/>
              </w:rPr>
              <w:t>Replacement Criteria</w:t>
            </w:r>
          </w:p>
        </w:tc>
      </w:tr>
      <w:tr w:rsidR="00A359F2" w:rsidRPr="00862BDC" w14:paraId="61EB6337" w14:textId="77777777" w:rsidTr="00347614">
        <w:trPr>
          <w:trHeight w:val="144"/>
          <w:jc w:val="center"/>
        </w:trPr>
        <w:tc>
          <w:tcPr>
            <w:tcW w:w="870" w:type="dxa"/>
            <w:vMerge/>
          </w:tcPr>
          <w:p w14:paraId="659BB39D" w14:textId="77777777" w:rsidR="00A359F2" w:rsidRPr="00862BDC" w:rsidRDefault="00A359F2" w:rsidP="00347614">
            <w:pPr>
              <w:widowControl w:val="0"/>
              <w:spacing w:line="20" w:lineRule="atLeast"/>
              <w:jc w:val="center"/>
              <w:rPr>
                <w:rFonts w:ascii="Arial" w:hAnsi="Arial" w:cs="Arial"/>
                <w:b/>
                <w:snapToGrid w:val="0"/>
                <w:sz w:val="22"/>
                <w:szCs w:val="22"/>
              </w:rPr>
            </w:pPr>
          </w:p>
        </w:tc>
        <w:tc>
          <w:tcPr>
            <w:tcW w:w="3168" w:type="dxa"/>
            <w:vMerge/>
            <w:vAlign w:val="center"/>
          </w:tcPr>
          <w:p w14:paraId="21468506" w14:textId="77777777" w:rsidR="00A359F2" w:rsidRPr="00862BDC" w:rsidRDefault="00A359F2" w:rsidP="00347614">
            <w:pPr>
              <w:widowControl w:val="0"/>
              <w:spacing w:line="20" w:lineRule="atLeast"/>
              <w:jc w:val="center"/>
              <w:rPr>
                <w:rFonts w:ascii="Arial" w:hAnsi="Arial" w:cs="Arial"/>
                <w:b/>
                <w:snapToGrid w:val="0"/>
                <w:sz w:val="22"/>
                <w:szCs w:val="22"/>
              </w:rPr>
            </w:pPr>
          </w:p>
        </w:tc>
        <w:tc>
          <w:tcPr>
            <w:tcW w:w="5036" w:type="dxa"/>
            <w:gridSpan w:val="2"/>
          </w:tcPr>
          <w:p w14:paraId="2969FBBE" w14:textId="77777777" w:rsidR="00A359F2" w:rsidRPr="00862BDC" w:rsidRDefault="00A359F2" w:rsidP="00347614">
            <w:pPr>
              <w:widowControl w:val="0"/>
              <w:spacing w:line="20" w:lineRule="atLeast"/>
              <w:jc w:val="center"/>
              <w:rPr>
                <w:rFonts w:ascii="Arial" w:hAnsi="Arial" w:cs="Arial"/>
                <w:b/>
                <w:snapToGrid w:val="0"/>
                <w:sz w:val="22"/>
                <w:szCs w:val="22"/>
              </w:rPr>
            </w:pPr>
            <w:r w:rsidRPr="00862BDC">
              <w:rPr>
                <w:rFonts w:ascii="Arial" w:hAnsi="Arial" w:cs="Arial"/>
                <w:b/>
                <w:snapToGrid w:val="0"/>
                <w:sz w:val="22"/>
                <w:szCs w:val="22"/>
              </w:rPr>
              <w:t>(Either Mileage, Age or Both)</w:t>
            </w:r>
          </w:p>
        </w:tc>
      </w:tr>
      <w:tr w:rsidR="00A359F2" w:rsidRPr="00862BDC" w14:paraId="2D9695DF" w14:textId="77777777" w:rsidTr="00347614">
        <w:trPr>
          <w:trHeight w:val="144"/>
          <w:jc w:val="center"/>
        </w:trPr>
        <w:tc>
          <w:tcPr>
            <w:tcW w:w="870" w:type="dxa"/>
            <w:vMerge/>
          </w:tcPr>
          <w:p w14:paraId="1E4A21DB" w14:textId="77777777" w:rsidR="00A359F2" w:rsidRPr="00862BDC" w:rsidRDefault="00A359F2" w:rsidP="00347614">
            <w:pPr>
              <w:widowControl w:val="0"/>
              <w:spacing w:line="20" w:lineRule="atLeast"/>
              <w:jc w:val="center"/>
              <w:rPr>
                <w:rFonts w:ascii="Arial" w:hAnsi="Arial" w:cs="Arial"/>
                <w:b/>
                <w:snapToGrid w:val="0"/>
                <w:sz w:val="22"/>
                <w:szCs w:val="22"/>
              </w:rPr>
            </w:pPr>
          </w:p>
        </w:tc>
        <w:tc>
          <w:tcPr>
            <w:tcW w:w="3168" w:type="dxa"/>
            <w:vMerge/>
          </w:tcPr>
          <w:p w14:paraId="1D017F1D" w14:textId="77777777" w:rsidR="00A359F2" w:rsidRPr="00862BDC" w:rsidRDefault="00A359F2" w:rsidP="00347614">
            <w:pPr>
              <w:widowControl w:val="0"/>
              <w:spacing w:line="20" w:lineRule="atLeast"/>
              <w:rPr>
                <w:rFonts w:ascii="Arial" w:hAnsi="Arial" w:cs="Arial"/>
                <w:b/>
                <w:snapToGrid w:val="0"/>
                <w:sz w:val="22"/>
                <w:szCs w:val="22"/>
              </w:rPr>
            </w:pPr>
          </w:p>
        </w:tc>
        <w:tc>
          <w:tcPr>
            <w:tcW w:w="2518" w:type="dxa"/>
          </w:tcPr>
          <w:p w14:paraId="5D7649FC" w14:textId="77777777" w:rsidR="00A359F2" w:rsidRPr="00862BDC" w:rsidRDefault="00A359F2" w:rsidP="00347614">
            <w:pPr>
              <w:widowControl w:val="0"/>
              <w:spacing w:line="20" w:lineRule="atLeast"/>
              <w:jc w:val="center"/>
              <w:rPr>
                <w:rFonts w:ascii="Arial" w:hAnsi="Arial" w:cs="Arial"/>
                <w:b/>
                <w:snapToGrid w:val="0"/>
                <w:sz w:val="22"/>
                <w:szCs w:val="22"/>
              </w:rPr>
            </w:pPr>
            <w:r w:rsidRPr="00862BDC">
              <w:rPr>
                <w:rFonts w:ascii="Arial" w:hAnsi="Arial" w:cs="Arial"/>
                <w:b/>
                <w:snapToGrid w:val="0"/>
                <w:sz w:val="22"/>
                <w:szCs w:val="22"/>
              </w:rPr>
              <w:t>Age (Years)</w:t>
            </w:r>
          </w:p>
        </w:tc>
        <w:tc>
          <w:tcPr>
            <w:tcW w:w="2518" w:type="dxa"/>
          </w:tcPr>
          <w:p w14:paraId="1E012935" w14:textId="77777777" w:rsidR="00A359F2" w:rsidRPr="00862BDC" w:rsidRDefault="00A359F2" w:rsidP="00347614">
            <w:pPr>
              <w:widowControl w:val="0"/>
              <w:spacing w:line="20" w:lineRule="atLeast"/>
              <w:jc w:val="center"/>
              <w:rPr>
                <w:rFonts w:ascii="Arial" w:hAnsi="Arial" w:cs="Arial"/>
                <w:b/>
                <w:snapToGrid w:val="0"/>
                <w:sz w:val="22"/>
                <w:szCs w:val="22"/>
              </w:rPr>
            </w:pPr>
            <w:r w:rsidRPr="00862BDC">
              <w:rPr>
                <w:rFonts w:ascii="Arial" w:hAnsi="Arial" w:cs="Arial"/>
                <w:b/>
                <w:snapToGrid w:val="0"/>
                <w:sz w:val="22"/>
                <w:szCs w:val="22"/>
              </w:rPr>
              <w:t>Mileage</w:t>
            </w:r>
          </w:p>
        </w:tc>
      </w:tr>
      <w:tr w:rsidR="00A359F2" w:rsidRPr="00862BDC" w14:paraId="07B4E1B7" w14:textId="77777777" w:rsidTr="00347614">
        <w:trPr>
          <w:trHeight w:val="144"/>
          <w:jc w:val="center"/>
        </w:trPr>
        <w:tc>
          <w:tcPr>
            <w:tcW w:w="870" w:type="dxa"/>
          </w:tcPr>
          <w:p w14:paraId="050047A9" w14:textId="77777777" w:rsidR="00A359F2" w:rsidRPr="00862BDC" w:rsidRDefault="00A359F2" w:rsidP="00347614">
            <w:pPr>
              <w:widowControl w:val="0"/>
              <w:spacing w:line="20" w:lineRule="atLeast"/>
              <w:jc w:val="center"/>
              <w:rPr>
                <w:rFonts w:ascii="Arial" w:hAnsi="Arial" w:cs="Arial"/>
                <w:snapToGrid w:val="0"/>
                <w:sz w:val="22"/>
                <w:szCs w:val="22"/>
              </w:rPr>
            </w:pPr>
            <w:r w:rsidRPr="00862BDC">
              <w:rPr>
                <w:rFonts w:ascii="Arial" w:hAnsi="Arial" w:cs="Arial"/>
                <w:snapToGrid w:val="0"/>
                <w:sz w:val="22"/>
                <w:szCs w:val="22"/>
              </w:rPr>
              <w:t>1</w:t>
            </w:r>
          </w:p>
        </w:tc>
        <w:tc>
          <w:tcPr>
            <w:tcW w:w="3168" w:type="dxa"/>
          </w:tcPr>
          <w:p w14:paraId="76C9C1FC" w14:textId="77777777" w:rsidR="00A359F2" w:rsidRPr="00862BDC" w:rsidRDefault="00A359F2" w:rsidP="00347614">
            <w:pPr>
              <w:widowControl w:val="0"/>
              <w:spacing w:line="20" w:lineRule="atLeast"/>
              <w:rPr>
                <w:rFonts w:ascii="Arial" w:hAnsi="Arial" w:cs="Arial"/>
                <w:snapToGrid w:val="0"/>
                <w:sz w:val="22"/>
                <w:szCs w:val="22"/>
              </w:rPr>
            </w:pPr>
            <w:r w:rsidRPr="00862BDC">
              <w:rPr>
                <w:rFonts w:ascii="Arial" w:hAnsi="Arial" w:cs="Arial"/>
                <w:snapToGrid w:val="0"/>
                <w:sz w:val="22"/>
                <w:szCs w:val="22"/>
              </w:rPr>
              <w:t>Light Duty</w:t>
            </w:r>
          </w:p>
        </w:tc>
        <w:tc>
          <w:tcPr>
            <w:tcW w:w="2518" w:type="dxa"/>
            <w:vAlign w:val="center"/>
          </w:tcPr>
          <w:p w14:paraId="3523C51A" w14:textId="77777777" w:rsidR="00A359F2" w:rsidRPr="00862BDC" w:rsidRDefault="00A359F2" w:rsidP="00347614">
            <w:pPr>
              <w:widowControl w:val="0"/>
              <w:spacing w:line="20" w:lineRule="atLeast"/>
              <w:jc w:val="center"/>
              <w:rPr>
                <w:rFonts w:ascii="Arial" w:hAnsi="Arial" w:cs="Arial"/>
                <w:snapToGrid w:val="0"/>
                <w:sz w:val="22"/>
                <w:szCs w:val="22"/>
              </w:rPr>
            </w:pPr>
            <w:r w:rsidRPr="00862BDC">
              <w:rPr>
                <w:rFonts w:ascii="Arial" w:hAnsi="Arial" w:cs="Arial"/>
                <w:snapToGrid w:val="0"/>
                <w:sz w:val="22"/>
                <w:szCs w:val="22"/>
              </w:rPr>
              <w:t>10</w:t>
            </w:r>
          </w:p>
        </w:tc>
        <w:tc>
          <w:tcPr>
            <w:tcW w:w="2518" w:type="dxa"/>
            <w:vAlign w:val="center"/>
          </w:tcPr>
          <w:p w14:paraId="384D474B" w14:textId="77777777" w:rsidR="00A359F2" w:rsidRPr="00862BDC" w:rsidRDefault="00A359F2" w:rsidP="00347614">
            <w:pPr>
              <w:widowControl w:val="0"/>
              <w:spacing w:line="20" w:lineRule="atLeast"/>
              <w:jc w:val="center"/>
              <w:rPr>
                <w:rFonts w:ascii="Arial" w:hAnsi="Arial" w:cs="Arial"/>
                <w:snapToGrid w:val="0"/>
                <w:sz w:val="22"/>
                <w:szCs w:val="22"/>
              </w:rPr>
            </w:pPr>
            <w:r w:rsidRPr="00862BDC">
              <w:rPr>
                <w:rFonts w:ascii="Arial" w:hAnsi="Arial" w:cs="Arial"/>
                <w:snapToGrid w:val="0"/>
                <w:sz w:val="22"/>
                <w:szCs w:val="22"/>
              </w:rPr>
              <w:t>≥100,000</w:t>
            </w:r>
          </w:p>
        </w:tc>
      </w:tr>
      <w:tr w:rsidR="00A359F2" w:rsidRPr="00862BDC" w14:paraId="2CCE1CD7" w14:textId="77777777" w:rsidTr="00347614">
        <w:trPr>
          <w:trHeight w:val="144"/>
          <w:jc w:val="center"/>
        </w:trPr>
        <w:tc>
          <w:tcPr>
            <w:tcW w:w="870" w:type="dxa"/>
          </w:tcPr>
          <w:p w14:paraId="4143D850" w14:textId="77777777" w:rsidR="00A359F2" w:rsidRPr="00862BDC" w:rsidRDefault="00A359F2" w:rsidP="00347614">
            <w:pPr>
              <w:widowControl w:val="0"/>
              <w:spacing w:line="20" w:lineRule="atLeast"/>
              <w:jc w:val="center"/>
              <w:rPr>
                <w:rFonts w:ascii="Arial" w:hAnsi="Arial" w:cs="Arial"/>
                <w:snapToGrid w:val="0"/>
                <w:sz w:val="22"/>
                <w:szCs w:val="22"/>
              </w:rPr>
            </w:pPr>
            <w:r w:rsidRPr="00862BDC">
              <w:rPr>
                <w:rFonts w:ascii="Arial" w:hAnsi="Arial" w:cs="Arial"/>
                <w:snapToGrid w:val="0"/>
                <w:sz w:val="22"/>
                <w:szCs w:val="22"/>
              </w:rPr>
              <w:t>2</w:t>
            </w:r>
          </w:p>
        </w:tc>
        <w:tc>
          <w:tcPr>
            <w:tcW w:w="3168" w:type="dxa"/>
          </w:tcPr>
          <w:p w14:paraId="62CE3CB1" w14:textId="77777777" w:rsidR="00A359F2" w:rsidRPr="00862BDC" w:rsidRDefault="00A359F2" w:rsidP="00347614">
            <w:pPr>
              <w:widowControl w:val="0"/>
              <w:spacing w:line="20" w:lineRule="atLeast"/>
              <w:rPr>
                <w:rFonts w:ascii="Arial" w:hAnsi="Arial" w:cs="Arial"/>
                <w:snapToGrid w:val="0"/>
                <w:sz w:val="22"/>
                <w:szCs w:val="22"/>
              </w:rPr>
            </w:pPr>
            <w:r w:rsidRPr="00862BDC">
              <w:rPr>
                <w:rFonts w:ascii="Arial" w:hAnsi="Arial" w:cs="Arial"/>
                <w:snapToGrid w:val="0"/>
                <w:sz w:val="22"/>
                <w:szCs w:val="22"/>
              </w:rPr>
              <w:t>Medium Duty</w:t>
            </w:r>
          </w:p>
        </w:tc>
        <w:tc>
          <w:tcPr>
            <w:tcW w:w="2518" w:type="dxa"/>
            <w:vAlign w:val="center"/>
          </w:tcPr>
          <w:p w14:paraId="1CFB4505" w14:textId="77777777" w:rsidR="00A359F2" w:rsidRPr="00862BDC" w:rsidRDefault="00A359F2" w:rsidP="00347614">
            <w:pPr>
              <w:widowControl w:val="0"/>
              <w:spacing w:line="20" w:lineRule="atLeast"/>
              <w:jc w:val="center"/>
              <w:rPr>
                <w:rFonts w:ascii="Arial" w:hAnsi="Arial" w:cs="Arial"/>
                <w:snapToGrid w:val="0"/>
                <w:sz w:val="22"/>
                <w:szCs w:val="22"/>
              </w:rPr>
            </w:pPr>
            <w:r w:rsidRPr="00862BDC">
              <w:rPr>
                <w:rFonts w:ascii="Arial" w:hAnsi="Arial" w:cs="Arial"/>
                <w:snapToGrid w:val="0"/>
                <w:sz w:val="22"/>
                <w:szCs w:val="22"/>
              </w:rPr>
              <w:t>10</w:t>
            </w:r>
          </w:p>
        </w:tc>
        <w:tc>
          <w:tcPr>
            <w:tcW w:w="2518" w:type="dxa"/>
            <w:vAlign w:val="center"/>
          </w:tcPr>
          <w:p w14:paraId="6E9387D0" w14:textId="77777777" w:rsidR="00A359F2" w:rsidRPr="00862BDC" w:rsidRDefault="00A359F2" w:rsidP="00347614">
            <w:pPr>
              <w:widowControl w:val="0"/>
              <w:spacing w:line="20" w:lineRule="atLeast"/>
              <w:jc w:val="center"/>
              <w:rPr>
                <w:rFonts w:ascii="Arial" w:hAnsi="Arial" w:cs="Arial"/>
                <w:snapToGrid w:val="0"/>
                <w:sz w:val="22"/>
                <w:szCs w:val="22"/>
              </w:rPr>
            </w:pPr>
            <w:r w:rsidRPr="00862BDC">
              <w:rPr>
                <w:rFonts w:ascii="Arial" w:hAnsi="Arial" w:cs="Arial"/>
                <w:snapToGrid w:val="0"/>
                <w:sz w:val="22"/>
                <w:szCs w:val="22"/>
              </w:rPr>
              <w:t>≥100,000</w:t>
            </w:r>
          </w:p>
        </w:tc>
      </w:tr>
      <w:tr w:rsidR="00A359F2" w:rsidRPr="00862BDC" w14:paraId="721F0232" w14:textId="77777777" w:rsidTr="00347614">
        <w:trPr>
          <w:trHeight w:val="144"/>
          <w:jc w:val="center"/>
        </w:trPr>
        <w:tc>
          <w:tcPr>
            <w:tcW w:w="870" w:type="dxa"/>
          </w:tcPr>
          <w:p w14:paraId="7A353BB2" w14:textId="77777777" w:rsidR="00A359F2" w:rsidRPr="00862BDC" w:rsidRDefault="00A359F2" w:rsidP="00347614">
            <w:pPr>
              <w:widowControl w:val="0"/>
              <w:spacing w:line="20" w:lineRule="atLeast"/>
              <w:jc w:val="center"/>
              <w:rPr>
                <w:rFonts w:ascii="Arial" w:hAnsi="Arial" w:cs="Arial"/>
                <w:snapToGrid w:val="0"/>
                <w:sz w:val="22"/>
                <w:szCs w:val="22"/>
              </w:rPr>
            </w:pPr>
            <w:r w:rsidRPr="00862BDC">
              <w:rPr>
                <w:rFonts w:ascii="Arial" w:hAnsi="Arial" w:cs="Arial"/>
                <w:snapToGrid w:val="0"/>
                <w:sz w:val="22"/>
                <w:szCs w:val="22"/>
              </w:rPr>
              <w:t>3</w:t>
            </w:r>
          </w:p>
        </w:tc>
        <w:tc>
          <w:tcPr>
            <w:tcW w:w="3168" w:type="dxa"/>
          </w:tcPr>
          <w:p w14:paraId="67400277" w14:textId="77777777" w:rsidR="00A359F2" w:rsidRPr="00862BDC" w:rsidRDefault="00A359F2" w:rsidP="00347614">
            <w:pPr>
              <w:widowControl w:val="0"/>
              <w:spacing w:line="20" w:lineRule="atLeast"/>
              <w:rPr>
                <w:rFonts w:ascii="Arial" w:hAnsi="Arial" w:cs="Arial"/>
                <w:snapToGrid w:val="0"/>
                <w:sz w:val="22"/>
                <w:szCs w:val="22"/>
              </w:rPr>
            </w:pPr>
            <w:r w:rsidRPr="00862BDC">
              <w:rPr>
                <w:rFonts w:ascii="Arial" w:hAnsi="Arial" w:cs="Arial"/>
                <w:snapToGrid w:val="0"/>
                <w:sz w:val="22"/>
                <w:szCs w:val="22"/>
              </w:rPr>
              <w:t>Heavy Duty</w:t>
            </w:r>
          </w:p>
        </w:tc>
        <w:tc>
          <w:tcPr>
            <w:tcW w:w="2518" w:type="dxa"/>
            <w:vAlign w:val="center"/>
          </w:tcPr>
          <w:p w14:paraId="1DAB712A" w14:textId="77777777" w:rsidR="00A359F2" w:rsidRPr="00862BDC" w:rsidRDefault="00A359F2" w:rsidP="00347614">
            <w:pPr>
              <w:widowControl w:val="0"/>
              <w:spacing w:line="20" w:lineRule="atLeast"/>
              <w:jc w:val="center"/>
              <w:rPr>
                <w:rFonts w:ascii="Arial" w:hAnsi="Arial" w:cs="Arial"/>
                <w:snapToGrid w:val="0"/>
                <w:sz w:val="22"/>
                <w:szCs w:val="22"/>
              </w:rPr>
            </w:pPr>
            <w:r w:rsidRPr="00862BDC">
              <w:rPr>
                <w:rFonts w:ascii="Arial" w:hAnsi="Arial" w:cs="Arial"/>
                <w:snapToGrid w:val="0"/>
                <w:sz w:val="22"/>
                <w:szCs w:val="22"/>
              </w:rPr>
              <w:t>12</w:t>
            </w:r>
          </w:p>
        </w:tc>
        <w:tc>
          <w:tcPr>
            <w:tcW w:w="2518" w:type="dxa"/>
            <w:vAlign w:val="center"/>
          </w:tcPr>
          <w:p w14:paraId="55211B3E" w14:textId="77777777" w:rsidR="00A359F2" w:rsidRPr="00862BDC" w:rsidRDefault="00A359F2" w:rsidP="00347614">
            <w:pPr>
              <w:widowControl w:val="0"/>
              <w:spacing w:line="20" w:lineRule="atLeast"/>
              <w:jc w:val="center"/>
              <w:rPr>
                <w:snapToGrid w:val="0"/>
                <w:sz w:val="22"/>
                <w:szCs w:val="22"/>
              </w:rPr>
            </w:pPr>
            <w:r w:rsidRPr="00862BDC">
              <w:rPr>
                <w:rFonts w:ascii="Arial" w:hAnsi="Arial" w:cs="Arial"/>
                <w:snapToGrid w:val="0"/>
                <w:sz w:val="22"/>
                <w:szCs w:val="22"/>
              </w:rPr>
              <w:t>≥125,000</w:t>
            </w:r>
          </w:p>
        </w:tc>
      </w:tr>
      <w:tr w:rsidR="00A359F2" w:rsidRPr="00862BDC" w14:paraId="440F0D52" w14:textId="77777777" w:rsidTr="00347614">
        <w:trPr>
          <w:trHeight w:val="144"/>
          <w:jc w:val="center"/>
        </w:trPr>
        <w:tc>
          <w:tcPr>
            <w:tcW w:w="870" w:type="dxa"/>
          </w:tcPr>
          <w:p w14:paraId="2AA42EDA" w14:textId="77777777" w:rsidR="00A359F2" w:rsidRPr="00862BDC" w:rsidRDefault="00A359F2" w:rsidP="00347614">
            <w:pPr>
              <w:widowControl w:val="0"/>
              <w:spacing w:line="20" w:lineRule="atLeast"/>
              <w:jc w:val="center"/>
              <w:rPr>
                <w:rFonts w:ascii="Arial" w:hAnsi="Arial" w:cs="Arial"/>
                <w:snapToGrid w:val="0"/>
                <w:sz w:val="22"/>
                <w:szCs w:val="22"/>
              </w:rPr>
            </w:pPr>
            <w:r w:rsidRPr="00862BDC">
              <w:rPr>
                <w:rFonts w:ascii="Arial" w:hAnsi="Arial" w:cs="Arial"/>
                <w:snapToGrid w:val="0"/>
                <w:sz w:val="22"/>
                <w:szCs w:val="22"/>
              </w:rPr>
              <w:t>4</w:t>
            </w:r>
          </w:p>
        </w:tc>
        <w:tc>
          <w:tcPr>
            <w:tcW w:w="3168" w:type="dxa"/>
          </w:tcPr>
          <w:p w14:paraId="77A6303E" w14:textId="77777777" w:rsidR="00A359F2" w:rsidRPr="00862BDC" w:rsidRDefault="00A359F2" w:rsidP="00347614">
            <w:pPr>
              <w:widowControl w:val="0"/>
              <w:spacing w:line="20" w:lineRule="atLeast"/>
              <w:rPr>
                <w:rFonts w:ascii="Arial" w:hAnsi="Arial" w:cs="Arial"/>
                <w:snapToGrid w:val="0"/>
                <w:sz w:val="22"/>
                <w:szCs w:val="22"/>
              </w:rPr>
            </w:pPr>
            <w:r w:rsidRPr="00862BDC">
              <w:rPr>
                <w:rFonts w:ascii="Arial" w:hAnsi="Arial" w:cs="Arial"/>
                <w:snapToGrid w:val="0"/>
                <w:sz w:val="22"/>
                <w:szCs w:val="22"/>
              </w:rPr>
              <w:t>Aerial Trucks</w:t>
            </w:r>
          </w:p>
        </w:tc>
        <w:tc>
          <w:tcPr>
            <w:tcW w:w="2518" w:type="dxa"/>
            <w:vAlign w:val="center"/>
          </w:tcPr>
          <w:p w14:paraId="3D95AC91" w14:textId="77777777" w:rsidR="00A359F2" w:rsidRPr="00862BDC" w:rsidRDefault="00A359F2" w:rsidP="00347614">
            <w:pPr>
              <w:widowControl w:val="0"/>
              <w:spacing w:line="20" w:lineRule="atLeast"/>
              <w:jc w:val="center"/>
              <w:rPr>
                <w:rFonts w:ascii="Arial" w:hAnsi="Arial" w:cs="Arial"/>
                <w:snapToGrid w:val="0"/>
                <w:sz w:val="22"/>
                <w:szCs w:val="22"/>
              </w:rPr>
            </w:pPr>
            <w:r w:rsidRPr="00862BDC">
              <w:rPr>
                <w:rFonts w:ascii="Arial" w:hAnsi="Arial" w:cs="Arial"/>
                <w:snapToGrid w:val="0"/>
                <w:sz w:val="22"/>
                <w:szCs w:val="22"/>
              </w:rPr>
              <w:t>15</w:t>
            </w:r>
          </w:p>
        </w:tc>
        <w:tc>
          <w:tcPr>
            <w:tcW w:w="2518" w:type="dxa"/>
            <w:vAlign w:val="center"/>
          </w:tcPr>
          <w:p w14:paraId="3209FBD6" w14:textId="77777777" w:rsidR="00A359F2" w:rsidRPr="00862BDC" w:rsidRDefault="00A359F2" w:rsidP="00347614">
            <w:pPr>
              <w:widowControl w:val="0"/>
              <w:spacing w:line="20" w:lineRule="atLeast"/>
              <w:jc w:val="center"/>
              <w:rPr>
                <w:snapToGrid w:val="0"/>
                <w:sz w:val="22"/>
                <w:szCs w:val="22"/>
              </w:rPr>
            </w:pPr>
            <w:r w:rsidRPr="00862BDC">
              <w:rPr>
                <w:rFonts w:ascii="Arial" w:hAnsi="Arial" w:cs="Arial"/>
                <w:snapToGrid w:val="0"/>
                <w:sz w:val="22"/>
                <w:szCs w:val="22"/>
              </w:rPr>
              <w:t>≥150,000</w:t>
            </w:r>
          </w:p>
        </w:tc>
      </w:tr>
      <w:tr w:rsidR="00A359F2" w:rsidRPr="00862BDC" w14:paraId="4E719A60" w14:textId="77777777" w:rsidTr="00347614">
        <w:trPr>
          <w:trHeight w:val="144"/>
          <w:jc w:val="center"/>
        </w:trPr>
        <w:tc>
          <w:tcPr>
            <w:tcW w:w="870" w:type="dxa"/>
          </w:tcPr>
          <w:p w14:paraId="107ECEB2" w14:textId="77777777" w:rsidR="00A359F2" w:rsidRPr="00862BDC" w:rsidRDefault="00A359F2" w:rsidP="00347614">
            <w:pPr>
              <w:widowControl w:val="0"/>
              <w:spacing w:line="20" w:lineRule="atLeast"/>
              <w:jc w:val="center"/>
              <w:rPr>
                <w:rFonts w:ascii="Arial" w:hAnsi="Arial" w:cs="Arial"/>
                <w:snapToGrid w:val="0"/>
                <w:sz w:val="22"/>
                <w:szCs w:val="22"/>
              </w:rPr>
            </w:pPr>
            <w:r w:rsidRPr="00862BDC">
              <w:rPr>
                <w:rFonts w:ascii="Arial" w:hAnsi="Arial" w:cs="Arial"/>
                <w:snapToGrid w:val="0"/>
                <w:sz w:val="22"/>
                <w:szCs w:val="22"/>
              </w:rPr>
              <w:t>5</w:t>
            </w:r>
          </w:p>
        </w:tc>
        <w:tc>
          <w:tcPr>
            <w:tcW w:w="3168" w:type="dxa"/>
          </w:tcPr>
          <w:p w14:paraId="6BCC3636" w14:textId="77777777" w:rsidR="00A359F2" w:rsidRPr="00862BDC" w:rsidRDefault="00A359F2" w:rsidP="00347614">
            <w:pPr>
              <w:widowControl w:val="0"/>
              <w:spacing w:line="20" w:lineRule="atLeast"/>
              <w:rPr>
                <w:rFonts w:ascii="Arial" w:hAnsi="Arial" w:cs="Arial"/>
                <w:snapToGrid w:val="0"/>
                <w:sz w:val="22"/>
                <w:szCs w:val="22"/>
              </w:rPr>
            </w:pPr>
            <w:r w:rsidRPr="00862BDC">
              <w:rPr>
                <w:rFonts w:ascii="Arial" w:hAnsi="Arial" w:cs="Arial"/>
                <w:snapToGrid w:val="0"/>
                <w:sz w:val="22"/>
                <w:szCs w:val="22"/>
              </w:rPr>
              <w:t>Digger Derrick Trucks</w:t>
            </w:r>
          </w:p>
        </w:tc>
        <w:tc>
          <w:tcPr>
            <w:tcW w:w="2518" w:type="dxa"/>
            <w:vAlign w:val="center"/>
          </w:tcPr>
          <w:p w14:paraId="1448B4A0" w14:textId="77777777" w:rsidR="00A359F2" w:rsidRPr="00862BDC" w:rsidRDefault="00A359F2" w:rsidP="00347614">
            <w:pPr>
              <w:widowControl w:val="0"/>
              <w:spacing w:line="20" w:lineRule="atLeast"/>
              <w:jc w:val="center"/>
              <w:rPr>
                <w:rFonts w:ascii="Arial" w:hAnsi="Arial" w:cs="Arial"/>
                <w:snapToGrid w:val="0"/>
                <w:sz w:val="22"/>
                <w:szCs w:val="22"/>
              </w:rPr>
            </w:pPr>
            <w:r w:rsidRPr="00862BDC">
              <w:rPr>
                <w:rFonts w:ascii="Arial" w:hAnsi="Arial" w:cs="Arial"/>
                <w:snapToGrid w:val="0"/>
                <w:sz w:val="22"/>
                <w:szCs w:val="22"/>
              </w:rPr>
              <w:t>15</w:t>
            </w:r>
          </w:p>
        </w:tc>
        <w:tc>
          <w:tcPr>
            <w:tcW w:w="2518" w:type="dxa"/>
            <w:vAlign w:val="center"/>
          </w:tcPr>
          <w:p w14:paraId="44460D1B" w14:textId="77777777" w:rsidR="00A359F2" w:rsidRPr="00862BDC" w:rsidRDefault="00A359F2" w:rsidP="00347614">
            <w:pPr>
              <w:widowControl w:val="0"/>
              <w:spacing w:line="20" w:lineRule="atLeast"/>
              <w:jc w:val="center"/>
              <w:rPr>
                <w:snapToGrid w:val="0"/>
                <w:sz w:val="22"/>
                <w:szCs w:val="22"/>
              </w:rPr>
            </w:pPr>
            <w:r w:rsidRPr="00862BDC">
              <w:rPr>
                <w:rFonts w:ascii="Arial" w:hAnsi="Arial" w:cs="Arial"/>
                <w:snapToGrid w:val="0"/>
                <w:sz w:val="22"/>
                <w:szCs w:val="22"/>
              </w:rPr>
              <w:t>≥150,000</w:t>
            </w:r>
          </w:p>
        </w:tc>
      </w:tr>
      <w:tr w:rsidR="00A359F2" w:rsidRPr="00862BDC" w14:paraId="491CD72B" w14:textId="77777777" w:rsidTr="00347614">
        <w:trPr>
          <w:trHeight w:val="144"/>
          <w:jc w:val="center"/>
        </w:trPr>
        <w:tc>
          <w:tcPr>
            <w:tcW w:w="870" w:type="dxa"/>
          </w:tcPr>
          <w:p w14:paraId="773C3F58" w14:textId="77777777" w:rsidR="00A359F2" w:rsidRPr="00862BDC" w:rsidRDefault="00A359F2" w:rsidP="00347614">
            <w:pPr>
              <w:widowControl w:val="0"/>
              <w:spacing w:line="20" w:lineRule="atLeast"/>
              <w:jc w:val="center"/>
              <w:rPr>
                <w:rFonts w:ascii="Arial" w:hAnsi="Arial" w:cs="Arial"/>
                <w:snapToGrid w:val="0"/>
                <w:sz w:val="22"/>
                <w:szCs w:val="22"/>
              </w:rPr>
            </w:pPr>
            <w:r w:rsidRPr="00862BDC">
              <w:rPr>
                <w:rFonts w:ascii="Arial" w:hAnsi="Arial" w:cs="Arial"/>
                <w:snapToGrid w:val="0"/>
                <w:sz w:val="22"/>
                <w:szCs w:val="22"/>
              </w:rPr>
              <w:t>6</w:t>
            </w:r>
          </w:p>
        </w:tc>
        <w:tc>
          <w:tcPr>
            <w:tcW w:w="3168" w:type="dxa"/>
          </w:tcPr>
          <w:p w14:paraId="5D571771" w14:textId="77777777" w:rsidR="00A359F2" w:rsidRPr="00862BDC" w:rsidRDefault="00A359F2" w:rsidP="00347614">
            <w:pPr>
              <w:widowControl w:val="0"/>
              <w:spacing w:line="20" w:lineRule="atLeast"/>
              <w:rPr>
                <w:rFonts w:ascii="Arial" w:hAnsi="Arial" w:cs="Arial"/>
                <w:snapToGrid w:val="0"/>
                <w:sz w:val="22"/>
                <w:szCs w:val="22"/>
              </w:rPr>
            </w:pPr>
            <w:r w:rsidRPr="00862BDC">
              <w:rPr>
                <w:rFonts w:ascii="Arial" w:hAnsi="Arial" w:cs="Arial"/>
                <w:snapToGrid w:val="0"/>
                <w:sz w:val="22"/>
                <w:szCs w:val="22"/>
              </w:rPr>
              <w:t>Crane Trucks</w:t>
            </w:r>
          </w:p>
        </w:tc>
        <w:tc>
          <w:tcPr>
            <w:tcW w:w="2518" w:type="dxa"/>
            <w:vAlign w:val="center"/>
          </w:tcPr>
          <w:p w14:paraId="712B2948" w14:textId="77777777" w:rsidR="00A359F2" w:rsidRPr="00862BDC" w:rsidRDefault="00A359F2" w:rsidP="00347614">
            <w:pPr>
              <w:widowControl w:val="0"/>
              <w:spacing w:line="20" w:lineRule="atLeast"/>
              <w:jc w:val="center"/>
              <w:rPr>
                <w:rFonts w:ascii="Arial" w:hAnsi="Arial" w:cs="Arial"/>
                <w:snapToGrid w:val="0"/>
                <w:sz w:val="22"/>
                <w:szCs w:val="22"/>
              </w:rPr>
            </w:pPr>
            <w:r w:rsidRPr="00862BDC">
              <w:rPr>
                <w:rFonts w:ascii="Arial" w:hAnsi="Arial" w:cs="Arial"/>
                <w:snapToGrid w:val="0"/>
                <w:sz w:val="22"/>
                <w:szCs w:val="22"/>
              </w:rPr>
              <w:t>12</w:t>
            </w:r>
          </w:p>
        </w:tc>
        <w:tc>
          <w:tcPr>
            <w:tcW w:w="2518" w:type="dxa"/>
            <w:vAlign w:val="center"/>
          </w:tcPr>
          <w:p w14:paraId="1FDBAA31" w14:textId="77777777" w:rsidR="00A359F2" w:rsidRPr="00862BDC" w:rsidRDefault="00A359F2" w:rsidP="00347614">
            <w:pPr>
              <w:widowControl w:val="0"/>
              <w:spacing w:line="20" w:lineRule="atLeast"/>
              <w:jc w:val="center"/>
              <w:rPr>
                <w:snapToGrid w:val="0"/>
                <w:sz w:val="22"/>
                <w:szCs w:val="22"/>
              </w:rPr>
            </w:pPr>
            <w:r w:rsidRPr="00862BDC">
              <w:rPr>
                <w:rFonts w:ascii="Arial" w:hAnsi="Arial" w:cs="Arial"/>
                <w:snapToGrid w:val="0"/>
                <w:sz w:val="22"/>
                <w:szCs w:val="22"/>
              </w:rPr>
              <w:t>≥125,000</w:t>
            </w:r>
          </w:p>
        </w:tc>
      </w:tr>
      <w:tr w:rsidR="00A359F2" w:rsidRPr="00862BDC" w14:paraId="04090D48" w14:textId="77777777" w:rsidTr="00347614">
        <w:trPr>
          <w:trHeight w:val="144"/>
          <w:jc w:val="center"/>
        </w:trPr>
        <w:tc>
          <w:tcPr>
            <w:tcW w:w="870" w:type="dxa"/>
          </w:tcPr>
          <w:p w14:paraId="72775D64" w14:textId="77777777" w:rsidR="00A359F2" w:rsidRPr="00862BDC" w:rsidRDefault="00A359F2" w:rsidP="00347614">
            <w:pPr>
              <w:widowControl w:val="0"/>
              <w:spacing w:line="20" w:lineRule="atLeast"/>
              <w:jc w:val="center"/>
              <w:rPr>
                <w:rFonts w:ascii="Arial" w:hAnsi="Arial" w:cs="Arial"/>
                <w:snapToGrid w:val="0"/>
                <w:sz w:val="22"/>
                <w:szCs w:val="22"/>
              </w:rPr>
            </w:pPr>
            <w:r w:rsidRPr="00862BDC">
              <w:rPr>
                <w:rFonts w:ascii="Arial" w:hAnsi="Arial" w:cs="Arial"/>
                <w:snapToGrid w:val="0"/>
                <w:sz w:val="22"/>
                <w:szCs w:val="22"/>
              </w:rPr>
              <w:t>7</w:t>
            </w:r>
          </w:p>
        </w:tc>
        <w:tc>
          <w:tcPr>
            <w:tcW w:w="3168" w:type="dxa"/>
          </w:tcPr>
          <w:p w14:paraId="6846BE2F" w14:textId="77777777" w:rsidR="00A359F2" w:rsidRPr="00862BDC" w:rsidRDefault="00A359F2" w:rsidP="00347614">
            <w:pPr>
              <w:widowControl w:val="0"/>
              <w:spacing w:line="20" w:lineRule="atLeast"/>
              <w:rPr>
                <w:rFonts w:ascii="Arial" w:hAnsi="Arial" w:cs="Arial"/>
                <w:snapToGrid w:val="0"/>
                <w:sz w:val="22"/>
                <w:szCs w:val="22"/>
              </w:rPr>
            </w:pPr>
            <w:r w:rsidRPr="00862BDC">
              <w:rPr>
                <w:rFonts w:ascii="Arial" w:hAnsi="Arial" w:cs="Arial"/>
                <w:snapToGrid w:val="0"/>
                <w:sz w:val="22"/>
                <w:szCs w:val="22"/>
              </w:rPr>
              <w:t>Trailers</w:t>
            </w:r>
          </w:p>
        </w:tc>
        <w:tc>
          <w:tcPr>
            <w:tcW w:w="2518" w:type="dxa"/>
            <w:vAlign w:val="center"/>
          </w:tcPr>
          <w:p w14:paraId="7CFB10D3" w14:textId="77777777" w:rsidR="00A359F2" w:rsidRPr="00862BDC" w:rsidRDefault="00A359F2" w:rsidP="00347614">
            <w:pPr>
              <w:widowControl w:val="0"/>
              <w:spacing w:line="20" w:lineRule="atLeast"/>
              <w:jc w:val="center"/>
              <w:rPr>
                <w:rFonts w:ascii="Arial" w:hAnsi="Arial" w:cs="Arial"/>
                <w:snapToGrid w:val="0"/>
                <w:sz w:val="22"/>
                <w:szCs w:val="22"/>
              </w:rPr>
            </w:pPr>
            <w:r w:rsidRPr="00862BDC">
              <w:rPr>
                <w:rFonts w:ascii="Arial" w:hAnsi="Arial" w:cs="Arial"/>
                <w:snapToGrid w:val="0"/>
                <w:sz w:val="22"/>
                <w:szCs w:val="22"/>
              </w:rPr>
              <w:t>15</w:t>
            </w:r>
          </w:p>
        </w:tc>
        <w:tc>
          <w:tcPr>
            <w:tcW w:w="2518" w:type="dxa"/>
            <w:vAlign w:val="center"/>
          </w:tcPr>
          <w:p w14:paraId="46C1633E" w14:textId="77777777" w:rsidR="00A359F2" w:rsidRPr="00862BDC" w:rsidRDefault="00A359F2" w:rsidP="00347614">
            <w:pPr>
              <w:widowControl w:val="0"/>
              <w:spacing w:line="20" w:lineRule="atLeast"/>
              <w:jc w:val="center"/>
              <w:rPr>
                <w:rFonts w:ascii="Arial" w:hAnsi="Arial" w:cs="Arial"/>
                <w:snapToGrid w:val="0"/>
                <w:sz w:val="22"/>
                <w:szCs w:val="22"/>
              </w:rPr>
            </w:pPr>
            <w:r w:rsidRPr="00862BDC">
              <w:rPr>
                <w:rFonts w:ascii="Arial" w:hAnsi="Arial" w:cs="Arial"/>
                <w:snapToGrid w:val="0"/>
                <w:sz w:val="22"/>
                <w:szCs w:val="22"/>
              </w:rPr>
              <w:t>15 years</w:t>
            </w:r>
          </w:p>
        </w:tc>
      </w:tr>
      <w:tr w:rsidR="00A359F2" w:rsidRPr="00862BDC" w14:paraId="54FF73B1" w14:textId="77777777" w:rsidTr="00347614">
        <w:trPr>
          <w:trHeight w:val="144"/>
          <w:jc w:val="center"/>
        </w:trPr>
        <w:tc>
          <w:tcPr>
            <w:tcW w:w="870" w:type="dxa"/>
          </w:tcPr>
          <w:p w14:paraId="6A4F28C5" w14:textId="77777777" w:rsidR="00A359F2" w:rsidRPr="00862BDC" w:rsidRDefault="00A359F2" w:rsidP="00347614">
            <w:pPr>
              <w:widowControl w:val="0"/>
              <w:spacing w:line="20" w:lineRule="atLeast"/>
              <w:jc w:val="center"/>
              <w:rPr>
                <w:rFonts w:ascii="Arial" w:hAnsi="Arial" w:cs="Arial"/>
                <w:snapToGrid w:val="0"/>
                <w:sz w:val="22"/>
                <w:szCs w:val="22"/>
              </w:rPr>
            </w:pPr>
            <w:r w:rsidRPr="00862BDC">
              <w:rPr>
                <w:rFonts w:ascii="Arial" w:hAnsi="Arial" w:cs="Arial"/>
                <w:snapToGrid w:val="0"/>
                <w:sz w:val="22"/>
                <w:szCs w:val="22"/>
              </w:rPr>
              <w:t>8</w:t>
            </w:r>
          </w:p>
        </w:tc>
        <w:tc>
          <w:tcPr>
            <w:tcW w:w="3168" w:type="dxa"/>
          </w:tcPr>
          <w:p w14:paraId="79DBEE72" w14:textId="77777777" w:rsidR="00A359F2" w:rsidRPr="00862BDC" w:rsidRDefault="00A359F2" w:rsidP="00347614">
            <w:pPr>
              <w:widowControl w:val="0"/>
              <w:spacing w:line="20" w:lineRule="atLeast"/>
              <w:rPr>
                <w:rFonts w:ascii="Arial" w:hAnsi="Arial" w:cs="Arial"/>
                <w:snapToGrid w:val="0"/>
                <w:sz w:val="22"/>
                <w:szCs w:val="22"/>
              </w:rPr>
            </w:pPr>
            <w:r w:rsidRPr="00862BDC">
              <w:rPr>
                <w:rFonts w:ascii="Arial" w:hAnsi="Arial" w:cs="Arial"/>
                <w:snapToGrid w:val="0"/>
                <w:sz w:val="22"/>
                <w:szCs w:val="22"/>
              </w:rPr>
              <w:t>Construction Equipment</w:t>
            </w:r>
          </w:p>
        </w:tc>
        <w:tc>
          <w:tcPr>
            <w:tcW w:w="2518" w:type="dxa"/>
            <w:vAlign w:val="center"/>
          </w:tcPr>
          <w:p w14:paraId="0557864D" w14:textId="77777777" w:rsidR="00A359F2" w:rsidRPr="00862BDC" w:rsidRDefault="00A359F2" w:rsidP="00347614">
            <w:pPr>
              <w:widowControl w:val="0"/>
              <w:spacing w:line="20" w:lineRule="atLeast"/>
              <w:jc w:val="center"/>
              <w:rPr>
                <w:rFonts w:ascii="Arial" w:hAnsi="Arial" w:cs="Arial"/>
                <w:snapToGrid w:val="0"/>
                <w:sz w:val="22"/>
                <w:szCs w:val="22"/>
              </w:rPr>
            </w:pPr>
            <w:r w:rsidRPr="00862BDC">
              <w:rPr>
                <w:rFonts w:ascii="Arial" w:hAnsi="Arial" w:cs="Arial"/>
                <w:snapToGrid w:val="0"/>
                <w:sz w:val="22"/>
                <w:szCs w:val="22"/>
              </w:rPr>
              <w:t>15</w:t>
            </w:r>
          </w:p>
        </w:tc>
        <w:tc>
          <w:tcPr>
            <w:tcW w:w="2518" w:type="dxa"/>
            <w:vAlign w:val="center"/>
          </w:tcPr>
          <w:p w14:paraId="09C7E742" w14:textId="77777777" w:rsidR="00A359F2" w:rsidRPr="00862BDC" w:rsidRDefault="00A359F2" w:rsidP="00347614">
            <w:pPr>
              <w:widowControl w:val="0"/>
              <w:spacing w:line="20" w:lineRule="atLeast"/>
              <w:jc w:val="center"/>
              <w:rPr>
                <w:rFonts w:ascii="Arial" w:hAnsi="Arial" w:cs="Arial"/>
                <w:snapToGrid w:val="0"/>
                <w:sz w:val="22"/>
                <w:szCs w:val="22"/>
              </w:rPr>
            </w:pPr>
            <w:r w:rsidRPr="00862BDC">
              <w:rPr>
                <w:rFonts w:ascii="Arial" w:hAnsi="Arial" w:cs="Arial"/>
                <w:snapToGrid w:val="0"/>
                <w:sz w:val="22"/>
                <w:szCs w:val="22"/>
              </w:rPr>
              <w:t>15 years</w:t>
            </w:r>
          </w:p>
        </w:tc>
      </w:tr>
      <w:tr w:rsidR="00A359F2" w:rsidRPr="00862BDC" w14:paraId="19DE4DB3" w14:textId="77777777" w:rsidTr="00347614">
        <w:trPr>
          <w:trHeight w:val="144"/>
          <w:jc w:val="center"/>
        </w:trPr>
        <w:tc>
          <w:tcPr>
            <w:tcW w:w="870" w:type="dxa"/>
          </w:tcPr>
          <w:p w14:paraId="6706274A" w14:textId="77777777" w:rsidR="00A359F2" w:rsidRPr="00862BDC" w:rsidRDefault="00A359F2" w:rsidP="00347614">
            <w:pPr>
              <w:widowControl w:val="0"/>
              <w:spacing w:line="20" w:lineRule="atLeast"/>
              <w:jc w:val="center"/>
              <w:rPr>
                <w:rFonts w:ascii="Arial" w:hAnsi="Arial" w:cs="Arial"/>
                <w:snapToGrid w:val="0"/>
                <w:sz w:val="22"/>
                <w:szCs w:val="22"/>
              </w:rPr>
            </w:pPr>
            <w:r w:rsidRPr="00862BDC">
              <w:rPr>
                <w:rFonts w:ascii="Arial" w:hAnsi="Arial" w:cs="Arial"/>
                <w:snapToGrid w:val="0"/>
                <w:sz w:val="22"/>
                <w:szCs w:val="22"/>
              </w:rPr>
              <w:t>9</w:t>
            </w:r>
          </w:p>
        </w:tc>
        <w:tc>
          <w:tcPr>
            <w:tcW w:w="3168" w:type="dxa"/>
          </w:tcPr>
          <w:p w14:paraId="721E217D" w14:textId="77777777" w:rsidR="00A359F2" w:rsidRPr="00862BDC" w:rsidRDefault="00A359F2" w:rsidP="00347614">
            <w:pPr>
              <w:widowControl w:val="0"/>
              <w:spacing w:line="20" w:lineRule="atLeast"/>
              <w:rPr>
                <w:rFonts w:ascii="Arial" w:hAnsi="Arial" w:cs="Arial"/>
                <w:snapToGrid w:val="0"/>
                <w:sz w:val="22"/>
                <w:szCs w:val="22"/>
              </w:rPr>
            </w:pPr>
            <w:r w:rsidRPr="00862BDC">
              <w:rPr>
                <w:rFonts w:ascii="Arial" w:hAnsi="Arial" w:cs="Arial"/>
                <w:snapToGrid w:val="0"/>
                <w:sz w:val="22"/>
                <w:szCs w:val="22"/>
              </w:rPr>
              <w:t>Forklifts, Mowers, Misc.</w:t>
            </w:r>
          </w:p>
        </w:tc>
        <w:tc>
          <w:tcPr>
            <w:tcW w:w="2518" w:type="dxa"/>
            <w:vAlign w:val="center"/>
          </w:tcPr>
          <w:p w14:paraId="08F7AFED" w14:textId="77777777" w:rsidR="00A359F2" w:rsidRPr="00862BDC" w:rsidRDefault="00A359F2" w:rsidP="00347614">
            <w:pPr>
              <w:widowControl w:val="0"/>
              <w:spacing w:line="20" w:lineRule="atLeast"/>
              <w:jc w:val="center"/>
              <w:rPr>
                <w:rFonts w:ascii="Arial" w:hAnsi="Arial" w:cs="Arial"/>
                <w:snapToGrid w:val="0"/>
                <w:sz w:val="22"/>
                <w:szCs w:val="22"/>
              </w:rPr>
            </w:pPr>
            <w:r w:rsidRPr="00862BDC">
              <w:rPr>
                <w:rFonts w:ascii="Arial" w:hAnsi="Arial" w:cs="Arial"/>
                <w:snapToGrid w:val="0"/>
                <w:sz w:val="22"/>
                <w:szCs w:val="22"/>
              </w:rPr>
              <w:t>15</w:t>
            </w:r>
          </w:p>
        </w:tc>
        <w:tc>
          <w:tcPr>
            <w:tcW w:w="2518" w:type="dxa"/>
            <w:vAlign w:val="center"/>
          </w:tcPr>
          <w:p w14:paraId="2124BFC9" w14:textId="77777777" w:rsidR="00A359F2" w:rsidRPr="00862BDC" w:rsidRDefault="00A359F2" w:rsidP="00347614">
            <w:pPr>
              <w:widowControl w:val="0"/>
              <w:spacing w:line="20" w:lineRule="atLeast"/>
              <w:jc w:val="center"/>
              <w:rPr>
                <w:rFonts w:ascii="Arial" w:hAnsi="Arial" w:cs="Arial"/>
                <w:snapToGrid w:val="0"/>
                <w:sz w:val="22"/>
                <w:szCs w:val="22"/>
              </w:rPr>
            </w:pPr>
            <w:r w:rsidRPr="00862BDC">
              <w:rPr>
                <w:rFonts w:ascii="Arial" w:hAnsi="Arial" w:cs="Arial"/>
                <w:snapToGrid w:val="0"/>
                <w:sz w:val="22"/>
                <w:szCs w:val="22"/>
              </w:rPr>
              <w:t>15 years</w:t>
            </w:r>
          </w:p>
        </w:tc>
      </w:tr>
    </w:tbl>
    <w:p w14:paraId="0057910A" w14:textId="77777777" w:rsidR="00A359F2" w:rsidRPr="00390583" w:rsidRDefault="00A359F2" w:rsidP="00A359F2">
      <w:pPr>
        <w:widowControl w:val="0"/>
        <w:spacing w:after="0" w:line="20" w:lineRule="atLeast"/>
        <w:ind w:left="90"/>
        <w:rPr>
          <w:rFonts w:ascii="Arial" w:eastAsia="Times New Roman" w:hAnsi="Arial" w:cs="Arial"/>
          <w:snapToGrid w:val="0"/>
          <w:sz w:val="18"/>
          <w:szCs w:val="18"/>
        </w:rPr>
      </w:pPr>
      <w:r w:rsidRPr="00390583">
        <w:rPr>
          <w:rFonts w:ascii="Arial" w:eastAsia="Times New Roman" w:hAnsi="Arial" w:cs="Arial"/>
          <w:snapToGrid w:val="0"/>
          <w:sz w:val="18"/>
          <w:szCs w:val="18"/>
        </w:rPr>
        <w:t>Source: Data Request No. VE-7.1</w:t>
      </w:r>
    </w:p>
    <w:p w14:paraId="3A63EB46" w14:textId="77777777" w:rsidR="00A359F2" w:rsidRDefault="00A359F2" w:rsidP="00A359F2">
      <w:pPr>
        <w:spacing w:after="0" w:line="20" w:lineRule="atLeast"/>
        <w:jc w:val="both"/>
        <w:rPr>
          <w:rFonts w:ascii="Arial" w:eastAsia="Times New Roman" w:hAnsi="Arial" w:cs="Arial"/>
          <w:snapToGrid w:val="0"/>
          <w:sz w:val="24"/>
          <w:szCs w:val="20"/>
        </w:rPr>
      </w:pPr>
    </w:p>
    <w:p w14:paraId="2645B094" w14:textId="77777777" w:rsidR="00A359F2" w:rsidRDefault="00A359F2" w:rsidP="00A359F2">
      <w:pPr>
        <w:spacing w:after="0" w:line="20" w:lineRule="atLeast"/>
        <w:jc w:val="both"/>
        <w:rPr>
          <w:rFonts w:ascii="Arial" w:eastAsia="Times New Roman" w:hAnsi="Arial" w:cs="Arial"/>
          <w:snapToGrid w:val="0"/>
          <w:sz w:val="24"/>
          <w:szCs w:val="20"/>
        </w:rPr>
      </w:pPr>
    </w:p>
    <w:p w14:paraId="5A93DEF4" w14:textId="77777777" w:rsidR="00A359F2" w:rsidRDefault="00A359F2" w:rsidP="00A359F2">
      <w:pPr>
        <w:widowControl w:val="0"/>
        <w:spacing w:after="0" w:line="20" w:lineRule="atLeast"/>
        <w:ind w:firstLine="720"/>
        <w:rPr>
          <w:rFonts w:ascii="Arial" w:eastAsia="Times New Roman" w:hAnsi="Arial" w:cs="Arial"/>
          <w:snapToGrid w:val="0"/>
          <w:sz w:val="24"/>
          <w:szCs w:val="24"/>
        </w:rPr>
      </w:pPr>
      <w:r w:rsidRPr="00390583">
        <w:rPr>
          <w:rFonts w:ascii="Arial" w:eastAsia="Times New Roman" w:hAnsi="Arial" w:cs="Arial"/>
          <w:snapToGrid w:val="0"/>
          <w:sz w:val="24"/>
          <w:szCs w:val="24"/>
        </w:rPr>
        <w:t>Vehicles are replaced in accordance with the Acquisition Policy implemented in November 2014, with consideration given to the vehicles condition, maintenance and utilization records.  Exhibit XII-</w:t>
      </w:r>
      <w:r>
        <w:rPr>
          <w:rFonts w:ascii="Arial" w:eastAsia="Times New Roman" w:hAnsi="Arial" w:cs="Arial"/>
          <w:snapToGrid w:val="0"/>
          <w:sz w:val="24"/>
          <w:szCs w:val="24"/>
        </w:rPr>
        <w:t>3</w:t>
      </w:r>
      <w:r w:rsidRPr="00390583">
        <w:rPr>
          <w:rFonts w:ascii="Arial" w:eastAsia="Times New Roman" w:hAnsi="Arial" w:cs="Arial"/>
          <w:snapToGrid w:val="0"/>
          <w:sz w:val="24"/>
          <w:szCs w:val="24"/>
        </w:rPr>
        <w:t xml:space="preserve"> shows, by vehicle class, the number of units greater than 15 years old and the average age as of March 6, 2018.</w:t>
      </w:r>
    </w:p>
    <w:p w14:paraId="75DD1187" w14:textId="77777777" w:rsidR="0086784A" w:rsidRDefault="0086784A" w:rsidP="000E3368">
      <w:pPr>
        <w:spacing w:after="0" w:line="240" w:lineRule="auto"/>
        <w:rPr>
          <w:rFonts w:ascii="Arial" w:eastAsia="Times New Roman" w:hAnsi="Arial" w:cs="Arial"/>
          <w:b/>
          <w:bCs/>
          <w:snapToGrid w:val="0"/>
          <w:sz w:val="24"/>
          <w:szCs w:val="24"/>
          <w:lang w:val="en"/>
        </w:rPr>
      </w:pPr>
    </w:p>
    <w:p w14:paraId="3CF64E8C" w14:textId="77777777" w:rsidR="00A359F2" w:rsidRPr="00390583" w:rsidRDefault="00A359F2" w:rsidP="00A359F2">
      <w:pPr>
        <w:keepNext/>
        <w:widowControl w:val="0"/>
        <w:spacing w:after="0" w:line="20" w:lineRule="atLeast"/>
        <w:jc w:val="center"/>
        <w:rPr>
          <w:rFonts w:ascii="Arial" w:eastAsia="Times New Roman" w:hAnsi="Arial" w:cs="Arial"/>
          <w:b/>
          <w:bCs/>
          <w:sz w:val="24"/>
          <w:szCs w:val="24"/>
          <w:lang w:val="en"/>
        </w:rPr>
      </w:pPr>
      <w:r>
        <w:rPr>
          <w:rFonts w:ascii="Arial" w:eastAsia="Times New Roman" w:hAnsi="Arial" w:cs="Arial"/>
          <w:b/>
          <w:bCs/>
          <w:snapToGrid w:val="0"/>
          <w:sz w:val="24"/>
          <w:szCs w:val="24"/>
          <w:lang w:val="en"/>
        </w:rPr>
        <w:t>Exhibit XII – 3</w:t>
      </w:r>
    </w:p>
    <w:p w14:paraId="503016EB" w14:textId="77777777" w:rsidR="00A359F2" w:rsidRPr="00390583" w:rsidRDefault="00A359F2" w:rsidP="00A359F2">
      <w:pPr>
        <w:keepNext/>
        <w:widowControl w:val="0"/>
        <w:spacing w:after="0" w:line="20" w:lineRule="atLeast"/>
        <w:jc w:val="center"/>
        <w:rPr>
          <w:rFonts w:ascii="Arial" w:eastAsia="Times New Roman" w:hAnsi="Arial" w:cs="Arial"/>
          <w:b/>
          <w:bCs/>
          <w:snapToGrid w:val="0"/>
          <w:sz w:val="24"/>
          <w:szCs w:val="24"/>
          <w:lang w:val="en"/>
        </w:rPr>
      </w:pPr>
      <w:r w:rsidRPr="00390583">
        <w:rPr>
          <w:rFonts w:ascii="Arial" w:eastAsia="Times New Roman" w:hAnsi="Arial" w:cs="Arial"/>
          <w:b/>
          <w:bCs/>
          <w:snapToGrid w:val="0"/>
          <w:sz w:val="24"/>
          <w:szCs w:val="24"/>
          <w:lang w:val="en"/>
        </w:rPr>
        <w:t>FirstEnergy Pennsylvania Companies</w:t>
      </w:r>
    </w:p>
    <w:p w14:paraId="5FEC08D7" w14:textId="77777777" w:rsidR="00A359F2" w:rsidRPr="00390583" w:rsidRDefault="00A359F2" w:rsidP="00A359F2">
      <w:pPr>
        <w:keepNext/>
        <w:widowControl w:val="0"/>
        <w:spacing w:after="0" w:line="20" w:lineRule="atLeast"/>
        <w:jc w:val="center"/>
        <w:rPr>
          <w:rFonts w:ascii="Arial" w:eastAsia="Times New Roman" w:hAnsi="Arial" w:cs="Arial"/>
          <w:b/>
          <w:bCs/>
          <w:snapToGrid w:val="0"/>
          <w:sz w:val="24"/>
          <w:szCs w:val="24"/>
          <w:lang w:val="en"/>
        </w:rPr>
      </w:pPr>
      <w:r w:rsidRPr="00390583">
        <w:rPr>
          <w:rFonts w:ascii="Arial" w:eastAsia="Times New Roman" w:hAnsi="Arial" w:cs="Arial"/>
          <w:b/>
          <w:bCs/>
          <w:snapToGrid w:val="0"/>
          <w:sz w:val="24"/>
          <w:szCs w:val="24"/>
          <w:lang w:val="en"/>
        </w:rPr>
        <w:t>Fleet Age Analysis by Vehicle Class</w:t>
      </w:r>
    </w:p>
    <w:p w14:paraId="7D1C0747" w14:textId="77777777" w:rsidR="00A359F2" w:rsidRPr="00390583" w:rsidRDefault="00A359F2" w:rsidP="00A359F2">
      <w:pPr>
        <w:keepNext/>
        <w:widowControl w:val="0"/>
        <w:spacing w:after="0" w:line="20" w:lineRule="atLeast"/>
        <w:jc w:val="center"/>
        <w:rPr>
          <w:rFonts w:ascii="Arial" w:eastAsia="Times New Roman" w:hAnsi="Arial" w:cs="Arial"/>
          <w:b/>
          <w:bCs/>
          <w:sz w:val="24"/>
          <w:szCs w:val="24"/>
          <w:lang w:val="en"/>
        </w:rPr>
      </w:pPr>
      <w:r w:rsidRPr="00390583">
        <w:rPr>
          <w:rFonts w:ascii="Arial" w:eastAsia="Times New Roman" w:hAnsi="Arial" w:cs="Arial"/>
          <w:b/>
          <w:bCs/>
          <w:snapToGrid w:val="0"/>
          <w:sz w:val="24"/>
          <w:szCs w:val="24"/>
          <w:lang w:val="en"/>
        </w:rPr>
        <w:t>As of March 2018</w:t>
      </w:r>
    </w:p>
    <w:p w14:paraId="37503391" w14:textId="77777777" w:rsidR="00A359F2" w:rsidRPr="00301633" w:rsidRDefault="00A359F2" w:rsidP="00A359F2">
      <w:pPr>
        <w:widowControl w:val="0"/>
        <w:spacing w:after="0" w:line="20" w:lineRule="atLeast"/>
        <w:rPr>
          <w:rFonts w:ascii="Times New Roman" w:eastAsia="Times New Roman" w:hAnsi="Times New Roman" w:cs="Times New Roman"/>
          <w:snapToGrid w:val="0"/>
          <w:sz w:val="8"/>
          <w:szCs w:val="8"/>
        </w:rPr>
      </w:pPr>
    </w:p>
    <w:tbl>
      <w:tblPr>
        <w:tblW w:w="7139" w:type="dxa"/>
        <w:jc w:val="center"/>
        <w:tblCellMar>
          <w:left w:w="0" w:type="dxa"/>
          <w:right w:w="0" w:type="dxa"/>
        </w:tblCellMar>
        <w:tblLook w:val="04A0" w:firstRow="1" w:lastRow="0" w:firstColumn="1" w:lastColumn="0" w:noHBand="0" w:noVBand="1"/>
      </w:tblPr>
      <w:tblGrid>
        <w:gridCol w:w="803"/>
        <w:gridCol w:w="864"/>
        <w:gridCol w:w="720"/>
        <w:gridCol w:w="864"/>
        <w:gridCol w:w="720"/>
        <w:gridCol w:w="864"/>
        <w:gridCol w:w="720"/>
        <w:gridCol w:w="864"/>
        <w:gridCol w:w="720"/>
      </w:tblGrid>
      <w:tr w:rsidR="00A359F2" w:rsidRPr="00390583" w14:paraId="62C16830" w14:textId="77777777" w:rsidTr="00347614">
        <w:trPr>
          <w:trHeight w:val="144"/>
          <w:jc w:val="center"/>
        </w:trPr>
        <w:tc>
          <w:tcPr>
            <w:tcW w:w="0" w:type="auto"/>
            <w:vMerge w:val="restart"/>
            <w:tcBorders>
              <w:top w:val="single" w:sz="8" w:space="0" w:color="auto"/>
              <w:left w:val="single" w:sz="8" w:space="0" w:color="auto"/>
              <w:right w:val="single" w:sz="8" w:space="0" w:color="auto"/>
            </w:tcBorders>
            <w:vAlign w:val="center"/>
          </w:tcPr>
          <w:p w14:paraId="1AD7166C" w14:textId="77777777" w:rsidR="00A359F2" w:rsidRPr="0053566B" w:rsidRDefault="00A359F2" w:rsidP="00347614">
            <w:pPr>
              <w:widowControl w:val="0"/>
              <w:spacing w:after="0" w:line="20" w:lineRule="atLeast"/>
              <w:jc w:val="center"/>
              <w:rPr>
                <w:rFonts w:ascii="Arial" w:eastAsia="Calibri" w:hAnsi="Arial" w:cs="Arial"/>
                <w:b/>
                <w:snapToGrid w:val="0"/>
                <w:color w:val="000000"/>
                <w:sz w:val="18"/>
                <w:szCs w:val="18"/>
              </w:rPr>
            </w:pPr>
          </w:p>
          <w:p w14:paraId="4883F16B" w14:textId="77777777" w:rsidR="00A359F2" w:rsidRPr="0053566B" w:rsidRDefault="00A359F2" w:rsidP="00347614">
            <w:pPr>
              <w:widowControl w:val="0"/>
              <w:spacing w:after="0" w:line="20" w:lineRule="atLeast"/>
              <w:jc w:val="center"/>
              <w:rPr>
                <w:rFonts w:ascii="Arial" w:eastAsia="Calibri" w:hAnsi="Arial" w:cs="Arial"/>
                <w:b/>
                <w:snapToGrid w:val="0"/>
                <w:color w:val="000000"/>
                <w:sz w:val="18"/>
                <w:szCs w:val="18"/>
              </w:rPr>
            </w:pPr>
          </w:p>
          <w:p w14:paraId="08D17AF4" w14:textId="77777777" w:rsidR="00A359F2" w:rsidRPr="0053566B" w:rsidRDefault="00A359F2" w:rsidP="00347614">
            <w:pPr>
              <w:widowControl w:val="0"/>
              <w:spacing w:after="0" w:line="20" w:lineRule="atLeast"/>
              <w:jc w:val="center"/>
              <w:rPr>
                <w:rFonts w:ascii="Arial" w:eastAsia="Calibri" w:hAnsi="Arial" w:cs="Arial"/>
                <w:b/>
                <w:snapToGrid w:val="0"/>
                <w:color w:val="000000"/>
                <w:sz w:val="18"/>
                <w:szCs w:val="18"/>
              </w:rPr>
            </w:pPr>
          </w:p>
          <w:p w14:paraId="67669763" w14:textId="77777777" w:rsidR="00A359F2" w:rsidRPr="0053566B" w:rsidRDefault="00A359F2" w:rsidP="00347614">
            <w:pPr>
              <w:widowControl w:val="0"/>
              <w:spacing w:after="0" w:line="20" w:lineRule="atLeast"/>
              <w:jc w:val="center"/>
              <w:rPr>
                <w:rFonts w:ascii="Arial" w:eastAsia="Calibri" w:hAnsi="Arial" w:cs="Arial"/>
                <w:b/>
                <w:snapToGrid w:val="0"/>
                <w:color w:val="000000"/>
                <w:sz w:val="18"/>
                <w:szCs w:val="18"/>
              </w:rPr>
            </w:pPr>
            <w:r w:rsidRPr="0053566B">
              <w:rPr>
                <w:rFonts w:ascii="Arial" w:eastAsia="Calibri" w:hAnsi="Arial" w:cs="Arial"/>
                <w:b/>
                <w:snapToGrid w:val="0"/>
                <w:color w:val="000000"/>
                <w:sz w:val="18"/>
                <w:szCs w:val="18"/>
              </w:rPr>
              <w:t>Class</w:t>
            </w:r>
          </w:p>
        </w:tc>
        <w:tc>
          <w:tcPr>
            <w:tcW w:w="1584" w:type="dxa"/>
            <w:gridSpan w:val="2"/>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bottom"/>
          </w:tcPr>
          <w:p w14:paraId="65CAAC5F" w14:textId="77777777" w:rsidR="00A359F2" w:rsidRPr="0053566B" w:rsidRDefault="00A359F2" w:rsidP="00347614">
            <w:pPr>
              <w:widowControl w:val="0"/>
              <w:spacing w:after="0" w:line="20" w:lineRule="atLeast"/>
              <w:jc w:val="center"/>
              <w:rPr>
                <w:rFonts w:ascii="Arial" w:eastAsia="Times New Roman" w:hAnsi="Arial" w:cs="Arial"/>
                <w:b/>
                <w:snapToGrid w:val="0"/>
                <w:color w:val="000000"/>
                <w:sz w:val="18"/>
                <w:szCs w:val="18"/>
              </w:rPr>
            </w:pPr>
            <w:r w:rsidRPr="0053566B">
              <w:rPr>
                <w:rFonts w:ascii="Arial" w:eastAsia="Times New Roman" w:hAnsi="Arial" w:cs="Arial"/>
                <w:b/>
                <w:snapToGrid w:val="0"/>
                <w:color w:val="000000"/>
                <w:sz w:val="18"/>
                <w:szCs w:val="18"/>
              </w:rPr>
              <w:t>Met-Ed</w:t>
            </w:r>
          </w:p>
        </w:tc>
        <w:tc>
          <w:tcPr>
            <w:tcW w:w="1584" w:type="dxa"/>
            <w:gridSpan w:val="2"/>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bottom"/>
          </w:tcPr>
          <w:p w14:paraId="2B439892" w14:textId="77777777" w:rsidR="00A359F2" w:rsidRPr="0053566B" w:rsidRDefault="00A359F2" w:rsidP="00347614">
            <w:pPr>
              <w:widowControl w:val="0"/>
              <w:spacing w:after="0" w:line="20" w:lineRule="atLeast"/>
              <w:jc w:val="center"/>
              <w:rPr>
                <w:rFonts w:ascii="Arial" w:eastAsia="Times New Roman" w:hAnsi="Arial" w:cs="Arial"/>
                <w:b/>
                <w:snapToGrid w:val="0"/>
                <w:color w:val="000000"/>
                <w:sz w:val="18"/>
                <w:szCs w:val="18"/>
              </w:rPr>
            </w:pPr>
            <w:r w:rsidRPr="0053566B">
              <w:rPr>
                <w:rFonts w:ascii="Arial" w:eastAsia="Times New Roman" w:hAnsi="Arial" w:cs="Arial"/>
                <w:b/>
                <w:snapToGrid w:val="0"/>
                <w:color w:val="000000"/>
                <w:sz w:val="18"/>
                <w:szCs w:val="18"/>
              </w:rPr>
              <w:t>Penelec</w:t>
            </w:r>
          </w:p>
        </w:tc>
        <w:tc>
          <w:tcPr>
            <w:tcW w:w="1584" w:type="dxa"/>
            <w:gridSpan w:val="2"/>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bottom"/>
          </w:tcPr>
          <w:p w14:paraId="5B40EDA2" w14:textId="77777777" w:rsidR="00A359F2" w:rsidRPr="0053566B" w:rsidRDefault="00A359F2" w:rsidP="00347614">
            <w:pPr>
              <w:widowControl w:val="0"/>
              <w:spacing w:after="0" w:line="20" w:lineRule="atLeast"/>
              <w:jc w:val="center"/>
              <w:rPr>
                <w:rFonts w:ascii="Arial" w:eastAsia="Times New Roman" w:hAnsi="Arial" w:cs="Arial"/>
                <w:b/>
                <w:snapToGrid w:val="0"/>
                <w:color w:val="000000"/>
                <w:sz w:val="18"/>
                <w:szCs w:val="18"/>
              </w:rPr>
            </w:pPr>
            <w:r w:rsidRPr="0053566B">
              <w:rPr>
                <w:rFonts w:ascii="Arial" w:eastAsia="Times New Roman" w:hAnsi="Arial" w:cs="Arial"/>
                <w:b/>
                <w:snapToGrid w:val="0"/>
                <w:color w:val="000000"/>
                <w:sz w:val="18"/>
                <w:szCs w:val="18"/>
              </w:rPr>
              <w:t>Penn Power</w:t>
            </w:r>
          </w:p>
        </w:tc>
        <w:tc>
          <w:tcPr>
            <w:tcW w:w="1584" w:type="dxa"/>
            <w:gridSpan w:val="2"/>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bottom"/>
          </w:tcPr>
          <w:p w14:paraId="64E93C76" w14:textId="77777777" w:rsidR="00A359F2" w:rsidRPr="0053566B" w:rsidRDefault="00A359F2" w:rsidP="00347614">
            <w:pPr>
              <w:widowControl w:val="0"/>
              <w:spacing w:after="0" w:line="20" w:lineRule="atLeast"/>
              <w:jc w:val="center"/>
              <w:rPr>
                <w:rFonts w:ascii="Arial" w:eastAsia="Times New Roman" w:hAnsi="Arial" w:cs="Arial"/>
                <w:b/>
                <w:snapToGrid w:val="0"/>
                <w:color w:val="000000"/>
                <w:sz w:val="18"/>
                <w:szCs w:val="18"/>
              </w:rPr>
            </w:pPr>
            <w:r w:rsidRPr="0053566B">
              <w:rPr>
                <w:rFonts w:ascii="Arial" w:eastAsia="Times New Roman" w:hAnsi="Arial" w:cs="Arial"/>
                <w:b/>
                <w:snapToGrid w:val="0"/>
                <w:color w:val="000000"/>
                <w:sz w:val="18"/>
                <w:szCs w:val="18"/>
              </w:rPr>
              <w:t>West Penn Power</w:t>
            </w:r>
          </w:p>
        </w:tc>
      </w:tr>
      <w:tr w:rsidR="00A359F2" w:rsidRPr="00390583" w14:paraId="285B8094" w14:textId="77777777" w:rsidTr="00347614">
        <w:trPr>
          <w:trHeight w:val="144"/>
          <w:jc w:val="center"/>
        </w:trPr>
        <w:tc>
          <w:tcPr>
            <w:tcW w:w="0" w:type="auto"/>
            <w:vMerge/>
            <w:tcBorders>
              <w:left w:val="single" w:sz="8" w:space="0" w:color="auto"/>
              <w:bottom w:val="single" w:sz="8" w:space="0" w:color="auto"/>
              <w:right w:val="single" w:sz="8" w:space="0" w:color="auto"/>
            </w:tcBorders>
            <w:vAlign w:val="center"/>
            <w:hideMark/>
          </w:tcPr>
          <w:p w14:paraId="30C6D3CD" w14:textId="77777777" w:rsidR="00A359F2" w:rsidRPr="0053566B" w:rsidRDefault="00A359F2" w:rsidP="00347614">
            <w:pPr>
              <w:widowControl w:val="0"/>
              <w:spacing w:after="0" w:line="20" w:lineRule="atLeast"/>
              <w:rPr>
                <w:rFonts w:ascii="Arial" w:eastAsia="Calibri" w:hAnsi="Arial" w:cs="Arial"/>
                <w:b/>
                <w:snapToGrid w:val="0"/>
                <w:color w:val="000000"/>
                <w:sz w:val="18"/>
                <w:szCs w:val="18"/>
              </w:rPr>
            </w:pPr>
          </w:p>
        </w:tc>
        <w:tc>
          <w:tcPr>
            <w:tcW w:w="864"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bottom"/>
            <w:hideMark/>
          </w:tcPr>
          <w:p w14:paraId="56B83B8F" w14:textId="77777777" w:rsidR="00A359F2" w:rsidRPr="0053566B" w:rsidRDefault="00A359F2" w:rsidP="00347614">
            <w:pPr>
              <w:widowControl w:val="0"/>
              <w:spacing w:after="0" w:line="20" w:lineRule="atLeast"/>
              <w:jc w:val="center"/>
              <w:rPr>
                <w:rFonts w:ascii="Arial" w:eastAsia="Times New Roman" w:hAnsi="Arial" w:cs="Arial"/>
                <w:b/>
                <w:snapToGrid w:val="0"/>
                <w:color w:val="000000"/>
                <w:sz w:val="18"/>
                <w:szCs w:val="18"/>
              </w:rPr>
            </w:pPr>
            <w:r w:rsidRPr="0053566B">
              <w:rPr>
                <w:rFonts w:ascii="Arial" w:eastAsia="Times New Roman" w:hAnsi="Arial" w:cs="Arial"/>
                <w:b/>
                <w:snapToGrid w:val="0"/>
                <w:color w:val="000000"/>
                <w:sz w:val="18"/>
                <w:szCs w:val="18"/>
              </w:rPr>
              <w:t>Units &gt; 15 Yrs</w:t>
            </w:r>
          </w:p>
        </w:tc>
        <w:tc>
          <w:tcPr>
            <w:tcW w:w="720"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bottom"/>
            <w:hideMark/>
          </w:tcPr>
          <w:p w14:paraId="74D1BFDA" w14:textId="77777777" w:rsidR="00A359F2" w:rsidRPr="0053566B" w:rsidRDefault="00A359F2" w:rsidP="00347614">
            <w:pPr>
              <w:widowControl w:val="0"/>
              <w:spacing w:after="0" w:line="20" w:lineRule="atLeast"/>
              <w:jc w:val="center"/>
              <w:rPr>
                <w:rFonts w:ascii="Arial" w:eastAsia="Times New Roman" w:hAnsi="Arial" w:cs="Arial"/>
                <w:b/>
                <w:snapToGrid w:val="0"/>
                <w:color w:val="000000"/>
                <w:sz w:val="18"/>
                <w:szCs w:val="18"/>
              </w:rPr>
            </w:pPr>
            <w:r w:rsidRPr="0053566B">
              <w:rPr>
                <w:rFonts w:ascii="Arial" w:eastAsia="Times New Roman" w:hAnsi="Arial" w:cs="Arial"/>
                <w:b/>
                <w:snapToGrid w:val="0"/>
                <w:color w:val="000000"/>
                <w:sz w:val="18"/>
                <w:szCs w:val="18"/>
              </w:rPr>
              <w:t>Avg Age (Yrs)</w:t>
            </w:r>
          </w:p>
        </w:tc>
        <w:tc>
          <w:tcPr>
            <w:tcW w:w="864"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bottom"/>
            <w:hideMark/>
          </w:tcPr>
          <w:p w14:paraId="2DBA0568" w14:textId="77777777" w:rsidR="00A359F2" w:rsidRPr="0053566B" w:rsidRDefault="00A359F2" w:rsidP="00347614">
            <w:pPr>
              <w:widowControl w:val="0"/>
              <w:spacing w:after="0" w:line="20" w:lineRule="atLeast"/>
              <w:jc w:val="center"/>
              <w:rPr>
                <w:rFonts w:ascii="Arial" w:eastAsia="Times New Roman" w:hAnsi="Arial" w:cs="Arial"/>
                <w:b/>
                <w:snapToGrid w:val="0"/>
                <w:color w:val="000000"/>
                <w:sz w:val="18"/>
                <w:szCs w:val="18"/>
              </w:rPr>
            </w:pPr>
            <w:r w:rsidRPr="0053566B">
              <w:rPr>
                <w:rFonts w:ascii="Arial" w:eastAsia="Times New Roman" w:hAnsi="Arial" w:cs="Arial"/>
                <w:b/>
                <w:snapToGrid w:val="0"/>
                <w:color w:val="000000"/>
                <w:sz w:val="18"/>
                <w:szCs w:val="18"/>
              </w:rPr>
              <w:t>Units &gt; 15 Yrs</w:t>
            </w:r>
          </w:p>
        </w:tc>
        <w:tc>
          <w:tcPr>
            <w:tcW w:w="720"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bottom"/>
            <w:hideMark/>
          </w:tcPr>
          <w:p w14:paraId="546E4052" w14:textId="77777777" w:rsidR="00A359F2" w:rsidRPr="0053566B" w:rsidRDefault="00A359F2" w:rsidP="00347614">
            <w:pPr>
              <w:widowControl w:val="0"/>
              <w:spacing w:after="0" w:line="20" w:lineRule="atLeast"/>
              <w:jc w:val="center"/>
              <w:rPr>
                <w:rFonts w:ascii="Arial" w:eastAsia="Times New Roman" w:hAnsi="Arial" w:cs="Arial"/>
                <w:b/>
                <w:snapToGrid w:val="0"/>
                <w:color w:val="000000"/>
                <w:sz w:val="18"/>
                <w:szCs w:val="18"/>
              </w:rPr>
            </w:pPr>
            <w:r w:rsidRPr="0053566B">
              <w:rPr>
                <w:rFonts w:ascii="Arial" w:eastAsia="Times New Roman" w:hAnsi="Arial" w:cs="Arial"/>
                <w:b/>
                <w:snapToGrid w:val="0"/>
                <w:color w:val="000000"/>
                <w:sz w:val="18"/>
                <w:szCs w:val="18"/>
              </w:rPr>
              <w:t>Avg Age (Yrs)</w:t>
            </w:r>
          </w:p>
        </w:tc>
        <w:tc>
          <w:tcPr>
            <w:tcW w:w="864"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bottom"/>
            <w:hideMark/>
          </w:tcPr>
          <w:p w14:paraId="24A665F4" w14:textId="77777777" w:rsidR="00A359F2" w:rsidRPr="0053566B" w:rsidRDefault="00A359F2" w:rsidP="00347614">
            <w:pPr>
              <w:widowControl w:val="0"/>
              <w:spacing w:after="0" w:line="20" w:lineRule="atLeast"/>
              <w:jc w:val="center"/>
              <w:rPr>
                <w:rFonts w:ascii="Arial" w:eastAsia="Times New Roman" w:hAnsi="Arial" w:cs="Arial"/>
                <w:b/>
                <w:snapToGrid w:val="0"/>
                <w:color w:val="000000"/>
                <w:sz w:val="18"/>
                <w:szCs w:val="18"/>
              </w:rPr>
            </w:pPr>
            <w:r w:rsidRPr="0053566B">
              <w:rPr>
                <w:rFonts w:ascii="Arial" w:eastAsia="Times New Roman" w:hAnsi="Arial" w:cs="Arial"/>
                <w:b/>
                <w:snapToGrid w:val="0"/>
                <w:color w:val="000000"/>
                <w:sz w:val="18"/>
                <w:szCs w:val="18"/>
              </w:rPr>
              <w:t>Units &gt; 15 Yrs</w:t>
            </w:r>
          </w:p>
        </w:tc>
        <w:tc>
          <w:tcPr>
            <w:tcW w:w="72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1EA20527" w14:textId="77777777" w:rsidR="00A359F2" w:rsidRPr="0053566B" w:rsidRDefault="00A359F2" w:rsidP="00347614">
            <w:pPr>
              <w:widowControl w:val="0"/>
              <w:spacing w:after="0" w:line="20" w:lineRule="atLeast"/>
              <w:jc w:val="center"/>
              <w:rPr>
                <w:rFonts w:ascii="Arial" w:eastAsia="Times New Roman" w:hAnsi="Arial" w:cs="Arial"/>
                <w:b/>
                <w:snapToGrid w:val="0"/>
                <w:color w:val="000000"/>
                <w:sz w:val="18"/>
                <w:szCs w:val="18"/>
              </w:rPr>
            </w:pPr>
            <w:r w:rsidRPr="0053566B">
              <w:rPr>
                <w:rFonts w:ascii="Arial" w:eastAsia="Times New Roman" w:hAnsi="Arial" w:cs="Arial"/>
                <w:b/>
                <w:snapToGrid w:val="0"/>
                <w:color w:val="000000"/>
                <w:sz w:val="18"/>
                <w:szCs w:val="18"/>
              </w:rPr>
              <w:t>Avg Age (Yrs)</w:t>
            </w:r>
          </w:p>
        </w:tc>
        <w:tc>
          <w:tcPr>
            <w:tcW w:w="864"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bottom"/>
            <w:hideMark/>
          </w:tcPr>
          <w:p w14:paraId="48AC75E5" w14:textId="77777777" w:rsidR="00A359F2" w:rsidRPr="0053566B" w:rsidRDefault="00A359F2" w:rsidP="00347614">
            <w:pPr>
              <w:widowControl w:val="0"/>
              <w:spacing w:after="0" w:line="20" w:lineRule="atLeast"/>
              <w:jc w:val="center"/>
              <w:rPr>
                <w:rFonts w:ascii="Arial" w:eastAsia="Times New Roman" w:hAnsi="Arial" w:cs="Arial"/>
                <w:b/>
                <w:snapToGrid w:val="0"/>
                <w:color w:val="000000"/>
                <w:sz w:val="18"/>
                <w:szCs w:val="18"/>
              </w:rPr>
            </w:pPr>
            <w:r w:rsidRPr="0053566B">
              <w:rPr>
                <w:rFonts w:ascii="Arial" w:eastAsia="Times New Roman" w:hAnsi="Arial" w:cs="Arial"/>
                <w:b/>
                <w:snapToGrid w:val="0"/>
                <w:color w:val="000000"/>
                <w:sz w:val="18"/>
                <w:szCs w:val="18"/>
              </w:rPr>
              <w:t>Units &gt; 15 Yrs</w:t>
            </w:r>
          </w:p>
        </w:tc>
        <w:tc>
          <w:tcPr>
            <w:tcW w:w="72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1B33AC08" w14:textId="77777777" w:rsidR="00A359F2" w:rsidRPr="0053566B" w:rsidRDefault="00A359F2" w:rsidP="00347614">
            <w:pPr>
              <w:widowControl w:val="0"/>
              <w:spacing w:after="0" w:line="20" w:lineRule="atLeast"/>
              <w:jc w:val="center"/>
              <w:rPr>
                <w:rFonts w:ascii="Arial" w:eastAsia="Times New Roman" w:hAnsi="Arial" w:cs="Arial"/>
                <w:b/>
                <w:snapToGrid w:val="0"/>
                <w:color w:val="000000"/>
                <w:sz w:val="18"/>
                <w:szCs w:val="18"/>
              </w:rPr>
            </w:pPr>
            <w:r w:rsidRPr="0053566B">
              <w:rPr>
                <w:rFonts w:ascii="Arial" w:eastAsia="Times New Roman" w:hAnsi="Arial" w:cs="Arial"/>
                <w:b/>
                <w:snapToGrid w:val="0"/>
                <w:color w:val="000000"/>
                <w:sz w:val="18"/>
                <w:szCs w:val="18"/>
              </w:rPr>
              <w:t>Avg Age (Yrs)</w:t>
            </w:r>
          </w:p>
        </w:tc>
      </w:tr>
      <w:tr w:rsidR="00A359F2" w:rsidRPr="00390583" w14:paraId="5D279FE0" w14:textId="77777777" w:rsidTr="00347614">
        <w:trPr>
          <w:trHeight w:val="144"/>
          <w:jc w:val="center"/>
        </w:trPr>
        <w:tc>
          <w:tcPr>
            <w:tcW w:w="8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9608727"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1</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672DD7C1"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64BAF93A"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9.4</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73F81868"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8</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0FCD5508"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7.2</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5343C223"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97B9553"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7.4</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451C7E79"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1</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12CC251"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8.2</w:t>
            </w:r>
          </w:p>
        </w:tc>
      </w:tr>
      <w:tr w:rsidR="00A359F2" w:rsidRPr="00390583" w14:paraId="16FAFF89" w14:textId="77777777" w:rsidTr="00347614">
        <w:trPr>
          <w:trHeight w:val="144"/>
          <w:jc w:val="center"/>
        </w:trPr>
        <w:tc>
          <w:tcPr>
            <w:tcW w:w="8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2D375B"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2</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65B175DF"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14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6403E7B7"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8.3</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04DD536A"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10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D5CD9E"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8.4</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5A3E0482"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83FCE77"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10.7</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62E05989"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9</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3D7C059"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9.3</w:t>
            </w:r>
          </w:p>
        </w:tc>
      </w:tr>
      <w:tr w:rsidR="00A359F2" w:rsidRPr="00390583" w14:paraId="3142DA48" w14:textId="77777777" w:rsidTr="00347614">
        <w:trPr>
          <w:trHeight w:val="144"/>
          <w:jc w:val="center"/>
        </w:trPr>
        <w:tc>
          <w:tcPr>
            <w:tcW w:w="8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629DF25"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3</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7F626701"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11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D168606"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14.1</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64208D56"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11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FDB1181"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15.2</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223B65F8"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4</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BC3A858"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17.4</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7C1E1C38"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7</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A2D91E5"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9.2</w:t>
            </w:r>
          </w:p>
        </w:tc>
      </w:tr>
      <w:tr w:rsidR="00A359F2" w:rsidRPr="00390583" w14:paraId="63F19939" w14:textId="77777777" w:rsidTr="00347614">
        <w:trPr>
          <w:trHeight w:val="144"/>
          <w:jc w:val="center"/>
        </w:trPr>
        <w:tc>
          <w:tcPr>
            <w:tcW w:w="8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CBCB8B2"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4</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1F067BE1"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56CB19EA"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7.4</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48AE022B"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6</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5696157E"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7.2</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56C375DD"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38D7920"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9.2</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056C924D"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21</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1354700"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9.0</w:t>
            </w:r>
          </w:p>
        </w:tc>
      </w:tr>
      <w:tr w:rsidR="00A359F2" w:rsidRPr="00390583" w14:paraId="0EC91812" w14:textId="77777777" w:rsidTr="00347614">
        <w:trPr>
          <w:trHeight w:val="144"/>
          <w:jc w:val="center"/>
        </w:trPr>
        <w:tc>
          <w:tcPr>
            <w:tcW w:w="8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69011D3"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5</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200897A2"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2</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04ADDC60"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5.5</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1CEBFD09"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6</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456F18D"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6.7</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367D794D"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6A358F7"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9.7</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4398B4FA"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6</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463ABF7"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10.3</w:t>
            </w:r>
          </w:p>
        </w:tc>
      </w:tr>
      <w:tr w:rsidR="00A359F2" w:rsidRPr="00390583" w14:paraId="2A647BDE" w14:textId="77777777" w:rsidTr="00347614">
        <w:trPr>
          <w:trHeight w:val="144"/>
          <w:jc w:val="center"/>
        </w:trPr>
        <w:tc>
          <w:tcPr>
            <w:tcW w:w="8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AD2F3F"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6</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35FA7362"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642934DD"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13.1</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1BDE0051"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EBEEAD5"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14.1</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6D43CB30"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CD6DA29"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4.4</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397C3C20"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E1B5A4F"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7.8</w:t>
            </w:r>
          </w:p>
        </w:tc>
      </w:tr>
      <w:tr w:rsidR="00A359F2" w:rsidRPr="00390583" w14:paraId="16F003FE" w14:textId="77777777" w:rsidTr="00347614">
        <w:trPr>
          <w:trHeight w:val="144"/>
          <w:jc w:val="center"/>
        </w:trPr>
        <w:tc>
          <w:tcPr>
            <w:tcW w:w="8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F0AE2A"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7</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0B567C25"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147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0FE546B9"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22.3</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69D6F248"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210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619B481"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22.2</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532EBED6"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28</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35BE8E4"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17.9</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380241CE"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106</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9A3408B"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16.4</w:t>
            </w:r>
          </w:p>
        </w:tc>
      </w:tr>
      <w:tr w:rsidR="00A359F2" w:rsidRPr="00390583" w14:paraId="05CA2BF3" w14:textId="77777777" w:rsidTr="00347614">
        <w:trPr>
          <w:trHeight w:val="144"/>
          <w:jc w:val="center"/>
        </w:trPr>
        <w:tc>
          <w:tcPr>
            <w:tcW w:w="8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D5E58B"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8</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78D3B6CC"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18</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6D189DE0"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21.9</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646D9E9F"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40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5C6B2A87"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22.7</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164B650C"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4</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5703554"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17.4</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1CBACBA8"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10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523B456"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15.9</w:t>
            </w:r>
          </w:p>
        </w:tc>
      </w:tr>
      <w:tr w:rsidR="00A359F2" w:rsidRPr="00390583" w14:paraId="7C17D5D1" w14:textId="77777777" w:rsidTr="00347614">
        <w:trPr>
          <w:trHeight w:val="144"/>
          <w:jc w:val="center"/>
        </w:trPr>
        <w:tc>
          <w:tcPr>
            <w:tcW w:w="8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804C18D"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9</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29820183"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30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B80B668"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22.5</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13E2C05A"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CF9E6E0"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21.8</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1A1B29B2"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8</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F1B5121"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22.9</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7604330E"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24</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A2798A6" w14:textId="77777777" w:rsidR="00A359F2" w:rsidRPr="00390583" w:rsidRDefault="00A359F2" w:rsidP="00347614">
            <w:pPr>
              <w:widowControl w:val="0"/>
              <w:spacing w:after="0" w:line="20" w:lineRule="atLeast"/>
              <w:jc w:val="center"/>
              <w:rPr>
                <w:rFonts w:ascii="Arial" w:eastAsia="Times New Roman" w:hAnsi="Arial" w:cs="Arial"/>
                <w:snapToGrid w:val="0"/>
                <w:color w:val="000000"/>
                <w:sz w:val="18"/>
                <w:szCs w:val="18"/>
              </w:rPr>
            </w:pPr>
            <w:r w:rsidRPr="00390583">
              <w:rPr>
                <w:rFonts w:ascii="Arial" w:eastAsia="Times New Roman" w:hAnsi="Arial" w:cs="Arial"/>
                <w:snapToGrid w:val="0"/>
                <w:color w:val="000000"/>
                <w:sz w:val="18"/>
                <w:szCs w:val="18"/>
              </w:rPr>
              <w:t>15.5</w:t>
            </w:r>
          </w:p>
        </w:tc>
      </w:tr>
      <w:tr w:rsidR="00A359F2" w:rsidRPr="00390583" w14:paraId="19990B1F" w14:textId="77777777" w:rsidTr="00347614">
        <w:trPr>
          <w:trHeight w:val="144"/>
          <w:jc w:val="center"/>
        </w:trPr>
        <w:tc>
          <w:tcPr>
            <w:tcW w:w="8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72B800" w14:textId="77777777" w:rsidR="00A359F2" w:rsidRPr="00390583" w:rsidRDefault="00A359F2" w:rsidP="00347614">
            <w:pPr>
              <w:widowControl w:val="0"/>
              <w:spacing w:after="0" w:line="20" w:lineRule="atLeast"/>
              <w:jc w:val="center"/>
              <w:rPr>
                <w:rFonts w:ascii="Arial" w:eastAsia="Times New Roman" w:hAnsi="Arial" w:cs="Arial"/>
                <w:b/>
                <w:bCs/>
                <w:snapToGrid w:val="0"/>
                <w:color w:val="000000"/>
                <w:sz w:val="18"/>
                <w:szCs w:val="18"/>
              </w:rPr>
            </w:pPr>
            <w:r w:rsidRPr="00390583">
              <w:rPr>
                <w:rFonts w:ascii="Arial" w:eastAsia="Times New Roman" w:hAnsi="Arial" w:cs="Arial"/>
                <w:b/>
                <w:bCs/>
                <w:snapToGrid w:val="0"/>
                <w:color w:val="000000"/>
                <w:sz w:val="18"/>
                <w:szCs w:val="18"/>
              </w:rPr>
              <w:t>Totals</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0109A242" w14:textId="77777777" w:rsidR="00A359F2" w:rsidRPr="00390583" w:rsidRDefault="00A359F2" w:rsidP="00347614">
            <w:pPr>
              <w:widowControl w:val="0"/>
              <w:spacing w:after="0" w:line="20" w:lineRule="atLeast"/>
              <w:jc w:val="center"/>
              <w:rPr>
                <w:rFonts w:ascii="Arial" w:eastAsia="Times New Roman" w:hAnsi="Arial" w:cs="Arial"/>
                <w:b/>
                <w:bCs/>
                <w:snapToGrid w:val="0"/>
                <w:color w:val="000000"/>
                <w:sz w:val="18"/>
                <w:szCs w:val="18"/>
              </w:rPr>
            </w:pPr>
            <w:r w:rsidRPr="00390583">
              <w:rPr>
                <w:rFonts w:ascii="Arial" w:eastAsia="Times New Roman" w:hAnsi="Arial" w:cs="Arial"/>
                <w:b/>
                <w:bCs/>
                <w:snapToGrid w:val="0"/>
                <w:color w:val="000000"/>
                <w:sz w:val="18"/>
                <w:szCs w:val="18"/>
              </w:rPr>
              <w:t>234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69A271AD" w14:textId="77777777" w:rsidR="00A359F2" w:rsidRPr="00390583" w:rsidRDefault="00A359F2" w:rsidP="00347614">
            <w:pPr>
              <w:widowControl w:val="0"/>
              <w:spacing w:after="0" w:line="20" w:lineRule="atLeast"/>
              <w:jc w:val="center"/>
              <w:rPr>
                <w:rFonts w:ascii="Arial" w:eastAsia="Times New Roman" w:hAnsi="Arial" w:cs="Arial"/>
                <w:b/>
                <w:bCs/>
                <w:snapToGrid w:val="0"/>
                <w:color w:val="000000"/>
                <w:sz w:val="18"/>
                <w:szCs w:val="18"/>
              </w:rPr>
            </w:pPr>
            <w:r w:rsidRPr="00390583">
              <w:rPr>
                <w:rFonts w:ascii="Arial" w:eastAsia="Times New Roman" w:hAnsi="Arial" w:cs="Arial"/>
                <w:b/>
                <w:bCs/>
                <w:snapToGrid w:val="0"/>
                <w:color w:val="000000"/>
                <w:sz w:val="18"/>
                <w:szCs w:val="18"/>
              </w:rPr>
              <w:t>13.3</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17EFE06E" w14:textId="77777777" w:rsidR="00A359F2" w:rsidRPr="00390583" w:rsidRDefault="00A359F2" w:rsidP="00347614">
            <w:pPr>
              <w:widowControl w:val="0"/>
              <w:spacing w:after="0" w:line="20" w:lineRule="atLeast"/>
              <w:jc w:val="center"/>
              <w:rPr>
                <w:rFonts w:ascii="Arial" w:eastAsia="Times New Roman" w:hAnsi="Arial" w:cs="Arial"/>
                <w:b/>
                <w:bCs/>
                <w:snapToGrid w:val="0"/>
                <w:color w:val="000000"/>
                <w:sz w:val="18"/>
                <w:szCs w:val="18"/>
              </w:rPr>
            </w:pPr>
            <w:r w:rsidRPr="00390583">
              <w:rPr>
                <w:rFonts w:ascii="Arial" w:eastAsia="Times New Roman" w:hAnsi="Arial" w:cs="Arial"/>
                <w:b/>
                <w:bCs/>
                <w:snapToGrid w:val="0"/>
                <w:color w:val="000000"/>
                <w:sz w:val="18"/>
                <w:szCs w:val="18"/>
              </w:rPr>
              <w:t>352</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68818E16" w14:textId="77777777" w:rsidR="00A359F2" w:rsidRPr="00390583" w:rsidRDefault="00A359F2" w:rsidP="00347614">
            <w:pPr>
              <w:widowControl w:val="0"/>
              <w:spacing w:after="0" w:line="20" w:lineRule="atLeast"/>
              <w:jc w:val="center"/>
              <w:rPr>
                <w:rFonts w:ascii="Arial" w:eastAsia="Times New Roman" w:hAnsi="Arial" w:cs="Arial"/>
                <w:b/>
                <w:bCs/>
                <w:snapToGrid w:val="0"/>
                <w:color w:val="000000"/>
                <w:sz w:val="18"/>
                <w:szCs w:val="18"/>
              </w:rPr>
            </w:pPr>
            <w:r w:rsidRPr="00390583">
              <w:rPr>
                <w:rFonts w:ascii="Arial" w:eastAsia="Times New Roman" w:hAnsi="Arial" w:cs="Arial"/>
                <w:b/>
                <w:bCs/>
                <w:snapToGrid w:val="0"/>
                <w:color w:val="000000"/>
                <w:sz w:val="18"/>
                <w:szCs w:val="18"/>
              </w:rPr>
              <w:t>14.0</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4D34CFB0" w14:textId="77777777" w:rsidR="00A359F2" w:rsidRPr="00390583" w:rsidRDefault="00A359F2" w:rsidP="00347614">
            <w:pPr>
              <w:widowControl w:val="0"/>
              <w:spacing w:after="0" w:line="20" w:lineRule="atLeast"/>
              <w:jc w:val="center"/>
              <w:rPr>
                <w:rFonts w:ascii="Arial" w:eastAsia="Times New Roman" w:hAnsi="Arial" w:cs="Arial"/>
                <w:b/>
                <w:bCs/>
                <w:snapToGrid w:val="0"/>
                <w:color w:val="000000"/>
                <w:sz w:val="18"/>
                <w:szCs w:val="18"/>
              </w:rPr>
            </w:pPr>
            <w:r w:rsidRPr="00390583">
              <w:rPr>
                <w:rFonts w:ascii="Arial" w:eastAsia="Times New Roman" w:hAnsi="Arial" w:cs="Arial"/>
                <w:b/>
                <w:bCs/>
                <w:snapToGrid w:val="0"/>
                <w:color w:val="000000"/>
                <w:sz w:val="18"/>
                <w:szCs w:val="18"/>
              </w:rPr>
              <w:t>44</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E1069C7" w14:textId="77777777" w:rsidR="00A359F2" w:rsidRPr="00390583" w:rsidRDefault="00A359F2" w:rsidP="00347614">
            <w:pPr>
              <w:widowControl w:val="0"/>
              <w:spacing w:after="0" w:line="20" w:lineRule="atLeast"/>
              <w:jc w:val="center"/>
              <w:rPr>
                <w:rFonts w:ascii="Arial" w:eastAsia="Times New Roman" w:hAnsi="Arial" w:cs="Arial"/>
                <w:b/>
                <w:bCs/>
                <w:snapToGrid w:val="0"/>
                <w:color w:val="000000"/>
                <w:sz w:val="18"/>
                <w:szCs w:val="18"/>
              </w:rPr>
            </w:pPr>
            <w:r w:rsidRPr="00390583">
              <w:rPr>
                <w:rFonts w:ascii="Arial" w:eastAsia="Times New Roman" w:hAnsi="Arial" w:cs="Arial"/>
                <w:b/>
                <w:bCs/>
                <w:snapToGrid w:val="0"/>
                <w:color w:val="000000"/>
                <w:sz w:val="18"/>
                <w:szCs w:val="18"/>
              </w:rPr>
              <w:t>12.6</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14:paraId="56B6E523" w14:textId="77777777" w:rsidR="00A359F2" w:rsidRPr="00390583" w:rsidRDefault="00A359F2" w:rsidP="00347614">
            <w:pPr>
              <w:widowControl w:val="0"/>
              <w:spacing w:after="0" w:line="20" w:lineRule="atLeast"/>
              <w:jc w:val="center"/>
              <w:rPr>
                <w:rFonts w:ascii="Arial" w:eastAsia="Times New Roman" w:hAnsi="Arial" w:cs="Arial"/>
                <w:b/>
                <w:bCs/>
                <w:snapToGrid w:val="0"/>
                <w:color w:val="000000"/>
                <w:sz w:val="18"/>
                <w:szCs w:val="18"/>
              </w:rPr>
            </w:pPr>
            <w:r w:rsidRPr="00390583">
              <w:rPr>
                <w:rFonts w:ascii="Arial" w:eastAsia="Times New Roman" w:hAnsi="Arial" w:cs="Arial"/>
                <w:b/>
                <w:bCs/>
                <w:snapToGrid w:val="0"/>
                <w:color w:val="000000"/>
                <w:sz w:val="18"/>
                <w:szCs w:val="18"/>
              </w:rPr>
              <w:t>184</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18154A5" w14:textId="77777777" w:rsidR="00A359F2" w:rsidRPr="00390583" w:rsidRDefault="00A359F2" w:rsidP="00347614">
            <w:pPr>
              <w:widowControl w:val="0"/>
              <w:spacing w:after="0" w:line="20" w:lineRule="atLeast"/>
              <w:jc w:val="center"/>
              <w:rPr>
                <w:rFonts w:ascii="Arial" w:eastAsia="Times New Roman" w:hAnsi="Arial" w:cs="Arial"/>
                <w:b/>
                <w:bCs/>
                <w:snapToGrid w:val="0"/>
                <w:color w:val="000000"/>
                <w:sz w:val="18"/>
                <w:szCs w:val="18"/>
              </w:rPr>
            </w:pPr>
            <w:r w:rsidRPr="00390583">
              <w:rPr>
                <w:rFonts w:ascii="Arial" w:eastAsia="Times New Roman" w:hAnsi="Arial" w:cs="Arial"/>
                <w:b/>
                <w:bCs/>
                <w:snapToGrid w:val="0"/>
                <w:color w:val="000000"/>
                <w:sz w:val="18"/>
                <w:szCs w:val="18"/>
              </w:rPr>
              <w:t>11.5</w:t>
            </w:r>
          </w:p>
        </w:tc>
      </w:tr>
    </w:tbl>
    <w:p w14:paraId="1F4C5B30" w14:textId="77777777" w:rsidR="00A359F2" w:rsidRPr="00EC4904" w:rsidRDefault="00A359F2" w:rsidP="00A359F2">
      <w:pPr>
        <w:widowControl w:val="0"/>
        <w:spacing w:after="0" w:line="20" w:lineRule="atLeast"/>
        <w:ind w:left="1080"/>
        <w:rPr>
          <w:rFonts w:ascii="Arial" w:eastAsia="Times New Roman" w:hAnsi="Arial" w:cs="Arial"/>
          <w:snapToGrid w:val="0"/>
          <w:sz w:val="18"/>
          <w:szCs w:val="18"/>
        </w:rPr>
      </w:pPr>
      <w:r w:rsidRPr="00EC4904">
        <w:rPr>
          <w:rFonts w:ascii="Arial" w:eastAsia="Times New Roman" w:hAnsi="Arial" w:cs="Arial"/>
          <w:snapToGrid w:val="0"/>
          <w:sz w:val="18"/>
          <w:szCs w:val="18"/>
        </w:rPr>
        <w:t>Source: Data Request No. VE-7.8</w:t>
      </w:r>
    </w:p>
    <w:p w14:paraId="4F52F962" w14:textId="77777777" w:rsidR="00A359F2" w:rsidRPr="00390583" w:rsidRDefault="00A359F2" w:rsidP="00A359F2">
      <w:pPr>
        <w:widowControl w:val="0"/>
        <w:spacing w:after="0" w:line="20" w:lineRule="atLeast"/>
        <w:rPr>
          <w:rFonts w:ascii="Arial" w:eastAsia="Times New Roman" w:hAnsi="Arial" w:cs="Arial"/>
          <w:b/>
          <w:bCs/>
          <w:snapToGrid w:val="0"/>
          <w:sz w:val="24"/>
          <w:szCs w:val="24"/>
          <w:lang w:val="en"/>
        </w:rPr>
      </w:pPr>
    </w:p>
    <w:p w14:paraId="3D36003D" w14:textId="77777777" w:rsidR="00A359F2" w:rsidRDefault="00A359F2" w:rsidP="00A359F2">
      <w:pPr>
        <w:widowControl w:val="0"/>
        <w:spacing w:after="0" w:line="20" w:lineRule="atLeast"/>
        <w:rPr>
          <w:rFonts w:ascii="Arial" w:eastAsia="Times New Roman" w:hAnsi="Arial" w:cs="Arial"/>
          <w:snapToGrid w:val="0"/>
          <w:sz w:val="24"/>
          <w:szCs w:val="24"/>
        </w:rPr>
      </w:pPr>
    </w:p>
    <w:p w14:paraId="5BB4039E" w14:textId="77777777" w:rsidR="00A359F2" w:rsidRPr="00390583" w:rsidRDefault="00A359F2" w:rsidP="00A359F2">
      <w:pPr>
        <w:widowControl w:val="0"/>
        <w:spacing w:after="0" w:line="20" w:lineRule="atLeast"/>
        <w:ind w:firstLine="720"/>
        <w:rPr>
          <w:rFonts w:ascii="Arial" w:eastAsia="Times New Roman" w:hAnsi="Arial" w:cs="Arial"/>
          <w:snapToGrid w:val="0"/>
          <w:sz w:val="24"/>
          <w:szCs w:val="24"/>
        </w:rPr>
      </w:pPr>
      <w:r w:rsidRPr="00390583">
        <w:rPr>
          <w:rFonts w:ascii="Arial" w:eastAsia="Times New Roman" w:hAnsi="Arial" w:cs="Arial"/>
          <w:snapToGrid w:val="0"/>
          <w:sz w:val="24"/>
          <w:szCs w:val="24"/>
        </w:rPr>
        <w:t xml:space="preserve">From August 2013 to March 2018, Met-Ed, Penelec, and Penn Power reduced the number of vehicles greater than 15 years old from 337 to 234, 579 to 352, and 62 to 44, respectively, whereas the number of vehicles greater than 15 years old for West Penn Power increased from 122 to 184 over the same period.  </w:t>
      </w:r>
      <w:r>
        <w:rPr>
          <w:rFonts w:ascii="Arial" w:eastAsia="Times New Roman" w:hAnsi="Arial" w:cs="Arial"/>
          <w:snapToGrid w:val="0"/>
          <w:sz w:val="24"/>
          <w:szCs w:val="24"/>
        </w:rPr>
        <w:t>FirstEnergy</w:t>
      </w:r>
      <w:r w:rsidRPr="00390583">
        <w:rPr>
          <w:rFonts w:ascii="Arial" w:eastAsia="Times New Roman" w:hAnsi="Arial" w:cs="Arial"/>
          <w:snapToGrid w:val="0"/>
          <w:sz w:val="24"/>
          <w:szCs w:val="24"/>
        </w:rPr>
        <w:t xml:space="preserve"> indicated that the number of vehicles greater than 15 years old for West Penn Power increased from 122 to 184 because it had a slightly newer fleet in August 2013.  From August 2013 to March 2018, the number of vehicles in Asset Classes 1-6 for Penn Power, Penelec, and Met-Ed decreased from 23 to 4, 205 to 45, and 189 to 39, respectively, while the number of vehicles in Asset Classes 1-6 for West Penn Power increased from 12 to 44 over the same period.  From August 2013 to March 2018 for the </w:t>
      </w:r>
      <w:r w:rsidR="00DC3D9B">
        <w:rPr>
          <w:rFonts w:ascii="Arial" w:eastAsia="Times New Roman" w:hAnsi="Arial" w:cs="Arial"/>
          <w:snapToGrid w:val="0"/>
          <w:sz w:val="24"/>
          <w:szCs w:val="24"/>
        </w:rPr>
        <w:t>FE-PA companies</w:t>
      </w:r>
      <w:r w:rsidRPr="00390583">
        <w:rPr>
          <w:rFonts w:ascii="Arial" w:eastAsia="Times New Roman" w:hAnsi="Arial" w:cs="Arial"/>
          <w:snapToGrid w:val="0"/>
          <w:sz w:val="24"/>
          <w:szCs w:val="24"/>
        </w:rPr>
        <w:t xml:space="preserve"> combined, the total number of vehicles in Asset Classes 1-6 decreased from 429 to 132.</w:t>
      </w:r>
    </w:p>
    <w:p w14:paraId="23FBADF9" w14:textId="77777777" w:rsidR="00A359F2" w:rsidRDefault="00A359F2" w:rsidP="00A359F2">
      <w:pPr>
        <w:spacing w:after="0" w:line="20" w:lineRule="atLeast"/>
        <w:jc w:val="both"/>
        <w:rPr>
          <w:rFonts w:ascii="Arial" w:eastAsia="Times New Roman" w:hAnsi="Arial" w:cs="Arial"/>
          <w:snapToGrid w:val="0"/>
          <w:sz w:val="24"/>
          <w:szCs w:val="20"/>
        </w:rPr>
      </w:pPr>
    </w:p>
    <w:p w14:paraId="094E00AD" w14:textId="77777777" w:rsidR="00A359F2" w:rsidRDefault="00A359F2" w:rsidP="00A359F2">
      <w:pPr>
        <w:spacing w:after="0" w:line="20" w:lineRule="atLeast"/>
        <w:jc w:val="both"/>
        <w:rPr>
          <w:rFonts w:ascii="Arial" w:eastAsia="Times New Roman" w:hAnsi="Arial" w:cs="Arial"/>
          <w:b/>
          <w:snapToGrid w:val="0"/>
          <w:sz w:val="24"/>
          <w:szCs w:val="20"/>
        </w:rPr>
      </w:pPr>
      <w:r w:rsidRPr="00C208C1">
        <w:rPr>
          <w:rFonts w:ascii="Arial" w:eastAsia="Times New Roman" w:hAnsi="Arial" w:cs="Arial"/>
          <w:b/>
          <w:snapToGrid w:val="0"/>
          <w:sz w:val="24"/>
          <w:szCs w:val="20"/>
          <w:u w:val="single"/>
        </w:rPr>
        <w:t>Follow-up Recommendation</w:t>
      </w:r>
      <w:r w:rsidRPr="00C208C1">
        <w:rPr>
          <w:rFonts w:ascii="Arial" w:eastAsia="Times New Roman" w:hAnsi="Arial" w:cs="Arial"/>
          <w:b/>
          <w:snapToGrid w:val="0"/>
          <w:sz w:val="24"/>
          <w:szCs w:val="20"/>
        </w:rPr>
        <w:t xml:space="preserve"> – </w:t>
      </w:r>
      <w:r>
        <w:rPr>
          <w:rFonts w:ascii="Arial" w:eastAsia="Times New Roman" w:hAnsi="Arial" w:cs="Arial"/>
          <w:b/>
          <w:snapToGrid w:val="0"/>
          <w:sz w:val="24"/>
          <w:szCs w:val="20"/>
        </w:rPr>
        <w:t>None</w:t>
      </w:r>
    </w:p>
    <w:p w14:paraId="107CB0D0" w14:textId="77777777" w:rsidR="00A359F2" w:rsidRDefault="00A359F2" w:rsidP="00A359F2">
      <w:pPr>
        <w:rPr>
          <w:rFonts w:ascii="Arial" w:eastAsia="Times New Roman" w:hAnsi="Arial" w:cs="Arial"/>
          <w:b/>
          <w:snapToGrid w:val="0"/>
          <w:sz w:val="24"/>
          <w:szCs w:val="20"/>
        </w:rPr>
      </w:pPr>
      <w:r>
        <w:rPr>
          <w:rFonts w:ascii="Arial" w:eastAsia="Times New Roman" w:hAnsi="Arial" w:cs="Arial"/>
          <w:b/>
          <w:snapToGrid w:val="0"/>
          <w:sz w:val="24"/>
          <w:szCs w:val="20"/>
        </w:rPr>
        <w:br w:type="page"/>
      </w:r>
    </w:p>
    <w:p w14:paraId="1A97C560" w14:textId="77777777" w:rsidR="00A359F2" w:rsidRPr="00B10358" w:rsidRDefault="00A359F2" w:rsidP="00A359F2">
      <w:pPr>
        <w:spacing w:after="0" w:line="240" w:lineRule="auto"/>
        <w:jc w:val="center"/>
        <w:rPr>
          <w:rFonts w:ascii="Arial" w:hAnsi="Arial" w:cs="Arial"/>
          <w:b/>
          <w:sz w:val="24"/>
          <w:szCs w:val="24"/>
          <w:u w:val="single"/>
        </w:rPr>
      </w:pPr>
      <w:r w:rsidRPr="00B10358">
        <w:rPr>
          <w:rFonts w:ascii="Arial" w:hAnsi="Arial" w:cs="Arial"/>
          <w:b/>
          <w:sz w:val="24"/>
          <w:szCs w:val="24"/>
          <w:u w:val="single"/>
        </w:rPr>
        <w:t>Finding No. XII-2</w:t>
      </w:r>
    </w:p>
    <w:p w14:paraId="4B7BB4FD" w14:textId="77777777" w:rsidR="00A359F2" w:rsidRPr="001A29DB" w:rsidRDefault="00A359F2" w:rsidP="00A359F2">
      <w:pPr>
        <w:spacing w:after="0" w:line="20" w:lineRule="atLeast"/>
        <w:jc w:val="both"/>
        <w:rPr>
          <w:rFonts w:ascii="Arial" w:eastAsia="Times New Roman" w:hAnsi="Arial" w:cs="Arial"/>
          <w:b/>
          <w:snapToGrid w:val="0"/>
          <w:sz w:val="24"/>
          <w:szCs w:val="24"/>
        </w:rPr>
      </w:pPr>
    </w:p>
    <w:p w14:paraId="63DB21D4" w14:textId="77777777" w:rsidR="005B3900" w:rsidRDefault="00A359F2" w:rsidP="00A359F2">
      <w:pPr>
        <w:spacing w:after="0" w:line="20" w:lineRule="atLeast"/>
        <w:contextualSpacing/>
        <w:rPr>
          <w:rFonts w:ascii="Arial" w:eastAsia="Times New Roman" w:hAnsi="Arial" w:cs="Arial"/>
          <w:snapToGrid w:val="0"/>
          <w:sz w:val="24"/>
          <w:szCs w:val="20"/>
        </w:rPr>
      </w:pPr>
      <w:r w:rsidRPr="004D579B">
        <w:rPr>
          <w:rFonts w:ascii="Arial" w:hAnsi="Arial" w:cs="Arial"/>
          <w:b/>
          <w:sz w:val="24"/>
          <w:szCs w:val="24"/>
          <w:u w:val="single"/>
        </w:rPr>
        <w:t>Prior Situation</w:t>
      </w:r>
      <w:r w:rsidRPr="004D579B">
        <w:rPr>
          <w:rFonts w:ascii="Arial" w:hAnsi="Arial" w:cs="Arial"/>
          <w:b/>
          <w:sz w:val="24"/>
          <w:szCs w:val="24"/>
        </w:rPr>
        <w:t xml:space="preserve"> </w:t>
      </w:r>
      <w:r w:rsidRPr="00A67D31">
        <w:rPr>
          <w:rFonts w:ascii="Arial" w:eastAsia="Times New Roman" w:hAnsi="Arial" w:cs="Times New Roman"/>
          <w:sz w:val="24"/>
          <w:szCs w:val="24"/>
        </w:rPr>
        <w:t>–</w:t>
      </w:r>
      <w:r>
        <w:rPr>
          <w:rFonts w:ascii="Arial" w:eastAsia="Times New Roman" w:hAnsi="Arial" w:cs="Times New Roman"/>
          <w:sz w:val="24"/>
          <w:szCs w:val="24"/>
        </w:rPr>
        <w:t xml:space="preserve"> </w:t>
      </w:r>
      <w:r w:rsidR="00733683">
        <w:rPr>
          <w:rFonts w:ascii="Arial" w:eastAsia="Times New Roman" w:hAnsi="Arial" w:cs="Times New Roman"/>
          <w:sz w:val="24"/>
          <w:szCs w:val="24"/>
        </w:rPr>
        <w:t xml:space="preserve">At the time of the prior Management Audit in 2013, </w:t>
      </w:r>
      <w:r w:rsidRPr="00882586">
        <w:rPr>
          <w:rFonts w:ascii="Arial" w:eastAsia="Times New Roman" w:hAnsi="Arial" w:cs="Arial"/>
          <w:snapToGrid w:val="0"/>
          <w:sz w:val="24"/>
          <w:szCs w:val="20"/>
        </w:rPr>
        <w:t xml:space="preserve">FirstEnergy’s Fleet Services Department did not have adequate vehicle fuel disbursement controls, nor did it track fuel usage by individual vehicle.  The </w:t>
      </w:r>
      <w:r w:rsidR="00DC3D9B">
        <w:rPr>
          <w:rFonts w:ascii="Arial" w:eastAsia="Times New Roman" w:hAnsi="Arial" w:cs="Arial"/>
          <w:snapToGrid w:val="0"/>
          <w:sz w:val="24"/>
          <w:szCs w:val="20"/>
        </w:rPr>
        <w:t>FE-PA companies</w:t>
      </w:r>
      <w:r w:rsidRPr="00882586">
        <w:rPr>
          <w:rFonts w:ascii="Arial" w:eastAsia="Times New Roman" w:hAnsi="Arial" w:cs="Arial"/>
          <w:snapToGrid w:val="0"/>
          <w:sz w:val="24"/>
          <w:szCs w:val="20"/>
        </w:rPr>
        <w:t xml:space="preserve"> operated over 43 on</w:t>
      </w:r>
      <w:r w:rsidR="00314B89">
        <w:rPr>
          <w:rFonts w:ascii="Arial" w:eastAsia="Times New Roman" w:hAnsi="Arial" w:cs="Arial"/>
          <w:snapToGrid w:val="0"/>
          <w:sz w:val="24"/>
          <w:szCs w:val="20"/>
        </w:rPr>
        <w:noBreakHyphen/>
      </w:r>
      <w:r w:rsidRPr="00882586">
        <w:rPr>
          <w:rFonts w:ascii="Arial" w:eastAsia="Times New Roman" w:hAnsi="Arial" w:cs="Arial"/>
          <w:snapToGrid w:val="0"/>
          <w:sz w:val="24"/>
          <w:szCs w:val="20"/>
        </w:rPr>
        <w:t>s</w:t>
      </w:r>
      <w:r>
        <w:rPr>
          <w:rFonts w:ascii="Arial" w:eastAsia="Times New Roman" w:hAnsi="Arial" w:cs="Arial"/>
          <w:snapToGrid w:val="0"/>
          <w:sz w:val="24"/>
          <w:szCs w:val="20"/>
        </w:rPr>
        <w:t>ite fueling stations with 44 die</w:t>
      </w:r>
      <w:r w:rsidRPr="00882586">
        <w:rPr>
          <w:rFonts w:ascii="Arial" w:eastAsia="Times New Roman" w:hAnsi="Arial" w:cs="Arial"/>
          <w:snapToGrid w:val="0"/>
          <w:sz w:val="24"/>
          <w:szCs w:val="20"/>
        </w:rPr>
        <w:t xml:space="preserve">sel and 34 unleaded fuel pumps throughout the Pennsylvania service territory.  </w:t>
      </w:r>
      <w:r w:rsidR="005B3900" w:rsidRPr="00882586">
        <w:rPr>
          <w:rFonts w:ascii="Arial" w:eastAsia="Times New Roman" w:hAnsi="Arial" w:cs="Arial"/>
          <w:snapToGrid w:val="0"/>
          <w:sz w:val="24"/>
          <w:szCs w:val="20"/>
        </w:rPr>
        <w:t>Fuel cards were used if a vehicle was outside the service territory or during storm emer</w:t>
      </w:r>
      <w:r w:rsidR="005B3900">
        <w:rPr>
          <w:rFonts w:ascii="Arial" w:eastAsia="Times New Roman" w:hAnsi="Arial" w:cs="Arial"/>
          <w:snapToGrid w:val="0"/>
          <w:sz w:val="24"/>
          <w:szCs w:val="20"/>
        </w:rPr>
        <w:t xml:space="preserve">gencies.  </w:t>
      </w:r>
      <w:r w:rsidRPr="00882586">
        <w:rPr>
          <w:rFonts w:ascii="Arial" w:eastAsia="Times New Roman" w:hAnsi="Arial" w:cs="Arial"/>
          <w:snapToGrid w:val="0"/>
          <w:sz w:val="24"/>
          <w:szCs w:val="20"/>
        </w:rPr>
        <w:t xml:space="preserve">Off-site fuel was purchased using either Wright Express (WEX) or Comdata fuel cards.  West Penn Power and Penn Power used WEX fuel cards while Met-Ed and Penelec used Comdata fuel cards.  </w:t>
      </w:r>
    </w:p>
    <w:p w14:paraId="68ADACA3" w14:textId="77777777" w:rsidR="005B3900" w:rsidRDefault="005B3900" w:rsidP="00A359F2">
      <w:pPr>
        <w:spacing w:after="0" w:line="20" w:lineRule="atLeast"/>
        <w:contextualSpacing/>
        <w:rPr>
          <w:rFonts w:ascii="Arial" w:eastAsia="Times New Roman" w:hAnsi="Arial" w:cs="Arial"/>
          <w:snapToGrid w:val="0"/>
          <w:sz w:val="24"/>
          <w:szCs w:val="20"/>
        </w:rPr>
      </w:pPr>
    </w:p>
    <w:p w14:paraId="69C4D542" w14:textId="77777777" w:rsidR="00A359F2" w:rsidRPr="00882586" w:rsidRDefault="00A359F2" w:rsidP="004C42C8">
      <w:pPr>
        <w:spacing w:after="0" w:line="20" w:lineRule="atLeast"/>
        <w:ind w:firstLine="720"/>
        <w:contextualSpacing/>
        <w:rPr>
          <w:rFonts w:ascii="Arial" w:eastAsia="Times New Roman" w:hAnsi="Arial" w:cs="Arial"/>
          <w:snapToGrid w:val="0"/>
          <w:sz w:val="24"/>
          <w:szCs w:val="26"/>
        </w:rPr>
      </w:pPr>
      <w:r>
        <w:rPr>
          <w:rFonts w:ascii="Arial" w:eastAsia="Times New Roman" w:hAnsi="Arial" w:cs="Arial"/>
          <w:snapToGrid w:val="0"/>
          <w:sz w:val="24"/>
          <w:szCs w:val="20"/>
        </w:rPr>
        <w:t>During the auditor</w:t>
      </w:r>
      <w:r w:rsidRPr="00882586">
        <w:rPr>
          <w:rFonts w:ascii="Arial" w:eastAsia="Times New Roman" w:hAnsi="Arial" w:cs="Arial"/>
          <w:snapToGrid w:val="0"/>
          <w:sz w:val="24"/>
          <w:szCs w:val="20"/>
        </w:rPr>
        <w:t>’s fieldwork</w:t>
      </w:r>
      <w:r w:rsidR="00733683">
        <w:rPr>
          <w:rFonts w:ascii="Arial" w:eastAsia="Times New Roman" w:hAnsi="Arial" w:cs="Arial"/>
          <w:snapToGrid w:val="0"/>
          <w:sz w:val="24"/>
          <w:szCs w:val="20"/>
        </w:rPr>
        <w:t xml:space="preserve"> in 2013</w:t>
      </w:r>
      <w:r w:rsidRPr="00882586">
        <w:rPr>
          <w:rFonts w:ascii="Arial" w:eastAsia="Times New Roman" w:hAnsi="Arial" w:cs="Arial"/>
          <w:snapToGrid w:val="0"/>
          <w:sz w:val="24"/>
          <w:szCs w:val="20"/>
        </w:rPr>
        <w:t>, management indicated that there were no administrative controls (i.e., system</w:t>
      </w:r>
      <w:r>
        <w:rPr>
          <w:rFonts w:ascii="Arial" w:eastAsia="Times New Roman" w:hAnsi="Arial" w:cs="Arial"/>
          <w:snapToGrid w:val="0"/>
          <w:sz w:val="24"/>
          <w:szCs w:val="20"/>
        </w:rPr>
        <w:t>s</w:t>
      </w:r>
      <w:r w:rsidRPr="00882586">
        <w:rPr>
          <w:rFonts w:ascii="Arial" w:eastAsia="Times New Roman" w:hAnsi="Arial" w:cs="Arial"/>
          <w:snapToGrid w:val="0"/>
          <w:sz w:val="24"/>
          <w:szCs w:val="20"/>
        </w:rPr>
        <w:t xml:space="preserve"> or processes) to control fuel disbursements and record on-site refueling of vehicles.  However, during </w:t>
      </w:r>
      <w:r>
        <w:rPr>
          <w:rFonts w:ascii="Arial" w:eastAsia="Times New Roman" w:hAnsi="Arial" w:cs="Arial"/>
          <w:snapToGrid w:val="0"/>
          <w:sz w:val="24"/>
          <w:szCs w:val="20"/>
        </w:rPr>
        <w:t xml:space="preserve">audit staff </w:t>
      </w:r>
      <w:r w:rsidRPr="00882586">
        <w:rPr>
          <w:rFonts w:ascii="Arial" w:eastAsia="Times New Roman" w:hAnsi="Arial" w:cs="Arial"/>
          <w:snapToGrid w:val="0"/>
          <w:sz w:val="24"/>
          <w:szCs w:val="20"/>
        </w:rPr>
        <w:t>field site visit</w:t>
      </w:r>
      <w:r>
        <w:rPr>
          <w:rFonts w:ascii="Arial" w:eastAsia="Times New Roman" w:hAnsi="Arial" w:cs="Arial"/>
          <w:snapToGrid w:val="0"/>
          <w:sz w:val="24"/>
          <w:szCs w:val="20"/>
        </w:rPr>
        <w:t>s</w:t>
      </w:r>
      <w:r w:rsidRPr="00882586">
        <w:rPr>
          <w:rFonts w:ascii="Arial" w:eastAsia="Times New Roman" w:hAnsi="Arial" w:cs="Arial"/>
          <w:snapToGrid w:val="0"/>
          <w:sz w:val="24"/>
          <w:szCs w:val="20"/>
        </w:rPr>
        <w:t xml:space="preserve"> to a repair facility in Reading, the fuel station was found to contain a fuel management system which was disabled after the GPU merger with FirstEnergy in 2001.  While Met</w:t>
      </w:r>
      <w:r w:rsidR="004C42C8">
        <w:rPr>
          <w:rFonts w:ascii="Arial" w:eastAsia="Times New Roman" w:hAnsi="Arial" w:cs="Arial"/>
          <w:snapToGrid w:val="0"/>
          <w:sz w:val="24"/>
          <w:szCs w:val="20"/>
        </w:rPr>
        <w:noBreakHyphen/>
      </w:r>
      <w:r w:rsidRPr="00882586">
        <w:rPr>
          <w:rFonts w:ascii="Arial" w:eastAsia="Times New Roman" w:hAnsi="Arial" w:cs="Arial"/>
          <w:snapToGrid w:val="0"/>
          <w:sz w:val="24"/>
          <w:szCs w:val="20"/>
        </w:rPr>
        <w:t xml:space="preserve">Ed and Penelec disabled their fuel management systems, West Penn Power and Penn Power did not have fuel management system capabilities or a process to control fuel disbursements and record individual vehicle refueling.  Thus, the </w:t>
      </w:r>
      <w:r w:rsidR="00DC3D9B">
        <w:rPr>
          <w:rFonts w:ascii="Arial" w:eastAsia="Times New Roman" w:hAnsi="Arial" w:cs="Arial"/>
          <w:snapToGrid w:val="0"/>
          <w:sz w:val="24"/>
          <w:szCs w:val="20"/>
        </w:rPr>
        <w:t>FE-PA companies</w:t>
      </w:r>
      <w:r w:rsidRPr="00882586">
        <w:rPr>
          <w:rFonts w:ascii="Arial" w:eastAsia="Times New Roman" w:hAnsi="Arial" w:cs="Arial"/>
          <w:snapToGrid w:val="0"/>
          <w:sz w:val="24"/>
          <w:szCs w:val="20"/>
        </w:rPr>
        <w:t xml:space="preserve"> did not track fuel usage by vehicle from any of the on-site fueling stations.  In 2012, the </w:t>
      </w:r>
      <w:r w:rsidR="00DC3D9B">
        <w:rPr>
          <w:rFonts w:ascii="Arial" w:eastAsia="Times New Roman" w:hAnsi="Arial" w:cs="Arial"/>
          <w:snapToGrid w:val="0"/>
          <w:sz w:val="24"/>
          <w:szCs w:val="20"/>
        </w:rPr>
        <w:t>FE-PA companies</w:t>
      </w:r>
      <w:r w:rsidRPr="00882586">
        <w:rPr>
          <w:rFonts w:ascii="Arial" w:eastAsia="Times New Roman" w:hAnsi="Arial" w:cs="Arial"/>
          <w:snapToGrid w:val="0"/>
          <w:sz w:val="24"/>
          <w:szCs w:val="20"/>
        </w:rPr>
        <w:t xml:space="preserve"> used over 1.49 million gallons of diesel fuel and over 698,000 gallons of gasoline at a total cost of just over $10 million.  The practices used for refueling vehicles allowed for theft and </w:t>
      </w:r>
      <w:r w:rsidR="005B3900">
        <w:rPr>
          <w:rFonts w:ascii="Arial" w:eastAsia="Times New Roman" w:hAnsi="Arial" w:cs="Arial"/>
          <w:snapToGrid w:val="0"/>
          <w:sz w:val="24"/>
          <w:szCs w:val="20"/>
        </w:rPr>
        <w:t>prevented</w:t>
      </w:r>
      <w:r w:rsidR="005B3900" w:rsidRPr="00882586">
        <w:rPr>
          <w:rFonts w:ascii="Arial" w:eastAsia="Times New Roman" w:hAnsi="Arial" w:cs="Arial"/>
          <w:snapToGrid w:val="0"/>
          <w:sz w:val="24"/>
          <w:szCs w:val="20"/>
        </w:rPr>
        <w:t xml:space="preserve"> </w:t>
      </w:r>
      <w:r w:rsidRPr="00882586">
        <w:rPr>
          <w:rFonts w:ascii="Arial" w:eastAsia="Times New Roman" w:hAnsi="Arial" w:cs="Arial"/>
          <w:snapToGrid w:val="0"/>
          <w:sz w:val="24"/>
          <w:szCs w:val="20"/>
        </w:rPr>
        <w:t xml:space="preserve">the </w:t>
      </w:r>
      <w:r w:rsidR="00DC3D9B">
        <w:rPr>
          <w:rFonts w:ascii="Arial" w:eastAsia="Times New Roman" w:hAnsi="Arial" w:cs="Arial"/>
          <w:snapToGrid w:val="0"/>
          <w:sz w:val="24"/>
          <w:szCs w:val="20"/>
        </w:rPr>
        <w:t>companies</w:t>
      </w:r>
      <w:r w:rsidRPr="00882586">
        <w:rPr>
          <w:rFonts w:ascii="Arial" w:eastAsia="Times New Roman" w:hAnsi="Arial" w:cs="Arial"/>
          <w:snapToGrid w:val="0"/>
          <w:sz w:val="24"/>
          <w:szCs w:val="20"/>
        </w:rPr>
        <w:t xml:space="preserve"> from regularly tracking fuel us</w:t>
      </w:r>
      <w:r>
        <w:rPr>
          <w:rFonts w:ascii="Arial" w:eastAsia="Times New Roman" w:hAnsi="Arial" w:cs="Arial"/>
          <w:snapToGrid w:val="0"/>
          <w:sz w:val="24"/>
          <w:szCs w:val="20"/>
        </w:rPr>
        <w:t>ag</w:t>
      </w:r>
      <w:r w:rsidRPr="00882586">
        <w:rPr>
          <w:rFonts w:ascii="Arial" w:eastAsia="Times New Roman" w:hAnsi="Arial" w:cs="Arial"/>
          <w:snapToGrid w:val="0"/>
          <w:sz w:val="24"/>
          <w:szCs w:val="20"/>
        </w:rPr>
        <w:t xml:space="preserve">e by individual vehicle.  Fuel usage could only be tracked via bulk fuel delivery shipment to the individual on-site fueling stations.  </w:t>
      </w:r>
    </w:p>
    <w:p w14:paraId="3F364255" w14:textId="77777777" w:rsidR="00A359F2" w:rsidRDefault="00A359F2" w:rsidP="00A359F2">
      <w:pPr>
        <w:spacing w:after="0" w:line="20" w:lineRule="atLeast"/>
        <w:contextualSpacing/>
        <w:rPr>
          <w:rFonts w:ascii="Arial" w:eastAsia="Times New Roman" w:hAnsi="Arial" w:cs="Arial"/>
          <w:snapToGrid w:val="0"/>
          <w:sz w:val="24"/>
          <w:szCs w:val="20"/>
        </w:rPr>
      </w:pPr>
    </w:p>
    <w:p w14:paraId="1F9B8C4D" w14:textId="77777777" w:rsidR="00A359F2" w:rsidRDefault="00A359F2" w:rsidP="00A359F2">
      <w:pPr>
        <w:spacing w:after="0" w:line="20" w:lineRule="atLeast"/>
        <w:jc w:val="both"/>
        <w:rPr>
          <w:rFonts w:ascii="Arial" w:eastAsia="Times New Roman" w:hAnsi="Arial" w:cs="Arial"/>
          <w:b/>
          <w:snapToGrid w:val="0"/>
          <w:sz w:val="24"/>
          <w:szCs w:val="20"/>
        </w:rPr>
      </w:pPr>
      <w:r w:rsidRPr="004D579B">
        <w:rPr>
          <w:rFonts w:ascii="Arial" w:eastAsia="Times New Roman" w:hAnsi="Arial" w:cs="Arial"/>
          <w:b/>
          <w:snapToGrid w:val="0"/>
          <w:sz w:val="24"/>
          <w:szCs w:val="20"/>
          <w:u w:val="single"/>
        </w:rPr>
        <w:t>Prior Recommendation</w:t>
      </w:r>
      <w:r w:rsidRPr="004D579B">
        <w:rPr>
          <w:rFonts w:ascii="Arial" w:eastAsia="Times New Roman" w:hAnsi="Arial" w:cs="Arial"/>
          <w:snapToGrid w:val="0"/>
          <w:sz w:val="24"/>
          <w:szCs w:val="20"/>
        </w:rPr>
        <w:t xml:space="preserve"> </w:t>
      </w:r>
      <w:r w:rsidRPr="00A67D31">
        <w:rPr>
          <w:rFonts w:ascii="Arial" w:eastAsia="Times New Roman" w:hAnsi="Arial" w:cs="Times New Roman"/>
          <w:sz w:val="24"/>
          <w:szCs w:val="24"/>
        </w:rPr>
        <w:t>–</w:t>
      </w:r>
      <w:r>
        <w:rPr>
          <w:rFonts w:ascii="Arial" w:eastAsia="Times New Roman" w:hAnsi="Arial" w:cs="Times New Roman"/>
          <w:sz w:val="24"/>
          <w:szCs w:val="24"/>
        </w:rPr>
        <w:t xml:space="preserve"> </w:t>
      </w:r>
      <w:r w:rsidRPr="00EC4904">
        <w:rPr>
          <w:rFonts w:ascii="Arial" w:eastAsia="Times New Roman" w:hAnsi="Arial" w:cs="Arial"/>
          <w:snapToGrid w:val="0"/>
          <w:sz w:val="24"/>
          <w:szCs w:val="20"/>
        </w:rPr>
        <w:t>Install adequate mechanisms/controls at fueling stations to control fuel disbursements and track fuel usage by vehicle.</w:t>
      </w:r>
    </w:p>
    <w:p w14:paraId="2D621C26" w14:textId="77777777" w:rsidR="00A359F2" w:rsidRPr="00326F1F" w:rsidRDefault="00A359F2" w:rsidP="00A359F2">
      <w:pPr>
        <w:spacing w:after="0" w:line="20" w:lineRule="atLeast"/>
        <w:contextualSpacing/>
        <w:rPr>
          <w:rFonts w:ascii="Arial" w:eastAsia="Times New Roman" w:hAnsi="Arial" w:cs="Arial"/>
          <w:snapToGrid w:val="0"/>
          <w:sz w:val="24"/>
          <w:szCs w:val="20"/>
        </w:rPr>
      </w:pPr>
    </w:p>
    <w:p w14:paraId="27DE9DCC" w14:textId="77777777" w:rsidR="00A359F2" w:rsidRPr="00882586" w:rsidRDefault="00A359F2" w:rsidP="00A359F2">
      <w:pPr>
        <w:spacing w:after="0" w:line="20" w:lineRule="atLeast"/>
        <w:rPr>
          <w:rFonts w:ascii="Arial" w:eastAsia="Times New Roman" w:hAnsi="Arial" w:cs="Arial"/>
          <w:b/>
          <w:snapToGrid w:val="0"/>
          <w:sz w:val="24"/>
          <w:szCs w:val="20"/>
        </w:rPr>
      </w:pPr>
      <w:r w:rsidRPr="00B146D6">
        <w:rPr>
          <w:rFonts w:ascii="Arial" w:eastAsia="Times New Roman" w:hAnsi="Arial" w:cs="Times New Roman"/>
          <w:b/>
          <w:sz w:val="24"/>
          <w:szCs w:val="24"/>
          <w:u w:val="single"/>
        </w:rPr>
        <w:t>Follow-</w:t>
      </w:r>
      <w:r>
        <w:rPr>
          <w:rFonts w:ascii="Arial" w:eastAsia="Times New Roman" w:hAnsi="Arial" w:cs="Times New Roman"/>
          <w:b/>
          <w:sz w:val="24"/>
          <w:szCs w:val="24"/>
          <w:u w:val="single"/>
        </w:rPr>
        <w:t>up Finding and Conclusion</w:t>
      </w:r>
      <w:r w:rsidR="00F65A25" w:rsidRPr="00F65A25">
        <w:rPr>
          <w:rFonts w:ascii="Arial" w:eastAsia="Times New Roman" w:hAnsi="Arial" w:cs="Times New Roman"/>
          <w:b/>
          <w:sz w:val="24"/>
          <w:szCs w:val="24"/>
          <w:u w:val="single"/>
        </w:rPr>
        <w:t xml:space="preserve"> </w:t>
      </w:r>
      <w:r w:rsidR="00F65A25" w:rsidRPr="00C93C49">
        <w:rPr>
          <w:rFonts w:ascii="Arial" w:eastAsia="Times New Roman" w:hAnsi="Arial" w:cs="Times New Roman"/>
          <w:b/>
          <w:sz w:val="24"/>
          <w:szCs w:val="24"/>
          <w:u w:val="single"/>
        </w:rPr>
        <w:t>No. X</w:t>
      </w:r>
      <w:r w:rsidR="00F65A25">
        <w:rPr>
          <w:rFonts w:ascii="Arial" w:eastAsia="Times New Roman" w:hAnsi="Arial" w:cs="Times New Roman"/>
          <w:b/>
          <w:sz w:val="24"/>
          <w:szCs w:val="24"/>
          <w:u w:val="single"/>
        </w:rPr>
        <w:t>II</w:t>
      </w:r>
      <w:r w:rsidR="00F65A25" w:rsidRPr="00C93C49">
        <w:rPr>
          <w:rFonts w:ascii="Arial" w:eastAsia="Times New Roman" w:hAnsi="Arial" w:cs="Times New Roman"/>
          <w:b/>
          <w:sz w:val="24"/>
          <w:szCs w:val="24"/>
          <w:u w:val="single"/>
        </w:rPr>
        <w:t>-</w:t>
      </w:r>
      <w:r w:rsidR="00F65A25">
        <w:rPr>
          <w:rFonts w:ascii="Arial" w:eastAsia="Times New Roman" w:hAnsi="Arial" w:cs="Times New Roman"/>
          <w:b/>
          <w:sz w:val="24"/>
          <w:szCs w:val="24"/>
          <w:u w:val="single"/>
        </w:rPr>
        <w:t>2</w:t>
      </w:r>
      <w:r w:rsidRPr="00A67D31">
        <w:rPr>
          <w:rFonts w:ascii="Arial" w:eastAsia="Times New Roman" w:hAnsi="Arial" w:cs="Times New Roman"/>
          <w:b/>
          <w:sz w:val="24"/>
          <w:szCs w:val="24"/>
        </w:rPr>
        <w:t xml:space="preserve"> – </w:t>
      </w:r>
      <w:r w:rsidRPr="00882586">
        <w:rPr>
          <w:rFonts w:ascii="Arial" w:eastAsia="Times New Roman" w:hAnsi="Arial" w:cs="Arial"/>
          <w:b/>
          <w:snapToGrid w:val="0"/>
          <w:sz w:val="24"/>
          <w:szCs w:val="20"/>
        </w:rPr>
        <w:t xml:space="preserve">The </w:t>
      </w:r>
      <w:r w:rsidR="00DC3D9B">
        <w:rPr>
          <w:rFonts w:ascii="Arial" w:eastAsia="Times New Roman" w:hAnsi="Arial" w:cs="Arial"/>
          <w:b/>
          <w:snapToGrid w:val="0"/>
          <w:sz w:val="24"/>
          <w:szCs w:val="20"/>
        </w:rPr>
        <w:t>FE-PA companies</w:t>
      </w:r>
      <w:r w:rsidRPr="00882586">
        <w:rPr>
          <w:rFonts w:ascii="Arial" w:eastAsia="Times New Roman" w:hAnsi="Arial" w:cs="Arial"/>
          <w:b/>
          <w:snapToGrid w:val="0"/>
          <w:sz w:val="24"/>
          <w:szCs w:val="20"/>
        </w:rPr>
        <w:t xml:space="preserve"> were unable to </w:t>
      </w:r>
      <w:r>
        <w:rPr>
          <w:rFonts w:ascii="Arial" w:eastAsia="Times New Roman" w:hAnsi="Arial" w:cs="Arial"/>
          <w:b/>
          <w:snapToGrid w:val="0"/>
          <w:sz w:val="24"/>
          <w:szCs w:val="20"/>
        </w:rPr>
        <w:t xml:space="preserve">substantiate their decision-making process to not </w:t>
      </w:r>
      <w:r w:rsidRPr="00882586">
        <w:rPr>
          <w:rFonts w:ascii="Arial" w:eastAsia="Times New Roman" w:hAnsi="Arial" w:cs="Arial"/>
          <w:b/>
          <w:snapToGrid w:val="0"/>
          <w:sz w:val="24"/>
          <w:szCs w:val="20"/>
        </w:rPr>
        <w:t xml:space="preserve">implement </w:t>
      </w:r>
      <w:r>
        <w:rPr>
          <w:rFonts w:ascii="Arial" w:eastAsia="Times New Roman" w:hAnsi="Arial" w:cs="Arial"/>
          <w:b/>
          <w:snapToGrid w:val="0"/>
          <w:sz w:val="24"/>
          <w:szCs w:val="20"/>
        </w:rPr>
        <w:t>fuel disbursement</w:t>
      </w:r>
      <w:r w:rsidRPr="00882586">
        <w:rPr>
          <w:rFonts w:ascii="Arial" w:eastAsia="Times New Roman" w:hAnsi="Arial" w:cs="Arial"/>
          <w:b/>
          <w:snapToGrid w:val="0"/>
          <w:sz w:val="24"/>
          <w:szCs w:val="20"/>
        </w:rPr>
        <w:t xml:space="preserve"> mechanisms/controls at </w:t>
      </w:r>
      <w:r>
        <w:rPr>
          <w:rFonts w:ascii="Arial" w:eastAsia="Times New Roman" w:hAnsi="Arial" w:cs="Arial"/>
          <w:b/>
          <w:snapToGrid w:val="0"/>
          <w:sz w:val="24"/>
          <w:szCs w:val="20"/>
        </w:rPr>
        <w:t xml:space="preserve">its on-site </w:t>
      </w:r>
      <w:r w:rsidRPr="00882586">
        <w:rPr>
          <w:rFonts w:ascii="Arial" w:eastAsia="Times New Roman" w:hAnsi="Arial" w:cs="Arial"/>
          <w:b/>
          <w:snapToGrid w:val="0"/>
          <w:sz w:val="24"/>
          <w:szCs w:val="20"/>
        </w:rPr>
        <w:t>fueling stations.</w:t>
      </w:r>
    </w:p>
    <w:p w14:paraId="2258533C" w14:textId="77777777" w:rsidR="00A359F2" w:rsidRDefault="00A359F2" w:rsidP="00A359F2">
      <w:pPr>
        <w:spacing w:after="0" w:line="20" w:lineRule="atLeast"/>
        <w:rPr>
          <w:rFonts w:ascii="Arial" w:eastAsia="Times New Roman" w:hAnsi="Arial" w:cs="Arial"/>
          <w:b/>
          <w:snapToGrid w:val="0"/>
          <w:sz w:val="24"/>
          <w:szCs w:val="20"/>
          <w:u w:val="single"/>
        </w:rPr>
      </w:pPr>
    </w:p>
    <w:p w14:paraId="317DDA26" w14:textId="77777777" w:rsidR="00A359F2" w:rsidRPr="00882586" w:rsidRDefault="00A359F2" w:rsidP="00A359F2">
      <w:pPr>
        <w:widowControl w:val="0"/>
        <w:spacing w:after="0" w:line="20" w:lineRule="atLeast"/>
        <w:rPr>
          <w:rFonts w:ascii="Arial" w:eastAsia="Times New Roman" w:hAnsi="Arial" w:cs="Arial"/>
          <w:snapToGrid w:val="0"/>
          <w:sz w:val="24"/>
          <w:szCs w:val="24"/>
        </w:rPr>
      </w:pPr>
      <w:r w:rsidRPr="000644B8">
        <w:rPr>
          <w:rFonts w:ascii="Arial" w:hAnsi="Arial" w:cs="Arial"/>
          <w:b/>
          <w:szCs w:val="24"/>
          <w:u w:val="single"/>
        </w:rPr>
        <w:t>Current Review</w:t>
      </w:r>
      <w:r w:rsidRPr="000644B8">
        <w:rPr>
          <w:rFonts w:ascii="Arial" w:hAnsi="Arial" w:cs="Arial"/>
          <w:szCs w:val="24"/>
        </w:rPr>
        <w:t xml:space="preserve"> – </w:t>
      </w:r>
      <w:r w:rsidRPr="00882586">
        <w:rPr>
          <w:rFonts w:ascii="Arial" w:eastAsia="Times New Roman" w:hAnsi="Arial" w:cs="Arial"/>
          <w:snapToGrid w:val="0"/>
          <w:sz w:val="24"/>
          <w:szCs w:val="20"/>
        </w:rPr>
        <w:t xml:space="preserve">The </w:t>
      </w:r>
      <w:r w:rsidR="00DC3D9B">
        <w:rPr>
          <w:rFonts w:ascii="Arial" w:eastAsia="Times New Roman" w:hAnsi="Arial" w:cs="Arial"/>
          <w:snapToGrid w:val="0"/>
          <w:sz w:val="24"/>
          <w:szCs w:val="20"/>
        </w:rPr>
        <w:t>FE-PA companies</w:t>
      </w:r>
      <w:r w:rsidRPr="00882586">
        <w:rPr>
          <w:rFonts w:ascii="Arial" w:eastAsia="Times New Roman" w:hAnsi="Arial" w:cs="Arial"/>
          <w:snapToGrid w:val="0"/>
          <w:sz w:val="24"/>
          <w:szCs w:val="20"/>
        </w:rPr>
        <w:t xml:space="preserve"> obtained quotes for fueling station controls in June 2015.</w:t>
      </w:r>
      <w:r w:rsidRPr="00882586">
        <w:rPr>
          <w:rFonts w:ascii="Arial" w:eastAsia="Times New Roman" w:hAnsi="Arial" w:cs="Arial"/>
          <w:snapToGrid w:val="0"/>
          <w:sz w:val="24"/>
          <w:szCs w:val="24"/>
        </w:rPr>
        <w:t xml:space="preserve"> Vendor bids for fueling station controls ranged from $643,000 to $892,000.  This included equipment, software, maintenance, and installation costs.</w:t>
      </w:r>
      <w:r>
        <w:rPr>
          <w:rFonts w:ascii="Arial" w:eastAsia="Times New Roman" w:hAnsi="Arial" w:cs="Arial"/>
          <w:snapToGrid w:val="0"/>
          <w:sz w:val="24"/>
          <w:szCs w:val="24"/>
        </w:rPr>
        <w:t xml:space="preserve">  </w:t>
      </w:r>
      <w:r w:rsidRPr="00882586">
        <w:rPr>
          <w:rFonts w:ascii="Arial" w:eastAsia="Times New Roman" w:hAnsi="Arial" w:cs="Arial"/>
          <w:snapToGrid w:val="0"/>
          <w:sz w:val="24"/>
          <w:szCs w:val="20"/>
        </w:rPr>
        <w:t xml:space="preserve">The </w:t>
      </w:r>
      <w:r w:rsidR="00DC3D9B">
        <w:rPr>
          <w:rFonts w:ascii="Arial" w:eastAsia="Times New Roman" w:hAnsi="Arial" w:cs="Arial"/>
          <w:snapToGrid w:val="0"/>
          <w:sz w:val="24"/>
          <w:szCs w:val="20"/>
        </w:rPr>
        <w:t>companies</w:t>
      </w:r>
      <w:r w:rsidRPr="00882586">
        <w:rPr>
          <w:rFonts w:ascii="Arial" w:eastAsia="Times New Roman" w:hAnsi="Arial" w:cs="Arial"/>
          <w:snapToGrid w:val="0"/>
          <w:sz w:val="24"/>
          <w:szCs w:val="20"/>
        </w:rPr>
        <w:t xml:space="preserve"> indicated that they </w:t>
      </w:r>
      <w:r w:rsidRPr="00882586">
        <w:rPr>
          <w:rFonts w:ascii="Arial" w:eastAsia="Times New Roman" w:hAnsi="Arial" w:cs="Arial"/>
          <w:snapToGrid w:val="0"/>
          <w:sz w:val="24"/>
          <w:szCs w:val="24"/>
        </w:rPr>
        <w:t>evaluated the implementation of fueling station controls later in 2015</w:t>
      </w:r>
      <w:r w:rsidRPr="00882586">
        <w:rPr>
          <w:rFonts w:ascii="Arial" w:eastAsia="Times New Roman" w:hAnsi="Arial" w:cs="Arial"/>
          <w:snapToGrid w:val="0"/>
          <w:sz w:val="24"/>
          <w:szCs w:val="20"/>
        </w:rPr>
        <w:t xml:space="preserve"> and decided not to install such controls after determining that the costs of installing fueling station controls were prohibitive when compared to the savings offered. </w:t>
      </w:r>
      <w:r>
        <w:rPr>
          <w:rFonts w:ascii="Arial" w:eastAsia="Times New Roman" w:hAnsi="Arial" w:cs="Arial"/>
          <w:snapToGrid w:val="0"/>
          <w:sz w:val="24"/>
          <w:szCs w:val="20"/>
        </w:rPr>
        <w:t xml:space="preserve">However, when asked to provide the </w:t>
      </w:r>
      <w:r w:rsidR="005B3900">
        <w:rPr>
          <w:rFonts w:ascii="Arial" w:eastAsia="Times New Roman" w:hAnsi="Arial" w:cs="Arial"/>
          <w:snapToGrid w:val="0"/>
          <w:sz w:val="24"/>
          <w:szCs w:val="20"/>
        </w:rPr>
        <w:t xml:space="preserve">documentation </w:t>
      </w:r>
      <w:r>
        <w:rPr>
          <w:rFonts w:ascii="Arial" w:eastAsia="Times New Roman" w:hAnsi="Arial" w:cs="Arial"/>
          <w:snapToGrid w:val="0"/>
          <w:sz w:val="24"/>
          <w:szCs w:val="20"/>
        </w:rPr>
        <w:t xml:space="preserve">for the related costs and savings, the </w:t>
      </w:r>
      <w:r w:rsidR="00DC3D9B">
        <w:rPr>
          <w:rFonts w:ascii="Arial" w:eastAsia="Times New Roman" w:hAnsi="Arial" w:cs="Arial"/>
          <w:snapToGrid w:val="0"/>
          <w:sz w:val="24"/>
          <w:szCs w:val="20"/>
        </w:rPr>
        <w:t>FE-PA companies</w:t>
      </w:r>
      <w:r>
        <w:rPr>
          <w:rFonts w:ascii="Arial" w:eastAsia="Times New Roman" w:hAnsi="Arial" w:cs="Arial"/>
          <w:snapToGrid w:val="0"/>
          <w:sz w:val="24"/>
          <w:szCs w:val="20"/>
        </w:rPr>
        <w:t xml:space="preserve"> were unable to provide this information. </w:t>
      </w:r>
      <w:r w:rsidRPr="00882586">
        <w:rPr>
          <w:rFonts w:ascii="Arial" w:eastAsia="Times New Roman" w:hAnsi="Arial" w:cs="Arial"/>
          <w:snapToGrid w:val="0"/>
          <w:sz w:val="24"/>
          <w:szCs w:val="20"/>
        </w:rPr>
        <w:t xml:space="preserve"> In addition, an outside consultant, </w:t>
      </w:r>
      <w:r>
        <w:rPr>
          <w:rFonts w:ascii="Arial" w:eastAsia="Times New Roman" w:hAnsi="Arial" w:cs="Arial"/>
          <w:snapToGrid w:val="0"/>
          <w:sz w:val="24"/>
          <w:szCs w:val="20"/>
        </w:rPr>
        <w:t xml:space="preserve">hired by FirstEnergy to help identify cash flow improvements, </w:t>
      </w:r>
      <w:r w:rsidRPr="00882586">
        <w:rPr>
          <w:rFonts w:ascii="Arial" w:eastAsia="Times New Roman" w:hAnsi="Arial" w:cs="Arial"/>
          <w:snapToGrid w:val="0"/>
          <w:sz w:val="24"/>
          <w:szCs w:val="20"/>
        </w:rPr>
        <w:t xml:space="preserve">also concluded that the costs for installing fueling station controls was not justified and ultimately did not result in enough savings to be gained.  Based on these claims, the </w:t>
      </w:r>
      <w:r w:rsidR="00DC3D9B">
        <w:rPr>
          <w:rFonts w:ascii="Arial" w:eastAsia="Times New Roman" w:hAnsi="Arial" w:cs="Arial"/>
          <w:snapToGrid w:val="0"/>
          <w:sz w:val="24"/>
          <w:szCs w:val="20"/>
        </w:rPr>
        <w:t>FE-PA companies</w:t>
      </w:r>
      <w:r w:rsidRPr="00882586">
        <w:rPr>
          <w:rFonts w:ascii="Arial" w:eastAsia="Times New Roman" w:hAnsi="Arial" w:cs="Arial"/>
          <w:snapToGrid w:val="0"/>
          <w:sz w:val="24"/>
          <w:szCs w:val="20"/>
        </w:rPr>
        <w:t xml:space="preserve"> decided not to pursue the installation of fueling station controls</w:t>
      </w:r>
      <w:r w:rsidRPr="00882586">
        <w:rPr>
          <w:rFonts w:ascii="Arial" w:eastAsia="Times New Roman" w:hAnsi="Arial" w:cs="Arial"/>
          <w:snapToGrid w:val="0"/>
          <w:sz w:val="24"/>
          <w:szCs w:val="24"/>
        </w:rPr>
        <w:t xml:space="preserve">.  Upon further questioning, the </w:t>
      </w:r>
      <w:r w:rsidR="00DC3D9B">
        <w:rPr>
          <w:rFonts w:ascii="Arial" w:eastAsia="Times New Roman" w:hAnsi="Arial" w:cs="Arial"/>
          <w:snapToGrid w:val="0"/>
          <w:sz w:val="24"/>
          <w:szCs w:val="24"/>
        </w:rPr>
        <w:t>FE-PA companies</w:t>
      </w:r>
      <w:r w:rsidRPr="00882586">
        <w:rPr>
          <w:rFonts w:ascii="Arial" w:eastAsia="Times New Roman" w:hAnsi="Arial" w:cs="Arial"/>
          <w:snapToGrid w:val="0"/>
          <w:sz w:val="24"/>
          <w:szCs w:val="24"/>
        </w:rPr>
        <w:t xml:space="preserve"> indicated that a direct cost/benefit analysis was not completed.</w:t>
      </w:r>
    </w:p>
    <w:p w14:paraId="4426A3DE" w14:textId="77777777" w:rsidR="00A359F2" w:rsidRDefault="00A359F2" w:rsidP="00A359F2">
      <w:pPr>
        <w:widowControl w:val="0"/>
        <w:spacing w:after="0" w:line="20" w:lineRule="atLeast"/>
        <w:contextualSpacing/>
        <w:rPr>
          <w:rFonts w:ascii="Arial" w:eastAsia="Times New Roman" w:hAnsi="Arial" w:cs="Arial"/>
          <w:snapToGrid w:val="0"/>
          <w:sz w:val="24"/>
          <w:szCs w:val="20"/>
        </w:rPr>
      </w:pPr>
    </w:p>
    <w:p w14:paraId="1969611B" w14:textId="77777777" w:rsidR="00A359F2" w:rsidRPr="00882586" w:rsidRDefault="00A359F2" w:rsidP="00A359F2">
      <w:pPr>
        <w:widowControl w:val="0"/>
        <w:spacing w:after="0" w:line="20" w:lineRule="atLeast"/>
        <w:ind w:firstLine="720"/>
        <w:contextualSpacing/>
        <w:rPr>
          <w:rFonts w:ascii="Arial" w:eastAsia="Times New Roman" w:hAnsi="Arial" w:cs="Arial"/>
          <w:sz w:val="24"/>
          <w:szCs w:val="24"/>
        </w:rPr>
      </w:pPr>
      <w:r w:rsidRPr="00882586">
        <w:rPr>
          <w:rFonts w:ascii="Arial" w:eastAsia="Times New Roman" w:hAnsi="Arial" w:cs="Arial"/>
          <w:snapToGrid w:val="0"/>
          <w:sz w:val="24"/>
          <w:szCs w:val="20"/>
        </w:rPr>
        <w:t>Establishing vehicle refueling controls and tracking fuel usage by individual vehicle is considered good business practice and would not only provide security against theft but would also enable management to further gauge the operating effectiveness of individual vehicles and the overall fleet.</w:t>
      </w:r>
      <w:r w:rsidRPr="00882586">
        <w:rPr>
          <w:rFonts w:ascii="Arial" w:eastAsia="Times New Roman" w:hAnsi="Arial" w:cs="Arial"/>
          <w:snapToGrid w:val="0"/>
          <w:sz w:val="24"/>
          <w:szCs w:val="24"/>
        </w:rPr>
        <w:t xml:space="preserve">  However, fueling station controls should only be implemented when the benefits exceed the costs of installation.  Although the </w:t>
      </w:r>
      <w:r w:rsidR="00DC3D9B">
        <w:rPr>
          <w:rFonts w:ascii="Arial" w:eastAsia="Times New Roman" w:hAnsi="Arial" w:cs="Arial"/>
          <w:snapToGrid w:val="0"/>
          <w:sz w:val="24"/>
          <w:szCs w:val="24"/>
        </w:rPr>
        <w:t>FE-PA companies</w:t>
      </w:r>
      <w:r w:rsidRPr="00882586">
        <w:rPr>
          <w:rFonts w:ascii="Arial" w:eastAsia="Times New Roman" w:hAnsi="Arial" w:cs="Arial"/>
          <w:snapToGrid w:val="0"/>
          <w:sz w:val="24"/>
          <w:szCs w:val="24"/>
        </w:rPr>
        <w:t xml:space="preserve"> indicated that they evaluated the implementation of fueling station controls, and concluded that installation was not cost </w:t>
      </w:r>
      <w:r w:rsidR="005B3900">
        <w:rPr>
          <w:rFonts w:ascii="Arial" w:eastAsia="Times New Roman" w:hAnsi="Arial" w:cs="Arial"/>
          <w:snapToGrid w:val="0"/>
          <w:sz w:val="24"/>
          <w:szCs w:val="24"/>
        </w:rPr>
        <w:t>effective</w:t>
      </w:r>
      <w:r w:rsidRPr="00882586">
        <w:rPr>
          <w:rFonts w:ascii="Arial" w:eastAsia="Times New Roman" w:hAnsi="Arial" w:cs="Arial"/>
          <w:snapToGrid w:val="0"/>
          <w:sz w:val="24"/>
          <w:szCs w:val="24"/>
        </w:rPr>
        <w:t>, they were unable to provide a cost/benefit analysis</w:t>
      </w:r>
      <w:r>
        <w:rPr>
          <w:rFonts w:ascii="Arial" w:eastAsia="Times New Roman" w:hAnsi="Arial" w:cs="Arial"/>
          <w:snapToGrid w:val="0"/>
          <w:sz w:val="24"/>
          <w:szCs w:val="24"/>
        </w:rPr>
        <w:t xml:space="preserve"> </w:t>
      </w:r>
      <w:r w:rsidR="005B3900">
        <w:rPr>
          <w:rFonts w:ascii="Arial" w:eastAsia="Times New Roman" w:hAnsi="Arial" w:cs="Arial"/>
          <w:snapToGrid w:val="0"/>
          <w:sz w:val="24"/>
          <w:szCs w:val="24"/>
        </w:rPr>
        <w:t xml:space="preserve">to </w:t>
      </w:r>
      <w:r>
        <w:rPr>
          <w:rFonts w:ascii="Arial" w:eastAsia="Times New Roman" w:hAnsi="Arial" w:cs="Arial"/>
          <w:snapToGrid w:val="0"/>
          <w:sz w:val="24"/>
          <w:szCs w:val="24"/>
        </w:rPr>
        <w:t xml:space="preserve">support their conclusion.  </w:t>
      </w:r>
      <w:r w:rsidRPr="00882586">
        <w:rPr>
          <w:rFonts w:ascii="Arial" w:eastAsia="Times New Roman" w:hAnsi="Arial" w:cs="Arial"/>
          <w:sz w:val="24"/>
          <w:szCs w:val="24"/>
        </w:rPr>
        <w:t xml:space="preserve">In 2017, the </w:t>
      </w:r>
      <w:r w:rsidR="00DC3D9B">
        <w:rPr>
          <w:rFonts w:ascii="Arial" w:eastAsia="Times New Roman" w:hAnsi="Arial" w:cs="Arial"/>
          <w:sz w:val="24"/>
          <w:szCs w:val="24"/>
        </w:rPr>
        <w:t>FE</w:t>
      </w:r>
      <w:r w:rsidR="00CC6645">
        <w:rPr>
          <w:rFonts w:ascii="Arial" w:eastAsia="Times New Roman" w:hAnsi="Arial" w:cs="Arial"/>
          <w:sz w:val="24"/>
          <w:szCs w:val="24"/>
        </w:rPr>
        <w:noBreakHyphen/>
      </w:r>
      <w:r w:rsidR="00DC3D9B">
        <w:rPr>
          <w:rFonts w:ascii="Arial" w:eastAsia="Times New Roman" w:hAnsi="Arial" w:cs="Arial"/>
          <w:sz w:val="24"/>
          <w:szCs w:val="24"/>
        </w:rPr>
        <w:t>PA companies</w:t>
      </w:r>
      <w:r w:rsidRPr="00882586">
        <w:rPr>
          <w:rFonts w:ascii="Arial" w:eastAsia="Times New Roman" w:hAnsi="Arial" w:cs="Arial"/>
          <w:sz w:val="24"/>
          <w:szCs w:val="24"/>
        </w:rPr>
        <w:t xml:space="preserve"> used approximately 577,000 gallons of gasoline and 1.39 million gallons of diesel fuel at a total cost of approximately $5.4 million.</w:t>
      </w:r>
    </w:p>
    <w:p w14:paraId="7ABEFA09" w14:textId="77777777" w:rsidR="00A359F2" w:rsidRDefault="00A359F2" w:rsidP="00A359F2">
      <w:pPr>
        <w:spacing w:after="0" w:line="20" w:lineRule="atLeast"/>
        <w:jc w:val="both"/>
        <w:rPr>
          <w:rFonts w:ascii="Arial" w:eastAsia="Times New Roman" w:hAnsi="Arial" w:cs="Arial"/>
          <w:b/>
          <w:snapToGrid w:val="0"/>
          <w:sz w:val="24"/>
          <w:szCs w:val="20"/>
          <w:u w:val="single"/>
        </w:rPr>
      </w:pPr>
    </w:p>
    <w:p w14:paraId="0B8B1213" w14:textId="77777777" w:rsidR="00A359F2" w:rsidRDefault="00A359F2" w:rsidP="00A359F2">
      <w:pPr>
        <w:spacing w:after="0" w:line="20" w:lineRule="atLeast"/>
        <w:rPr>
          <w:rFonts w:ascii="Arial" w:eastAsia="Times New Roman" w:hAnsi="Arial" w:cs="Arial"/>
          <w:b/>
          <w:snapToGrid w:val="0"/>
          <w:sz w:val="24"/>
          <w:szCs w:val="20"/>
        </w:rPr>
      </w:pPr>
      <w:r w:rsidRPr="00C208C1">
        <w:rPr>
          <w:rFonts w:ascii="Arial" w:eastAsia="Times New Roman" w:hAnsi="Arial" w:cs="Arial"/>
          <w:b/>
          <w:snapToGrid w:val="0"/>
          <w:sz w:val="24"/>
          <w:szCs w:val="20"/>
          <w:u w:val="single"/>
        </w:rPr>
        <w:t>Follow-up Recommendation</w:t>
      </w:r>
      <w:r w:rsidRPr="00C208C1">
        <w:rPr>
          <w:rFonts w:ascii="Arial" w:eastAsia="Times New Roman" w:hAnsi="Arial" w:cs="Arial"/>
          <w:b/>
          <w:snapToGrid w:val="0"/>
          <w:sz w:val="24"/>
          <w:szCs w:val="20"/>
        </w:rPr>
        <w:t xml:space="preserve"> – </w:t>
      </w:r>
      <w:r w:rsidRPr="00882586">
        <w:rPr>
          <w:rFonts w:ascii="Arial" w:eastAsia="Times New Roman" w:hAnsi="Arial" w:cs="Arial"/>
          <w:b/>
          <w:snapToGrid w:val="0"/>
          <w:sz w:val="24"/>
          <w:szCs w:val="20"/>
        </w:rPr>
        <w:t>Perform</w:t>
      </w:r>
      <w:r>
        <w:rPr>
          <w:rFonts w:ascii="Arial" w:eastAsia="Times New Roman" w:hAnsi="Arial" w:cs="Arial"/>
          <w:b/>
          <w:snapToGrid w:val="0"/>
          <w:sz w:val="24"/>
          <w:szCs w:val="20"/>
        </w:rPr>
        <w:t>, document, and retain</w:t>
      </w:r>
      <w:r w:rsidRPr="00882586">
        <w:rPr>
          <w:rFonts w:ascii="Arial" w:eastAsia="Times New Roman" w:hAnsi="Arial" w:cs="Arial"/>
          <w:b/>
          <w:snapToGrid w:val="0"/>
          <w:sz w:val="24"/>
          <w:szCs w:val="20"/>
        </w:rPr>
        <w:t xml:space="preserve"> a cost benefit analysis to </w:t>
      </w:r>
      <w:r>
        <w:rPr>
          <w:rFonts w:ascii="Arial" w:eastAsia="Times New Roman" w:hAnsi="Arial" w:cs="Arial"/>
          <w:b/>
          <w:snapToGrid w:val="0"/>
          <w:sz w:val="24"/>
          <w:szCs w:val="20"/>
        </w:rPr>
        <w:t xml:space="preserve">substantiate its decision-making process with respect to implementing fuel disbursement </w:t>
      </w:r>
      <w:r w:rsidRPr="00882586">
        <w:rPr>
          <w:rFonts w:ascii="Arial" w:eastAsia="Times New Roman" w:hAnsi="Arial" w:cs="Arial"/>
          <w:b/>
          <w:snapToGrid w:val="0"/>
          <w:sz w:val="24"/>
          <w:szCs w:val="20"/>
        </w:rPr>
        <w:t xml:space="preserve">mechanisms/controls at </w:t>
      </w:r>
      <w:r>
        <w:rPr>
          <w:rFonts w:ascii="Arial" w:eastAsia="Times New Roman" w:hAnsi="Arial" w:cs="Arial"/>
          <w:b/>
          <w:snapToGrid w:val="0"/>
          <w:sz w:val="24"/>
          <w:szCs w:val="20"/>
        </w:rPr>
        <w:t xml:space="preserve">its on-site </w:t>
      </w:r>
      <w:r w:rsidRPr="00882586">
        <w:rPr>
          <w:rFonts w:ascii="Arial" w:eastAsia="Times New Roman" w:hAnsi="Arial" w:cs="Arial"/>
          <w:b/>
          <w:snapToGrid w:val="0"/>
          <w:sz w:val="24"/>
          <w:szCs w:val="20"/>
        </w:rPr>
        <w:t>fueling stations.</w:t>
      </w:r>
    </w:p>
    <w:p w14:paraId="71411E78" w14:textId="77777777" w:rsidR="00A359F2" w:rsidRDefault="00A359F2" w:rsidP="00A359F2">
      <w:pPr>
        <w:rPr>
          <w:rFonts w:ascii="Arial" w:eastAsia="Times New Roman" w:hAnsi="Arial" w:cs="Arial"/>
          <w:b/>
          <w:snapToGrid w:val="0"/>
          <w:sz w:val="24"/>
          <w:szCs w:val="20"/>
          <w:u w:val="single"/>
        </w:rPr>
      </w:pPr>
      <w:r>
        <w:rPr>
          <w:rFonts w:ascii="Arial" w:eastAsia="Times New Roman" w:hAnsi="Arial" w:cs="Arial"/>
          <w:b/>
          <w:snapToGrid w:val="0"/>
          <w:sz w:val="24"/>
          <w:szCs w:val="20"/>
          <w:u w:val="single"/>
        </w:rPr>
        <w:br w:type="page"/>
      </w:r>
    </w:p>
    <w:p w14:paraId="6A3ACAF1" w14:textId="77777777" w:rsidR="00A359F2" w:rsidRPr="001D16E2" w:rsidRDefault="00A359F2" w:rsidP="00A359F2">
      <w:pPr>
        <w:spacing w:after="0" w:line="240" w:lineRule="auto"/>
        <w:jc w:val="center"/>
        <w:rPr>
          <w:rFonts w:ascii="Arial" w:hAnsi="Arial" w:cs="Arial"/>
          <w:b/>
          <w:sz w:val="24"/>
          <w:szCs w:val="24"/>
          <w:u w:val="single"/>
        </w:rPr>
      </w:pPr>
      <w:r w:rsidRPr="001D16E2">
        <w:rPr>
          <w:rFonts w:ascii="Arial" w:hAnsi="Arial" w:cs="Arial"/>
          <w:b/>
          <w:sz w:val="24"/>
          <w:szCs w:val="24"/>
          <w:u w:val="single"/>
        </w:rPr>
        <w:t>Finding No. XII-</w:t>
      </w:r>
      <w:r>
        <w:rPr>
          <w:rFonts w:ascii="Arial" w:hAnsi="Arial" w:cs="Arial"/>
          <w:b/>
          <w:sz w:val="24"/>
          <w:szCs w:val="24"/>
          <w:u w:val="single"/>
        </w:rPr>
        <w:t>3</w:t>
      </w:r>
    </w:p>
    <w:p w14:paraId="6C886860" w14:textId="77777777" w:rsidR="00A359F2" w:rsidRDefault="00A359F2" w:rsidP="00A359F2">
      <w:pPr>
        <w:spacing w:after="0" w:line="20" w:lineRule="atLeast"/>
        <w:jc w:val="both"/>
        <w:rPr>
          <w:rFonts w:ascii="Arial" w:eastAsia="Times New Roman" w:hAnsi="Arial" w:cs="Arial"/>
          <w:b/>
          <w:snapToGrid w:val="0"/>
          <w:sz w:val="24"/>
          <w:szCs w:val="20"/>
          <w:u w:val="single"/>
        </w:rPr>
      </w:pPr>
    </w:p>
    <w:p w14:paraId="48190922" w14:textId="77777777" w:rsidR="004001B0" w:rsidRDefault="00A359F2" w:rsidP="00A359F2">
      <w:pPr>
        <w:spacing w:after="0" w:line="20" w:lineRule="atLeast"/>
        <w:contextualSpacing/>
        <w:rPr>
          <w:rFonts w:ascii="Arial" w:eastAsia="Times New Roman" w:hAnsi="Arial" w:cs="Arial"/>
          <w:snapToGrid w:val="0"/>
          <w:sz w:val="24"/>
          <w:szCs w:val="20"/>
        </w:rPr>
      </w:pPr>
      <w:r w:rsidRPr="004D579B">
        <w:rPr>
          <w:rFonts w:ascii="Arial" w:hAnsi="Arial" w:cs="Arial"/>
          <w:b/>
          <w:sz w:val="24"/>
          <w:szCs w:val="24"/>
          <w:u w:val="single"/>
        </w:rPr>
        <w:t>Prior Situation</w:t>
      </w:r>
      <w:r w:rsidRPr="004D579B">
        <w:rPr>
          <w:rFonts w:ascii="Arial" w:hAnsi="Arial" w:cs="Arial"/>
          <w:b/>
          <w:sz w:val="24"/>
          <w:szCs w:val="24"/>
        </w:rPr>
        <w:t xml:space="preserve"> </w:t>
      </w:r>
      <w:r w:rsidRPr="00A67D31">
        <w:rPr>
          <w:rFonts w:ascii="Arial" w:eastAsia="Times New Roman" w:hAnsi="Arial" w:cs="Times New Roman"/>
          <w:sz w:val="24"/>
          <w:szCs w:val="24"/>
        </w:rPr>
        <w:t>–</w:t>
      </w:r>
      <w:r>
        <w:rPr>
          <w:rFonts w:ascii="Arial" w:eastAsia="Times New Roman" w:hAnsi="Arial" w:cs="Times New Roman"/>
          <w:sz w:val="24"/>
          <w:szCs w:val="24"/>
        </w:rPr>
        <w:t xml:space="preserve"> </w:t>
      </w:r>
      <w:r w:rsidRPr="00F260F2">
        <w:rPr>
          <w:rFonts w:ascii="Arial" w:eastAsia="Times New Roman" w:hAnsi="Arial" w:cs="Arial"/>
          <w:snapToGrid w:val="0"/>
          <w:sz w:val="24"/>
          <w:szCs w:val="20"/>
        </w:rPr>
        <w:t xml:space="preserve">The </w:t>
      </w:r>
      <w:r w:rsidR="00DC3D9B">
        <w:rPr>
          <w:rFonts w:ascii="Arial" w:eastAsia="Times New Roman" w:hAnsi="Arial" w:cs="Arial"/>
          <w:snapToGrid w:val="0"/>
          <w:sz w:val="24"/>
          <w:szCs w:val="20"/>
        </w:rPr>
        <w:t>FE-PA companies</w:t>
      </w:r>
      <w:r w:rsidRPr="00F260F2">
        <w:rPr>
          <w:rFonts w:ascii="Arial" w:eastAsia="Times New Roman" w:hAnsi="Arial" w:cs="Arial"/>
          <w:snapToGrid w:val="0"/>
          <w:sz w:val="24"/>
          <w:szCs w:val="20"/>
        </w:rPr>
        <w:t xml:space="preserve"> had</w:t>
      </w:r>
      <w:r>
        <w:rPr>
          <w:rFonts w:ascii="Arial" w:eastAsia="Times New Roman" w:hAnsi="Arial" w:cs="Arial"/>
          <w:snapToGrid w:val="0"/>
          <w:sz w:val="24"/>
          <w:szCs w:val="20"/>
        </w:rPr>
        <w:t xml:space="preserve"> numerous</w:t>
      </w:r>
      <w:r w:rsidRPr="00F260F2">
        <w:rPr>
          <w:rFonts w:ascii="Arial" w:eastAsia="Times New Roman" w:hAnsi="Arial" w:cs="Arial"/>
          <w:snapToGrid w:val="0"/>
          <w:sz w:val="24"/>
          <w:szCs w:val="20"/>
        </w:rPr>
        <w:t xml:space="preserve"> vehicles that reported no monthly usage during 2012.  In 2012, the percentage of vehicles not used monthly at Met-Ed, Penelec, Penn Power, and West Penn Power ranged from approximately 18% to 33%, 17% to 31%, 19% to 26%, and 22% to 56%, respectively.  This equated to approximately 510</w:t>
      </w:r>
      <w:r w:rsidR="00AF4C2A">
        <w:rPr>
          <w:rFonts w:ascii="Arial" w:eastAsia="Times New Roman" w:hAnsi="Arial" w:cs="Arial"/>
          <w:snapToGrid w:val="0"/>
          <w:sz w:val="24"/>
          <w:szCs w:val="20"/>
        </w:rPr>
        <w:t xml:space="preserve"> </w:t>
      </w:r>
      <w:r w:rsidR="004001B0">
        <w:rPr>
          <w:rFonts w:ascii="Arial" w:eastAsia="Times New Roman" w:hAnsi="Arial" w:cs="Arial"/>
          <w:snapToGrid w:val="0"/>
          <w:sz w:val="24"/>
          <w:szCs w:val="20"/>
        </w:rPr>
        <w:t>(19%)</w:t>
      </w:r>
      <w:r w:rsidRPr="00F260F2">
        <w:rPr>
          <w:rFonts w:ascii="Arial" w:eastAsia="Times New Roman" w:hAnsi="Arial" w:cs="Arial"/>
          <w:snapToGrid w:val="0"/>
          <w:sz w:val="24"/>
          <w:szCs w:val="20"/>
        </w:rPr>
        <w:t xml:space="preserve"> to 935</w:t>
      </w:r>
      <w:r w:rsidR="00AF4C2A">
        <w:rPr>
          <w:rFonts w:ascii="Arial" w:eastAsia="Times New Roman" w:hAnsi="Arial" w:cs="Arial"/>
          <w:snapToGrid w:val="0"/>
          <w:sz w:val="24"/>
          <w:szCs w:val="20"/>
        </w:rPr>
        <w:t xml:space="preserve"> </w:t>
      </w:r>
      <w:r w:rsidR="004001B0">
        <w:rPr>
          <w:rFonts w:ascii="Arial" w:eastAsia="Times New Roman" w:hAnsi="Arial" w:cs="Arial"/>
          <w:snapToGrid w:val="0"/>
          <w:sz w:val="24"/>
          <w:szCs w:val="20"/>
        </w:rPr>
        <w:t>(34%)</w:t>
      </w:r>
      <w:r w:rsidRPr="00F260F2">
        <w:rPr>
          <w:rFonts w:ascii="Arial" w:eastAsia="Times New Roman" w:hAnsi="Arial" w:cs="Arial"/>
          <w:snapToGrid w:val="0"/>
          <w:sz w:val="24"/>
          <w:szCs w:val="20"/>
        </w:rPr>
        <w:t xml:space="preserve"> class 1-6 vehicles with no reported monthly usage in 2012.  </w:t>
      </w:r>
    </w:p>
    <w:p w14:paraId="03804AAD" w14:textId="77777777" w:rsidR="004001B0" w:rsidRDefault="004001B0" w:rsidP="00A359F2">
      <w:pPr>
        <w:spacing w:after="0" w:line="20" w:lineRule="atLeast"/>
        <w:contextualSpacing/>
        <w:rPr>
          <w:rFonts w:ascii="Arial" w:eastAsia="Times New Roman" w:hAnsi="Arial" w:cs="Arial"/>
          <w:snapToGrid w:val="0"/>
          <w:sz w:val="24"/>
          <w:szCs w:val="20"/>
        </w:rPr>
      </w:pPr>
    </w:p>
    <w:p w14:paraId="6BBD82D8" w14:textId="77777777" w:rsidR="004001B0" w:rsidRDefault="00A359F2" w:rsidP="004001B0">
      <w:pPr>
        <w:spacing w:after="0" w:line="20" w:lineRule="atLeast"/>
        <w:ind w:firstLine="720"/>
        <w:contextualSpacing/>
        <w:rPr>
          <w:rFonts w:ascii="Arial" w:eastAsia="Times New Roman" w:hAnsi="Arial" w:cs="Arial"/>
          <w:snapToGrid w:val="0"/>
          <w:sz w:val="24"/>
          <w:szCs w:val="20"/>
        </w:rPr>
      </w:pPr>
      <w:r w:rsidRPr="00F260F2">
        <w:rPr>
          <w:rFonts w:ascii="Arial" w:eastAsia="Times New Roman" w:hAnsi="Arial" w:cs="Arial"/>
          <w:snapToGrid w:val="0"/>
          <w:sz w:val="24"/>
          <w:szCs w:val="20"/>
        </w:rPr>
        <w:t xml:space="preserve">Management indicated that no or low mileage </w:t>
      </w:r>
      <w:r w:rsidR="004001B0">
        <w:rPr>
          <w:rFonts w:ascii="Arial" w:eastAsia="Times New Roman" w:hAnsi="Arial" w:cs="Arial"/>
          <w:snapToGrid w:val="0"/>
          <w:sz w:val="24"/>
          <w:szCs w:val="20"/>
        </w:rPr>
        <w:t xml:space="preserve">usage </w:t>
      </w:r>
      <w:r w:rsidRPr="00F260F2">
        <w:rPr>
          <w:rFonts w:ascii="Arial" w:eastAsia="Times New Roman" w:hAnsi="Arial" w:cs="Arial"/>
          <w:snapToGrid w:val="0"/>
          <w:sz w:val="24"/>
          <w:szCs w:val="20"/>
        </w:rPr>
        <w:t xml:space="preserve">could occur due to reasons ranging from lack of mileage reporting, employee absences related to extended sick leave, specialty vehicles that are only used on an as needed basis, vehicles pending disposal, and vehicles recently placed into service.  The </w:t>
      </w:r>
      <w:r>
        <w:rPr>
          <w:rFonts w:ascii="Arial" w:eastAsia="Times New Roman" w:hAnsi="Arial" w:cs="Arial"/>
          <w:snapToGrid w:val="0"/>
          <w:sz w:val="24"/>
          <w:szCs w:val="20"/>
        </w:rPr>
        <w:t xml:space="preserve">auditors </w:t>
      </w:r>
      <w:r w:rsidRPr="00F260F2">
        <w:rPr>
          <w:rFonts w:ascii="Arial" w:eastAsia="Times New Roman" w:hAnsi="Arial" w:cs="Arial"/>
          <w:snapToGrid w:val="0"/>
          <w:sz w:val="24"/>
          <w:szCs w:val="20"/>
        </w:rPr>
        <w:t xml:space="preserve">felt that these explanations were </w:t>
      </w:r>
      <w:r w:rsidR="004001B0">
        <w:rPr>
          <w:rFonts w:ascii="Arial" w:eastAsia="Times New Roman" w:hAnsi="Arial" w:cs="Arial"/>
          <w:snapToGrid w:val="0"/>
          <w:sz w:val="24"/>
          <w:szCs w:val="20"/>
        </w:rPr>
        <w:t>in</w:t>
      </w:r>
      <w:r w:rsidRPr="00F260F2">
        <w:rPr>
          <w:rFonts w:ascii="Arial" w:eastAsia="Times New Roman" w:hAnsi="Arial" w:cs="Arial"/>
          <w:snapToGrid w:val="0"/>
          <w:sz w:val="24"/>
          <w:szCs w:val="20"/>
        </w:rPr>
        <w:t xml:space="preserve">sufficient to account for all the zero mileage vehicles.  Moreover, if the users of the vehicles were not properly reporting their mileage upon using a vehicle, corrective action should have been taken to enforce the administrative controls established to ensure vehicle mileage was reported as required.  </w:t>
      </w:r>
    </w:p>
    <w:p w14:paraId="60519AEB" w14:textId="77777777" w:rsidR="004001B0" w:rsidRDefault="004001B0" w:rsidP="004001B0">
      <w:pPr>
        <w:spacing w:after="0" w:line="20" w:lineRule="atLeast"/>
        <w:ind w:firstLine="720"/>
        <w:contextualSpacing/>
        <w:rPr>
          <w:rFonts w:ascii="Arial" w:eastAsia="Times New Roman" w:hAnsi="Arial" w:cs="Arial"/>
          <w:snapToGrid w:val="0"/>
          <w:sz w:val="24"/>
          <w:szCs w:val="20"/>
        </w:rPr>
      </w:pPr>
    </w:p>
    <w:p w14:paraId="35B10C5A" w14:textId="77777777" w:rsidR="004001B0" w:rsidRDefault="00A359F2" w:rsidP="004001B0">
      <w:pPr>
        <w:spacing w:after="0" w:line="20" w:lineRule="atLeast"/>
        <w:ind w:firstLine="720"/>
        <w:contextualSpacing/>
        <w:rPr>
          <w:rFonts w:ascii="Arial" w:eastAsia="Times New Roman" w:hAnsi="Arial" w:cs="Arial"/>
          <w:snapToGrid w:val="0"/>
          <w:sz w:val="24"/>
          <w:szCs w:val="20"/>
        </w:rPr>
      </w:pPr>
      <w:r w:rsidRPr="00F260F2">
        <w:rPr>
          <w:rFonts w:ascii="Arial" w:eastAsia="Times New Roman" w:hAnsi="Arial" w:cs="Arial"/>
          <w:snapToGrid w:val="0"/>
          <w:sz w:val="24"/>
          <w:szCs w:val="20"/>
        </w:rPr>
        <w:t xml:space="preserve">The Manager of Regional Fleet Services at each of the </w:t>
      </w:r>
      <w:r w:rsidR="00DC3D9B">
        <w:rPr>
          <w:rFonts w:ascii="Arial" w:eastAsia="Times New Roman" w:hAnsi="Arial" w:cs="Arial"/>
          <w:snapToGrid w:val="0"/>
          <w:sz w:val="24"/>
          <w:szCs w:val="20"/>
        </w:rPr>
        <w:t>FE-PA companies</w:t>
      </w:r>
      <w:r w:rsidRPr="00F260F2">
        <w:rPr>
          <w:rFonts w:ascii="Arial" w:eastAsia="Times New Roman" w:hAnsi="Arial" w:cs="Arial"/>
          <w:snapToGrid w:val="0"/>
          <w:sz w:val="24"/>
          <w:szCs w:val="20"/>
        </w:rPr>
        <w:t xml:space="preserve"> was responsible for reviewing such vehicles monthly and determining why the units had not been used.  </w:t>
      </w:r>
      <w:r w:rsidR="00A35B35">
        <w:rPr>
          <w:rFonts w:ascii="Arial" w:eastAsia="Times New Roman" w:hAnsi="Arial" w:cs="Arial"/>
          <w:snapToGrid w:val="0"/>
          <w:sz w:val="24"/>
          <w:szCs w:val="20"/>
        </w:rPr>
        <w:t>Although the managers were supposed to ensure that all vehicles with no usage were still useful, th</w:t>
      </w:r>
      <w:r w:rsidR="0072282E">
        <w:rPr>
          <w:rFonts w:ascii="Arial" w:eastAsia="Times New Roman" w:hAnsi="Arial" w:cs="Arial"/>
          <w:snapToGrid w:val="0"/>
          <w:sz w:val="24"/>
          <w:szCs w:val="20"/>
        </w:rPr>
        <w:t>ere were still far too many vehicles with no usage.</w:t>
      </w:r>
    </w:p>
    <w:p w14:paraId="6433B082" w14:textId="77777777" w:rsidR="004001B0" w:rsidRDefault="004001B0" w:rsidP="004001B0">
      <w:pPr>
        <w:spacing w:after="0" w:line="20" w:lineRule="atLeast"/>
        <w:ind w:firstLine="720"/>
        <w:contextualSpacing/>
        <w:rPr>
          <w:rFonts w:ascii="Arial" w:eastAsia="Times New Roman" w:hAnsi="Arial" w:cs="Arial"/>
          <w:snapToGrid w:val="0"/>
          <w:sz w:val="24"/>
          <w:szCs w:val="20"/>
        </w:rPr>
      </w:pPr>
    </w:p>
    <w:p w14:paraId="2E0766EF" w14:textId="77777777" w:rsidR="004001B0" w:rsidRDefault="00A359F2" w:rsidP="004001B0">
      <w:pPr>
        <w:spacing w:after="0" w:line="20" w:lineRule="atLeast"/>
        <w:ind w:firstLine="720"/>
        <w:contextualSpacing/>
        <w:rPr>
          <w:rFonts w:ascii="Arial" w:eastAsia="Times New Roman" w:hAnsi="Arial" w:cs="Arial"/>
          <w:snapToGrid w:val="0"/>
          <w:sz w:val="24"/>
          <w:szCs w:val="20"/>
        </w:rPr>
      </w:pPr>
      <w:r w:rsidRPr="00F260F2">
        <w:rPr>
          <w:rFonts w:ascii="Arial" w:eastAsia="Times New Roman" w:hAnsi="Arial" w:cs="Arial"/>
          <w:snapToGrid w:val="0"/>
          <w:sz w:val="24"/>
          <w:szCs w:val="20"/>
        </w:rPr>
        <w:t xml:space="preserve">The </w:t>
      </w:r>
      <w:r>
        <w:rPr>
          <w:rFonts w:ascii="Arial" w:eastAsia="Times New Roman" w:hAnsi="Arial" w:cs="Arial"/>
          <w:snapToGrid w:val="0"/>
          <w:sz w:val="24"/>
          <w:szCs w:val="20"/>
        </w:rPr>
        <w:t>auditors</w:t>
      </w:r>
      <w:r w:rsidRPr="00F260F2">
        <w:rPr>
          <w:rFonts w:ascii="Arial" w:eastAsia="Times New Roman" w:hAnsi="Arial" w:cs="Arial"/>
          <w:snapToGrid w:val="0"/>
          <w:sz w:val="24"/>
          <w:szCs w:val="20"/>
        </w:rPr>
        <w:t xml:space="preserve"> felt that a utilization analysis should have been performed periodically (e.g., quarterly) to identify vehicles that had little or no usage and that those vehicles no longer considered useful should be eliminated.  Utilization for vehicles in classes 4-6 (i.e., aerial trucks, digger derrick trucks, and crane trucks) should have been tracked on an hourly and a mileage basis </w:t>
      </w:r>
      <w:r w:rsidR="00EA6436">
        <w:rPr>
          <w:rFonts w:ascii="Arial" w:eastAsia="Times New Roman" w:hAnsi="Arial" w:cs="Arial"/>
          <w:snapToGrid w:val="0"/>
          <w:sz w:val="24"/>
          <w:szCs w:val="20"/>
        </w:rPr>
        <w:t>because</w:t>
      </w:r>
      <w:r w:rsidRPr="00F260F2">
        <w:rPr>
          <w:rFonts w:ascii="Arial" w:eastAsia="Times New Roman" w:hAnsi="Arial" w:cs="Arial"/>
          <w:snapToGrid w:val="0"/>
          <w:sz w:val="24"/>
          <w:szCs w:val="20"/>
        </w:rPr>
        <w:t xml:space="preserve"> these types of vehicles often sit at a work site.  Adding hourly usage data for classes 4-6 would have led to better decisions regarding maintaining or eliminating such vehicles.  </w:t>
      </w:r>
    </w:p>
    <w:p w14:paraId="6D04B464" w14:textId="77777777" w:rsidR="004001B0" w:rsidRDefault="004001B0" w:rsidP="004001B0">
      <w:pPr>
        <w:spacing w:after="0" w:line="20" w:lineRule="atLeast"/>
        <w:ind w:firstLine="720"/>
        <w:contextualSpacing/>
        <w:rPr>
          <w:rFonts w:ascii="Arial" w:eastAsia="Times New Roman" w:hAnsi="Arial" w:cs="Arial"/>
          <w:snapToGrid w:val="0"/>
          <w:sz w:val="24"/>
          <w:szCs w:val="20"/>
        </w:rPr>
      </w:pPr>
    </w:p>
    <w:p w14:paraId="68894ACD" w14:textId="77777777" w:rsidR="004001B0" w:rsidRDefault="00A359F2" w:rsidP="004001B0">
      <w:pPr>
        <w:spacing w:after="0" w:line="20" w:lineRule="atLeast"/>
        <w:ind w:firstLine="720"/>
        <w:contextualSpacing/>
        <w:rPr>
          <w:rFonts w:ascii="Arial" w:eastAsia="Times New Roman" w:hAnsi="Arial" w:cs="Arial"/>
          <w:snapToGrid w:val="0"/>
          <w:sz w:val="24"/>
          <w:szCs w:val="20"/>
        </w:rPr>
      </w:pPr>
      <w:r w:rsidRPr="00F260F2">
        <w:rPr>
          <w:rFonts w:ascii="Arial" w:eastAsia="Times New Roman" w:hAnsi="Arial" w:cs="Arial"/>
          <w:snapToGrid w:val="0"/>
          <w:sz w:val="24"/>
          <w:szCs w:val="20"/>
        </w:rPr>
        <w:t xml:space="preserve">Vehicles which were rarely driven still need to be maintained by Fleet Services on a regular basis.  The </w:t>
      </w:r>
      <w:r w:rsidR="00DC3D9B">
        <w:rPr>
          <w:rFonts w:ascii="Arial" w:eastAsia="Times New Roman" w:hAnsi="Arial" w:cs="Arial"/>
          <w:snapToGrid w:val="0"/>
          <w:sz w:val="24"/>
          <w:szCs w:val="20"/>
        </w:rPr>
        <w:t>FE-PA companies</w:t>
      </w:r>
      <w:r w:rsidRPr="00F260F2">
        <w:rPr>
          <w:rFonts w:ascii="Arial" w:eastAsia="Times New Roman" w:hAnsi="Arial" w:cs="Arial"/>
          <w:snapToGrid w:val="0"/>
          <w:sz w:val="24"/>
          <w:szCs w:val="20"/>
        </w:rPr>
        <w:t xml:space="preserve"> spent </w:t>
      </w:r>
      <w:r w:rsidR="004001B0">
        <w:rPr>
          <w:rFonts w:ascii="Arial" w:eastAsia="Times New Roman" w:hAnsi="Arial" w:cs="Arial"/>
          <w:snapToGrid w:val="0"/>
          <w:sz w:val="24"/>
          <w:szCs w:val="20"/>
        </w:rPr>
        <w:t xml:space="preserve">$1,645 </w:t>
      </w:r>
      <w:r w:rsidRPr="00F260F2">
        <w:rPr>
          <w:rFonts w:ascii="Arial" w:eastAsia="Times New Roman" w:hAnsi="Arial" w:cs="Arial"/>
          <w:snapToGrid w:val="0"/>
          <w:sz w:val="24"/>
          <w:szCs w:val="20"/>
        </w:rPr>
        <w:t>on average per vehicle on parts and labor for its Class 1</w:t>
      </w:r>
      <w:r w:rsidR="0094097A">
        <w:rPr>
          <w:rFonts w:ascii="Arial" w:eastAsia="Times New Roman" w:hAnsi="Arial" w:cs="Arial"/>
          <w:snapToGrid w:val="0"/>
          <w:sz w:val="24"/>
          <w:szCs w:val="20"/>
        </w:rPr>
        <w:t xml:space="preserve"> through </w:t>
      </w:r>
      <w:r w:rsidRPr="00F260F2">
        <w:rPr>
          <w:rFonts w:ascii="Arial" w:eastAsia="Times New Roman" w:hAnsi="Arial" w:cs="Arial"/>
          <w:snapToGrid w:val="0"/>
          <w:sz w:val="24"/>
          <w:szCs w:val="20"/>
        </w:rPr>
        <w:t>6 vehicles in 2012 with approximately 19% to 34% of</w:t>
      </w:r>
      <w:r>
        <w:rPr>
          <w:rFonts w:ascii="Arial" w:eastAsia="Times New Roman" w:hAnsi="Arial" w:cs="Arial"/>
          <w:snapToGrid w:val="0"/>
          <w:sz w:val="24"/>
          <w:szCs w:val="20"/>
        </w:rPr>
        <w:t xml:space="preserve"> the vehicles not being used in-a-</w:t>
      </w:r>
      <w:r w:rsidRPr="00F260F2">
        <w:rPr>
          <w:rFonts w:ascii="Arial" w:eastAsia="Times New Roman" w:hAnsi="Arial" w:cs="Arial"/>
          <w:snapToGrid w:val="0"/>
          <w:sz w:val="24"/>
          <w:szCs w:val="20"/>
        </w:rPr>
        <w:t xml:space="preserve">given month.  </w:t>
      </w:r>
    </w:p>
    <w:p w14:paraId="760778A8" w14:textId="77777777" w:rsidR="004001B0" w:rsidRDefault="004001B0" w:rsidP="004001B0">
      <w:pPr>
        <w:spacing w:after="0" w:line="20" w:lineRule="atLeast"/>
        <w:ind w:firstLine="720"/>
        <w:contextualSpacing/>
        <w:rPr>
          <w:rFonts w:ascii="Arial" w:eastAsia="Times New Roman" w:hAnsi="Arial" w:cs="Arial"/>
          <w:snapToGrid w:val="0"/>
          <w:sz w:val="24"/>
          <w:szCs w:val="20"/>
        </w:rPr>
      </w:pPr>
    </w:p>
    <w:p w14:paraId="17ACAB3C" w14:textId="77777777" w:rsidR="00A359F2" w:rsidRPr="00F260F2" w:rsidRDefault="00A359F2" w:rsidP="00AF4C2A">
      <w:pPr>
        <w:spacing w:after="0" w:line="20" w:lineRule="atLeast"/>
        <w:ind w:firstLine="720"/>
        <w:contextualSpacing/>
        <w:rPr>
          <w:rFonts w:ascii="Arial" w:eastAsia="Times New Roman" w:hAnsi="Arial" w:cs="Arial"/>
          <w:snapToGrid w:val="0"/>
          <w:sz w:val="24"/>
          <w:szCs w:val="20"/>
        </w:rPr>
      </w:pPr>
      <w:r w:rsidRPr="00F260F2">
        <w:rPr>
          <w:rFonts w:ascii="Arial" w:eastAsia="Times New Roman" w:hAnsi="Arial" w:cs="Arial"/>
          <w:snapToGrid w:val="0"/>
          <w:sz w:val="24"/>
          <w:szCs w:val="20"/>
        </w:rPr>
        <w:t xml:space="preserve">Without performing a detailed analysis of the vehicles not used or effectively utilized in 2012, the </w:t>
      </w:r>
      <w:r>
        <w:rPr>
          <w:rFonts w:ascii="Arial" w:eastAsia="Times New Roman" w:hAnsi="Arial" w:cs="Arial"/>
          <w:snapToGrid w:val="0"/>
          <w:sz w:val="24"/>
          <w:szCs w:val="20"/>
        </w:rPr>
        <w:t>auditors were</w:t>
      </w:r>
      <w:r w:rsidRPr="00F260F2">
        <w:rPr>
          <w:rFonts w:ascii="Arial" w:eastAsia="Times New Roman" w:hAnsi="Arial" w:cs="Arial"/>
          <w:snapToGrid w:val="0"/>
          <w:sz w:val="24"/>
          <w:szCs w:val="20"/>
        </w:rPr>
        <w:t xml:space="preserve"> unable to determine which vehicles could be eliminated from the fleet to reduce maintenance expenses (i.e., parts and labor).  In addition, the </w:t>
      </w:r>
      <w:r w:rsidR="00DC3D9B">
        <w:rPr>
          <w:rFonts w:ascii="Arial" w:eastAsia="Times New Roman" w:hAnsi="Arial" w:cs="Arial"/>
          <w:snapToGrid w:val="0"/>
          <w:sz w:val="24"/>
          <w:szCs w:val="20"/>
        </w:rPr>
        <w:t>FE-PA companies</w:t>
      </w:r>
      <w:r w:rsidRPr="00F260F2">
        <w:rPr>
          <w:rFonts w:ascii="Arial" w:eastAsia="Times New Roman" w:hAnsi="Arial" w:cs="Arial"/>
          <w:snapToGrid w:val="0"/>
          <w:sz w:val="24"/>
          <w:szCs w:val="20"/>
        </w:rPr>
        <w:t xml:space="preserve"> would also realize a one-time benefit from the sale of any vehicles deemed no longer useful to their respective fleets.</w:t>
      </w:r>
    </w:p>
    <w:p w14:paraId="5631ED58" w14:textId="77777777" w:rsidR="00A359F2" w:rsidRDefault="00A359F2" w:rsidP="00A359F2">
      <w:pPr>
        <w:spacing w:after="0" w:line="20" w:lineRule="atLeast"/>
        <w:contextualSpacing/>
        <w:rPr>
          <w:rFonts w:ascii="Arial" w:eastAsia="Times New Roman" w:hAnsi="Arial" w:cs="Arial"/>
          <w:snapToGrid w:val="0"/>
          <w:sz w:val="24"/>
          <w:szCs w:val="20"/>
        </w:rPr>
      </w:pPr>
    </w:p>
    <w:p w14:paraId="546B2CEC" w14:textId="77777777" w:rsidR="00A359F2" w:rsidRDefault="00A359F2" w:rsidP="00A359F2">
      <w:pPr>
        <w:spacing w:after="0" w:line="20" w:lineRule="atLeast"/>
        <w:rPr>
          <w:rFonts w:ascii="Arial" w:eastAsia="Times New Roman" w:hAnsi="Arial" w:cs="Arial"/>
          <w:b/>
          <w:snapToGrid w:val="0"/>
          <w:sz w:val="24"/>
          <w:szCs w:val="20"/>
        </w:rPr>
      </w:pPr>
      <w:r w:rsidRPr="004D579B">
        <w:rPr>
          <w:rFonts w:ascii="Arial" w:eastAsia="Times New Roman" w:hAnsi="Arial" w:cs="Arial"/>
          <w:b/>
          <w:snapToGrid w:val="0"/>
          <w:sz w:val="24"/>
          <w:szCs w:val="20"/>
          <w:u w:val="single"/>
        </w:rPr>
        <w:t>Prior Recommendation</w:t>
      </w:r>
      <w:r w:rsidRPr="004D579B">
        <w:rPr>
          <w:rFonts w:ascii="Arial" w:eastAsia="Times New Roman" w:hAnsi="Arial" w:cs="Arial"/>
          <w:snapToGrid w:val="0"/>
          <w:sz w:val="24"/>
          <w:szCs w:val="20"/>
        </w:rPr>
        <w:t xml:space="preserve"> </w:t>
      </w:r>
      <w:r w:rsidRPr="00A67D31">
        <w:rPr>
          <w:rFonts w:ascii="Arial" w:eastAsia="Times New Roman" w:hAnsi="Arial" w:cs="Times New Roman"/>
          <w:sz w:val="24"/>
          <w:szCs w:val="24"/>
        </w:rPr>
        <w:t>–</w:t>
      </w:r>
      <w:r>
        <w:rPr>
          <w:rFonts w:ascii="Arial" w:eastAsia="Times New Roman" w:hAnsi="Arial" w:cs="Times New Roman"/>
          <w:sz w:val="24"/>
          <w:szCs w:val="24"/>
        </w:rPr>
        <w:t xml:space="preserve"> </w:t>
      </w:r>
      <w:r w:rsidRPr="00EC4904">
        <w:rPr>
          <w:rFonts w:ascii="Arial" w:eastAsia="Times New Roman" w:hAnsi="Arial" w:cs="Arial"/>
          <w:snapToGrid w:val="0"/>
          <w:sz w:val="24"/>
          <w:szCs w:val="20"/>
        </w:rPr>
        <w:t>Evaluate the need and/or usefulness of vehicles that report zero monthly usage and eliminate underutilized vehicles as appropriate.</w:t>
      </w:r>
    </w:p>
    <w:p w14:paraId="2EA73F6A" w14:textId="77777777" w:rsidR="00A359F2" w:rsidRPr="00326F1F" w:rsidRDefault="00A359F2" w:rsidP="00A359F2">
      <w:pPr>
        <w:spacing w:after="0" w:line="20" w:lineRule="atLeast"/>
        <w:contextualSpacing/>
        <w:rPr>
          <w:rFonts w:ascii="Arial" w:eastAsia="Times New Roman" w:hAnsi="Arial" w:cs="Arial"/>
          <w:snapToGrid w:val="0"/>
          <w:sz w:val="24"/>
          <w:szCs w:val="20"/>
        </w:rPr>
      </w:pPr>
    </w:p>
    <w:p w14:paraId="61388BA4" w14:textId="77777777" w:rsidR="00A359F2" w:rsidRDefault="00A359F2" w:rsidP="00A359F2">
      <w:pPr>
        <w:spacing w:after="0" w:line="20" w:lineRule="atLeast"/>
        <w:rPr>
          <w:rFonts w:ascii="Arial" w:eastAsia="Times New Roman" w:hAnsi="Arial" w:cs="Arial"/>
          <w:b/>
          <w:snapToGrid w:val="0"/>
          <w:sz w:val="24"/>
          <w:szCs w:val="20"/>
        </w:rPr>
      </w:pPr>
      <w:r w:rsidRPr="00674D47">
        <w:rPr>
          <w:rFonts w:ascii="Arial" w:eastAsia="Times New Roman" w:hAnsi="Arial" w:cs="Times New Roman"/>
          <w:b/>
          <w:sz w:val="24"/>
          <w:szCs w:val="24"/>
          <w:u w:val="single"/>
        </w:rPr>
        <w:t>Follow-up Finding and Conclusion</w:t>
      </w:r>
      <w:r w:rsidR="00F65A25" w:rsidRPr="00F65A25">
        <w:rPr>
          <w:rFonts w:ascii="Arial" w:eastAsia="Times New Roman" w:hAnsi="Arial" w:cs="Times New Roman"/>
          <w:b/>
          <w:sz w:val="24"/>
          <w:szCs w:val="24"/>
          <w:u w:val="single"/>
        </w:rPr>
        <w:t xml:space="preserve"> </w:t>
      </w:r>
      <w:r w:rsidR="00F65A25" w:rsidRPr="00C93C49">
        <w:rPr>
          <w:rFonts w:ascii="Arial" w:eastAsia="Times New Roman" w:hAnsi="Arial" w:cs="Times New Roman"/>
          <w:b/>
          <w:sz w:val="24"/>
          <w:szCs w:val="24"/>
          <w:u w:val="single"/>
        </w:rPr>
        <w:t>No. X</w:t>
      </w:r>
      <w:r w:rsidR="00F65A25">
        <w:rPr>
          <w:rFonts w:ascii="Arial" w:eastAsia="Times New Roman" w:hAnsi="Arial" w:cs="Times New Roman"/>
          <w:b/>
          <w:sz w:val="24"/>
          <w:szCs w:val="24"/>
          <w:u w:val="single"/>
        </w:rPr>
        <w:t>II</w:t>
      </w:r>
      <w:r w:rsidR="00F65A25" w:rsidRPr="00C93C49">
        <w:rPr>
          <w:rFonts w:ascii="Arial" w:eastAsia="Times New Roman" w:hAnsi="Arial" w:cs="Times New Roman"/>
          <w:b/>
          <w:sz w:val="24"/>
          <w:szCs w:val="24"/>
          <w:u w:val="single"/>
        </w:rPr>
        <w:t>-</w:t>
      </w:r>
      <w:r w:rsidR="00F65A25">
        <w:rPr>
          <w:rFonts w:ascii="Arial" w:eastAsia="Times New Roman" w:hAnsi="Arial" w:cs="Times New Roman"/>
          <w:b/>
          <w:sz w:val="24"/>
          <w:szCs w:val="24"/>
          <w:u w:val="single"/>
        </w:rPr>
        <w:t>3</w:t>
      </w:r>
      <w:r w:rsidRPr="00674D47">
        <w:rPr>
          <w:rFonts w:ascii="Arial" w:eastAsia="Times New Roman" w:hAnsi="Arial" w:cs="Times New Roman"/>
          <w:b/>
          <w:sz w:val="24"/>
          <w:szCs w:val="24"/>
        </w:rPr>
        <w:t xml:space="preserve"> – </w:t>
      </w:r>
      <w:r w:rsidRPr="00674D47">
        <w:rPr>
          <w:rFonts w:ascii="Arial" w:eastAsia="Times New Roman" w:hAnsi="Arial" w:cs="Arial"/>
          <w:b/>
          <w:snapToGrid w:val="0"/>
          <w:sz w:val="24"/>
          <w:szCs w:val="20"/>
        </w:rPr>
        <w:t xml:space="preserve">A vehicle usage analysis was completed </w:t>
      </w:r>
      <w:r w:rsidR="004001B0">
        <w:rPr>
          <w:rFonts w:ascii="Arial" w:eastAsia="Times New Roman" w:hAnsi="Arial" w:cs="Arial"/>
          <w:b/>
          <w:snapToGrid w:val="0"/>
          <w:sz w:val="24"/>
          <w:szCs w:val="20"/>
        </w:rPr>
        <w:t>resulting</w:t>
      </w:r>
      <w:r w:rsidRPr="00674D47">
        <w:rPr>
          <w:rFonts w:ascii="Arial" w:eastAsia="Times New Roman" w:hAnsi="Arial" w:cs="Arial"/>
          <w:b/>
          <w:snapToGrid w:val="0"/>
          <w:sz w:val="24"/>
          <w:szCs w:val="20"/>
        </w:rPr>
        <w:t xml:space="preserve"> in the elimination of excess vehicles in the </w:t>
      </w:r>
      <w:r w:rsidR="00DC3D9B">
        <w:rPr>
          <w:rFonts w:ascii="Arial" w:eastAsia="Times New Roman" w:hAnsi="Arial" w:cs="Arial"/>
          <w:b/>
          <w:snapToGrid w:val="0"/>
          <w:sz w:val="24"/>
          <w:szCs w:val="20"/>
        </w:rPr>
        <w:t>FE-PA companies</w:t>
      </w:r>
      <w:r w:rsidRPr="00674D47">
        <w:rPr>
          <w:rFonts w:ascii="Arial" w:eastAsia="Times New Roman" w:hAnsi="Arial" w:cs="Arial"/>
          <w:b/>
          <w:snapToGrid w:val="0"/>
          <w:sz w:val="24"/>
          <w:szCs w:val="20"/>
        </w:rPr>
        <w:t>.</w:t>
      </w:r>
    </w:p>
    <w:p w14:paraId="5151ED04" w14:textId="77777777" w:rsidR="00A359F2" w:rsidRDefault="00A359F2" w:rsidP="00A359F2">
      <w:pPr>
        <w:widowControl w:val="0"/>
        <w:spacing w:after="0" w:line="20" w:lineRule="atLeast"/>
        <w:rPr>
          <w:rFonts w:ascii="Arial" w:eastAsia="Times New Roman" w:hAnsi="Arial" w:cs="Arial"/>
          <w:snapToGrid w:val="0"/>
          <w:sz w:val="24"/>
          <w:szCs w:val="20"/>
        </w:rPr>
      </w:pPr>
      <w:r w:rsidRPr="000644B8">
        <w:rPr>
          <w:rFonts w:ascii="Arial" w:hAnsi="Arial" w:cs="Arial"/>
          <w:b/>
          <w:szCs w:val="24"/>
          <w:u w:val="single"/>
        </w:rPr>
        <w:t>Current Review</w:t>
      </w:r>
      <w:r w:rsidRPr="000644B8">
        <w:rPr>
          <w:rFonts w:ascii="Arial" w:hAnsi="Arial" w:cs="Arial"/>
          <w:szCs w:val="24"/>
        </w:rPr>
        <w:t xml:space="preserve"> – </w:t>
      </w:r>
      <w:r w:rsidRPr="00F260F2">
        <w:rPr>
          <w:rFonts w:ascii="Arial" w:eastAsia="Times New Roman" w:hAnsi="Arial" w:cs="Arial"/>
          <w:snapToGrid w:val="0"/>
          <w:sz w:val="24"/>
          <w:szCs w:val="20"/>
        </w:rPr>
        <w:t xml:space="preserve">The vehicle usage analysis was a five-month study which analyzed employee to vehicle counts and took usage and staffing projections into consideration.  The analysis was completed in October 2014 </w:t>
      </w:r>
      <w:r>
        <w:rPr>
          <w:rFonts w:ascii="Arial" w:eastAsia="Times New Roman" w:hAnsi="Arial" w:cs="Arial"/>
          <w:snapToGrid w:val="0"/>
          <w:sz w:val="24"/>
          <w:szCs w:val="20"/>
        </w:rPr>
        <w:t>which</w:t>
      </w:r>
      <w:r w:rsidRPr="00F260F2">
        <w:rPr>
          <w:rFonts w:ascii="Arial" w:eastAsia="Times New Roman" w:hAnsi="Arial" w:cs="Arial"/>
          <w:snapToGrid w:val="0"/>
          <w:sz w:val="24"/>
          <w:szCs w:val="20"/>
        </w:rPr>
        <w:t xml:space="preserve"> resulted in 31 </w:t>
      </w:r>
      <w:r w:rsidR="00DC3D9B">
        <w:rPr>
          <w:rFonts w:ascii="Arial" w:eastAsia="Times New Roman" w:hAnsi="Arial" w:cs="Arial"/>
          <w:snapToGrid w:val="0"/>
          <w:sz w:val="24"/>
          <w:szCs w:val="20"/>
        </w:rPr>
        <w:t>FE-PA companies</w:t>
      </w:r>
      <w:r w:rsidRPr="00F260F2">
        <w:rPr>
          <w:rFonts w:ascii="Arial" w:eastAsia="Times New Roman" w:hAnsi="Arial" w:cs="Arial"/>
          <w:snapToGrid w:val="0"/>
          <w:sz w:val="24"/>
          <w:szCs w:val="20"/>
        </w:rPr>
        <w:t xml:space="preserve">’ vehicles identified as excess (seven at Penn Power, three at West Penn Power, eleven at Penelec and ten at Met-Ed).  The </w:t>
      </w:r>
      <w:r w:rsidR="00DC3D9B">
        <w:rPr>
          <w:rFonts w:ascii="Arial" w:eastAsia="Times New Roman" w:hAnsi="Arial" w:cs="Arial"/>
          <w:snapToGrid w:val="0"/>
          <w:sz w:val="24"/>
          <w:szCs w:val="20"/>
        </w:rPr>
        <w:t>FE-PA companies</w:t>
      </w:r>
      <w:r w:rsidRPr="00F260F2">
        <w:rPr>
          <w:rFonts w:ascii="Arial" w:eastAsia="Times New Roman" w:hAnsi="Arial" w:cs="Arial"/>
          <w:snapToGrid w:val="0"/>
          <w:sz w:val="24"/>
          <w:szCs w:val="20"/>
        </w:rPr>
        <w:t xml:space="preserve"> also instituted administrative controls to better ensure mileage is reported correctly as well as to investigate instances when zero mileage is reported.  This includes the issuance of monthly reports listing vehicles with zero usage for the month.  These vehicles are then further investigated </w:t>
      </w:r>
      <w:r>
        <w:rPr>
          <w:rFonts w:ascii="Arial" w:eastAsia="Times New Roman" w:hAnsi="Arial" w:cs="Arial"/>
          <w:snapToGrid w:val="0"/>
          <w:sz w:val="24"/>
          <w:szCs w:val="20"/>
        </w:rPr>
        <w:t>for cause</w:t>
      </w:r>
      <w:r w:rsidRPr="00F260F2">
        <w:rPr>
          <w:rFonts w:ascii="Arial" w:eastAsia="Times New Roman" w:hAnsi="Arial" w:cs="Arial"/>
          <w:snapToGrid w:val="0"/>
          <w:sz w:val="24"/>
          <w:szCs w:val="20"/>
        </w:rPr>
        <w:t xml:space="preserve"> (i.e., the </w:t>
      </w:r>
      <w:r w:rsidR="00DC3D9B">
        <w:rPr>
          <w:rFonts w:ascii="Arial" w:eastAsia="Times New Roman" w:hAnsi="Arial" w:cs="Arial"/>
          <w:snapToGrid w:val="0"/>
          <w:sz w:val="24"/>
          <w:szCs w:val="20"/>
        </w:rPr>
        <w:t>FE-PA companies</w:t>
      </w:r>
      <w:r w:rsidRPr="00F260F2">
        <w:rPr>
          <w:rFonts w:ascii="Arial" w:eastAsia="Times New Roman" w:hAnsi="Arial" w:cs="Arial"/>
          <w:snapToGrid w:val="0"/>
          <w:sz w:val="24"/>
          <w:szCs w:val="20"/>
        </w:rPr>
        <w:t xml:space="preserve"> will review the zero mileage reports to determine if it is best to keep a vehicle or otherwise).  A total of 32 vehicles were retired by March 31, 2015.  This included the 31 vehicles identified in the vehicle usage analysis, plus one additional vehicle at Penn Power.  Additionally, in 2016, the </w:t>
      </w:r>
      <w:r w:rsidR="00DC3D9B">
        <w:rPr>
          <w:rFonts w:ascii="Arial" w:eastAsia="Times New Roman" w:hAnsi="Arial" w:cs="Arial"/>
          <w:snapToGrid w:val="0"/>
          <w:sz w:val="24"/>
          <w:szCs w:val="20"/>
        </w:rPr>
        <w:t>FE-PA companies</w:t>
      </w:r>
      <w:r w:rsidRPr="00F260F2">
        <w:rPr>
          <w:rFonts w:ascii="Arial" w:eastAsia="Times New Roman" w:hAnsi="Arial" w:cs="Arial"/>
          <w:snapToGrid w:val="0"/>
          <w:sz w:val="24"/>
          <w:szCs w:val="20"/>
        </w:rPr>
        <w:t xml:space="preserve"> retired a total of 11 underutilized vehicles (seven at West Penn Power and four at Penelec).  In 2017, the </w:t>
      </w:r>
      <w:r w:rsidR="00DC3D9B">
        <w:rPr>
          <w:rFonts w:ascii="Arial" w:eastAsia="Times New Roman" w:hAnsi="Arial" w:cs="Arial"/>
          <w:snapToGrid w:val="0"/>
          <w:sz w:val="24"/>
          <w:szCs w:val="20"/>
        </w:rPr>
        <w:t>companies</w:t>
      </w:r>
      <w:r w:rsidRPr="00F260F2">
        <w:rPr>
          <w:rFonts w:ascii="Arial" w:eastAsia="Times New Roman" w:hAnsi="Arial" w:cs="Arial"/>
          <w:snapToGrid w:val="0"/>
          <w:sz w:val="24"/>
          <w:szCs w:val="20"/>
        </w:rPr>
        <w:t xml:space="preserve"> retired a total of </w:t>
      </w:r>
      <w:r>
        <w:rPr>
          <w:rFonts w:ascii="Arial" w:eastAsia="Times New Roman" w:hAnsi="Arial" w:cs="Arial"/>
          <w:snapToGrid w:val="0"/>
          <w:sz w:val="24"/>
          <w:szCs w:val="20"/>
        </w:rPr>
        <w:t>14</w:t>
      </w:r>
      <w:r w:rsidRPr="00F260F2">
        <w:rPr>
          <w:rFonts w:ascii="Arial" w:eastAsia="Times New Roman" w:hAnsi="Arial" w:cs="Arial"/>
          <w:snapToGrid w:val="0"/>
          <w:sz w:val="24"/>
          <w:szCs w:val="20"/>
        </w:rPr>
        <w:t xml:space="preserve"> underutilized vehicles (one at Met-Ed, six at Penelec, </w:t>
      </w:r>
      <w:r>
        <w:rPr>
          <w:rFonts w:ascii="Arial" w:eastAsia="Times New Roman" w:hAnsi="Arial" w:cs="Arial"/>
          <w:snapToGrid w:val="0"/>
          <w:sz w:val="24"/>
          <w:szCs w:val="20"/>
        </w:rPr>
        <w:t>and seven at West Penn Power).</w:t>
      </w:r>
    </w:p>
    <w:p w14:paraId="4EFE9582" w14:textId="77777777" w:rsidR="00A359F2" w:rsidRDefault="00A359F2" w:rsidP="00A359F2">
      <w:pPr>
        <w:widowControl w:val="0"/>
        <w:spacing w:after="0" w:line="20" w:lineRule="atLeast"/>
        <w:ind w:firstLine="720"/>
        <w:rPr>
          <w:rFonts w:ascii="Arial" w:eastAsia="Times New Roman" w:hAnsi="Arial" w:cs="Arial"/>
          <w:snapToGrid w:val="0"/>
          <w:sz w:val="24"/>
          <w:szCs w:val="20"/>
        </w:rPr>
      </w:pPr>
    </w:p>
    <w:p w14:paraId="17BA7B03" w14:textId="77777777" w:rsidR="00A359F2" w:rsidRDefault="00A359F2" w:rsidP="00A359F2">
      <w:pPr>
        <w:widowControl w:val="0"/>
        <w:spacing w:after="0" w:line="20" w:lineRule="atLeast"/>
        <w:ind w:firstLine="720"/>
        <w:rPr>
          <w:rFonts w:ascii="Arial" w:eastAsia="Times New Roman" w:hAnsi="Arial" w:cs="Arial"/>
          <w:b/>
          <w:snapToGrid w:val="0"/>
          <w:sz w:val="24"/>
          <w:szCs w:val="20"/>
        </w:rPr>
      </w:pPr>
      <w:r w:rsidRPr="00F260F2">
        <w:rPr>
          <w:rFonts w:ascii="Arial" w:eastAsia="Times New Roman" w:hAnsi="Arial" w:cs="Arial"/>
          <w:snapToGrid w:val="0"/>
          <w:sz w:val="24"/>
          <w:szCs w:val="20"/>
        </w:rPr>
        <w:t>One</w:t>
      </w:r>
      <w:r>
        <w:rPr>
          <w:rFonts w:ascii="Arial" w:eastAsia="Times New Roman" w:hAnsi="Arial" w:cs="Arial"/>
          <w:snapToGrid w:val="0"/>
          <w:sz w:val="24"/>
          <w:szCs w:val="20"/>
        </w:rPr>
        <w:t>-</w:t>
      </w:r>
      <w:r w:rsidRPr="00F260F2">
        <w:rPr>
          <w:rFonts w:ascii="Arial" w:eastAsia="Times New Roman" w:hAnsi="Arial" w:cs="Arial"/>
          <w:snapToGrid w:val="0"/>
          <w:sz w:val="24"/>
          <w:szCs w:val="20"/>
        </w:rPr>
        <w:t xml:space="preserve">time savings from the sale of the </w:t>
      </w:r>
      <w:r>
        <w:rPr>
          <w:rFonts w:ascii="Arial" w:eastAsia="Times New Roman" w:hAnsi="Arial" w:cs="Arial"/>
          <w:snapToGrid w:val="0"/>
          <w:sz w:val="24"/>
          <w:szCs w:val="20"/>
        </w:rPr>
        <w:t xml:space="preserve">underutilized </w:t>
      </w:r>
      <w:r w:rsidRPr="00F260F2">
        <w:rPr>
          <w:rFonts w:ascii="Arial" w:eastAsia="Times New Roman" w:hAnsi="Arial" w:cs="Arial"/>
          <w:snapToGrid w:val="0"/>
          <w:sz w:val="24"/>
          <w:szCs w:val="20"/>
        </w:rPr>
        <w:t>retired vehicles</w:t>
      </w:r>
      <w:r>
        <w:rPr>
          <w:rFonts w:ascii="Arial" w:eastAsia="Times New Roman" w:hAnsi="Arial" w:cs="Arial"/>
          <w:snapToGrid w:val="0"/>
          <w:sz w:val="24"/>
          <w:szCs w:val="20"/>
        </w:rPr>
        <w:t xml:space="preserve"> and annual maintenance cost savings are</w:t>
      </w:r>
      <w:r w:rsidRPr="00F260F2">
        <w:rPr>
          <w:rFonts w:ascii="Arial" w:eastAsia="Times New Roman" w:hAnsi="Arial" w:cs="Arial"/>
          <w:snapToGrid w:val="0"/>
          <w:sz w:val="24"/>
          <w:szCs w:val="20"/>
        </w:rPr>
        <w:t xml:space="preserve"> shown </w:t>
      </w:r>
      <w:r>
        <w:rPr>
          <w:rFonts w:ascii="Arial" w:eastAsia="Times New Roman" w:hAnsi="Arial" w:cs="Arial"/>
          <w:snapToGrid w:val="0"/>
          <w:sz w:val="24"/>
          <w:szCs w:val="20"/>
        </w:rPr>
        <w:t>in Exhibits XII-4 and XII-5</w:t>
      </w:r>
      <w:r w:rsidR="00C459B8">
        <w:rPr>
          <w:rFonts w:ascii="Arial" w:eastAsia="Times New Roman" w:hAnsi="Arial" w:cs="Arial"/>
          <w:snapToGrid w:val="0"/>
          <w:sz w:val="24"/>
          <w:szCs w:val="20"/>
        </w:rPr>
        <w:t>, respectively</w:t>
      </w:r>
      <w:r w:rsidRPr="00F260F2">
        <w:rPr>
          <w:rFonts w:ascii="Arial" w:eastAsia="Times New Roman" w:hAnsi="Arial" w:cs="Arial"/>
          <w:snapToGrid w:val="0"/>
          <w:sz w:val="24"/>
          <w:szCs w:val="20"/>
        </w:rPr>
        <w:t>.</w:t>
      </w:r>
      <w:r>
        <w:rPr>
          <w:rFonts w:ascii="Arial" w:eastAsia="Times New Roman" w:hAnsi="Arial" w:cs="Arial"/>
          <w:snapToGrid w:val="0"/>
          <w:sz w:val="24"/>
          <w:szCs w:val="20"/>
        </w:rPr>
        <w:t xml:space="preserve">  </w:t>
      </w:r>
      <w:r w:rsidRPr="00F260F2">
        <w:rPr>
          <w:rFonts w:ascii="Arial" w:eastAsia="Times New Roman" w:hAnsi="Arial" w:cs="Arial"/>
          <w:sz w:val="24"/>
          <w:szCs w:val="24"/>
        </w:rPr>
        <w:t xml:space="preserve">The </w:t>
      </w:r>
      <w:r w:rsidR="00DC3D9B">
        <w:rPr>
          <w:rFonts w:ascii="Arial" w:eastAsia="Times New Roman" w:hAnsi="Arial" w:cs="Arial"/>
          <w:sz w:val="24"/>
          <w:szCs w:val="24"/>
        </w:rPr>
        <w:t>FE</w:t>
      </w:r>
      <w:r w:rsidR="00AF4C2A">
        <w:rPr>
          <w:rFonts w:ascii="Arial" w:eastAsia="Times New Roman" w:hAnsi="Arial" w:cs="Arial"/>
          <w:sz w:val="24"/>
          <w:szCs w:val="24"/>
        </w:rPr>
        <w:noBreakHyphen/>
      </w:r>
      <w:r w:rsidR="00DC3D9B">
        <w:rPr>
          <w:rFonts w:ascii="Arial" w:eastAsia="Times New Roman" w:hAnsi="Arial" w:cs="Arial"/>
          <w:sz w:val="24"/>
          <w:szCs w:val="24"/>
        </w:rPr>
        <w:t>PA companies</w:t>
      </w:r>
      <w:r w:rsidRPr="00F260F2">
        <w:rPr>
          <w:rFonts w:ascii="Arial" w:eastAsia="Times New Roman" w:hAnsi="Arial" w:cs="Arial"/>
          <w:sz w:val="24"/>
          <w:szCs w:val="24"/>
        </w:rPr>
        <w:t xml:space="preserve"> retired </w:t>
      </w:r>
      <w:r>
        <w:rPr>
          <w:rFonts w:ascii="Arial" w:eastAsia="Times New Roman" w:hAnsi="Arial" w:cs="Arial"/>
          <w:sz w:val="24"/>
          <w:szCs w:val="24"/>
        </w:rPr>
        <w:t>57</w:t>
      </w:r>
      <w:r w:rsidRPr="00F260F2">
        <w:rPr>
          <w:rFonts w:ascii="Arial" w:eastAsia="Times New Roman" w:hAnsi="Arial" w:cs="Arial"/>
          <w:sz w:val="24"/>
          <w:szCs w:val="24"/>
        </w:rPr>
        <w:t xml:space="preserve"> </w:t>
      </w:r>
      <w:r>
        <w:rPr>
          <w:rFonts w:ascii="Arial" w:eastAsia="Times New Roman" w:hAnsi="Arial" w:cs="Arial"/>
          <w:sz w:val="24"/>
          <w:szCs w:val="24"/>
        </w:rPr>
        <w:t xml:space="preserve">underutilized </w:t>
      </w:r>
      <w:r w:rsidRPr="00F260F2">
        <w:rPr>
          <w:rFonts w:ascii="Arial" w:eastAsia="Times New Roman" w:hAnsi="Arial" w:cs="Arial"/>
          <w:sz w:val="24"/>
          <w:szCs w:val="24"/>
        </w:rPr>
        <w:t>vehicles in 2015</w:t>
      </w:r>
      <w:r>
        <w:rPr>
          <w:rFonts w:ascii="Arial" w:eastAsia="Times New Roman" w:hAnsi="Arial" w:cs="Arial"/>
          <w:sz w:val="24"/>
          <w:szCs w:val="24"/>
        </w:rPr>
        <w:t xml:space="preserve"> through 2017, resulting in one-time savings over the period of</w:t>
      </w:r>
      <w:r w:rsidR="00C459B8">
        <w:rPr>
          <w:rFonts w:ascii="Arial" w:eastAsia="Times New Roman" w:hAnsi="Arial" w:cs="Arial"/>
          <w:sz w:val="24"/>
          <w:szCs w:val="24"/>
        </w:rPr>
        <w:t xml:space="preserve"> approximately</w:t>
      </w:r>
      <w:r>
        <w:rPr>
          <w:rFonts w:ascii="Arial" w:eastAsia="Times New Roman" w:hAnsi="Arial" w:cs="Arial"/>
          <w:sz w:val="24"/>
          <w:szCs w:val="24"/>
        </w:rPr>
        <w:t xml:space="preserve"> $</w:t>
      </w:r>
      <w:r w:rsidR="00C459B8">
        <w:rPr>
          <w:rFonts w:ascii="Arial" w:eastAsia="Times New Roman" w:hAnsi="Arial" w:cs="Arial"/>
          <w:sz w:val="24"/>
          <w:szCs w:val="24"/>
        </w:rPr>
        <w:t>59,000</w:t>
      </w:r>
      <w:r>
        <w:rPr>
          <w:rFonts w:ascii="Arial" w:eastAsia="Times New Roman" w:hAnsi="Arial" w:cs="Arial"/>
          <w:sz w:val="24"/>
          <w:szCs w:val="24"/>
        </w:rPr>
        <w:t xml:space="preserve"> for Met-Ed, $</w:t>
      </w:r>
      <w:r w:rsidR="00C459B8">
        <w:rPr>
          <w:rFonts w:ascii="Arial" w:eastAsia="Times New Roman" w:hAnsi="Arial" w:cs="Arial"/>
          <w:sz w:val="24"/>
          <w:szCs w:val="24"/>
        </w:rPr>
        <w:t>29,000</w:t>
      </w:r>
      <w:r>
        <w:rPr>
          <w:rFonts w:ascii="Arial" w:eastAsia="Times New Roman" w:hAnsi="Arial" w:cs="Arial"/>
          <w:sz w:val="24"/>
          <w:szCs w:val="24"/>
        </w:rPr>
        <w:t xml:space="preserve"> for Penelec, $</w:t>
      </w:r>
      <w:r w:rsidR="00C459B8">
        <w:rPr>
          <w:rFonts w:ascii="Arial" w:eastAsia="Times New Roman" w:hAnsi="Arial" w:cs="Arial"/>
          <w:sz w:val="24"/>
          <w:szCs w:val="24"/>
        </w:rPr>
        <w:t>12,000</w:t>
      </w:r>
      <w:r>
        <w:rPr>
          <w:rFonts w:ascii="Arial" w:eastAsia="Times New Roman" w:hAnsi="Arial" w:cs="Arial"/>
          <w:sz w:val="24"/>
          <w:szCs w:val="24"/>
        </w:rPr>
        <w:t xml:space="preserve"> for Penn Power, and $</w:t>
      </w:r>
      <w:r w:rsidR="00C459B8">
        <w:rPr>
          <w:rFonts w:ascii="Arial" w:eastAsia="Times New Roman" w:hAnsi="Arial" w:cs="Arial"/>
          <w:sz w:val="24"/>
          <w:szCs w:val="24"/>
        </w:rPr>
        <w:t>35,000</w:t>
      </w:r>
      <w:r>
        <w:rPr>
          <w:rFonts w:ascii="Arial" w:eastAsia="Times New Roman" w:hAnsi="Arial" w:cs="Arial"/>
          <w:sz w:val="24"/>
          <w:szCs w:val="24"/>
        </w:rPr>
        <w:t xml:space="preserve"> for West Penn Power and </w:t>
      </w:r>
      <w:r w:rsidRPr="00F260F2">
        <w:rPr>
          <w:rFonts w:ascii="Arial" w:eastAsia="Times New Roman" w:hAnsi="Arial" w:cs="Arial"/>
          <w:sz w:val="24"/>
          <w:szCs w:val="24"/>
        </w:rPr>
        <w:t xml:space="preserve">reducing </w:t>
      </w:r>
      <w:r>
        <w:rPr>
          <w:rFonts w:ascii="Arial" w:eastAsia="Times New Roman" w:hAnsi="Arial" w:cs="Arial"/>
          <w:sz w:val="24"/>
          <w:szCs w:val="24"/>
        </w:rPr>
        <w:t xml:space="preserve">average annual </w:t>
      </w:r>
      <w:r w:rsidRPr="00F260F2">
        <w:rPr>
          <w:rFonts w:ascii="Arial" w:eastAsia="Times New Roman" w:hAnsi="Arial" w:cs="Arial"/>
          <w:sz w:val="24"/>
          <w:szCs w:val="24"/>
        </w:rPr>
        <w:t xml:space="preserve">maintenance and repair expenses </w:t>
      </w:r>
      <w:r>
        <w:rPr>
          <w:rFonts w:ascii="Arial" w:eastAsia="Times New Roman" w:hAnsi="Arial" w:cs="Arial"/>
          <w:sz w:val="24"/>
          <w:szCs w:val="24"/>
        </w:rPr>
        <w:t xml:space="preserve">over the period </w:t>
      </w:r>
      <w:r w:rsidRPr="00F260F2">
        <w:rPr>
          <w:rFonts w:ascii="Arial" w:eastAsia="Times New Roman" w:hAnsi="Arial" w:cs="Arial"/>
          <w:sz w:val="24"/>
          <w:szCs w:val="24"/>
        </w:rPr>
        <w:t>by</w:t>
      </w:r>
      <w:r>
        <w:rPr>
          <w:rFonts w:ascii="Arial" w:eastAsia="Times New Roman" w:hAnsi="Arial" w:cs="Arial"/>
          <w:sz w:val="24"/>
          <w:szCs w:val="24"/>
        </w:rPr>
        <w:t xml:space="preserve"> approximately</w:t>
      </w:r>
      <w:r w:rsidRPr="00F260F2">
        <w:rPr>
          <w:rFonts w:ascii="Arial" w:eastAsia="Times New Roman" w:hAnsi="Arial" w:cs="Arial"/>
          <w:sz w:val="24"/>
          <w:szCs w:val="24"/>
        </w:rPr>
        <w:t xml:space="preserve"> </w:t>
      </w:r>
      <w:r>
        <w:rPr>
          <w:rFonts w:ascii="Arial" w:eastAsia="Times New Roman" w:hAnsi="Arial" w:cs="Arial"/>
          <w:sz w:val="24"/>
          <w:szCs w:val="24"/>
        </w:rPr>
        <w:t>$15,000 for Met-Ed, $36,000 for Penelec, $17,</w:t>
      </w:r>
      <w:r w:rsidR="00C459B8">
        <w:rPr>
          <w:rFonts w:ascii="Arial" w:eastAsia="Times New Roman" w:hAnsi="Arial" w:cs="Arial"/>
          <w:sz w:val="24"/>
          <w:szCs w:val="24"/>
        </w:rPr>
        <w:t>000</w:t>
      </w:r>
      <w:r>
        <w:rPr>
          <w:rFonts w:ascii="Arial" w:eastAsia="Times New Roman" w:hAnsi="Arial" w:cs="Arial"/>
          <w:sz w:val="24"/>
          <w:szCs w:val="24"/>
        </w:rPr>
        <w:t xml:space="preserve"> for Penn Power, and $28,</w:t>
      </w:r>
      <w:r w:rsidR="00C459B8">
        <w:rPr>
          <w:rFonts w:ascii="Arial" w:eastAsia="Times New Roman" w:hAnsi="Arial" w:cs="Arial"/>
          <w:sz w:val="24"/>
          <w:szCs w:val="24"/>
        </w:rPr>
        <w:t>000</w:t>
      </w:r>
      <w:r>
        <w:rPr>
          <w:rFonts w:ascii="Arial" w:eastAsia="Times New Roman" w:hAnsi="Arial" w:cs="Arial"/>
          <w:sz w:val="24"/>
          <w:szCs w:val="24"/>
        </w:rPr>
        <w:t xml:space="preserve"> for West Penn Power.</w:t>
      </w:r>
    </w:p>
    <w:p w14:paraId="680DF34F" w14:textId="77777777" w:rsidR="00A359F2" w:rsidRDefault="00A359F2" w:rsidP="00A359F2">
      <w:pPr>
        <w:widowControl w:val="0"/>
        <w:spacing w:after="0" w:line="20" w:lineRule="atLeast"/>
        <w:jc w:val="center"/>
        <w:rPr>
          <w:rFonts w:ascii="Arial" w:eastAsia="Times New Roman" w:hAnsi="Arial" w:cs="Arial"/>
          <w:b/>
          <w:snapToGrid w:val="0"/>
          <w:sz w:val="24"/>
          <w:szCs w:val="20"/>
        </w:rPr>
      </w:pPr>
    </w:p>
    <w:p w14:paraId="7A3C1A01" w14:textId="77777777" w:rsidR="00A359F2" w:rsidRDefault="00A359F2" w:rsidP="00A359F2">
      <w:pPr>
        <w:widowControl w:val="0"/>
        <w:spacing w:after="0" w:line="20" w:lineRule="atLeast"/>
        <w:jc w:val="center"/>
        <w:rPr>
          <w:rFonts w:ascii="Arial" w:eastAsia="Times New Roman" w:hAnsi="Arial" w:cs="Arial"/>
          <w:b/>
          <w:snapToGrid w:val="0"/>
          <w:sz w:val="24"/>
          <w:szCs w:val="20"/>
        </w:rPr>
      </w:pPr>
      <w:r>
        <w:rPr>
          <w:rFonts w:ascii="Arial" w:eastAsia="Times New Roman" w:hAnsi="Arial" w:cs="Arial"/>
          <w:b/>
          <w:snapToGrid w:val="0"/>
          <w:sz w:val="24"/>
          <w:szCs w:val="20"/>
        </w:rPr>
        <w:t>Exhibit XII – 4</w:t>
      </w:r>
    </w:p>
    <w:p w14:paraId="6EBE7F50" w14:textId="77777777" w:rsidR="00A359F2" w:rsidRPr="00390583" w:rsidRDefault="00A359F2" w:rsidP="00A359F2">
      <w:pPr>
        <w:keepNext/>
        <w:widowControl w:val="0"/>
        <w:spacing w:after="0" w:line="20" w:lineRule="atLeast"/>
        <w:jc w:val="center"/>
        <w:rPr>
          <w:rFonts w:ascii="Arial" w:eastAsia="Times New Roman" w:hAnsi="Arial" w:cs="Arial"/>
          <w:b/>
          <w:bCs/>
          <w:snapToGrid w:val="0"/>
          <w:sz w:val="24"/>
          <w:szCs w:val="24"/>
          <w:lang w:val="en"/>
        </w:rPr>
      </w:pPr>
      <w:r w:rsidRPr="00390583">
        <w:rPr>
          <w:rFonts w:ascii="Arial" w:eastAsia="Times New Roman" w:hAnsi="Arial" w:cs="Arial"/>
          <w:b/>
          <w:bCs/>
          <w:snapToGrid w:val="0"/>
          <w:sz w:val="24"/>
          <w:szCs w:val="24"/>
          <w:lang w:val="en"/>
        </w:rPr>
        <w:t>FirstEnergy Pennsylvania Companies</w:t>
      </w:r>
    </w:p>
    <w:p w14:paraId="1D271015" w14:textId="77777777" w:rsidR="00A359F2" w:rsidRDefault="00A359F2" w:rsidP="00A359F2">
      <w:pPr>
        <w:widowControl w:val="0"/>
        <w:spacing w:after="0" w:line="20" w:lineRule="atLeast"/>
        <w:jc w:val="center"/>
        <w:rPr>
          <w:rFonts w:ascii="Arial" w:eastAsia="Times New Roman" w:hAnsi="Arial" w:cs="Arial"/>
          <w:b/>
          <w:snapToGrid w:val="0"/>
          <w:sz w:val="24"/>
          <w:szCs w:val="20"/>
        </w:rPr>
      </w:pPr>
      <w:r>
        <w:rPr>
          <w:rFonts w:ascii="Arial" w:eastAsia="Times New Roman" w:hAnsi="Arial" w:cs="Arial"/>
          <w:b/>
          <w:snapToGrid w:val="0"/>
          <w:sz w:val="24"/>
          <w:szCs w:val="20"/>
        </w:rPr>
        <w:t>Salvage Value of Retired Vehicles</w:t>
      </w:r>
    </w:p>
    <w:p w14:paraId="7EA0BE61" w14:textId="77777777" w:rsidR="00A359F2" w:rsidRPr="00456957" w:rsidRDefault="00A359F2" w:rsidP="00A359F2">
      <w:pPr>
        <w:widowControl w:val="0"/>
        <w:spacing w:after="0" w:line="20" w:lineRule="atLeast"/>
        <w:jc w:val="center"/>
        <w:rPr>
          <w:rFonts w:ascii="Arial" w:eastAsia="Times New Roman" w:hAnsi="Arial" w:cs="Arial"/>
          <w:b/>
          <w:snapToGrid w:val="0"/>
          <w:sz w:val="24"/>
          <w:szCs w:val="20"/>
        </w:rPr>
      </w:pPr>
      <w:r>
        <w:rPr>
          <w:rFonts w:ascii="Arial" w:eastAsia="Times New Roman" w:hAnsi="Arial" w:cs="Arial"/>
          <w:b/>
          <w:snapToGrid w:val="0"/>
          <w:sz w:val="24"/>
          <w:szCs w:val="20"/>
        </w:rPr>
        <w:t>For the Years 2015 through 2017</w:t>
      </w:r>
    </w:p>
    <w:p w14:paraId="77B49DC0" w14:textId="77777777" w:rsidR="00A359F2" w:rsidRPr="003B0603" w:rsidRDefault="00A359F2" w:rsidP="00A359F2">
      <w:pPr>
        <w:widowControl w:val="0"/>
        <w:spacing w:after="0" w:line="20" w:lineRule="atLeast"/>
        <w:rPr>
          <w:rFonts w:ascii="Arial" w:eastAsia="Times New Roman" w:hAnsi="Arial" w:cs="Arial"/>
          <w:snapToGrid w:val="0"/>
          <w:sz w:val="4"/>
          <w:szCs w:val="4"/>
        </w:rPr>
      </w:pPr>
    </w:p>
    <w:tbl>
      <w:tblPr>
        <w:tblStyle w:val="TableGrid6"/>
        <w:tblW w:w="0" w:type="auto"/>
        <w:jc w:val="center"/>
        <w:tblLook w:val="04A0" w:firstRow="1" w:lastRow="0" w:firstColumn="1" w:lastColumn="0" w:noHBand="0" w:noVBand="1"/>
      </w:tblPr>
      <w:tblGrid>
        <w:gridCol w:w="2065"/>
        <w:gridCol w:w="1522"/>
        <w:gridCol w:w="1584"/>
        <w:gridCol w:w="1584"/>
        <w:gridCol w:w="1584"/>
      </w:tblGrid>
      <w:tr w:rsidR="00A359F2" w:rsidRPr="003B0603" w14:paraId="0E9E94F8" w14:textId="77777777" w:rsidTr="00347614">
        <w:trPr>
          <w:trHeight w:val="20"/>
          <w:jc w:val="center"/>
        </w:trPr>
        <w:tc>
          <w:tcPr>
            <w:tcW w:w="2065" w:type="dxa"/>
          </w:tcPr>
          <w:p w14:paraId="6714BB2B" w14:textId="77777777" w:rsidR="00A359F2" w:rsidRPr="003B0603" w:rsidRDefault="00A359F2" w:rsidP="00347614">
            <w:pPr>
              <w:widowControl w:val="0"/>
              <w:spacing w:line="20" w:lineRule="atLeast"/>
              <w:jc w:val="center"/>
              <w:rPr>
                <w:rFonts w:ascii="Arial" w:hAnsi="Arial" w:cs="Arial"/>
                <w:snapToGrid w:val="0"/>
              </w:rPr>
            </w:pPr>
          </w:p>
        </w:tc>
        <w:tc>
          <w:tcPr>
            <w:tcW w:w="1522" w:type="dxa"/>
          </w:tcPr>
          <w:p w14:paraId="215D5A88" w14:textId="77777777" w:rsidR="00A359F2" w:rsidRPr="003B0603" w:rsidRDefault="00A359F2" w:rsidP="00347614">
            <w:pPr>
              <w:widowControl w:val="0"/>
              <w:spacing w:line="20" w:lineRule="atLeast"/>
              <w:jc w:val="center"/>
              <w:rPr>
                <w:rFonts w:ascii="Arial" w:hAnsi="Arial" w:cs="Arial"/>
                <w:b/>
                <w:snapToGrid w:val="0"/>
              </w:rPr>
            </w:pPr>
            <w:r w:rsidRPr="003B0603">
              <w:rPr>
                <w:rFonts w:ascii="Arial" w:hAnsi="Arial" w:cs="Arial"/>
                <w:b/>
                <w:snapToGrid w:val="0"/>
              </w:rPr>
              <w:t>2015</w:t>
            </w:r>
          </w:p>
        </w:tc>
        <w:tc>
          <w:tcPr>
            <w:tcW w:w="1584" w:type="dxa"/>
          </w:tcPr>
          <w:p w14:paraId="1566DB31" w14:textId="77777777" w:rsidR="00A359F2" w:rsidRPr="003B0603" w:rsidRDefault="00A359F2" w:rsidP="00347614">
            <w:pPr>
              <w:widowControl w:val="0"/>
              <w:spacing w:line="20" w:lineRule="atLeast"/>
              <w:jc w:val="center"/>
              <w:rPr>
                <w:rFonts w:ascii="Arial" w:hAnsi="Arial" w:cs="Arial"/>
                <w:b/>
                <w:snapToGrid w:val="0"/>
              </w:rPr>
            </w:pPr>
            <w:r w:rsidRPr="003B0603">
              <w:rPr>
                <w:rFonts w:ascii="Arial" w:hAnsi="Arial" w:cs="Arial"/>
                <w:b/>
                <w:snapToGrid w:val="0"/>
              </w:rPr>
              <w:t>2016</w:t>
            </w:r>
          </w:p>
        </w:tc>
        <w:tc>
          <w:tcPr>
            <w:tcW w:w="1584" w:type="dxa"/>
          </w:tcPr>
          <w:p w14:paraId="25F39ABA" w14:textId="77777777" w:rsidR="00A359F2" w:rsidRPr="003B0603" w:rsidRDefault="00A359F2" w:rsidP="00347614">
            <w:pPr>
              <w:widowControl w:val="0"/>
              <w:spacing w:line="20" w:lineRule="atLeast"/>
              <w:jc w:val="center"/>
              <w:rPr>
                <w:rFonts w:ascii="Arial" w:hAnsi="Arial" w:cs="Arial"/>
                <w:b/>
                <w:snapToGrid w:val="0"/>
              </w:rPr>
            </w:pPr>
            <w:r w:rsidRPr="003B0603">
              <w:rPr>
                <w:rFonts w:ascii="Arial" w:hAnsi="Arial" w:cs="Arial"/>
                <w:b/>
                <w:snapToGrid w:val="0"/>
              </w:rPr>
              <w:t>2017</w:t>
            </w:r>
          </w:p>
        </w:tc>
        <w:tc>
          <w:tcPr>
            <w:tcW w:w="1584" w:type="dxa"/>
          </w:tcPr>
          <w:p w14:paraId="0D83A6B1" w14:textId="77777777" w:rsidR="00A359F2" w:rsidRPr="003B0603" w:rsidRDefault="00A359F2" w:rsidP="00347614">
            <w:pPr>
              <w:widowControl w:val="0"/>
              <w:spacing w:line="20" w:lineRule="atLeast"/>
              <w:jc w:val="center"/>
              <w:rPr>
                <w:rFonts w:ascii="Arial" w:hAnsi="Arial" w:cs="Arial"/>
                <w:b/>
                <w:snapToGrid w:val="0"/>
              </w:rPr>
            </w:pPr>
            <w:r w:rsidRPr="003B0603">
              <w:rPr>
                <w:rFonts w:ascii="Arial" w:hAnsi="Arial" w:cs="Arial"/>
                <w:b/>
                <w:snapToGrid w:val="0"/>
              </w:rPr>
              <w:t>Total</w:t>
            </w:r>
          </w:p>
        </w:tc>
      </w:tr>
      <w:tr w:rsidR="00A359F2" w:rsidRPr="003B0603" w14:paraId="27936625" w14:textId="77777777" w:rsidTr="00347614">
        <w:trPr>
          <w:trHeight w:val="20"/>
          <w:jc w:val="center"/>
        </w:trPr>
        <w:tc>
          <w:tcPr>
            <w:tcW w:w="2065" w:type="dxa"/>
          </w:tcPr>
          <w:p w14:paraId="74C59833" w14:textId="77777777" w:rsidR="00A359F2" w:rsidRPr="003B0603" w:rsidRDefault="00A359F2" w:rsidP="00347614">
            <w:pPr>
              <w:widowControl w:val="0"/>
              <w:spacing w:line="20" w:lineRule="atLeast"/>
              <w:rPr>
                <w:rFonts w:ascii="Arial" w:hAnsi="Arial" w:cs="Arial"/>
                <w:b/>
                <w:snapToGrid w:val="0"/>
              </w:rPr>
            </w:pPr>
            <w:r w:rsidRPr="003B0603">
              <w:rPr>
                <w:rFonts w:ascii="Arial" w:hAnsi="Arial" w:cs="Arial"/>
                <w:b/>
                <w:snapToGrid w:val="0"/>
              </w:rPr>
              <w:t>Met-Ed</w:t>
            </w:r>
          </w:p>
        </w:tc>
        <w:tc>
          <w:tcPr>
            <w:tcW w:w="1522" w:type="dxa"/>
          </w:tcPr>
          <w:p w14:paraId="5B6CDFE0" w14:textId="77777777" w:rsidR="00A359F2" w:rsidRPr="003B0603" w:rsidRDefault="00A359F2" w:rsidP="00347614">
            <w:pPr>
              <w:widowControl w:val="0"/>
              <w:spacing w:line="20" w:lineRule="atLeast"/>
              <w:jc w:val="right"/>
              <w:rPr>
                <w:rFonts w:ascii="Arial" w:hAnsi="Arial" w:cs="Arial"/>
                <w:snapToGrid w:val="0"/>
              </w:rPr>
            </w:pPr>
            <w:r w:rsidRPr="003B0603">
              <w:rPr>
                <w:rFonts w:ascii="Arial" w:hAnsi="Arial" w:cs="Arial"/>
                <w:snapToGrid w:val="0"/>
              </w:rPr>
              <w:t>$59,080</w:t>
            </w:r>
          </w:p>
        </w:tc>
        <w:tc>
          <w:tcPr>
            <w:tcW w:w="1584" w:type="dxa"/>
          </w:tcPr>
          <w:p w14:paraId="7AD57E3F" w14:textId="77777777" w:rsidR="00A359F2" w:rsidRPr="003B0603" w:rsidRDefault="00A359F2" w:rsidP="00347614">
            <w:pPr>
              <w:widowControl w:val="0"/>
              <w:spacing w:line="20" w:lineRule="atLeast"/>
              <w:jc w:val="right"/>
              <w:rPr>
                <w:rFonts w:ascii="Arial" w:hAnsi="Arial" w:cs="Arial"/>
                <w:snapToGrid w:val="0"/>
              </w:rPr>
            </w:pPr>
            <w:r w:rsidRPr="003B0603">
              <w:rPr>
                <w:rFonts w:ascii="Arial" w:hAnsi="Arial" w:cs="Arial"/>
                <w:snapToGrid w:val="0"/>
              </w:rPr>
              <w:t>$0</w:t>
            </w:r>
          </w:p>
        </w:tc>
        <w:tc>
          <w:tcPr>
            <w:tcW w:w="1584" w:type="dxa"/>
          </w:tcPr>
          <w:p w14:paraId="6B5929F9" w14:textId="77777777" w:rsidR="00A359F2" w:rsidRPr="003B0603" w:rsidRDefault="00A359F2" w:rsidP="00347614">
            <w:pPr>
              <w:widowControl w:val="0"/>
              <w:spacing w:line="20" w:lineRule="atLeast"/>
              <w:jc w:val="right"/>
              <w:rPr>
                <w:rFonts w:ascii="Arial" w:hAnsi="Arial" w:cs="Arial"/>
                <w:snapToGrid w:val="0"/>
              </w:rPr>
            </w:pPr>
            <w:r w:rsidRPr="003B0603">
              <w:rPr>
                <w:rFonts w:ascii="Arial" w:hAnsi="Arial" w:cs="Arial"/>
                <w:snapToGrid w:val="0"/>
              </w:rPr>
              <w:t>$0</w:t>
            </w:r>
          </w:p>
        </w:tc>
        <w:tc>
          <w:tcPr>
            <w:tcW w:w="1584" w:type="dxa"/>
          </w:tcPr>
          <w:p w14:paraId="56AC35A9" w14:textId="77777777" w:rsidR="00A359F2" w:rsidRPr="003B0603" w:rsidRDefault="00A359F2" w:rsidP="00347614">
            <w:pPr>
              <w:widowControl w:val="0"/>
              <w:spacing w:line="20" w:lineRule="atLeast"/>
              <w:jc w:val="right"/>
              <w:rPr>
                <w:rFonts w:ascii="Arial" w:hAnsi="Arial" w:cs="Arial"/>
                <w:snapToGrid w:val="0"/>
              </w:rPr>
            </w:pPr>
            <w:r w:rsidRPr="003B0603">
              <w:rPr>
                <w:rFonts w:ascii="Arial" w:hAnsi="Arial" w:cs="Arial"/>
                <w:snapToGrid w:val="0"/>
              </w:rPr>
              <w:t>$59,080</w:t>
            </w:r>
          </w:p>
        </w:tc>
      </w:tr>
      <w:tr w:rsidR="00A359F2" w:rsidRPr="003B0603" w14:paraId="7B347B92" w14:textId="77777777" w:rsidTr="00347614">
        <w:trPr>
          <w:trHeight w:val="20"/>
          <w:jc w:val="center"/>
        </w:trPr>
        <w:tc>
          <w:tcPr>
            <w:tcW w:w="2065" w:type="dxa"/>
          </w:tcPr>
          <w:p w14:paraId="5CC2536F" w14:textId="77777777" w:rsidR="00A359F2" w:rsidRPr="003B0603" w:rsidRDefault="00A359F2" w:rsidP="00347614">
            <w:pPr>
              <w:widowControl w:val="0"/>
              <w:spacing w:line="20" w:lineRule="atLeast"/>
              <w:rPr>
                <w:rFonts w:ascii="Arial" w:hAnsi="Arial" w:cs="Arial"/>
                <w:b/>
                <w:snapToGrid w:val="0"/>
              </w:rPr>
            </w:pPr>
            <w:r w:rsidRPr="003B0603">
              <w:rPr>
                <w:rFonts w:ascii="Arial" w:hAnsi="Arial" w:cs="Arial"/>
                <w:b/>
                <w:snapToGrid w:val="0"/>
              </w:rPr>
              <w:t>Penelec</w:t>
            </w:r>
          </w:p>
        </w:tc>
        <w:tc>
          <w:tcPr>
            <w:tcW w:w="1522" w:type="dxa"/>
          </w:tcPr>
          <w:p w14:paraId="2607B9CB" w14:textId="77777777" w:rsidR="00A359F2" w:rsidRPr="003B0603" w:rsidRDefault="00A359F2" w:rsidP="00347614">
            <w:pPr>
              <w:widowControl w:val="0"/>
              <w:spacing w:line="20" w:lineRule="atLeast"/>
              <w:jc w:val="right"/>
              <w:rPr>
                <w:rFonts w:ascii="Arial" w:hAnsi="Arial" w:cs="Arial"/>
                <w:snapToGrid w:val="0"/>
              </w:rPr>
            </w:pPr>
            <w:r w:rsidRPr="003B0603">
              <w:rPr>
                <w:rFonts w:ascii="Arial" w:hAnsi="Arial" w:cs="Arial"/>
                <w:snapToGrid w:val="0"/>
              </w:rPr>
              <w:t>$28,944</w:t>
            </w:r>
          </w:p>
        </w:tc>
        <w:tc>
          <w:tcPr>
            <w:tcW w:w="1584" w:type="dxa"/>
          </w:tcPr>
          <w:p w14:paraId="116F6CE0" w14:textId="77777777" w:rsidR="00A359F2" w:rsidRPr="003B0603" w:rsidRDefault="00A359F2" w:rsidP="00347614">
            <w:pPr>
              <w:widowControl w:val="0"/>
              <w:spacing w:line="20" w:lineRule="atLeast"/>
              <w:jc w:val="right"/>
              <w:rPr>
                <w:rFonts w:ascii="Arial" w:hAnsi="Arial" w:cs="Arial"/>
                <w:snapToGrid w:val="0"/>
              </w:rPr>
            </w:pPr>
            <w:r w:rsidRPr="003B0603">
              <w:rPr>
                <w:rFonts w:ascii="Arial" w:hAnsi="Arial" w:cs="Arial"/>
                <w:snapToGrid w:val="0"/>
              </w:rPr>
              <w:t>$0</w:t>
            </w:r>
          </w:p>
        </w:tc>
        <w:tc>
          <w:tcPr>
            <w:tcW w:w="1584" w:type="dxa"/>
          </w:tcPr>
          <w:p w14:paraId="7AB095D4" w14:textId="77777777" w:rsidR="00A359F2" w:rsidRPr="003B0603" w:rsidRDefault="00A359F2" w:rsidP="00347614">
            <w:pPr>
              <w:widowControl w:val="0"/>
              <w:spacing w:line="20" w:lineRule="atLeast"/>
              <w:jc w:val="right"/>
              <w:rPr>
                <w:rFonts w:ascii="Arial" w:hAnsi="Arial" w:cs="Arial"/>
                <w:snapToGrid w:val="0"/>
              </w:rPr>
            </w:pPr>
            <w:r w:rsidRPr="003B0603">
              <w:rPr>
                <w:rFonts w:ascii="Arial" w:hAnsi="Arial" w:cs="Arial"/>
                <w:snapToGrid w:val="0"/>
              </w:rPr>
              <w:t>$300</w:t>
            </w:r>
          </w:p>
        </w:tc>
        <w:tc>
          <w:tcPr>
            <w:tcW w:w="1584" w:type="dxa"/>
          </w:tcPr>
          <w:p w14:paraId="6370D8A7" w14:textId="77777777" w:rsidR="00A359F2" w:rsidRPr="003B0603" w:rsidRDefault="00A359F2" w:rsidP="00347614">
            <w:pPr>
              <w:widowControl w:val="0"/>
              <w:spacing w:line="20" w:lineRule="atLeast"/>
              <w:jc w:val="right"/>
              <w:rPr>
                <w:rFonts w:ascii="Arial" w:hAnsi="Arial" w:cs="Arial"/>
                <w:snapToGrid w:val="0"/>
              </w:rPr>
            </w:pPr>
            <w:r w:rsidRPr="003B0603">
              <w:rPr>
                <w:rFonts w:ascii="Arial" w:hAnsi="Arial" w:cs="Arial"/>
                <w:snapToGrid w:val="0"/>
              </w:rPr>
              <w:t>$29,244</w:t>
            </w:r>
          </w:p>
        </w:tc>
      </w:tr>
      <w:tr w:rsidR="00A359F2" w:rsidRPr="003B0603" w14:paraId="5E9443F7" w14:textId="77777777" w:rsidTr="00347614">
        <w:trPr>
          <w:trHeight w:val="20"/>
          <w:jc w:val="center"/>
        </w:trPr>
        <w:tc>
          <w:tcPr>
            <w:tcW w:w="2065" w:type="dxa"/>
          </w:tcPr>
          <w:p w14:paraId="27758860" w14:textId="77777777" w:rsidR="00A359F2" w:rsidRPr="003B0603" w:rsidRDefault="00A359F2" w:rsidP="00347614">
            <w:pPr>
              <w:widowControl w:val="0"/>
              <w:spacing w:line="20" w:lineRule="atLeast"/>
              <w:rPr>
                <w:rFonts w:ascii="Arial" w:hAnsi="Arial" w:cs="Arial"/>
                <w:b/>
                <w:snapToGrid w:val="0"/>
              </w:rPr>
            </w:pPr>
            <w:r w:rsidRPr="003B0603">
              <w:rPr>
                <w:rFonts w:ascii="Arial" w:hAnsi="Arial" w:cs="Arial"/>
                <w:b/>
                <w:snapToGrid w:val="0"/>
              </w:rPr>
              <w:t>Penn Power</w:t>
            </w:r>
          </w:p>
        </w:tc>
        <w:tc>
          <w:tcPr>
            <w:tcW w:w="1522" w:type="dxa"/>
          </w:tcPr>
          <w:p w14:paraId="62FD99EC" w14:textId="77777777" w:rsidR="00A359F2" w:rsidRPr="003B0603" w:rsidRDefault="00A359F2" w:rsidP="00347614">
            <w:pPr>
              <w:widowControl w:val="0"/>
              <w:spacing w:line="20" w:lineRule="atLeast"/>
              <w:jc w:val="right"/>
              <w:rPr>
                <w:rFonts w:ascii="Arial" w:hAnsi="Arial" w:cs="Arial"/>
                <w:snapToGrid w:val="0"/>
              </w:rPr>
            </w:pPr>
            <w:r w:rsidRPr="003B0603">
              <w:rPr>
                <w:rFonts w:ascii="Arial" w:hAnsi="Arial" w:cs="Arial"/>
                <w:snapToGrid w:val="0"/>
              </w:rPr>
              <w:t>$11,916</w:t>
            </w:r>
          </w:p>
        </w:tc>
        <w:tc>
          <w:tcPr>
            <w:tcW w:w="1584" w:type="dxa"/>
          </w:tcPr>
          <w:p w14:paraId="3606E4C7" w14:textId="77777777" w:rsidR="00A359F2" w:rsidRPr="003B0603" w:rsidRDefault="00A359F2" w:rsidP="00347614">
            <w:pPr>
              <w:widowControl w:val="0"/>
              <w:spacing w:line="20" w:lineRule="atLeast"/>
              <w:jc w:val="right"/>
              <w:rPr>
                <w:rFonts w:ascii="Arial" w:hAnsi="Arial" w:cs="Arial"/>
                <w:snapToGrid w:val="0"/>
              </w:rPr>
            </w:pPr>
            <w:r w:rsidRPr="003B0603">
              <w:rPr>
                <w:rFonts w:ascii="Arial" w:hAnsi="Arial" w:cs="Arial"/>
                <w:snapToGrid w:val="0"/>
              </w:rPr>
              <w:t>$276</w:t>
            </w:r>
          </w:p>
        </w:tc>
        <w:tc>
          <w:tcPr>
            <w:tcW w:w="1584" w:type="dxa"/>
          </w:tcPr>
          <w:p w14:paraId="41836B4D" w14:textId="77777777" w:rsidR="00A359F2" w:rsidRPr="003B0603" w:rsidRDefault="00A359F2" w:rsidP="00347614">
            <w:pPr>
              <w:widowControl w:val="0"/>
              <w:spacing w:line="20" w:lineRule="atLeast"/>
              <w:jc w:val="right"/>
              <w:rPr>
                <w:rFonts w:ascii="Arial" w:hAnsi="Arial" w:cs="Arial"/>
                <w:snapToGrid w:val="0"/>
              </w:rPr>
            </w:pPr>
            <w:r w:rsidRPr="003B0603">
              <w:rPr>
                <w:rFonts w:ascii="Arial" w:hAnsi="Arial" w:cs="Arial"/>
                <w:snapToGrid w:val="0"/>
              </w:rPr>
              <w:t>$0</w:t>
            </w:r>
          </w:p>
        </w:tc>
        <w:tc>
          <w:tcPr>
            <w:tcW w:w="1584" w:type="dxa"/>
          </w:tcPr>
          <w:p w14:paraId="69B84DF9" w14:textId="77777777" w:rsidR="00A359F2" w:rsidRPr="003B0603" w:rsidRDefault="00A359F2" w:rsidP="00347614">
            <w:pPr>
              <w:widowControl w:val="0"/>
              <w:spacing w:line="20" w:lineRule="atLeast"/>
              <w:jc w:val="right"/>
              <w:rPr>
                <w:rFonts w:ascii="Arial" w:hAnsi="Arial" w:cs="Arial"/>
                <w:snapToGrid w:val="0"/>
              </w:rPr>
            </w:pPr>
            <w:r w:rsidRPr="003B0603">
              <w:rPr>
                <w:rFonts w:ascii="Arial" w:hAnsi="Arial" w:cs="Arial"/>
                <w:snapToGrid w:val="0"/>
              </w:rPr>
              <w:t>$12,192</w:t>
            </w:r>
          </w:p>
        </w:tc>
      </w:tr>
      <w:tr w:rsidR="00A359F2" w:rsidRPr="003B0603" w14:paraId="4E17CE4A" w14:textId="77777777" w:rsidTr="00347614">
        <w:trPr>
          <w:trHeight w:val="20"/>
          <w:jc w:val="center"/>
        </w:trPr>
        <w:tc>
          <w:tcPr>
            <w:tcW w:w="2065" w:type="dxa"/>
          </w:tcPr>
          <w:p w14:paraId="790033E4" w14:textId="77777777" w:rsidR="00A359F2" w:rsidRPr="003B0603" w:rsidRDefault="00A359F2" w:rsidP="00347614">
            <w:pPr>
              <w:widowControl w:val="0"/>
              <w:spacing w:line="20" w:lineRule="atLeast"/>
              <w:rPr>
                <w:rFonts w:ascii="Arial" w:hAnsi="Arial" w:cs="Arial"/>
                <w:b/>
                <w:snapToGrid w:val="0"/>
              </w:rPr>
            </w:pPr>
            <w:r w:rsidRPr="003B0603">
              <w:rPr>
                <w:rFonts w:ascii="Arial" w:hAnsi="Arial" w:cs="Arial"/>
                <w:b/>
                <w:snapToGrid w:val="0"/>
              </w:rPr>
              <w:t>West Penn Power</w:t>
            </w:r>
          </w:p>
        </w:tc>
        <w:tc>
          <w:tcPr>
            <w:tcW w:w="1522" w:type="dxa"/>
          </w:tcPr>
          <w:p w14:paraId="17D3B7E1" w14:textId="77777777" w:rsidR="00A359F2" w:rsidRPr="003B0603" w:rsidRDefault="00A359F2" w:rsidP="00347614">
            <w:pPr>
              <w:widowControl w:val="0"/>
              <w:spacing w:line="20" w:lineRule="atLeast"/>
              <w:jc w:val="right"/>
              <w:rPr>
                <w:rFonts w:ascii="Arial" w:hAnsi="Arial" w:cs="Arial"/>
                <w:snapToGrid w:val="0"/>
              </w:rPr>
            </w:pPr>
            <w:r w:rsidRPr="003B0603">
              <w:rPr>
                <w:rFonts w:ascii="Arial" w:hAnsi="Arial" w:cs="Arial"/>
                <w:snapToGrid w:val="0"/>
              </w:rPr>
              <w:t>$11,662</w:t>
            </w:r>
          </w:p>
        </w:tc>
        <w:tc>
          <w:tcPr>
            <w:tcW w:w="1584" w:type="dxa"/>
          </w:tcPr>
          <w:p w14:paraId="3041E491" w14:textId="77777777" w:rsidR="00A359F2" w:rsidRPr="003B0603" w:rsidRDefault="00A359F2" w:rsidP="00347614">
            <w:pPr>
              <w:widowControl w:val="0"/>
              <w:spacing w:line="20" w:lineRule="atLeast"/>
              <w:jc w:val="right"/>
              <w:rPr>
                <w:rFonts w:ascii="Arial" w:hAnsi="Arial" w:cs="Arial"/>
                <w:snapToGrid w:val="0"/>
              </w:rPr>
            </w:pPr>
            <w:r w:rsidRPr="003B0603">
              <w:rPr>
                <w:rFonts w:ascii="Arial" w:hAnsi="Arial" w:cs="Arial"/>
                <w:snapToGrid w:val="0"/>
              </w:rPr>
              <w:t>$5,685</w:t>
            </w:r>
          </w:p>
        </w:tc>
        <w:tc>
          <w:tcPr>
            <w:tcW w:w="1584" w:type="dxa"/>
          </w:tcPr>
          <w:p w14:paraId="6AEA607F" w14:textId="77777777" w:rsidR="00A359F2" w:rsidRPr="003B0603" w:rsidRDefault="00A359F2" w:rsidP="00347614">
            <w:pPr>
              <w:widowControl w:val="0"/>
              <w:spacing w:line="20" w:lineRule="atLeast"/>
              <w:jc w:val="right"/>
              <w:rPr>
                <w:rFonts w:ascii="Arial" w:hAnsi="Arial" w:cs="Arial"/>
                <w:snapToGrid w:val="0"/>
              </w:rPr>
            </w:pPr>
            <w:r w:rsidRPr="003B0603">
              <w:rPr>
                <w:rFonts w:ascii="Arial" w:hAnsi="Arial" w:cs="Arial"/>
                <w:snapToGrid w:val="0"/>
              </w:rPr>
              <w:t>$17,619</w:t>
            </w:r>
          </w:p>
        </w:tc>
        <w:tc>
          <w:tcPr>
            <w:tcW w:w="1584" w:type="dxa"/>
          </w:tcPr>
          <w:p w14:paraId="3C84CF77" w14:textId="77777777" w:rsidR="00A359F2" w:rsidRPr="003B0603" w:rsidRDefault="00A359F2" w:rsidP="00347614">
            <w:pPr>
              <w:widowControl w:val="0"/>
              <w:spacing w:line="20" w:lineRule="atLeast"/>
              <w:jc w:val="right"/>
              <w:rPr>
                <w:rFonts w:ascii="Arial" w:hAnsi="Arial" w:cs="Arial"/>
                <w:snapToGrid w:val="0"/>
              </w:rPr>
            </w:pPr>
            <w:r w:rsidRPr="003B0603">
              <w:rPr>
                <w:rFonts w:ascii="Arial" w:hAnsi="Arial" w:cs="Arial"/>
                <w:snapToGrid w:val="0"/>
              </w:rPr>
              <w:t>$34,966</w:t>
            </w:r>
          </w:p>
        </w:tc>
      </w:tr>
      <w:tr w:rsidR="00A359F2" w:rsidRPr="003B0603" w14:paraId="503B8FA9" w14:textId="77777777" w:rsidTr="00347614">
        <w:trPr>
          <w:trHeight w:val="20"/>
          <w:jc w:val="center"/>
        </w:trPr>
        <w:tc>
          <w:tcPr>
            <w:tcW w:w="2065" w:type="dxa"/>
          </w:tcPr>
          <w:p w14:paraId="0251C05B" w14:textId="77777777" w:rsidR="00A359F2" w:rsidRPr="003B0603" w:rsidRDefault="00A359F2" w:rsidP="00347614">
            <w:pPr>
              <w:widowControl w:val="0"/>
              <w:spacing w:line="20" w:lineRule="atLeast"/>
              <w:rPr>
                <w:rFonts w:ascii="Arial" w:hAnsi="Arial" w:cs="Arial"/>
                <w:b/>
                <w:snapToGrid w:val="0"/>
              </w:rPr>
            </w:pPr>
            <w:r w:rsidRPr="003B0603">
              <w:rPr>
                <w:rFonts w:ascii="Arial" w:hAnsi="Arial" w:cs="Arial"/>
                <w:b/>
                <w:snapToGrid w:val="0"/>
              </w:rPr>
              <w:t>Total</w:t>
            </w:r>
          </w:p>
        </w:tc>
        <w:tc>
          <w:tcPr>
            <w:tcW w:w="1522" w:type="dxa"/>
          </w:tcPr>
          <w:p w14:paraId="154D23E0" w14:textId="77777777" w:rsidR="00A359F2" w:rsidRPr="003B0603" w:rsidRDefault="00A359F2" w:rsidP="00347614">
            <w:pPr>
              <w:widowControl w:val="0"/>
              <w:spacing w:line="20" w:lineRule="atLeast"/>
              <w:jc w:val="right"/>
              <w:rPr>
                <w:rFonts w:ascii="Arial" w:hAnsi="Arial" w:cs="Arial"/>
                <w:snapToGrid w:val="0"/>
              </w:rPr>
            </w:pPr>
          </w:p>
        </w:tc>
        <w:tc>
          <w:tcPr>
            <w:tcW w:w="1584" w:type="dxa"/>
          </w:tcPr>
          <w:p w14:paraId="4B66006C" w14:textId="77777777" w:rsidR="00A359F2" w:rsidRPr="003B0603" w:rsidRDefault="00A359F2" w:rsidP="00347614">
            <w:pPr>
              <w:widowControl w:val="0"/>
              <w:spacing w:line="20" w:lineRule="atLeast"/>
              <w:jc w:val="right"/>
              <w:rPr>
                <w:rFonts w:ascii="Arial" w:hAnsi="Arial" w:cs="Arial"/>
                <w:snapToGrid w:val="0"/>
              </w:rPr>
            </w:pPr>
          </w:p>
        </w:tc>
        <w:tc>
          <w:tcPr>
            <w:tcW w:w="1584" w:type="dxa"/>
          </w:tcPr>
          <w:p w14:paraId="232B1AFC" w14:textId="77777777" w:rsidR="00A359F2" w:rsidRPr="003B0603" w:rsidRDefault="00A359F2" w:rsidP="00347614">
            <w:pPr>
              <w:widowControl w:val="0"/>
              <w:spacing w:line="20" w:lineRule="atLeast"/>
              <w:jc w:val="right"/>
              <w:rPr>
                <w:rFonts w:ascii="Arial" w:hAnsi="Arial" w:cs="Arial"/>
                <w:snapToGrid w:val="0"/>
              </w:rPr>
            </w:pPr>
          </w:p>
        </w:tc>
        <w:tc>
          <w:tcPr>
            <w:tcW w:w="1584" w:type="dxa"/>
          </w:tcPr>
          <w:p w14:paraId="47B6F0AA" w14:textId="77777777" w:rsidR="00A359F2" w:rsidRPr="003B0603" w:rsidRDefault="00A359F2" w:rsidP="00347614">
            <w:pPr>
              <w:widowControl w:val="0"/>
              <w:spacing w:line="20" w:lineRule="atLeast"/>
              <w:jc w:val="right"/>
              <w:rPr>
                <w:rFonts w:ascii="Arial" w:hAnsi="Arial" w:cs="Arial"/>
                <w:b/>
                <w:snapToGrid w:val="0"/>
              </w:rPr>
            </w:pPr>
            <w:r w:rsidRPr="003B0603">
              <w:rPr>
                <w:rFonts w:ascii="Arial" w:hAnsi="Arial" w:cs="Arial"/>
                <w:b/>
                <w:snapToGrid w:val="0"/>
              </w:rPr>
              <w:t>$135,482</w:t>
            </w:r>
          </w:p>
        </w:tc>
      </w:tr>
    </w:tbl>
    <w:p w14:paraId="1803216F" w14:textId="77777777" w:rsidR="00A359F2" w:rsidRPr="00EC4904" w:rsidRDefault="00A359F2" w:rsidP="00A359F2">
      <w:pPr>
        <w:widowControl w:val="0"/>
        <w:spacing w:after="0" w:line="20" w:lineRule="atLeast"/>
        <w:ind w:left="540"/>
        <w:rPr>
          <w:rFonts w:ascii="Arial" w:eastAsia="Times New Roman" w:hAnsi="Arial" w:cs="Arial"/>
          <w:snapToGrid w:val="0"/>
          <w:sz w:val="18"/>
          <w:szCs w:val="18"/>
        </w:rPr>
      </w:pPr>
      <w:r w:rsidRPr="00EC4904">
        <w:rPr>
          <w:rFonts w:ascii="Arial" w:eastAsia="Times New Roman" w:hAnsi="Arial" w:cs="Arial"/>
          <w:snapToGrid w:val="0"/>
          <w:sz w:val="18"/>
          <w:szCs w:val="18"/>
        </w:rPr>
        <w:t>Source: Data Request No. VE-7.11 and Auditor Analysis</w:t>
      </w:r>
    </w:p>
    <w:p w14:paraId="4B266D66" w14:textId="77777777" w:rsidR="0086784A" w:rsidRDefault="0086784A" w:rsidP="003B0603">
      <w:pPr>
        <w:spacing w:after="0" w:line="240" w:lineRule="auto"/>
        <w:rPr>
          <w:rFonts w:ascii="Arial" w:eastAsia="Times New Roman" w:hAnsi="Arial" w:cs="Arial"/>
          <w:b/>
          <w:snapToGrid w:val="0"/>
          <w:sz w:val="24"/>
          <w:szCs w:val="20"/>
        </w:rPr>
      </w:pPr>
    </w:p>
    <w:p w14:paraId="1C3FC63C" w14:textId="77777777" w:rsidR="00A359F2" w:rsidRDefault="00A359F2" w:rsidP="00A359F2">
      <w:pPr>
        <w:widowControl w:val="0"/>
        <w:spacing w:after="0" w:line="20" w:lineRule="atLeast"/>
        <w:jc w:val="center"/>
        <w:rPr>
          <w:rFonts w:ascii="Arial" w:eastAsia="Times New Roman" w:hAnsi="Arial" w:cs="Arial"/>
          <w:b/>
          <w:snapToGrid w:val="0"/>
          <w:sz w:val="24"/>
          <w:szCs w:val="20"/>
        </w:rPr>
      </w:pPr>
      <w:r>
        <w:rPr>
          <w:rFonts w:ascii="Arial" w:eastAsia="Times New Roman" w:hAnsi="Arial" w:cs="Arial"/>
          <w:b/>
          <w:snapToGrid w:val="0"/>
          <w:sz w:val="24"/>
          <w:szCs w:val="20"/>
        </w:rPr>
        <w:t>Exhibit XII – 5</w:t>
      </w:r>
    </w:p>
    <w:p w14:paraId="55A4C004" w14:textId="77777777" w:rsidR="00A359F2" w:rsidRPr="00390583" w:rsidRDefault="00A359F2" w:rsidP="00A359F2">
      <w:pPr>
        <w:keepNext/>
        <w:widowControl w:val="0"/>
        <w:spacing w:after="0" w:line="20" w:lineRule="atLeast"/>
        <w:jc w:val="center"/>
        <w:rPr>
          <w:rFonts w:ascii="Arial" w:eastAsia="Times New Roman" w:hAnsi="Arial" w:cs="Arial"/>
          <w:b/>
          <w:bCs/>
          <w:snapToGrid w:val="0"/>
          <w:sz w:val="24"/>
          <w:szCs w:val="24"/>
          <w:lang w:val="en"/>
        </w:rPr>
      </w:pPr>
      <w:r w:rsidRPr="00390583">
        <w:rPr>
          <w:rFonts w:ascii="Arial" w:eastAsia="Times New Roman" w:hAnsi="Arial" w:cs="Arial"/>
          <w:b/>
          <w:bCs/>
          <w:snapToGrid w:val="0"/>
          <w:sz w:val="24"/>
          <w:szCs w:val="24"/>
          <w:lang w:val="en"/>
        </w:rPr>
        <w:t>FirstEnergy Pennsylvania Companies</w:t>
      </w:r>
    </w:p>
    <w:p w14:paraId="2C673996" w14:textId="77777777" w:rsidR="00A359F2" w:rsidRDefault="00A359F2" w:rsidP="00A359F2">
      <w:pPr>
        <w:widowControl w:val="0"/>
        <w:spacing w:after="0" w:line="20" w:lineRule="atLeast"/>
        <w:jc w:val="center"/>
        <w:rPr>
          <w:rFonts w:ascii="Arial" w:eastAsia="Times New Roman" w:hAnsi="Arial" w:cs="Arial"/>
          <w:b/>
          <w:snapToGrid w:val="0"/>
          <w:sz w:val="24"/>
          <w:szCs w:val="20"/>
        </w:rPr>
      </w:pPr>
      <w:r>
        <w:rPr>
          <w:rFonts w:ascii="Arial" w:eastAsia="Times New Roman" w:hAnsi="Arial" w:cs="Arial"/>
          <w:b/>
          <w:snapToGrid w:val="0"/>
          <w:sz w:val="24"/>
          <w:szCs w:val="20"/>
        </w:rPr>
        <w:t>Maintenance Cost Savings</w:t>
      </w:r>
    </w:p>
    <w:p w14:paraId="0F190B0F" w14:textId="77777777" w:rsidR="00A359F2" w:rsidRPr="00456957" w:rsidRDefault="00A359F2" w:rsidP="00A359F2">
      <w:pPr>
        <w:widowControl w:val="0"/>
        <w:spacing w:after="0" w:line="20" w:lineRule="atLeast"/>
        <w:jc w:val="center"/>
        <w:rPr>
          <w:rFonts w:ascii="Arial" w:eastAsia="Times New Roman" w:hAnsi="Arial" w:cs="Arial"/>
          <w:b/>
          <w:snapToGrid w:val="0"/>
          <w:sz w:val="24"/>
          <w:szCs w:val="20"/>
        </w:rPr>
      </w:pPr>
      <w:r>
        <w:rPr>
          <w:rFonts w:ascii="Arial" w:eastAsia="Times New Roman" w:hAnsi="Arial" w:cs="Arial"/>
          <w:b/>
          <w:snapToGrid w:val="0"/>
          <w:sz w:val="24"/>
          <w:szCs w:val="20"/>
        </w:rPr>
        <w:t>For the Years 2015 through 2017</w:t>
      </w:r>
    </w:p>
    <w:p w14:paraId="4EC9F093" w14:textId="77777777" w:rsidR="00A359F2" w:rsidRPr="003B0603" w:rsidRDefault="00A359F2" w:rsidP="00A359F2">
      <w:pPr>
        <w:widowControl w:val="0"/>
        <w:spacing w:after="0" w:line="20" w:lineRule="atLeast"/>
        <w:rPr>
          <w:rFonts w:ascii="Arial" w:eastAsia="Times New Roman" w:hAnsi="Arial" w:cs="Arial"/>
          <w:snapToGrid w:val="0"/>
          <w:sz w:val="4"/>
          <w:szCs w:val="4"/>
        </w:rPr>
      </w:pPr>
    </w:p>
    <w:tbl>
      <w:tblPr>
        <w:tblStyle w:val="TableGrid6"/>
        <w:tblW w:w="0" w:type="auto"/>
        <w:jc w:val="center"/>
        <w:tblLook w:val="04A0" w:firstRow="1" w:lastRow="0" w:firstColumn="1" w:lastColumn="0" w:noHBand="0" w:noVBand="1"/>
      </w:tblPr>
      <w:tblGrid>
        <w:gridCol w:w="2183"/>
        <w:gridCol w:w="1584"/>
        <w:gridCol w:w="1584"/>
        <w:gridCol w:w="1584"/>
        <w:gridCol w:w="1584"/>
      </w:tblGrid>
      <w:tr w:rsidR="00A359F2" w:rsidRPr="003B0603" w14:paraId="56CA957B" w14:textId="77777777" w:rsidTr="00347614">
        <w:trPr>
          <w:trHeight w:val="144"/>
          <w:jc w:val="center"/>
        </w:trPr>
        <w:tc>
          <w:tcPr>
            <w:tcW w:w="2183" w:type="dxa"/>
          </w:tcPr>
          <w:p w14:paraId="341F2519" w14:textId="77777777" w:rsidR="00A359F2" w:rsidRPr="003B0603" w:rsidRDefault="00A359F2" w:rsidP="00347614">
            <w:pPr>
              <w:widowControl w:val="0"/>
              <w:spacing w:line="20" w:lineRule="atLeast"/>
              <w:jc w:val="center"/>
              <w:rPr>
                <w:rFonts w:ascii="Arial" w:hAnsi="Arial" w:cs="Arial"/>
                <w:snapToGrid w:val="0"/>
              </w:rPr>
            </w:pPr>
          </w:p>
        </w:tc>
        <w:tc>
          <w:tcPr>
            <w:tcW w:w="1584" w:type="dxa"/>
          </w:tcPr>
          <w:p w14:paraId="29DF06ED" w14:textId="77777777" w:rsidR="00A359F2" w:rsidRPr="003B0603" w:rsidRDefault="00A359F2" w:rsidP="00347614">
            <w:pPr>
              <w:widowControl w:val="0"/>
              <w:spacing w:line="20" w:lineRule="atLeast"/>
              <w:jc w:val="center"/>
              <w:rPr>
                <w:rFonts w:ascii="Arial" w:hAnsi="Arial" w:cs="Arial"/>
                <w:b/>
                <w:snapToGrid w:val="0"/>
              </w:rPr>
            </w:pPr>
            <w:r w:rsidRPr="003B0603">
              <w:rPr>
                <w:rFonts w:ascii="Arial" w:hAnsi="Arial" w:cs="Arial"/>
                <w:b/>
                <w:snapToGrid w:val="0"/>
              </w:rPr>
              <w:t>2015</w:t>
            </w:r>
          </w:p>
        </w:tc>
        <w:tc>
          <w:tcPr>
            <w:tcW w:w="1584" w:type="dxa"/>
          </w:tcPr>
          <w:p w14:paraId="6C197994" w14:textId="77777777" w:rsidR="00A359F2" w:rsidRPr="003B0603" w:rsidRDefault="00A359F2" w:rsidP="00347614">
            <w:pPr>
              <w:widowControl w:val="0"/>
              <w:spacing w:line="20" w:lineRule="atLeast"/>
              <w:jc w:val="center"/>
              <w:rPr>
                <w:rFonts w:ascii="Arial" w:hAnsi="Arial" w:cs="Arial"/>
                <w:b/>
                <w:snapToGrid w:val="0"/>
              </w:rPr>
            </w:pPr>
            <w:r w:rsidRPr="003B0603">
              <w:rPr>
                <w:rFonts w:ascii="Arial" w:hAnsi="Arial" w:cs="Arial"/>
                <w:b/>
                <w:snapToGrid w:val="0"/>
              </w:rPr>
              <w:t>2016</w:t>
            </w:r>
          </w:p>
        </w:tc>
        <w:tc>
          <w:tcPr>
            <w:tcW w:w="1584" w:type="dxa"/>
          </w:tcPr>
          <w:p w14:paraId="285A078C" w14:textId="77777777" w:rsidR="00A359F2" w:rsidRPr="003B0603" w:rsidRDefault="00A359F2" w:rsidP="00347614">
            <w:pPr>
              <w:widowControl w:val="0"/>
              <w:spacing w:line="20" w:lineRule="atLeast"/>
              <w:jc w:val="center"/>
              <w:rPr>
                <w:rFonts w:ascii="Arial" w:hAnsi="Arial" w:cs="Arial"/>
                <w:b/>
                <w:snapToGrid w:val="0"/>
              </w:rPr>
            </w:pPr>
            <w:r w:rsidRPr="003B0603">
              <w:rPr>
                <w:rFonts w:ascii="Arial" w:hAnsi="Arial" w:cs="Arial"/>
                <w:b/>
                <w:snapToGrid w:val="0"/>
              </w:rPr>
              <w:t>2017</w:t>
            </w:r>
          </w:p>
        </w:tc>
        <w:tc>
          <w:tcPr>
            <w:tcW w:w="1584" w:type="dxa"/>
          </w:tcPr>
          <w:p w14:paraId="20E0452D" w14:textId="77777777" w:rsidR="00A359F2" w:rsidRPr="003B0603" w:rsidRDefault="00A359F2" w:rsidP="00347614">
            <w:pPr>
              <w:widowControl w:val="0"/>
              <w:spacing w:line="20" w:lineRule="atLeast"/>
              <w:jc w:val="center"/>
              <w:rPr>
                <w:rFonts w:ascii="Arial" w:hAnsi="Arial" w:cs="Arial"/>
                <w:b/>
                <w:snapToGrid w:val="0"/>
              </w:rPr>
            </w:pPr>
            <w:r w:rsidRPr="003B0603">
              <w:rPr>
                <w:rFonts w:ascii="Arial" w:hAnsi="Arial" w:cs="Arial"/>
                <w:b/>
                <w:snapToGrid w:val="0"/>
              </w:rPr>
              <w:t>Total</w:t>
            </w:r>
          </w:p>
        </w:tc>
      </w:tr>
      <w:tr w:rsidR="00A359F2" w:rsidRPr="003B0603" w14:paraId="70F98F33" w14:textId="77777777" w:rsidTr="00347614">
        <w:trPr>
          <w:trHeight w:val="144"/>
          <w:jc w:val="center"/>
        </w:trPr>
        <w:tc>
          <w:tcPr>
            <w:tcW w:w="2183" w:type="dxa"/>
          </w:tcPr>
          <w:p w14:paraId="34D56A20" w14:textId="77777777" w:rsidR="00A359F2" w:rsidRPr="003B0603" w:rsidRDefault="00A359F2" w:rsidP="00347614">
            <w:pPr>
              <w:widowControl w:val="0"/>
              <w:spacing w:line="20" w:lineRule="atLeast"/>
              <w:rPr>
                <w:rFonts w:ascii="Arial" w:hAnsi="Arial" w:cs="Arial"/>
                <w:b/>
                <w:snapToGrid w:val="0"/>
              </w:rPr>
            </w:pPr>
            <w:r w:rsidRPr="003B0603">
              <w:rPr>
                <w:rFonts w:ascii="Arial" w:hAnsi="Arial" w:cs="Arial"/>
                <w:b/>
                <w:snapToGrid w:val="0"/>
              </w:rPr>
              <w:t>Met-Ed</w:t>
            </w:r>
          </w:p>
        </w:tc>
        <w:tc>
          <w:tcPr>
            <w:tcW w:w="1584" w:type="dxa"/>
          </w:tcPr>
          <w:p w14:paraId="7A550A50" w14:textId="77777777" w:rsidR="00A359F2" w:rsidRPr="003B0603" w:rsidRDefault="00A359F2" w:rsidP="00347614">
            <w:pPr>
              <w:widowControl w:val="0"/>
              <w:spacing w:line="20" w:lineRule="atLeast"/>
              <w:jc w:val="right"/>
              <w:rPr>
                <w:rFonts w:ascii="Arial" w:hAnsi="Arial" w:cs="Arial"/>
                <w:snapToGrid w:val="0"/>
              </w:rPr>
            </w:pPr>
            <w:r w:rsidRPr="003B0603">
              <w:rPr>
                <w:rFonts w:ascii="Arial" w:hAnsi="Arial" w:cs="Arial"/>
                <w:snapToGrid w:val="0"/>
              </w:rPr>
              <w:t>$11,835</w:t>
            </w:r>
          </w:p>
        </w:tc>
        <w:tc>
          <w:tcPr>
            <w:tcW w:w="1584" w:type="dxa"/>
          </w:tcPr>
          <w:p w14:paraId="2B79A436" w14:textId="77777777" w:rsidR="00A359F2" w:rsidRPr="003B0603" w:rsidRDefault="00A359F2" w:rsidP="00347614">
            <w:pPr>
              <w:widowControl w:val="0"/>
              <w:spacing w:line="20" w:lineRule="atLeast"/>
              <w:jc w:val="right"/>
              <w:rPr>
                <w:rFonts w:ascii="Arial" w:hAnsi="Arial" w:cs="Arial"/>
                <w:snapToGrid w:val="0"/>
              </w:rPr>
            </w:pPr>
            <w:r w:rsidRPr="003B0603">
              <w:rPr>
                <w:rFonts w:ascii="Arial" w:hAnsi="Arial" w:cs="Arial"/>
                <w:snapToGrid w:val="0"/>
              </w:rPr>
              <w:t>$17,907</w:t>
            </w:r>
          </w:p>
        </w:tc>
        <w:tc>
          <w:tcPr>
            <w:tcW w:w="1584" w:type="dxa"/>
          </w:tcPr>
          <w:p w14:paraId="749D7CE9" w14:textId="77777777" w:rsidR="00A359F2" w:rsidRPr="003B0603" w:rsidRDefault="00A359F2" w:rsidP="00347614">
            <w:pPr>
              <w:widowControl w:val="0"/>
              <w:spacing w:line="20" w:lineRule="atLeast"/>
              <w:jc w:val="right"/>
              <w:rPr>
                <w:rFonts w:ascii="Arial" w:hAnsi="Arial" w:cs="Arial"/>
                <w:snapToGrid w:val="0"/>
              </w:rPr>
            </w:pPr>
            <w:r w:rsidRPr="003B0603">
              <w:rPr>
                <w:rFonts w:ascii="Arial" w:hAnsi="Arial" w:cs="Arial"/>
                <w:snapToGrid w:val="0"/>
              </w:rPr>
              <w:t>$15,276</w:t>
            </w:r>
          </w:p>
        </w:tc>
        <w:tc>
          <w:tcPr>
            <w:tcW w:w="1584" w:type="dxa"/>
          </w:tcPr>
          <w:p w14:paraId="58CDF9EB" w14:textId="77777777" w:rsidR="00A359F2" w:rsidRPr="003B0603" w:rsidRDefault="00A359F2" w:rsidP="00347614">
            <w:pPr>
              <w:widowControl w:val="0"/>
              <w:spacing w:line="20" w:lineRule="atLeast"/>
              <w:jc w:val="right"/>
              <w:rPr>
                <w:rFonts w:ascii="Arial" w:hAnsi="Arial" w:cs="Arial"/>
                <w:snapToGrid w:val="0"/>
              </w:rPr>
            </w:pPr>
            <w:r w:rsidRPr="003B0603">
              <w:rPr>
                <w:rFonts w:ascii="Arial" w:hAnsi="Arial" w:cs="Arial"/>
                <w:snapToGrid w:val="0"/>
              </w:rPr>
              <w:t>$45,018</w:t>
            </w:r>
          </w:p>
        </w:tc>
      </w:tr>
      <w:tr w:rsidR="00A359F2" w:rsidRPr="003B0603" w14:paraId="7246C4CA" w14:textId="77777777" w:rsidTr="00347614">
        <w:trPr>
          <w:trHeight w:val="144"/>
          <w:jc w:val="center"/>
        </w:trPr>
        <w:tc>
          <w:tcPr>
            <w:tcW w:w="2183" w:type="dxa"/>
          </w:tcPr>
          <w:p w14:paraId="30F787C5" w14:textId="77777777" w:rsidR="00A359F2" w:rsidRPr="003B0603" w:rsidRDefault="00A359F2" w:rsidP="00347614">
            <w:pPr>
              <w:widowControl w:val="0"/>
              <w:spacing w:line="20" w:lineRule="atLeast"/>
              <w:rPr>
                <w:rFonts w:ascii="Arial" w:hAnsi="Arial" w:cs="Arial"/>
                <w:b/>
                <w:snapToGrid w:val="0"/>
              </w:rPr>
            </w:pPr>
            <w:r w:rsidRPr="003B0603">
              <w:rPr>
                <w:rFonts w:ascii="Arial" w:hAnsi="Arial" w:cs="Arial"/>
                <w:b/>
                <w:snapToGrid w:val="0"/>
              </w:rPr>
              <w:t>Penelec</w:t>
            </w:r>
          </w:p>
        </w:tc>
        <w:tc>
          <w:tcPr>
            <w:tcW w:w="1584" w:type="dxa"/>
          </w:tcPr>
          <w:p w14:paraId="23206E4E" w14:textId="77777777" w:rsidR="00A359F2" w:rsidRPr="003B0603" w:rsidRDefault="00A359F2" w:rsidP="00347614">
            <w:pPr>
              <w:widowControl w:val="0"/>
              <w:spacing w:line="20" w:lineRule="atLeast"/>
              <w:jc w:val="right"/>
              <w:rPr>
                <w:rFonts w:ascii="Arial" w:hAnsi="Arial" w:cs="Arial"/>
                <w:snapToGrid w:val="0"/>
              </w:rPr>
            </w:pPr>
            <w:r w:rsidRPr="003B0603">
              <w:rPr>
                <w:rFonts w:ascii="Arial" w:hAnsi="Arial" w:cs="Arial"/>
                <w:snapToGrid w:val="0"/>
              </w:rPr>
              <w:t>$30,899</w:t>
            </w:r>
          </w:p>
        </w:tc>
        <w:tc>
          <w:tcPr>
            <w:tcW w:w="1584" w:type="dxa"/>
          </w:tcPr>
          <w:p w14:paraId="2E3462BB" w14:textId="77777777" w:rsidR="00A359F2" w:rsidRPr="003B0603" w:rsidRDefault="00A359F2" w:rsidP="00347614">
            <w:pPr>
              <w:widowControl w:val="0"/>
              <w:spacing w:line="20" w:lineRule="atLeast"/>
              <w:jc w:val="right"/>
              <w:rPr>
                <w:rFonts w:ascii="Arial" w:hAnsi="Arial" w:cs="Arial"/>
                <w:snapToGrid w:val="0"/>
              </w:rPr>
            </w:pPr>
            <w:r w:rsidRPr="003B0603">
              <w:rPr>
                <w:rFonts w:ascii="Arial" w:hAnsi="Arial" w:cs="Arial"/>
                <w:snapToGrid w:val="0"/>
              </w:rPr>
              <w:t>$39,480</w:t>
            </w:r>
          </w:p>
        </w:tc>
        <w:tc>
          <w:tcPr>
            <w:tcW w:w="1584" w:type="dxa"/>
          </w:tcPr>
          <w:p w14:paraId="2ABC62D9" w14:textId="77777777" w:rsidR="00A359F2" w:rsidRPr="003B0603" w:rsidRDefault="00A359F2" w:rsidP="00347614">
            <w:pPr>
              <w:widowControl w:val="0"/>
              <w:spacing w:line="20" w:lineRule="atLeast"/>
              <w:jc w:val="right"/>
              <w:rPr>
                <w:rFonts w:ascii="Arial" w:hAnsi="Arial" w:cs="Arial"/>
                <w:snapToGrid w:val="0"/>
              </w:rPr>
            </w:pPr>
            <w:r w:rsidRPr="003B0603">
              <w:rPr>
                <w:rFonts w:ascii="Arial" w:hAnsi="Arial" w:cs="Arial"/>
                <w:snapToGrid w:val="0"/>
              </w:rPr>
              <w:t>$37,681</w:t>
            </w:r>
          </w:p>
        </w:tc>
        <w:tc>
          <w:tcPr>
            <w:tcW w:w="1584" w:type="dxa"/>
          </w:tcPr>
          <w:p w14:paraId="1828DA2E" w14:textId="77777777" w:rsidR="00A359F2" w:rsidRPr="003B0603" w:rsidRDefault="00A359F2" w:rsidP="00347614">
            <w:pPr>
              <w:widowControl w:val="0"/>
              <w:spacing w:line="20" w:lineRule="atLeast"/>
              <w:jc w:val="right"/>
              <w:rPr>
                <w:rFonts w:ascii="Arial" w:hAnsi="Arial" w:cs="Arial"/>
                <w:snapToGrid w:val="0"/>
              </w:rPr>
            </w:pPr>
            <w:r w:rsidRPr="003B0603">
              <w:rPr>
                <w:rFonts w:ascii="Arial" w:hAnsi="Arial" w:cs="Arial"/>
                <w:snapToGrid w:val="0"/>
              </w:rPr>
              <w:t>$108,060</w:t>
            </w:r>
          </w:p>
        </w:tc>
      </w:tr>
      <w:tr w:rsidR="00A359F2" w:rsidRPr="003B0603" w14:paraId="135F6A8E" w14:textId="77777777" w:rsidTr="00347614">
        <w:trPr>
          <w:trHeight w:val="144"/>
          <w:jc w:val="center"/>
        </w:trPr>
        <w:tc>
          <w:tcPr>
            <w:tcW w:w="2183" w:type="dxa"/>
          </w:tcPr>
          <w:p w14:paraId="1FF86E6C" w14:textId="77777777" w:rsidR="00A359F2" w:rsidRPr="003B0603" w:rsidRDefault="00A359F2" w:rsidP="00347614">
            <w:pPr>
              <w:widowControl w:val="0"/>
              <w:spacing w:line="20" w:lineRule="atLeast"/>
              <w:rPr>
                <w:rFonts w:ascii="Arial" w:hAnsi="Arial" w:cs="Arial"/>
                <w:b/>
                <w:snapToGrid w:val="0"/>
              </w:rPr>
            </w:pPr>
            <w:r w:rsidRPr="003B0603">
              <w:rPr>
                <w:rFonts w:ascii="Arial" w:hAnsi="Arial" w:cs="Arial"/>
                <w:b/>
                <w:snapToGrid w:val="0"/>
              </w:rPr>
              <w:t>Penn Power</w:t>
            </w:r>
          </w:p>
        </w:tc>
        <w:tc>
          <w:tcPr>
            <w:tcW w:w="1584" w:type="dxa"/>
          </w:tcPr>
          <w:p w14:paraId="18B0F496" w14:textId="77777777" w:rsidR="00A359F2" w:rsidRPr="003B0603" w:rsidRDefault="00A359F2" w:rsidP="00347614">
            <w:pPr>
              <w:widowControl w:val="0"/>
              <w:spacing w:line="20" w:lineRule="atLeast"/>
              <w:jc w:val="right"/>
              <w:rPr>
                <w:rFonts w:ascii="Arial" w:hAnsi="Arial" w:cs="Arial"/>
                <w:snapToGrid w:val="0"/>
              </w:rPr>
            </w:pPr>
            <w:r w:rsidRPr="003B0603">
              <w:rPr>
                <w:rFonts w:ascii="Arial" w:hAnsi="Arial" w:cs="Arial"/>
                <w:snapToGrid w:val="0"/>
              </w:rPr>
              <w:t>$3,699</w:t>
            </w:r>
          </w:p>
        </w:tc>
        <w:tc>
          <w:tcPr>
            <w:tcW w:w="1584" w:type="dxa"/>
          </w:tcPr>
          <w:p w14:paraId="57A3DFAE" w14:textId="77777777" w:rsidR="00A359F2" w:rsidRPr="003B0603" w:rsidRDefault="00A359F2" w:rsidP="00347614">
            <w:pPr>
              <w:widowControl w:val="0"/>
              <w:spacing w:line="20" w:lineRule="atLeast"/>
              <w:jc w:val="right"/>
              <w:rPr>
                <w:rFonts w:ascii="Arial" w:hAnsi="Arial" w:cs="Arial"/>
                <w:snapToGrid w:val="0"/>
              </w:rPr>
            </w:pPr>
            <w:r w:rsidRPr="003B0603">
              <w:rPr>
                <w:rFonts w:ascii="Arial" w:hAnsi="Arial" w:cs="Arial"/>
                <w:snapToGrid w:val="0"/>
              </w:rPr>
              <w:t>$22,599</w:t>
            </w:r>
          </w:p>
        </w:tc>
        <w:tc>
          <w:tcPr>
            <w:tcW w:w="1584" w:type="dxa"/>
          </w:tcPr>
          <w:p w14:paraId="44C8F119" w14:textId="77777777" w:rsidR="00A359F2" w:rsidRPr="003B0603" w:rsidRDefault="00A359F2" w:rsidP="00347614">
            <w:pPr>
              <w:widowControl w:val="0"/>
              <w:spacing w:line="20" w:lineRule="atLeast"/>
              <w:jc w:val="right"/>
              <w:rPr>
                <w:rFonts w:ascii="Arial" w:hAnsi="Arial" w:cs="Arial"/>
                <w:snapToGrid w:val="0"/>
              </w:rPr>
            </w:pPr>
            <w:r w:rsidRPr="003B0603">
              <w:rPr>
                <w:rFonts w:ascii="Arial" w:hAnsi="Arial" w:cs="Arial"/>
                <w:snapToGrid w:val="0"/>
              </w:rPr>
              <w:t>$25,069</w:t>
            </w:r>
          </w:p>
        </w:tc>
        <w:tc>
          <w:tcPr>
            <w:tcW w:w="1584" w:type="dxa"/>
          </w:tcPr>
          <w:p w14:paraId="6BD63295" w14:textId="77777777" w:rsidR="00A359F2" w:rsidRPr="003B0603" w:rsidRDefault="00A359F2" w:rsidP="00347614">
            <w:pPr>
              <w:widowControl w:val="0"/>
              <w:spacing w:line="20" w:lineRule="atLeast"/>
              <w:jc w:val="right"/>
              <w:rPr>
                <w:rFonts w:ascii="Arial" w:hAnsi="Arial" w:cs="Arial"/>
                <w:snapToGrid w:val="0"/>
              </w:rPr>
            </w:pPr>
            <w:r w:rsidRPr="003B0603">
              <w:rPr>
                <w:rFonts w:ascii="Arial" w:hAnsi="Arial" w:cs="Arial"/>
                <w:snapToGrid w:val="0"/>
              </w:rPr>
              <w:t>$51,367</w:t>
            </w:r>
          </w:p>
        </w:tc>
      </w:tr>
      <w:tr w:rsidR="00A359F2" w:rsidRPr="003B0603" w14:paraId="5FF488C0" w14:textId="77777777" w:rsidTr="00347614">
        <w:trPr>
          <w:trHeight w:val="144"/>
          <w:jc w:val="center"/>
        </w:trPr>
        <w:tc>
          <w:tcPr>
            <w:tcW w:w="2183" w:type="dxa"/>
          </w:tcPr>
          <w:p w14:paraId="4E8776C4" w14:textId="77777777" w:rsidR="00A359F2" w:rsidRPr="003B0603" w:rsidRDefault="00A359F2" w:rsidP="00347614">
            <w:pPr>
              <w:widowControl w:val="0"/>
              <w:spacing w:line="20" w:lineRule="atLeast"/>
              <w:rPr>
                <w:rFonts w:ascii="Arial" w:hAnsi="Arial" w:cs="Arial"/>
                <w:b/>
                <w:snapToGrid w:val="0"/>
              </w:rPr>
            </w:pPr>
            <w:r w:rsidRPr="003B0603">
              <w:rPr>
                <w:rFonts w:ascii="Arial" w:hAnsi="Arial" w:cs="Arial"/>
                <w:b/>
                <w:snapToGrid w:val="0"/>
              </w:rPr>
              <w:t>West Penn Power</w:t>
            </w:r>
          </w:p>
        </w:tc>
        <w:tc>
          <w:tcPr>
            <w:tcW w:w="1584" w:type="dxa"/>
          </w:tcPr>
          <w:p w14:paraId="3DE42B59" w14:textId="77777777" w:rsidR="00A359F2" w:rsidRPr="003B0603" w:rsidRDefault="00A359F2" w:rsidP="00347614">
            <w:pPr>
              <w:widowControl w:val="0"/>
              <w:spacing w:line="20" w:lineRule="atLeast"/>
              <w:jc w:val="right"/>
              <w:rPr>
                <w:rFonts w:ascii="Arial" w:hAnsi="Arial" w:cs="Arial"/>
                <w:snapToGrid w:val="0"/>
              </w:rPr>
            </w:pPr>
            <w:r w:rsidRPr="003B0603">
              <w:rPr>
                <w:rFonts w:ascii="Arial" w:hAnsi="Arial" w:cs="Arial"/>
                <w:snapToGrid w:val="0"/>
              </w:rPr>
              <w:t>$11,373</w:t>
            </w:r>
          </w:p>
        </w:tc>
        <w:tc>
          <w:tcPr>
            <w:tcW w:w="1584" w:type="dxa"/>
          </w:tcPr>
          <w:p w14:paraId="755FCF9E" w14:textId="77777777" w:rsidR="00A359F2" w:rsidRPr="003B0603" w:rsidRDefault="00A359F2" w:rsidP="00347614">
            <w:pPr>
              <w:widowControl w:val="0"/>
              <w:spacing w:line="20" w:lineRule="atLeast"/>
              <w:jc w:val="right"/>
              <w:rPr>
                <w:rFonts w:ascii="Arial" w:hAnsi="Arial" w:cs="Arial"/>
                <w:snapToGrid w:val="0"/>
              </w:rPr>
            </w:pPr>
            <w:r w:rsidRPr="003B0603">
              <w:rPr>
                <w:rFonts w:ascii="Arial" w:hAnsi="Arial" w:cs="Arial"/>
                <w:snapToGrid w:val="0"/>
              </w:rPr>
              <w:t>$19,728</w:t>
            </w:r>
          </w:p>
        </w:tc>
        <w:tc>
          <w:tcPr>
            <w:tcW w:w="1584" w:type="dxa"/>
          </w:tcPr>
          <w:p w14:paraId="77ACDBE1" w14:textId="77777777" w:rsidR="00A359F2" w:rsidRPr="003B0603" w:rsidRDefault="00A359F2" w:rsidP="00347614">
            <w:pPr>
              <w:widowControl w:val="0"/>
              <w:spacing w:line="20" w:lineRule="atLeast"/>
              <w:jc w:val="right"/>
              <w:rPr>
                <w:rFonts w:ascii="Arial" w:hAnsi="Arial" w:cs="Arial"/>
                <w:snapToGrid w:val="0"/>
              </w:rPr>
            </w:pPr>
            <w:r w:rsidRPr="003B0603">
              <w:rPr>
                <w:rFonts w:ascii="Arial" w:hAnsi="Arial" w:cs="Arial"/>
                <w:snapToGrid w:val="0"/>
              </w:rPr>
              <w:t>$53,733</w:t>
            </w:r>
          </w:p>
        </w:tc>
        <w:tc>
          <w:tcPr>
            <w:tcW w:w="1584" w:type="dxa"/>
          </w:tcPr>
          <w:p w14:paraId="3D7C2DC4" w14:textId="77777777" w:rsidR="00A359F2" w:rsidRPr="003B0603" w:rsidRDefault="00A359F2" w:rsidP="00347614">
            <w:pPr>
              <w:widowControl w:val="0"/>
              <w:spacing w:line="20" w:lineRule="atLeast"/>
              <w:jc w:val="right"/>
              <w:rPr>
                <w:rFonts w:ascii="Arial" w:hAnsi="Arial" w:cs="Arial"/>
                <w:snapToGrid w:val="0"/>
              </w:rPr>
            </w:pPr>
            <w:r w:rsidRPr="003B0603">
              <w:rPr>
                <w:rFonts w:ascii="Arial" w:hAnsi="Arial" w:cs="Arial"/>
                <w:snapToGrid w:val="0"/>
              </w:rPr>
              <w:t>$84,834</w:t>
            </w:r>
          </w:p>
        </w:tc>
      </w:tr>
      <w:tr w:rsidR="00A359F2" w:rsidRPr="003B0603" w14:paraId="47082851" w14:textId="77777777" w:rsidTr="00347614">
        <w:trPr>
          <w:trHeight w:val="144"/>
          <w:jc w:val="center"/>
        </w:trPr>
        <w:tc>
          <w:tcPr>
            <w:tcW w:w="2183" w:type="dxa"/>
          </w:tcPr>
          <w:p w14:paraId="432F11B4" w14:textId="77777777" w:rsidR="00A359F2" w:rsidRPr="003B0603" w:rsidRDefault="00A359F2" w:rsidP="00347614">
            <w:pPr>
              <w:widowControl w:val="0"/>
              <w:spacing w:line="20" w:lineRule="atLeast"/>
              <w:rPr>
                <w:rFonts w:ascii="Arial" w:hAnsi="Arial" w:cs="Arial"/>
                <w:b/>
                <w:snapToGrid w:val="0"/>
              </w:rPr>
            </w:pPr>
            <w:r w:rsidRPr="003B0603">
              <w:rPr>
                <w:rFonts w:ascii="Arial" w:hAnsi="Arial" w:cs="Arial"/>
                <w:b/>
                <w:snapToGrid w:val="0"/>
              </w:rPr>
              <w:t>Total</w:t>
            </w:r>
          </w:p>
        </w:tc>
        <w:tc>
          <w:tcPr>
            <w:tcW w:w="1584" w:type="dxa"/>
          </w:tcPr>
          <w:p w14:paraId="7FC70C11" w14:textId="77777777" w:rsidR="00A359F2" w:rsidRPr="003B0603" w:rsidRDefault="00A359F2" w:rsidP="00347614">
            <w:pPr>
              <w:widowControl w:val="0"/>
              <w:spacing w:line="20" w:lineRule="atLeast"/>
              <w:jc w:val="right"/>
              <w:rPr>
                <w:rFonts w:ascii="Arial" w:hAnsi="Arial" w:cs="Arial"/>
                <w:snapToGrid w:val="0"/>
              </w:rPr>
            </w:pPr>
          </w:p>
        </w:tc>
        <w:tc>
          <w:tcPr>
            <w:tcW w:w="1584" w:type="dxa"/>
          </w:tcPr>
          <w:p w14:paraId="1226D4AD" w14:textId="77777777" w:rsidR="00A359F2" w:rsidRPr="003B0603" w:rsidRDefault="00A359F2" w:rsidP="00347614">
            <w:pPr>
              <w:widowControl w:val="0"/>
              <w:spacing w:line="20" w:lineRule="atLeast"/>
              <w:jc w:val="right"/>
              <w:rPr>
                <w:rFonts w:ascii="Arial" w:hAnsi="Arial" w:cs="Arial"/>
                <w:snapToGrid w:val="0"/>
              </w:rPr>
            </w:pPr>
          </w:p>
        </w:tc>
        <w:tc>
          <w:tcPr>
            <w:tcW w:w="1584" w:type="dxa"/>
          </w:tcPr>
          <w:p w14:paraId="76B9A4EB" w14:textId="77777777" w:rsidR="00A359F2" w:rsidRPr="003B0603" w:rsidRDefault="00A359F2" w:rsidP="00347614">
            <w:pPr>
              <w:widowControl w:val="0"/>
              <w:spacing w:line="20" w:lineRule="atLeast"/>
              <w:jc w:val="right"/>
              <w:rPr>
                <w:rFonts w:ascii="Arial" w:hAnsi="Arial" w:cs="Arial"/>
                <w:snapToGrid w:val="0"/>
              </w:rPr>
            </w:pPr>
          </w:p>
        </w:tc>
        <w:tc>
          <w:tcPr>
            <w:tcW w:w="1584" w:type="dxa"/>
          </w:tcPr>
          <w:p w14:paraId="4AF8D4CA" w14:textId="77777777" w:rsidR="00A359F2" w:rsidRPr="003B0603" w:rsidRDefault="00A359F2" w:rsidP="00347614">
            <w:pPr>
              <w:widowControl w:val="0"/>
              <w:spacing w:line="20" w:lineRule="atLeast"/>
              <w:jc w:val="right"/>
              <w:rPr>
                <w:rFonts w:ascii="Arial" w:hAnsi="Arial" w:cs="Arial"/>
                <w:b/>
                <w:snapToGrid w:val="0"/>
              </w:rPr>
            </w:pPr>
            <w:r w:rsidRPr="003B0603">
              <w:rPr>
                <w:rFonts w:ascii="Arial" w:hAnsi="Arial" w:cs="Arial"/>
                <w:b/>
                <w:snapToGrid w:val="0"/>
              </w:rPr>
              <w:t>$289,279</w:t>
            </w:r>
          </w:p>
        </w:tc>
      </w:tr>
    </w:tbl>
    <w:p w14:paraId="1EFF8A96" w14:textId="77777777" w:rsidR="00A359F2" w:rsidRPr="00EC4904" w:rsidRDefault="00A359F2" w:rsidP="00A359F2">
      <w:pPr>
        <w:widowControl w:val="0"/>
        <w:spacing w:after="0" w:line="20" w:lineRule="atLeast"/>
        <w:ind w:left="450"/>
        <w:rPr>
          <w:rFonts w:ascii="Arial" w:eastAsia="Times New Roman" w:hAnsi="Arial" w:cs="Arial"/>
          <w:snapToGrid w:val="0"/>
          <w:sz w:val="18"/>
          <w:szCs w:val="18"/>
        </w:rPr>
      </w:pPr>
      <w:r w:rsidRPr="00EC4904">
        <w:rPr>
          <w:rFonts w:ascii="Arial" w:eastAsia="Times New Roman" w:hAnsi="Arial" w:cs="Arial"/>
          <w:snapToGrid w:val="0"/>
          <w:sz w:val="18"/>
          <w:szCs w:val="18"/>
        </w:rPr>
        <w:t>Source: Data Request No. VE-7.11 and Auditor Analysis</w:t>
      </w:r>
    </w:p>
    <w:p w14:paraId="4C746A31" w14:textId="77777777" w:rsidR="00A359F2" w:rsidRDefault="00A359F2" w:rsidP="00A359F2">
      <w:pPr>
        <w:widowControl w:val="0"/>
        <w:spacing w:after="0" w:line="20" w:lineRule="atLeast"/>
        <w:rPr>
          <w:rFonts w:ascii="Arial" w:eastAsia="Times New Roman" w:hAnsi="Arial" w:cs="Arial"/>
          <w:snapToGrid w:val="0"/>
          <w:sz w:val="24"/>
          <w:szCs w:val="24"/>
        </w:rPr>
      </w:pPr>
    </w:p>
    <w:p w14:paraId="291AC181" w14:textId="77777777" w:rsidR="00A359F2" w:rsidRDefault="00A359F2" w:rsidP="003B0603">
      <w:pPr>
        <w:spacing w:after="0" w:line="20" w:lineRule="atLeast"/>
        <w:jc w:val="both"/>
        <w:rPr>
          <w:rFonts w:ascii="Arial" w:hAnsi="Arial" w:cs="Arial"/>
          <w:b/>
          <w:sz w:val="24"/>
          <w:szCs w:val="24"/>
        </w:rPr>
      </w:pPr>
      <w:r w:rsidRPr="00C208C1">
        <w:rPr>
          <w:rFonts w:ascii="Arial" w:eastAsia="Times New Roman" w:hAnsi="Arial" w:cs="Arial"/>
          <w:b/>
          <w:snapToGrid w:val="0"/>
          <w:sz w:val="24"/>
          <w:szCs w:val="20"/>
          <w:u w:val="single"/>
        </w:rPr>
        <w:t>Follow-up Recommendation</w:t>
      </w:r>
      <w:r w:rsidRPr="00C208C1">
        <w:rPr>
          <w:rFonts w:ascii="Arial" w:eastAsia="Times New Roman" w:hAnsi="Arial" w:cs="Arial"/>
          <w:b/>
          <w:snapToGrid w:val="0"/>
          <w:sz w:val="24"/>
          <w:szCs w:val="20"/>
        </w:rPr>
        <w:t xml:space="preserve"> – </w:t>
      </w:r>
      <w:r>
        <w:rPr>
          <w:rFonts w:ascii="Arial" w:eastAsia="Times New Roman" w:hAnsi="Arial" w:cs="Arial"/>
          <w:b/>
          <w:snapToGrid w:val="0"/>
          <w:sz w:val="24"/>
          <w:szCs w:val="20"/>
        </w:rPr>
        <w:t>None</w:t>
      </w:r>
      <w:r>
        <w:rPr>
          <w:rFonts w:ascii="Arial" w:hAnsi="Arial" w:cs="Arial"/>
          <w:b/>
          <w:sz w:val="24"/>
          <w:szCs w:val="24"/>
        </w:rPr>
        <w:br w:type="page"/>
      </w:r>
    </w:p>
    <w:p w14:paraId="027E3454" w14:textId="77777777" w:rsidR="00A359F2" w:rsidRPr="001D16E2" w:rsidRDefault="00A359F2" w:rsidP="00A359F2">
      <w:pPr>
        <w:spacing w:after="0" w:line="240" w:lineRule="auto"/>
        <w:jc w:val="center"/>
        <w:rPr>
          <w:rFonts w:ascii="Arial" w:hAnsi="Arial" w:cs="Arial"/>
          <w:b/>
          <w:sz w:val="24"/>
          <w:szCs w:val="24"/>
          <w:u w:val="single"/>
        </w:rPr>
      </w:pPr>
      <w:r w:rsidRPr="001D16E2">
        <w:rPr>
          <w:rFonts w:ascii="Arial" w:hAnsi="Arial" w:cs="Arial"/>
          <w:b/>
          <w:sz w:val="24"/>
          <w:szCs w:val="24"/>
          <w:u w:val="single"/>
        </w:rPr>
        <w:t>Finding No. XII-</w:t>
      </w:r>
      <w:r>
        <w:rPr>
          <w:rFonts w:ascii="Arial" w:hAnsi="Arial" w:cs="Arial"/>
          <w:b/>
          <w:sz w:val="24"/>
          <w:szCs w:val="24"/>
          <w:u w:val="single"/>
        </w:rPr>
        <w:t>4</w:t>
      </w:r>
    </w:p>
    <w:p w14:paraId="3EAA326A" w14:textId="77777777" w:rsidR="00A359F2" w:rsidRDefault="00A359F2" w:rsidP="00A359F2">
      <w:pPr>
        <w:spacing w:after="0" w:line="20" w:lineRule="atLeast"/>
        <w:jc w:val="both"/>
        <w:rPr>
          <w:rFonts w:ascii="Arial" w:eastAsia="Times New Roman" w:hAnsi="Arial" w:cs="Arial"/>
          <w:b/>
          <w:snapToGrid w:val="0"/>
          <w:sz w:val="24"/>
          <w:szCs w:val="20"/>
          <w:u w:val="single"/>
        </w:rPr>
      </w:pPr>
    </w:p>
    <w:p w14:paraId="225CD352" w14:textId="77777777" w:rsidR="00A359F2" w:rsidRPr="002B65E7" w:rsidRDefault="00A359F2" w:rsidP="00A359F2">
      <w:pPr>
        <w:spacing w:after="0" w:line="20" w:lineRule="atLeast"/>
        <w:contextualSpacing/>
        <w:rPr>
          <w:rFonts w:ascii="Arial" w:eastAsia="Times New Roman" w:hAnsi="Arial" w:cs="Arial"/>
          <w:snapToGrid w:val="0"/>
          <w:sz w:val="24"/>
          <w:szCs w:val="20"/>
        </w:rPr>
      </w:pPr>
      <w:r w:rsidRPr="004D579B">
        <w:rPr>
          <w:rFonts w:ascii="Arial" w:hAnsi="Arial" w:cs="Arial"/>
          <w:b/>
          <w:sz w:val="24"/>
          <w:szCs w:val="24"/>
          <w:u w:val="single"/>
        </w:rPr>
        <w:t>Prior Situation</w:t>
      </w:r>
      <w:r w:rsidRPr="004D579B">
        <w:rPr>
          <w:rFonts w:ascii="Arial" w:hAnsi="Arial" w:cs="Arial"/>
          <w:b/>
          <w:sz w:val="24"/>
          <w:szCs w:val="24"/>
        </w:rPr>
        <w:t xml:space="preserve"> </w:t>
      </w:r>
      <w:r w:rsidRPr="00A67D31">
        <w:rPr>
          <w:rFonts w:ascii="Arial" w:eastAsia="Times New Roman" w:hAnsi="Arial" w:cs="Times New Roman"/>
          <w:sz w:val="24"/>
          <w:szCs w:val="24"/>
        </w:rPr>
        <w:t>–</w:t>
      </w:r>
      <w:r>
        <w:rPr>
          <w:rFonts w:ascii="Arial" w:eastAsia="Times New Roman" w:hAnsi="Arial" w:cs="Times New Roman"/>
          <w:sz w:val="24"/>
          <w:szCs w:val="24"/>
        </w:rPr>
        <w:t xml:space="preserve"> </w:t>
      </w:r>
      <w:r w:rsidR="00733683">
        <w:rPr>
          <w:rFonts w:ascii="Arial" w:eastAsia="Times New Roman" w:hAnsi="Arial" w:cs="Times New Roman"/>
          <w:sz w:val="24"/>
          <w:szCs w:val="24"/>
        </w:rPr>
        <w:t xml:space="preserve">As of </w:t>
      </w:r>
      <w:r w:rsidR="003B4374">
        <w:rPr>
          <w:rFonts w:ascii="Arial" w:eastAsia="Times New Roman" w:hAnsi="Arial" w:cs="Times New Roman"/>
          <w:sz w:val="24"/>
          <w:szCs w:val="24"/>
        </w:rPr>
        <w:t>year-end</w:t>
      </w:r>
      <w:r w:rsidR="00733683">
        <w:rPr>
          <w:rFonts w:ascii="Arial" w:eastAsia="Times New Roman" w:hAnsi="Arial" w:cs="Times New Roman"/>
          <w:sz w:val="24"/>
          <w:szCs w:val="24"/>
        </w:rPr>
        <w:t xml:space="preserve"> 2013, t</w:t>
      </w:r>
      <w:r w:rsidRPr="002B65E7">
        <w:rPr>
          <w:rFonts w:ascii="Arial" w:eastAsia="Times New Roman" w:hAnsi="Arial" w:cs="Arial"/>
          <w:snapToGrid w:val="0"/>
          <w:sz w:val="24"/>
          <w:szCs w:val="20"/>
        </w:rPr>
        <w:t>he backlog of preventive maintenance (PM) work scheduled in the M5 Fleet System increased while the staffing levels for mechanics who performed the work</w:t>
      </w:r>
      <w:r>
        <w:rPr>
          <w:rFonts w:ascii="Arial" w:eastAsia="Times New Roman" w:hAnsi="Arial" w:cs="Arial"/>
          <w:snapToGrid w:val="0"/>
          <w:sz w:val="24"/>
          <w:szCs w:val="20"/>
        </w:rPr>
        <w:t xml:space="preserve"> decreased.  FirstEnergy </w:t>
      </w:r>
      <w:r w:rsidRPr="002B65E7">
        <w:rPr>
          <w:rFonts w:ascii="Arial" w:eastAsia="Times New Roman" w:hAnsi="Arial" w:cs="Arial"/>
          <w:snapToGrid w:val="0"/>
          <w:sz w:val="24"/>
          <w:szCs w:val="20"/>
        </w:rPr>
        <w:t xml:space="preserve">Fleet Services (Fleet Services) performed PM tasks on its fleet, including the annual inspections required by law.  PMs were scheduled in the M5 Fleet System based on the criticality of the work and the workload of the repair facility.  PMs were prioritized to ensure that critical tasks (e.g., an aerial bucket inspection) were completed </w:t>
      </w:r>
      <w:r w:rsidR="005D07AF">
        <w:rPr>
          <w:rFonts w:ascii="Arial" w:eastAsia="Times New Roman" w:hAnsi="Arial" w:cs="Arial"/>
          <w:snapToGrid w:val="0"/>
          <w:sz w:val="24"/>
          <w:szCs w:val="20"/>
        </w:rPr>
        <w:t>and</w:t>
      </w:r>
      <w:r w:rsidR="005D07AF" w:rsidRPr="002B65E7">
        <w:rPr>
          <w:rFonts w:ascii="Arial" w:eastAsia="Times New Roman" w:hAnsi="Arial" w:cs="Arial"/>
          <w:snapToGrid w:val="0"/>
          <w:sz w:val="24"/>
          <w:szCs w:val="20"/>
        </w:rPr>
        <w:t xml:space="preserve"> </w:t>
      </w:r>
      <w:r w:rsidRPr="002B65E7">
        <w:rPr>
          <w:rFonts w:ascii="Arial" w:eastAsia="Times New Roman" w:hAnsi="Arial" w:cs="Arial"/>
          <w:snapToGrid w:val="0"/>
          <w:sz w:val="24"/>
          <w:szCs w:val="20"/>
        </w:rPr>
        <w:t>less critical tasks could be deferred (e.g., an oil and filter change).  PMs ha</w:t>
      </w:r>
      <w:r w:rsidR="005D07AF">
        <w:rPr>
          <w:rFonts w:ascii="Arial" w:eastAsia="Times New Roman" w:hAnsi="Arial" w:cs="Arial"/>
          <w:snapToGrid w:val="0"/>
          <w:sz w:val="24"/>
          <w:szCs w:val="20"/>
        </w:rPr>
        <w:t>s</w:t>
      </w:r>
      <w:r w:rsidRPr="002B65E7">
        <w:rPr>
          <w:rFonts w:ascii="Arial" w:eastAsia="Times New Roman" w:hAnsi="Arial" w:cs="Arial"/>
          <w:snapToGrid w:val="0"/>
          <w:sz w:val="24"/>
          <w:szCs w:val="20"/>
        </w:rPr>
        <w:t xml:space="preserve"> a compounding impact on safety and reliability.  As vehicles age</w:t>
      </w:r>
      <w:r>
        <w:rPr>
          <w:rFonts w:ascii="Arial" w:eastAsia="Times New Roman" w:hAnsi="Arial" w:cs="Arial"/>
          <w:snapToGrid w:val="0"/>
          <w:sz w:val="24"/>
          <w:szCs w:val="20"/>
        </w:rPr>
        <w:t>,</w:t>
      </w:r>
      <w:r w:rsidRPr="002B65E7">
        <w:rPr>
          <w:rFonts w:ascii="Arial" w:eastAsia="Times New Roman" w:hAnsi="Arial" w:cs="Arial"/>
          <w:snapToGrid w:val="0"/>
          <w:sz w:val="24"/>
          <w:szCs w:val="20"/>
        </w:rPr>
        <w:t xml:space="preserve"> they required more maintenance.  Replacement criteria was based on age or mileage for asset classes 1</w:t>
      </w:r>
      <w:r w:rsidR="00C459B8">
        <w:rPr>
          <w:rFonts w:ascii="Arial" w:eastAsia="Times New Roman" w:hAnsi="Arial" w:cs="Arial"/>
          <w:snapToGrid w:val="0"/>
          <w:sz w:val="24"/>
          <w:szCs w:val="20"/>
        </w:rPr>
        <w:t xml:space="preserve"> </w:t>
      </w:r>
      <w:r w:rsidR="0094097A">
        <w:rPr>
          <w:rFonts w:ascii="Arial" w:eastAsia="Times New Roman" w:hAnsi="Arial" w:cs="Arial"/>
          <w:snapToGrid w:val="0"/>
          <w:sz w:val="24"/>
          <w:szCs w:val="20"/>
        </w:rPr>
        <w:t xml:space="preserve">through </w:t>
      </w:r>
      <w:r w:rsidRPr="002B65E7">
        <w:rPr>
          <w:rFonts w:ascii="Arial" w:eastAsia="Times New Roman" w:hAnsi="Arial" w:cs="Arial"/>
          <w:snapToGrid w:val="0"/>
          <w:sz w:val="24"/>
          <w:szCs w:val="20"/>
        </w:rPr>
        <w:t>6 and age alone for asset classes 7</w:t>
      </w:r>
      <w:r w:rsidR="0094097A">
        <w:rPr>
          <w:rFonts w:ascii="Arial" w:eastAsia="Times New Roman" w:hAnsi="Arial" w:cs="Arial"/>
          <w:snapToGrid w:val="0"/>
          <w:sz w:val="24"/>
          <w:szCs w:val="20"/>
        </w:rPr>
        <w:t xml:space="preserve"> through </w:t>
      </w:r>
      <w:r w:rsidRPr="002B65E7">
        <w:rPr>
          <w:rFonts w:ascii="Arial" w:eastAsia="Times New Roman" w:hAnsi="Arial" w:cs="Arial"/>
          <w:snapToGrid w:val="0"/>
          <w:sz w:val="24"/>
          <w:szCs w:val="20"/>
        </w:rPr>
        <w:t xml:space="preserve">9.  Significant numbers of the </w:t>
      </w:r>
      <w:r w:rsidR="00DC3D9B">
        <w:rPr>
          <w:rFonts w:ascii="Arial" w:eastAsia="Times New Roman" w:hAnsi="Arial" w:cs="Arial"/>
          <w:snapToGrid w:val="0"/>
          <w:sz w:val="24"/>
          <w:szCs w:val="20"/>
        </w:rPr>
        <w:t>FE-PA companies</w:t>
      </w:r>
      <w:r w:rsidRPr="002B65E7">
        <w:rPr>
          <w:rFonts w:ascii="Arial" w:eastAsia="Times New Roman" w:hAnsi="Arial" w:cs="Arial"/>
          <w:snapToGrid w:val="0"/>
          <w:sz w:val="24"/>
          <w:szCs w:val="20"/>
        </w:rPr>
        <w:t xml:space="preserve"> fleet were older than 15 years.</w:t>
      </w:r>
    </w:p>
    <w:p w14:paraId="5E23ADDB" w14:textId="77777777" w:rsidR="00A359F2" w:rsidRPr="002B65E7" w:rsidRDefault="00A359F2" w:rsidP="00A359F2">
      <w:pPr>
        <w:widowControl w:val="0"/>
        <w:spacing w:after="0" w:line="20" w:lineRule="atLeast"/>
        <w:contextualSpacing/>
        <w:rPr>
          <w:rFonts w:ascii="Arial" w:eastAsia="Times New Roman" w:hAnsi="Arial" w:cs="Arial"/>
          <w:snapToGrid w:val="0"/>
          <w:sz w:val="24"/>
          <w:szCs w:val="20"/>
        </w:rPr>
      </w:pPr>
      <w:r w:rsidRPr="002B65E7">
        <w:rPr>
          <w:rFonts w:ascii="Arial" w:eastAsia="Times New Roman" w:hAnsi="Arial" w:cs="Arial"/>
          <w:snapToGrid w:val="0"/>
          <w:sz w:val="24"/>
          <w:szCs w:val="20"/>
        </w:rPr>
        <w:t xml:space="preserve"> </w:t>
      </w:r>
    </w:p>
    <w:p w14:paraId="19D185D3" w14:textId="77777777" w:rsidR="00A359F2" w:rsidRDefault="00A359F2" w:rsidP="00A359F2">
      <w:pPr>
        <w:widowControl w:val="0"/>
        <w:spacing w:after="0" w:line="20" w:lineRule="atLeast"/>
        <w:ind w:firstLine="720"/>
        <w:contextualSpacing/>
        <w:rPr>
          <w:rFonts w:ascii="Arial" w:eastAsia="Times New Roman" w:hAnsi="Arial" w:cs="Arial"/>
          <w:snapToGrid w:val="0"/>
          <w:sz w:val="24"/>
          <w:szCs w:val="20"/>
        </w:rPr>
      </w:pPr>
      <w:r w:rsidRPr="002B65E7">
        <w:rPr>
          <w:rFonts w:ascii="Arial" w:eastAsia="Times New Roman" w:hAnsi="Arial" w:cs="Arial"/>
          <w:snapToGrid w:val="0"/>
          <w:sz w:val="24"/>
          <w:szCs w:val="20"/>
        </w:rPr>
        <w:t>Based on a study performed by F</w:t>
      </w:r>
      <w:r>
        <w:rPr>
          <w:rFonts w:ascii="Arial" w:eastAsia="Times New Roman" w:hAnsi="Arial" w:cs="Arial"/>
          <w:snapToGrid w:val="0"/>
          <w:sz w:val="24"/>
          <w:szCs w:val="20"/>
        </w:rPr>
        <w:t>irst</w:t>
      </w:r>
      <w:r w:rsidRPr="002B65E7">
        <w:rPr>
          <w:rFonts w:ascii="Arial" w:eastAsia="Times New Roman" w:hAnsi="Arial" w:cs="Arial"/>
          <w:snapToGrid w:val="0"/>
          <w:sz w:val="24"/>
          <w:szCs w:val="20"/>
        </w:rPr>
        <w:t>E</w:t>
      </w:r>
      <w:r>
        <w:rPr>
          <w:rFonts w:ascii="Arial" w:eastAsia="Times New Roman" w:hAnsi="Arial" w:cs="Arial"/>
          <w:snapToGrid w:val="0"/>
          <w:sz w:val="24"/>
          <w:szCs w:val="20"/>
        </w:rPr>
        <w:t>nergy</w:t>
      </w:r>
      <w:r w:rsidRPr="002B65E7">
        <w:rPr>
          <w:rFonts w:ascii="Arial" w:eastAsia="Times New Roman" w:hAnsi="Arial" w:cs="Arial"/>
          <w:snapToGrid w:val="0"/>
          <w:sz w:val="24"/>
          <w:szCs w:val="20"/>
        </w:rPr>
        <w:t>’s Performance and Process Improvement, the number of mechanics at Ohio Edison/Penn Power, Penelec, and Met</w:t>
      </w:r>
      <w:r>
        <w:rPr>
          <w:rFonts w:ascii="Arial" w:eastAsia="Times New Roman" w:hAnsi="Arial" w:cs="Arial"/>
          <w:snapToGrid w:val="0"/>
          <w:sz w:val="24"/>
          <w:szCs w:val="20"/>
        </w:rPr>
        <w:noBreakHyphen/>
      </w:r>
      <w:r w:rsidRPr="002B65E7">
        <w:rPr>
          <w:rFonts w:ascii="Arial" w:eastAsia="Times New Roman" w:hAnsi="Arial" w:cs="Arial"/>
          <w:snapToGrid w:val="0"/>
          <w:sz w:val="24"/>
          <w:szCs w:val="20"/>
        </w:rPr>
        <w:t>Ed was reduced by 10, 6, and 3, respectively, from the end of 2008 to the end of June 2013.  The number of mechanics at West Penn Power was unchanged from year</w:t>
      </w:r>
      <w:r>
        <w:rPr>
          <w:rFonts w:ascii="Arial" w:eastAsia="Times New Roman" w:hAnsi="Arial" w:cs="Arial"/>
          <w:snapToGrid w:val="0"/>
          <w:sz w:val="24"/>
          <w:szCs w:val="20"/>
        </w:rPr>
        <w:noBreakHyphen/>
      </w:r>
      <w:r w:rsidRPr="002B65E7">
        <w:rPr>
          <w:rFonts w:ascii="Arial" w:eastAsia="Times New Roman" w:hAnsi="Arial" w:cs="Arial"/>
          <w:snapToGrid w:val="0"/>
          <w:sz w:val="24"/>
          <w:szCs w:val="20"/>
        </w:rPr>
        <w:t xml:space="preserve">end 2012 to June 2013.  While the number of mechanics decreased by 19, the fleet size of the FE-PA </w:t>
      </w:r>
      <w:r w:rsidR="004D2824">
        <w:rPr>
          <w:rFonts w:ascii="Arial" w:eastAsia="Times New Roman" w:hAnsi="Arial" w:cs="Arial"/>
          <w:snapToGrid w:val="0"/>
          <w:sz w:val="24"/>
          <w:szCs w:val="20"/>
        </w:rPr>
        <w:t>c</w:t>
      </w:r>
      <w:r w:rsidRPr="002B65E7">
        <w:rPr>
          <w:rFonts w:ascii="Arial" w:eastAsia="Times New Roman" w:hAnsi="Arial" w:cs="Arial"/>
          <w:snapToGrid w:val="0"/>
          <w:sz w:val="24"/>
          <w:szCs w:val="20"/>
        </w:rPr>
        <w:t xml:space="preserve">ompanies remained about the same.  As a result, a backlog of PM tasks occurred.  </w:t>
      </w:r>
      <w:r>
        <w:rPr>
          <w:rFonts w:ascii="Arial" w:eastAsia="Times New Roman" w:hAnsi="Arial" w:cs="Arial"/>
          <w:snapToGrid w:val="0"/>
          <w:sz w:val="24"/>
          <w:szCs w:val="20"/>
        </w:rPr>
        <w:t xml:space="preserve">As shown in Exhibit XII-6, </w:t>
      </w:r>
      <w:r w:rsidR="005D07AF" w:rsidRPr="002B65E7">
        <w:rPr>
          <w:rFonts w:ascii="Arial" w:eastAsia="Times New Roman" w:hAnsi="Arial" w:cs="Arial"/>
          <w:snapToGrid w:val="0"/>
          <w:sz w:val="24"/>
          <w:szCs w:val="20"/>
        </w:rPr>
        <w:t>3,743</w:t>
      </w:r>
      <w:r w:rsidRPr="002B65E7">
        <w:rPr>
          <w:rFonts w:ascii="Arial" w:eastAsia="Times New Roman" w:hAnsi="Arial" w:cs="Arial"/>
          <w:snapToGrid w:val="0"/>
          <w:sz w:val="24"/>
          <w:szCs w:val="20"/>
        </w:rPr>
        <w:t xml:space="preserve"> PMs or 25% of the </w:t>
      </w:r>
      <w:r w:rsidR="00DC3D9B">
        <w:rPr>
          <w:rFonts w:ascii="Arial" w:eastAsia="Times New Roman" w:hAnsi="Arial" w:cs="Arial"/>
          <w:snapToGrid w:val="0"/>
          <w:sz w:val="24"/>
          <w:szCs w:val="20"/>
        </w:rPr>
        <w:t>FE-PA companies</w:t>
      </w:r>
      <w:r w:rsidRPr="002B65E7">
        <w:rPr>
          <w:rFonts w:ascii="Arial" w:eastAsia="Times New Roman" w:hAnsi="Arial" w:cs="Arial"/>
          <w:snapToGrid w:val="0"/>
          <w:sz w:val="24"/>
          <w:szCs w:val="20"/>
        </w:rPr>
        <w:t xml:space="preserve"> fleet had overdue PMs </w:t>
      </w:r>
      <w:r>
        <w:rPr>
          <w:rFonts w:ascii="Arial" w:eastAsia="Times New Roman" w:hAnsi="Arial" w:cs="Arial"/>
          <w:snapToGrid w:val="0"/>
          <w:sz w:val="24"/>
          <w:szCs w:val="20"/>
        </w:rPr>
        <w:t>a</w:t>
      </w:r>
      <w:r w:rsidRPr="002B65E7">
        <w:rPr>
          <w:rFonts w:ascii="Arial" w:eastAsia="Times New Roman" w:hAnsi="Arial" w:cs="Arial"/>
          <w:snapToGrid w:val="0"/>
          <w:sz w:val="24"/>
          <w:szCs w:val="20"/>
        </w:rPr>
        <w:t>s of December 31, 2013, includ</w:t>
      </w:r>
      <w:r>
        <w:rPr>
          <w:rFonts w:ascii="Arial" w:eastAsia="Times New Roman" w:hAnsi="Arial" w:cs="Arial"/>
          <w:snapToGrid w:val="0"/>
          <w:sz w:val="24"/>
          <w:szCs w:val="20"/>
        </w:rPr>
        <w:t>ing</w:t>
      </w:r>
      <w:r w:rsidRPr="002B65E7">
        <w:rPr>
          <w:rFonts w:ascii="Arial" w:eastAsia="Times New Roman" w:hAnsi="Arial" w:cs="Arial"/>
          <w:snapToGrid w:val="0"/>
          <w:sz w:val="24"/>
          <w:szCs w:val="20"/>
        </w:rPr>
        <w:t xml:space="preserve"> 291, or approximately 2%, considered critical.  Furthermore, of the overdue PMs, approximately 2,360 or 63% were greater than 90 days overdue.</w:t>
      </w:r>
      <w:r w:rsidRPr="002A1CEF">
        <w:rPr>
          <w:rFonts w:ascii="Arial" w:eastAsia="Times New Roman" w:hAnsi="Arial" w:cs="Arial"/>
          <w:snapToGrid w:val="0"/>
          <w:sz w:val="24"/>
          <w:szCs w:val="24"/>
        </w:rPr>
        <w:t xml:space="preserve"> </w:t>
      </w:r>
      <w:r>
        <w:rPr>
          <w:rFonts w:ascii="Arial" w:eastAsia="Times New Roman" w:hAnsi="Arial" w:cs="Arial"/>
          <w:snapToGrid w:val="0"/>
          <w:sz w:val="24"/>
          <w:szCs w:val="24"/>
        </w:rPr>
        <w:t xml:space="preserve"> W</w:t>
      </w:r>
      <w:r w:rsidRPr="002B65E7">
        <w:rPr>
          <w:rFonts w:ascii="Arial" w:eastAsia="Times New Roman" w:hAnsi="Arial" w:cs="Arial"/>
          <w:snapToGrid w:val="0"/>
          <w:sz w:val="24"/>
          <w:szCs w:val="20"/>
        </w:rPr>
        <w:t xml:space="preserve">ithout completing preventive maintenance tasks as prescribed in accordance with internal standards and/or manufacturer specifications, vehicle expenses and reliability could be negatively </w:t>
      </w:r>
      <w:r w:rsidR="00AF57A1">
        <w:rPr>
          <w:rFonts w:ascii="Arial" w:eastAsia="Times New Roman" w:hAnsi="Arial" w:cs="Arial"/>
          <w:snapToGrid w:val="0"/>
          <w:sz w:val="24"/>
          <w:szCs w:val="20"/>
        </w:rPr>
        <w:t>affect</w:t>
      </w:r>
      <w:r w:rsidR="00AF57A1" w:rsidRPr="002B65E7">
        <w:rPr>
          <w:rFonts w:ascii="Arial" w:eastAsia="Times New Roman" w:hAnsi="Arial" w:cs="Arial"/>
          <w:snapToGrid w:val="0"/>
          <w:sz w:val="24"/>
          <w:szCs w:val="20"/>
        </w:rPr>
        <w:t>ed</w:t>
      </w:r>
      <w:r w:rsidRPr="002B65E7">
        <w:rPr>
          <w:rFonts w:ascii="Arial" w:eastAsia="Times New Roman" w:hAnsi="Arial" w:cs="Arial"/>
          <w:snapToGrid w:val="0"/>
          <w:sz w:val="24"/>
          <w:szCs w:val="20"/>
        </w:rPr>
        <w:t>.  This could result in excessive downtime and potentially prevent the timely repair of electric distribution infrastructure during outage events.</w:t>
      </w:r>
      <w:r>
        <w:rPr>
          <w:rFonts w:ascii="Arial" w:eastAsia="Times New Roman" w:hAnsi="Arial" w:cs="Arial"/>
          <w:snapToGrid w:val="0"/>
          <w:sz w:val="24"/>
          <w:szCs w:val="20"/>
        </w:rPr>
        <w:t xml:space="preserve">  </w:t>
      </w:r>
    </w:p>
    <w:p w14:paraId="1607AC46" w14:textId="77777777" w:rsidR="00A359F2" w:rsidRDefault="00A359F2" w:rsidP="00A359F2">
      <w:pPr>
        <w:widowControl w:val="0"/>
        <w:spacing w:after="0" w:line="20" w:lineRule="atLeast"/>
        <w:ind w:firstLine="720"/>
        <w:contextualSpacing/>
        <w:rPr>
          <w:rFonts w:ascii="Arial" w:eastAsia="Times New Roman" w:hAnsi="Arial" w:cs="Arial"/>
          <w:snapToGrid w:val="0"/>
          <w:sz w:val="24"/>
          <w:szCs w:val="20"/>
        </w:rPr>
      </w:pPr>
    </w:p>
    <w:p w14:paraId="3F68AAE2" w14:textId="77777777" w:rsidR="00A359F2" w:rsidRDefault="00A359F2" w:rsidP="00A359F2">
      <w:pPr>
        <w:widowControl w:val="0"/>
        <w:spacing w:after="0" w:line="20" w:lineRule="atLeast"/>
        <w:contextualSpacing/>
        <w:jc w:val="center"/>
        <w:rPr>
          <w:rFonts w:ascii="Arial" w:eastAsia="Times New Roman" w:hAnsi="Arial" w:cs="Arial"/>
          <w:b/>
          <w:snapToGrid w:val="0"/>
          <w:sz w:val="24"/>
          <w:szCs w:val="20"/>
        </w:rPr>
      </w:pPr>
      <w:r>
        <w:rPr>
          <w:rFonts w:ascii="Arial" w:eastAsia="Times New Roman" w:hAnsi="Arial" w:cs="Arial"/>
          <w:b/>
          <w:snapToGrid w:val="0"/>
          <w:sz w:val="24"/>
          <w:szCs w:val="20"/>
        </w:rPr>
        <w:t xml:space="preserve">Exhibit XII – 6 </w:t>
      </w:r>
    </w:p>
    <w:p w14:paraId="2D707572" w14:textId="77777777" w:rsidR="00A359F2" w:rsidRPr="00390583" w:rsidRDefault="00A359F2" w:rsidP="00A359F2">
      <w:pPr>
        <w:keepNext/>
        <w:widowControl w:val="0"/>
        <w:spacing w:after="0" w:line="20" w:lineRule="atLeast"/>
        <w:jc w:val="center"/>
        <w:rPr>
          <w:rFonts w:ascii="Arial" w:eastAsia="Times New Roman" w:hAnsi="Arial" w:cs="Arial"/>
          <w:b/>
          <w:bCs/>
          <w:snapToGrid w:val="0"/>
          <w:sz w:val="24"/>
          <w:szCs w:val="24"/>
          <w:lang w:val="en"/>
        </w:rPr>
      </w:pPr>
      <w:r w:rsidRPr="00390583">
        <w:rPr>
          <w:rFonts w:ascii="Arial" w:eastAsia="Times New Roman" w:hAnsi="Arial" w:cs="Arial"/>
          <w:b/>
          <w:bCs/>
          <w:snapToGrid w:val="0"/>
          <w:sz w:val="24"/>
          <w:szCs w:val="24"/>
          <w:lang w:val="en"/>
        </w:rPr>
        <w:t>FirstEnergy Pennsylvania Companies</w:t>
      </w:r>
    </w:p>
    <w:p w14:paraId="4E566BFB" w14:textId="77777777" w:rsidR="00A359F2" w:rsidRDefault="00A359F2" w:rsidP="00A359F2">
      <w:pPr>
        <w:widowControl w:val="0"/>
        <w:spacing w:after="0" w:line="20" w:lineRule="atLeast"/>
        <w:contextualSpacing/>
        <w:jc w:val="center"/>
        <w:rPr>
          <w:rFonts w:ascii="Arial" w:eastAsia="Times New Roman" w:hAnsi="Arial" w:cs="Arial"/>
          <w:b/>
          <w:snapToGrid w:val="0"/>
          <w:sz w:val="24"/>
          <w:szCs w:val="20"/>
        </w:rPr>
      </w:pPr>
      <w:r>
        <w:rPr>
          <w:rFonts w:ascii="Arial" w:eastAsia="Times New Roman" w:hAnsi="Arial" w:cs="Arial"/>
          <w:b/>
          <w:snapToGrid w:val="0"/>
          <w:sz w:val="24"/>
          <w:szCs w:val="20"/>
        </w:rPr>
        <w:t>Overdue Preventive Maintenance Tasks</w:t>
      </w:r>
    </w:p>
    <w:p w14:paraId="647966A8" w14:textId="77777777" w:rsidR="00A359F2" w:rsidRPr="00993A33" w:rsidRDefault="00A359F2" w:rsidP="00A359F2">
      <w:pPr>
        <w:widowControl w:val="0"/>
        <w:spacing w:after="0" w:line="20" w:lineRule="atLeast"/>
        <w:contextualSpacing/>
        <w:jc w:val="center"/>
        <w:rPr>
          <w:rFonts w:ascii="Arial" w:eastAsia="Times New Roman" w:hAnsi="Arial" w:cs="Arial"/>
          <w:b/>
          <w:snapToGrid w:val="0"/>
          <w:sz w:val="24"/>
          <w:szCs w:val="20"/>
        </w:rPr>
      </w:pPr>
      <w:r>
        <w:rPr>
          <w:rFonts w:ascii="Arial" w:eastAsia="Times New Roman" w:hAnsi="Arial" w:cs="Arial"/>
          <w:b/>
          <w:snapToGrid w:val="0"/>
          <w:sz w:val="24"/>
          <w:szCs w:val="20"/>
        </w:rPr>
        <w:t>Year-End 2013</w:t>
      </w:r>
    </w:p>
    <w:p w14:paraId="20641925" w14:textId="77777777" w:rsidR="00A359F2" w:rsidRPr="00301633" w:rsidRDefault="00A359F2" w:rsidP="00A359F2">
      <w:pPr>
        <w:widowControl w:val="0"/>
        <w:spacing w:after="0" w:line="20" w:lineRule="atLeast"/>
        <w:contextualSpacing/>
        <w:rPr>
          <w:rFonts w:ascii="Arial" w:eastAsia="Times New Roman" w:hAnsi="Arial" w:cs="Arial"/>
          <w:snapToGrid w:val="0"/>
          <w:sz w:val="8"/>
          <w:szCs w:val="8"/>
        </w:rPr>
      </w:pPr>
      <w:r w:rsidRPr="00301633">
        <w:rPr>
          <w:rFonts w:ascii="Arial" w:eastAsia="Times New Roman" w:hAnsi="Arial" w:cs="Arial"/>
          <w:snapToGrid w:val="0"/>
          <w:sz w:val="8"/>
          <w:szCs w:val="8"/>
        </w:rPr>
        <w:t xml:space="preserve"> </w:t>
      </w:r>
    </w:p>
    <w:tbl>
      <w:tblPr>
        <w:tblStyle w:val="TableGrid7"/>
        <w:tblW w:w="9090" w:type="dxa"/>
        <w:jc w:val="center"/>
        <w:tblLook w:val="04A0" w:firstRow="1" w:lastRow="0" w:firstColumn="1" w:lastColumn="0" w:noHBand="0" w:noVBand="1"/>
      </w:tblPr>
      <w:tblGrid>
        <w:gridCol w:w="2875"/>
        <w:gridCol w:w="1553"/>
        <w:gridCol w:w="1554"/>
        <w:gridCol w:w="1554"/>
        <w:gridCol w:w="1554"/>
      </w:tblGrid>
      <w:tr w:rsidR="00A359F2" w:rsidRPr="0018536E" w14:paraId="1A080AD4" w14:textId="77777777" w:rsidTr="00347614">
        <w:trPr>
          <w:trHeight w:val="20"/>
          <w:jc w:val="center"/>
        </w:trPr>
        <w:tc>
          <w:tcPr>
            <w:tcW w:w="2875" w:type="dxa"/>
            <w:vAlign w:val="bottom"/>
          </w:tcPr>
          <w:p w14:paraId="3B255950" w14:textId="77777777" w:rsidR="00A359F2" w:rsidRPr="00301633" w:rsidRDefault="00A359F2" w:rsidP="00347614">
            <w:pPr>
              <w:widowControl w:val="0"/>
              <w:spacing w:line="20" w:lineRule="atLeast"/>
              <w:contextualSpacing/>
              <w:jc w:val="center"/>
              <w:rPr>
                <w:rFonts w:ascii="Arial" w:hAnsi="Arial" w:cs="Arial"/>
                <w:b/>
                <w:snapToGrid w:val="0"/>
              </w:rPr>
            </w:pPr>
            <w:r w:rsidRPr="00301633">
              <w:rPr>
                <w:rFonts w:ascii="Arial" w:hAnsi="Arial" w:cs="Arial"/>
                <w:b/>
                <w:snapToGrid w:val="0"/>
                <w:sz w:val="22"/>
              </w:rPr>
              <w:t>Company</w:t>
            </w:r>
          </w:p>
        </w:tc>
        <w:tc>
          <w:tcPr>
            <w:tcW w:w="1553" w:type="dxa"/>
            <w:vAlign w:val="bottom"/>
          </w:tcPr>
          <w:p w14:paraId="22E026BC" w14:textId="77777777" w:rsidR="00A359F2" w:rsidRPr="00301633" w:rsidRDefault="00A359F2" w:rsidP="00347614">
            <w:pPr>
              <w:widowControl w:val="0"/>
              <w:spacing w:line="20" w:lineRule="atLeast"/>
              <w:contextualSpacing/>
              <w:jc w:val="center"/>
              <w:rPr>
                <w:rFonts w:ascii="Arial" w:hAnsi="Arial" w:cs="Arial"/>
                <w:b/>
                <w:snapToGrid w:val="0"/>
              </w:rPr>
            </w:pPr>
            <w:r w:rsidRPr="00301633">
              <w:rPr>
                <w:rFonts w:ascii="Arial" w:hAnsi="Arial" w:cs="Arial"/>
                <w:b/>
                <w:snapToGrid w:val="0"/>
                <w:sz w:val="22"/>
              </w:rPr>
              <w:t>% of Fleet with PMs Overdue</w:t>
            </w:r>
          </w:p>
        </w:tc>
        <w:tc>
          <w:tcPr>
            <w:tcW w:w="1554" w:type="dxa"/>
            <w:vAlign w:val="bottom"/>
          </w:tcPr>
          <w:p w14:paraId="0C3AB784" w14:textId="77777777" w:rsidR="00A359F2" w:rsidRPr="00301633" w:rsidRDefault="00A359F2" w:rsidP="00347614">
            <w:pPr>
              <w:widowControl w:val="0"/>
              <w:spacing w:line="20" w:lineRule="atLeast"/>
              <w:contextualSpacing/>
              <w:jc w:val="center"/>
              <w:rPr>
                <w:rFonts w:ascii="Arial" w:hAnsi="Arial" w:cs="Arial"/>
                <w:b/>
                <w:snapToGrid w:val="0"/>
              </w:rPr>
            </w:pPr>
            <w:r w:rsidRPr="00301633">
              <w:rPr>
                <w:rFonts w:ascii="Arial" w:hAnsi="Arial" w:cs="Arial"/>
                <w:b/>
                <w:snapToGrid w:val="0"/>
                <w:sz w:val="22"/>
              </w:rPr>
              <w:t># of Critical PMs Overdue</w:t>
            </w:r>
          </w:p>
        </w:tc>
        <w:tc>
          <w:tcPr>
            <w:tcW w:w="1554" w:type="dxa"/>
            <w:vAlign w:val="bottom"/>
          </w:tcPr>
          <w:p w14:paraId="439F05CA" w14:textId="77777777" w:rsidR="00A359F2" w:rsidRPr="00301633" w:rsidRDefault="00A359F2" w:rsidP="00347614">
            <w:pPr>
              <w:widowControl w:val="0"/>
              <w:spacing w:line="20" w:lineRule="atLeast"/>
              <w:contextualSpacing/>
              <w:jc w:val="center"/>
              <w:rPr>
                <w:rFonts w:ascii="Arial" w:hAnsi="Arial" w:cs="Arial"/>
                <w:b/>
                <w:snapToGrid w:val="0"/>
              </w:rPr>
            </w:pPr>
            <w:r w:rsidRPr="00301633">
              <w:rPr>
                <w:rFonts w:ascii="Arial" w:hAnsi="Arial" w:cs="Arial"/>
                <w:b/>
                <w:snapToGrid w:val="0"/>
                <w:sz w:val="22"/>
              </w:rPr>
              <w:t>Total # of PMs Overdue</w:t>
            </w:r>
          </w:p>
        </w:tc>
        <w:tc>
          <w:tcPr>
            <w:tcW w:w="1554" w:type="dxa"/>
            <w:vAlign w:val="bottom"/>
          </w:tcPr>
          <w:p w14:paraId="46ADF11F" w14:textId="77777777" w:rsidR="00A359F2" w:rsidRPr="00301633" w:rsidRDefault="00A359F2" w:rsidP="00347614">
            <w:pPr>
              <w:widowControl w:val="0"/>
              <w:spacing w:line="20" w:lineRule="atLeast"/>
              <w:contextualSpacing/>
              <w:jc w:val="center"/>
              <w:rPr>
                <w:rFonts w:ascii="Arial" w:hAnsi="Arial" w:cs="Arial"/>
                <w:b/>
                <w:snapToGrid w:val="0"/>
              </w:rPr>
            </w:pPr>
            <w:r w:rsidRPr="00301633">
              <w:rPr>
                <w:rFonts w:ascii="Arial" w:hAnsi="Arial" w:cs="Arial"/>
                <w:b/>
                <w:snapToGrid w:val="0"/>
                <w:sz w:val="22"/>
              </w:rPr>
              <w:t>PMs Overdue &gt;90 Days Old</w:t>
            </w:r>
          </w:p>
        </w:tc>
      </w:tr>
      <w:tr w:rsidR="00A359F2" w:rsidRPr="0018536E" w14:paraId="03D8FE0E" w14:textId="77777777" w:rsidTr="00347614">
        <w:trPr>
          <w:trHeight w:val="20"/>
          <w:jc w:val="center"/>
        </w:trPr>
        <w:tc>
          <w:tcPr>
            <w:tcW w:w="2875" w:type="dxa"/>
          </w:tcPr>
          <w:p w14:paraId="41943551" w14:textId="77777777" w:rsidR="00A359F2" w:rsidRPr="00301633" w:rsidRDefault="00A359F2" w:rsidP="00347614">
            <w:pPr>
              <w:widowControl w:val="0"/>
              <w:spacing w:line="20" w:lineRule="atLeast"/>
              <w:contextualSpacing/>
              <w:rPr>
                <w:rFonts w:ascii="Arial" w:hAnsi="Arial" w:cs="Arial"/>
                <w:b/>
                <w:snapToGrid w:val="0"/>
              </w:rPr>
            </w:pPr>
            <w:r w:rsidRPr="00301633">
              <w:rPr>
                <w:rFonts w:ascii="Arial" w:hAnsi="Arial" w:cs="Arial"/>
                <w:b/>
                <w:snapToGrid w:val="0"/>
                <w:sz w:val="22"/>
              </w:rPr>
              <w:t>Ohio Edison/Penn Power</w:t>
            </w:r>
          </w:p>
        </w:tc>
        <w:tc>
          <w:tcPr>
            <w:tcW w:w="1553" w:type="dxa"/>
          </w:tcPr>
          <w:p w14:paraId="6DCE3725" w14:textId="77777777" w:rsidR="00A359F2" w:rsidRPr="00301633" w:rsidRDefault="00A359F2" w:rsidP="00347614">
            <w:pPr>
              <w:widowControl w:val="0"/>
              <w:spacing w:line="20" w:lineRule="atLeast"/>
              <w:contextualSpacing/>
              <w:jc w:val="right"/>
              <w:rPr>
                <w:rFonts w:ascii="Arial" w:hAnsi="Arial" w:cs="Arial"/>
                <w:snapToGrid w:val="0"/>
              </w:rPr>
            </w:pPr>
            <w:r w:rsidRPr="00301633">
              <w:rPr>
                <w:rFonts w:ascii="Arial" w:hAnsi="Arial" w:cs="Arial"/>
                <w:snapToGrid w:val="0"/>
                <w:sz w:val="22"/>
              </w:rPr>
              <w:t>33.3%</w:t>
            </w:r>
          </w:p>
        </w:tc>
        <w:tc>
          <w:tcPr>
            <w:tcW w:w="1554" w:type="dxa"/>
          </w:tcPr>
          <w:p w14:paraId="1B2674AA" w14:textId="77777777" w:rsidR="00A359F2" w:rsidRPr="00301633" w:rsidRDefault="00A359F2" w:rsidP="00347614">
            <w:pPr>
              <w:widowControl w:val="0"/>
              <w:spacing w:line="20" w:lineRule="atLeast"/>
              <w:contextualSpacing/>
              <w:jc w:val="right"/>
              <w:rPr>
                <w:rFonts w:ascii="Arial" w:hAnsi="Arial" w:cs="Arial"/>
                <w:snapToGrid w:val="0"/>
              </w:rPr>
            </w:pPr>
            <w:r w:rsidRPr="00301633">
              <w:rPr>
                <w:rFonts w:ascii="Arial" w:hAnsi="Arial" w:cs="Arial"/>
                <w:snapToGrid w:val="0"/>
                <w:sz w:val="22"/>
              </w:rPr>
              <w:t>180</w:t>
            </w:r>
          </w:p>
        </w:tc>
        <w:tc>
          <w:tcPr>
            <w:tcW w:w="1554" w:type="dxa"/>
          </w:tcPr>
          <w:p w14:paraId="2D5658BA" w14:textId="77777777" w:rsidR="00A359F2" w:rsidRPr="00301633" w:rsidRDefault="00A359F2" w:rsidP="00347614">
            <w:pPr>
              <w:widowControl w:val="0"/>
              <w:spacing w:line="20" w:lineRule="atLeast"/>
              <w:contextualSpacing/>
              <w:jc w:val="right"/>
              <w:rPr>
                <w:rFonts w:ascii="Arial" w:hAnsi="Arial" w:cs="Arial"/>
                <w:snapToGrid w:val="0"/>
              </w:rPr>
            </w:pPr>
            <w:r w:rsidRPr="00301633">
              <w:rPr>
                <w:rFonts w:ascii="Arial" w:hAnsi="Arial" w:cs="Arial"/>
                <w:snapToGrid w:val="0"/>
                <w:sz w:val="22"/>
              </w:rPr>
              <w:t>1,797</w:t>
            </w:r>
          </w:p>
        </w:tc>
        <w:tc>
          <w:tcPr>
            <w:tcW w:w="1554" w:type="dxa"/>
          </w:tcPr>
          <w:p w14:paraId="6496AF89" w14:textId="77777777" w:rsidR="00A359F2" w:rsidRPr="00301633" w:rsidRDefault="00A359F2" w:rsidP="00347614">
            <w:pPr>
              <w:widowControl w:val="0"/>
              <w:spacing w:line="20" w:lineRule="atLeast"/>
              <w:contextualSpacing/>
              <w:jc w:val="right"/>
              <w:rPr>
                <w:rFonts w:ascii="Arial" w:hAnsi="Arial" w:cs="Arial"/>
                <w:snapToGrid w:val="0"/>
              </w:rPr>
            </w:pPr>
            <w:r w:rsidRPr="00301633">
              <w:rPr>
                <w:rFonts w:ascii="Arial" w:hAnsi="Arial" w:cs="Arial"/>
                <w:snapToGrid w:val="0"/>
                <w:sz w:val="22"/>
              </w:rPr>
              <w:t>1,189</w:t>
            </w:r>
          </w:p>
        </w:tc>
      </w:tr>
      <w:tr w:rsidR="00A359F2" w:rsidRPr="0018536E" w14:paraId="4C071ED0" w14:textId="77777777" w:rsidTr="00347614">
        <w:trPr>
          <w:trHeight w:val="20"/>
          <w:jc w:val="center"/>
        </w:trPr>
        <w:tc>
          <w:tcPr>
            <w:tcW w:w="2875" w:type="dxa"/>
          </w:tcPr>
          <w:p w14:paraId="3697060D" w14:textId="77777777" w:rsidR="00A359F2" w:rsidRPr="00301633" w:rsidRDefault="00A359F2" w:rsidP="00347614">
            <w:pPr>
              <w:widowControl w:val="0"/>
              <w:spacing w:line="20" w:lineRule="atLeast"/>
              <w:contextualSpacing/>
              <w:rPr>
                <w:rFonts w:ascii="Arial" w:hAnsi="Arial" w:cs="Arial"/>
                <w:b/>
                <w:snapToGrid w:val="0"/>
              </w:rPr>
            </w:pPr>
            <w:r w:rsidRPr="00301633">
              <w:rPr>
                <w:rFonts w:ascii="Arial" w:hAnsi="Arial" w:cs="Arial"/>
                <w:b/>
                <w:snapToGrid w:val="0"/>
                <w:sz w:val="22"/>
              </w:rPr>
              <w:t>West Penn Power</w:t>
            </w:r>
          </w:p>
        </w:tc>
        <w:tc>
          <w:tcPr>
            <w:tcW w:w="1553" w:type="dxa"/>
          </w:tcPr>
          <w:p w14:paraId="5ACFE595" w14:textId="77777777" w:rsidR="00A359F2" w:rsidRPr="00301633" w:rsidRDefault="00A359F2" w:rsidP="00347614">
            <w:pPr>
              <w:widowControl w:val="0"/>
              <w:spacing w:line="20" w:lineRule="atLeast"/>
              <w:contextualSpacing/>
              <w:jc w:val="right"/>
              <w:rPr>
                <w:rFonts w:ascii="Arial" w:hAnsi="Arial" w:cs="Arial"/>
                <w:snapToGrid w:val="0"/>
              </w:rPr>
            </w:pPr>
            <w:r w:rsidRPr="00301633">
              <w:rPr>
                <w:rFonts w:ascii="Arial" w:hAnsi="Arial" w:cs="Arial"/>
                <w:snapToGrid w:val="0"/>
                <w:sz w:val="22"/>
              </w:rPr>
              <w:t>23.6%</w:t>
            </w:r>
          </w:p>
        </w:tc>
        <w:tc>
          <w:tcPr>
            <w:tcW w:w="1554" w:type="dxa"/>
          </w:tcPr>
          <w:p w14:paraId="74A75C31" w14:textId="77777777" w:rsidR="00A359F2" w:rsidRPr="00301633" w:rsidRDefault="00A359F2" w:rsidP="00347614">
            <w:pPr>
              <w:widowControl w:val="0"/>
              <w:spacing w:line="20" w:lineRule="atLeast"/>
              <w:contextualSpacing/>
              <w:jc w:val="right"/>
              <w:rPr>
                <w:rFonts w:ascii="Arial" w:hAnsi="Arial" w:cs="Arial"/>
                <w:snapToGrid w:val="0"/>
              </w:rPr>
            </w:pPr>
            <w:r w:rsidRPr="00301633">
              <w:rPr>
                <w:rFonts w:ascii="Arial" w:hAnsi="Arial" w:cs="Arial"/>
                <w:snapToGrid w:val="0"/>
                <w:sz w:val="22"/>
              </w:rPr>
              <w:t>68</w:t>
            </w:r>
          </w:p>
        </w:tc>
        <w:tc>
          <w:tcPr>
            <w:tcW w:w="1554" w:type="dxa"/>
          </w:tcPr>
          <w:p w14:paraId="5388C68D" w14:textId="77777777" w:rsidR="00A359F2" w:rsidRPr="00301633" w:rsidRDefault="00A359F2" w:rsidP="00347614">
            <w:pPr>
              <w:widowControl w:val="0"/>
              <w:spacing w:line="20" w:lineRule="atLeast"/>
              <w:contextualSpacing/>
              <w:jc w:val="right"/>
              <w:rPr>
                <w:rFonts w:ascii="Arial" w:hAnsi="Arial" w:cs="Arial"/>
                <w:snapToGrid w:val="0"/>
              </w:rPr>
            </w:pPr>
            <w:r w:rsidRPr="00301633">
              <w:rPr>
                <w:rFonts w:ascii="Arial" w:hAnsi="Arial" w:cs="Arial"/>
                <w:snapToGrid w:val="0"/>
                <w:sz w:val="22"/>
              </w:rPr>
              <w:t>826</w:t>
            </w:r>
          </w:p>
        </w:tc>
        <w:tc>
          <w:tcPr>
            <w:tcW w:w="1554" w:type="dxa"/>
          </w:tcPr>
          <w:p w14:paraId="4135E7B7" w14:textId="77777777" w:rsidR="00A359F2" w:rsidRPr="00301633" w:rsidRDefault="00A359F2" w:rsidP="00347614">
            <w:pPr>
              <w:widowControl w:val="0"/>
              <w:spacing w:line="20" w:lineRule="atLeast"/>
              <w:contextualSpacing/>
              <w:jc w:val="right"/>
              <w:rPr>
                <w:rFonts w:ascii="Arial" w:hAnsi="Arial" w:cs="Arial"/>
                <w:snapToGrid w:val="0"/>
              </w:rPr>
            </w:pPr>
            <w:r w:rsidRPr="00301633">
              <w:rPr>
                <w:rFonts w:ascii="Arial" w:hAnsi="Arial" w:cs="Arial"/>
                <w:snapToGrid w:val="0"/>
                <w:sz w:val="22"/>
              </w:rPr>
              <w:t>627</w:t>
            </w:r>
          </w:p>
        </w:tc>
      </w:tr>
      <w:tr w:rsidR="00A359F2" w:rsidRPr="0018536E" w14:paraId="272E131B" w14:textId="77777777" w:rsidTr="00347614">
        <w:trPr>
          <w:trHeight w:val="20"/>
          <w:jc w:val="center"/>
        </w:trPr>
        <w:tc>
          <w:tcPr>
            <w:tcW w:w="2875" w:type="dxa"/>
          </w:tcPr>
          <w:p w14:paraId="4835E867" w14:textId="77777777" w:rsidR="00A359F2" w:rsidRPr="00301633" w:rsidRDefault="00A359F2" w:rsidP="00347614">
            <w:pPr>
              <w:widowControl w:val="0"/>
              <w:spacing w:line="20" w:lineRule="atLeast"/>
              <w:contextualSpacing/>
              <w:rPr>
                <w:rFonts w:ascii="Arial" w:hAnsi="Arial" w:cs="Arial"/>
                <w:b/>
                <w:snapToGrid w:val="0"/>
              </w:rPr>
            </w:pPr>
            <w:r w:rsidRPr="00301633">
              <w:rPr>
                <w:rFonts w:ascii="Arial" w:hAnsi="Arial" w:cs="Arial"/>
                <w:b/>
                <w:snapToGrid w:val="0"/>
                <w:sz w:val="22"/>
              </w:rPr>
              <w:t>Penelec</w:t>
            </w:r>
          </w:p>
        </w:tc>
        <w:tc>
          <w:tcPr>
            <w:tcW w:w="1553" w:type="dxa"/>
          </w:tcPr>
          <w:p w14:paraId="5721A543" w14:textId="77777777" w:rsidR="00A359F2" w:rsidRPr="00301633" w:rsidRDefault="00A359F2" w:rsidP="00347614">
            <w:pPr>
              <w:widowControl w:val="0"/>
              <w:spacing w:line="20" w:lineRule="atLeast"/>
              <w:contextualSpacing/>
              <w:jc w:val="right"/>
              <w:rPr>
                <w:rFonts w:ascii="Arial" w:hAnsi="Arial" w:cs="Arial"/>
                <w:snapToGrid w:val="0"/>
              </w:rPr>
            </w:pPr>
            <w:r w:rsidRPr="00301633">
              <w:rPr>
                <w:rFonts w:ascii="Arial" w:hAnsi="Arial" w:cs="Arial"/>
                <w:snapToGrid w:val="0"/>
                <w:sz w:val="22"/>
              </w:rPr>
              <w:t>11.2%</w:t>
            </w:r>
          </w:p>
        </w:tc>
        <w:tc>
          <w:tcPr>
            <w:tcW w:w="1554" w:type="dxa"/>
          </w:tcPr>
          <w:p w14:paraId="40CDE01E" w14:textId="77777777" w:rsidR="00A359F2" w:rsidRPr="00301633" w:rsidRDefault="00A359F2" w:rsidP="00347614">
            <w:pPr>
              <w:widowControl w:val="0"/>
              <w:spacing w:line="20" w:lineRule="atLeast"/>
              <w:contextualSpacing/>
              <w:jc w:val="right"/>
              <w:rPr>
                <w:rFonts w:ascii="Arial" w:hAnsi="Arial" w:cs="Arial"/>
                <w:snapToGrid w:val="0"/>
              </w:rPr>
            </w:pPr>
            <w:r w:rsidRPr="00301633">
              <w:rPr>
                <w:rFonts w:ascii="Arial" w:hAnsi="Arial" w:cs="Arial"/>
                <w:snapToGrid w:val="0"/>
                <w:sz w:val="22"/>
              </w:rPr>
              <w:t>20</w:t>
            </w:r>
          </w:p>
        </w:tc>
        <w:tc>
          <w:tcPr>
            <w:tcW w:w="1554" w:type="dxa"/>
          </w:tcPr>
          <w:p w14:paraId="351BC481" w14:textId="77777777" w:rsidR="00A359F2" w:rsidRPr="00301633" w:rsidRDefault="00A359F2" w:rsidP="00347614">
            <w:pPr>
              <w:widowControl w:val="0"/>
              <w:spacing w:line="20" w:lineRule="atLeast"/>
              <w:contextualSpacing/>
              <w:jc w:val="right"/>
              <w:rPr>
                <w:rFonts w:ascii="Arial" w:hAnsi="Arial" w:cs="Arial"/>
                <w:snapToGrid w:val="0"/>
              </w:rPr>
            </w:pPr>
            <w:r w:rsidRPr="00301633">
              <w:rPr>
                <w:rFonts w:ascii="Arial" w:hAnsi="Arial" w:cs="Arial"/>
                <w:snapToGrid w:val="0"/>
                <w:sz w:val="22"/>
              </w:rPr>
              <w:t>365</w:t>
            </w:r>
          </w:p>
        </w:tc>
        <w:tc>
          <w:tcPr>
            <w:tcW w:w="1554" w:type="dxa"/>
          </w:tcPr>
          <w:p w14:paraId="054E4808" w14:textId="77777777" w:rsidR="00A359F2" w:rsidRPr="00301633" w:rsidRDefault="00A359F2" w:rsidP="00347614">
            <w:pPr>
              <w:widowControl w:val="0"/>
              <w:spacing w:line="20" w:lineRule="atLeast"/>
              <w:contextualSpacing/>
              <w:jc w:val="right"/>
              <w:rPr>
                <w:rFonts w:ascii="Arial" w:hAnsi="Arial" w:cs="Arial"/>
                <w:snapToGrid w:val="0"/>
              </w:rPr>
            </w:pPr>
            <w:r w:rsidRPr="00301633">
              <w:rPr>
                <w:rFonts w:ascii="Arial" w:hAnsi="Arial" w:cs="Arial"/>
                <w:snapToGrid w:val="0"/>
                <w:sz w:val="22"/>
              </w:rPr>
              <w:t>154</w:t>
            </w:r>
          </w:p>
        </w:tc>
      </w:tr>
      <w:tr w:rsidR="00A359F2" w:rsidRPr="0018536E" w14:paraId="4607599F" w14:textId="77777777" w:rsidTr="00347614">
        <w:trPr>
          <w:trHeight w:val="20"/>
          <w:jc w:val="center"/>
        </w:trPr>
        <w:tc>
          <w:tcPr>
            <w:tcW w:w="2875" w:type="dxa"/>
          </w:tcPr>
          <w:p w14:paraId="2D9FAF21" w14:textId="77777777" w:rsidR="00A359F2" w:rsidRPr="00301633" w:rsidRDefault="00A359F2" w:rsidP="00347614">
            <w:pPr>
              <w:widowControl w:val="0"/>
              <w:spacing w:line="20" w:lineRule="atLeast"/>
              <w:contextualSpacing/>
              <w:rPr>
                <w:rFonts w:ascii="Arial" w:hAnsi="Arial" w:cs="Arial"/>
                <w:b/>
                <w:snapToGrid w:val="0"/>
              </w:rPr>
            </w:pPr>
            <w:r w:rsidRPr="00301633">
              <w:rPr>
                <w:rFonts w:ascii="Arial" w:hAnsi="Arial" w:cs="Arial"/>
                <w:b/>
                <w:snapToGrid w:val="0"/>
                <w:sz w:val="22"/>
              </w:rPr>
              <w:t>Met-Ed</w:t>
            </w:r>
          </w:p>
        </w:tc>
        <w:tc>
          <w:tcPr>
            <w:tcW w:w="1553" w:type="dxa"/>
          </w:tcPr>
          <w:p w14:paraId="620E40EE" w14:textId="77777777" w:rsidR="00A359F2" w:rsidRPr="00301633" w:rsidRDefault="00A359F2" w:rsidP="00347614">
            <w:pPr>
              <w:widowControl w:val="0"/>
              <w:spacing w:line="20" w:lineRule="atLeast"/>
              <w:contextualSpacing/>
              <w:jc w:val="right"/>
              <w:rPr>
                <w:rFonts w:ascii="Arial" w:hAnsi="Arial" w:cs="Arial"/>
                <w:snapToGrid w:val="0"/>
              </w:rPr>
            </w:pPr>
            <w:r w:rsidRPr="00301633">
              <w:rPr>
                <w:rFonts w:ascii="Arial" w:hAnsi="Arial" w:cs="Arial"/>
                <w:snapToGrid w:val="0"/>
                <w:sz w:val="22"/>
              </w:rPr>
              <w:t>29.1%</w:t>
            </w:r>
          </w:p>
        </w:tc>
        <w:tc>
          <w:tcPr>
            <w:tcW w:w="1554" w:type="dxa"/>
          </w:tcPr>
          <w:p w14:paraId="57DDD04A" w14:textId="77777777" w:rsidR="00A359F2" w:rsidRPr="00301633" w:rsidRDefault="00A359F2" w:rsidP="00347614">
            <w:pPr>
              <w:widowControl w:val="0"/>
              <w:spacing w:line="20" w:lineRule="atLeast"/>
              <w:contextualSpacing/>
              <w:jc w:val="right"/>
              <w:rPr>
                <w:rFonts w:ascii="Arial" w:hAnsi="Arial" w:cs="Arial"/>
                <w:snapToGrid w:val="0"/>
              </w:rPr>
            </w:pPr>
            <w:r w:rsidRPr="00301633">
              <w:rPr>
                <w:rFonts w:ascii="Arial" w:hAnsi="Arial" w:cs="Arial"/>
                <w:snapToGrid w:val="0"/>
                <w:sz w:val="22"/>
              </w:rPr>
              <w:t>23</w:t>
            </w:r>
          </w:p>
        </w:tc>
        <w:tc>
          <w:tcPr>
            <w:tcW w:w="1554" w:type="dxa"/>
          </w:tcPr>
          <w:p w14:paraId="738C7AF3" w14:textId="77777777" w:rsidR="00A359F2" w:rsidRPr="00301633" w:rsidRDefault="00A359F2" w:rsidP="00347614">
            <w:pPr>
              <w:widowControl w:val="0"/>
              <w:spacing w:line="20" w:lineRule="atLeast"/>
              <w:contextualSpacing/>
              <w:jc w:val="right"/>
              <w:rPr>
                <w:rFonts w:ascii="Arial" w:hAnsi="Arial" w:cs="Arial"/>
                <w:snapToGrid w:val="0"/>
              </w:rPr>
            </w:pPr>
            <w:r w:rsidRPr="00301633">
              <w:rPr>
                <w:rFonts w:ascii="Arial" w:hAnsi="Arial" w:cs="Arial"/>
                <w:snapToGrid w:val="0"/>
                <w:sz w:val="22"/>
              </w:rPr>
              <w:t>755</w:t>
            </w:r>
          </w:p>
        </w:tc>
        <w:tc>
          <w:tcPr>
            <w:tcW w:w="1554" w:type="dxa"/>
          </w:tcPr>
          <w:p w14:paraId="6F55B4D6" w14:textId="77777777" w:rsidR="00A359F2" w:rsidRPr="00301633" w:rsidRDefault="00A359F2" w:rsidP="00347614">
            <w:pPr>
              <w:widowControl w:val="0"/>
              <w:spacing w:line="20" w:lineRule="atLeast"/>
              <w:contextualSpacing/>
              <w:jc w:val="right"/>
              <w:rPr>
                <w:rFonts w:ascii="Arial" w:hAnsi="Arial" w:cs="Arial"/>
                <w:snapToGrid w:val="0"/>
              </w:rPr>
            </w:pPr>
            <w:r w:rsidRPr="00301633">
              <w:rPr>
                <w:rFonts w:ascii="Arial" w:hAnsi="Arial" w:cs="Arial"/>
                <w:snapToGrid w:val="0"/>
                <w:sz w:val="22"/>
              </w:rPr>
              <w:t>390</w:t>
            </w:r>
          </w:p>
        </w:tc>
      </w:tr>
      <w:tr w:rsidR="00A359F2" w:rsidRPr="0018536E" w14:paraId="3CDEB57A" w14:textId="77777777" w:rsidTr="00347614">
        <w:trPr>
          <w:trHeight w:val="20"/>
          <w:jc w:val="center"/>
        </w:trPr>
        <w:tc>
          <w:tcPr>
            <w:tcW w:w="2875" w:type="dxa"/>
          </w:tcPr>
          <w:p w14:paraId="2306078C" w14:textId="77777777" w:rsidR="00A359F2" w:rsidRPr="00301633" w:rsidRDefault="00A359F2" w:rsidP="00347614">
            <w:pPr>
              <w:widowControl w:val="0"/>
              <w:spacing w:line="20" w:lineRule="atLeast"/>
              <w:contextualSpacing/>
              <w:rPr>
                <w:rFonts w:ascii="Arial" w:hAnsi="Arial" w:cs="Arial"/>
                <w:b/>
                <w:snapToGrid w:val="0"/>
              </w:rPr>
            </w:pPr>
            <w:r w:rsidRPr="00301633">
              <w:rPr>
                <w:rFonts w:ascii="Arial" w:hAnsi="Arial" w:cs="Arial"/>
                <w:b/>
                <w:snapToGrid w:val="0"/>
                <w:sz w:val="22"/>
              </w:rPr>
              <w:t>Totals</w:t>
            </w:r>
          </w:p>
        </w:tc>
        <w:tc>
          <w:tcPr>
            <w:tcW w:w="1553" w:type="dxa"/>
          </w:tcPr>
          <w:p w14:paraId="395C5715" w14:textId="77777777" w:rsidR="00A359F2" w:rsidRPr="00301633" w:rsidRDefault="00A359F2" w:rsidP="00347614">
            <w:pPr>
              <w:widowControl w:val="0"/>
              <w:spacing w:line="20" w:lineRule="atLeast"/>
              <w:contextualSpacing/>
              <w:jc w:val="right"/>
              <w:rPr>
                <w:rFonts w:ascii="Arial" w:hAnsi="Arial" w:cs="Arial"/>
                <w:snapToGrid w:val="0"/>
              </w:rPr>
            </w:pPr>
            <w:r w:rsidRPr="00301633">
              <w:rPr>
                <w:rFonts w:ascii="Arial" w:hAnsi="Arial" w:cs="Arial"/>
                <w:snapToGrid w:val="0"/>
                <w:sz w:val="22"/>
              </w:rPr>
              <w:t>24.9%</w:t>
            </w:r>
          </w:p>
        </w:tc>
        <w:tc>
          <w:tcPr>
            <w:tcW w:w="1554" w:type="dxa"/>
          </w:tcPr>
          <w:p w14:paraId="26859693" w14:textId="77777777" w:rsidR="00A359F2" w:rsidRPr="00301633" w:rsidRDefault="00A359F2" w:rsidP="00347614">
            <w:pPr>
              <w:widowControl w:val="0"/>
              <w:spacing w:line="20" w:lineRule="atLeast"/>
              <w:contextualSpacing/>
              <w:jc w:val="right"/>
              <w:rPr>
                <w:rFonts w:ascii="Arial" w:hAnsi="Arial" w:cs="Arial"/>
                <w:snapToGrid w:val="0"/>
              </w:rPr>
            </w:pPr>
            <w:r w:rsidRPr="00301633">
              <w:rPr>
                <w:rFonts w:ascii="Arial" w:hAnsi="Arial" w:cs="Arial"/>
                <w:snapToGrid w:val="0"/>
                <w:sz w:val="22"/>
              </w:rPr>
              <w:t>291</w:t>
            </w:r>
          </w:p>
        </w:tc>
        <w:tc>
          <w:tcPr>
            <w:tcW w:w="1554" w:type="dxa"/>
          </w:tcPr>
          <w:p w14:paraId="6DEE45FD" w14:textId="77777777" w:rsidR="00A359F2" w:rsidRPr="00301633" w:rsidRDefault="00A359F2" w:rsidP="00347614">
            <w:pPr>
              <w:widowControl w:val="0"/>
              <w:spacing w:line="20" w:lineRule="atLeast"/>
              <w:contextualSpacing/>
              <w:jc w:val="right"/>
              <w:rPr>
                <w:rFonts w:ascii="Arial" w:hAnsi="Arial" w:cs="Arial"/>
                <w:snapToGrid w:val="0"/>
              </w:rPr>
            </w:pPr>
            <w:r w:rsidRPr="00301633">
              <w:rPr>
                <w:rFonts w:ascii="Arial" w:hAnsi="Arial" w:cs="Arial"/>
                <w:snapToGrid w:val="0"/>
                <w:sz w:val="22"/>
              </w:rPr>
              <w:t>3,743</w:t>
            </w:r>
          </w:p>
        </w:tc>
        <w:tc>
          <w:tcPr>
            <w:tcW w:w="1554" w:type="dxa"/>
          </w:tcPr>
          <w:p w14:paraId="68FFEAC7" w14:textId="77777777" w:rsidR="00A359F2" w:rsidRPr="00301633" w:rsidRDefault="00A359F2" w:rsidP="00347614">
            <w:pPr>
              <w:widowControl w:val="0"/>
              <w:spacing w:line="20" w:lineRule="atLeast"/>
              <w:contextualSpacing/>
              <w:jc w:val="right"/>
              <w:rPr>
                <w:rFonts w:ascii="Arial" w:hAnsi="Arial" w:cs="Arial"/>
                <w:snapToGrid w:val="0"/>
              </w:rPr>
            </w:pPr>
            <w:r w:rsidRPr="00301633">
              <w:rPr>
                <w:rFonts w:ascii="Arial" w:hAnsi="Arial" w:cs="Arial"/>
                <w:snapToGrid w:val="0"/>
                <w:sz w:val="22"/>
              </w:rPr>
              <w:t>2,360</w:t>
            </w:r>
          </w:p>
        </w:tc>
      </w:tr>
    </w:tbl>
    <w:p w14:paraId="46E4D359" w14:textId="77777777" w:rsidR="00A359F2" w:rsidRPr="0030668B" w:rsidRDefault="00A359F2" w:rsidP="00A359F2">
      <w:pPr>
        <w:widowControl w:val="0"/>
        <w:spacing w:after="0" w:line="20" w:lineRule="atLeast"/>
        <w:ind w:left="180"/>
        <w:contextualSpacing/>
        <w:rPr>
          <w:rFonts w:ascii="Arial" w:eastAsia="Times New Roman" w:hAnsi="Arial" w:cs="Arial"/>
          <w:snapToGrid w:val="0"/>
          <w:sz w:val="18"/>
          <w:szCs w:val="18"/>
        </w:rPr>
      </w:pPr>
      <w:r w:rsidRPr="0030668B">
        <w:rPr>
          <w:rFonts w:ascii="Arial" w:eastAsia="Times New Roman" w:hAnsi="Arial" w:cs="Arial"/>
          <w:snapToGrid w:val="0"/>
          <w:sz w:val="18"/>
          <w:szCs w:val="18"/>
        </w:rPr>
        <w:t xml:space="preserve">Source: </w:t>
      </w:r>
      <w:r w:rsidR="008526C9">
        <w:rPr>
          <w:rFonts w:ascii="Arial" w:eastAsia="Times New Roman" w:hAnsi="Arial" w:cs="Arial"/>
          <w:snapToGrid w:val="0"/>
          <w:sz w:val="18"/>
          <w:szCs w:val="18"/>
        </w:rPr>
        <w:t xml:space="preserve">2014 </w:t>
      </w:r>
      <w:r w:rsidRPr="0030668B">
        <w:rPr>
          <w:rFonts w:ascii="Arial" w:eastAsia="Times New Roman" w:hAnsi="Arial" w:cs="Arial"/>
          <w:snapToGrid w:val="0"/>
          <w:sz w:val="18"/>
          <w:szCs w:val="18"/>
        </w:rPr>
        <w:t>Management Audit</w:t>
      </w:r>
      <w:r w:rsidR="008526C9">
        <w:rPr>
          <w:rFonts w:ascii="Arial" w:eastAsia="Times New Roman" w:hAnsi="Arial" w:cs="Arial"/>
          <w:snapToGrid w:val="0"/>
          <w:sz w:val="18"/>
          <w:szCs w:val="18"/>
        </w:rPr>
        <w:t xml:space="preserve"> Exhibit XIII-10</w:t>
      </w:r>
    </w:p>
    <w:p w14:paraId="538CE8DA" w14:textId="77777777" w:rsidR="00A359F2" w:rsidRDefault="00A359F2" w:rsidP="00A359F2">
      <w:pPr>
        <w:spacing w:after="0" w:line="20" w:lineRule="atLeast"/>
        <w:contextualSpacing/>
        <w:rPr>
          <w:rFonts w:ascii="Arial" w:eastAsia="Times New Roman" w:hAnsi="Arial" w:cs="Arial"/>
          <w:snapToGrid w:val="0"/>
          <w:sz w:val="24"/>
          <w:szCs w:val="20"/>
        </w:rPr>
      </w:pPr>
    </w:p>
    <w:p w14:paraId="5FCDE622" w14:textId="77777777" w:rsidR="00A359F2" w:rsidRPr="00326F1F" w:rsidRDefault="00A359F2" w:rsidP="00A359F2">
      <w:pPr>
        <w:spacing w:after="0" w:line="20" w:lineRule="atLeast"/>
        <w:contextualSpacing/>
        <w:rPr>
          <w:rFonts w:ascii="Arial" w:eastAsia="Times New Roman" w:hAnsi="Arial" w:cs="Arial"/>
          <w:snapToGrid w:val="0"/>
          <w:sz w:val="24"/>
          <w:szCs w:val="20"/>
        </w:rPr>
      </w:pPr>
    </w:p>
    <w:p w14:paraId="7902989D" w14:textId="77777777" w:rsidR="00A359F2" w:rsidRPr="002B65E7" w:rsidRDefault="00A359F2" w:rsidP="00A359F2">
      <w:pPr>
        <w:spacing w:after="0" w:line="20" w:lineRule="atLeast"/>
        <w:jc w:val="both"/>
        <w:rPr>
          <w:rFonts w:ascii="Arial" w:eastAsia="Times New Roman" w:hAnsi="Arial" w:cs="Arial"/>
          <w:b/>
          <w:snapToGrid w:val="0"/>
          <w:sz w:val="24"/>
          <w:szCs w:val="20"/>
        </w:rPr>
      </w:pPr>
      <w:r w:rsidRPr="004D579B">
        <w:rPr>
          <w:rFonts w:ascii="Arial" w:eastAsia="Times New Roman" w:hAnsi="Arial" w:cs="Arial"/>
          <w:b/>
          <w:snapToGrid w:val="0"/>
          <w:sz w:val="24"/>
          <w:szCs w:val="20"/>
          <w:u w:val="single"/>
        </w:rPr>
        <w:t>Prior Recommendation</w:t>
      </w:r>
      <w:r w:rsidRPr="004D579B">
        <w:rPr>
          <w:rFonts w:ascii="Arial" w:eastAsia="Times New Roman" w:hAnsi="Arial" w:cs="Arial"/>
          <w:snapToGrid w:val="0"/>
          <w:sz w:val="24"/>
          <w:szCs w:val="20"/>
        </w:rPr>
        <w:t xml:space="preserve"> </w:t>
      </w:r>
      <w:r w:rsidRPr="00A67D31">
        <w:rPr>
          <w:rFonts w:ascii="Arial" w:eastAsia="Times New Roman" w:hAnsi="Arial" w:cs="Times New Roman"/>
          <w:sz w:val="24"/>
          <w:szCs w:val="24"/>
        </w:rPr>
        <w:t>–</w:t>
      </w:r>
      <w:r>
        <w:rPr>
          <w:rFonts w:ascii="Arial" w:eastAsia="Times New Roman" w:hAnsi="Arial" w:cs="Times New Roman"/>
          <w:sz w:val="24"/>
          <w:szCs w:val="24"/>
        </w:rPr>
        <w:t xml:space="preserve"> </w:t>
      </w:r>
      <w:r w:rsidRPr="00573EFE">
        <w:rPr>
          <w:rFonts w:ascii="Arial" w:eastAsia="Times New Roman" w:hAnsi="Arial" w:cs="Arial"/>
          <w:snapToGrid w:val="0"/>
          <w:sz w:val="24"/>
          <w:szCs w:val="20"/>
        </w:rPr>
        <w:t>Initiate efforts to eliminate or minimize the level of overdue preventive maintenance jobs.</w:t>
      </w:r>
    </w:p>
    <w:p w14:paraId="73A5BF4F" w14:textId="77777777" w:rsidR="00A359F2" w:rsidRDefault="00A359F2" w:rsidP="00A359F2">
      <w:pPr>
        <w:spacing w:after="0" w:line="20" w:lineRule="atLeast"/>
        <w:jc w:val="both"/>
        <w:rPr>
          <w:rFonts w:ascii="Arial" w:eastAsia="Times New Roman" w:hAnsi="Arial" w:cs="Times New Roman"/>
          <w:sz w:val="24"/>
          <w:szCs w:val="24"/>
        </w:rPr>
      </w:pPr>
    </w:p>
    <w:p w14:paraId="38A938B4" w14:textId="77777777" w:rsidR="00A359F2" w:rsidRPr="002B65E7" w:rsidRDefault="00A359F2" w:rsidP="005F1055">
      <w:pPr>
        <w:spacing w:after="0" w:line="20" w:lineRule="atLeast"/>
        <w:rPr>
          <w:rFonts w:ascii="Arial" w:eastAsia="Times New Roman" w:hAnsi="Arial" w:cs="Arial"/>
          <w:b/>
          <w:snapToGrid w:val="0"/>
          <w:sz w:val="24"/>
          <w:szCs w:val="20"/>
        </w:rPr>
      </w:pPr>
      <w:r w:rsidRPr="00B146D6">
        <w:rPr>
          <w:rFonts w:ascii="Arial" w:eastAsia="Times New Roman" w:hAnsi="Arial" w:cs="Times New Roman"/>
          <w:b/>
          <w:sz w:val="24"/>
          <w:szCs w:val="24"/>
          <w:u w:val="single"/>
        </w:rPr>
        <w:t>Follow-</w:t>
      </w:r>
      <w:r>
        <w:rPr>
          <w:rFonts w:ascii="Arial" w:eastAsia="Times New Roman" w:hAnsi="Arial" w:cs="Times New Roman"/>
          <w:b/>
          <w:sz w:val="24"/>
          <w:szCs w:val="24"/>
          <w:u w:val="single"/>
        </w:rPr>
        <w:t>up Finding and Conclusion</w:t>
      </w:r>
      <w:r w:rsidR="00F65A25" w:rsidRPr="00F65A25">
        <w:rPr>
          <w:rFonts w:ascii="Arial" w:eastAsia="Times New Roman" w:hAnsi="Arial" w:cs="Times New Roman"/>
          <w:b/>
          <w:sz w:val="24"/>
          <w:szCs w:val="24"/>
          <w:u w:val="single"/>
        </w:rPr>
        <w:t xml:space="preserve"> </w:t>
      </w:r>
      <w:r w:rsidR="00F65A25" w:rsidRPr="00C93C49">
        <w:rPr>
          <w:rFonts w:ascii="Arial" w:eastAsia="Times New Roman" w:hAnsi="Arial" w:cs="Times New Roman"/>
          <w:b/>
          <w:sz w:val="24"/>
          <w:szCs w:val="24"/>
          <w:u w:val="single"/>
        </w:rPr>
        <w:t>No. X</w:t>
      </w:r>
      <w:r w:rsidR="00F65A25">
        <w:rPr>
          <w:rFonts w:ascii="Arial" w:eastAsia="Times New Roman" w:hAnsi="Arial" w:cs="Times New Roman"/>
          <w:b/>
          <w:sz w:val="24"/>
          <w:szCs w:val="24"/>
          <w:u w:val="single"/>
        </w:rPr>
        <w:t>II</w:t>
      </w:r>
      <w:r w:rsidR="00F65A25" w:rsidRPr="00C93C49">
        <w:rPr>
          <w:rFonts w:ascii="Arial" w:eastAsia="Times New Roman" w:hAnsi="Arial" w:cs="Times New Roman"/>
          <w:b/>
          <w:sz w:val="24"/>
          <w:szCs w:val="24"/>
          <w:u w:val="single"/>
        </w:rPr>
        <w:t>-</w:t>
      </w:r>
      <w:r w:rsidR="00F65A25">
        <w:rPr>
          <w:rFonts w:ascii="Arial" w:eastAsia="Times New Roman" w:hAnsi="Arial" w:cs="Times New Roman"/>
          <w:b/>
          <w:sz w:val="24"/>
          <w:szCs w:val="24"/>
          <w:u w:val="single"/>
        </w:rPr>
        <w:t>4</w:t>
      </w:r>
      <w:r w:rsidRPr="00A67D31">
        <w:rPr>
          <w:rFonts w:ascii="Arial" w:eastAsia="Times New Roman" w:hAnsi="Arial" w:cs="Times New Roman"/>
          <w:b/>
          <w:sz w:val="24"/>
          <w:szCs w:val="24"/>
        </w:rPr>
        <w:t xml:space="preserve"> – </w:t>
      </w:r>
      <w:r w:rsidRPr="002B65E7">
        <w:rPr>
          <w:rFonts w:ascii="Arial" w:eastAsia="Times New Roman" w:hAnsi="Arial" w:cs="Arial"/>
          <w:b/>
          <w:snapToGrid w:val="0"/>
          <w:sz w:val="24"/>
          <w:szCs w:val="20"/>
        </w:rPr>
        <w:t xml:space="preserve">The </w:t>
      </w:r>
      <w:r w:rsidR="00DC3D9B">
        <w:rPr>
          <w:rFonts w:ascii="Arial" w:eastAsia="Times New Roman" w:hAnsi="Arial" w:cs="Arial"/>
          <w:b/>
          <w:snapToGrid w:val="0"/>
          <w:sz w:val="24"/>
          <w:szCs w:val="20"/>
        </w:rPr>
        <w:t>FE-PA companies</w:t>
      </w:r>
      <w:r w:rsidRPr="002B65E7">
        <w:rPr>
          <w:rFonts w:ascii="Arial" w:eastAsia="Times New Roman" w:hAnsi="Arial" w:cs="Arial"/>
          <w:b/>
          <w:snapToGrid w:val="0"/>
          <w:sz w:val="24"/>
          <w:szCs w:val="20"/>
        </w:rPr>
        <w:t xml:space="preserve"> have significantly reduced the number of overdue critical PM jobs and overdue PM jobs.</w:t>
      </w:r>
    </w:p>
    <w:p w14:paraId="4EF126BC" w14:textId="77777777" w:rsidR="00A359F2" w:rsidRDefault="00A359F2" w:rsidP="00A359F2">
      <w:pPr>
        <w:widowControl w:val="0"/>
        <w:spacing w:after="0" w:line="20" w:lineRule="atLeast"/>
        <w:rPr>
          <w:rFonts w:ascii="Arial" w:eastAsia="Times New Roman" w:hAnsi="Arial" w:cs="Arial"/>
          <w:snapToGrid w:val="0"/>
          <w:sz w:val="24"/>
          <w:szCs w:val="24"/>
        </w:rPr>
      </w:pPr>
    </w:p>
    <w:p w14:paraId="1467CFDE" w14:textId="77777777" w:rsidR="00A359F2" w:rsidRDefault="00A359F2" w:rsidP="00A359F2">
      <w:pPr>
        <w:widowControl w:val="0"/>
        <w:spacing w:after="0" w:line="20" w:lineRule="atLeast"/>
        <w:rPr>
          <w:rFonts w:ascii="Arial" w:eastAsia="Times New Roman" w:hAnsi="Arial" w:cs="Arial"/>
          <w:b/>
          <w:snapToGrid w:val="0"/>
          <w:sz w:val="24"/>
          <w:szCs w:val="24"/>
        </w:rPr>
      </w:pPr>
      <w:r w:rsidRPr="000644B8">
        <w:rPr>
          <w:rFonts w:ascii="Arial" w:hAnsi="Arial" w:cs="Arial"/>
          <w:b/>
          <w:szCs w:val="24"/>
          <w:u w:val="single"/>
        </w:rPr>
        <w:t>Current Review</w:t>
      </w:r>
      <w:r w:rsidRPr="000644B8">
        <w:rPr>
          <w:rFonts w:ascii="Arial" w:hAnsi="Arial" w:cs="Arial"/>
          <w:szCs w:val="24"/>
        </w:rPr>
        <w:t xml:space="preserve"> – </w:t>
      </w:r>
      <w:r w:rsidRPr="002B65E7">
        <w:rPr>
          <w:rFonts w:ascii="Arial" w:eastAsia="Times New Roman" w:hAnsi="Arial" w:cs="Arial"/>
          <w:snapToGrid w:val="0"/>
          <w:sz w:val="24"/>
          <w:szCs w:val="24"/>
        </w:rPr>
        <w:t xml:space="preserve">In December 2014, the </w:t>
      </w:r>
      <w:r w:rsidR="00DC3D9B">
        <w:rPr>
          <w:rFonts w:ascii="Arial" w:eastAsia="Times New Roman" w:hAnsi="Arial" w:cs="Arial"/>
          <w:snapToGrid w:val="0"/>
          <w:sz w:val="24"/>
          <w:szCs w:val="24"/>
        </w:rPr>
        <w:t>FE-PA companies</w:t>
      </w:r>
      <w:r w:rsidRPr="002B65E7">
        <w:rPr>
          <w:rFonts w:ascii="Arial" w:eastAsia="Times New Roman" w:hAnsi="Arial" w:cs="Arial"/>
          <w:snapToGrid w:val="0"/>
          <w:sz w:val="24"/>
          <w:szCs w:val="24"/>
        </w:rPr>
        <w:t xml:space="preserve"> established a plan to reduce overdue critical PM jobs and overdue PM jobs.  The plan prioritized work load based on PM jobs due with a strong emphasis on the critical PM jobs to limit the amount overdue.  Monthly tracking and reporting of PMs and critical PMs </w:t>
      </w:r>
      <w:r>
        <w:rPr>
          <w:rFonts w:ascii="Arial" w:eastAsia="Times New Roman" w:hAnsi="Arial" w:cs="Arial"/>
          <w:snapToGrid w:val="0"/>
          <w:sz w:val="24"/>
          <w:szCs w:val="24"/>
        </w:rPr>
        <w:t>by c</w:t>
      </w:r>
      <w:r w:rsidRPr="002B65E7">
        <w:rPr>
          <w:rFonts w:ascii="Arial" w:eastAsia="Times New Roman" w:hAnsi="Arial" w:cs="Arial"/>
          <w:snapToGrid w:val="0"/>
          <w:sz w:val="24"/>
          <w:szCs w:val="24"/>
        </w:rPr>
        <w:t xml:space="preserve">ompany and/or location is performed, with reports provided to Fleet Services and higher levels of management to review and monitor progress.  </w:t>
      </w:r>
      <w:r>
        <w:rPr>
          <w:rFonts w:ascii="Arial" w:eastAsia="Times New Roman" w:hAnsi="Arial" w:cs="Arial"/>
          <w:snapToGrid w:val="0"/>
          <w:sz w:val="24"/>
          <w:szCs w:val="24"/>
        </w:rPr>
        <w:t>Overdue c</w:t>
      </w:r>
      <w:r w:rsidRPr="002B65E7">
        <w:rPr>
          <w:rFonts w:ascii="Arial" w:eastAsia="Times New Roman" w:hAnsi="Arial" w:cs="Arial"/>
          <w:snapToGrid w:val="0"/>
          <w:sz w:val="24"/>
          <w:szCs w:val="24"/>
        </w:rPr>
        <w:t xml:space="preserve">ritical PMs </w:t>
      </w:r>
      <w:r>
        <w:rPr>
          <w:rFonts w:ascii="Arial" w:eastAsia="Times New Roman" w:hAnsi="Arial" w:cs="Arial"/>
          <w:snapToGrid w:val="0"/>
          <w:sz w:val="24"/>
          <w:szCs w:val="24"/>
        </w:rPr>
        <w:t>and overdue PMs</w:t>
      </w:r>
      <w:r w:rsidRPr="002B65E7">
        <w:rPr>
          <w:rFonts w:ascii="Arial" w:eastAsia="Times New Roman" w:hAnsi="Arial" w:cs="Arial"/>
          <w:snapToGrid w:val="0"/>
          <w:sz w:val="24"/>
          <w:szCs w:val="24"/>
        </w:rPr>
        <w:t xml:space="preserve"> for 2013 to 2017 are shown </w:t>
      </w:r>
      <w:r>
        <w:rPr>
          <w:rFonts w:ascii="Arial" w:eastAsia="Times New Roman" w:hAnsi="Arial" w:cs="Arial"/>
          <w:snapToGrid w:val="0"/>
          <w:sz w:val="24"/>
          <w:szCs w:val="24"/>
        </w:rPr>
        <w:t>in Exhibit XII-7</w:t>
      </w:r>
      <w:r w:rsidRPr="002B65E7">
        <w:rPr>
          <w:rFonts w:ascii="Arial" w:eastAsia="Times New Roman" w:hAnsi="Arial" w:cs="Arial"/>
          <w:snapToGrid w:val="0"/>
          <w:sz w:val="24"/>
          <w:szCs w:val="24"/>
        </w:rPr>
        <w:t xml:space="preserve"> for the </w:t>
      </w:r>
      <w:r w:rsidR="00DC3D9B">
        <w:rPr>
          <w:rFonts w:ascii="Arial" w:eastAsia="Times New Roman" w:hAnsi="Arial" w:cs="Arial"/>
          <w:snapToGrid w:val="0"/>
          <w:sz w:val="24"/>
          <w:szCs w:val="24"/>
        </w:rPr>
        <w:t>FE-PA companies</w:t>
      </w:r>
      <w:r w:rsidRPr="002B65E7">
        <w:rPr>
          <w:rFonts w:ascii="Arial" w:eastAsia="Times New Roman" w:hAnsi="Arial" w:cs="Arial"/>
          <w:snapToGrid w:val="0"/>
          <w:sz w:val="24"/>
          <w:szCs w:val="24"/>
        </w:rPr>
        <w:t>.</w:t>
      </w:r>
      <w:r w:rsidRPr="00D34AF6">
        <w:rPr>
          <w:rFonts w:ascii="Arial" w:eastAsia="Times New Roman" w:hAnsi="Arial" w:cs="Arial"/>
          <w:snapToGrid w:val="0"/>
          <w:sz w:val="24"/>
          <w:szCs w:val="24"/>
        </w:rPr>
        <w:t xml:space="preserve"> </w:t>
      </w:r>
      <w:r>
        <w:rPr>
          <w:rFonts w:ascii="Arial" w:eastAsia="Times New Roman" w:hAnsi="Arial" w:cs="Arial"/>
          <w:snapToGrid w:val="0"/>
          <w:sz w:val="24"/>
          <w:szCs w:val="24"/>
        </w:rPr>
        <w:t xml:space="preserve"> In addition, o</w:t>
      </w:r>
      <w:r w:rsidRPr="002B65E7">
        <w:rPr>
          <w:rFonts w:ascii="Arial" w:eastAsia="Times New Roman" w:hAnsi="Arial" w:cs="Arial"/>
          <w:snapToGrid w:val="0"/>
          <w:sz w:val="24"/>
          <w:szCs w:val="24"/>
        </w:rPr>
        <w:t xml:space="preserve">verdue critical PMs and overdue PMs for 2017 are shown </w:t>
      </w:r>
      <w:r>
        <w:rPr>
          <w:rFonts w:ascii="Arial" w:eastAsia="Times New Roman" w:hAnsi="Arial" w:cs="Arial"/>
          <w:snapToGrid w:val="0"/>
          <w:sz w:val="24"/>
          <w:szCs w:val="24"/>
        </w:rPr>
        <w:t>in Exhibit XII-8</w:t>
      </w:r>
      <w:r w:rsidRPr="002B65E7">
        <w:rPr>
          <w:rFonts w:ascii="Arial" w:eastAsia="Times New Roman" w:hAnsi="Arial" w:cs="Arial"/>
          <w:snapToGrid w:val="0"/>
          <w:sz w:val="24"/>
          <w:szCs w:val="24"/>
        </w:rPr>
        <w:t xml:space="preserve"> for each </w:t>
      </w:r>
      <w:r>
        <w:rPr>
          <w:rFonts w:ascii="Arial" w:eastAsia="Times New Roman" w:hAnsi="Arial" w:cs="Arial"/>
          <w:snapToGrid w:val="0"/>
          <w:sz w:val="24"/>
          <w:szCs w:val="24"/>
        </w:rPr>
        <w:t xml:space="preserve">of the </w:t>
      </w:r>
      <w:r w:rsidR="00DC3D9B">
        <w:rPr>
          <w:rFonts w:ascii="Arial" w:eastAsia="Times New Roman" w:hAnsi="Arial" w:cs="Arial"/>
          <w:snapToGrid w:val="0"/>
          <w:sz w:val="24"/>
          <w:szCs w:val="24"/>
        </w:rPr>
        <w:t>FE-PA companies</w:t>
      </w:r>
      <w:r w:rsidRPr="002B65E7">
        <w:rPr>
          <w:rFonts w:ascii="Arial" w:eastAsia="Times New Roman" w:hAnsi="Arial" w:cs="Arial"/>
          <w:snapToGrid w:val="0"/>
          <w:sz w:val="24"/>
          <w:szCs w:val="24"/>
        </w:rPr>
        <w:t>.</w:t>
      </w:r>
    </w:p>
    <w:p w14:paraId="6D9E3BC1" w14:textId="77777777" w:rsidR="00A359F2" w:rsidRDefault="00A359F2" w:rsidP="00A359F2">
      <w:pPr>
        <w:widowControl w:val="0"/>
        <w:spacing w:after="0" w:line="20" w:lineRule="atLeast"/>
        <w:rPr>
          <w:rFonts w:ascii="Arial" w:eastAsia="Times New Roman" w:hAnsi="Arial" w:cs="Arial"/>
          <w:b/>
          <w:snapToGrid w:val="0"/>
          <w:sz w:val="24"/>
          <w:szCs w:val="24"/>
        </w:rPr>
      </w:pPr>
    </w:p>
    <w:p w14:paraId="6A675F96" w14:textId="77777777" w:rsidR="00A359F2" w:rsidRPr="00993A33" w:rsidRDefault="00A359F2" w:rsidP="00A359F2">
      <w:pPr>
        <w:widowControl w:val="0"/>
        <w:spacing w:after="0" w:line="20" w:lineRule="atLeast"/>
        <w:jc w:val="center"/>
        <w:rPr>
          <w:rFonts w:ascii="Arial" w:eastAsia="Times New Roman" w:hAnsi="Arial" w:cs="Arial"/>
          <w:b/>
          <w:snapToGrid w:val="0"/>
          <w:sz w:val="24"/>
          <w:szCs w:val="24"/>
        </w:rPr>
      </w:pPr>
      <w:r>
        <w:rPr>
          <w:rFonts w:ascii="Arial" w:eastAsia="Times New Roman" w:hAnsi="Arial" w:cs="Arial"/>
          <w:b/>
          <w:snapToGrid w:val="0"/>
          <w:sz w:val="24"/>
          <w:szCs w:val="24"/>
        </w:rPr>
        <w:t>Exhibit XII – 7</w:t>
      </w:r>
    </w:p>
    <w:p w14:paraId="1ACADCBB" w14:textId="77777777" w:rsidR="00A359F2" w:rsidRPr="00390583" w:rsidRDefault="00A359F2" w:rsidP="00A359F2">
      <w:pPr>
        <w:keepNext/>
        <w:widowControl w:val="0"/>
        <w:spacing w:after="0" w:line="20" w:lineRule="atLeast"/>
        <w:jc w:val="center"/>
        <w:rPr>
          <w:rFonts w:ascii="Arial" w:eastAsia="Times New Roman" w:hAnsi="Arial" w:cs="Arial"/>
          <w:b/>
          <w:bCs/>
          <w:snapToGrid w:val="0"/>
          <w:sz w:val="24"/>
          <w:szCs w:val="24"/>
          <w:lang w:val="en"/>
        </w:rPr>
      </w:pPr>
      <w:r w:rsidRPr="00390583">
        <w:rPr>
          <w:rFonts w:ascii="Arial" w:eastAsia="Times New Roman" w:hAnsi="Arial" w:cs="Arial"/>
          <w:b/>
          <w:bCs/>
          <w:snapToGrid w:val="0"/>
          <w:sz w:val="24"/>
          <w:szCs w:val="24"/>
          <w:lang w:val="en"/>
        </w:rPr>
        <w:t>FirstEnergy Pennsylvania Companies</w:t>
      </w:r>
    </w:p>
    <w:p w14:paraId="7382A03D" w14:textId="77777777" w:rsidR="00A359F2" w:rsidRDefault="00A359F2" w:rsidP="00A359F2">
      <w:pPr>
        <w:widowControl w:val="0"/>
        <w:spacing w:after="0" w:line="20" w:lineRule="atLeast"/>
        <w:jc w:val="center"/>
        <w:rPr>
          <w:rFonts w:ascii="Arial" w:eastAsia="Times New Roman" w:hAnsi="Arial" w:cs="Arial"/>
          <w:b/>
          <w:snapToGrid w:val="0"/>
          <w:sz w:val="24"/>
          <w:szCs w:val="24"/>
        </w:rPr>
      </w:pPr>
      <w:r>
        <w:rPr>
          <w:rFonts w:ascii="Arial" w:eastAsia="Times New Roman" w:hAnsi="Arial" w:cs="Arial"/>
          <w:b/>
          <w:snapToGrid w:val="0"/>
          <w:sz w:val="24"/>
          <w:szCs w:val="24"/>
        </w:rPr>
        <w:t>Overdue Critical PMs and Overdue PMs</w:t>
      </w:r>
    </w:p>
    <w:p w14:paraId="754A27BD" w14:textId="77777777" w:rsidR="00A359F2" w:rsidRPr="00702AEE" w:rsidRDefault="00A359F2" w:rsidP="00A359F2">
      <w:pPr>
        <w:widowControl w:val="0"/>
        <w:spacing w:after="0" w:line="20" w:lineRule="atLeast"/>
        <w:jc w:val="center"/>
        <w:rPr>
          <w:rFonts w:ascii="Arial" w:eastAsia="Times New Roman" w:hAnsi="Arial" w:cs="Arial"/>
          <w:b/>
          <w:snapToGrid w:val="0"/>
          <w:sz w:val="24"/>
          <w:szCs w:val="24"/>
        </w:rPr>
      </w:pPr>
      <w:r>
        <w:rPr>
          <w:rFonts w:ascii="Arial" w:eastAsia="Times New Roman" w:hAnsi="Arial" w:cs="Arial"/>
          <w:b/>
          <w:snapToGrid w:val="0"/>
          <w:sz w:val="24"/>
          <w:szCs w:val="24"/>
        </w:rPr>
        <w:t>For the Years 2013 through 2017</w:t>
      </w:r>
    </w:p>
    <w:p w14:paraId="38E366EF" w14:textId="77777777" w:rsidR="00A359F2" w:rsidRPr="00301633" w:rsidRDefault="00A359F2" w:rsidP="00A359F2">
      <w:pPr>
        <w:widowControl w:val="0"/>
        <w:spacing w:after="0" w:line="20" w:lineRule="atLeast"/>
        <w:rPr>
          <w:rFonts w:ascii="Arial" w:eastAsia="Times New Roman" w:hAnsi="Arial" w:cs="Arial"/>
          <w:snapToGrid w:val="0"/>
          <w:sz w:val="8"/>
          <w:szCs w:val="8"/>
        </w:rPr>
      </w:pPr>
    </w:p>
    <w:tbl>
      <w:tblPr>
        <w:tblStyle w:val="TableGrid8"/>
        <w:tblW w:w="7853" w:type="dxa"/>
        <w:jc w:val="center"/>
        <w:tblLook w:val="04A0" w:firstRow="1" w:lastRow="0" w:firstColumn="1" w:lastColumn="0" w:noHBand="0" w:noVBand="1"/>
      </w:tblPr>
      <w:tblGrid>
        <w:gridCol w:w="2669"/>
        <w:gridCol w:w="1008"/>
        <w:gridCol w:w="1008"/>
        <w:gridCol w:w="1008"/>
        <w:gridCol w:w="1008"/>
        <w:gridCol w:w="1152"/>
      </w:tblGrid>
      <w:tr w:rsidR="00A359F2" w:rsidRPr="0018536E" w14:paraId="4E48C138" w14:textId="77777777" w:rsidTr="00347614">
        <w:trPr>
          <w:trHeight w:val="144"/>
          <w:jc w:val="center"/>
        </w:trPr>
        <w:tc>
          <w:tcPr>
            <w:tcW w:w="2669" w:type="dxa"/>
          </w:tcPr>
          <w:p w14:paraId="06F0C09C" w14:textId="77777777" w:rsidR="00A359F2" w:rsidRPr="00301633" w:rsidRDefault="00A359F2" w:rsidP="00347614">
            <w:pPr>
              <w:widowControl w:val="0"/>
              <w:spacing w:line="20" w:lineRule="atLeast"/>
              <w:jc w:val="center"/>
              <w:rPr>
                <w:rFonts w:ascii="Arial" w:hAnsi="Arial" w:cs="Arial"/>
                <w:b/>
                <w:snapToGrid w:val="0"/>
              </w:rPr>
            </w:pPr>
            <w:r w:rsidRPr="00301633">
              <w:rPr>
                <w:rFonts w:ascii="Arial" w:hAnsi="Arial" w:cs="Arial"/>
                <w:b/>
                <w:snapToGrid w:val="0"/>
                <w:sz w:val="22"/>
                <w:szCs w:val="22"/>
              </w:rPr>
              <w:t>Type</w:t>
            </w:r>
          </w:p>
        </w:tc>
        <w:tc>
          <w:tcPr>
            <w:tcW w:w="1008" w:type="dxa"/>
          </w:tcPr>
          <w:p w14:paraId="5D19D5B8" w14:textId="77777777" w:rsidR="00A359F2" w:rsidRPr="00301633" w:rsidRDefault="00A359F2" w:rsidP="00347614">
            <w:pPr>
              <w:widowControl w:val="0"/>
              <w:spacing w:line="20" w:lineRule="atLeast"/>
              <w:jc w:val="center"/>
              <w:rPr>
                <w:rFonts w:ascii="Arial" w:hAnsi="Arial" w:cs="Arial"/>
                <w:b/>
                <w:snapToGrid w:val="0"/>
              </w:rPr>
            </w:pPr>
            <w:r w:rsidRPr="00301633">
              <w:rPr>
                <w:rFonts w:ascii="Arial" w:hAnsi="Arial" w:cs="Arial"/>
                <w:b/>
                <w:snapToGrid w:val="0"/>
                <w:sz w:val="22"/>
                <w:szCs w:val="22"/>
              </w:rPr>
              <w:t>2013</w:t>
            </w:r>
          </w:p>
        </w:tc>
        <w:tc>
          <w:tcPr>
            <w:tcW w:w="1008" w:type="dxa"/>
          </w:tcPr>
          <w:p w14:paraId="4328E4C3" w14:textId="77777777" w:rsidR="00A359F2" w:rsidRPr="00301633" w:rsidRDefault="00A359F2" w:rsidP="00347614">
            <w:pPr>
              <w:widowControl w:val="0"/>
              <w:spacing w:line="20" w:lineRule="atLeast"/>
              <w:jc w:val="center"/>
              <w:rPr>
                <w:rFonts w:ascii="Arial" w:hAnsi="Arial" w:cs="Arial"/>
                <w:b/>
                <w:snapToGrid w:val="0"/>
              </w:rPr>
            </w:pPr>
            <w:r w:rsidRPr="00301633">
              <w:rPr>
                <w:rFonts w:ascii="Arial" w:hAnsi="Arial" w:cs="Arial"/>
                <w:b/>
                <w:snapToGrid w:val="0"/>
                <w:sz w:val="22"/>
                <w:szCs w:val="22"/>
              </w:rPr>
              <w:t>2014</w:t>
            </w:r>
          </w:p>
        </w:tc>
        <w:tc>
          <w:tcPr>
            <w:tcW w:w="1008" w:type="dxa"/>
          </w:tcPr>
          <w:p w14:paraId="12DCDC6B" w14:textId="77777777" w:rsidR="00A359F2" w:rsidRPr="00301633" w:rsidRDefault="00A359F2" w:rsidP="00347614">
            <w:pPr>
              <w:widowControl w:val="0"/>
              <w:spacing w:line="20" w:lineRule="atLeast"/>
              <w:jc w:val="center"/>
              <w:rPr>
                <w:rFonts w:ascii="Arial" w:hAnsi="Arial" w:cs="Arial"/>
                <w:b/>
                <w:snapToGrid w:val="0"/>
              </w:rPr>
            </w:pPr>
            <w:r w:rsidRPr="00301633">
              <w:rPr>
                <w:rFonts w:ascii="Arial" w:hAnsi="Arial" w:cs="Arial"/>
                <w:b/>
                <w:snapToGrid w:val="0"/>
                <w:sz w:val="22"/>
                <w:szCs w:val="22"/>
              </w:rPr>
              <w:t>2015</w:t>
            </w:r>
          </w:p>
        </w:tc>
        <w:tc>
          <w:tcPr>
            <w:tcW w:w="1008" w:type="dxa"/>
          </w:tcPr>
          <w:p w14:paraId="3E00A49A" w14:textId="77777777" w:rsidR="00A359F2" w:rsidRPr="00301633" w:rsidRDefault="00A359F2" w:rsidP="00347614">
            <w:pPr>
              <w:widowControl w:val="0"/>
              <w:spacing w:line="20" w:lineRule="atLeast"/>
              <w:jc w:val="center"/>
              <w:rPr>
                <w:rFonts w:ascii="Arial" w:hAnsi="Arial" w:cs="Arial"/>
                <w:b/>
                <w:snapToGrid w:val="0"/>
              </w:rPr>
            </w:pPr>
            <w:r w:rsidRPr="00301633">
              <w:rPr>
                <w:rFonts w:ascii="Arial" w:hAnsi="Arial" w:cs="Arial"/>
                <w:b/>
                <w:snapToGrid w:val="0"/>
                <w:sz w:val="22"/>
                <w:szCs w:val="22"/>
              </w:rPr>
              <w:t>2016</w:t>
            </w:r>
          </w:p>
        </w:tc>
        <w:tc>
          <w:tcPr>
            <w:tcW w:w="1152" w:type="dxa"/>
          </w:tcPr>
          <w:p w14:paraId="39B77679" w14:textId="77777777" w:rsidR="00A359F2" w:rsidRPr="00301633" w:rsidRDefault="00A359F2" w:rsidP="00347614">
            <w:pPr>
              <w:widowControl w:val="0"/>
              <w:spacing w:line="20" w:lineRule="atLeast"/>
              <w:jc w:val="center"/>
              <w:rPr>
                <w:rFonts w:ascii="Arial" w:hAnsi="Arial" w:cs="Arial"/>
                <w:b/>
                <w:snapToGrid w:val="0"/>
              </w:rPr>
            </w:pPr>
            <w:r w:rsidRPr="00301633">
              <w:rPr>
                <w:rFonts w:ascii="Arial" w:hAnsi="Arial" w:cs="Arial"/>
                <w:b/>
                <w:snapToGrid w:val="0"/>
                <w:sz w:val="22"/>
                <w:szCs w:val="22"/>
              </w:rPr>
              <w:t>2017</w:t>
            </w:r>
          </w:p>
        </w:tc>
      </w:tr>
      <w:tr w:rsidR="00A359F2" w:rsidRPr="0018536E" w14:paraId="270A705D" w14:textId="77777777" w:rsidTr="00347614">
        <w:trPr>
          <w:trHeight w:val="144"/>
          <w:jc w:val="center"/>
        </w:trPr>
        <w:tc>
          <w:tcPr>
            <w:tcW w:w="2669" w:type="dxa"/>
          </w:tcPr>
          <w:p w14:paraId="58296333" w14:textId="77777777" w:rsidR="00A359F2" w:rsidRPr="00301633" w:rsidRDefault="00A359F2" w:rsidP="00347614">
            <w:pPr>
              <w:widowControl w:val="0"/>
              <w:spacing w:line="20" w:lineRule="atLeast"/>
              <w:rPr>
                <w:rFonts w:ascii="Arial" w:hAnsi="Arial" w:cs="Arial"/>
                <w:b/>
                <w:snapToGrid w:val="0"/>
              </w:rPr>
            </w:pPr>
            <w:r w:rsidRPr="00301633">
              <w:rPr>
                <w:rFonts w:ascii="Arial" w:hAnsi="Arial" w:cs="Arial"/>
                <w:b/>
                <w:snapToGrid w:val="0"/>
                <w:sz w:val="22"/>
                <w:szCs w:val="22"/>
              </w:rPr>
              <w:t xml:space="preserve">Overdue Critical PMs </w:t>
            </w:r>
          </w:p>
        </w:tc>
        <w:tc>
          <w:tcPr>
            <w:tcW w:w="1008" w:type="dxa"/>
            <w:vAlign w:val="center"/>
          </w:tcPr>
          <w:p w14:paraId="46CF7DE8" w14:textId="77777777" w:rsidR="00A359F2" w:rsidRPr="00301633" w:rsidRDefault="00A359F2" w:rsidP="00347614">
            <w:pPr>
              <w:widowControl w:val="0"/>
              <w:spacing w:line="20" w:lineRule="atLeast"/>
              <w:jc w:val="right"/>
              <w:rPr>
                <w:rFonts w:ascii="Arial" w:hAnsi="Arial" w:cs="Arial"/>
                <w:snapToGrid w:val="0"/>
              </w:rPr>
            </w:pPr>
            <w:r w:rsidRPr="00301633">
              <w:rPr>
                <w:rFonts w:ascii="Arial" w:hAnsi="Arial" w:cs="Arial"/>
                <w:snapToGrid w:val="0"/>
                <w:sz w:val="22"/>
                <w:szCs w:val="22"/>
              </w:rPr>
              <w:t>194</w:t>
            </w:r>
          </w:p>
        </w:tc>
        <w:tc>
          <w:tcPr>
            <w:tcW w:w="1008" w:type="dxa"/>
            <w:vAlign w:val="center"/>
          </w:tcPr>
          <w:p w14:paraId="211E1A14" w14:textId="77777777" w:rsidR="00A359F2" w:rsidRPr="00301633" w:rsidRDefault="00A359F2" w:rsidP="00347614">
            <w:pPr>
              <w:widowControl w:val="0"/>
              <w:spacing w:line="20" w:lineRule="atLeast"/>
              <w:jc w:val="right"/>
              <w:rPr>
                <w:rFonts w:ascii="Arial" w:hAnsi="Arial" w:cs="Arial"/>
                <w:snapToGrid w:val="0"/>
              </w:rPr>
            </w:pPr>
            <w:r w:rsidRPr="00301633">
              <w:rPr>
                <w:rFonts w:ascii="Arial" w:hAnsi="Arial" w:cs="Arial"/>
                <w:snapToGrid w:val="0"/>
                <w:sz w:val="22"/>
                <w:szCs w:val="22"/>
              </w:rPr>
              <w:t>59</w:t>
            </w:r>
          </w:p>
        </w:tc>
        <w:tc>
          <w:tcPr>
            <w:tcW w:w="1008" w:type="dxa"/>
            <w:vAlign w:val="center"/>
          </w:tcPr>
          <w:p w14:paraId="1ADB4137" w14:textId="77777777" w:rsidR="00A359F2" w:rsidRPr="00301633" w:rsidRDefault="00A359F2" w:rsidP="00347614">
            <w:pPr>
              <w:widowControl w:val="0"/>
              <w:spacing w:line="20" w:lineRule="atLeast"/>
              <w:jc w:val="right"/>
              <w:rPr>
                <w:rFonts w:ascii="Arial" w:hAnsi="Arial" w:cs="Arial"/>
                <w:snapToGrid w:val="0"/>
              </w:rPr>
            </w:pPr>
            <w:r w:rsidRPr="00301633">
              <w:rPr>
                <w:rFonts w:ascii="Arial" w:hAnsi="Arial" w:cs="Arial"/>
                <w:snapToGrid w:val="0"/>
                <w:sz w:val="22"/>
                <w:szCs w:val="22"/>
              </w:rPr>
              <w:t>45</w:t>
            </w:r>
          </w:p>
        </w:tc>
        <w:tc>
          <w:tcPr>
            <w:tcW w:w="1008" w:type="dxa"/>
            <w:vAlign w:val="center"/>
          </w:tcPr>
          <w:p w14:paraId="6861AD8D" w14:textId="77777777" w:rsidR="00A359F2" w:rsidRPr="00301633" w:rsidRDefault="00A359F2" w:rsidP="00347614">
            <w:pPr>
              <w:widowControl w:val="0"/>
              <w:spacing w:line="20" w:lineRule="atLeast"/>
              <w:jc w:val="right"/>
              <w:rPr>
                <w:rFonts w:ascii="Arial" w:hAnsi="Arial" w:cs="Arial"/>
                <w:snapToGrid w:val="0"/>
              </w:rPr>
            </w:pPr>
            <w:r w:rsidRPr="00301633">
              <w:rPr>
                <w:rFonts w:ascii="Arial" w:hAnsi="Arial" w:cs="Arial"/>
                <w:snapToGrid w:val="0"/>
                <w:sz w:val="22"/>
                <w:szCs w:val="22"/>
              </w:rPr>
              <w:t>10</w:t>
            </w:r>
          </w:p>
        </w:tc>
        <w:tc>
          <w:tcPr>
            <w:tcW w:w="1152" w:type="dxa"/>
            <w:vAlign w:val="center"/>
          </w:tcPr>
          <w:p w14:paraId="064BDA82" w14:textId="77777777" w:rsidR="00A359F2" w:rsidRPr="00301633" w:rsidRDefault="00A359F2" w:rsidP="00347614">
            <w:pPr>
              <w:widowControl w:val="0"/>
              <w:spacing w:line="20" w:lineRule="atLeast"/>
              <w:jc w:val="right"/>
              <w:rPr>
                <w:rFonts w:ascii="Arial" w:hAnsi="Arial" w:cs="Arial"/>
                <w:snapToGrid w:val="0"/>
              </w:rPr>
            </w:pPr>
            <w:r w:rsidRPr="00301633">
              <w:rPr>
                <w:rFonts w:ascii="Arial" w:hAnsi="Arial" w:cs="Arial"/>
                <w:snapToGrid w:val="0"/>
                <w:sz w:val="22"/>
                <w:szCs w:val="22"/>
              </w:rPr>
              <w:t>4</w:t>
            </w:r>
          </w:p>
        </w:tc>
      </w:tr>
      <w:tr w:rsidR="00A359F2" w:rsidRPr="0018536E" w14:paraId="376DD51A" w14:textId="77777777" w:rsidTr="00347614">
        <w:trPr>
          <w:trHeight w:val="144"/>
          <w:jc w:val="center"/>
        </w:trPr>
        <w:tc>
          <w:tcPr>
            <w:tcW w:w="2669" w:type="dxa"/>
          </w:tcPr>
          <w:p w14:paraId="56857008" w14:textId="77777777" w:rsidR="00A359F2" w:rsidRPr="00301633" w:rsidRDefault="00A359F2" w:rsidP="00347614">
            <w:pPr>
              <w:widowControl w:val="0"/>
              <w:spacing w:line="20" w:lineRule="atLeast"/>
              <w:rPr>
                <w:rFonts w:ascii="Arial" w:hAnsi="Arial" w:cs="Arial"/>
                <w:b/>
                <w:snapToGrid w:val="0"/>
              </w:rPr>
            </w:pPr>
            <w:r w:rsidRPr="00301633">
              <w:rPr>
                <w:rFonts w:ascii="Arial" w:hAnsi="Arial" w:cs="Arial"/>
                <w:b/>
                <w:snapToGrid w:val="0"/>
                <w:sz w:val="22"/>
                <w:szCs w:val="22"/>
              </w:rPr>
              <w:t xml:space="preserve">Other Overdue PMs </w:t>
            </w:r>
          </w:p>
        </w:tc>
        <w:tc>
          <w:tcPr>
            <w:tcW w:w="1008" w:type="dxa"/>
            <w:vAlign w:val="center"/>
          </w:tcPr>
          <w:p w14:paraId="5827D159" w14:textId="77777777" w:rsidR="00A359F2" w:rsidRPr="00301633" w:rsidRDefault="00A359F2" w:rsidP="00347614">
            <w:pPr>
              <w:widowControl w:val="0"/>
              <w:spacing w:line="20" w:lineRule="atLeast"/>
              <w:jc w:val="right"/>
              <w:rPr>
                <w:rFonts w:ascii="Arial" w:hAnsi="Arial" w:cs="Arial"/>
                <w:snapToGrid w:val="0"/>
              </w:rPr>
            </w:pPr>
            <w:r w:rsidRPr="00301633">
              <w:rPr>
                <w:rFonts w:ascii="Arial" w:hAnsi="Arial" w:cs="Arial"/>
                <w:snapToGrid w:val="0"/>
                <w:sz w:val="22"/>
                <w:szCs w:val="22"/>
              </w:rPr>
              <w:t>2367</w:t>
            </w:r>
          </w:p>
        </w:tc>
        <w:tc>
          <w:tcPr>
            <w:tcW w:w="1008" w:type="dxa"/>
            <w:vAlign w:val="center"/>
          </w:tcPr>
          <w:p w14:paraId="0A97397F" w14:textId="77777777" w:rsidR="00A359F2" w:rsidRPr="00301633" w:rsidRDefault="00A359F2" w:rsidP="00347614">
            <w:pPr>
              <w:widowControl w:val="0"/>
              <w:spacing w:line="20" w:lineRule="atLeast"/>
              <w:jc w:val="right"/>
              <w:rPr>
                <w:rFonts w:ascii="Arial" w:hAnsi="Arial" w:cs="Arial"/>
                <w:snapToGrid w:val="0"/>
              </w:rPr>
            </w:pPr>
            <w:r w:rsidRPr="00301633">
              <w:rPr>
                <w:rFonts w:ascii="Arial" w:hAnsi="Arial" w:cs="Arial"/>
                <w:snapToGrid w:val="0"/>
                <w:sz w:val="22"/>
                <w:szCs w:val="22"/>
              </w:rPr>
              <w:t>1270</w:t>
            </w:r>
          </w:p>
        </w:tc>
        <w:tc>
          <w:tcPr>
            <w:tcW w:w="1008" w:type="dxa"/>
            <w:vAlign w:val="center"/>
          </w:tcPr>
          <w:p w14:paraId="668581C5" w14:textId="77777777" w:rsidR="00A359F2" w:rsidRPr="00301633" w:rsidRDefault="00A359F2" w:rsidP="00347614">
            <w:pPr>
              <w:widowControl w:val="0"/>
              <w:spacing w:line="20" w:lineRule="atLeast"/>
              <w:jc w:val="right"/>
              <w:rPr>
                <w:rFonts w:ascii="Arial" w:hAnsi="Arial" w:cs="Arial"/>
                <w:snapToGrid w:val="0"/>
              </w:rPr>
            </w:pPr>
            <w:r w:rsidRPr="00301633">
              <w:rPr>
                <w:rFonts w:ascii="Arial" w:hAnsi="Arial" w:cs="Arial"/>
                <w:snapToGrid w:val="0"/>
                <w:sz w:val="22"/>
                <w:szCs w:val="22"/>
              </w:rPr>
              <w:t>1161</w:t>
            </w:r>
          </w:p>
        </w:tc>
        <w:tc>
          <w:tcPr>
            <w:tcW w:w="1008" w:type="dxa"/>
            <w:vAlign w:val="center"/>
          </w:tcPr>
          <w:p w14:paraId="2AD04B18" w14:textId="77777777" w:rsidR="00A359F2" w:rsidRPr="00301633" w:rsidRDefault="00A359F2" w:rsidP="00347614">
            <w:pPr>
              <w:widowControl w:val="0"/>
              <w:spacing w:line="20" w:lineRule="atLeast"/>
              <w:jc w:val="right"/>
              <w:rPr>
                <w:rFonts w:ascii="Arial" w:hAnsi="Arial" w:cs="Arial"/>
                <w:snapToGrid w:val="0"/>
              </w:rPr>
            </w:pPr>
            <w:r w:rsidRPr="00301633">
              <w:rPr>
                <w:rFonts w:ascii="Arial" w:hAnsi="Arial" w:cs="Arial"/>
                <w:snapToGrid w:val="0"/>
                <w:sz w:val="22"/>
                <w:szCs w:val="22"/>
              </w:rPr>
              <w:t>497</w:t>
            </w:r>
          </w:p>
        </w:tc>
        <w:tc>
          <w:tcPr>
            <w:tcW w:w="1152" w:type="dxa"/>
            <w:vAlign w:val="center"/>
          </w:tcPr>
          <w:p w14:paraId="13DD9A1C" w14:textId="77777777" w:rsidR="00A359F2" w:rsidRPr="00301633" w:rsidRDefault="00A359F2" w:rsidP="00347614">
            <w:pPr>
              <w:widowControl w:val="0"/>
              <w:spacing w:line="20" w:lineRule="atLeast"/>
              <w:jc w:val="right"/>
              <w:rPr>
                <w:rFonts w:ascii="Arial" w:hAnsi="Arial" w:cs="Arial"/>
                <w:snapToGrid w:val="0"/>
              </w:rPr>
            </w:pPr>
            <w:r w:rsidRPr="00301633">
              <w:rPr>
                <w:rFonts w:ascii="Arial" w:hAnsi="Arial" w:cs="Arial"/>
                <w:snapToGrid w:val="0"/>
                <w:sz w:val="22"/>
                <w:szCs w:val="22"/>
              </w:rPr>
              <w:t>225</w:t>
            </w:r>
          </w:p>
        </w:tc>
      </w:tr>
    </w:tbl>
    <w:p w14:paraId="0B951161" w14:textId="77777777" w:rsidR="00A359F2" w:rsidRDefault="00A359F2" w:rsidP="00A359F2">
      <w:pPr>
        <w:widowControl w:val="0"/>
        <w:spacing w:after="0" w:line="20" w:lineRule="atLeast"/>
        <w:ind w:left="810"/>
        <w:rPr>
          <w:rFonts w:ascii="Arial" w:eastAsia="Times New Roman" w:hAnsi="Arial" w:cs="Arial"/>
          <w:snapToGrid w:val="0"/>
          <w:sz w:val="18"/>
          <w:szCs w:val="18"/>
        </w:rPr>
      </w:pPr>
      <w:r w:rsidRPr="002B65E7">
        <w:rPr>
          <w:rFonts w:ascii="Arial" w:eastAsia="Times New Roman" w:hAnsi="Arial" w:cs="Arial"/>
          <w:snapToGrid w:val="0"/>
          <w:sz w:val="18"/>
          <w:szCs w:val="18"/>
        </w:rPr>
        <w:t>Source</w:t>
      </w:r>
      <w:r>
        <w:rPr>
          <w:rFonts w:ascii="Arial" w:eastAsia="Times New Roman" w:hAnsi="Arial" w:cs="Arial"/>
          <w:snapToGrid w:val="0"/>
          <w:sz w:val="18"/>
          <w:szCs w:val="18"/>
        </w:rPr>
        <w:t>: Data Request No. VE-7.6, 7.13</w:t>
      </w:r>
    </w:p>
    <w:p w14:paraId="70C85BED" w14:textId="77777777" w:rsidR="00A359F2" w:rsidRDefault="00A359F2" w:rsidP="00A359F2">
      <w:pPr>
        <w:widowControl w:val="0"/>
        <w:spacing w:after="0" w:line="20" w:lineRule="atLeast"/>
        <w:ind w:left="810"/>
        <w:rPr>
          <w:rFonts w:ascii="Arial" w:eastAsia="Times New Roman" w:hAnsi="Arial" w:cs="Arial"/>
          <w:snapToGrid w:val="0"/>
          <w:sz w:val="18"/>
          <w:szCs w:val="18"/>
        </w:rPr>
      </w:pPr>
    </w:p>
    <w:p w14:paraId="517B7AF3" w14:textId="77777777" w:rsidR="00A359F2" w:rsidRDefault="00A359F2" w:rsidP="00A359F2">
      <w:pPr>
        <w:widowControl w:val="0"/>
        <w:spacing w:after="0" w:line="20" w:lineRule="atLeast"/>
        <w:jc w:val="center"/>
        <w:rPr>
          <w:rFonts w:ascii="Arial" w:eastAsia="Times New Roman" w:hAnsi="Arial" w:cs="Arial"/>
          <w:b/>
          <w:snapToGrid w:val="0"/>
          <w:sz w:val="24"/>
          <w:szCs w:val="24"/>
        </w:rPr>
      </w:pPr>
      <w:r>
        <w:rPr>
          <w:rFonts w:ascii="Arial" w:eastAsia="Times New Roman" w:hAnsi="Arial" w:cs="Arial"/>
          <w:b/>
          <w:snapToGrid w:val="0"/>
          <w:sz w:val="24"/>
          <w:szCs w:val="24"/>
        </w:rPr>
        <w:t xml:space="preserve">Exhibit XII – 8 </w:t>
      </w:r>
    </w:p>
    <w:p w14:paraId="09288CD4" w14:textId="77777777" w:rsidR="00A359F2" w:rsidRPr="00390583" w:rsidRDefault="00A359F2" w:rsidP="00A359F2">
      <w:pPr>
        <w:keepNext/>
        <w:widowControl w:val="0"/>
        <w:spacing w:after="0" w:line="20" w:lineRule="atLeast"/>
        <w:jc w:val="center"/>
        <w:rPr>
          <w:rFonts w:ascii="Arial" w:eastAsia="Times New Roman" w:hAnsi="Arial" w:cs="Arial"/>
          <w:b/>
          <w:bCs/>
          <w:snapToGrid w:val="0"/>
          <w:sz w:val="24"/>
          <w:szCs w:val="24"/>
          <w:lang w:val="en"/>
        </w:rPr>
      </w:pPr>
      <w:r w:rsidRPr="00390583">
        <w:rPr>
          <w:rFonts w:ascii="Arial" w:eastAsia="Times New Roman" w:hAnsi="Arial" w:cs="Arial"/>
          <w:b/>
          <w:bCs/>
          <w:snapToGrid w:val="0"/>
          <w:sz w:val="24"/>
          <w:szCs w:val="24"/>
          <w:lang w:val="en"/>
        </w:rPr>
        <w:t>FirstEnergy Pennsylvania Companies</w:t>
      </w:r>
    </w:p>
    <w:p w14:paraId="73AF5E9B" w14:textId="77777777" w:rsidR="00A359F2" w:rsidRDefault="00A359F2" w:rsidP="00A359F2">
      <w:pPr>
        <w:widowControl w:val="0"/>
        <w:spacing w:after="0" w:line="20" w:lineRule="atLeast"/>
        <w:jc w:val="center"/>
        <w:rPr>
          <w:rFonts w:ascii="Arial" w:eastAsia="Times New Roman" w:hAnsi="Arial" w:cs="Arial"/>
          <w:b/>
          <w:snapToGrid w:val="0"/>
          <w:sz w:val="24"/>
          <w:szCs w:val="24"/>
        </w:rPr>
      </w:pPr>
      <w:r>
        <w:rPr>
          <w:rFonts w:ascii="Arial" w:eastAsia="Times New Roman" w:hAnsi="Arial" w:cs="Arial"/>
          <w:b/>
          <w:snapToGrid w:val="0"/>
          <w:sz w:val="24"/>
          <w:szCs w:val="24"/>
        </w:rPr>
        <w:t>Overdue Critical PMs and Overdue PMs</w:t>
      </w:r>
    </w:p>
    <w:p w14:paraId="29CD45FD" w14:textId="77777777" w:rsidR="00A359F2" w:rsidRPr="00993A33" w:rsidRDefault="00A359F2" w:rsidP="00A359F2">
      <w:pPr>
        <w:widowControl w:val="0"/>
        <w:spacing w:after="0" w:line="20" w:lineRule="atLeast"/>
        <w:jc w:val="center"/>
        <w:rPr>
          <w:rFonts w:ascii="Arial" w:eastAsia="Times New Roman" w:hAnsi="Arial" w:cs="Arial"/>
          <w:b/>
          <w:snapToGrid w:val="0"/>
          <w:sz w:val="24"/>
          <w:szCs w:val="24"/>
        </w:rPr>
      </w:pPr>
      <w:r>
        <w:rPr>
          <w:rFonts w:ascii="Arial" w:eastAsia="Times New Roman" w:hAnsi="Arial" w:cs="Arial"/>
          <w:b/>
          <w:snapToGrid w:val="0"/>
          <w:sz w:val="24"/>
          <w:szCs w:val="24"/>
        </w:rPr>
        <w:t>2017</w:t>
      </w:r>
    </w:p>
    <w:p w14:paraId="4302C11E" w14:textId="77777777" w:rsidR="00A359F2" w:rsidRPr="00301633" w:rsidRDefault="00A359F2" w:rsidP="00A359F2">
      <w:pPr>
        <w:widowControl w:val="0"/>
        <w:spacing w:after="0" w:line="20" w:lineRule="atLeast"/>
        <w:rPr>
          <w:rFonts w:ascii="Arial" w:eastAsia="Times New Roman" w:hAnsi="Arial" w:cs="Arial"/>
          <w:snapToGrid w:val="0"/>
          <w:sz w:val="8"/>
          <w:szCs w:val="8"/>
          <w:u w:val="single"/>
        </w:rPr>
      </w:pPr>
    </w:p>
    <w:tbl>
      <w:tblPr>
        <w:tblStyle w:val="TableGrid8"/>
        <w:tblW w:w="4300" w:type="dxa"/>
        <w:jc w:val="center"/>
        <w:tblLook w:val="04A0" w:firstRow="1" w:lastRow="0" w:firstColumn="1" w:lastColumn="0" w:noHBand="0" w:noVBand="1"/>
      </w:tblPr>
      <w:tblGrid>
        <w:gridCol w:w="2160"/>
        <w:gridCol w:w="750"/>
        <w:gridCol w:w="1390"/>
      </w:tblGrid>
      <w:tr w:rsidR="00A359F2" w:rsidRPr="0018536E" w14:paraId="28A0D4C6" w14:textId="77777777" w:rsidTr="00347614">
        <w:trPr>
          <w:trHeight w:val="20"/>
          <w:jc w:val="center"/>
        </w:trPr>
        <w:tc>
          <w:tcPr>
            <w:tcW w:w="2160" w:type="dxa"/>
            <w:vAlign w:val="center"/>
          </w:tcPr>
          <w:p w14:paraId="5BB77D4E" w14:textId="77777777" w:rsidR="00A359F2" w:rsidRPr="00301633" w:rsidRDefault="00A359F2" w:rsidP="00347614">
            <w:pPr>
              <w:widowControl w:val="0"/>
              <w:spacing w:line="20" w:lineRule="atLeast"/>
              <w:jc w:val="center"/>
              <w:rPr>
                <w:rFonts w:ascii="Arial" w:hAnsi="Arial" w:cs="Arial"/>
                <w:b/>
                <w:snapToGrid w:val="0"/>
              </w:rPr>
            </w:pPr>
            <w:r w:rsidRPr="00301633">
              <w:rPr>
                <w:rFonts w:ascii="Arial" w:hAnsi="Arial" w:cs="Arial"/>
                <w:b/>
                <w:snapToGrid w:val="0"/>
                <w:sz w:val="22"/>
                <w:szCs w:val="22"/>
              </w:rPr>
              <w:t>Company</w:t>
            </w:r>
          </w:p>
        </w:tc>
        <w:tc>
          <w:tcPr>
            <w:tcW w:w="750" w:type="dxa"/>
            <w:vAlign w:val="center"/>
          </w:tcPr>
          <w:p w14:paraId="294EF846" w14:textId="77777777" w:rsidR="00A359F2" w:rsidRPr="00301633" w:rsidRDefault="00A359F2" w:rsidP="00347614">
            <w:pPr>
              <w:widowControl w:val="0"/>
              <w:spacing w:line="20" w:lineRule="atLeast"/>
              <w:jc w:val="center"/>
              <w:rPr>
                <w:rFonts w:ascii="Arial" w:hAnsi="Arial" w:cs="Arial"/>
                <w:b/>
                <w:snapToGrid w:val="0"/>
              </w:rPr>
            </w:pPr>
            <w:r w:rsidRPr="00301633">
              <w:rPr>
                <w:rFonts w:ascii="Arial" w:hAnsi="Arial" w:cs="Arial"/>
                <w:b/>
                <w:snapToGrid w:val="0"/>
                <w:sz w:val="22"/>
                <w:szCs w:val="22"/>
              </w:rPr>
              <w:t>Type</w:t>
            </w:r>
          </w:p>
        </w:tc>
        <w:tc>
          <w:tcPr>
            <w:tcW w:w="1390" w:type="dxa"/>
          </w:tcPr>
          <w:p w14:paraId="55974E39" w14:textId="77777777" w:rsidR="00A359F2" w:rsidRPr="00301633" w:rsidRDefault="00A359F2" w:rsidP="00347614">
            <w:pPr>
              <w:widowControl w:val="0"/>
              <w:spacing w:line="20" w:lineRule="atLeast"/>
              <w:jc w:val="center"/>
              <w:rPr>
                <w:rFonts w:ascii="Arial" w:hAnsi="Arial" w:cs="Arial"/>
                <w:b/>
                <w:snapToGrid w:val="0"/>
              </w:rPr>
            </w:pPr>
            <w:r w:rsidRPr="00301633">
              <w:rPr>
                <w:rFonts w:ascii="Arial" w:hAnsi="Arial" w:cs="Arial"/>
                <w:b/>
                <w:snapToGrid w:val="0"/>
                <w:sz w:val="22"/>
                <w:szCs w:val="22"/>
              </w:rPr>
              <w:t>2017</w:t>
            </w:r>
          </w:p>
        </w:tc>
      </w:tr>
      <w:tr w:rsidR="00A359F2" w:rsidRPr="0018536E" w14:paraId="3E016225" w14:textId="77777777" w:rsidTr="00347614">
        <w:trPr>
          <w:trHeight w:val="20"/>
          <w:jc w:val="center"/>
        </w:trPr>
        <w:tc>
          <w:tcPr>
            <w:tcW w:w="2160" w:type="dxa"/>
            <w:vMerge w:val="restart"/>
            <w:vAlign w:val="center"/>
          </w:tcPr>
          <w:p w14:paraId="3D0F7145" w14:textId="77777777" w:rsidR="00A359F2" w:rsidRPr="00301633" w:rsidRDefault="00A359F2" w:rsidP="00347614">
            <w:pPr>
              <w:widowControl w:val="0"/>
              <w:spacing w:line="20" w:lineRule="atLeast"/>
              <w:rPr>
                <w:rFonts w:ascii="Arial" w:hAnsi="Arial" w:cs="Arial"/>
                <w:b/>
                <w:snapToGrid w:val="0"/>
              </w:rPr>
            </w:pPr>
            <w:r w:rsidRPr="00301633">
              <w:rPr>
                <w:rFonts w:ascii="Arial" w:hAnsi="Arial" w:cs="Arial"/>
                <w:b/>
                <w:snapToGrid w:val="0"/>
                <w:sz w:val="22"/>
                <w:szCs w:val="22"/>
              </w:rPr>
              <w:t>Met Ed</w:t>
            </w:r>
          </w:p>
        </w:tc>
        <w:tc>
          <w:tcPr>
            <w:tcW w:w="750" w:type="dxa"/>
            <w:vAlign w:val="center"/>
          </w:tcPr>
          <w:p w14:paraId="14792688" w14:textId="77777777" w:rsidR="00A359F2" w:rsidRPr="00301633" w:rsidRDefault="00A359F2" w:rsidP="00347614">
            <w:pPr>
              <w:widowControl w:val="0"/>
              <w:spacing w:line="20" w:lineRule="atLeast"/>
              <w:jc w:val="right"/>
              <w:rPr>
                <w:rFonts w:ascii="Arial" w:hAnsi="Arial" w:cs="Arial"/>
                <w:snapToGrid w:val="0"/>
              </w:rPr>
            </w:pPr>
            <w:r w:rsidRPr="00301633">
              <w:rPr>
                <w:rFonts w:ascii="Arial" w:hAnsi="Arial" w:cs="Arial"/>
                <w:snapToGrid w:val="0"/>
                <w:sz w:val="22"/>
                <w:szCs w:val="22"/>
              </w:rPr>
              <w:t>CPM</w:t>
            </w:r>
          </w:p>
        </w:tc>
        <w:tc>
          <w:tcPr>
            <w:tcW w:w="1390" w:type="dxa"/>
            <w:vAlign w:val="center"/>
          </w:tcPr>
          <w:p w14:paraId="06C7E74E" w14:textId="77777777" w:rsidR="00A359F2" w:rsidRPr="00301633" w:rsidRDefault="00A359F2" w:rsidP="00347614">
            <w:pPr>
              <w:widowControl w:val="0"/>
              <w:spacing w:line="20" w:lineRule="atLeast"/>
              <w:jc w:val="right"/>
              <w:rPr>
                <w:rFonts w:ascii="Arial" w:hAnsi="Arial" w:cs="Arial"/>
                <w:snapToGrid w:val="0"/>
              </w:rPr>
            </w:pPr>
            <w:r w:rsidRPr="00301633">
              <w:rPr>
                <w:rFonts w:ascii="Arial" w:hAnsi="Arial" w:cs="Arial"/>
                <w:snapToGrid w:val="0"/>
                <w:sz w:val="22"/>
                <w:szCs w:val="22"/>
              </w:rPr>
              <w:t>1</w:t>
            </w:r>
          </w:p>
        </w:tc>
      </w:tr>
      <w:tr w:rsidR="00A359F2" w:rsidRPr="0018536E" w14:paraId="363463DD" w14:textId="77777777" w:rsidTr="00347614">
        <w:trPr>
          <w:trHeight w:val="20"/>
          <w:jc w:val="center"/>
        </w:trPr>
        <w:tc>
          <w:tcPr>
            <w:tcW w:w="2160" w:type="dxa"/>
            <w:vMerge/>
            <w:vAlign w:val="center"/>
          </w:tcPr>
          <w:p w14:paraId="561EF1DE" w14:textId="77777777" w:rsidR="00A359F2" w:rsidRPr="00301633" w:rsidRDefault="00A359F2" w:rsidP="00347614">
            <w:pPr>
              <w:widowControl w:val="0"/>
              <w:spacing w:line="20" w:lineRule="atLeast"/>
              <w:rPr>
                <w:rFonts w:ascii="Arial" w:hAnsi="Arial" w:cs="Arial"/>
                <w:b/>
                <w:snapToGrid w:val="0"/>
              </w:rPr>
            </w:pPr>
          </w:p>
        </w:tc>
        <w:tc>
          <w:tcPr>
            <w:tcW w:w="750" w:type="dxa"/>
            <w:vAlign w:val="center"/>
          </w:tcPr>
          <w:p w14:paraId="7C31B5F9" w14:textId="77777777" w:rsidR="00A359F2" w:rsidRPr="00301633" w:rsidRDefault="00A359F2" w:rsidP="00347614">
            <w:pPr>
              <w:widowControl w:val="0"/>
              <w:spacing w:line="20" w:lineRule="atLeast"/>
              <w:jc w:val="right"/>
              <w:rPr>
                <w:rFonts w:ascii="Arial" w:hAnsi="Arial" w:cs="Arial"/>
                <w:snapToGrid w:val="0"/>
              </w:rPr>
            </w:pPr>
            <w:r w:rsidRPr="00301633">
              <w:rPr>
                <w:rFonts w:ascii="Arial" w:hAnsi="Arial" w:cs="Arial"/>
                <w:snapToGrid w:val="0"/>
                <w:sz w:val="22"/>
                <w:szCs w:val="22"/>
              </w:rPr>
              <w:t>PM</w:t>
            </w:r>
          </w:p>
        </w:tc>
        <w:tc>
          <w:tcPr>
            <w:tcW w:w="1390" w:type="dxa"/>
            <w:vAlign w:val="center"/>
          </w:tcPr>
          <w:p w14:paraId="1A1F19FB" w14:textId="77777777" w:rsidR="00A359F2" w:rsidRPr="00301633" w:rsidRDefault="00A359F2" w:rsidP="00347614">
            <w:pPr>
              <w:widowControl w:val="0"/>
              <w:spacing w:line="20" w:lineRule="atLeast"/>
              <w:jc w:val="right"/>
              <w:rPr>
                <w:rFonts w:ascii="Arial" w:hAnsi="Arial" w:cs="Arial"/>
                <w:snapToGrid w:val="0"/>
              </w:rPr>
            </w:pPr>
            <w:r w:rsidRPr="00301633">
              <w:rPr>
                <w:rFonts w:ascii="Arial" w:hAnsi="Arial" w:cs="Arial"/>
                <w:snapToGrid w:val="0"/>
                <w:sz w:val="22"/>
                <w:szCs w:val="22"/>
              </w:rPr>
              <w:t>52</w:t>
            </w:r>
          </w:p>
        </w:tc>
      </w:tr>
      <w:tr w:rsidR="00A359F2" w:rsidRPr="0018536E" w14:paraId="388E1BD1" w14:textId="77777777" w:rsidTr="00347614">
        <w:trPr>
          <w:trHeight w:val="20"/>
          <w:jc w:val="center"/>
        </w:trPr>
        <w:tc>
          <w:tcPr>
            <w:tcW w:w="2160" w:type="dxa"/>
            <w:vMerge w:val="restart"/>
            <w:vAlign w:val="center"/>
          </w:tcPr>
          <w:p w14:paraId="12E7D92C" w14:textId="77777777" w:rsidR="00A359F2" w:rsidRPr="00301633" w:rsidRDefault="00A359F2" w:rsidP="00347614">
            <w:pPr>
              <w:widowControl w:val="0"/>
              <w:spacing w:line="20" w:lineRule="atLeast"/>
              <w:rPr>
                <w:rFonts w:ascii="Arial" w:hAnsi="Arial" w:cs="Arial"/>
                <w:b/>
                <w:snapToGrid w:val="0"/>
              </w:rPr>
            </w:pPr>
            <w:r w:rsidRPr="00301633">
              <w:rPr>
                <w:rFonts w:ascii="Arial" w:hAnsi="Arial" w:cs="Arial"/>
                <w:b/>
                <w:snapToGrid w:val="0"/>
                <w:sz w:val="22"/>
                <w:szCs w:val="22"/>
              </w:rPr>
              <w:t>Penelec</w:t>
            </w:r>
          </w:p>
        </w:tc>
        <w:tc>
          <w:tcPr>
            <w:tcW w:w="750" w:type="dxa"/>
            <w:vAlign w:val="center"/>
          </w:tcPr>
          <w:p w14:paraId="63833630" w14:textId="77777777" w:rsidR="00A359F2" w:rsidRPr="00301633" w:rsidRDefault="00A359F2" w:rsidP="00347614">
            <w:pPr>
              <w:widowControl w:val="0"/>
              <w:spacing w:line="20" w:lineRule="atLeast"/>
              <w:jc w:val="right"/>
              <w:rPr>
                <w:rFonts w:ascii="Arial" w:hAnsi="Arial" w:cs="Arial"/>
                <w:snapToGrid w:val="0"/>
              </w:rPr>
            </w:pPr>
            <w:r w:rsidRPr="00301633">
              <w:rPr>
                <w:rFonts w:ascii="Arial" w:hAnsi="Arial" w:cs="Arial"/>
                <w:snapToGrid w:val="0"/>
                <w:sz w:val="22"/>
                <w:szCs w:val="22"/>
              </w:rPr>
              <w:t>CPM</w:t>
            </w:r>
          </w:p>
        </w:tc>
        <w:tc>
          <w:tcPr>
            <w:tcW w:w="1390" w:type="dxa"/>
            <w:vAlign w:val="center"/>
          </w:tcPr>
          <w:p w14:paraId="3BC2BB09" w14:textId="77777777" w:rsidR="00A359F2" w:rsidRPr="00301633" w:rsidRDefault="00A359F2" w:rsidP="00347614">
            <w:pPr>
              <w:widowControl w:val="0"/>
              <w:spacing w:line="20" w:lineRule="atLeast"/>
              <w:jc w:val="right"/>
              <w:rPr>
                <w:rFonts w:ascii="Arial" w:hAnsi="Arial" w:cs="Arial"/>
                <w:snapToGrid w:val="0"/>
              </w:rPr>
            </w:pPr>
            <w:r w:rsidRPr="00301633">
              <w:rPr>
                <w:rFonts w:ascii="Arial" w:hAnsi="Arial" w:cs="Arial"/>
                <w:snapToGrid w:val="0"/>
                <w:sz w:val="22"/>
                <w:szCs w:val="22"/>
              </w:rPr>
              <w:t>1</w:t>
            </w:r>
          </w:p>
        </w:tc>
      </w:tr>
      <w:tr w:rsidR="00A359F2" w:rsidRPr="0018536E" w14:paraId="40D0C090" w14:textId="77777777" w:rsidTr="00347614">
        <w:trPr>
          <w:trHeight w:val="20"/>
          <w:jc w:val="center"/>
        </w:trPr>
        <w:tc>
          <w:tcPr>
            <w:tcW w:w="2160" w:type="dxa"/>
            <w:vMerge/>
            <w:vAlign w:val="center"/>
          </w:tcPr>
          <w:p w14:paraId="3ECDE8B5" w14:textId="77777777" w:rsidR="00A359F2" w:rsidRPr="00301633" w:rsidRDefault="00A359F2" w:rsidP="00347614">
            <w:pPr>
              <w:widowControl w:val="0"/>
              <w:spacing w:line="20" w:lineRule="atLeast"/>
              <w:rPr>
                <w:rFonts w:ascii="Arial" w:hAnsi="Arial" w:cs="Arial"/>
                <w:b/>
                <w:snapToGrid w:val="0"/>
              </w:rPr>
            </w:pPr>
          </w:p>
        </w:tc>
        <w:tc>
          <w:tcPr>
            <w:tcW w:w="750" w:type="dxa"/>
            <w:vAlign w:val="center"/>
          </w:tcPr>
          <w:p w14:paraId="7C65420A" w14:textId="77777777" w:rsidR="00A359F2" w:rsidRPr="00301633" w:rsidRDefault="00A359F2" w:rsidP="00347614">
            <w:pPr>
              <w:widowControl w:val="0"/>
              <w:spacing w:line="20" w:lineRule="atLeast"/>
              <w:jc w:val="right"/>
              <w:rPr>
                <w:rFonts w:ascii="Arial" w:hAnsi="Arial" w:cs="Arial"/>
                <w:snapToGrid w:val="0"/>
              </w:rPr>
            </w:pPr>
            <w:r w:rsidRPr="00301633">
              <w:rPr>
                <w:rFonts w:ascii="Arial" w:hAnsi="Arial" w:cs="Arial"/>
                <w:snapToGrid w:val="0"/>
                <w:sz w:val="22"/>
                <w:szCs w:val="22"/>
              </w:rPr>
              <w:t>PM</w:t>
            </w:r>
          </w:p>
        </w:tc>
        <w:tc>
          <w:tcPr>
            <w:tcW w:w="1390" w:type="dxa"/>
            <w:vAlign w:val="center"/>
          </w:tcPr>
          <w:p w14:paraId="53A3751D" w14:textId="77777777" w:rsidR="00A359F2" w:rsidRPr="00301633" w:rsidRDefault="00A359F2" w:rsidP="00347614">
            <w:pPr>
              <w:widowControl w:val="0"/>
              <w:spacing w:line="20" w:lineRule="atLeast"/>
              <w:jc w:val="right"/>
              <w:rPr>
                <w:rFonts w:ascii="Arial" w:hAnsi="Arial" w:cs="Arial"/>
                <w:snapToGrid w:val="0"/>
              </w:rPr>
            </w:pPr>
            <w:r w:rsidRPr="00301633">
              <w:rPr>
                <w:rFonts w:ascii="Arial" w:hAnsi="Arial" w:cs="Arial"/>
                <w:snapToGrid w:val="0"/>
                <w:sz w:val="22"/>
                <w:szCs w:val="22"/>
              </w:rPr>
              <w:t>63</w:t>
            </w:r>
          </w:p>
        </w:tc>
      </w:tr>
      <w:tr w:rsidR="00A359F2" w:rsidRPr="0018536E" w14:paraId="2D767104" w14:textId="77777777" w:rsidTr="00347614">
        <w:trPr>
          <w:trHeight w:val="20"/>
          <w:jc w:val="center"/>
        </w:trPr>
        <w:tc>
          <w:tcPr>
            <w:tcW w:w="2160" w:type="dxa"/>
            <w:vMerge w:val="restart"/>
            <w:vAlign w:val="center"/>
          </w:tcPr>
          <w:p w14:paraId="237824CA" w14:textId="77777777" w:rsidR="00A359F2" w:rsidRPr="00301633" w:rsidRDefault="00A359F2" w:rsidP="00347614">
            <w:pPr>
              <w:widowControl w:val="0"/>
              <w:spacing w:line="20" w:lineRule="atLeast"/>
              <w:rPr>
                <w:rFonts w:ascii="Arial" w:hAnsi="Arial" w:cs="Arial"/>
                <w:b/>
                <w:snapToGrid w:val="0"/>
              </w:rPr>
            </w:pPr>
            <w:r w:rsidRPr="00301633">
              <w:rPr>
                <w:rFonts w:ascii="Arial" w:hAnsi="Arial" w:cs="Arial"/>
                <w:b/>
                <w:snapToGrid w:val="0"/>
                <w:sz w:val="22"/>
                <w:szCs w:val="22"/>
              </w:rPr>
              <w:t>Penn Power</w:t>
            </w:r>
          </w:p>
        </w:tc>
        <w:tc>
          <w:tcPr>
            <w:tcW w:w="750" w:type="dxa"/>
            <w:vAlign w:val="center"/>
          </w:tcPr>
          <w:p w14:paraId="53281001" w14:textId="77777777" w:rsidR="00A359F2" w:rsidRPr="00301633" w:rsidRDefault="00A359F2" w:rsidP="00347614">
            <w:pPr>
              <w:widowControl w:val="0"/>
              <w:spacing w:line="20" w:lineRule="atLeast"/>
              <w:jc w:val="right"/>
              <w:rPr>
                <w:rFonts w:ascii="Arial" w:hAnsi="Arial" w:cs="Arial"/>
                <w:snapToGrid w:val="0"/>
              </w:rPr>
            </w:pPr>
            <w:r w:rsidRPr="00301633">
              <w:rPr>
                <w:rFonts w:ascii="Arial" w:hAnsi="Arial" w:cs="Arial"/>
                <w:snapToGrid w:val="0"/>
                <w:sz w:val="22"/>
                <w:szCs w:val="22"/>
              </w:rPr>
              <w:t>CPM</w:t>
            </w:r>
          </w:p>
        </w:tc>
        <w:tc>
          <w:tcPr>
            <w:tcW w:w="1390" w:type="dxa"/>
            <w:vAlign w:val="center"/>
          </w:tcPr>
          <w:p w14:paraId="42FAE02A" w14:textId="77777777" w:rsidR="00A359F2" w:rsidRPr="00301633" w:rsidRDefault="00A359F2" w:rsidP="00347614">
            <w:pPr>
              <w:widowControl w:val="0"/>
              <w:spacing w:line="20" w:lineRule="atLeast"/>
              <w:jc w:val="right"/>
              <w:rPr>
                <w:rFonts w:ascii="Arial" w:hAnsi="Arial" w:cs="Arial"/>
                <w:snapToGrid w:val="0"/>
              </w:rPr>
            </w:pPr>
            <w:r w:rsidRPr="00301633">
              <w:rPr>
                <w:rFonts w:ascii="Arial" w:hAnsi="Arial" w:cs="Arial"/>
                <w:snapToGrid w:val="0"/>
                <w:sz w:val="22"/>
                <w:szCs w:val="22"/>
              </w:rPr>
              <w:t>2</w:t>
            </w:r>
          </w:p>
        </w:tc>
      </w:tr>
      <w:tr w:rsidR="00A359F2" w:rsidRPr="0018536E" w14:paraId="04E29039" w14:textId="77777777" w:rsidTr="00347614">
        <w:trPr>
          <w:trHeight w:val="20"/>
          <w:jc w:val="center"/>
        </w:trPr>
        <w:tc>
          <w:tcPr>
            <w:tcW w:w="2160" w:type="dxa"/>
            <w:vMerge/>
          </w:tcPr>
          <w:p w14:paraId="33DA846A" w14:textId="77777777" w:rsidR="00A359F2" w:rsidRPr="00301633" w:rsidRDefault="00A359F2" w:rsidP="00347614">
            <w:pPr>
              <w:widowControl w:val="0"/>
              <w:spacing w:line="20" w:lineRule="atLeast"/>
              <w:rPr>
                <w:rFonts w:ascii="Arial" w:hAnsi="Arial" w:cs="Arial"/>
                <w:b/>
                <w:snapToGrid w:val="0"/>
              </w:rPr>
            </w:pPr>
          </w:p>
        </w:tc>
        <w:tc>
          <w:tcPr>
            <w:tcW w:w="750" w:type="dxa"/>
            <w:vAlign w:val="center"/>
          </w:tcPr>
          <w:p w14:paraId="6116A7CE" w14:textId="77777777" w:rsidR="00A359F2" w:rsidRPr="00301633" w:rsidRDefault="00A359F2" w:rsidP="00347614">
            <w:pPr>
              <w:widowControl w:val="0"/>
              <w:spacing w:line="20" w:lineRule="atLeast"/>
              <w:jc w:val="right"/>
              <w:rPr>
                <w:rFonts w:ascii="Arial" w:hAnsi="Arial" w:cs="Arial"/>
                <w:snapToGrid w:val="0"/>
              </w:rPr>
            </w:pPr>
            <w:r w:rsidRPr="00301633">
              <w:rPr>
                <w:rFonts w:ascii="Arial" w:hAnsi="Arial" w:cs="Arial"/>
                <w:snapToGrid w:val="0"/>
                <w:sz w:val="22"/>
                <w:szCs w:val="22"/>
              </w:rPr>
              <w:t>PM</w:t>
            </w:r>
          </w:p>
        </w:tc>
        <w:tc>
          <w:tcPr>
            <w:tcW w:w="1390" w:type="dxa"/>
            <w:vAlign w:val="center"/>
          </w:tcPr>
          <w:p w14:paraId="3D3066BF" w14:textId="77777777" w:rsidR="00A359F2" w:rsidRPr="00301633" w:rsidRDefault="00A359F2" w:rsidP="00347614">
            <w:pPr>
              <w:widowControl w:val="0"/>
              <w:spacing w:line="20" w:lineRule="atLeast"/>
              <w:jc w:val="right"/>
              <w:rPr>
                <w:rFonts w:ascii="Arial" w:hAnsi="Arial" w:cs="Arial"/>
                <w:snapToGrid w:val="0"/>
              </w:rPr>
            </w:pPr>
            <w:r w:rsidRPr="00301633">
              <w:rPr>
                <w:rFonts w:ascii="Arial" w:hAnsi="Arial" w:cs="Arial"/>
                <w:snapToGrid w:val="0"/>
                <w:sz w:val="22"/>
                <w:szCs w:val="22"/>
              </w:rPr>
              <w:t>37</w:t>
            </w:r>
          </w:p>
        </w:tc>
      </w:tr>
      <w:tr w:rsidR="00A359F2" w:rsidRPr="0018536E" w14:paraId="51521655" w14:textId="77777777" w:rsidTr="00347614">
        <w:trPr>
          <w:trHeight w:val="20"/>
          <w:jc w:val="center"/>
        </w:trPr>
        <w:tc>
          <w:tcPr>
            <w:tcW w:w="2160" w:type="dxa"/>
            <w:vMerge w:val="restart"/>
            <w:vAlign w:val="center"/>
          </w:tcPr>
          <w:p w14:paraId="02C37E3A" w14:textId="77777777" w:rsidR="00A359F2" w:rsidRPr="00301633" w:rsidRDefault="00A359F2" w:rsidP="00347614">
            <w:pPr>
              <w:widowControl w:val="0"/>
              <w:spacing w:line="20" w:lineRule="atLeast"/>
              <w:rPr>
                <w:rFonts w:ascii="Arial" w:hAnsi="Arial" w:cs="Arial"/>
                <w:b/>
                <w:snapToGrid w:val="0"/>
              </w:rPr>
            </w:pPr>
            <w:r w:rsidRPr="00301633">
              <w:rPr>
                <w:rFonts w:ascii="Arial" w:hAnsi="Arial" w:cs="Arial"/>
                <w:b/>
                <w:snapToGrid w:val="0"/>
                <w:sz w:val="22"/>
                <w:szCs w:val="22"/>
              </w:rPr>
              <w:t>West Penn Power</w:t>
            </w:r>
          </w:p>
        </w:tc>
        <w:tc>
          <w:tcPr>
            <w:tcW w:w="750" w:type="dxa"/>
            <w:vAlign w:val="center"/>
          </w:tcPr>
          <w:p w14:paraId="20CE2E4B" w14:textId="77777777" w:rsidR="00A359F2" w:rsidRPr="00301633" w:rsidRDefault="00A359F2" w:rsidP="00347614">
            <w:pPr>
              <w:widowControl w:val="0"/>
              <w:spacing w:line="20" w:lineRule="atLeast"/>
              <w:jc w:val="right"/>
              <w:rPr>
                <w:rFonts w:ascii="Arial" w:hAnsi="Arial" w:cs="Arial"/>
                <w:snapToGrid w:val="0"/>
              </w:rPr>
            </w:pPr>
            <w:r w:rsidRPr="00301633">
              <w:rPr>
                <w:rFonts w:ascii="Arial" w:hAnsi="Arial" w:cs="Arial"/>
                <w:snapToGrid w:val="0"/>
                <w:sz w:val="22"/>
                <w:szCs w:val="22"/>
              </w:rPr>
              <w:t>CPM</w:t>
            </w:r>
          </w:p>
        </w:tc>
        <w:tc>
          <w:tcPr>
            <w:tcW w:w="1390" w:type="dxa"/>
            <w:vAlign w:val="center"/>
          </w:tcPr>
          <w:p w14:paraId="20D2C812" w14:textId="77777777" w:rsidR="00A359F2" w:rsidRPr="00301633" w:rsidRDefault="00A359F2" w:rsidP="00347614">
            <w:pPr>
              <w:widowControl w:val="0"/>
              <w:spacing w:line="20" w:lineRule="atLeast"/>
              <w:jc w:val="right"/>
              <w:rPr>
                <w:rFonts w:ascii="Arial" w:hAnsi="Arial" w:cs="Arial"/>
                <w:snapToGrid w:val="0"/>
              </w:rPr>
            </w:pPr>
            <w:r w:rsidRPr="00301633">
              <w:rPr>
                <w:rFonts w:ascii="Arial" w:hAnsi="Arial" w:cs="Arial"/>
                <w:snapToGrid w:val="0"/>
                <w:sz w:val="22"/>
                <w:szCs w:val="22"/>
              </w:rPr>
              <w:t>0</w:t>
            </w:r>
          </w:p>
        </w:tc>
      </w:tr>
      <w:tr w:rsidR="00A359F2" w:rsidRPr="0018536E" w14:paraId="0A32BDED" w14:textId="77777777" w:rsidTr="00347614">
        <w:trPr>
          <w:trHeight w:val="20"/>
          <w:jc w:val="center"/>
        </w:trPr>
        <w:tc>
          <w:tcPr>
            <w:tcW w:w="2160" w:type="dxa"/>
            <w:vMerge/>
          </w:tcPr>
          <w:p w14:paraId="552F92C5" w14:textId="77777777" w:rsidR="00A359F2" w:rsidRPr="00301633" w:rsidRDefault="00A359F2" w:rsidP="00347614">
            <w:pPr>
              <w:widowControl w:val="0"/>
              <w:spacing w:line="20" w:lineRule="atLeast"/>
              <w:rPr>
                <w:rFonts w:ascii="Arial" w:hAnsi="Arial" w:cs="Arial"/>
                <w:snapToGrid w:val="0"/>
              </w:rPr>
            </w:pPr>
          </w:p>
        </w:tc>
        <w:tc>
          <w:tcPr>
            <w:tcW w:w="750" w:type="dxa"/>
            <w:vAlign w:val="center"/>
          </w:tcPr>
          <w:p w14:paraId="1D1E6BE1" w14:textId="77777777" w:rsidR="00A359F2" w:rsidRPr="00301633" w:rsidRDefault="00A359F2" w:rsidP="00347614">
            <w:pPr>
              <w:widowControl w:val="0"/>
              <w:spacing w:line="20" w:lineRule="atLeast"/>
              <w:jc w:val="right"/>
              <w:rPr>
                <w:rFonts w:ascii="Arial" w:hAnsi="Arial" w:cs="Arial"/>
                <w:snapToGrid w:val="0"/>
              </w:rPr>
            </w:pPr>
            <w:r w:rsidRPr="00301633">
              <w:rPr>
                <w:rFonts w:ascii="Arial" w:hAnsi="Arial" w:cs="Arial"/>
                <w:snapToGrid w:val="0"/>
                <w:sz w:val="22"/>
                <w:szCs w:val="22"/>
              </w:rPr>
              <w:t>PM</w:t>
            </w:r>
          </w:p>
        </w:tc>
        <w:tc>
          <w:tcPr>
            <w:tcW w:w="1390" w:type="dxa"/>
            <w:vAlign w:val="center"/>
          </w:tcPr>
          <w:p w14:paraId="331D6830" w14:textId="77777777" w:rsidR="00A359F2" w:rsidRPr="00301633" w:rsidRDefault="00A359F2" w:rsidP="00347614">
            <w:pPr>
              <w:widowControl w:val="0"/>
              <w:spacing w:line="20" w:lineRule="atLeast"/>
              <w:jc w:val="right"/>
              <w:rPr>
                <w:rFonts w:ascii="Arial" w:hAnsi="Arial" w:cs="Arial"/>
                <w:snapToGrid w:val="0"/>
              </w:rPr>
            </w:pPr>
            <w:r w:rsidRPr="00301633">
              <w:rPr>
                <w:rFonts w:ascii="Arial" w:hAnsi="Arial" w:cs="Arial"/>
                <w:snapToGrid w:val="0"/>
                <w:sz w:val="22"/>
                <w:szCs w:val="22"/>
              </w:rPr>
              <w:t>73</w:t>
            </w:r>
          </w:p>
        </w:tc>
      </w:tr>
    </w:tbl>
    <w:p w14:paraId="57ACE152" w14:textId="77777777" w:rsidR="00A359F2" w:rsidRPr="002B65E7" w:rsidRDefault="00A359F2" w:rsidP="00A359F2">
      <w:pPr>
        <w:widowControl w:val="0"/>
        <w:spacing w:after="0" w:line="20" w:lineRule="atLeast"/>
        <w:ind w:left="2520"/>
        <w:rPr>
          <w:rFonts w:ascii="Arial" w:eastAsia="Times New Roman" w:hAnsi="Arial" w:cs="Arial"/>
          <w:snapToGrid w:val="0"/>
          <w:sz w:val="18"/>
          <w:szCs w:val="18"/>
        </w:rPr>
      </w:pPr>
      <w:r w:rsidRPr="002B65E7">
        <w:rPr>
          <w:rFonts w:ascii="Arial" w:eastAsia="Times New Roman" w:hAnsi="Arial" w:cs="Arial"/>
          <w:snapToGrid w:val="0"/>
          <w:sz w:val="18"/>
          <w:szCs w:val="18"/>
        </w:rPr>
        <w:t>CPM = Critical Preventive Maintenance</w:t>
      </w:r>
    </w:p>
    <w:p w14:paraId="1E4CF7C9" w14:textId="77777777" w:rsidR="00A359F2" w:rsidRDefault="00A359F2" w:rsidP="00A359F2">
      <w:pPr>
        <w:widowControl w:val="0"/>
        <w:spacing w:after="0" w:line="20" w:lineRule="atLeast"/>
        <w:ind w:left="2520"/>
        <w:rPr>
          <w:rFonts w:ascii="Arial" w:eastAsia="Times New Roman" w:hAnsi="Arial" w:cs="Arial"/>
          <w:snapToGrid w:val="0"/>
          <w:sz w:val="18"/>
          <w:szCs w:val="18"/>
        </w:rPr>
      </w:pPr>
      <w:r w:rsidRPr="002B65E7">
        <w:rPr>
          <w:rFonts w:ascii="Arial" w:eastAsia="Times New Roman" w:hAnsi="Arial" w:cs="Arial"/>
          <w:snapToGrid w:val="0"/>
          <w:sz w:val="18"/>
          <w:szCs w:val="18"/>
        </w:rPr>
        <w:t>PM = All Other Preventive Maintenance</w:t>
      </w:r>
    </w:p>
    <w:p w14:paraId="09CA8A34" w14:textId="77777777" w:rsidR="00A359F2" w:rsidRPr="002B65E7" w:rsidRDefault="00A359F2" w:rsidP="00A359F2">
      <w:pPr>
        <w:widowControl w:val="0"/>
        <w:spacing w:after="0" w:line="20" w:lineRule="atLeast"/>
        <w:ind w:left="2520"/>
        <w:rPr>
          <w:rFonts w:ascii="Arial" w:eastAsia="Times New Roman" w:hAnsi="Arial" w:cs="Arial"/>
          <w:snapToGrid w:val="0"/>
          <w:sz w:val="18"/>
          <w:szCs w:val="18"/>
        </w:rPr>
      </w:pPr>
      <w:r w:rsidRPr="002B65E7">
        <w:rPr>
          <w:rFonts w:ascii="Arial" w:eastAsia="Times New Roman" w:hAnsi="Arial" w:cs="Arial"/>
          <w:snapToGrid w:val="0"/>
          <w:sz w:val="18"/>
          <w:szCs w:val="18"/>
        </w:rPr>
        <w:t>Source: Data Request No. VE-7.7, 7.13</w:t>
      </w:r>
    </w:p>
    <w:p w14:paraId="3A249880" w14:textId="77777777" w:rsidR="00A359F2" w:rsidRPr="002B65E7" w:rsidRDefault="00A359F2" w:rsidP="00A359F2">
      <w:pPr>
        <w:widowControl w:val="0"/>
        <w:spacing w:after="0" w:line="20" w:lineRule="atLeast"/>
        <w:rPr>
          <w:rFonts w:ascii="Arial" w:eastAsia="Times New Roman" w:hAnsi="Arial" w:cs="Arial"/>
          <w:snapToGrid w:val="0"/>
          <w:sz w:val="24"/>
          <w:szCs w:val="24"/>
        </w:rPr>
      </w:pPr>
    </w:p>
    <w:p w14:paraId="28FB3567" w14:textId="77777777" w:rsidR="00A359F2" w:rsidRPr="002B65E7" w:rsidRDefault="00A359F2" w:rsidP="00A359F2">
      <w:pPr>
        <w:widowControl w:val="0"/>
        <w:spacing w:after="0" w:line="20" w:lineRule="atLeast"/>
        <w:ind w:firstLine="720"/>
        <w:rPr>
          <w:rFonts w:ascii="Arial" w:eastAsia="Times New Roman" w:hAnsi="Arial" w:cs="Arial"/>
          <w:sz w:val="24"/>
          <w:szCs w:val="24"/>
        </w:rPr>
      </w:pPr>
      <w:r w:rsidRPr="002B65E7">
        <w:rPr>
          <w:rFonts w:ascii="Arial" w:eastAsia="Times New Roman" w:hAnsi="Arial" w:cs="Arial"/>
          <w:snapToGrid w:val="0"/>
          <w:sz w:val="24"/>
          <w:szCs w:val="24"/>
        </w:rPr>
        <w:t>F</w:t>
      </w:r>
      <w:r>
        <w:rPr>
          <w:rFonts w:ascii="Arial" w:eastAsia="Times New Roman" w:hAnsi="Arial" w:cs="Arial"/>
          <w:snapToGrid w:val="0"/>
          <w:sz w:val="24"/>
          <w:szCs w:val="24"/>
        </w:rPr>
        <w:t>irst</w:t>
      </w:r>
      <w:r w:rsidRPr="002B65E7">
        <w:rPr>
          <w:rFonts w:ascii="Arial" w:eastAsia="Times New Roman" w:hAnsi="Arial" w:cs="Arial"/>
          <w:snapToGrid w:val="0"/>
          <w:sz w:val="24"/>
          <w:szCs w:val="24"/>
        </w:rPr>
        <w:t>E</w:t>
      </w:r>
      <w:r>
        <w:rPr>
          <w:rFonts w:ascii="Arial" w:eastAsia="Times New Roman" w:hAnsi="Arial" w:cs="Arial"/>
          <w:snapToGrid w:val="0"/>
          <w:sz w:val="24"/>
          <w:szCs w:val="24"/>
        </w:rPr>
        <w:t>nergy</w:t>
      </w:r>
      <w:r w:rsidRPr="002B65E7">
        <w:rPr>
          <w:rFonts w:ascii="Arial" w:eastAsia="Times New Roman" w:hAnsi="Arial" w:cs="Arial"/>
          <w:snapToGrid w:val="0"/>
          <w:sz w:val="24"/>
          <w:szCs w:val="24"/>
        </w:rPr>
        <w:t xml:space="preserve"> indicated that items </w:t>
      </w:r>
      <w:r w:rsidR="005D07AF">
        <w:rPr>
          <w:rFonts w:ascii="Arial" w:eastAsia="Times New Roman" w:hAnsi="Arial" w:cs="Arial"/>
          <w:snapToGrid w:val="0"/>
          <w:sz w:val="24"/>
          <w:szCs w:val="24"/>
        </w:rPr>
        <w:t>affecting</w:t>
      </w:r>
      <w:r w:rsidR="005D07AF" w:rsidRPr="002B65E7">
        <w:rPr>
          <w:rFonts w:ascii="Arial" w:eastAsia="Times New Roman" w:hAnsi="Arial" w:cs="Arial"/>
          <w:snapToGrid w:val="0"/>
          <w:sz w:val="24"/>
          <w:szCs w:val="24"/>
        </w:rPr>
        <w:t xml:space="preserve"> </w:t>
      </w:r>
      <w:r w:rsidRPr="002B65E7">
        <w:rPr>
          <w:rFonts w:ascii="Arial" w:eastAsia="Times New Roman" w:hAnsi="Arial" w:cs="Arial"/>
          <w:snapToGrid w:val="0"/>
          <w:sz w:val="24"/>
          <w:szCs w:val="24"/>
        </w:rPr>
        <w:t>the ability to complete all PMs each month include staffing levels (i.e., vacations, injuries, illness, open positions), increases in mileage (i.e., mutual assistance, storms, projects, etc.), increases in unscheduled work (e.g., a manufacturer warranty recall), and seasonal PMs scheduled to be completed during warmer summer months.</w:t>
      </w:r>
      <w:r>
        <w:rPr>
          <w:rFonts w:ascii="Arial" w:eastAsia="Times New Roman" w:hAnsi="Arial" w:cs="Arial"/>
          <w:snapToGrid w:val="0"/>
          <w:sz w:val="24"/>
          <w:szCs w:val="24"/>
        </w:rPr>
        <w:t xml:space="preserve">  </w:t>
      </w:r>
      <w:r w:rsidRPr="002B65E7">
        <w:rPr>
          <w:rFonts w:ascii="Arial" w:eastAsia="Times New Roman" w:hAnsi="Arial" w:cs="Arial"/>
          <w:sz w:val="24"/>
          <w:szCs w:val="24"/>
        </w:rPr>
        <w:t xml:space="preserve">The </w:t>
      </w:r>
      <w:r w:rsidR="00DC3D9B">
        <w:rPr>
          <w:rFonts w:ascii="Arial" w:eastAsia="Times New Roman" w:hAnsi="Arial" w:cs="Arial"/>
          <w:sz w:val="24"/>
          <w:szCs w:val="24"/>
        </w:rPr>
        <w:t>FE-PA companies</w:t>
      </w:r>
      <w:r w:rsidRPr="002B65E7">
        <w:rPr>
          <w:rFonts w:ascii="Arial" w:eastAsia="Times New Roman" w:hAnsi="Arial" w:cs="Arial"/>
          <w:sz w:val="24"/>
          <w:szCs w:val="24"/>
        </w:rPr>
        <w:t xml:space="preserve"> reduced the number of overdue critical PMs from 194 at year-end 2013 to 4 at year-end 2017, and overdue PMs from 2,367 at year-end 2013 to 225 at year-end 2017.</w:t>
      </w:r>
    </w:p>
    <w:p w14:paraId="483C6E29" w14:textId="77777777" w:rsidR="00A359F2" w:rsidRPr="00C507F6" w:rsidRDefault="00A359F2" w:rsidP="00A359F2">
      <w:pPr>
        <w:spacing w:after="0" w:line="20" w:lineRule="atLeast"/>
        <w:contextualSpacing/>
        <w:rPr>
          <w:rFonts w:ascii="Arial" w:eastAsia="Times New Roman" w:hAnsi="Arial" w:cs="Arial"/>
          <w:snapToGrid w:val="0"/>
          <w:sz w:val="24"/>
          <w:szCs w:val="20"/>
        </w:rPr>
      </w:pPr>
    </w:p>
    <w:p w14:paraId="515AE825" w14:textId="77777777" w:rsidR="00CA796F" w:rsidRDefault="00A359F2" w:rsidP="00FD675E">
      <w:pPr>
        <w:spacing w:after="0" w:line="20" w:lineRule="atLeast"/>
        <w:jc w:val="both"/>
        <w:rPr>
          <w:rFonts w:ascii="Arial" w:eastAsia="Times New Roman" w:hAnsi="Arial" w:cs="Times New Roman"/>
          <w:b/>
          <w:sz w:val="26"/>
          <w:szCs w:val="26"/>
        </w:rPr>
      </w:pPr>
      <w:r w:rsidRPr="00E15395">
        <w:rPr>
          <w:rFonts w:ascii="Arial" w:eastAsia="Times New Roman" w:hAnsi="Arial" w:cs="Arial"/>
          <w:b/>
          <w:snapToGrid w:val="0"/>
          <w:sz w:val="24"/>
          <w:szCs w:val="20"/>
          <w:u w:val="single"/>
        </w:rPr>
        <w:t>Follow-up Recommendation</w:t>
      </w:r>
      <w:r w:rsidRPr="00C208C1">
        <w:rPr>
          <w:rFonts w:ascii="Arial" w:eastAsia="Times New Roman" w:hAnsi="Arial" w:cs="Arial"/>
          <w:b/>
          <w:snapToGrid w:val="0"/>
          <w:sz w:val="24"/>
          <w:szCs w:val="20"/>
        </w:rPr>
        <w:t xml:space="preserve"> – </w:t>
      </w:r>
      <w:r>
        <w:rPr>
          <w:rFonts w:ascii="Arial" w:eastAsia="Times New Roman" w:hAnsi="Arial" w:cs="Arial"/>
          <w:b/>
          <w:snapToGrid w:val="0"/>
          <w:sz w:val="24"/>
          <w:szCs w:val="20"/>
        </w:rPr>
        <w:t>None</w:t>
      </w:r>
      <w:r w:rsidR="00CA796F">
        <w:rPr>
          <w:rFonts w:ascii="Arial" w:eastAsia="Times New Roman" w:hAnsi="Arial" w:cs="Times New Roman"/>
          <w:b/>
          <w:sz w:val="26"/>
          <w:szCs w:val="26"/>
        </w:rPr>
        <w:br w:type="page"/>
      </w:r>
    </w:p>
    <w:p w14:paraId="2788B7B3" w14:textId="77777777" w:rsidR="00FA25BF" w:rsidRPr="003D39B7" w:rsidRDefault="00FA25BF" w:rsidP="00FA25BF">
      <w:pPr>
        <w:spacing w:after="0" w:line="20" w:lineRule="atLeast"/>
        <w:contextualSpacing/>
        <w:jc w:val="center"/>
        <w:rPr>
          <w:rFonts w:ascii="Arial" w:eastAsia="Times New Roman" w:hAnsi="Arial" w:cs="Times New Roman"/>
          <w:b/>
          <w:sz w:val="26"/>
          <w:szCs w:val="26"/>
        </w:rPr>
      </w:pPr>
      <w:r>
        <w:rPr>
          <w:rFonts w:ascii="Arial" w:eastAsia="Times New Roman" w:hAnsi="Arial" w:cs="Times New Roman"/>
          <w:b/>
          <w:sz w:val="26"/>
          <w:szCs w:val="26"/>
        </w:rPr>
        <w:t>XIII. FACILITIES MANAGEMENT</w:t>
      </w:r>
    </w:p>
    <w:p w14:paraId="42FC02DA" w14:textId="77777777" w:rsidR="00FA25BF" w:rsidRPr="003D39B7" w:rsidRDefault="00FA25BF" w:rsidP="00FA25BF">
      <w:pPr>
        <w:spacing w:after="0" w:line="20" w:lineRule="atLeast"/>
        <w:contextualSpacing/>
        <w:rPr>
          <w:rFonts w:ascii="Arial" w:eastAsia="Times New Roman" w:hAnsi="Arial" w:cs="Times New Roman"/>
          <w:sz w:val="24"/>
          <w:szCs w:val="20"/>
        </w:rPr>
      </w:pPr>
    </w:p>
    <w:p w14:paraId="59064135" w14:textId="77777777" w:rsidR="00FA25BF" w:rsidRDefault="00FA25BF" w:rsidP="00FA25BF">
      <w:pPr>
        <w:spacing w:after="0" w:line="20" w:lineRule="atLeast"/>
        <w:contextualSpacing/>
        <w:rPr>
          <w:rFonts w:ascii="Arial" w:eastAsia="Times New Roman" w:hAnsi="Arial" w:cs="Times New Roman"/>
          <w:sz w:val="24"/>
          <w:szCs w:val="20"/>
        </w:rPr>
      </w:pPr>
    </w:p>
    <w:p w14:paraId="60006A30" w14:textId="77777777" w:rsidR="00FA25BF" w:rsidRPr="007C465E" w:rsidRDefault="00FA25BF" w:rsidP="00FA25BF">
      <w:pPr>
        <w:spacing w:after="0" w:line="20" w:lineRule="atLeast"/>
        <w:contextualSpacing/>
        <w:rPr>
          <w:rFonts w:ascii="Arial" w:eastAsia="Times New Roman" w:hAnsi="Arial" w:cs="Times New Roman"/>
          <w:sz w:val="24"/>
          <w:szCs w:val="24"/>
        </w:rPr>
      </w:pPr>
      <w:r w:rsidRPr="00A67D31">
        <w:rPr>
          <w:rFonts w:ascii="Arial" w:eastAsia="Times New Roman" w:hAnsi="Arial" w:cs="Times New Roman"/>
          <w:b/>
          <w:sz w:val="24"/>
          <w:szCs w:val="24"/>
          <w:u w:val="single"/>
        </w:rPr>
        <w:t>Background</w:t>
      </w:r>
      <w:r w:rsidRPr="004D579B">
        <w:rPr>
          <w:rFonts w:ascii="Arial" w:eastAsia="Times New Roman" w:hAnsi="Arial" w:cs="Times New Roman"/>
          <w:sz w:val="24"/>
          <w:szCs w:val="24"/>
        </w:rPr>
        <w:t xml:space="preserve"> </w:t>
      </w:r>
      <w:r w:rsidRPr="00A67D31">
        <w:rPr>
          <w:rFonts w:ascii="Arial" w:eastAsia="Times New Roman" w:hAnsi="Arial" w:cs="Times New Roman"/>
          <w:sz w:val="24"/>
          <w:szCs w:val="24"/>
        </w:rPr>
        <w:t xml:space="preserve">– </w:t>
      </w:r>
      <w:r w:rsidR="00733683">
        <w:rPr>
          <w:rFonts w:ascii="Arial" w:eastAsia="Times New Roman" w:hAnsi="Arial" w:cs="Times New Roman"/>
          <w:sz w:val="24"/>
          <w:szCs w:val="24"/>
        </w:rPr>
        <w:t xml:space="preserve">FirstEnergy’s Facilities Management function is coordinated by FirstEnergy’s Real Estate and Facility Services organization.  </w:t>
      </w:r>
      <w:r w:rsidR="0081335C" w:rsidRPr="007C465E">
        <w:rPr>
          <w:rFonts w:ascii="Arial" w:eastAsia="Times New Roman" w:hAnsi="Arial" w:cs="Times New Roman"/>
          <w:sz w:val="24"/>
          <w:szCs w:val="24"/>
        </w:rPr>
        <w:t xml:space="preserve">The </w:t>
      </w:r>
      <w:r w:rsidR="0081335C">
        <w:rPr>
          <w:rFonts w:ascii="Arial" w:eastAsia="Times New Roman" w:hAnsi="Arial" w:cs="Times New Roman"/>
          <w:sz w:val="24"/>
          <w:szCs w:val="24"/>
        </w:rPr>
        <w:t xml:space="preserve">2014 </w:t>
      </w:r>
      <w:r w:rsidR="0081335C" w:rsidRPr="007C465E">
        <w:rPr>
          <w:rFonts w:ascii="Arial" w:eastAsia="Times New Roman" w:hAnsi="Arial" w:cs="Times New Roman"/>
          <w:sz w:val="24"/>
          <w:szCs w:val="24"/>
        </w:rPr>
        <w:t xml:space="preserve">Focused Management and Operations Audit of </w:t>
      </w:r>
      <w:r w:rsidR="0081335C">
        <w:rPr>
          <w:rFonts w:ascii="Arial" w:eastAsia="Times New Roman" w:hAnsi="Arial" w:cs="Times New Roman"/>
          <w:sz w:val="24"/>
          <w:szCs w:val="24"/>
        </w:rPr>
        <w:t xml:space="preserve">the </w:t>
      </w:r>
      <w:r w:rsidR="00DC3D9B">
        <w:rPr>
          <w:rFonts w:ascii="Arial" w:eastAsia="Times New Roman" w:hAnsi="Arial" w:cs="Times New Roman"/>
          <w:sz w:val="24"/>
          <w:szCs w:val="24"/>
        </w:rPr>
        <w:t>FE-PA companies</w:t>
      </w:r>
      <w:r w:rsidR="0081335C">
        <w:rPr>
          <w:rFonts w:ascii="Arial" w:eastAsia="Times New Roman" w:hAnsi="Arial" w:cs="Times New Roman"/>
          <w:sz w:val="24"/>
          <w:szCs w:val="24"/>
        </w:rPr>
        <w:t xml:space="preserve"> </w:t>
      </w:r>
      <w:r w:rsidR="0094097A">
        <w:rPr>
          <w:rFonts w:ascii="Arial" w:eastAsia="Times New Roman" w:hAnsi="Arial" w:cs="Times New Roman"/>
          <w:sz w:val="24"/>
          <w:szCs w:val="24"/>
        </w:rPr>
        <w:t xml:space="preserve">examined the </w:t>
      </w:r>
      <w:r w:rsidR="00EA59D2">
        <w:rPr>
          <w:rFonts w:ascii="Arial" w:eastAsia="Times New Roman" w:hAnsi="Arial" w:cs="Times New Roman"/>
          <w:sz w:val="24"/>
          <w:szCs w:val="24"/>
        </w:rPr>
        <w:t xml:space="preserve">Facilities </w:t>
      </w:r>
      <w:r w:rsidR="0094097A">
        <w:rPr>
          <w:rFonts w:ascii="Arial" w:eastAsia="Times New Roman" w:hAnsi="Arial" w:cs="Times New Roman"/>
          <w:sz w:val="24"/>
          <w:szCs w:val="24"/>
        </w:rPr>
        <w:t>Management function</w:t>
      </w:r>
      <w:r w:rsidR="0094097A">
        <w:rPr>
          <w:rFonts w:ascii="Arial" w:hAnsi="Arial" w:cs="Arial"/>
          <w:sz w:val="24"/>
          <w:szCs w:val="24"/>
        </w:rPr>
        <w:t>, which</w:t>
      </w:r>
      <w:r w:rsidR="0094097A" w:rsidRPr="00C209CF">
        <w:rPr>
          <w:rFonts w:ascii="Arial" w:hAnsi="Arial" w:cs="Arial"/>
          <w:sz w:val="24"/>
          <w:szCs w:val="24"/>
        </w:rPr>
        <w:t xml:space="preserve"> included a review of </w:t>
      </w:r>
      <w:r w:rsidR="00EA59D2">
        <w:rPr>
          <w:rFonts w:ascii="Arial" w:eastAsia="Times New Roman" w:hAnsi="Arial" w:cs="Arial"/>
          <w:sz w:val="24"/>
          <w:szCs w:val="24"/>
        </w:rPr>
        <w:t>corporate and regional facilities</w:t>
      </w:r>
      <w:r w:rsidR="00EA59D2" w:rsidRPr="008227AA">
        <w:rPr>
          <w:rFonts w:ascii="Arial" w:eastAsia="Times New Roman" w:hAnsi="Arial" w:cs="Arial"/>
          <w:sz w:val="24"/>
          <w:szCs w:val="24"/>
        </w:rPr>
        <w:t xml:space="preserve">, </w:t>
      </w:r>
      <w:r w:rsidR="00EA59D2">
        <w:rPr>
          <w:rFonts w:ascii="Arial" w:eastAsia="Times New Roman" w:hAnsi="Arial" w:cs="Arial"/>
          <w:sz w:val="24"/>
          <w:szCs w:val="24"/>
        </w:rPr>
        <w:t>budgeting and forecasting, leasing versus owned procedures</w:t>
      </w:r>
      <w:r w:rsidR="00EA59D2" w:rsidRPr="008227AA">
        <w:rPr>
          <w:rFonts w:ascii="Arial" w:eastAsia="Times New Roman" w:hAnsi="Arial" w:cs="Arial"/>
          <w:sz w:val="24"/>
          <w:szCs w:val="24"/>
        </w:rPr>
        <w:t>, maintenance policies and pro</w:t>
      </w:r>
      <w:r w:rsidR="00EA59D2">
        <w:rPr>
          <w:rFonts w:ascii="Arial" w:eastAsia="Times New Roman" w:hAnsi="Arial" w:cs="Arial"/>
          <w:sz w:val="24"/>
          <w:szCs w:val="24"/>
        </w:rPr>
        <w:t>cedures, daily operations</w:t>
      </w:r>
      <w:r w:rsidR="00EA59D2" w:rsidRPr="008227AA">
        <w:rPr>
          <w:rFonts w:ascii="Arial" w:eastAsia="Times New Roman" w:hAnsi="Arial" w:cs="Arial"/>
          <w:sz w:val="24"/>
          <w:szCs w:val="24"/>
        </w:rPr>
        <w:t xml:space="preserve">, etc.  </w:t>
      </w:r>
      <w:r w:rsidR="0094097A" w:rsidRPr="007C465E">
        <w:rPr>
          <w:rFonts w:ascii="Arial" w:eastAsia="Times New Roman" w:hAnsi="Arial" w:cs="Times New Roman"/>
          <w:sz w:val="24"/>
          <w:szCs w:val="24"/>
        </w:rPr>
        <w:t>The</w:t>
      </w:r>
      <w:r w:rsidR="0094097A">
        <w:rPr>
          <w:rFonts w:ascii="Arial" w:eastAsia="Times New Roman" w:hAnsi="Arial" w:cs="Times New Roman"/>
          <w:sz w:val="24"/>
          <w:szCs w:val="24"/>
        </w:rPr>
        <w:t xml:space="preserve"> PUC</w:t>
      </w:r>
      <w:r w:rsidR="0094097A" w:rsidRPr="007C465E">
        <w:rPr>
          <w:rFonts w:ascii="Arial" w:eastAsia="Times New Roman" w:hAnsi="Arial" w:cs="Times New Roman"/>
          <w:sz w:val="24"/>
          <w:szCs w:val="24"/>
        </w:rPr>
        <w:t xml:space="preserve"> </w:t>
      </w:r>
      <w:r w:rsidR="0094097A">
        <w:rPr>
          <w:rFonts w:ascii="Arial" w:eastAsia="Times New Roman" w:hAnsi="Arial" w:cs="Times New Roman"/>
          <w:sz w:val="24"/>
          <w:szCs w:val="24"/>
        </w:rPr>
        <w:t>auditors</w:t>
      </w:r>
      <w:r w:rsidR="0094097A" w:rsidRPr="007C465E">
        <w:rPr>
          <w:rFonts w:ascii="Arial" w:eastAsia="Times New Roman" w:hAnsi="Arial" w:cs="Times New Roman"/>
          <w:sz w:val="24"/>
          <w:szCs w:val="24"/>
        </w:rPr>
        <w:t xml:space="preserve"> </w:t>
      </w:r>
      <w:r w:rsidR="0094097A">
        <w:rPr>
          <w:rFonts w:ascii="Arial" w:eastAsia="Times New Roman" w:hAnsi="Arial" w:cs="Times New Roman"/>
          <w:sz w:val="24"/>
          <w:szCs w:val="24"/>
        </w:rPr>
        <w:t xml:space="preserve">issued </w:t>
      </w:r>
      <w:r>
        <w:rPr>
          <w:rFonts w:ascii="Arial" w:eastAsia="Times New Roman" w:hAnsi="Arial" w:cs="Times New Roman"/>
          <w:sz w:val="24"/>
          <w:szCs w:val="24"/>
        </w:rPr>
        <w:t>one recommendation</w:t>
      </w:r>
      <w:r w:rsidRPr="007C465E">
        <w:rPr>
          <w:rFonts w:ascii="Arial" w:eastAsia="Times New Roman" w:hAnsi="Arial" w:cs="Times New Roman"/>
          <w:sz w:val="24"/>
          <w:szCs w:val="24"/>
        </w:rPr>
        <w:t xml:space="preserve"> within the </w:t>
      </w:r>
      <w:r>
        <w:rPr>
          <w:rFonts w:ascii="Arial" w:eastAsia="Times New Roman" w:hAnsi="Arial" w:cs="Times New Roman"/>
          <w:sz w:val="24"/>
          <w:szCs w:val="24"/>
        </w:rPr>
        <w:t xml:space="preserve">Facilities Management </w:t>
      </w:r>
      <w:r w:rsidRPr="007C465E">
        <w:rPr>
          <w:rFonts w:ascii="Arial" w:eastAsia="Times New Roman" w:hAnsi="Arial" w:cs="Times New Roman"/>
          <w:sz w:val="24"/>
          <w:szCs w:val="24"/>
        </w:rPr>
        <w:t>chapter</w:t>
      </w:r>
      <w:r w:rsidR="00EA59D2">
        <w:rPr>
          <w:rFonts w:ascii="Arial" w:eastAsia="Times New Roman" w:hAnsi="Arial" w:cs="Times New Roman"/>
          <w:sz w:val="24"/>
          <w:szCs w:val="24"/>
        </w:rPr>
        <w:t xml:space="preserve"> and</w:t>
      </w:r>
      <w:r w:rsidRPr="007C465E">
        <w:rPr>
          <w:rFonts w:ascii="Arial" w:eastAsia="Times New Roman" w:hAnsi="Arial" w:cs="Times New Roman"/>
          <w:sz w:val="24"/>
          <w:szCs w:val="24"/>
        </w:rPr>
        <w:t xml:space="preserve"> rated </w:t>
      </w:r>
      <w:r>
        <w:rPr>
          <w:rFonts w:ascii="Arial" w:eastAsia="Times New Roman" w:hAnsi="Arial" w:cs="Times New Roman"/>
          <w:sz w:val="24"/>
          <w:szCs w:val="24"/>
        </w:rPr>
        <w:t>the</w:t>
      </w:r>
      <w:r w:rsidRPr="007C465E">
        <w:rPr>
          <w:rFonts w:ascii="Arial" w:eastAsia="Times New Roman" w:hAnsi="Arial" w:cs="Times New Roman"/>
          <w:sz w:val="24"/>
          <w:szCs w:val="24"/>
        </w:rPr>
        <w:t xml:space="preserve"> functional area as needing </w:t>
      </w:r>
      <w:r>
        <w:rPr>
          <w:rFonts w:ascii="Arial" w:eastAsia="Times New Roman" w:hAnsi="Arial" w:cs="Times New Roman"/>
          <w:sz w:val="24"/>
          <w:szCs w:val="24"/>
        </w:rPr>
        <w:t xml:space="preserve">minor improvement.  In this chapter, one </w:t>
      </w:r>
      <w:r w:rsidRPr="007C465E">
        <w:rPr>
          <w:rFonts w:ascii="Arial" w:eastAsia="Times New Roman" w:hAnsi="Arial" w:cs="Times New Roman"/>
          <w:sz w:val="24"/>
          <w:szCs w:val="24"/>
        </w:rPr>
        <w:t xml:space="preserve">prior recommendation and </w:t>
      </w:r>
      <w:r>
        <w:rPr>
          <w:rFonts w:ascii="Arial" w:eastAsia="Times New Roman" w:hAnsi="Arial" w:cs="Times New Roman"/>
          <w:sz w:val="24"/>
          <w:szCs w:val="24"/>
        </w:rPr>
        <w:t xml:space="preserve">one </w:t>
      </w:r>
      <w:r w:rsidRPr="007C465E">
        <w:rPr>
          <w:rFonts w:ascii="Arial" w:eastAsia="Times New Roman" w:hAnsi="Arial" w:cs="Times New Roman"/>
          <w:sz w:val="24"/>
          <w:szCs w:val="24"/>
        </w:rPr>
        <w:t>prior situation</w:t>
      </w:r>
      <w:r>
        <w:rPr>
          <w:rFonts w:ascii="Arial" w:eastAsia="Times New Roman" w:hAnsi="Arial" w:cs="Times New Roman"/>
          <w:sz w:val="24"/>
          <w:szCs w:val="24"/>
        </w:rPr>
        <w:t xml:space="preserve"> is</w:t>
      </w:r>
      <w:r w:rsidRPr="007C465E">
        <w:rPr>
          <w:rFonts w:ascii="Arial" w:eastAsia="Times New Roman" w:hAnsi="Arial" w:cs="Times New Roman"/>
          <w:sz w:val="24"/>
          <w:szCs w:val="24"/>
        </w:rPr>
        <w:t xml:space="preserve"> reviewed and </w:t>
      </w:r>
      <w:r>
        <w:rPr>
          <w:rFonts w:ascii="Arial" w:eastAsia="Times New Roman" w:hAnsi="Arial" w:cs="Times New Roman"/>
          <w:sz w:val="24"/>
          <w:szCs w:val="24"/>
        </w:rPr>
        <w:t xml:space="preserve">one </w:t>
      </w:r>
      <w:r w:rsidRPr="007C465E">
        <w:rPr>
          <w:rFonts w:ascii="Arial" w:eastAsia="Times New Roman" w:hAnsi="Arial" w:cs="Times New Roman"/>
          <w:sz w:val="24"/>
          <w:szCs w:val="24"/>
        </w:rPr>
        <w:t>follow</w:t>
      </w:r>
      <w:r w:rsidRPr="007C465E">
        <w:rPr>
          <w:rFonts w:ascii="Arial" w:eastAsia="Times New Roman" w:hAnsi="Arial" w:cs="Times New Roman"/>
          <w:sz w:val="24"/>
          <w:szCs w:val="24"/>
        </w:rPr>
        <w:noBreakHyphen/>
        <w:t>up finding</w:t>
      </w:r>
      <w:r>
        <w:rPr>
          <w:rFonts w:ascii="Arial" w:eastAsia="Times New Roman" w:hAnsi="Arial" w:cs="Times New Roman"/>
          <w:sz w:val="24"/>
          <w:szCs w:val="24"/>
        </w:rPr>
        <w:t xml:space="preserve"> and no</w:t>
      </w:r>
      <w:r w:rsidRPr="00F47DF7">
        <w:rPr>
          <w:rFonts w:ascii="Arial" w:eastAsia="Times New Roman" w:hAnsi="Arial" w:cs="Times New Roman"/>
          <w:sz w:val="24"/>
          <w:szCs w:val="24"/>
        </w:rPr>
        <w:t xml:space="preserve"> follow-up recommendation</w:t>
      </w:r>
      <w:r>
        <w:rPr>
          <w:rFonts w:ascii="Arial" w:eastAsia="Times New Roman" w:hAnsi="Arial" w:cs="Times New Roman"/>
          <w:sz w:val="24"/>
          <w:szCs w:val="24"/>
        </w:rPr>
        <w:t xml:space="preserve"> is </w:t>
      </w:r>
      <w:r w:rsidRPr="007C465E">
        <w:rPr>
          <w:rFonts w:ascii="Arial" w:eastAsia="Times New Roman" w:hAnsi="Arial" w:cs="Times New Roman"/>
          <w:sz w:val="24"/>
          <w:szCs w:val="24"/>
        </w:rPr>
        <w:t>presented.</w:t>
      </w:r>
    </w:p>
    <w:p w14:paraId="0AF6AEC6" w14:textId="77777777" w:rsidR="00FA25BF" w:rsidRDefault="00FA25BF" w:rsidP="00FA25BF">
      <w:pPr>
        <w:spacing w:after="0" w:line="20" w:lineRule="atLeast"/>
        <w:contextualSpacing/>
        <w:rPr>
          <w:rFonts w:ascii="Arial" w:eastAsia="Times New Roman" w:hAnsi="Arial" w:cs="Times New Roman"/>
          <w:sz w:val="24"/>
          <w:szCs w:val="24"/>
          <w:highlight w:val="yellow"/>
        </w:rPr>
      </w:pPr>
    </w:p>
    <w:p w14:paraId="349B94A8" w14:textId="77777777" w:rsidR="00FA25BF" w:rsidRPr="00976F23" w:rsidRDefault="00FA25BF" w:rsidP="00FA25BF">
      <w:pPr>
        <w:spacing w:after="0" w:line="240" w:lineRule="auto"/>
        <w:jc w:val="center"/>
        <w:rPr>
          <w:rFonts w:ascii="Arial" w:hAnsi="Arial" w:cs="Arial"/>
          <w:b/>
          <w:sz w:val="24"/>
          <w:szCs w:val="24"/>
          <w:u w:val="single"/>
        </w:rPr>
      </w:pPr>
      <w:r w:rsidRPr="00976F23">
        <w:rPr>
          <w:rFonts w:ascii="Arial" w:hAnsi="Arial" w:cs="Arial"/>
          <w:b/>
          <w:sz w:val="24"/>
          <w:szCs w:val="24"/>
          <w:u w:val="single"/>
        </w:rPr>
        <w:t>Finding No. XIII-1</w:t>
      </w:r>
    </w:p>
    <w:p w14:paraId="4FA2C9BF" w14:textId="77777777" w:rsidR="00FA25BF" w:rsidRPr="00A67D31" w:rsidRDefault="00FA25BF" w:rsidP="00FA25BF">
      <w:pPr>
        <w:spacing w:after="0" w:line="20" w:lineRule="atLeast"/>
        <w:contextualSpacing/>
        <w:jc w:val="center"/>
        <w:rPr>
          <w:rFonts w:ascii="Arial" w:eastAsia="Times New Roman" w:hAnsi="Arial" w:cs="Times New Roman"/>
          <w:sz w:val="24"/>
          <w:szCs w:val="24"/>
          <w:highlight w:val="yellow"/>
        </w:rPr>
      </w:pPr>
    </w:p>
    <w:p w14:paraId="332280A0" w14:textId="77777777" w:rsidR="00FA25BF" w:rsidRPr="00E86713" w:rsidRDefault="00FA25BF" w:rsidP="00FA25BF">
      <w:pPr>
        <w:spacing w:after="0" w:line="20" w:lineRule="atLeast"/>
        <w:contextualSpacing/>
        <w:rPr>
          <w:rFonts w:ascii="Arial" w:eastAsia="Times New Roman" w:hAnsi="Arial" w:cs="Arial"/>
          <w:snapToGrid w:val="0"/>
          <w:sz w:val="24"/>
          <w:szCs w:val="26"/>
        </w:rPr>
      </w:pPr>
      <w:r w:rsidRPr="004D579B">
        <w:rPr>
          <w:rFonts w:ascii="Arial" w:hAnsi="Arial" w:cs="Arial"/>
          <w:b/>
          <w:sz w:val="24"/>
          <w:szCs w:val="24"/>
          <w:u w:val="single"/>
        </w:rPr>
        <w:t>Prior Situation</w:t>
      </w:r>
      <w:r w:rsidRPr="004D579B">
        <w:rPr>
          <w:rFonts w:ascii="Arial" w:hAnsi="Arial" w:cs="Arial"/>
          <w:b/>
          <w:sz w:val="24"/>
          <w:szCs w:val="24"/>
        </w:rPr>
        <w:t xml:space="preserve"> </w:t>
      </w:r>
      <w:r w:rsidRPr="00A67D31">
        <w:rPr>
          <w:rFonts w:ascii="Arial" w:eastAsia="Times New Roman" w:hAnsi="Arial" w:cs="Times New Roman"/>
          <w:sz w:val="24"/>
          <w:szCs w:val="24"/>
        </w:rPr>
        <w:t>–</w:t>
      </w:r>
      <w:r>
        <w:rPr>
          <w:rFonts w:ascii="Arial" w:eastAsia="Times New Roman" w:hAnsi="Arial" w:cs="Times New Roman"/>
          <w:sz w:val="24"/>
          <w:szCs w:val="24"/>
        </w:rPr>
        <w:t xml:space="preserve"> </w:t>
      </w:r>
      <w:r w:rsidRPr="00E86713">
        <w:rPr>
          <w:rFonts w:ascii="Arial" w:eastAsia="Times New Roman" w:hAnsi="Arial" w:cs="Arial"/>
          <w:snapToGrid w:val="0"/>
          <w:sz w:val="24"/>
          <w:szCs w:val="20"/>
        </w:rPr>
        <w:t xml:space="preserve">FirstEnergy and the </w:t>
      </w:r>
      <w:r w:rsidR="00DC3D9B">
        <w:rPr>
          <w:rFonts w:ascii="Arial" w:eastAsia="Times New Roman" w:hAnsi="Arial" w:cs="Arial"/>
          <w:snapToGrid w:val="0"/>
          <w:sz w:val="24"/>
          <w:szCs w:val="20"/>
        </w:rPr>
        <w:t>FE-PA companies</w:t>
      </w:r>
      <w:r w:rsidRPr="00E86713">
        <w:rPr>
          <w:rFonts w:ascii="Arial" w:eastAsia="Times New Roman" w:hAnsi="Arial" w:cs="Arial"/>
          <w:snapToGrid w:val="0"/>
          <w:sz w:val="24"/>
          <w:szCs w:val="20"/>
        </w:rPr>
        <w:t xml:space="preserve"> did not have written facilities management policies and procedures.  In the 2007 Stratified Management and Operations Audit, a consultant issued a recommendation for the development of facilities manag</w:t>
      </w:r>
      <w:r>
        <w:rPr>
          <w:rFonts w:ascii="Arial" w:eastAsia="Times New Roman" w:hAnsi="Arial" w:cs="Arial"/>
          <w:snapToGrid w:val="0"/>
          <w:sz w:val="24"/>
          <w:szCs w:val="20"/>
        </w:rPr>
        <w:t xml:space="preserve">ement policies and procedures.  </w:t>
      </w:r>
      <w:r w:rsidRPr="00E86713">
        <w:rPr>
          <w:rFonts w:ascii="Arial" w:eastAsia="Times New Roman" w:hAnsi="Arial" w:cs="Arial"/>
          <w:snapToGrid w:val="0"/>
          <w:sz w:val="24"/>
          <w:szCs w:val="20"/>
        </w:rPr>
        <w:t xml:space="preserve">FirstEnergy accepted the consultant’s recommendation, and indicated progress on drafting and implementing various policies </w:t>
      </w:r>
      <w:r w:rsidR="004644DE">
        <w:rPr>
          <w:rFonts w:ascii="Arial" w:eastAsia="Times New Roman" w:hAnsi="Arial" w:cs="Arial"/>
          <w:snapToGrid w:val="0"/>
          <w:sz w:val="24"/>
          <w:szCs w:val="20"/>
        </w:rPr>
        <w:t>in</w:t>
      </w:r>
      <w:r w:rsidR="004644DE" w:rsidRPr="00E86713">
        <w:rPr>
          <w:rFonts w:ascii="Arial" w:eastAsia="Times New Roman" w:hAnsi="Arial" w:cs="Arial"/>
          <w:snapToGrid w:val="0"/>
          <w:sz w:val="24"/>
          <w:szCs w:val="20"/>
        </w:rPr>
        <w:t xml:space="preserve"> </w:t>
      </w:r>
      <w:r w:rsidRPr="00E86713">
        <w:rPr>
          <w:rFonts w:ascii="Arial" w:eastAsia="Times New Roman" w:hAnsi="Arial" w:cs="Arial"/>
          <w:snapToGrid w:val="0"/>
          <w:sz w:val="24"/>
          <w:szCs w:val="20"/>
        </w:rPr>
        <w:t>its annual Implementation Plan Progress Reports filed with the Commission.  Upon</w:t>
      </w:r>
      <w:r>
        <w:rPr>
          <w:rFonts w:ascii="Arial" w:eastAsia="Times New Roman" w:hAnsi="Arial" w:cs="Arial"/>
          <w:snapToGrid w:val="0"/>
          <w:sz w:val="24"/>
          <w:szCs w:val="20"/>
        </w:rPr>
        <w:t xml:space="preserve"> further review, the auditors</w:t>
      </w:r>
      <w:r w:rsidRPr="00E86713">
        <w:rPr>
          <w:rFonts w:ascii="Arial" w:eastAsia="Times New Roman" w:hAnsi="Arial" w:cs="Arial"/>
          <w:snapToGrid w:val="0"/>
          <w:sz w:val="24"/>
          <w:szCs w:val="20"/>
        </w:rPr>
        <w:t xml:space="preserve"> found that </w:t>
      </w:r>
      <w:r>
        <w:rPr>
          <w:rFonts w:ascii="Arial" w:eastAsia="Times New Roman" w:hAnsi="Arial" w:cs="Arial"/>
          <w:snapToGrid w:val="0"/>
          <w:sz w:val="24"/>
          <w:szCs w:val="20"/>
        </w:rPr>
        <w:t>the recommendation</w:t>
      </w:r>
      <w:r w:rsidRPr="00E86713">
        <w:rPr>
          <w:rFonts w:ascii="Arial" w:eastAsia="Times New Roman" w:hAnsi="Arial" w:cs="Arial"/>
          <w:snapToGrid w:val="0"/>
          <w:sz w:val="24"/>
          <w:szCs w:val="20"/>
        </w:rPr>
        <w:t xml:space="preserve"> had yet to be implemented.  A recommendation was again made, therefore, in the Commission’s Focused Management and Operations Audit issued in November 2014 for FirstEnergy to develop written facilities management policies and procedures.</w:t>
      </w:r>
    </w:p>
    <w:p w14:paraId="4DAD449A" w14:textId="77777777" w:rsidR="00FA25BF" w:rsidRPr="00017EF0" w:rsidRDefault="00FA25BF" w:rsidP="00FA25BF">
      <w:pPr>
        <w:widowControl w:val="0"/>
        <w:spacing w:after="0" w:line="20" w:lineRule="atLeast"/>
        <w:contextualSpacing/>
        <w:rPr>
          <w:rFonts w:ascii="Arial" w:eastAsia="Times New Roman" w:hAnsi="Arial" w:cs="Arial"/>
          <w:snapToGrid w:val="0"/>
          <w:sz w:val="24"/>
          <w:szCs w:val="20"/>
        </w:rPr>
      </w:pPr>
    </w:p>
    <w:p w14:paraId="0B2DB6EB" w14:textId="77777777" w:rsidR="00FA25BF" w:rsidRPr="00976F23" w:rsidRDefault="00FA25BF" w:rsidP="00FA25BF">
      <w:pPr>
        <w:spacing w:after="0" w:line="20" w:lineRule="atLeast"/>
        <w:rPr>
          <w:rFonts w:ascii="Arial" w:eastAsia="Times New Roman" w:hAnsi="Arial" w:cs="Arial"/>
          <w:snapToGrid w:val="0"/>
          <w:sz w:val="24"/>
          <w:szCs w:val="20"/>
        </w:rPr>
      </w:pPr>
      <w:r w:rsidRPr="004D579B">
        <w:rPr>
          <w:rFonts w:ascii="Arial" w:eastAsia="Times New Roman" w:hAnsi="Arial" w:cs="Arial"/>
          <w:b/>
          <w:snapToGrid w:val="0"/>
          <w:sz w:val="24"/>
          <w:szCs w:val="20"/>
          <w:u w:val="single"/>
        </w:rPr>
        <w:t>Prior Recommendation</w:t>
      </w:r>
      <w:r w:rsidRPr="004D579B">
        <w:rPr>
          <w:rFonts w:ascii="Arial" w:eastAsia="Times New Roman" w:hAnsi="Arial" w:cs="Arial"/>
          <w:snapToGrid w:val="0"/>
          <w:sz w:val="24"/>
          <w:szCs w:val="20"/>
        </w:rPr>
        <w:t xml:space="preserve"> </w:t>
      </w:r>
      <w:r w:rsidRPr="00A67D31">
        <w:rPr>
          <w:rFonts w:ascii="Arial" w:eastAsia="Times New Roman" w:hAnsi="Arial" w:cs="Times New Roman"/>
          <w:sz w:val="24"/>
          <w:szCs w:val="24"/>
        </w:rPr>
        <w:t>–</w:t>
      </w:r>
      <w:r>
        <w:rPr>
          <w:rFonts w:ascii="Arial" w:eastAsia="Times New Roman" w:hAnsi="Arial" w:cs="Times New Roman"/>
          <w:sz w:val="24"/>
          <w:szCs w:val="24"/>
        </w:rPr>
        <w:t xml:space="preserve"> </w:t>
      </w:r>
      <w:r w:rsidRPr="00976F23">
        <w:rPr>
          <w:rFonts w:ascii="Arial" w:eastAsia="Times New Roman" w:hAnsi="Arial" w:cs="Arial"/>
          <w:snapToGrid w:val="0"/>
          <w:sz w:val="24"/>
          <w:szCs w:val="20"/>
        </w:rPr>
        <w:t>Develop written facilities management policies and procedures to assure business activities between corporate and regional facilities managers are consistent with FirstEnergy policies and procedures.</w:t>
      </w:r>
    </w:p>
    <w:p w14:paraId="73CF0938" w14:textId="77777777" w:rsidR="00FA25BF" w:rsidRPr="00B910D4" w:rsidRDefault="00FA25BF" w:rsidP="00FA25BF">
      <w:pPr>
        <w:spacing w:after="0" w:line="20" w:lineRule="atLeast"/>
        <w:contextualSpacing/>
        <w:rPr>
          <w:rFonts w:ascii="Arial" w:hAnsi="Arial" w:cs="Arial"/>
          <w:sz w:val="24"/>
          <w:szCs w:val="24"/>
        </w:rPr>
      </w:pPr>
    </w:p>
    <w:p w14:paraId="68A19DDB" w14:textId="77777777" w:rsidR="00FA25BF" w:rsidRDefault="00FA25BF" w:rsidP="00FA25BF">
      <w:pPr>
        <w:spacing w:after="0" w:line="20" w:lineRule="atLeast"/>
        <w:jc w:val="both"/>
        <w:rPr>
          <w:rFonts w:ascii="Arial" w:eastAsia="Times New Roman" w:hAnsi="Arial" w:cs="Arial"/>
          <w:b/>
          <w:snapToGrid w:val="0"/>
          <w:sz w:val="24"/>
          <w:szCs w:val="20"/>
        </w:rPr>
      </w:pPr>
      <w:r w:rsidRPr="00B146D6">
        <w:rPr>
          <w:rFonts w:ascii="Arial" w:eastAsia="Times New Roman" w:hAnsi="Arial" w:cs="Times New Roman"/>
          <w:b/>
          <w:sz w:val="24"/>
          <w:szCs w:val="24"/>
          <w:u w:val="single"/>
        </w:rPr>
        <w:t>Follow-</w:t>
      </w:r>
      <w:r>
        <w:rPr>
          <w:rFonts w:ascii="Arial" w:eastAsia="Times New Roman" w:hAnsi="Arial" w:cs="Times New Roman"/>
          <w:b/>
          <w:sz w:val="24"/>
          <w:szCs w:val="24"/>
          <w:u w:val="single"/>
        </w:rPr>
        <w:t>up Finding and Conclusion</w:t>
      </w:r>
      <w:r w:rsidR="00A40BA5" w:rsidRPr="00A40BA5">
        <w:rPr>
          <w:rFonts w:ascii="Arial" w:eastAsia="Times New Roman" w:hAnsi="Arial" w:cs="Times New Roman"/>
          <w:b/>
          <w:sz w:val="24"/>
          <w:szCs w:val="24"/>
          <w:u w:val="single"/>
        </w:rPr>
        <w:t xml:space="preserve"> </w:t>
      </w:r>
      <w:r w:rsidR="00A40BA5" w:rsidRPr="00C93C49">
        <w:rPr>
          <w:rFonts w:ascii="Arial" w:eastAsia="Times New Roman" w:hAnsi="Arial" w:cs="Times New Roman"/>
          <w:b/>
          <w:sz w:val="24"/>
          <w:szCs w:val="24"/>
          <w:u w:val="single"/>
        </w:rPr>
        <w:t>No. X</w:t>
      </w:r>
      <w:r w:rsidR="00A40BA5">
        <w:rPr>
          <w:rFonts w:ascii="Arial" w:eastAsia="Times New Roman" w:hAnsi="Arial" w:cs="Times New Roman"/>
          <w:b/>
          <w:sz w:val="24"/>
          <w:szCs w:val="24"/>
          <w:u w:val="single"/>
        </w:rPr>
        <w:t>III</w:t>
      </w:r>
      <w:r w:rsidR="00A40BA5" w:rsidRPr="00C93C49">
        <w:rPr>
          <w:rFonts w:ascii="Arial" w:eastAsia="Times New Roman" w:hAnsi="Arial" w:cs="Times New Roman"/>
          <w:b/>
          <w:sz w:val="24"/>
          <w:szCs w:val="24"/>
          <w:u w:val="single"/>
        </w:rPr>
        <w:t>-1</w:t>
      </w:r>
      <w:r w:rsidRPr="00A67D31">
        <w:rPr>
          <w:rFonts w:ascii="Arial" w:eastAsia="Times New Roman" w:hAnsi="Arial" w:cs="Times New Roman"/>
          <w:b/>
          <w:sz w:val="24"/>
          <w:szCs w:val="24"/>
        </w:rPr>
        <w:t xml:space="preserve"> – </w:t>
      </w:r>
      <w:r w:rsidRPr="00E86713">
        <w:rPr>
          <w:rFonts w:ascii="Arial" w:eastAsia="Times New Roman" w:hAnsi="Arial" w:cs="Arial"/>
          <w:b/>
          <w:snapToGrid w:val="0"/>
          <w:sz w:val="24"/>
          <w:szCs w:val="20"/>
        </w:rPr>
        <w:t>Detailed policies and procedures have been developed for facility service operations.</w:t>
      </w:r>
    </w:p>
    <w:p w14:paraId="1B31C5C9" w14:textId="77777777" w:rsidR="00FA25BF" w:rsidRDefault="00FA25BF" w:rsidP="00FA25BF">
      <w:pPr>
        <w:spacing w:after="0" w:line="20" w:lineRule="atLeast"/>
        <w:jc w:val="both"/>
        <w:rPr>
          <w:rFonts w:ascii="Arial" w:eastAsia="Times New Roman" w:hAnsi="Arial" w:cs="Arial"/>
          <w:b/>
          <w:snapToGrid w:val="0"/>
          <w:sz w:val="24"/>
          <w:szCs w:val="20"/>
        </w:rPr>
      </w:pPr>
    </w:p>
    <w:p w14:paraId="5F7D60B9" w14:textId="77777777" w:rsidR="00FA25BF" w:rsidRPr="00E86713" w:rsidRDefault="00FA25BF" w:rsidP="00FA25BF">
      <w:pPr>
        <w:widowControl w:val="0"/>
        <w:spacing w:after="0" w:line="20" w:lineRule="atLeast"/>
        <w:rPr>
          <w:rFonts w:ascii="Arial" w:eastAsia="Times New Roman" w:hAnsi="Arial" w:cs="Arial"/>
          <w:snapToGrid w:val="0"/>
          <w:sz w:val="24"/>
          <w:szCs w:val="20"/>
        </w:rPr>
      </w:pPr>
      <w:r w:rsidRPr="00976F23">
        <w:rPr>
          <w:rFonts w:ascii="Arial" w:hAnsi="Arial" w:cs="Arial"/>
          <w:b/>
          <w:sz w:val="24"/>
          <w:szCs w:val="24"/>
          <w:u w:val="single"/>
        </w:rPr>
        <w:t>Current Review</w:t>
      </w:r>
      <w:r w:rsidRPr="00976F23">
        <w:rPr>
          <w:rFonts w:ascii="Arial" w:hAnsi="Arial" w:cs="Arial"/>
          <w:sz w:val="24"/>
          <w:szCs w:val="24"/>
        </w:rPr>
        <w:t xml:space="preserve"> –</w:t>
      </w:r>
      <w:r w:rsidRPr="000644B8">
        <w:rPr>
          <w:rFonts w:ascii="Arial" w:hAnsi="Arial" w:cs="Arial"/>
          <w:szCs w:val="24"/>
        </w:rPr>
        <w:t xml:space="preserve"> </w:t>
      </w:r>
      <w:r w:rsidRPr="00E86713">
        <w:rPr>
          <w:rFonts w:ascii="Arial" w:eastAsia="Times New Roman" w:hAnsi="Arial" w:cs="Arial"/>
          <w:snapToGrid w:val="0"/>
          <w:sz w:val="24"/>
          <w:szCs w:val="20"/>
        </w:rPr>
        <w:t xml:space="preserve">FirstEnergy developed a document called </w:t>
      </w:r>
      <w:r w:rsidRPr="00B419A5">
        <w:rPr>
          <w:rFonts w:ascii="Arial" w:eastAsia="Times New Roman" w:hAnsi="Arial" w:cs="Arial"/>
          <w:i/>
          <w:snapToGrid w:val="0"/>
          <w:sz w:val="24"/>
          <w:szCs w:val="20"/>
        </w:rPr>
        <w:t>Facility Management Practices</w:t>
      </w:r>
      <w:r w:rsidRPr="00E86713">
        <w:rPr>
          <w:rFonts w:ascii="Arial" w:eastAsia="Times New Roman" w:hAnsi="Arial" w:cs="Arial"/>
          <w:snapToGrid w:val="0"/>
          <w:sz w:val="24"/>
          <w:szCs w:val="20"/>
        </w:rPr>
        <w:t xml:space="preserve"> in 2015 to provide standard facility management procedures at all FirstEnergy locations.</w:t>
      </w:r>
      <w:r>
        <w:rPr>
          <w:rFonts w:ascii="Arial" w:eastAsia="Times New Roman" w:hAnsi="Arial" w:cs="Arial"/>
          <w:snapToGrid w:val="0"/>
          <w:sz w:val="24"/>
          <w:szCs w:val="20"/>
        </w:rPr>
        <w:t xml:space="preserve">  The document includes the following:</w:t>
      </w:r>
    </w:p>
    <w:p w14:paraId="67F47597" w14:textId="77777777" w:rsidR="00FA25BF" w:rsidRPr="00E86713" w:rsidRDefault="00FA25BF" w:rsidP="00FA25BF">
      <w:pPr>
        <w:widowControl w:val="0"/>
        <w:spacing w:after="0" w:line="20" w:lineRule="atLeast"/>
        <w:jc w:val="both"/>
        <w:rPr>
          <w:rFonts w:ascii="Arial" w:eastAsia="Times New Roman" w:hAnsi="Arial" w:cs="Arial"/>
          <w:snapToGrid w:val="0"/>
          <w:sz w:val="24"/>
          <w:szCs w:val="20"/>
        </w:rPr>
      </w:pPr>
    </w:p>
    <w:p w14:paraId="285020A3" w14:textId="77777777" w:rsidR="00FA25BF" w:rsidRPr="00E86713" w:rsidRDefault="00FA25BF" w:rsidP="00D94B11">
      <w:pPr>
        <w:widowControl w:val="0"/>
        <w:numPr>
          <w:ilvl w:val="0"/>
          <w:numId w:val="31"/>
        </w:numPr>
        <w:spacing w:after="0" w:line="20" w:lineRule="atLeast"/>
        <w:ind w:left="1080"/>
        <w:contextualSpacing/>
        <w:rPr>
          <w:rFonts w:ascii="Arial" w:eastAsia="Times New Roman" w:hAnsi="Arial" w:cs="Arial"/>
          <w:snapToGrid w:val="0"/>
          <w:sz w:val="24"/>
          <w:szCs w:val="20"/>
        </w:rPr>
      </w:pPr>
      <w:r w:rsidRPr="00E86713">
        <w:rPr>
          <w:rFonts w:ascii="Arial" w:eastAsia="Times New Roman" w:hAnsi="Arial" w:cs="Arial"/>
          <w:snapToGrid w:val="0"/>
          <w:sz w:val="24"/>
          <w:szCs w:val="20"/>
        </w:rPr>
        <w:t>Contracted Services</w:t>
      </w:r>
    </w:p>
    <w:p w14:paraId="2500CD95" w14:textId="77777777" w:rsidR="00FA25BF" w:rsidRPr="00E86713" w:rsidRDefault="00FA25BF" w:rsidP="00D94B11">
      <w:pPr>
        <w:widowControl w:val="0"/>
        <w:numPr>
          <w:ilvl w:val="1"/>
          <w:numId w:val="31"/>
        </w:numPr>
        <w:spacing w:after="0" w:line="20" w:lineRule="atLeast"/>
        <w:contextualSpacing/>
        <w:rPr>
          <w:rFonts w:ascii="Arial" w:eastAsia="Times New Roman" w:hAnsi="Arial" w:cs="Arial"/>
          <w:snapToGrid w:val="0"/>
          <w:sz w:val="24"/>
          <w:szCs w:val="20"/>
        </w:rPr>
      </w:pPr>
      <w:r w:rsidRPr="00E86713">
        <w:rPr>
          <w:rFonts w:ascii="Arial" w:eastAsia="Times New Roman" w:hAnsi="Arial" w:cs="Arial"/>
          <w:snapToGrid w:val="0"/>
          <w:sz w:val="24"/>
          <w:szCs w:val="20"/>
        </w:rPr>
        <w:t>This policy shall apply to all employees required or requested to contract out facility services for:</w:t>
      </w:r>
    </w:p>
    <w:p w14:paraId="2ADB81BB" w14:textId="77777777" w:rsidR="00FA25BF" w:rsidRPr="00E86713" w:rsidRDefault="00FA25BF" w:rsidP="00D94B11">
      <w:pPr>
        <w:widowControl w:val="0"/>
        <w:numPr>
          <w:ilvl w:val="2"/>
          <w:numId w:val="31"/>
        </w:numPr>
        <w:spacing w:after="0" w:line="20" w:lineRule="atLeast"/>
        <w:ind w:left="1800"/>
        <w:contextualSpacing/>
        <w:rPr>
          <w:rFonts w:ascii="Arial" w:eastAsia="Times New Roman" w:hAnsi="Arial" w:cs="Arial"/>
          <w:snapToGrid w:val="0"/>
          <w:sz w:val="24"/>
          <w:szCs w:val="20"/>
        </w:rPr>
      </w:pPr>
      <w:r w:rsidRPr="00E86713">
        <w:rPr>
          <w:rFonts w:ascii="Arial" w:eastAsia="Times New Roman" w:hAnsi="Arial" w:cs="Arial"/>
          <w:snapToGrid w:val="0"/>
          <w:sz w:val="24"/>
          <w:szCs w:val="20"/>
        </w:rPr>
        <w:t xml:space="preserve">Building maintenance </w:t>
      </w:r>
    </w:p>
    <w:p w14:paraId="420CAA0A" w14:textId="77777777" w:rsidR="00FA25BF" w:rsidRPr="00E86713" w:rsidRDefault="00FA25BF" w:rsidP="00D94B11">
      <w:pPr>
        <w:widowControl w:val="0"/>
        <w:numPr>
          <w:ilvl w:val="2"/>
          <w:numId w:val="31"/>
        </w:numPr>
        <w:spacing w:after="0" w:line="20" w:lineRule="atLeast"/>
        <w:ind w:left="1800"/>
        <w:contextualSpacing/>
        <w:rPr>
          <w:rFonts w:ascii="Arial" w:eastAsia="Times New Roman" w:hAnsi="Arial" w:cs="Arial"/>
          <w:snapToGrid w:val="0"/>
          <w:sz w:val="24"/>
          <w:szCs w:val="20"/>
        </w:rPr>
      </w:pPr>
      <w:r w:rsidRPr="00E86713">
        <w:rPr>
          <w:rFonts w:ascii="Arial" w:eastAsia="Times New Roman" w:hAnsi="Arial" w:cs="Arial"/>
          <w:snapToGrid w:val="0"/>
          <w:sz w:val="24"/>
          <w:szCs w:val="20"/>
        </w:rPr>
        <w:t xml:space="preserve">Construction &amp; renovation </w:t>
      </w:r>
    </w:p>
    <w:p w14:paraId="7AE429EE" w14:textId="77777777" w:rsidR="00FA25BF" w:rsidRPr="00E86713" w:rsidRDefault="00FA25BF" w:rsidP="00D94B11">
      <w:pPr>
        <w:widowControl w:val="0"/>
        <w:numPr>
          <w:ilvl w:val="2"/>
          <w:numId w:val="31"/>
        </w:numPr>
        <w:spacing w:after="0" w:line="20" w:lineRule="atLeast"/>
        <w:ind w:left="1800"/>
        <w:contextualSpacing/>
        <w:rPr>
          <w:rFonts w:ascii="Arial" w:eastAsia="Times New Roman" w:hAnsi="Arial" w:cs="Arial"/>
          <w:snapToGrid w:val="0"/>
          <w:sz w:val="24"/>
          <w:szCs w:val="20"/>
        </w:rPr>
      </w:pPr>
      <w:r w:rsidRPr="00E86713">
        <w:rPr>
          <w:rFonts w:ascii="Arial" w:eastAsia="Times New Roman" w:hAnsi="Arial" w:cs="Arial"/>
          <w:snapToGrid w:val="0"/>
          <w:sz w:val="24"/>
          <w:szCs w:val="20"/>
        </w:rPr>
        <w:t xml:space="preserve">Electrical </w:t>
      </w:r>
    </w:p>
    <w:p w14:paraId="1E2989AC" w14:textId="77777777" w:rsidR="00FA25BF" w:rsidRPr="00E86713" w:rsidRDefault="00FA25BF" w:rsidP="00D94B11">
      <w:pPr>
        <w:widowControl w:val="0"/>
        <w:numPr>
          <w:ilvl w:val="2"/>
          <w:numId w:val="31"/>
        </w:numPr>
        <w:spacing w:after="0" w:line="20" w:lineRule="atLeast"/>
        <w:ind w:left="1800"/>
        <w:contextualSpacing/>
        <w:rPr>
          <w:rFonts w:ascii="Arial" w:eastAsia="Times New Roman" w:hAnsi="Arial" w:cs="Arial"/>
          <w:snapToGrid w:val="0"/>
          <w:sz w:val="24"/>
          <w:szCs w:val="20"/>
        </w:rPr>
      </w:pPr>
      <w:r w:rsidRPr="00E86713">
        <w:rPr>
          <w:rFonts w:ascii="Arial" w:eastAsia="Times New Roman" w:hAnsi="Arial" w:cs="Arial"/>
          <w:snapToGrid w:val="0"/>
          <w:sz w:val="24"/>
          <w:szCs w:val="20"/>
        </w:rPr>
        <w:t xml:space="preserve">Elevators </w:t>
      </w:r>
    </w:p>
    <w:p w14:paraId="3A9348DA" w14:textId="77777777" w:rsidR="00FA25BF" w:rsidRPr="00E86713" w:rsidRDefault="00FA25BF" w:rsidP="00D94B11">
      <w:pPr>
        <w:widowControl w:val="0"/>
        <w:numPr>
          <w:ilvl w:val="2"/>
          <w:numId w:val="31"/>
        </w:numPr>
        <w:spacing w:after="0" w:line="20" w:lineRule="atLeast"/>
        <w:ind w:left="1800"/>
        <w:contextualSpacing/>
        <w:rPr>
          <w:rFonts w:ascii="Arial" w:eastAsia="Times New Roman" w:hAnsi="Arial" w:cs="Arial"/>
          <w:snapToGrid w:val="0"/>
          <w:sz w:val="24"/>
          <w:szCs w:val="20"/>
        </w:rPr>
      </w:pPr>
      <w:r w:rsidRPr="00E86713">
        <w:rPr>
          <w:rFonts w:ascii="Arial" w:eastAsia="Times New Roman" w:hAnsi="Arial" w:cs="Arial"/>
          <w:snapToGrid w:val="0"/>
          <w:sz w:val="24"/>
          <w:szCs w:val="20"/>
        </w:rPr>
        <w:t xml:space="preserve">Fire protection </w:t>
      </w:r>
    </w:p>
    <w:p w14:paraId="3F5EA3F8" w14:textId="77777777" w:rsidR="00FA25BF" w:rsidRPr="00E86713" w:rsidRDefault="00FA25BF" w:rsidP="00D94B11">
      <w:pPr>
        <w:widowControl w:val="0"/>
        <w:numPr>
          <w:ilvl w:val="2"/>
          <w:numId w:val="31"/>
        </w:numPr>
        <w:spacing w:after="0" w:line="20" w:lineRule="atLeast"/>
        <w:ind w:left="1800"/>
        <w:contextualSpacing/>
        <w:rPr>
          <w:rFonts w:ascii="Arial" w:eastAsia="Times New Roman" w:hAnsi="Arial" w:cs="Arial"/>
          <w:snapToGrid w:val="0"/>
          <w:sz w:val="24"/>
          <w:szCs w:val="20"/>
        </w:rPr>
      </w:pPr>
      <w:r w:rsidRPr="00E86713">
        <w:rPr>
          <w:rFonts w:ascii="Arial" w:eastAsia="Times New Roman" w:hAnsi="Arial" w:cs="Arial"/>
          <w:snapToGrid w:val="0"/>
          <w:sz w:val="24"/>
          <w:szCs w:val="20"/>
        </w:rPr>
        <w:t xml:space="preserve">Grounds &amp; roads (paving) </w:t>
      </w:r>
    </w:p>
    <w:p w14:paraId="2CC53397" w14:textId="77777777" w:rsidR="00FA25BF" w:rsidRPr="00E86713" w:rsidRDefault="00FA25BF" w:rsidP="00D94B11">
      <w:pPr>
        <w:widowControl w:val="0"/>
        <w:numPr>
          <w:ilvl w:val="2"/>
          <w:numId w:val="31"/>
        </w:numPr>
        <w:spacing w:after="0" w:line="20" w:lineRule="atLeast"/>
        <w:ind w:left="1800"/>
        <w:contextualSpacing/>
        <w:rPr>
          <w:rFonts w:ascii="Arial" w:eastAsia="Times New Roman" w:hAnsi="Arial" w:cs="Arial"/>
          <w:snapToGrid w:val="0"/>
          <w:sz w:val="24"/>
          <w:szCs w:val="20"/>
        </w:rPr>
      </w:pPr>
      <w:r w:rsidRPr="00E86713">
        <w:rPr>
          <w:rFonts w:ascii="Arial" w:eastAsia="Times New Roman" w:hAnsi="Arial" w:cs="Arial"/>
          <w:snapToGrid w:val="0"/>
          <w:sz w:val="24"/>
          <w:szCs w:val="20"/>
        </w:rPr>
        <w:t xml:space="preserve">HVAC </w:t>
      </w:r>
    </w:p>
    <w:p w14:paraId="2459012C" w14:textId="77777777" w:rsidR="00FA25BF" w:rsidRPr="00E86713" w:rsidRDefault="00FA25BF" w:rsidP="00D94B11">
      <w:pPr>
        <w:widowControl w:val="0"/>
        <w:numPr>
          <w:ilvl w:val="2"/>
          <w:numId w:val="31"/>
        </w:numPr>
        <w:spacing w:after="0" w:line="20" w:lineRule="atLeast"/>
        <w:ind w:left="1800"/>
        <w:contextualSpacing/>
        <w:rPr>
          <w:rFonts w:ascii="Arial" w:eastAsia="Times New Roman" w:hAnsi="Arial" w:cs="Arial"/>
          <w:snapToGrid w:val="0"/>
          <w:sz w:val="24"/>
          <w:szCs w:val="20"/>
        </w:rPr>
      </w:pPr>
      <w:r w:rsidRPr="00E86713">
        <w:rPr>
          <w:rFonts w:ascii="Arial" w:eastAsia="Times New Roman" w:hAnsi="Arial" w:cs="Arial"/>
          <w:snapToGrid w:val="0"/>
          <w:sz w:val="24"/>
          <w:szCs w:val="20"/>
        </w:rPr>
        <w:t>Housekeeping</w:t>
      </w:r>
    </w:p>
    <w:p w14:paraId="058EBC3F" w14:textId="77777777" w:rsidR="00FA25BF" w:rsidRPr="00E86713" w:rsidRDefault="00FA25BF" w:rsidP="00D94B11">
      <w:pPr>
        <w:widowControl w:val="0"/>
        <w:numPr>
          <w:ilvl w:val="2"/>
          <w:numId w:val="31"/>
        </w:numPr>
        <w:spacing w:after="0" w:line="20" w:lineRule="atLeast"/>
        <w:ind w:left="1800"/>
        <w:contextualSpacing/>
        <w:rPr>
          <w:rFonts w:ascii="Arial" w:eastAsia="Times New Roman" w:hAnsi="Arial" w:cs="Arial"/>
          <w:snapToGrid w:val="0"/>
          <w:sz w:val="24"/>
          <w:szCs w:val="20"/>
        </w:rPr>
      </w:pPr>
      <w:r w:rsidRPr="00E86713">
        <w:rPr>
          <w:rFonts w:ascii="Arial" w:eastAsia="Times New Roman" w:hAnsi="Arial" w:cs="Arial"/>
          <w:snapToGrid w:val="0"/>
          <w:sz w:val="24"/>
          <w:szCs w:val="20"/>
        </w:rPr>
        <w:t>Mechanical equipment</w:t>
      </w:r>
    </w:p>
    <w:p w14:paraId="4FD86665" w14:textId="77777777" w:rsidR="00FA25BF" w:rsidRPr="00E86713" w:rsidRDefault="00FA25BF" w:rsidP="00D94B11">
      <w:pPr>
        <w:widowControl w:val="0"/>
        <w:numPr>
          <w:ilvl w:val="2"/>
          <w:numId w:val="31"/>
        </w:numPr>
        <w:spacing w:after="0" w:line="20" w:lineRule="atLeast"/>
        <w:ind w:left="1800"/>
        <w:contextualSpacing/>
        <w:rPr>
          <w:rFonts w:ascii="Arial" w:eastAsia="Times New Roman" w:hAnsi="Arial" w:cs="Arial"/>
          <w:snapToGrid w:val="0"/>
          <w:sz w:val="24"/>
          <w:szCs w:val="20"/>
        </w:rPr>
      </w:pPr>
      <w:r w:rsidRPr="00E86713">
        <w:rPr>
          <w:rFonts w:ascii="Arial" w:eastAsia="Times New Roman" w:hAnsi="Arial" w:cs="Arial"/>
          <w:snapToGrid w:val="0"/>
          <w:sz w:val="24"/>
          <w:szCs w:val="20"/>
        </w:rPr>
        <w:t>Painting</w:t>
      </w:r>
    </w:p>
    <w:p w14:paraId="3BDD22A8" w14:textId="77777777" w:rsidR="00FA25BF" w:rsidRPr="00E86713" w:rsidRDefault="00FA25BF" w:rsidP="00D94B11">
      <w:pPr>
        <w:widowControl w:val="0"/>
        <w:numPr>
          <w:ilvl w:val="2"/>
          <w:numId w:val="31"/>
        </w:numPr>
        <w:spacing w:after="0" w:line="20" w:lineRule="atLeast"/>
        <w:ind w:left="1800"/>
        <w:contextualSpacing/>
        <w:rPr>
          <w:rFonts w:ascii="Arial" w:eastAsia="Times New Roman" w:hAnsi="Arial" w:cs="Arial"/>
          <w:snapToGrid w:val="0"/>
          <w:sz w:val="24"/>
          <w:szCs w:val="20"/>
        </w:rPr>
      </w:pPr>
      <w:r w:rsidRPr="00E86713">
        <w:rPr>
          <w:rFonts w:ascii="Arial" w:eastAsia="Times New Roman" w:hAnsi="Arial" w:cs="Arial"/>
          <w:snapToGrid w:val="0"/>
          <w:sz w:val="24"/>
          <w:szCs w:val="20"/>
        </w:rPr>
        <w:t>Plumbing</w:t>
      </w:r>
    </w:p>
    <w:p w14:paraId="2D876B70" w14:textId="77777777" w:rsidR="00FA25BF" w:rsidRPr="00E86713" w:rsidRDefault="00FA25BF" w:rsidP="00D94B11">
      <w:pPr>
        <w:widowControl w:val="0"/>
        <w:numPr>
          <w:ilvl w:val="2"/>
          <w:numId w:val="31"/>
        </w:numPr>
        <w:spacing w:after="0" w:line="20" w:lineRule="atLeast"/>
        <w:ind w:left="1800"/>
        <w:contextualSpacing/>
        <w:rPr>
          <w:rFonts w:ascii="Arial" w:eastAsia="Times New Roman" w:hAnsi="Arial" w:cs="Arial"/>
          <w:snapToGrid w:val="0"/>
          <w:sz w:val="24"/>
          <w:szCs w:val="20"/>
        </w:rPr>
      </w:pPr>
      <w:r w:rsidRPr="00E86713">
        <w:rPr>
          <w:rFonts w:ascii="Arial" w:eastAsia="Times New Roman" w:hAnsi="Arial" w:cs="Arial"/>
          <w:snapToGrid w:val="0"/>
          <w:sz w:val="24"/>
          <w:szCs w:val="20"/>
        </w:rPr>
        <w:t>Roof repairs</w:t>
      </w:r>
    </w:p>
    <w:p w14:paraId="3F316A73" w14:textId="77777777" w:rsidR="00FA25BF" w:rsidRPr="00E86713" w:rsidRDefault="00FA25BF" w:rsidP="00D94B11">
      <w:pPr>
        <w:widowControl w:val="0"/>
        <w:numPr>
          <w:ilvl w:val="2"/>
          <w:numId w:val="31"/>
        </w:numPr>
        <w:spacing w:after="0" w:line="20" w:lineRule="atLeast"/>
        <w:ind w:left="1800"/>
        <w:contextualSpacing/>
        <w:rPr>
          <w:rFonts w:ascii="Arial" w:eastAsia="Times New Roman" w:hAnsi="Arial" w:cs="Arial"/>
          <w:snapToGrid w:val="0"/>
          <w:sz w:val="24"/>
          <w:szCs w:val="20"/>
        </w:rPr>
      </w:pPr>
      <w:r w:rsidRPr="00E86713">
        <w:rPr>
          <w:rFonts w:ascii="Arial" w:eastAsia="Times New Roman" w:hAnsi="Arial" w:cs="Arial"/>
          <w:snapToGrid w:val="0"/>
          <w:sz w:val="24"/>
          <w:szCs w:val="20"/>
        </w:rPr>
        <w:t>Snow removal</w:t>
      </w:r>
    </w:p>
    <w:p w14:paraId="65CD918C" w14:textId="77777777" w:rsidR="00FA25BF" w:rsidRPr="00E86713" w:rsidRDefault="00FA25BF" w:rsidP="00D94B11">
      <w:pPr>
        <w:widowControl w:val="0"/>
        <w:numPr>
          <w:ilvl w:val="2"/>
          <w:numId w:val="31"/>
        </w:numPr>
        <w:spacing w:after="0" w:line="20" w:lineRule="atLeast"/>
        <w:ind w:left="1800"/>
        <w:contextualSpacing/>
        <w:rPr>
          <w:rFonts w:ascii="Arial" w:eastAsia="Times New Roman" w:hAnsi="Arial" w:cs="Arial"/>
          <w:snapToGrid w:val="0"/>
          <w:sz w:val="24"/>
          <w:szCs w:val="20"/>
        </w:rPr>
      </w:pPr>
      <w:r w:rsidRPr="00E86713">
        <w:rPr>
          <w:rFonts w:ascii="Arial" w:eastAsia="Times New Roman" w:hAnsi="Arial" w:cs="Arial"/>
          <w:snapToGrid w:val="0"/>
          <w:sz w:val="24"/>
          <w:szCs w:val="20"/>
        </w:rPr>
        <w:t>Structures and fences</w:t>
      </w:r>
    </w:p>
    <w:p w14:paraId="1A55848C" w14:textId="77777777" w:rsidR="00FA25BF" w:rsidRDefault="00FA25BF" w:rsidP="00D94B11">
      <w:pPr>
        <w:widowControl w:val="0"/>
        <w:numPr>
          <w:ilvl w:val="2"/>
          <w:numId w:val="31"/>
        </w:numPr>
        <w:spacing w:after="0" w:line="20" w:lineRule="atLeast"/>
        <w:ind w:left="1800"/>
        <w:contextualSpacing/>
        <w:rPr>
          <w:rFonts w:ascii="Arial" w:eastAsia="Times New Roman" w:hAnsi="Arial" w:cs="Arial"/>
          <w:snapToGrid w:val="0"/>
          <w:sz w:val="24"/>
          <w:szCs w:val="20"/>
        </w:rPr>
      </w:pPr>
      <w:r w:rsidRPr="00E86713">
        <w:rPr>
          <w:rFonts w:ascii="Arial" w:eastAsia="Times New Roman" w:hAnsi="Arial" w:cs="Arial"/>
          <w:snapToGrid w:val="0"/>
          <w:sz w:val="24"/>
          <w:szCs w:val="20"/>
        </w:rPr>
        <w:t>Waste removal</w:t>
      </w:r>
    </w:p>
    <w:p w14:paraId="5DCABCC9" w14:textId="77777777" w:rsidR="00FA25BF" w:rsidRPr="003234B1" w:rsidRDefault="00FA25BF" w:rsidP="00FA25BF">
      <w:pPr>
        <w:widowControl w:val="0"/>
        <w:spacing w:after="0" w:line="20" w:lineRule="atLeast"/>
        <w:ind w:left="1800"/>
        <w:contextualSpacing/>
        <w:rPr>
          <w:rFonts w:ascii="Arial" w:eastAsia="Times New Roman" w:hAnsi="Arial" w:cs="Arial"/>
          <w:snapToGrid w:val="0"/>
          <w:sz w:val="24"/>
          <w:szCs w:val="20"/>
        </w:rPr>
      </w:pPr>
    </w:p>
    <w:p w14:paraId="45B94143" w14:textId="77777777" w:rsidR="00FA25BF" w:rsidRDefault="00FA25BF" w:rsidP="00D94B11">
      <w:pPr>
        <w:widowControl w:val="0"/>
        <w:numPr>
          <w:ilvl w:val="1"/>
          <w:numId w:val="31"/>
        </w:numPr>
        <w:spacing w:after="0" w:line="20" w:lineRule="atLeast"/>
        <w:contextualSpacing/>
        <w:rPr>
          <w:rFonts w:ascii="Arial" w:eastAsia="Times New Roman" w:hAnsi="Arial" w:cs="Arial"/>
          <w:snapToGrid w:val="0"/>
          <w:sz w:val="24"/>
          <w:szCs w:val="20"/>
        </w:rPr>
      </w:pPr>
      <w:r w:rsidRPr="00E86713">
        <w:rPr>
          <w:rFonts w:ascii="Arial" w:eastAsia="Times New Roman" w:hAnsi="Arial" w:cs="Arial"/>
          <w:snapToGrid w:val="0"/>
          <w:sz w:val="24"/>
          <w:szCs w:val="20"/>
        </w:rPr>
        <w:t>Facility Management is responsible for contract management of all F</w:t>
      </w:r>
      <w:r>
        <w:rPr>
          <w:rFonts w:ascii="Arial" w:eastAsia="Times New Roman" w:hAnsi="Arial" w:cs="Arial"/>
          <w:snapToGrid w:val="0"/>
          <w:sz w:val="24"/>
          <w:szCs w:val="20"/>
        </w:rPr>
        <w:t>irst</w:t>
      </w:r>
      <w:r w:rsidRPr="00E86713">
        <w:rPr>
          <w:rFonts w:ascii="Arial" w:eastAsia="Times New Roman" w:hAnsi="Arial" w:cs="Arial"/>
          <w:snapToGrid w:val="0"/>
          <w:sz w:val="24"/>
          <w:szCs w:val="20"/>
        </w:rPr>
        <w:t>E</w:t>
      </w:r>
      <w:r>
        <w:rPr>
          <w:rFonts w:ascii="Arial" w:eastAsia="Times New Roman" w:hAnsi="Arial" w:cs="Arial"/>
          <w:snapToGrid w:val="0"/>
          <w:sz w:val="24"/>
          <w:szCs w:val="20"/>
        </w:rPr>
        <w:t>nergy</w:t>
      </w:r>
      <w:r w:rsidRPr="00E86713">
        <w:rPr>
          <w:rFonts w:ascii="Arial" w:eastAsia="Times New Roman" w:hAnsi="Arial" w:cs="Arial"/>
          <w:snapToGrid w:val="0"/>
          <w:sz w:val="24"/>
          <w:szCs w:val="20"/>
        </w:rPr>
        <w:t xml:space="preserve"> facility-related maintenance contracts.  The oversight and budgeting of these services </w:t>
      </w:r>
      <w:r>
        <w:rPr>
          <w:rFonts w:ascii="Arial" w:eastAsia="Times New Roman" w:hAnsi="Arial" w:cs="Arial"/>
          <w:snapToGrid w:val="0"/>
          <w:sz w:val="24"/>
          <w:szCs w:val="20"/>
        </w:rPr>
        <w:t>reside</w:t>
      </w:r>
      <w:r w:rsidRPr="00E86713">
        <w:rPr>
          <w:rFonts w:ascii="Arial" w:eastAsia="Times New Roman" w:hAnsi="Arial" w:cs="Arial"/>
          <w:snapToGrid w:val="0"/>
          <w:sz w:val="24"/>
          <w:szCs w:val="20"/>
        </w:rPr>
        <w:t xml:space="preserve"> with</w:t>
      </w:r>
      <w:r>
        <w:rPr>
          <w:rFonts w:ascii="Arial" w:eastAsia="Times New Roman" w:hAnsi="Arial" w:cs="Arial"/>
          <w:snapToGrid w:val="0"/>
          <w:sz w:val="24"/>
          <w:szCs w:val="20"/>
        </w:rPr>
        <w:t xml:space="preserve"> each of </w:t>
      </w:r>
      <w:r w:rsidRPr="00E86713">
        <w:rPr>
          <w:rFonts w:ascii="Arial" w:eastAsia="Times New Roman" w:hAnsi="Arial" w:cs="Arial"/>
          <w:snapToGrid w:val="0"/>
          <w:sz w:val="24"/>
          <w:szCs w:val="20"/>
        </w:rPr>
        <w:t xml:space="preserve">the </w:t>
      </w:r>
      <w:r w:rsidR="00DC3D9B">
        <w:rPr>
          <w:rFonts w:ascii="Arial" w:eastAsia="Times New Roman" w:hAnsi="Arial" w:cs="Arial"/>
          <w:snapToGrid w:val="0"/>
          <w:sz w:val="24"/>
          <w:szCs w:val="20"/>
        </w:rPr>
        <w:t>companies</w:t>
      </w:r>
      <w:r w:rsidRPr="00E86713">
        <w:rPr>
          <w:rFonts w:ascii="Arial" w:eastAsia="Times New Roman" w:hAnsi="Arial" w:cs="Arial"/>
          <w:snapToGrid w:val="0"/>
          <w:sz w:val="24"/>
          <w:szCs w:val="20"/>
        </w:rPr>
        <w:t>.</w:t>
      </w:r>
    </w:p>
    <w:p w14:paraId="6F0983CC" w14:textId="77777777" w:rsidR="00FA25BF" w:rsidRDefault="00FA25BF" w:rsidP="00FA25BF">
      <w:pPr>
        <w:widowControl w:val="0"/>
        <w:spacing w:after="0" w:line="20" w:lineRule="atLeast"/>
        <w:ind w:left="1440"/>
        <w:contextualSpacing/>
        <w:rPr>
          <w:rFonts w:ascii="Arial" w:eastAsia="Times New Roman" w:hAnsi="Arial" w:cs="Arial"/>
          <w:snapToGrid w:val="0"/>
          <w:sz w:val="24"/>
          <w:szCs w:val="20"/>
        </w:rPr>
      </w:pPr>
    </w:p>
    <w:p w14:paraId="5B122EDB" w14:textId="77777777" w:rsidR="00FA25BF" w:rsidRPr="00754661" w:rsidRDefault="00FA25BF" w:rsidP="00D94B11">
      <w:pPr>
        <w:widowControl w:val="0"/>
        <w:numPr>
          <w:ilvl w:val="0"/>
          <w:numId w:val="31"/>
        </w:numPr>
        <w:spacing w:after="0" w:line="20" w:lineRule="atLeast"/>
        <w:ind w:left="1080"/>
        <w:contextualSpacing/>
        <w:rPr>
          <w:rFonts w:ascii="Arial" w:eastAsia="Times New Roman" w:hAnsi="Arial" w:cs="Arial"/>
          <w:snapToGrid w:val="0"/>
          <w:sz w:val="24"/>
          <w:szCs w:val="20"/>
        </w:rPr>
      </w:pPr>
      <w:r w:rsidRPr="00754661">
        <w:rPr>
          <w:rFonts w:ascii="Arial" w:eastAsia="Times New Roman" w:hAnsi="Arial" w:cs="Arial"/>
          <w:snapToGrid w:val="0"/>
          <w:sz w:val="24"/>
          <w:szCs w:val="20"/>
        </w:rPr>
        <w:t>Facilities Help Desk Services</w:t>
      </w:r>
    </w:p>
    <w:p w14:paraId="639C6A3D" w14:textId="77777777" w:rsidR="00FA25BF" w:rsidRDefault="00FA25BF" w:rsidP="00D94B11">
      <w:pPr>
        <w:widowControl w:val="0"/>
        <w:numPr>
          <w:ilvl w:val="1"/>
          <w:numId w:val="31"/>
        </w:numPr>
        <w:spacing w:after="0" w:line="20" w:lineRule="atLeast"/>
        <w:contextualSpacing/>
        <w:rPr>
          <w:rFonts w:ascii="Arial" w:eastAsia="Times New Roman" w:hAnsi="Arial" w:cs="Arial"/>
          <w:snapToGrid w:val="0"/>
          <w:sz w:val="24"/>
          <w:szCs w:val="20"/>
        </w:rPr>
      </w:pPr>
      <w:r w:rsidRPr="00754661">
        <w:rPr>
          <w:rFonts w:ascii="Arial" w:eastAsia="Times New Roman" w:hAnsi="Arial" w:cs="Arial"/>
          <w:snapToGrid w:val="0"/>
          <w:sz w:val="24"/>
          <w:szCs w:val="20"/>
        </w:rPr>
        <w:t>This applies to all employees</w:t>
      </w:r>
      <w:r w:rsidRPr="00E86713">
        <w:rPr>
          <w:rFonts w:ascii="Arial" w:eastAsia="Times New Roman" w:hAnsi="Arial" w:cs="Arial"/>
          <w:snapToGrid w:val="0"/>
          <w:sz w:val="24"/>
          <w:szCs w:val="20"/>
        </w:rPr>
        <w:t xml:space="preserve"> required/requested to </w:t>
      </w:r>
      <w:r>
        <w:rPr>
          <w:rFonts w:ascii="Arial" w:eastAsia="Times New Roman" w:hAnsi="Arial" w:cs="Arial"/>
          <w:snapToGrid w:val="0"/>
          <w:sz w:val="24"/>
          <w:szCs w:val="20"/>
        </w:rPr>
        <w:t>submit</w:t>
      </w:r>
      <w:r w:rsidRPr="00E86713">
        <w:rPr>
          <w:rFonts w:ascii="Arial" w:eastAsia="Times New Roman" w:hAnsi="Arial" w:cs="Arial"/>
          <w:snapToGrid w:val="0"/>
          <w:sz w:val="24"/>
          <w:szCs w:val="20"/>
        </w:rPr>
        <w:t xml:space="preserve"> maintenance requests, move and change requests, or to report facility safety concerns.</w:t>
      </w:r>
    </w:p>
    <w:p w14:paraId="02A48878" w14:textId="77777777" w:rsidR="00FA25BF" w:rsidRPr="00E86713" w:rsidRDefault="00FA25BF" w:rsidP="00FA25BF">
      <w:pPr>
        <w:widowControl w:val="0"/>
        <w:spacing w:after="0" w:line="20" w:lineRule="atLeast"/>
        <w:ind w:left="1440"/>
        <w:contextualSpacing/>
        <w:rPr>
          <w:rFonts w:ascii="Arial" w:eastAsia="Times New Roman" w:hAnsi="Arial" w:cs="Arial"/>
          <w:snapToGrid w:val="0"/>
          <w:sz w:val="24"/>
          <w:szCs w:val="20"/>
        </w:rPr>
      </w:pPr>
    </w:p>
    <w:p w14:paraId="7D14230E" w14:textId="77777777" w:rsidR="00FA25BF" w:rsidRPr="00E86713" w:rsidRDefault="00FA25BF" w:rsidP="00D94B11">
      <w:pPr>
        <w:widowControl w:val="0"/>
        <w:numPr>
          <w:ilvl w:val="1"/>
          <w:numId w:val="31"/>
        </w:numPr>
        <w:spacing w:after="0" w:line="20" w:lineRule="atLeast"/>
        <w:contextualSpacing/>
        <w:rPr>
          <w:rFonts w:ascii="Arial" w:eastAsia="Times New Roman" w:hAnsi="Arial" w:cs="Arial"/>
          <w:snapToGrid w:val="0"/>
          <w:sz w:val="24"/>
          <w:szCs w:val="20"/>
        </w:rPr>
      </w:pPr>
      <w:r w:rsidRPr="00E86713">
        <w:rPr>
          <w:rFonts w:ascii="Arial" w:eastAsia="Times New Roman" w:hAnsi="Arial" w:cs="Arial"/>
          <w:snapToGrid w:val="0"/>
          <w:sz w:val="24"/>
          <w:szCs w:val="20"/>
        </w:rPr>
        <w:t>Facility Project Management Practices - Capital and O&amp;M Projects</w:t>
      </w:r>
    </w:p>
    <w:p w14:paraId="0891CA86" w14:textId="77777777" w:rsidR="00FA25BF" w:rsidRDefault="00FA25BF" w:rsidP="00D94B11">
      <w:pPr>
        <w:widowControl w:val="0"/>
        <w:numPr>
          <w:ilvl w:val="2"/>
          <w:numId w:val="31"/>
        </w:numPr>
        <w:spacing w:after="0" w:line="20" w:lineRule="atLeast"/>
        <w:ind w:left="1800"/>
        <w:contextualSpacing/>
        <w:rPr>
          <w:rFonts w:ascii="Arial" w:eastAsia="Times New Roman" w:hAnsi="Arial" w:cs="Arial"/>
          <w:snapToGrid w:val="0"/>
          <w:sz w:val="24"/>
          <w:szCs w:val="20"/>
        </w:rPr>
      </w:pPr>
      <w:r w:rsidRPr="00E86713">
        <w:rPr>
          <w:rFonts w:ascii="Arial" w:eastAsia="Times New Roman" w:hAnsi="Arial" w:cs="Arial"/>
          <w:snapToGrid w:val="0"/>
          <w:sz w:val="24"/>
          <w:szCs w:val="20"/>
        </w:rPr>
        <w:t>This applies to all employees requesting Capital or O&amp;M facility mandatory or maint</w:t>
      </w:r>
      <w:r>
        <w:rPr>
          <w:rFonts w:ascii="Arial" w:eastAsia="Times New Roman" w:hAnsi="Arial" w:cs="Arial"/>
          <w:snapToGrid w:val="0"/>
          <w:sz w:val="24"/>
          <w:szCs w:val="20"/>
        </w:rPr>
        <w:t>enance</w:t>
      </w:r>
      <w:r w:rsidRPr="00E86713">
        <w:rPr>
          <w:rFonts w:ascii="Arial" w:eastAsia="Times New Roman" w:hAnsi="Arial" w:cs="Arial"/>
          <w:snapToGrid w:val="0"/>
          <w:sz w:val="24"/>
          <w:szCs w:val="20"/>
        </w:rPr>
        <w:t xml:space="preserve"> projects, to sustain the operating conditions of their administrative facility.</w:t>
      </w:r>
    </w:p>
    <w:p w14:paraId="5C133997" w14:textId="77777777" w:rsidR="00FA25BF" w:rsidRPr="00E86713" w:rsidRDefault="00FA25BF" w:rsidP="00FA25BF">
      <w:pPr>
        <w:widowControl w:val="0"/>
        <w:spacing w:after="0" w:line="20" w:lineRule="atLeast"/>
        <w:ind w:left="1440"/>
        <w:contextualSpacing/>
        <w:rPr>
          <w:rFonts w:ascii="Arial" w:eastAsia="Times New Roman" w:hAnsi="Arial" w:cs="Arial"/>
          <w:snapToGrid w:val="0"/>
          <w:sz w:val="24"/>
          <w:szCs w:val="20"/>
        </w:rPr>
      </w:pPr>
    </w:p>
    <w:p w14:paraId="6895378F" w14:textId="77777777" w:rsidR="00FA25BF" w:rsidRPr="00E86713" w:rsidRDefault="00FA25BF" w:rsidP="00D94B11">
      <w:pPr>
        <w:widowControl w:val="0"/>
        <w:numPr>
          <w:ilvl w:val="1"/>
          <w:numId w:val="31"/>
        </w:numPr>
        <w:spacing w:after="0" w:line="20" w:lineRule="atLeast"/>
        <w:contextualSpacing/>
        <w:rPr>
          <w:rFonts w:ascii="Arial" w:eastAsia="Times New Roman" w:hAnsi="Arial" w:cs="Arial"/>
          <w:snapToGrid w:val="0"/>
          <w:sz w:val="24"/>
          <w:szCs w:val="20"/>
        </w:rPr>
      </w:pPr>
      <w:r w:rsidRPr="00E86713">
        <w:rPr>
          <w:rFonts w:ascii="Arial" w:eastAsia="Times New Roman" w:hAnsi="Arial" w:cs="Arial"/>
          <w:snapToGrid w:val="0"/>
          <w:sz w:val="24"/>
          <w:szCs w:val="20"/>
        </w:rPr>
        <w:t>Asset Planning</w:t>
      </w:r>
    </w:p>
    <w:p w14:paraId="3F8163C2" w14:textId="77777777" w:rsidR="00FA25BF" w:rsidRDefault="00FA25BF" w:rsidP="00D94B11">
      <w:pPr>
        <w:widowControl w:val="0"/>
        <w:numPr>
          <w:ilvl w:val="2"/>
          <w:numId w:val="31"/>
        </w:numPr>
        <w:spacing w:after="0" w:line="20" w:lineRule="atLeast"/>
        <w:ind w:left="1800"/>
        <w:contextualSpacing/>
        <w:rPr>
          <w:rFonts w:ascii="Arial" w:eastAsia="Times New Roman" w:hAnsi="Arial" w:cs="Arial"/>
          <w:snapToGrid w:val="0"/>
          <w:sz w:val="24"/>
          <w:szCs w:val="20"/>
        </w:rPr>
      </w:pPr>
      <w:r w:rsidRPr="00E86713">
        <w:rPr>
          <w:rFonts w:ascii="Arial" w:eastAsia="Times New Roman" w:hAnsi="Arial" w:cs="Arial"/>
          <w:snapToGrid w:val="0"/>
          <w:sz w:val="24"/>
          <w:szCs w:val="20"/>
        </w:rPr>
        <w:t>This applies to all employees required or requested to contract facility services for decisions regarding space allocation, planning and design and the acquisition (or replacement), use, maintenance and disposal of furniture and appliance assets.</w:t>
      </w:r>
    </w:p>
    <w:p w14:paraId="61DCD826" w14:textId="77777777" w:rsidR="00FA25BF" w:rsidRPr="00E86713" w:rsidRDefault="00FA25BF" w:rsidP="00FA25BF">
      <w:pPr>
        <w:widowControl w:val="0"/>
        <w:spacing w:after="0" w:line="20" w:lineRule="atLeast"/>
        <w:ind w:left="1440"/>
        <w:contextualSpacing/>
        <w:rPr>
          <w:rFonts w:ascii="Arial" w:eastAsia="Times New Roman" w:hAnsi="Arial" w:cs="Arial"/>
          <w:snapToGrid w:val="0"/>
          <w:sz w:val="24"/>
          <w:szCs w:val="20"/>
        </w:rPr>
      </w:pPr>
    </w:p>
    <w:p w14:paraId="705D1F5D" w14:textId="77777777" w:rsidR="00FA25BF" w:rsidRPr="00E86713" w:rsidRDefault="00FA25BF" w:rsidP="00D94B11">
      <w:pPr>
        <w:widowControl w:val="0"/>
        <w:numPr>
          <w:ilvl w:val="1"/>
          <w:numId w:val="31"/>
        </w:numPr>
        <w:spacing w:after="0" w:line="20" w:lineRule="atLeast"/>
        <w:contextualSpacing/>
        <w:rPr>
          <w:rFonts w:ascii="Arial" w:eastAsia="Times New Roman" w:hAnsi="Arial" w:cs="Arial"/>
          <w:snapToGrid w:val="0"/>
          <w:sz w:val="24"/>
          <w:szCs w:val="20"/>
        </w:rPr>
      </w:pPr>
      <w:r w:rsidRPr="00E86713">
        <w:rPr>
          <w:rFonts w:ascii="Arial" w:eastAsia="Times New Roman" w:hAnsi="Arial" w:cs="Arial"/>
          <w:snapToGrid w:val="0"/>
          <w:sz w:val="24"/>
          <w:szCs w:val="20"/>
        </w:rPr>
        <w:t>Storm and Emergency Meal Services</w:t>
      </w:r>
    </w:p>
    <w:p w14:paraId="3F8932C3" w14:textId="77777777" w:rsidR="00FA25BF" w:rsidRPr="00E86713" w:rsidRDefault="00FA25BF" w:rsidP="00D94B11">
      <w:pPr>
        <w:widowControl w:val="0"/>
        <w:numPr>
          <w:ilvl w:val="2"/>
          <w:numId w:val="31"/>
        </w:numPr>
        <w:spacing w:after="0" w:line="20" w:lineRule="atLeast"/>
        <w:ind w:left="1800"/>
        <w:contextualSpacing/>
        <w:rPr>
          <w:rFonts w:ascii="Arial" w:eastAsia="Times New Roman" w:hAnsi="Arial" w:cs="Arial"/>
          <w:snapToGrid w:val="0"/>
          <w:sz w:val="24"/>
          <w:szCs w:val="20"/>
        </w:rPr>
      </w:pPr>
      <w:r w:rsidRPr="00E86713">
        <w:rPr>
          <w:rFonts w:ascii="Arial" w:eastAsia="Times New Roman" w:hAnsi="Arial" w:cs="Arial"/>
          <w:snapToGrid w:val="0"/>
          <w:sz w:val="24"/>
          <w:szCs w:val="20"/>
        </w:rPr>
        <w:t>This policy provides standard facility management practices for food service during storm or other emergency events.</w:t>
      </w:r>
    </w:p>
    <w:p w14:paraId="0D6D45F9" w14:textId="77777777" w:rsidR="00FA25BF" w:rsidRDefault="00FA25BF" w:rsidP="00FA25BF">
      <w:pPr>
        <w:widowControl w:val="0"/>
        <w:spacing w:after="0" w:line="20" w:lineRule="atLeast"/>
        <w:ind w:left="360"/>
        <w:rPr>
          <w:rFonts w:ascii="Arial" w:eastAsia="Times New Roman" w:hAnsi="Arial" w:cs="Arial"/>
          <w:snapToGrid w:val="0"/>
          <w:sz w:val="24"/>
          <w:szCs w:val="20"/>
        </w:rPr>
      </w:pPr>
    </w:p>
    <w:p w14:paraId="342220D9" w14:textId="77777777" w:rsidR="00FA25BF" w:rsidRPr="00E86713" w:rsidRDefault="00FA25BF" w:rsidP="00FA25BF">
      <w:pPr>
        <w:widowControl w:val="0"/>
        <w:spacing w:after="0" w:line="20" w:lineRule="atLeast"/>
        <w:ind w:left="360"/>
        <w:rPr>
          <w:rFonts w:ascii="Arial" w:eastAsia="Times New Roman" w:hAnsi="Arial" w:cs="Arial"/>
          <w:snapToGrid w:val="0"/>
          <w:sz w:val="24"/>
          <w:szCs w:val="20"/>
        </w:rPr>
      </w:pPr>
    </w:p>
    <w:p w14:paraId="1C52F1F0" w14:textId="77777777" w:rsidR="00FA25BF" w:rsidRPr="00E86713" w:rsidRDefault="00FA25BF" w:rsidP="00FA25BF">
      <w:pPr>
        <w:widowControl w:val="0"/>
        <w:spacing w:after="0" w:line="20" w:lineRule="atLeast"/>
        <w:ind w:firstLine="720"/>
        <w:rPr>
          <w:rFonts w:ascii="Arial" w:eastAsia="Times New Roman" w:hAnsi="Arial" w:cs="Arial"/>
          <w:snapToGrid w:val="0"/>
          <w:sz w:val="24"/>
          <w:szCs w:val="20"/>
        </w:rPr>
      </w:pPr>
      <w:r w:rsidRPr="00E86713">
        <w:rPr>
          <w:rFonts w:ascii="Arial" w:eastAsia="Times New Roman" w:hAnsi="Arial" w:cs="Arial"/>
          <w:snapToGrid w:val="0"/>
          <w:sz w:val="24"/>
          <w:szCs w:val="20"/>
        </w:rPr>
        <w:t>FirstEnergy also provided five additional attachments:</w:t>
      </w:r>
    </w:p>
    <w:p w14:paraId="35183425" w14:textId="77777777" w:rsidR="00FA25BF" w:rsidRPr="00E86713" w:rsidRDefault="00FA25BF" w:rsidP="00FA25BF">
      <w:pPr>
        <w:widowControl w:val="0"/>
        <w:spacing w:after="0" w:line="20" w:lineRule="atLeast"/>
        <w:ind w:left="360"/>
        <w:rPr>
          <w:rFonts w:ascii="Arial" w:eastAsia="Times New Roman" w:hAnsi="Arial" w:cs="Arial"/>
          <w:snapToGrid w:val="0"/>
          <w:sz w:val="24"/>
          <w:szCs w:val="20"/>
        </w:rPr>
      </w:pPr>
    </w:p>
    <w:p w14:paraId="7C952C81" w14:textId="77777777" w:rsidR="00FA25BF" w:rsidRPr="0099428A" w:rsidRDefault="00FA25BF" w:rsidP="00D94B11">
      <w:pPr>
        <w:widowControl w:val="0"/>
        <w:numPr>
          <w:ilvl w:val="0"/>
          <w:numId w:val="32"/>
        </w:numPr>
        <w:spacing w:after="0" w:line="20" w:lineRule="atLeast"/>
        <w:contextualSpacing/>
        <w:rPr>
          <w:rFonts w:ascii="Arial" w:eastAsia="Times New Roman" w:hAnsi="Arial" w:cs="Arial"/>
          <w:b/>
          <w:i/>
          <w:snapToGrid w:val="0"/>
          <w:sz w:val="24"/>
          <w:szCs w:val="20"/>
        </w:rPr>
      </w:pPr>
      <w:r w:rsidRPr="0099428A">
        <w:rPr>
          <w:rFonts w:ascii="Arial" w:eastAsia="Times New Roman" w:hAnsi="Arial" w:cs="Arial"/>
          <w:b/>
          <w:i/>
          <w:snapToGrid w:val="0"/>
          <w:sz w:val="24"/>
          <w:szCs w:val="20"/>
        </w:rPr>
        <w:t>Facilities Management – Projects and Repairs</w:t>
      </w:r>
    </w:p>
    <w:p w14:paraId="01D9527E" w14:textId="77777777" w:rsidR="00FA25BF" w:rsidRPr="008956BA" w:rsidRDefault="00FA25BF" w:rsidP="00FD675E">
      <w:pPr>
        <w:widowControl w:val="0"/>
        <w:numPr>
          <w:ilvl w:val="1"/>
          <w:numId w:val="32"/>
        </w:numPr>
        <w:spacing w:after="0" w:line="20" w:lineRule="atLeast"/>
        <w:ind w:left="1440"/>
        <w:contextualSpacing/>
        <w:rPr>
          <w:rFonts w:ascii="Arial" w:eastAsia="Times New Roman" w:hAnsi="Arial" w:cs="Arial"/>
          <w:b/>
          <w:snapToGrid w:val="0"/>
          <w:sz w:val="24"/>
          <w:szCs w:val="20"/>
        </w:rPr>
      </w:pPr>
      <w:r w:rsidRPr="00E86713">
        <w:rPr>
          <w:rFonts w:ascii="Arial" w:eastAsia="Times New Roman" w:hAnsi="Arial" w:cs="Arial"/>
          <w:snapToGrid w:val="0"/>
          <w:sz w:val="24"/>
          <w:szCs w:val="20"/>
        </w:rPr>
        <w:t>This policy provides guidelines for the differentiation between projects and repairs for facility work to assign the correct resources.  When work is necessary that is covered by the Facilities Department, it must be reviewed with the Facilities Department’s site contact to ensure it is assigned appropriately.  The site contact will consider the value of the asset, the intended goal of the work to be performed, the scope of work, the actual result and its impact on the asset’s value, depreciation and equity return.</w:t>
      </w:r>
    </w:p>
    <w:p w14:paraId="093E688B" w14:textId="77777777" w:rsidR="00FA25BF" w:rsidRPr="00BB48FA" w:rsidRDefault="00C459B8" w:rsidP="00BB48FA">
      <w:pPr>
        <w:pStyle w:val="ListParagraph"/>
        <w:numPr>
          <w:ilvl w:val="0"/>
          <w:numId w:val="32"/>
        </w:numPr>
        <w:rPr>
          <w:rFonts w:ascii="Arial" w:eastAsia="Times New Roman" w:hAnsi="Arial" w:cs="Arial"/>
          <w:b/>
          <w:i/>
          <w:snapToGrid w:val="0"/>
          <w:sz w:val="24"/>
          <w:szCs w:val="20"/>
        </w:rPr>
      </w:pPr>
      <w:r w:rsidRPr="00BB48FA">
        <w:rPr>
          <w:rFonts w:ascii="Arial" w:eastAsia="Times New Roman" w:hAnsi="Arial" w:cs="Arial"/>
          <w:b/>
          <w:i/>
          <w:snapToGrid w:val="0"/>
          <w:sz w:val="24"/>
          <w:szCs w:val="20"/>
        </w:rPr>
        <w:br w:type="page"/>
      </w:r>
      <w:r w:rsidR="00FA25BF" w:rsidRPr="00BB48FA">
        <w:rPr>
          <w:rFonts w:ascii="Arial" w:eastAsia="Times New Roman" w:hAnsi="Arial" w:cs="Arial"/>
          <w:b/>
          <w:i/>
          <w:snapToGrid w:val="0"/>
          <w:sz w:val="24"/>
          <w:szCs w:val="20"/>
        </w:rPr>
        <w:t>Corporate Facility Management</w:t>
      </w:r>
    </w:p>
    <w:p w14:paraId="3A3D5BE3" w14:textId="77777777" w:rsidR="00FA25BF" w:rsidRPr="003C7908" w:rsidRDefault="00FA25BF" w:rsidP="00D94B11">
      <w:pPr>
        <w:widowControl w:val="0"/>
        <w:numPr>
          <w:ilvl w:val="1"/>
          <w:numId w:val="32"/>
        </w:numPr>
        <w:spacing w:after="0" w:line="20" w:lineRule="atLeast"/>
        <w:ind w:left="1440"/>
        <w:contextualSpacing/>
        <w:rPr>
          <w:rFonts w:ascii="Arial" w:eastAsia="Times New Roman" w:hAnsi="Arial" w:cs="Arial"/>
          <w:b/>
          <w:snapToGrid w:val="0"/>
          <w:sz w:val="24"/>
          <w:szCs w:val="20"/>
        </w:rPr>
      </w:pPr>
      <w:r w:rsidRPr="00E86713">
        <w:rPr>
          <w:rFonts w:ascii="Arial" w:eastAsia="Times New Roman" w:hAnsi="Arial" w:cs="Arial"/>
          <w:snapToGrid w:val="0"/>
          <w:sz w:val="24"/>
          <w:szCs w:val="20"/>
        </w:rPr>
        <w:t xml:space="preserve">This policy </w:t>
      </w:r>
      <w:r>
        <w:rPr>
          <w:rFonts w:ascii="Arial" w:eastAsia="Times New Roman" w:hAnsi="Arial" w:cs="Arial"/>
          <w:snapToGrid w:val="0"/>
          <w:sz w:val="24"/>
          <w:szCs w:val="20"/>
        </w:rPr>
        <w:t>a</w:t>
      </w:r>
      <w:r w:rsidRPr="003C7908">
        <w:rPr>
          <w:rFonts w:ascii="Arial" w:eastAsia="Times New Roman" w:hAnsi="Arial" w:cs="Arial"/>
          <w:snapToGrid w:val="0"/>
          <w:sz w:val="24"/>
          <w:szCs w:val="20"/>
        </w:rPr>
        <w:t>ssigns financial responsibility by type of work such as Roof Systems, Plumbing and Piping, Communications, Landscaping, etc.  Responsibility can be assigned to Corporate, Business Unit, Information Technology, or Security.</w:t>
      </w:r>
    </w:p>
    <w:p w14:paraId="5EFAF78F" w14:textId="77777777" w:rsidR="00FA25BF" w:rsidRPr="00E86713" w:rsidRDefault="00FA25BF" w:rsidP="00FA25BF">
      <w:pPr>
        <w:widowControl w:val="0"/>
        <w:spacing w:after="0" w:line="20" w:lineRule="atLeast"/>
        <w:ind w:left="720"/>
        <w:contextualSpacing/>
        <w:rPr>
          <w:rFonts w:ascii="Arial" w:eastAsia="Times New Roman" w:hAnsi="Arial" w:cs="Arial"/>
          <w:b/>
          <w:snapToGrid w:val="0"/>
          <w:sz w:val="24"/>
          <w:szCs w:val="20"/>
        </w:rPr>
      </w:pPr>
    </w:p>
    <w:p w14:paraId="5CF80D47" w14:textId="77777777" w:rsidR="00FA25BF" w:rsidRPr="0099428A" w:rsidRDefault="00FA25BF" w:rsidP="00D94B11">
      <w:pPr>
        <w:widowControl w:val="0"/>
        <w:numPr>
          <w:ilvl w:val="0"/>
          <w:numId w:val="32"/>
        </w:numPr>
        <w:spacing w:after="0" w:line="20" w:lineRule="atLeast"/>
        <w:contextualSpacing/>
        <w:rPr>
          <w:rFonts w:ascii="Arial" w:eastAsia="Times New Roman" w:hAnsi="Arial" w:cs="Arial"/>
          <w:b/>
          <w:i/>
          <w:snapToGrid w:val="0"/>
          <w:sz w:val="24"/>
          <w:szCs w:val="20"/>
        </w:rPr>
      </w:pPr>
      <w:r w:rsidRPr="0099428A">
        <w:rPr>
          <w:rFonts w:ascii="Arial" w:eastAsia="Times New Roman" w:hAnsi="Arial" w:cs="Arial"/>
          <w:b/>
          <w:i/>
          <w:snapToGrid w:val="0"/>
          <w:sz w:val="24"/>
          <w:szCs w:val="20"/>
        </w:rPr>
        <w:t>Utilities Facility Management</w:t>
      </w:r>
    </w:p>
    <w:p w14:paraId="33223EF3" w14:textId="77777777" w:rsidR="00FA25BF" w:rsidRPr="003C7908" w:rsidRDefault="00FA25BF" w:rsidP="00D94B11">
      <w:pPr>
        <w:widowControl w:val="0"/>
        <w:numPr>
          <w:ilvl w:val="1"/>
          <w:numId w:val="32"/>
        </w:numPr>
        <w:spacing w:after="0" w:line="20" w:lineRule="atLeast"/>
        <w:ind w:left="1440"/>
        <w:contextualSpacing/>
        <w:rPr>
          <w:rFonts w:ascii="Arial" w:eastAsia="Times New Roman" w:hAnsi="Arial" w:cs="Arial"/>
          <w:b/>
          <w:snapToGrid w:val="0"/>
          <w:sz w:val="24"/>
          <w:szCs w:val="20"/>
        </w:rPr>
      </w:pPr>
      <w:r w:rsidRPr="00E86713">
        <w:rPr>
          <w:rFonts w:ascii="Arial" w:eastAsia="Times New Roman" w:hAnsi="Arial" w:cs="Arial"/>
          <w:snapToGrid w:val="0"/>
          <w:sz w:val="24"/>
          <w:szCs w:val="20"/>
        </w:rPr>
        <w:t xml:space="preserve">This policy </w:t>
      </w:r>
      <w:r>
        <w:rPr>
          <w:rFonts w:ascii="Arial" w:eastAsia="Times New Roman" w:hAnsi="Arial" w:cs="Arial"/>
          <w:snapToGrid w:val="0"/>
          <w:sz w:val="24"/>
          <w:szCs w:val="20"/>
        </w:rPr>
        <w:t>a</w:t>
      </w:r>
      <w:r w:rsidRPr="003C7908">
        <w:rPr>
          <w:rFonts w:ascii="Arial" w:eastAsia="Times New Roman" w:hAnsi="Arial" w:cs="Arial"/>
          <w:snapToGrid w:val="0"/>
          <w:sz w:val="24"/>
          <w:szCs w:val="20"/>
        </w:rPr>
        <w:t>ssigns financial responsibility by type of work such as Building Structure, Fire Protection Systems, Site Earthwork, etc.  Responsibility can be assigned to Corporate, FirstEnergy Utilities, Security, etc.</w:t>
      </w:r>
    </w:p>
    <w:p w14:paraId="43D5C82B" w14:textId="77777777" w:rsidR="00FA25BF" w:rsidRPr="00E86713" w:rsidRDefault="00FA25BF" w:rsidP="00FA25BF">
      <w:pPr>
        <w:widowControl w:val="0"/>
        <w:spacing w:after="0" w:line="20" w:lineRule="atLeast"/>
        <w:ind w:left="720"/>
        <w:contextualSpacing/>
        <w:rPr>
          <w:rFonts w:ascii="Arial" w:eastAsia="Times New Roman" w:hAnsi="Arial" w:cs="Arial"/>
          <w:b/>
          <w:snapToGrid w:val="0"/>
          <w:sz w:val="24"/>
          <w:szCs w:val="20"/>
        </w:rPr>
      </w:pPr>
    </w:p>
    <w:p w14:paraId="7B6CF5EE" w14:textId="77777777" w:rsidR="00FA25BF" w:rsidRDefault="00FA25BF" w:rsidP="00D94B11">
      <w:pPr>
        <w:widowControl w:val="0"/>
        <w:numPr>
          <w:ilvl w:val="0"/>
          <w:numId w:val="32"/>
        </w:numPr>
        <w:spacing w:after="0" w:line="20" w:lineRule="atLeast"/>
        <w:contextualSpacing/>
        <w:rPr>
          <w:rFonts w:ascii="Arial" w:eastAsia="Times New Roman" w:hAnsi="Arial" w:cs="Arial"/>
          <w:snapToGrid w:val="0"/>
          <w:sz w:val="24"/>
          <w:szCs w:val="20"/>
        </w:rPr>
      </w:pPr>
      <w:r w:rsidRPr="0099428A">
        <w:rPr>
          <w:rFonts w:ascii="Arial" w:eastAsia="Times New Roman" w:hAnsi="Arial" w:cs="Arial"/>
          <w:b/>
          <w:i/>
          <w:snapToGrid w:val="0"/>
          <w:sz w:val="24"/>
          <w:szCs w:val="20"/>
        </w:rPr>
        <w:t>FirstEnergy Corp. Workplace Standards</w:t>
      </w:r>
      <w:r w:rsidRPr="00E86713">
        <w:rPr>
          <w:rFonts w:ascii="Arial" w:eastAsia="Times New Roman" w:hAnsi="Arial" w:cs="Arial"/>
          <w:b/>
          <w:snapToGrid w:val="0"/>
          <w:sz w:val="24"/>
          <w:szCs w:val="20"/>
        </w:rPr>
        <w:t xml:space="preserve"> </w:t>
      </w:r>
      <w:r w:rsidRPr="00E86713">
        <w:rPr>
          <w:rFonts w:ascii="Arial" w:eastAsia="Times New Roman" w:hAnsi="Arial" w:cs="Arial"/>
          <w:snapToGrid w:val="0"/>
          <w:sz w:val="24"/>
          <w:szCs w:val="20"/>
        </w:rPr>
        <w:t>(dated September 13, 2010)</w:t>
      </w:r>
    </w:p>
    <w:p w14:paraId="1E23A346" w14:textId="77777777" w:rsidR="00FA25BF" w:rsidRPr="00E86713" w:rsidRDefault="00FA25BF" w:rsidP="00D94B11">
      <w:pPr>
        <w:widowControl w:val="0"/>
        <w:numPr>
          <w:ilvl w:val="1"/>
          <w:numId w:val="32"/>
        </w:numPr>
        <w:spacing w:after="0" w:line="20" w:lineRule="atLeast"/>
        <w:ind w:left="1440"/>
        <w:contextualSpacing/>
        <w:rPr>
          <w:rFonts w:ascii="Arial" w:eastAsia="Times New Roman" w:hAnsi="Arial" w:cs="Arial"/>
          <w:i/>
          <w:snapToGrid w:val="0"/>
          <w:sz w:val="24"/>
          <w:szCs w:val="20"/>
        </w:rPr>
      </w:pPr>
      <w:r w:rsidRPr="00E86713">
        <w:rPr>
          <w:rFonts w:ascii="Arial" w:eastAsia="Times New Roman" w:hAnsi="Arial" w:cs="Arial"/>
          <w:sz w:val="24"/>
          <w:szCs w:val="24"/>
        </w:rPr>
        <w:t>To provide F</w:t>
      </w:r>
      <w:r>
        <w:rPr>
          <w:rFonts w:ascii="Arial" w:eastAsia="Times New Roman" w:hAnsi="Arial" w:cs="Arial"/>
          <w:sz w:val="24"/>
          <w:szCs w:val="24"/>
        </w:rPr>
        <w:t>irst</w:t>
      </w:r>
      <w:r w:rsidRPr="00E86713">
        <w:rPr>
          <w:rFonts w:ascii="Arial" w:eastAsia="Times New Roman" w:hAnsi="Arial" w:cs="Arial"/>
          <w:sz w:val="24"/>
          <w:szCs w:val="24"/>
        </w:rPr>
        <w:t>E</w:t>
      </w:r>
      <w:r>
        <w:rPr>
          <w:rFonts w:ascii="Arial" w:eastAsia="Times New Roman" w:hAnsi="Arial" w:cs="Arial"/>
          <w:sz w:val="24"/>
          <w:szCs w:val="24"/>
        </w:rPr>
        <w:t>nergy</w:t>
      </w:r>
      <w:r w:rsidRPr="00E86713">
        <w:rPr>
          <w:rFonts w:ascii="Arial" w:eastAsia="Times New Roman" w:hAnsi="Arial" w:cs="Arial"/>
          <w:sz w:val="24"/>
          <w:szCs w:val="24"/>
        </w:rPr>
        <w:t xml:space="preserve"> employees with a safe, well designed and ergonomically supported work environment.  This standardized office environment reduces costs and increases efficiency in the management of real estate.  To meet these needs, F</w:t>
      </w:r>
      <w:r>
        <w:rPr>
          <w:rFonts w:ascii="Arial" w:eastAsia="Times New Roman" w:hAnsi="Arial" w:cs="Arial"/>
          <w:sz w:val="24"/>
          <w:szCs w:val="24"/>
        </w:rPr>
        <w:t>irst</w:t>
      </w:r>
      <w:r w:rsidRPr="00E86713">
        <w:rPr>
          <w:rFonts w:ascii="Arial" w:eastAsia="Times New Roman" w:hAnsi="Arial" w:cs="Arial"/>
          <w:sz w:val="24"/>
          <w:szCs w:val="24"/>
        </w:rPr>
        <w:t>E</w:t>
      </w:r>
      <w:r>
        <w:rPr>
          <w:rFonts w:ascii="Arial" w:eastAsia="Times New Roman" w:hAnsi="Arial" w:cs="Arial"/>
          <w:sz w:val="24"/>
          <w:szCs w:val="24"/>
        </w:rPr>
        <w:t>nergy</w:t>
      </w:r>
      <w:r w:rsidRPr="00E86713">
        <w:rPr>
          <w:rFonts w:ascii="Arial" w:eastAsia="Times New Roman" w:hAnsi="Arial" w:cs="Arial"/>
          <w:sz w:val="24"/>
          <w:szCs w:val="24"/>
        </w:rPr>
        <w:t xml:space="preserve"> has approved guidelines for workspace sizes, furniture and equipment to maintain a corporate</w:t>
      </w:r>
      <w:r>
        <w:rPr>
          <w:rFonts w:ascii="Arial" w:eastAsia="Times New Roman" w:hAnsi="Arial" w:cs="Arial"/>
          <w:sz w:val="24"/>
          <w:szCs w:val="24"/>
        </w:rPr>
        <w:noBreakHyphen/>
      </w:r>
      <w:r w:rsidRPr="00E86713">
        <w:rPr>
          <w:rFonts w:ascii="Arial" w:eastAsia="Times New Roman" w:hAnsi="Arial" w:cs="Arial"/>
          <w:sz w:val="24"/>
          <w:szCs w:val="24"/>
        </w:rPr>
        <w:t>wide, consistent approach to cost, quality, design and health/ safety issues.</w:t>
      </w:r>
    </w:p>
    <w:p w14:paraId="583B78FD" w14:textId="77777777" w:rsidR="00FA25BF" w:rsidRPr="00E86713" w:rsidRDefault="00FA25BF" w:rsidP="00FA25BF">
      <w:pPr>
        <w:widowControl w:val="0"/>
        <w:spacing w:after="0" w:line="20" w:lineRule="atLeast"/>
        <w:ind w:left="720"/>
        <w:contextualSpacing/>
        <w:rPr>
          <w:rFonts w:ascii="Arial" w:eastAsia="Times New Roman" w:hAnsi="Arial" w:cs="Arial"/>
          <w:snapToGrid w:val="0"/>
          <w:sz w:val="24"/>
          <w:szCs w:val="20"/>
        </w:rPr>
      </w:pPr>
    </w:p>
    <w:p w14:paraId="7C9D6377" w14:textId="77777777" w:rsidR="00733683" w:rsidRPr="00AC64F1" w:rsidRDefault="00FA25BF" w:rsidP="00733683">
      <w:pPr>
        <w:widowControl w:val="0"/>
        <w:numPr>
          <w:ilvl w:val="0"/>
          <w:numId w:val="32"/>
        </w:numPr>
        <w:spacing w:after="0" w:line="20" w:lineRule="atLeast"/>
        <w:contextualSpacing/>
        <w:rPr>
          <w:rFonts w:ascii="Arial" w:eastAsia="Times New Roman" w:hAnsi="Arial" w:cs="Arial"/>
          <w:b/>
          <w:i/>
          <w:snapToGrid w:val="0"/>
          <w:sz w:val="24"/>
          <w:szCs w:val="20"/>
        </w:rPr>
      </w:pPr>
      <w:r w:rsidRPr="00AC64F1">
        <w:rPr>
          <w:rFonts w:ascii="Arial" w:eastAsia="Times New Roman" w:hAnsi="Arial" w:cs="Arial"/>
          <w:b/>
          <w:i/>
          <w:snapToGrid w:val="0"/>
          <w:sz w:val="24"/>
          <w:szCs w:val="20"/>
        </w:rPr>
        <w:t>Mail Services</w:t>
      </w:r>
    </w:p>
    <w:p w14:paraId="3CFDB91A" w14:textId="77777777" w:rsidR="00733683" w:rsidRPr="00FD675E" w:rsidRDefault="00733683" w:rsidP="003A3901">
      <w:pPr>
        <w:widowControl w:val="0"/>
        <w:numPr>
          <w:ilvl w:val="1"/>
          <w:numId w:val="32"/>
        </w:numPr>
        <w:tabs>
          <w:tab w:val="left" w:pos="1440"/>
        </w:tabs>
        <w:spacing w:after="0" w:line="20" w:lineRule="atLeast"/>
        <w:ind w:left="1440"/>
        <w:contextualSpacing/>
        <w:rPr>
          <w:rFonts w:ascii="Arial" w:eastAsia="Times New Roman" w:hAnsi="Arial" w:cs="Arial"/>
          <w:snapToGrid w:val="0"/>
          <w:sz w:val="24"/>
          <w:szCs w:val="20"/>
        </w:rPr>
      </w:pPr>
      <w:r w:rsidRPr="00FD675E">
        <w:rPr>
          <w:rFonts w:ascii="Arial" w:eastAsia="Times New Roman" w:hAnsi="Arial" w:cs="Arial"/>
          <w:snapToGrid w:val="0"/>
          <w:sz w:val="24"/>
          <w:szCs w:val="20"/>
        </w:rPr>
        <w:t xml:space="preserve">To provide consistent practices for corporate-wide mail services such as </w:t>
      </w:r>
      <w:r w:rsidR="00BD4F1D" w:rsidRPr="00FD675E">
        <w:rPr>
          <w:rFonts w:ascii="Arial" w:eastAsia="Times New Roman" w:hAnsi="Arial" w:cs="Arial"/>
          <w:snapToGrid w:val="0"/>
          <w:sz w:val="24"/>
          <w:szCs w:val="20"/>
        </w:rPr>
        <w:t xml:space="preserve">overnight delivery via courier, UPS World Ship for service to locations not </w:t>
      </w:r>
      <w:r w:rsidR="003B4374" w:rsidRPr="00FD675E">
        <w:rPr>
          <w:rFonts w:ascii="Arial" w:eastAsia="Times New Roman" w:hAnsi="Arial" w:cs="Arial"/>
          <w:snapToGrid w:val="0"/>
          <w:sz w:val="24"/>
          <w:szCs w:val="20"/>
        </w:rPr>
        <w:t>accessible</w:t>
      </w:r>
      <w:r w:rsidR="00BD4F1D" w:rsidRPr="00FD675E">
        <w:rPr>
          <w:rFonts w:ascii="Arial" w:eastAsia="Times New Roman" w:hAnsi="Arial" w:cs="Arial"/>
          <w:snapToGrid w:val="0"/>
          <w:sz w:val="24"/>
          <w:szCs w:val="20"/>
        </w:rPr>
        <w:t xml:space="preserve"> by courier, and U.S. mail for both first class, pre-sort and permit mail.</w:t>
      </w:r>
    </w:p>
    <w:p w14:paraId="6CB2F16F" w14:textId="77777777" w:rsidR="00FA25BF" w:rsidRPr="00E86713" w:rsidRDefault="00FA25BF" w:rsidP="00FA25BF">
      <w:pPr>
        <w:widowControl w:val="0"/>
        <w:spacing w:after="0" w:line="20" w:lineRule="atLeast"/>
        <w:rPr>
          <w:rFonts w:ascii="Arial" w:eastAsia="Times New Roman" w:hAnsi="Arial" w:cs="Arial"/>
          <w:snapToGrid w:val="0"/>
          <w:sz w:val="24"/>
          <w:szCs w:val="20"/>
        </w:rPr>
      </w:pPr>
    </w:p>
    <w:p w14:paraId="27E52B1C" w14:textId="77777777" w:rsidR="00FA25BF" w:rsidRDefault="00FA25BF" w:rsidP="00FA25BF">
      <w:pPr>
        <w:widowControl w:val="0"/>
        <w:spacing w:after="0" w:line="20" w:lineRule="atLeast"/>
        <w:rPr>
          <w:rFonts w:ascii="Arial" w:eastAsia="Times New Roman" w:hAnsi="Arial" w:cs="Arial"/>
          <w:snapToGrid w:val="0"/>
          <w:sz w:val="24"/>
          <w:szCs w:val="20"/>
        </w:rPr>
      </w:pPr>
    </w:p>
    <w:p w14:paraId="1DB38759" w14:textId="77777777" w:rsidR="00FA25BF" w:rsidRDefault="00FA25BF" w:rsidP="00FA25BF">
      <w:pPr>
        <w:widowControl w:val="0"/>
        <w:spacing w:after="0" w:line="20" w:lineRule="atLeast"/>
        <w:ind w:firstLine="720"/>
        <w:rPr>
          <w:rFonts w:ascii="Arial" w:eastAsia="Times New Roman" w:hAnsi="Arial" w:cs="Arial"/>
          <w:snapToGrid w:val="0"/>
          <w:sz w:val="24"/>
          <w:szCs w:val="20"/>
        </w:rPr>
      </w:pPr>
      <w:r>
        <w:rPr>
          <w:rFonts w:ascii="Arial" w:eastAsia="Times New Roman" w:hAnsi="Arial" w:cs="Arial"/>
          <w:snapToGrid w:val="0"/>
          <w:sz w:val="24"/>
          <w:szCs w:val="20"/>
        </w:rPr>
        <w:t>FirstEnergy has established written policies and procedures to assure consistent business practices between corporate and regional facilities managers.</w:t>
      </w:r>
    </w:p>
    <w:p w14:paraId="0B5C2153" w14:textId="77777777" w:rsidR="00FA25BF" w:rsidRPr="00E86713" w:rsidRDefault="00FA25BF" w:rsidP="00FA25BF">
      <w:pPr>
        <w:widowControl w:val="0"/>
        <w:spacing w:after="0" w:line="20" w:lineRule="atLeast"/>
        <w:ind w:firstLine="720"/>
        <w:rPr>
          <w:rFonts w:ascii="Arial" w:eastAsia="Times New Roman" w:hAnsi="Arial" w:cs="Arial"/>
          <w:snapToGrid w:val="0"/>
          <w:sz w:val="24"/>
          <w:szCs w:val="20"/>
        </w:rPr>
      </w:pPr>
    </w:p>
    <w:p w14:paraId="68772546" w14:textId="77777777" w:rsidR="00FA25BF" w:rsidRPr="005E02B0" w:rsidRDefault="00FA25BF" w:rsidP="00FA25BF">
      <w:pPr>
        <w:spacing w:after="0" w:line="20" w:lineRule="atLeast"/>
        <w:jc w:val="both"/>
        <w:rPr>
          <w:rFonts w:ascii="Arial" w:hAnsi="Arial" w:cs="Arial"/>
          <w:b/>
          <w:sz w:val="24"/>
          <w:szCs w:val="24"/>
        </w:rPr>
      </w:pPr>
      <w:r w:rsidRPr="00C208C1">
        <w:rPr>
          <w:rFonts w:ascii="Arial" w:eastAsia="Times New Roman" w:hAnsi="Arial" w:cs="Arial"/>
          <w:b/>
          <w:snapToGrid w:val="0"/>
          <w:sz w:val="24"/>
          <w:szCs w:val="20"/>
          <w:u w:val="single"/>
        </w:rPr>
        <w:t>Follow-up Recommendation</w:t>
      </w:r>
      <w:r w:rsidRPr="00C208C1">
        <w:rPr>
          <w:rFonts w:ascii="Arial" w:eastAsia="Times New Roman" w:hAnsi="Arial" w:cs="Arial"/>
          <w:b/>
          <w:snapToGrid w:val="0"/>
          <w:sz w:val="24"/>
          <w:szCs w:val="20"/>
        </w:rPr>
        <w:t xml:space="preserve"> – </w:t>
      </w:r>
      <w:r w:rsidRPr="00B910D4">
        <w:rPr>
          <w:rFonts w:ascii="Arial" w:hAnsi="Arial" w:cs="Arial"/>
          <w:b/>
          <w:sz w:val="24"/>
          <w:szCs w:val="24"/>
        </w:rPr>
        <w:t>None</w:t>
      </w:r>
    </w:p>
    <w:p w14:paraId="3DDDCA24" w14:textId="77777777" w:rsidR="00FA25BF" w:rsidRDefault="00FA25BF">
      <w:pPr>
        <w:rPr>
          <w:rFonts w:ascii="Arial" w:hAnsi="Arial" w:cs="Arial"/>
          <w:sz w:val="24"/>
          <w:szCs w:val="24"/>
        </w:rPr>
      </w:pPr>
      <w:r>
        <w:rPr>
          <w:rFonts w:ascii="Arial" w:hAnsi="Arial" w:cs="Arial"/>
          <w:sz w:val="24"/>
          <w:szCs w:val="24"/>
        </w:rPr>
        <w:br w:type="page"/>
      </w:r>
    </w:p>
    <w:p w14:paraId="2F2D1351" w14:textId="77777777" w:rsidR="00FA25BF" w:rsidRDefault="00FA25BF" w:rsidP="00FA25BF">
      <w:pPr>
        <w:spacing w:after="0" w:line="240" w:lineRule="auto"/>
        <w:jc w:val="center"/>
        <w:rPr>
          <w:rFonts w:ascii="Arial" w:hAnsi="Arial" w:cs="Arial"/>
          <w:sz w:val="24"/>
          <w:szCs w:val="24"/>
        </w:rPr>
      </w:pPr>
      <w:r>
        <w:rPr>
          <w:rFonts w:ascii="Arial" w:hAnsi="Arial" w:cs="Arial"/>
          <w:b/>
          <w:sz w:val="26"/>
          <w:szCs w:val="26"/>
        </w:rPr>
        <w:t>XIV.  ACKNOWLEDGEMENTS</w:t>
      </w:r>
    </w:p>
    <w:p w14:paraId="6F4AE204" w14:textId="77777777" w:rsidR="00FA25BF" w:rsidRDefault="00FA25BF" w:rsidP="00FA25BF">
      <w:pPr>
        <w:spacing w:after="0" w:line="240" w:lineRule="auto"/>
        <w:jc w:val="both"/>
        <w:rPr>
          <w:rFonts w:ascii="Arial" w:hAnsi="Arial" w:cs="Arial"/>
          <w:b/>
          <w:sz w:val="24"/>
          <w:szCs w:val="24"/>
        </w:rPr>
      </w:pPr>
    </w:p>
    <w:p w14:paraId="26CDA5C2" w14:textId="77777777" w:rsidR="00FA25BF" w:rsidRDefault="00FA25BF" w:rsidP="00FA25BF">
      <w:pPr>
        <w:spacing w:after="0" w:line="240" w:lineRule="auto"/>
        <w:jc w:val="both"/>
        <w:rPr>
          <w:rFonts w:ascii="Arial" w:hAnsi="Arial" w:cs="Arial"/>
          <w:b/>
          <w:sz w:val="24"/>
          <w:szCs w:val="24"/>
        </w:rPr>
      </w:pPr>
    </w:p>
    <w:p w14:paraId="3A5CCDBB" w14:textId="77777777" w:rsidR="00FA25BF" w:rsidRDefault="00FA25BF" w:rsidP="00FA25BF">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We wish to express our appreciation for the cooperation and assistance </w:t>
      </w:r>
      <w:r w:rsidRPr="00AC73FC">
        <w:rPr>
          <w:rFonts w:ascii="Arial" w:hAnsi="Arial" w:cs="Arial"/>
          <w:sz w:val="24"/>
          <w:szCs w:val="24"/>
        </w:rPr>
        <w:t xml:space="preserve">provided </w:t>
      </w:r>
      <w:r>
        <w:rPr>
          <w:rFonts w:ascii="Arial" w:hAnsi="Arial" w:cs="Arial"/>
          <w:sz w:val="24"/>
          <w:szCs w:val="24"/>
        </w:rPr>
        <w:t xml:space="preserve">by the officers and staff of FirstEnergy </w:t>
      </w:r>
      <w:r w:rsidRPr="00AC73FC">
        <w:rPr>
          <w:rFonts w:ascii="Arial" w:hAnsi="Arial" w:cs="Arial"/>
          <w:sz w:val="24"/>
          <w:szCs w:val="24"/>
        </w:rPr>
        <w:t>during this Management Efficiency Investigation</w:t>
      </w:r>
      <w:r>
        <w:rPr>
          <w:rFonts w:ascii="Arial" w:hAnsi="Arial" w:cs="Arial"/>
          <w:sz w:val="24"/>
          <w:szCs w:val="24"/>
        </w:rPr>
        <w:t>.</w:t>
      </w:r>
    </w:p>
    <w:p w14:paraId="154D5900" w14:textId="77777777" w:rsidR="00FA25BF" w:rsidRDefault="00FA25BF" w:rsidP="00FA25BF">
      <w:pPr>
        <w:autoSpaceDE w:val="0"/>
        <w:autoSpaceDN w:val="0"/>
        <w:adjustRightInd w:val="0"/>
        <w:spacing w:after="0" w:line="240" w:lineRule="auto"/>
        <w:rPr>
          <w:rFonts w:ascii="Arial" w:hAnsi="Arial" w:cs="Arial"/>
          <w:sz w:val="24"/>
          <w:szCs w:val="24"/>
        </w:rPr>
      </w:pPr>
    </w:p>
    <w:p w14:paraId="535C1536" w14:textId="77777777" w:rsidR="00FA25BF" w:rsidRPr="005A7251" w:rsidRDefault="00FA25BF" w:rsidP="00FA25BF">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This audit was conducted by Craig Bilecki, Bryan Borres, Timothy Kerestes, and Eric McKeever of the Management Audit Division of the </w:t>
      </w:r>
      <w:r w:rsidR="009073B2">
        <w:rPr>
          <w:rFonts w:ascii="Arial" w:hAnsi="Arial" w:cs="Arial"/>
          <w:sz w:val="24"/>
          <w:szCs w:val="24"/>
        </w:rPr>
        <w:t xml:space="preserve">PUC </w:t>
      </w:r>
      <w:r>
        <w:rPr>
          <w:rFonts w:ascii="Arial" w:hAnsi="Arial" w:cs="Arial"/>
          <w:sz w:val="24"/>
          <w:szCs w:val="24"/>
        </w:rPr>
        <w:t xml:space="preserve">Bureau of Audits.  </w:t>
      </w:r>
    </w:p>
    <w:sectPr w:rsidR="00FA25BF" w:rsidRPr="005A7251" w:rsidSect="00FB756A">
      <w:headerReference w:type="even" r:id="rId75"/>
      <w:headerReference w:type="default" r:id="rId76"/>
      <w:footerReference w:type="default" r:id="rId77"/>
      <w:headerReference w:type="first" r:id="rId78"/>
      <w:type w:val="continuous"/>
      <w:pgSz w:w="12240" w:h="15840" w:code="1"/>
      <w:pgMar w:top="1440" w:right="1440" w:bottom="1008"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083B1" w14:textId="77777777" w:rsidR="00517526" w:rsidRDefault="00517526" w:rsidP="009536CA">
      <w:pPr>
        <w:spacing w:after="0" w:line="240" w:lineRule="auto"/>
      </w:pPr>
      <w:r>
        <w:separator/>
      </w:r>
    </w:p>
  </w:endnote>
  <w:endnote w:type="continuationSeparator" w:id="0">
    <w:p w14:paraId="6784D5C2" w14:textId="77777777" w:rsidR="00517526" w:rsidRDefault="00517526" w:rsidP="0095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7633" w14:textId="77777777" w:rsidR="00B8682A" w:rsidRDefault="00B8682A" w:rsidP="000174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E54F2E" w14:textId="77777777" w:rsidR="00B8682A" w:rsidRDefault="00B8682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742508"/>
      <w:docPartObj>
        <w:docPartGallery w:val="Page Numbers (Bottom of Page)"/>
        <w:docPartUnique/>
      </w:docPartObj>
    </w:sdtPr>
    <w:sdtEndPr>
      <w:rPr>
        <w:noProof/>
      </w:rPr>
    </w:sdtEndPr>
    <w:sdtContent>
      <w:p w14:paraId="5700B6D6" w14:textId="1DD16F95" w:rsidR="00B8682A" w:rsidRPr="00AC73FC" w:rsidRDefault="00B8682A" w:rsidP="009237DD">
        <w:pPr>
          <w:pStyle w:val="Footer"/>
          <w:jc w:val="center"/>
        </w:pPr>
        <w:r>
          <w:fldChar w:fldCharType="begin"/>
        </w:r>
        <w:r>
          <w:instrText xml:space="preserve"> PAGE   \* MERGEFORMAT </w:instrText>
        </w:r>
        <w:r>
          <w:fldChar w:fldCharType="separate"/>
        </w:r>
        <w:r w:rsidR="00807EBA">
          <w:rPr>
            <w:noProof/>
          </w:rPr>
          <w:t>- 8 -</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808776"/>
      <w:docPartObj>
        <w:docPartGallery w:val="Page Numbers (Bottom of Page)"/>
        <w:docPartUnique/>
      </w:docPartObj>
    </w:sdtPr>
    <w:sdtEndPr>
      <w:rPr>
        <w:noProof/>
      </w:rPr>
    </w:sdtEndPr>
    <w:sdtContent>
      <w:p w14:paraId="136F2334" w14:textId="5EA02646" w:rsidR="00B8682A" w:rsidRDefault="00B8682A" w:rsidP="009237DD">
        <w:pPr>
          <w:pStyle w:val="Footer"/>
          <w:jc w:val="center"/>
        </w:pPr>
        <w:r>
          <w:fldChar w:fldCharType="begin"/>
        </w:r>
        <w:r>
          <w:instrText xml:space="preserve"> PAGE   \* MERGEFORMAT </w:instrText>
        </w:r>
        <w:r>
          <w:fldChar w:fldCharType="separate"/>
        </w:r>
        <w:r w:rsidR="00807EBA">
          <w:rPr>
            <w:noProof/>
          </w:rPr>
          <w:t>- 9 -</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497550"/>
      <w:docPartObj>
        <w:docPartGallery w:val="Page Numbers (Bottom of Page)"/>
        <w:docPartUnique/>
      </w:docPartObj>
    </w:sdtPr>
    <w:sdtEndPr>
      <w:rPr>
        <w:noProof/>
      </w:rPr>
    </w:sdtEndPr>
    <w:sdtContent>
      <w:p w14:paraId="2420A0B5" w14:textId="195326F8" w:rsidR="00B8682A" w:rsidRDefault="00B8682A" w:rsidP="009237DD">
        <w:pPr>
          <w:pStyle w:val="Footer"/>
          <w:jc w:val="center"/>
        </w:pPr>
        <w:r>
          <w:fldChar w:fldCharType="begin"/>
        </w:r>
        <w:r>
          <w:instrText xml:space="preserve"> PAGE   \* MERGEFORMAT </w:instrText>
        </w:r>
        <w:r>
          <w:fldChar w:fldCharType="separate"/>
        </w:r>
        <w:r w:rsidR="00807EBA">
          <w:rPr>
            <w:noProof/>
          </w:rPr>
          <w:t>- 10 -</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531120"/>
      <w:docPartObj>
        <w:docPartGallery w:val="Page Numbers (Bottom of Page)"/>
        <w:docPartUnique/>
      </w:docPartObj>
    </w:sdtPr>
    <w:sdtEndPr>
      <w:rPr>
        <w:rFonts w:ascii="Arial" w:hAnsi="Arial" w:cs="Arial"/>
        <w:noProof/>
      </w:rPr>
    </w:sdtEndPr>
    <w:sdtContent>
      <w:p w14:paraId="6C224200" w14:textId="2FA432B0" w:rsidR="00B8682A" w:rsidRDefault="00B8682A" w:rsidP="0045410E">
        <w:pPr>
          <w:pStyle w:val="Footer"/>
          <w:jc w:val="center"/>
        </w:pPr>
        <w:r w:rsidRPr="0045410E">
          <w:rPr>
            <w:rFonts w:ascii="Arial" w:hAnsi="Arial" w:cs="Arial"/>
          </w:rPr>
          <w:fldChar w:fldCharType="begin"/>
        </w:r>
        <w:r w:rsidRPr="0045410E">
          <w:rPr>
            <w:rFonts w:ascii="Arial" w:hAnsi="Arial" w:cs="Arial"/>
          </w:rPr>
          <w:instrText xml:space="preserve"> PAGE   \* MERGEFORMAT </w:instrText>
        </w:r>
        <w:r w:rsidRPr="0045410E">
          <w:rPr>
            <w:rFonts w:ascii="Arial" w:hAnsi="Arial" w:cs="Arial"/>
          </w:rPr>
          <w:fldChar w:fldCharType="separate"/>
        </w:r>
        <w:r w:rsidR="00807EBA">
          <w:rPr>
            <w:rFonts w:ascii="Arial" w:hAnsi="Arial" w:cs="Arial"/>
            <w:noProof/>
          </w:rPr>
          <w:t>- 13 -</w:t>
        </w:r>
        <w:r w:rsidRPr="0045410E">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4ABEC" w14:textId="167FB503" w:rsidR="00B8682A" w:rsidRDefault="00B8682A" w:rsidP="000174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44D455C0" w14:textId="77777777" w:rsidR="00B8682A" w:rsidRPr="00AB6524" w:rsidRDefault="00B8682A" w:rsidP="00017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AE0A6" w14:textId="77777777" w:rsidR="00B8682A" w:rsidRDefault="00B8682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81269"/>
      <w:docPartObj>
        <w:docPartGallery w:val="Page Numbers (Bottom of Page)"/>
        <w:docPartUnique/>
      </w:docPartObj>
    </w:sdtPr>
    <w:sdtEndPr>
      <w:rPr>
        <w:noProof/>
      </w:rPr>
    </w:sdtEndPr>
    <w:sdtContent>
      <w:p w14:paraId="3F61AAE7" w14:textId="7B682EBF" w:rsidR="00B8682A" w:rsidRPr="00AC73FC" w:rsidRDefault="00B8682A" w:rsidP="00AA4E25">
        <w:pPr>
          <w:pStyle w:val="Footer"/>
          <w:jc w:val="center"/>
        </w:pPr>
        <w:r>
          <w:fldChar w:fldCharType="begin"/>
        </w:r>
        <w:r>
          <w:instrText xml:space="preserve"> PAGE   \* MERGEFORMAT </w:instrText>
        </w:r>
        <w:r>
          <w:fldChar w:fldCharType="separate"/>
        </w:r>
        <w:r w:rsidR="00807EBA">
          <w:rPr>
            <w:noProof/>
          </w:rPr>
          <w:t>- 4 -</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1ED73" w14:textId="77777777" w:rsidR="00B8682A" w:rsidRDefault="00B8682A">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9AFCC" w14:textId="77777777" w:rsidR="00B8682A" w:rsidRPr="003F0E39" w:rsidRDefault="00B8682A" w:rsidP="00BD4FE2">
    <w:pPr>
      <w:pStyle w:val="Footer"/>
      <w:jc w:val="center"/>
      <w:rPr>
        <w:rFonts w:ascii="Arial" w:hAnsi="Arial" w:cs="Aria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184661"/>
      <w:docPartObj>
        <w:docPartGallery w:val="Page Numbers (Bottom of Page)"/>
        <w:docPartUnique/>
      </w:docPartObj>
    </w:sdtPr>
    <w:sdtEndPr>
      <w:rPr>
        <w:noProof/>
      </w:rPr>
    </w:sdtEndPr>
    <w:sdtContent>
      <w:p w14:paraId="593717B8" w14:textId="61F50FB8" w:rsidR="00B8682A" w:rsidRPr="00AC73FC" w:rsidRDefault="00B8682A" w:rsidP="00626805">
        <w:pPr>
          <w:pStyle w:val="Footer"/>
          <w:jc w:val="center"/>
        </w:pPr>
        <w:r>
          <w:fldChar w:fldCharType="begin"/>
        </w:r>
        <w:r>
          <w:instrText xml:space="preserve"> PAGE   \* MERGEFORMAT </w:instrText>
        </w:r>
        <w:r>
          <w:fldChar w:fldCharType="separate"/>
        </w:r>
        <w:r w:rsidR="00807EBA">
          <w:rPr>
            <w:noProof/>
          </w:rPr>
          <w:t>- 5 -</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818237"/>
      <w:docPartObj>
        <w:docPartGallery w:val="Page Numbers (Bottom of Page)"/>
        <w:docPartUnique/>
      </w:docPartObj>
    </w:sdtPr>
    <w:sdtEndPr>
      <w:rPr>
        <w:noProof/>
      </w:rPr>
    </w:sdtEndPr>
    <w:sdtContent>
      <w:p w14:paraId="629BBF25" w14:textId="2C40A8CA" w:rsidR="00B8682A" w:rsidRPr="00AC73FC" w:rsidRDefault="00B8682A" w:rsidP="00626805">
        <w:pPr>
          <w:pStyle w:val="Footer"/>
          <w:jc w:val="center"/>
        </w:pPr>
        <w:r>
          <w:fldChar w:fldCharType="begin"/>
        </w:r>
        <w:r>
          <w:instrText xml:space="preserve"> PAGE   \* MERGEFORMAT </w:instrText>
        </w:r>
        <w:r>
          <w:fldChar w:fldCharType="separate"/>
        </w:r>
        <w:r w:rsidR="00807EBA">
          <w:rPr>
            <w:noProof/>
          </w:rPr>
          <w:t>- 6 -</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968983"/>
      <w:docPartObj>
        <w:docPartGallery w:val="Page Numbers (Bottom of Page)"/>
        <w:docPartUnique/>
      </w:docPartObj>
    </w:sdtPr>
    <w:sdtEndPr>
      <w:rPr>
        <w:noProof/>
      </w:rPr>
    </w:sdtEndPr>
    <w:sdtContent>
      <w:p w14:paraId="7C68795F" w14:textId="4BF4742C" w:rsidR="00B8682A" w:rsidRPr="00AC73FC" w:rsidRDefault="00B8682A" w:rsidP="009237DD">
        <w:pPr>
          <w:pStyle w:val="Footer"/>
          <w:jc w:val="center"/>
        </w:pPr>
        <w:r>
          <w:fldChar w:fldCharType="begin"/>
        </w:r>
        <w:r>
          <w:instrText xml:space="preserve"> PAGE   \* MERGEFORMAT </w:instrText>
        </w:r>
        <w:r>
          <w:fldChar w:fldCharType="separate"/>
        </w:r>
        <w:r w:rsidR="00807EBA">
          <w:rPr>
            <w:noProof/>
          </w:rPr>
          <w:t>- 7 -</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2F660" w14:textId="77777777" w:rsidR="00517526" w:rsidRDefault="00517526" w:rsidP="009536CA">
      <w:pPr>
        <w:spacing w:after="0" w:line="240" w:lineRule="auto"/>
      </w:pPr>
      <w:r>
        <w:separator/>
      </w:r>
    </w:p>
  </w:footnote>
  <w:footnote w:type="continuationSeparator" w:id="0">
    <w:p w14:paraId="1DE2DA0F" w14:textId="77777777" w:rsidR="00517526" w:rsidRDefault="00517526" w:rsidP="009536CA">
      <w:pPr>
        <w:spacing w:after="0" w:line="240" w:lineRule="auto"/>
      </w:pPr>
      <w:r>
        <w:continuationSeparator/>
      </w:r>
    </w:p>
  </w:footnote>
  <w:footnote w:id="1">
    <w:p w14:paraId="11F2E83F" w14:textId="77777777" w:rsidR="00B8682A" w:rsidRPr="00C4057E" w:rsidRDefault="00B8682A" w:rsidP="00C4057E">
      <w:pPr>
        <w:autoSpaceDE w:val="0"/>
        <w:autoSpaceDN w:val="0"/>
        <w:adjustRightInd w:val="0"/>
        <w:spacing w:after="0" w:line="240" w:lineRule="auto"/>
        <w:rPr>
          <w:rFonts w:ascii="Arial" w:hAnsi="Arial" w:cs="Arial"/>
          <w:color w:val="000000"/>
        </w:rPr>
      </w:pPr>
      <w:r>
        <w:rPr>
          <w:rStyle w:val="FootnoteReference"/>
        </w:rPr>
        <w:footnoteRef/>
      </w:r>
      <w:r>
        <w:t xml:space="preserve"> </w:t>
      </w:r>
      <w:r w:rsidRPr="008A3EFB">
        <w:rPr>
          <w:rFonts w:ascii="Arial" w:hAnsi="Arial" w:cs="Arial"/>
          <w:sz w:val="20"/>
          <w:szCs w:val="20"/>
          <w:lang w:val="en"/>
        </w:rPr>
        <w:t>FirstEnergy was formed in 1997, when Ohio Edison Company and its subsidiary, Penn Power merged with Centerior Energy Corp. and its subsidiaries, The Cleveland Electric Illuminating Company and The Toledo Edison Company.  In 2001, FirstEnergy merged with GPU, Inc., the owner of Jersey Central Power &amp; Light Company, Penelec, and Met-Ed.  In 2011, FirstEnergy merged with Allegheny Energy, Inc., the owner of Monongehela Power Company, Potomac Edison Company, and West Penn Power.</w:t>
      </w:r>
      <w:r>
        <w:rPr>
          <w:rFonts w:ascii="Arial" w:hAnsi="Arial" w:cs="Arial"/>
          <w:sz w:val="20"/>
          <w:szCs w:val="20"/>
          <w:lang w:val="en"/>
        </w:rPr>
        <w:t xml:space="preserve">  </w:t>
      </w:r>
      <w:r w:rsidRPr="001F7677">
        <w:rPr>
          <w:rFonts w:ascii="Arial" w:eastAsia="Times New Roman" w:hAnsi="Arial" w:cs="Arial"/>
          <w:sz w:val="20"/>
          <w:szCs w:val="20"/>
        </w:rPr>
        <w:t>FirstEnergy’s principal business segments include: Regulated Distribution, Regulated Transmission, and Competitive Energy Services.  The Regulated Distribution segment distributes electricity through FirstEnergy’s ten utility operating companies (FirstEnergy Utilities or FEU)</w:t>
      </w:r>
      <w:r w:rsidRPr="00C4057E">
        <w:rPr>
          <w:rFonts w:ascii="Arial" w:hAnsi="Arial" w:cs="Arial"/>
          <w:sz w:val="20"/>
          <w:szCs w:val="20"/>
        </w:rPr>
        <w:t xml:space="preserve"> which includes the </w:t>
      </w:r>
      <w:r>
        <w:rPr>
          <w:rFonts w:ascii="Arial" w:hAnsi="Arial" w:cs="Arial"/>
          <w:sz w:val="20"/>
          <w:szCs w:val="20"/>
        </w:rPr>
        <w:t>FE-PA companies</w:t>
      </w:r>
      <w:r w:rsidRPr="00C4057E">
        <w:rPr>
          <w:rFonts w:ascii="Arial" w:hAnsi="Arial" w:cs="Arial"/>
          <w:sz w:val="20"/>
          <w:szCs w:val="20"/>
        </w:rPr>
        <w:t>.</w:t>
      </w:r>
      <w:r w:rsidRPr="00C4057E">
        <w:rPr>
          <w:rFonts w:ascii="Arial" w:hAnsi="Arial" w:cs="Arial"/>
          <w:sz w:val="20"/>
          <w:szCs w:val="20"/>
          <w:lang w:val="en"/>
        </w:rPr>
        <w:t xml:space="preserve"> </w:t>
      </w:r>
    </w:p>
  </w:footnote>
  <w:footnote w:id="2">
    <w:p w14:paraId="2EC4694B" w14:textId="77777777" w:rsidR="00B8682A" w:rsidRPr="009A25F2" w:rsidRDefault="00B8682A" w:rsidP="00C4057E">
      <w:pPr>
        <w:pStyle w:val="FootnoteText"/>
      </w:pPr>
      <w:r>
        <w:rPr>
          <w:rStyle w:val="FootnoteReference"/>
        </w:rPr>
        <w:footnoteRef/>
      </w:r>
      <w:r>
        <w:t xml:space="preserve"> </w:t>
      </w:r>
      <w:r w:rsidRPr="001D0DE5">
        <w:rPr>
          <w:rFonts w:ascii="Arial" w:hAnsi="Arial" w:cs="Arial"/>
        </w:rPr>
        <w:t>The</w:t>
      </w:r>
      <w:r w:rsidRPr="00097AD6">
        <w:rPr>
          <w:rFonts w:ascii="Arial" w:hAnsi="Arial" w:cs="Arial"/>
        </w:rPr>
        <w:t xml:space="preserve"> auditors looked at approximately 154 different departments across the four distribution companies related to operations (which included areas such as meter reading which had very minimal overtime), with some departments as small as one specialty worker or a clerk in a service center</w:t>
      </w:r>
      <w:r>
        <w:rPr>
          <w:rFonts w:ascii="Arial" w:hAnsi="Arial" w:cs="Arial"/>
        </w:rPr>
        <w:t>.</w:t>
      </w:r>
    </w:p>
  </w:footnote>
  <w:footnote w:id="3">
    <w:p w14:paraId="4571AAE0" w14:textId="34BC679C" w:rsidR="00B8682A" w:rsidRPr="0018246F" w:rsidRDefault="00B8682A">
      <w:pPr>
        <w:pStyle w:val="FootnoteText"/>
        <w:rPr>
          <w:rFonts w:ascii="Arial" w:hAnsi="Arial" w:cs="Arial"/>
        </w:rPr>
      </w:pPr>
      <w:r w:rsidRPr="0018246F">
        <w:rPr>
          <w:rStyle w:val="FootnoteReference"/>
          <w:rFonts w:ascii="Arial" w:hAnsi="Arial" w:cs="Arial"/>
        </w:rPr>
        <w:footnoteRef/>
      </w:r>
      <w:r w:rsidRPr="0018246F">
        <w:rPr>
          <w:rFonts w:ascii="Arial" w:hAnsi="Arial" w:cs="Arial"/>
        </w:rPr>
        <w:t xml:space="preserve"> FirstEnergy change</w:t>
      </w:r>
      <w:r>
        <w:rPr>
          <w:rFonts w:ascii="Arial" w:hAnsi="Arial" w:cs="Arial"/>
        </w:rPr>
        <w:t>d</w:t>
      </w:r>
      <w:r w:rsidRPr="0018246F">
        <w:rPr>
          <w:rFonts w:ascii="Arial" w:hAnsi="Arial" w:cs="Arial"/>
        </w:rPr>
        <w:t xml:space="preserve"> their termination notification process</w:t>
      </w:r>
      <w:r w:rsidRPr="000D09FB">
        <w:rPr>
          <w:rFonts w:ascii="Arial" w:hAnsi="Arial" w:cs="Arial"/>
        </w:rPr>
        <w:t xml:space="preserve"> </w:t>
      </w:r>
      <w:r>
        <w:rPr>
          <w:rFonts w:ascii="Arial" w:hAnsi="Arial" w:cs="Arial"/>
        </w:rPr>
        <w:t xml:space="preserve">as a result of </w:t>
      </w:r>
      <w:r w:rsidRPr="001A31A9">
        <w:rPr>
          <w:rFonts w:ascii="Arial" w:hAnsi="Arial" w:cs="Arial"/>
        </w:rPr>
        <w:t>receiv</w:t>
      </w:r>
      <w:r>
        <w:rPr>
          <w:rFonts w:ascii="Arial" w:hAnsi="Arial" w:cs="Arial"/>
        </w:rPr>
        <w:t>ing two infractions.</w:t>
      </w:r>
    </w:p>
  </w:footnote>
  <w:footnote w:id="4">
    <w:p w14:paraId="400822C2" w14:textId="190077F8" w:rsidR="00B8682A" w:rsidRPr="00405C44" w:rsidRDefault="00B8682A" w:rsidP="00C93C49">
      <w:pPr>
        <w:pStyle w:val="FootnoteText"/>
        <w:rPr>
          <w:rFonts w:ascii="Arial" w:hAnsi="Arial" w:cs="Arial"/>
          <w:sz w:val="18"/>
          <w:szCs w:val="18"/>
        </w:rPr>
      </w:pPr>
      <w:r w:rsidRPr="00405C44">
        <w:rPr>
          <w:rStyle w:val="FootnoteReference"/>
          <w:rFonts w:ascii="Arial" w:hAnsi="Arial" w:cs="Arial"/>
          <w:sz w:val="18"/>
          <w:szCs w:val="18"/>
        </w:rPr>
        <w:footnoteRef/>
      </w:r>
      <w:r w:rsidRPr="00405C44">
        <w:rPr>
          <w:rFonts w:ascii="Arial" w:hAnsi="Arial" w:cs="Arial"/>
          <w:sz w:val="18"/>
          <w:szCs w:val="18"/>
        </w:rPr>
        <w:t xml:space="preserve"> National Fuel Gas Distribution Corporation contracted with</w:t>
      </w:r>
      <w:r>
        <w:rPr>
          <w:rFonts w:ascii="Arial" w:hAnsi="Arial" w:cs="Arial"/>
          <w:sz w:val="18"/>
          <w:szCs w:val="18"/>
        </w:rPr>
        <w:t xml:space="preserve"> outside</w:t>
      </w:r>
      <w:r w:rsidRPr="00405C44">
        <w:rPr>
          <w:rFonts w:ascii="Arial" w:hAnsi="Arial" w:cs="Arial"/>
          <w:sz w:val="18"/>
          <w:szCs w:val="18"/>
        </w:rPr>
        <w:t xml:space="preserve"> collection agencies that achieved</w:t>
      </w:r>
      <w:r>
        <w:rPr>
          <w:rFonts w:ascii="Arial" w:hAnsi="Arial" w:cs="Arial"/>
          <w:sz w:val="18"/>
          <w:szCs w:val="18"/>
        </w:rPr>
        <w:t xml:space="preserve"> this</w:t>
      </w:r>
      <w:r w:rsidRPr="00405C44">
        <w:rPr>
          <w:rFonts w:ascii="Arial" w:hAnsi="Arial" w:cs="Arial"/>
          <w:sz w:val="18"/>
          <w:szCs w:val="18"/>
        </w:rPr>
        <w:t xml:space="preserve"> </w:t>
      </w:r>
      <w:r>
        <w:rPr>
          <w:rFonts w:ascii="Arial" w:hAnsi="Arial" w:cs="Arial"/>
          <w:sz w:val="18"/>
          <w:szCs w:val="18"/>
        </w:rPr>
        <w:t xml:space="preserve">performance (11% for primary) </w:t>
      </w:r>
      <w:r w:rsidRPr="00405C44">
        <w:rPr>
          <w:rFonts w:ascii="Arial" w:hAnsi="Arial" w:cs="Arial"/>
          <w:sz w:val="18"/>
          <w:szCs w:val="18"/>
        </w:rPr>
        <w:t>from 2012 through 201</w:t>
      </w:r>
      <w:r>
        <w:rPr>
          <w:rFonts w:ascii="Arial" w:hAnsi="Arial" w:cs="Arial"/>
          <w:sz w:val="18"/>
          <w:szCs w:val="18"/>
        </w:rPr>
        <w:t>7</w:t>
      </w:r>
      <w:r w:rsidRPr="00405C44">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F9F9E" w14:textId="5D47BE63" w:rsidR="00B8682A" w:rsidRDefault="00B8682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D55F" w14:textId="015F3A6D" w:rsidR="00B8682A" w:rsidRDefault="00B8682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63C12" w14:textId="3D5126EA" w:rsidR="00B8682A" w:rsidRDefault="00B8682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22CDC" w14:textId="68EA58D8" w:rsidR="00B8682A" w:rsidRPr="00BD4FE2" w:rsidRDefault="00B8682A" w:rsidP="00AC73FC">
    <w:pPr>
      <w:tabs>
        <w:tab w:val="center" w:pos="4680"/>
        <w:tab w:val="right" w:pos="9450"/>
      </w:tabs>
      <w:spacing w:after="0" w:line="240" w:lineRule="auto"/>
      <w:jc w:val="right"/>
      <w:rPr>
        <w:rFonts w:ascii="Arial" w:hAnsi="Arial" w:cs="Arial"/>
        <w:b/>
        <w:sz w:val="24"/>
        <w:szCs w:val="24"/>
      </w:rPr>
    </w:pPr>
    <w:r w:rsidRPr="00BD4FE2">
      <w:rPr>
        <w:rFonts w:ascii="Arial" w:hAnsi="Arial" w:cs="Arial"/>
        <w:b/>
        <w:sz w:val="24"/>
        <w:szCs w:val="24"/>
      </w:rPr>
      <w:t>Exhibit II-1</w:t>
    </w:r>
  </w:p>
  <w:p w14:paraId="176FE54B" w14:textId="77777777" w:rsidR="00B8682A" w:rsidRPr="00BD4FE2" w:rsidRDefault="00B8682A" w:rsidP="00AC73FC">
    <w:pPr>
      <w:tabs>
        <w:tab w:val="center" w:pos="4680"/>
        <w:tab w:val="right" w:pos="9450"/>
      </w:tabs>
      <w:spacing w:after="0" w:line="240" w:lineRule="auto"/>
      <w:jc w:val="right"/>
      <w:rPr>
        <w:rFonts w:ascii="Arial" w:hAnsi="Arial" w:cs="Arial"/>
        <w:b/>
        <w:sz w:val="24"/>
        <w:szCs w:val="24"/>
      </w:rPr>
    </w:pPr>
    <w:r w:rsidRPr="00BD4FE2">
      <w:rPr>
        <w:rFonts w:ascii="Arial" w:hAnsi="Arial" w:cs="Arial"/>
        <w:b/>
        <w:sz w:val="24"/>
        <w:szCs w:val="24"/>
      </w:rPr>
      <w:t xml:space="preserve">Page </w:t>
    </w:r>
    <w:r>
      <w:rPr>
        <w:rFonts w:ascii="Arial" w:hAnsi="Arial" w:cs="Arial"/>
        <w:b/>
        <w:sz w:val="24"/>
        <w:szCs w:val="24"/>
      </w:rPr>
      <w:t>2</w:t>
    </w:r>
    <w:r w:rsidRPr="00BD4FE2">
      <w:rPr>
        <w:rFonts w:ascii="Arial" w:hAnsi="Arial" w:cs="Arial"/>
        <w:b/>
        <w:sz w:val="24"/>
        <w:szCs w:val="24"/>
      </w:rPr>
      <w:t xml:space="preserve"> of </w:t>
    </w:r>
    <w:r>
      <w:rPr>
        <w:rFonts w:ascii="Arial" w:hAnsi="Arial" w:cs="Arial"/>
        <w:b/>
        <w:sz w:val="24"/>
        <w:szCs w:val="24"/>
      </w:rPr>
      <w:t>6</w:t>
    </w:r>
  </w:p>
  <w:p w14:paraId="3ABC1AE7" w14:textId="77777777" w:rsidR="00B8682A" w:rsidRPr="00BD4FE2" w:rsidRDefault="00B8682A" w:rsidP="00BD4FE2">
    <w:pPr>
      <w:spacing w:after="0" w:line="240" w:lineRule="auto"/>
      <w:jc w:val="center"/>
      <w:rPr>
        <w:rFonts w:ascii="Arial" w:hAnsi="Arial" w:cs="Arial"/>
        <w:b/>
        <w:sz w:val="24"/>
        <w:szCs w:val="24"/>
      </w:rPr>
    </w:pPr>
  </w:p>
  <w:p w14:paraId="5D60F3A5" w14:textId="77777777" w:rsidR="00B8682A" w:rsidRDefault="00B8682A" w:rsidP="00BD4FE2">
    <w:pPr>
      <w:spacing w:after="0" w:line="240" w:lineRule="auto"/>
      <w:jc w:val="center"/>
      <w:rPr>
        <w:rFonts w:ascii="Arial" w:hAnsi="Arial" w:cs="Arial"/>
        <w:b/>
        <w:sz w:val="24"/>
        <w:szCs w:val="24"/>
      </w:rPr>
    </w:pPr>
    <w:r>
      <w:rPr>
        <w:rFonts w:ascii="Arial" w:hAnsi="Arial" w:cs="Arial"/>
        <w:b/>
        <w:sz w:val="24"/>
        <w:szCs w:val="24"/>
      </w:rPr>
      <w:t>FIRSTENERGY PENNSYLVANIA COMPANIES</w:t>
    </w:r>
  </w:p>
  <w:p w14:paraId="6B6FF813" w14:textId="77777777" w:rsidR="00B8682A" w:rsidRPr="00BD4FE2" w:rsidRDefault="00B8682A" w:rsidP="00BD4FE2">
    <w:pPr>
      <w:spacing w:after="0" w:line="240" w:lineRule="auto"/>
      <w:jc w:val="center"/>
      <w:rPr>
        <w:rFonts w:ascii="Arial" w:hAnsi="Arial" w:cs="Arial"/>
        <w:b/>
        <w:sz w:val="24"/>
        <w:szCs w:val="24"/>
      </w:rPr>
    </w:pPr>
    <w:r w:rsidRPr="00BD4FE2">
      <w:rPr>
        <w:rFonts w:ascii="Arial" w:hAnsi="Arial" w:cs="Arial"/>
        <w:b/>
        <w:sz w:val="24"/>
        <w:szCs w:val="24"/>
      </w:rPr>
      <w:t>MANAGEMENT EFFICIENCY INVESTIGATION</w:t>
    </w:r>
  </w:p>
  <w:p w14:paraId="418CE9C3" w14:textId="77777777" w:rsidR="00B8682A" w:rsidRPr="00BD4FE2" w:rsidRDefault="00B8682A" w:rsidP="00BD4FE2">
    <w:pPr>
      <w:spacing w:after="0" w:line="240" w:lineRule="auto"/>
      <w:jc w:val="center"/>
      <w:rPr>
        <w:rFonts w:ascii="Arial" w:hAnsi="Arial" w:cs="Arial"/>
        <w:b/>
        <w:sz w:val="24"/>
        <w:szCs w:val="24"/>
      </w:rPr>
    </w:pPr>
    <w:r w:rsidRPr="00BD4FE2">
      <w:rPr>
        <w:rFonts w:ascii="Arial" w:hAnsi="Arial" w:cs="Arial"/>
        <w:b/>
        <w:sz w:val="24"/>
        <w:szCs w:val="24"/>
      </w:rPr>
      <w:t xml:space="preserve">SUMMARY OF </w:t>
    </w:r>
    <w:r>
      <w:rPr>
        <w:rFonts w:ascii="Arial" w:hAnsi="Arial" w:cs="Arial"/>
        <w:b/>
        <w:sz w:val="24"/>
        <w:szCs w:val="24"/>
      </w:rPr>
      <w:t>NOVEMBER 2014</w:t>
    </w:r>
    <w:r w:rsidRPr="00BD4FE2">
      <w:rPr>
        <w:rFonts w:ascii="Arial" w:hAnsi="Arial" w:cs="Arial"/>
        <w:b/>
        <w:sz w:val="24"/>
        <w:szCs w:val="24"/>
      </w:rPr>
      <w:t xml:space="preserve"> MANAGEMENT AUDIT RECOMMENDATIONS AND STAFF’S FOLLOW-UP FINDINGS</w:t>
    </w:r>
    <w:r>
      <w:rPr>
        <w:rFonts w:ascii="Arial" w:hAnsi="Arial" w:cs="Arial"/>
        <w:b/>
        <w:sz w:val="24"/>
        <w:szCs w:val="24"/>
      </w:rPr>
      <w:t>, CONCLUSIONS</w:t>
    </w:r>
    <w:r w:rsidRPr="00BD4FE2">
      <w:rPr>
        <w:rFonts w:ascii="Arial" w:hAnsi="Arial" w:cs="Arial"/>
        <w:b/>
        <w:sz w:val="24"/>
        <w:szCs w:val="24"/>
      </w:rPr>
      <w:t xml:space="preserve"> AND RECOMMENDATIONS</w:t>
    </w:r>
  </w:p>
  <w:p w14:paraId="55F0B73A" w14:textId="77777777" w:rsidR="00B8682A" w:rsidRPr="00BD4FE2" w:rsidRDefault="00B8682A" w:rsidP="00BD4FE2">
    <w:pPr>
      <w:spacing w:after="0" w:line="240" w:lineRule="auto"/>
      <w:jc w:val="center"/>
      <w:rPr>
        <w:rFonts w:ascii="Arial" w:hAnsi="Arial" w:cs="Arial"/>
        <w:b/>
        <w:sz w:val="24"/>
        <w:szCs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294DD" w14:textId="7D223BFA" w:rsidR="00B8682A" w:rsidRDefault="00B8682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C398B" w14:textId="2563E739" w:rsidR="00B8682A" w:rsidRPr="00DC1986" w:rsidRDefault="00B8682A" w:rsidP="00BD4FE2">
    <w:pPr>
      <w:tabs>
        <w:tab w:val="center" w:pos="4680"/>
        <w:tab w:val="right" w:pos="9450"/>
      </w:tabs>
      <w:spacing w:after="0" w:line="240" w:lineRule="auto"/>
      <w:jc w:val="center"/>
      <w:rPr>
        <w:rFonts w:ascii="Arial" w:hAnsi="Arial" w:cs="Arial"/>
        <w:b/>
        <w:sz w:val="24"/>
        <w:szCs w:val="24"/>
      </w:rPr>
    </w:pPr>
    <w:r>
      <w:rPr>
        <w:rFonts w:ascii="Arial" w:hAnsi="Arial" w:cs="Arial"/>
        <w:b/>
      </w:rPr>
      <w:tab/>
    </w:r>
    <w:r>
      <w:rPr>
        <w:rFonts w:ascii="Arial" w:hAnsi="Arial" w:cs="Arial"/>
        <w:b/>
      </w:rPr>
      <w:tab/>
    </w:r>
    <w:r w:rsidRPr="00DC1986">
      <w:rPr>
        <w:rFonts w:ascii="Arial" w:hAnsi="Arial" w:cs="Arial"/>
        <w:b/>
        <w:sz w:val="24"/>
        <w:szCs w:val="24"/>
      </w:rPr>
      <w:t>Exhibit II-1</w:t>
    </w:r>
  </w:p>
  <w:p w14:paraId="07F837A8" w14:textId="77777777" w:rsidR="00B8682A" w:rsidRPr="00DC1986" w:rsidRDefault="00B8682A" w:rsidP="00BD4FE2">
    <w:pPr>
      <w:tabs>
        <w:tab w:val="center" w:pos="4680"/>
        <w:tab w:val="right" w:pos="9450"/>
      </w:tabs>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t>Page 3</w:t>
    </w:r>
    <w:r w:rsidRPr="00DC1986">
      <w:rPr>
        <w:rFonts w:ascii="Arial" w:hAnsi="Arial" w:cs="Arial"/>
        <w:b/>
        <w:sz w:val="24"/>
        <w:szCs w:val="24"/>
      </w:rPr>
      <w:t xml:space="preserve"> of </w:t>
    </w:r>
    <w:r>
      <w:rPr>
        <w:rFonts w:ascii="Arial" w:hAnsi="Arial" w:cs="Arial"/>
        <w:b/>
        <w:sz w:val="24"/>
        <w:szCs w:val="24"/>
      </w:rPr>
      <w:t>6</w:t>
    </w:r>
  </w:p>
  <w:p w14:paraId="587BD74F" w14:textId="77777777" w:rsidR="00B8682A" w:rsidRPr="00DC1986" w:rsidRDefault="00B8682A" w:rsidP="00BD4FE2">
    <w:pPr>
      <w:spacing w:after="0" w:line="240" w:lineRule="auto"/>
      <w:jc w:val="center"/>
      <w:rPr>
        <w:rFonts w:ascii="Arial" w:hAnsi="Arial" w:cs="Arial"/>
        <w:b/>
        <w:sz w:val="24"/>
        <w:szCs w:val="24"/>
      </w:rPr>
    </w:pPr>
  </w:p>
  <w:p w14:paraId="21FFE325" w14:textId="77777777" w:rsidR="00B8682A" w:rsidRPr="00DC1986" w:rsidRDefault="00B8682A" w:rsidP="00BD4FE2">
    <w:pPr>
      <w:spacing w:after="0" w:line="240" w:lineRule="auto"/>
      <w:jc w:val="center"/>
      <w:rPr>
        <w:rFonts w:ascii="Arial" w:hAnsi="Arial" w:cs="Arial"/>
        <w:b/>
        <w:sz w:val="24"/>
        <w:szCs w:val="24"/>
      </w:rPr>
    </w:pPr>
  </w:p>
  <w:p w14:paraId="70B9B610" w14:textId="77777777" w:rsidR="00B8682A" w:rsidRPr="00DC1986" w:rsidRDefault="00B8682A" w:rsidP="00DC1986">
    <w:pPr>
      <w:spacing w:after="0" w:line="240" w:lineRule="auto"/>
      <w:jc w:val="center"/>
      <w:rPr>
        <w:rFonts w:ascii="Arial" w:hAnsi="Arial" w:cs="Arial"/>
        <w:b/>
        <w:sz w:val="24"/>
        <w:szCs w:val="24"/>
      </w:rPr>
    </w:pPr>
    <w:r>
      <w:rPr>
        <w:rFonts w:ascii="Arial" w:hAnsi="Arial" w:cs="Arial"/>
        <w:b/>
        <w:sz w:val="24"/>
        <w:szCs w:val="24"/>
      </w:rPr>
      <w:t>FIRSTENERGY PENNSYLVANIA COMPANIES</w:t>
    </w:r>
  </w:p>
  <w:p w14:paraId="1F8A89C9" w14:textId="77777777" w:rsidR="00B8682A" w:rsidRPr="00DC1986" w:rsidRDefault="00B8682A" w:rsidP="00BD4FE2">
    <w:pPr>
      <w:spacing w:after="0" w:line="240" w:lineRule="auto"/>
      <w:jc w:val="center"/>
      <w:rPr>
        <w:rFonts w:ascii="Arial" w:hAnsi="Arial" w:cs="Arial"/>
        <w:b/>
        <w:sz w:val="24"/>
        <w:szCs w:val="24"/>
      </w:rPr>
    </w:pPr>
    <w:r w:rsidRPr="00DC1986">
      <w:rPr>
        <w:rFonts w:ascii="Arial" w:hAnsi="Arial" w:cs="Arial"/>
        <w:b/>
        <w:sz w:val="24"/>
        <w:szCs w:val="24"/>
      </w:rPr>
      <w:t>MANAGEMENT EFFICIENCY INVESTIGATION</w:t>
    </w:r>
  </w:p>
  <w:p w14:paraId="20D4B52B" w14:textId="77777777" w:rsidR="00B8682A" w:rsidRPr="00DC1986" w:rsidRDefault="00B8682A" w:rsidP="00BD4FE2">
    <w:pPr>
      <w:spacing w:after="0" w:line="240" w:lineRule="auto"/>
      <w:jc w:val="center"/>
      <w:rPr>
        <w:rFonts w:ascii="Arial" w:hAnsi="Arial" w:cs="Arial"/>
        <w:b/>
        <w:sz w:val="24"/>
        <w:szCs w:val="24"/>
      </w:rPr>
    </w:pPr>
    <w:r w:rsidRPr="00DC1986">
      <w:rPr>
        <w:rFonts w:ascii="Arial" w:hAnsi="Arial" w:cs="Arial"/>
        <w:b/>
        <w:sz w:val="24"/>
        <w:szCs w:val="24"/>
      </w:rPr>
      <w:t xml:space="preserve">SUMMARY OF </w:t>
    </w:r>
    <w:r>
      <w:rPr>
        <w:rFonts w:ascii="Arial" w:hAnsi="Arial" w:cs="Arial"/>
        <w:b/>
        <w:sz w:val="24"/>
        <w:szCs w:val="24"/>
      </w:rPr>
      <w:t>NOVEMBER 2014</w:t>
    </w:r>
    <w:r w:rsidRPr="00DC1986">
      <w:rPr>
        <w:rFonts w:ascii="Arial" w:hAnsi="Arial" w:cs="Arial"/>
        <w:b/>
        <w:sz w:val="24"/>
        <w:szCs w:val="24"/>
      </w:rPr>
      <w:t xml:space="preserve"> MANAGEMENT AUDIT RECOMMENDATIONS AND STAFF’S FOLLOW-UP FINDINGS</w:t>
    </w:r>
    <w:r>
      <w:rPr>
        <w:rFonts w:ascii="Arial" w:hAnsi="Arial" w:cs="Arial"/>
        <w:b/>
        <w:sz w:val="24"/>
        <w:szCs w:val="24"/>
      </w:rPr>
      <w:t>, CONCLUSIONS</w:t>
    </w:r>
    <w:r w:rsidRPr="00DC1986">
      <w:rPr>
        <w:rFonts w:ascii="Arial" w:hAnsi="Arial" w:cs="Arial"/>
        <w:b/>
        <w:sz w:val="24"/>
        <w:szCs w:val="24"/>
      </w:rPr>
      <w:t xml:space="preserve"> AND RECOMMENDATIONS</w:t>
    </w:r>
  </w:p>
  <w:p w14:paraId="1B370199" w14:textId="77777777" w:rsidR="00B8682A" w:rsidRPr="00DC1986" w:rsidRDefault="00B8682A" w:rsidP="00BD4FE2">
    <w:pPr>
      <w:spacing w:after="0" w:line="240" w:lineRule="auto"/>
      <w:jc w:val="center"/>
      <w:rPr>
        <w:rFonts w:ascii="Arial" w:hAnsi="Arial" w:cs="Arial"/>
        <w:b/>
        <w:sz w:val="24"/>
        <w:szCs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EF89B" w14:textId="6D4EA524" w:rsidR="00B8682A" w:rsidRPr="00BD4FE2" w:rsidRDefault="00B8682A" w:rsidP="00BD4FE2">
    <w:pPr>
      <w:tabs>
        <w:tab w:val="center" w:pos="4680"/>
        <w:tab w:val="right" w:pos="9450"/>
      </w:tabs>
      <w:spacing w:after="0" w:line="240" w:lineRule="auto"/>
      <w:jc w:val="center"/>
      <w:rPr>
        <w:rFonts w:ascii="Arial" w:hAnsi="Arial" w:cs="Arial"/>
        <w:b/>
        <w:sz w:val="24"/>
        <w:szCs w:val="24"/>
      </w:rPr>
    </w:pPr>
    <w:r>
      <w:rPr>
        <w:rFonts w:ascii="Arial" w:hAnsi="Arial" w:cs="Arial"/>
        <w:b/>
      </w:rPr>
      <w:tab/>
    </w:r>
    <w:r>
      <w:rPr>
        <w:rFonts w:ascii="Arial" w:hAnsi="Arial" w:cs="Arial"/>
        <w:b/>
      </w:rPr>
      <w:tab/>
    </w:r>
    <w:r w:rsidRPr="00BD4FE2">
      <w:rPr>
        <w:rFonts w:ascii="Arial" w:hAnsi="Arial" w:cs="Arial"/>
        <w:b/>
        <w:sz w:val="24"/>
        <w:szCs w:val="24"/>
      </w:rPr>
      <w:t>Exhibit II-1</w:t>
    </w:r>
  </w:p>
  <w:p w14:paraId="68C420AE" w14:textId="77777777" w:rsidR="00B8682A" w:rsidRPr="00BD4FE2" w:rsidRDefault="00B8682A" w:rsidP="00BD4FE2">
    <w:pPr>
      <w:tabs>
        <w:tab w:val="center" w:pos="4680"/>
        <w:tab w:val="right" w:pos="9450"/>
      </w:tabs>
      <w:spacing w:after="0" w:line="240" w:lineRule="auto"/>
      <w:jc w:val="center"/>
      <w:rPr>
        <w:rFonts w:ascii="Arial" w:hAnsi="Arial" w:cs="Arial"/>
        <w:b/>
        <w:sz w:val="24"/>
        <w:szCs w:val="24"/>
      </w:rPr>
    </w:pPr>
    <w:r w:rsidRPr="00BD4FE2">
      <w:rPr>
        <w:rFonts w:ascii="Arial" w:hAnsi="Arial" w:cs="Arial"/>
        <w:b/>
        <w:sz w:val="24"/>
        <w:szCs w:val="24"/>
      </w:rPr>
      <w:tab/>
    </w:r>
    <w:r w:rsidRPr="00BD4FE2">
      <w:rPr>
        <w:rFonts w:ascii="Arial" w:hAnsi="Arial" w:cs="Arial"/>
        <w:b/>
        <w:sz w:val="24"/>
        <w:szCs w:val="24"/>
      </w:rPr>
      <w:tab/>
      <w:t xml:space="preserve">Page </w:t>
    </w:r>
    <w:r>
      <w:rPr>
        <w:rFonts w:ascii="Arial" w:hAnsi="Arial" w:cs="Arial"/>
        <w:b/>
        <w:sz w:val="24"/>
        <w:szCs w:val="24"/>
      </w:rPr>
      <w:t>3</w:t>
    </w:r>
    <w:r w:rsidRPr="00BD4FE2">
      <w:rPr>
        <w:rFonts w:ascii="Arial" w:hAnsi="Arial" w:cs="Arial"/>
        <w:b/>
        <w:sz w:val="24"/>
        <w:szCs w:val="24"/>
      </w:rPr>
      <w:t xml:space="preserve"> of </w:t>
    </w:r>
    <w:r>
      <w:rPr>
        <w:rFonts w:ascii="Arial" w:hAnsi="Arial" w:cs="Arial"/>
        <w:b/>
        <w:sz w:val="24"/>
        <w:szCs w:val="24"/>
      </w:rPr>
      <w:t>3</w:t>
    </w:r>
  </w:p>
  <w:p w14:paraId="4726B343" w14:textId="77777777" w:rsidR="00B8682A" w:rsidRPr="00BD4FE2" w:rsidRDefault="00B8682A" w:rsidP="00BD4FE2">
    <w:pPr>
      <w:spacing w:after="0" w:line="240" w:lineRule="auto"/>
      <w:jc w:val="center"/>
      <w:rPr>
        <w:rFonts w:ascii="Arial" w:hAnsi="Arial" w:cs="Arial"/>
        <w:b/>
        <w:sz w:val="24"/>
        <w:szCs w:val="24"/>
      </w:rPr>
    </w:pPr>
  </w:p>
  <w:p w14:paraId="32B7FB70" w14:textId="77777777" w:rsidR="00B8682A" w:rsidRPr="00BD4FE2" w:rsidRDefault="00B8682A" w:rsidP="00BD4FE2">
    <w:pPr>
      <w:spacing w:after="0" w:line="240" w:lineRule="auto"/>
      <w:rPr>
        <w:rFonts w:ascii="Arial" w:hAnsi="Arial" w:cs="Arial"/>
        <w:b/>
        <w:sz w:val="24"/>
        <w:szCs w:val="24"/>
      </w:rPr>
    </w:pPr>
  </w:p>
  <w:p w14:paraId="5735D951" w14:textId="77777777" w:rsidR="00B8682A" w:rsidRDefault="00B8682A" w:rsidP="00BD4FE2">
    <w:pPr>
      <w:spacing w:after="0" w:line="240" w:lineRule="auto"/>
      <w:jc w:val="center"/>
      <w:rPr>
        <w:rFonts w:ascii="Arial" w:hAnsi="Arial" w:cs="Arial"/>
        <w:b/>
        <w:sz w:val="24"/>
        <w:szCs w:val="24"/>
      </w:rPr>
    </w:pPr>
    <w:r>
      <w:rPr>
        <w:rFonts w:ascii="Arial" w:hAnsi="Arial" w:cs="Arial"/>
        <w:b/>
        <w:sz w:val="24"/>
        <w:szCs w:val="24"/>
      </w:rPr>
      <w:t>FIRSTENERGY PENNSYLVANIA COMPANIES</w:t>
    </w:r>
  </w:p>
  <w:p w14:paraId="47DEEC44" w14:textId="77777777" w:rsidR="00B8682A" w:rsidRPr="00BD4FE2" w:rsidRDefault="00B8682A" w:rsidP="00BD4FE2">
    <w:pPr>
      <w:spacing w:after="0" w:line="240" w:lineRule="auto"/>
      <w:jc w:val="center"/>
      <w:rPr>
        <w:rFonts w:ascii="Arial" w:hAnsi="Arial" w:cs="Arial"/>
        <w:b/>
        <w:sz w:val="24"/>
        <w:szCs w:val="24"/>
      </w:rPr>
    </w:pPr>
    <w:r w:rsidRPr="00BD4FE2">
      <w:rPr>
        <w:rFonts w:ascii="Arial" w:hAnsi="Arial" w:cs="Arial"/>
        <w:b/>
        <w:sz w:val="24"/>
        <w:szCs w:val="24"/>
      </w:rPr>
      <w:t>MANAGEMENT EFFICIENCY INVESTIGATION</w:t>
    </w:r>
  </w:p>
  <w:p w14:paraId="4E1ABF80" w14:textId="77777777" w:rsidR="00B8682A" w:rsidRPr="00BD4FE2" w:rsidRDefault="00B8682A" w:rsidP="00BD4FE2">
    <w:pPr>
      <w:spacing w:after="0" w:line="240" w:lineRule="auto"/>
      <w:jc w:val="center"/>
      <w:rPr>
        <w:rFonts w:ascii="Arial" w:hAnsi="Arial" w:cs="Arial"/>
        <w:b/>
        <w:sz w:val="24"/>
        <w:szCs w:val="24"/>
      </w:rPr>
    </w:pPr>
    <w:r w:rsidRPr="00BD4FE2">
      <w:rPr>
        <w:rFonts w:ascii="Arial" w:hAnsi="Arial" w:cs="Arial"/>
        <w:b/>
        <w:sz w:val="24"/>
        <w:szCs w:val="24"/>
      </w:rPr>
      <w:t xml:space="preserve">SUMMARY OF </w:t>
    </w:r>
    <w:r>
      <w:rPr>
        <w:rFonts w:ascii="Arial" w:hAnsi="Arial" w:cs="Arial"/>
        <w:b/>
        <w:sz w:val="24"/>
        <w:szCs w:val="24"/>
      </w:rPr>
      <w:t>NOVEMBER 2014</w:t>
    </w:r>
    <w:r w:rsidRPr="00BD4FE2">
      <w:rPr>
        <w:rFonts w:ascii="Arial" w:hAnsi="Arial" w:cs="Arial"/>
        <w:b/>
        <w:sz w:val="24"/>
        <w:szCs w:val="24"/>
      </w:rPr>
      <w:t xml:space="preserve"> MANAGEMENT AUDIT RECOMMENDATIONS AND STAFF’S FOLLOW-UP FINDINGS</w:t>
    </w:r>
    <w:r>
      <w:rPr>
        <w:rFonts w:ascii="Arial" w:hAnsi="Arial" w:cs="Arial"/>
        <w:b/>
        <w:sz w:val="24"/>
        <w:szCs w:val="24"/>
      </w:rPr>
      <w:t>, CONCLUSIONS</w:t>
    </w:r>
    <w:r w:rsidRPr="00BD4FE2">
      <w:rPr>
        <w:rFonts w:ascii="Arial" w:hAnsi="Arial" w:cs="Arial"/>
        <w:b/>
        <w:sz w:val="24"/>
        <w:szCs w:val="24"/>
      </w:rPr>
      <w:t xml:space="preserve"> AND RECOMMENDATIONS</w:t>
    </w:r>
  </w:p>
  <w:p w14:paraId="73316052" w14:textId="77777777" w:rsidR="00B8682A" w:rsidRPr="00BD4FE2" w:rsidRDefault="00B8682A" w:rsidP="00BD4FE2">
    <w:pPr>
      <w:spacing w:after="0" w:line="240" w:lineRule="auto"/>
      <w:jc w:val="center"/>
      <w:rPr>
        <w:rFonts w:ascii="Arial" w:hAnsi="Arial" w:cs="Arial"/>
        <w:b/>
        <w:sz w:val="24"/>
        <w:szCs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7EA9" w14:textId="12FA13B6" w:rsidR="00B8682A" w:rsidRDefault="00B8682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B4155" w14:textId="1ED2D6DB" w:rsidR="00B8682A" w:rsidRPr="00DC1986" w:rsidRDefault="00B8682A" w:rsidP="00BD4FE2">
    <w:pPr>
      <w:tabs>
        <w:tab w:val="center" w:pos="4680"/>
        <w:tab w:val="right" w:pos="9450"/>
      </w:tabs>
      <w:spacing w:after="0" w:line="240" w:lineRule="auto"/>
      <w:jc w:val="center"/>
      <w:rPr>
        <w:rFonts w:ascii="Arial" w:hAnsi="Arial" w:cs="Arial"/>
        <w:b/>
        <w:sz w:val="24"/>
        <w:szCs w:val="24"/>
      </w:rPr>
    </w:pPr>
    <w:r>
      <w:rPr>
        <w:rFonts w:ascii="Arial" w:hAnsi="Arial" w:cs="Arial"/>
        <w:b/>
      </w:rPr>
      <w:tab/>
    </w:r>
    <w:r>
      <w:rPr>
        <w:rFonts w:ascii="Arial" w:hAnsi="Arial" w:cs="Arial"/>
        <w:b/>
      </w:rPr>
      <w:tab/>
    </w:r>
    <w:r w:rsidRPr="00DC1986">
      <w:rPr>
        <w:rFonts w:ascii="Arial" w:hAnsi="Arial" w:cs="Arial"/>
        <w:b/>
        <w:sz w:val="24"/>
        <w:szCs w:val="24"/>
      </w:rPr>
      <w:t>Exhibit II-1</w:t>
    </w:r>
  </w:p>
  <w:p w14:paraId="59E61E5D" w14:textId="77777777" w:rsidR="00B8682A" w:rsidRPr="00DC1986" w:rsidRDefault="00B8682A" w:rsidP="00BD4FE2">
    <w:pPr>
      <w:tabs>
        <w:tab w:val="center" w:pos="4680"/>
        <w:tab w:val="right" w:pos="9450"/>
      </w:tabs>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t>Page 4</w:t>
    </w:r>
    <w:r w:rsidRPr="00DC1986">
      <w:rPr>
        <w:rFonts w:ascii="Arial" w:hAnsi="Arial" w:cs="Arial"/>
        <w:b/>
        <w:sz w:val="24"/>
        <w:szCs w:val="24"/>
      </w:rPr>
      <w:t xml:space="preserve"> of </w:t>
    </w:r>
    <w:r>
      <w:rPr>
        <w:rFonts w:ascii="Arial" w:hAnsi="Arial" w:cs="Arial"/>
        <w:b/>
        <w:sz w:val="24"/>
        <w:szCs w:val="24"/>
      </w:rPr>
      <w:t>6</w:t>
    </w:r>
  </w:p>
  <w:p w14:paraId="6C27B05F" w14:textId="77777777" w:rsidR="00B8682A" w:rsidRPr="00DC1986" w:rsidRDefault="00B8682A" w:rsidP="00BD4FE2">
    <w:pPr>
      <w:spacing w:after="0" w:line="240" w:lineRule="auto"/>
      <w:jc w:val="center"/>
      <w:rPr>
        <w:rFonts w:ascii="Arial" w:hAnsi="Arial" w:cs="Arial"/>
        <w:b/>
        <w:sz w:val="24"/>
        <w:szCs w:val="24"/>
      </w:rPr>
    </w:pPr>
  </w:p>
  <w:p w14:paraId="49A61D81" w14:textId="77777777" w:rsidR="00B8682A" w:rsidRPr="00DC1986" w:rsidRDefault="00B8682A" w:rsidP="00BD4FE2">
    <w:pPr>
      <w:spacing w:after="0" w:line="240" w:lineRule="auto"/>
      <w:jc w:val="center"/>
      <w:rPr>
        <w:rFonts w:ascii="Arial" w:hAnsi="Arial" w:cs="Arial"/>
        <w:b/>
        <w:sz w:val="24"/>
        <w:szCs w:val="24"/>
      </w:rPr>
    </w:pPr>
  </w:p>
  <w:p w14:paraId="04C6B469" w14:textId="77777777" w:rsidR="00B8682A" w:rsidRPr="00DC1986" w:rsidRDefault="00B8682A" w:rsidP="00DC1986">
    <w:pPr>
      <w:spacing w:after="0" w:line="240" w:lineRule="auto"/>
      <w:jc w:val="center"/>
      <w:rPr>
        <w:rFonts w:ascii="Arial" w:hAnsi="Arial" w:cs="Arial"/>
        <w:b/>
        <w:sz w:val="24"/>
        <w:szCs w:val="24"/>
      </w:rPr>
    </w:pPr>
    <w:r>
      <w:rPr>
        <w:rFonts w:ascii="Arial" w:hAnsi="Arial" w:cs="Arial"/>
        <w:b/>
        <w:sz w:val="24"/>
        <w:szCs w:val="24"/>
      </w:rPr>
      <w:t>FIRSTENERGY PENNSYLVANIA COMPANIES</w:t>
    </w:r>
  </w:p>
  <w:p w14:paraId="5603CBC0" w14:textId="77777777" w:rsidR="00B8682A" w:rsidRPr="00DC1986" w:rsidRDefault="00B8682A" w:rsidP="00BD4FE2">
    <w:pPr>
      <w:spacing w:after="0" w:line="240" w:lineRule="auto"/>
      <w:jc w:val="center"/>
      <w:rPr>
        <w:rFonts w:ascii="Arial" w:hAnsi="Arial" w:cs="Arial"/>
        <w:b/>
        <w:sz w:val="24"/>
        <w:szCs w:val="24"/>
      </w:rPr>
    </w:pPr>
    <w:r w:rsidRPr="00DC1986">
      <w:rPr>
        <w:rFonts w:ascii="Arial" w:hAnsi="Arial" w:cs="Arial"/>
        <w:b/>
        <w:sz w:val="24"/>
        <w:szCs w:val="24"/>
      </w:rPr>
      <w:t>MANAGEMENT EFFICIENCY INVESTIGATION</w:t>
    </w:r>
  </w:p>
  <w:p w14:paraId="6AAC7A03" w14:textId="77777777" w:rsidR="00B8682A" w:rsidRPr="00DC1986" w:rsidRDefault="00B8682A" w:rsidP="00BD4FE2">
    <w:pPr>
      <w:spacing w:after="0" w:line="240" w:lineRule="auto"/>
      <w:jc w:val="center"/>
      <w:rPr>
        <w:rFonts w:ascii="Arial" w:hAnsi="Arial" w:cs="Arial"/>
        <w:b/>
        <w:sz w:val="24"/>
        <w:szCs w:val="24"/>
      </w:rPr>
    </w:pPr>
    <w:r w:rsidRPr="00DC1986">
      <w:rPr>
        <w:rFonts w:ascii="Arial" w:hAnsi="Arial" w:cs="Arial"/>
        <w:b/>
        <w:sz w:val="24"/>
        <w:szCs w:val="24"/>
      </w:rPr>
      <w:t xml:space="preserve">SUMMARY OF </w:t>
    </w:r>
    <w:r>
      <w:rPr>
        <w:rFonts w:ascii="Arial" w:hAnsi="Arial" w:cs="Arial"/>
        <w:b/>
        <w:sz w:val="24"/>
        <w:szCs w:val="24"/>
      </w:rPr>
      <w:t>NOVEMBER 2014</w:t>
    </w:r>
    <w:r w:rsidRPr="00DC1986">
      <w:rPr>
        <w:rFonts w:ascii="Arial" w:hAnsi="Arial" w:cs="Arial"/>
        <w:b/>
        <w:sz w:val="24"/>
        <w:szCs w:val="24"/>
      </w:rPr>
      <w:t xml:space="preserve"> MANAGEMENT AUDIT RECOMMENDATIONS AND STAFF’S FOLLOW-UP FINDINGS</w:t>
    </w:r>
    <w:r>
      <w:rPr>
        <w:rFonts w:ascii="Arial" w:hAnsi="Arial" w:cs="Arial"/>
        <w:b/>
        <w:sz w:val="24"/>
        <w:szCs w:val="24"/>
      </w:rPr>
      <w:t>, CONCLUSIONS</w:t>
    </w:r>
    <w:r w:rsidRPr="00DC1986">
      <w:rPr>
        <w:rFonts w:ascii="Arial" w:hAnsi="Arial" w:cs="Arial"/>
        <w:b/>
        <w:sz w:val="24"/>
        <w:szCs w:val="24"/>
      </w:rPr>
      <w:t xml:space="preserve"> AND RECOMMENDATIONS</w:t>
    </w:r>
  </w:p>
  <w:p w14:paraId="75D1A931" w14:textId="77777777" w:rsidR="00B8682A" w:rsidRPr="00DC1986" w:rsidRDefault="00B8682A" w:rsidP="00BD4FE2">
    <w:pPr>
      <w:spacing w:after="0" w:line="240" w:lineRule="auto"/>
      <w:jc w:val="center"/>
      <w:rPr>
        <w:rFonts w:ascii="Arial" w:hAnsi="Arial" w:cs="Arial"/>
        <w:b/>
        <w:sz w:val="24"/>
        <w:szCs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411CF" w14:textId="04AA43DC" w:rsidR="00B8682A" w:rsidRDefault="00B8682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ED563" w14:textId="42DD566E" w:rsidR="00B8682A" w:rsidRDefault="00B86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79B22" w14:textId="245FC6F7" w:rsidR="00B8682A" w:rsidRPr="006F27F8" w:rsidRDefault="00B8682A" w:rsidP="00636A64">
    <w:pPr>
      <w:spacing w:after="0" w:line="240" w:lineRule="auto"/>
      <w:jc w:val="center"/>
      <w:rPr>
        <w:rFonts w:ascii="Arial" w:eastAsia="Calibri" w:hAnsi="Arial" w:cs="Arial"/>
        <w:b/>
        <w:sz w:val="26"/>
        <w:szCs w:val="26"/>
      </w:rPr>
    </w:pPr>
    <w:r>
      <w:rPr>
        <w:rFonts w:ascii="Arial" w:eastAsia="Calibri" w:hAnsi="Arial" w:cs="Arial"/>
        <w:b/>
        <w:sz w:val="26"/>
        <w:szCs w:val="26"/>
      </w:rPr>
      <w:t>FIRSTENERGY PENNSYLVANIA COMPANIES</w:t>
    </w:r>
  </w:p>
  <w:p w14:paraId="45573188" w14:textId="77777777" w:rsidR="00B8682A" w:rsidRDefault="00B8682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27C72" w14:textId="4049A436" w:rsidR="00B8682A" w:rsidRPr="00BD4FE2" w:rsidRDefault="00B8682A" w:rsidP="00D362A9">
    <w:pPr>
      <w:tabs>
        <w:tab w:val="center" w:pos="4680"/>
        <w:tab w:val="right" w:pos="9450"/>
      </w:tabs>
      <w:spacing w:after="0" w:line="240" w:lineRule="auto"/>
      <w:jc w:val="right"/>
      <w:rPr>
        <w:rFonts w:ascii="Arial" w:hAnsi="Arial" w:cs="Arial"/>
        <w:b/>
        <w:sz w:val="24"/>
        <w:szCs w:val="24"/>
      </w:rPr>
    </w:pPr>
    <w:r w:rsidRPr="00BD4FE2">
      <w:rPr>
        <w:rFonts w:ascii="Arial" w:hAnsi="Arial" w:cs="Arial"/>
        <w:b/>
        <w:sz w:val="24"/>
        <w:szCs w:val="24"/>
      </w:rPr>
      <w:t>Exhibit II-1</w:t>
    </w:r>
  </w:p>
  <w:p w14:paraId="16ECFDBB" w14:textId="77777777" w:rsidR="00B8682A" w:rsidRPr="00BD4FE2" w:rsidRDefault="00B8682A" w:rsidP="00D362A9">
    <w:pPr>
      <w:tabs>
        <w:tab w:val="center" w:pos="4680"/>
        <w:tab w:val="right" w:pos="9450"/>
      </w:tabs>
      <w:spacing w:after="0" w:line="240" w:lineRule="auto"/>
      <w:jc w:val="right"/>
      <w:rPr>
        <w:rFonts w:ascii="Arial" w:hAnsi="Arial" w:cs="Arial"/>
        <w:b/>
        <w:sz w:val="24"/>
        <w:szCs w:val="24"/>
      </w:rPr>
    </w:pPr>
    <w:r w:rsidRPr="00BD4FE2">
      <w:rPr>
        <w:rFonts w:ascii="Arial" w:hAnsi="Arial" w:cs="Arial"/>
        <w:b/>
        <w:sz w:val="24"/>
        <w:szCs w:val="24"/>
      </w:rPr>
      <w:t xml:space="preserve">Page </w:t>
    </w:r>
    <w:r>
      <w:rPr>
        <w:rFonts w:ascii="Arial" w:hAnsi="Arial" w:cs="Arial"/>
        <w:b/>
        <w:sz w:val="24"/>
        <w:szCs w:val="24"/>
      </w:rPr>
      <w:t>5</w:t>
    </w:r>
    <w:r w:rsidRPr="00BD4FE2">
      <w:rPr>
        <w:rFonts w:ascii="Arial" w:hAnsi="Arial" w:cs="Arial"/>
        <w:b/>
        <w:sz w:val="24"/>
        <w:szCs w:val="24"/>
      </w:rPr>
      <w:t xml:space="preserve"> of </w:t>
    </w:r>
    <w:r>
      <w:rPr>
        <w:rFonts w:ascii="Arial" w:hAnsi="Arial" w:cs="Arial"/>
        <w:b/>
        <w:sz w:val="24"/>
        <w:szCs w:val="24"/>
      </w:rPr>
      <w:t>6</w:t>
    </w:r>
  </w:p>
  <w:p w14:paraId="1CCE9A05" w14:textId="77777777" w:rsidR="00B8682A" w:rsidRDefault="00B8682A" w:rsidP="005136B8">
    <w:pPr>
      <w:spacing w:after="0" w:line="240" w:lineRule="auto"/>
      <w:jc w:val="center"/>
      <w:rPr>
        <w:rFonts w:ascii="Arial" w:hAnsi="Arial" w:cs="Arial"/>
        <w:b/>
        <w:sz w:val="24"/>
        <w:szCs w:val="24"/>
      </w:rPr>
    </w:pPr>
  </w:p>
  <w:p w14:paraId="3CF7764D" w14:textId="77777777" w:rsidR="00B8682A" w:rsidRPr="00DC1986" w:rsidRDefault="00B8682A" w:rsidP="005136B8">
    <w:pPr>
      <w:spacing w:after="0" w:line="240" w:lineRule="auto"/>
      <w:jc w:val="center"/>
      <w:rPr>
        <w:rFonts w:ascii="Arial" w:hAnsi="Arial" w:cs="Arial"/>
        <w:b/>
        <w:sz w:val="24"/>
        <w:szCs w:val="24"/>
      </w:rPr>
    </w:pPr>
    <w:r>
      <w:rPr>
        <w:rFonts w:ascii="Arial" w:hAnsi="Arial" w:cs="Arial"/>
        <w:b/>
        <w:sz w:val="24"/>
        <w:szCs w:val="24"/>
      </w:rPr>
      <w:t>FIRSTENERGY PENNSYLVANIA COMPANIES</w:t>
    </w:r>
  </w:p>
  <w:p w14:paraId="7C82428F" w14:textId="77777777" w:rsidR="00B8682A" w:rsidRPr="00DC1986" w:rsidRDefault="00B8682A" w:rsidP="005136B8">
    <w:pPr>
      <w:spacing w:after="0" w:line="240" w:lineRule="auto"/>
      <w:jc w:val="center"/>
      <w:rPr>
        <w:rFonts w:ascii="Arial" w:hAnsi="Arial" w:cs="Arial"/>
        <w:b/>
        <w:sz w:val="24"/>
        <w:szCs w:val="24"/>
      </w:rPr>
    </w:pPr>
    <w:r w:rsidRPr="00DC1986">
      <w:rPr>
        <w:rFonts w:ascii="Arial" w:hAnsi="Arial" w:cs="Arial"/>
        <w:b/>
        <w:sz w:val="24"/>
        <w:szCs w:val="24"/>
      </w:rPr>
      <w:t>MANAGEMENT EFFICIENCY INVESTIGATION</w:t>
    </w:r>
  </w:p>
  <w:p w14:paraId="2C4058F1" w14:textId="77777777" w:rsidR="00B8682A" w:rsidRPr="00DC1986" w:rsidRDefault="00B8682A" w:rsidP="005136B8">
    <w:pPr>
      <w:spacing w:after="0" w:line="240" w:lineRule="auto"/>
      <w:jc w:val="center"/>
      <w:rPr>
        <w:rFonts w:ascii="Arial" w:hAnsi="Arial" w:cs="Arial"/>
        <w:b/>
        <w:sz w:val="24"/>
        <w:szCs w:val="24"/>
      </w:rPr>
    </w:pPr>
    <w:r w:rsidRPr="00DC1986">
      <w:rPr>
        <w:rFonts w:ascii="Arial" w:hAnsi="Arial" w:cs="Arial"/>
        <w:b/>
        <w:sz w:val="24"/>
        <w:szCs w:val="24"/>
      </w:rPr>
      <w:t xml:space="preserve">SUMMARY OF </w:t>
    </w:r>
    <w:r>
      <w:rPr>
        <w:rFonts w:ascii="Arial" w:hAnsi="Arial" w:cs="Arial"/>
        <w:b/>
        <w:sz w:val="24"/>
        <w:szCs w:val="24"/>
      </w:rPr>
      <w:t>NOVEMBER 2014</w:t>
    </w:r>
    <w:r w:rsidRPr="00DC1986">
      <w:rPr>
        <w:rFonts w:ascii="Arial" w:hAnsi="Arial" w:cs="Arial"/>
        <w:b/>
        <w:sz w:val="24"/>
        <w:szCs w:val="24"/>
      </w:rPr>
      <w:t xml:space="preserve"> MANAGEMENT AUDIT RECOMMENDATIONS AND STAFF’S FOLLOW-UP FINDINGS</w:t>
    </w:r>
    <w:r>
      <w:rPr>
        <w:rFonts w:ascii="Arial" w:hAnsi="Arial" w:cs="Arial"/>
        <w:b/>
        <w:sz w:val="24"/>
        <w:szCs w:val="24"/>
      </w:rPr>
      <w:t>, CONCLUSIONS</w:t>
    </w:r>
    <w:r w:rsidRPr="00DC1986">
      <w:rPr>
        <w:rFonts w:ascii="Arial" w:hAnsi="Arial" w:cs="Arial"/>
        <w:b/>
        <w:sz w:val="24"/>
        <w:szCs w:val="24"/>
      </w:rPr>
      <w:t xml:space="preserve"> AND RECOMMENDATIONS</w:t>
    </w:r>
  </w:p>
  <w:p w14:paraId="3BA0EC18" w14:textId="77777777" w:rsidR="00B8682A" w:rsidRPr="009C33A7" w:rsidRDefault="00B8682A" w:rsidP="009C33A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68C28" w14:textId="198949B5" w:rsidR="00B8682A" w:rsidRDefault="00B8682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F4824" w14:textId="3EE787E3" w:rsidR="00B8682A" w:rsidRDefault="00B8682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3F71A" w14:textId="5354E302" w:rsidR="00B8682A" w:rsidRPr="00BD4FE2" w:rsidRDefault="00B8682A" w:rsidP="00D362A9">
    <w:pPr>
      <w:tabs>
        <w:tab w:val="center" w:pos="4680"/>
        <w:tab w:val="right" w:pos="9450"/>
      </w:tabs>
      <w:spacing w:after="0" w:line="240" w:lineRule="auto"/>
      <w:jc w:val="right"/>
      <w:rPr>
        <w:rFonts w:ascii="Arial" w:hAnsi="Arial" w:cs="Arial"/>
        <w:b/>
        <w:sz w:val="24"/>
        <w:szCs w:val="24"/>
      </w:rPr>
    </w:pPr>
    <w:r w:rsidRPr="00BD4FE2">
      <w:rPr>
        <w:rFonts w:ascii="Arial" w:hAnsi="Arial" w:cs="Arial"/>
        <w:b/>
        <w:sz w:val="24"/>
        <w:szCs w:val="24"/>
      </w:rPr>
      <w:t>Exhibit II-1</w:t>
    </w:r>
  </w:p>
  <w:p w14:paraId="698B84B2" w14:textId="77777777" w:rsidR="00B8682A" w:rsidRPr="00BD4FE2" w:rsidRDefault="00B8682A" w:rsidP="00D362A9">
    <w:pPr>
      <w:tabs>
        <w:tab w:val="center" w:pos="4680"/>
        <w:tab w:val="right" w:pos="9450"/>
      </w:tabs>
      <w:spacing w:after="0" w:line="240" w:lineRule="auto"/>
      <w:jc w:val="right"/>
      <w:rPr>
        <w:rFonts w:ascii="Arial" w:hAnsi="Arial" w:cs="Arial"/>
        <w:b/>
        <w:sz w:val="24"/>
        <w:szCs w:val="24"/>
      </w:rPr>
    </w:pPr>
    <w:r w:rsidRPr="00BD4FE2">
      <w:rPr>
        <w:rFonts w:ascii="Arial" w:hAnsi="Arial" w:cs="Arial"/>
        <w:b/>
        <w:sz w:val="24"/>
        <w:szCs w:val="24"/>
      </w:rPr>
      <w:t xml:space="preserve">Page </w:t>
    </w:r>
    <w:r>
      <w:rPr>
        <w:rFonts w:ascii="Arial" w:hAnsi="Arial" w:cs="Arial"/>
        <w:b/>
        <w:sz w:val="24"/>
        <w:szCs w:val="24"/>
      </w:rPr>
      <w:t>6</w:t>
    </w:r>
    <w:r w:rsidRPr="00BD4FE2">
      <w:rPr>
        <w:rFonts w:ascii="Arial" w:hAnsi="Arial" w:cs="Arial"/>
        <w:b/>
        <w:sz w:val="24"/>
        <w:szCs w:val="24"/>
      </w:rPr>
      <w:t xml:space="preserve"> of </w:t>
    </w:r>
    <w:r>
      <w:rPr>
        <w:rFonts w:ascii="Arial" w:hAnsi="Arial" w:cs="Arial"/>
        <w:b/>
        <w:sz w:val="24"/>
        <w:szCs w:val="24"/>
      </w:rPr>
      <w:t>6</w:t>
    </w:r>
  </w:p>
  <w:p w14:paraId="286EA238" w14:textId="77777777" w:rsidR="00B8682A" w:rsidRDefault="00B8682A" w:rsidP="005136B8">
    <w:pPr>
      <w:spacing w:after="0" w:line="240" w:lineRule="auto"/>
      <w:jc w:val="center"/>
      <w:rPr>
        <w:rFonts w:ascii="Arial" w:hAnsi="Arial" w:cs="Arial"/>
        <w:b/>
        <w:sz w:val="24"/>
        <w:szCs w:val="24"/>
      </w:rPr>
    </w:pPr>
  </w:p>
  <w:p w14:paraId="3751F3FE" w14:textId="77777777" w:rsidR="00B8682A" w:rsidRPr="00DC1986" w:rsidRDefault="00B8682A" w:rsidP="005136B8">
    <w:pPr>
      <w:spacing w:after="0" w:line="240" w:lineRule="auto"/>
      <w:jc w:val="center"/>
      <w:rPr>
        <w:rFonts w:ascii="Arial" w:hAnsi="Arial" w:cs="Arial"/>
        <w:b/>
        <w:sz w:val="24"/>
        <w:szCs w:val="24"/>
      </w:rPr>
    </w:pPr>
    <w:r>
      <w:rPr>
        <w:rFonts w:ascii="Arial" w:hAnsi="Arial" w:cs="Arial"/>
        <w:b/>
        <w:sz w:val="24"/>
        <w:szCs w:val="24"/>
      </w:rPr>
      <w:t>FIRSTENERGY PENNSYLVANIA COMPANIES</w:t>
    </w:r>
  </w:p>
  <w:p w14:paraId="5E0A3335" w14:textId="77777777" w:rsidR="00B8682A" w:rsidRPr="00DC1986" w:rsidRDefault="00B8682A" w:rsidP="005136B8">
    <w:pPr>
      <w:spacing w:after="0" w:line="240" w:lineRule="auto"/>
      <w:jc w:val="center"/>
      <w:rPr>
        <w:rFonts w:ascii="Arial" w:hAnsi="Arial" w:cs="Arial"/>
        <w:b/>
        <w:sz w:val="24"/>
        <w:szCs w:val="24"/>
      </w:rPr>
    </w:pPr>
    <w:r w:rsidRPr="00DC1986">
      <w:rPr>
        <w:rFonts w:ascii="Arial" w:hAnsi="Arial" w:cs="Arial"/>
        <w:b/>
        <w:sz w:val="24"/>
        <w:szCs w:val="24"/>
      </w:rPr>
      <w:t>MANAGEMENT EFFICIENCY INVESTIGATION</w:t>
    </w:r>
  </w:p>
  <w:p w14:paraId="485B7396" w14:textId="77777777" w:rsidR="00B8682A" w:rsidRPr="00DC1986" w:rsidRDefault="00B8682A" w:rsidP="005136B8">
    <w:pPr>
      <w:spacing w:after="0" w:line="240" w:lineRule="auto"/>
      <w:jc w:val="center"/>
      <w:rPr>
        <w:rFonts w:ascii="Arial" w:hAnsi="Arial" w:cs="Arial"/>
        <w:b/>
        <w:sz w:val="24"/>
        <w:szCs w:val="24"/>
      </w:rPr>
    </w:pPr>
    <w:r w:rsidRPr="00DC1986">
      <w:rPr>
        <w:rFonts w:ascii="Arial" w:hAnsi="Arial" w:cs="Arial"/>
        <w:b/>
        <w:sz w:val="24"/>
        <w:szCs w:val="24"/>
      </w:rPr>
      <w:t xml:space="preserve">SUMMARY OF </w:t>
    </w:r>
    <w:r>
      <w:rPr>
        <w:rFonts w:ascii="Arial" w:hAnsi="Arial" w:cs="Arial"/>
        <w:b/>
        <w:sz w:val="24"/>
        <w:szCs w:val="24"/>
      </w:rPr>
      <w:t>NOVEMBER 2014</w:t>
    </w:r>
    <w:r w:rsidRPr="00DC1986">
      <w:rPr>
        <w:rFonts w:ascii="Arial" w:hAnsi="Arial" w:cs="Arial"/>
        <w:b/>
        <w:sz w:val="24"/>
        <w:szCs w:val="24"/>
      </w:rPr>
      <w:t xml:space="preserve"> MANAGEMENT AUDIT RECOMMENDATIONS AND STAFF’S FOLLOW-UP FINDINGS</w:t>
    </w:r>
    <w:r>
      <w:rPr>
        <w:rFonts w:ascii="Arial" w:hAnsi="Arial" w:cs="Arial"/>
        <w:b/>
        <w:sz w:val="24"/>
        <w:szCs w:val="24"/>
      </w:rPr>
      <w:t>, CONCLUSIONS</w:t>
    </w:r>
    <w:r w:rsidRPr="00DC1986">
      <w:rPr>
        <w:rFonts w:ascii="Arial" w:hAnsi="Arial" w:cs="Arial"/>
        <w:b/>
        <w:sz w:val="24"/>
        <w:szCs w:val="24"/>
      </w:rPr>
      <w:t xml:space="preserve"> AND RECOMMENDATIONS</w:t>
    </w:r>
  </w:p>
  <w:p w14:paraId="776E1A94" w14:textId="77777777" w:rsidR="00B8682A" w:rsidRPr="009C33A7" w:rsidRDefault="00B8682A" w:rsidP="009C33A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21ECE" w14:textId="642D74D2" w:rsidR="00B8682A" w:rsidRDefault="00B8682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67B6" w14:textId="5BD5924D" w:rsidR="00B8682A" w:rsidRDefault="00B8682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F6867" w14:textId="2B5A692B" w:rsidR="00B8682A" w:rsidRPr="00433DD1" w:rsidRDefault="00B8682A" w:rsidP="00347614">
    <w:pPr>
      <w:pStyle w:val="Header"/>
      <w:jc w:val="center"/>
      <w:rPr>
        <w:rFonts w:ascii="Arial" w:hAnsi="Arial" w:cs="Arial"/>
        <w:b/>
        <w:sz w:val="24"/>
        <w:szCs w:val="24"/>
      </w:rPr>
    </w:pPr>
    <w:r w:rsidRPr="00433DD1">
      <w:rPr>
        <w:rFonts w:ascii="Arial" w:hAnsi="Arial" w:cs="Arial"/>
        <w:b/>
        <w:sz w:val="24"/>
        <w:szCs w:val="24"/>
      </w:rPr>
      <w:t>FIRSTENERGY PENNSYLVANIA COMPANIES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F6051" w14:textId="7A95B1DE" w:rsidR="00B8682A" w:rsidRDefault="00B86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807E" w14:textId="6A15B182" w:rsidR="00B8682A" w:rsidRPr="006E519A" w:rsidRDefault="00B8682A" w:rsidP="006E519A">
    <w:pPr>
      <w:spacing w:after="0" w:line="240" w:lineRule="auto"/>
      <w:jc w:val="center"/>
      <w:rPr>
        <w:rFonts w:ascii="Arial" w:eastAsia="Calibri" w:hAnsi="Arial" w:cs="Arial"/>
        <w:b/>
        <w:sz w:val="26"/>
        <w:szCs w:val="26"/>
      </w:rPr>
    </w:pPr>
    <w:r>
      <w:rPr>
        <w:rFonts w:ascii="Arial" w:eastAsia="Calibri" w:hAnsi="Arial" w:cs="Arial"/>
        <w:b/>
        <w:sz w:val="26"/>
        <w:szCs w:val="26"/>
      </w:rPr>
      <w:t>FIRSTENERGY PENNSYLVANIA COMPANIES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729A" w14:textId="5DE21A94" w:rsidR="00B8682A" w:rsidRDefault="00B868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AB1C9" w14:textId="4622770F" w:rsidR="00B8682A" w:rsidRDefault="00B8682A" w:rsidP="00B665FB">
    <w:pPr>
      <w:pStyle w:val="Header"/>
      <w:jc w:val="center"/>
      <w:rPr>
        <w:rFonts w:ascii="Arial" w:eastAsia="Calibri" w:hAnsi="Arial" w:cs="Arial"/>
        <w:b/>
        <w:sz w:val="26"/>
        <w:szCs w:val="26"/>
      </w:rPr>
    </w:pPr>
    <w:r>
      <w:rPr>
        <w:rFonts w:ascii="Arial" w:eastAsia="Calibri" w:hAnsi="Arial" w:cs="Arial"/>
        <w:b/>
        <w:sz w:val="26"/>
        <w:szCs w:val="26"/>
      </w:rPr>
      <w:t>FIRSTENERGY PENNSYLVANIA COMPANIES</w:t>
    </w:r>
  </w:p>
  <w:p w14:paraId="0077F545" w14:textId="73716F1D" w:rsidR="00B8682A" w:rsidRDefault="00B8682A" w:rsidP="00B665FB">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C6395" w14:textId="0960B3E5" w:rsidR="00B8682A" w:rsidRDefault="00B868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3303B" w14:textId="76F8664A" w:rsidR="00B8682A" w:rsidRDefault="00B8682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5F19" w14:textId="32790CBC" w:rsidR="00B8682A" w:rsidRPr="00DC1986" w:rsidRDefault="00B8682A" w:rsidP="00BD4FE2">
    <w:pPr>
      <w:tabs>
        <w:tab w:val="center" w:pos="4680"/>
        <w:tab w:val="right" w:pos="9450"/>
      </w:tabs>
      <w:spacing w:after="0" w:line="240" w:lineRule="auto"/>
      <w:jc w:val="center"/>
      <w:rPr>
        <w:rFonts w:ascii="Arial" w:hAnsi="Arial" w:cs="Arial"/>
        <w:b/>
        <w:sz w:val="24"/>
        <w:szCs w:val="24"/>
      </w:rPr>
    </w:pPr>
    <w:r>
      <w:rPr>
        <w:rFonts w:ascii="Arial" w:hAnsi="Arial" w:cs="Arial"/>
        <w:b/>
      </w:rPr>
      <w:tab/>
    </w:r>
    <w:r>
      <w:rPr>
        <w:rFonts w:ascii="Arial" w:hAnsi="Arial" w:cs="Arial"/>
        <w:b/>
      </w:rPr>
      <w:tab/>
    </w:r>
    <w:r w:rsidRPr="00DC1986">
      <w:rPr>
        <w:rFonts w:ascii="Arial" w:hAnsi="Arial" w:cs="Arial"/>
        <w:b/>
        <w:sz w:val="24"/>
        <w:szCs w:val="24"/>
      </w:rPr>
      <w:t>Exhibit II-1</w:t>
    </w:r>
  </w:p>
  <w:p w14:paraId="3453193A" w14:textId="77777777" w:rsidR="00B8682A" w:rsidRPr="00DC1986" w:rsidRDefault="00B8682A" w:rsidP="00BD4FE2">
    <w:pPr>
      <w:tabs>
        <w:tab w:val="center" w:pos="4680"/>
        <w:tab w:val="right" w:pos="9450"/>
      </w:tabs>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t>Page 3</w:t>
    </w:r>
    <w:r w:rsidRPr="00DC1986">
      <w:rPr>
        <w:rFonts w:ascii="Arial" w:hAnsi="Arial" w:cs="Arial"/>
        <w:b/>
        <w:sz w:val="24"/>
        <w:szCs w:val="24"/>
      </w:rPr>
      <w:t xml:space="preserve"> of </w:t>
    </w:r>
    <w:r>
      <w:rPr>
        <w:rFonts w:ascii="Arial" w:hAnsi="Arial" w:cs="Arial"/>
        <w:b/>
        <w:sz w:val="24"/>
        <w:szCs w:val="24"/>
      </w:rPr>
      <w:t>4</w:t>
    </w:r>
  </w:p>
  <w:p w14:paraId="72FB830F" w14:textId="77777777" w:rsidR="00B8682A" w:rsidRPr="00DC1986" w:rsidRDefault="00B8682A" w:rsidP="00BD4FE2">
    <w:pPr>
      <w:spacing w:after="0" w:line="240" w:lineRule="auto"/>
      <w:jc w:val="center"/>
      <w:rPr>
        <w:rFonts w:ascii="Arial" w:hAnsi="Arial" w:cs="Arial"/>
        <w:b/>
        <w:sz w:val="24"/>
        <w:szCs w:val="24"/>
      </w:rPr>
    </w:pPr>
  </w:p>
  <w:p w14:paraId="35DFD11C" w14:textId="77777777" w:rsidR="00B8682A" w:rsidRPr="00DC1986" w:rsidRDefault="00B8682A" w:rsidP="00BD4FE2">
    <w:pPr>
      <w:spacing w:after="0" w:line="240" w:lineRule="auto"/>
      <w:jc w:val="center"/>
      <w:rPr>
        <w:rFonts w:ascii="Arial" w:hAnsi="Arial" w:cs="Arial"/>
        <w:b/>
        <w:sz w:val="24"/>
        <w:szCs w:val="24"/>
      </w:rPr>
    </w:pPr>
  </w:p>
  <w:p w14:paraId="6665DFFC" w14:textId="77777777" w:rsidR="00B8682A" w:rsidRPr="00DC1986" w:rsidRDefault="00B8682A" w:rsidP="00DC1986">
    <w:pPr>
      <w:spacing w:after="0" w:line="240" w:lineRule="auto"/>
      <w:jc w:val="center"/>
      <w:rPr>
        <w:rFonts w:ascii="Arial" w:hAnsi="Arial" w:cs="Arial"/>
        <w:b/>
        <w:sz w:val="24"/>
        <w:szCs w:val="24"/>
      </w:rPr>
    </w:pPr>
    <w:r>
      <w:rPr>
        <w:rFonts w:ascii="Arial" w:hAnsi="Arial" w:cs="Arial"/>
        <w:b/>
        <w:sz w:val="24"/>
        <w:szCs w:val="24"/>
      </w:rPr>
      <w:t>DUQUESNE LIGHT COMPANY</w:t>
    </w:r>
  </w:p>
  <w:p w14:paraId="6D4EA4F4" w14:textId="77777777" w:rsidR="00B8682A" w:rsidRPr="00DC1986" w:rsidRDefault="00B8682A" w:rsidP="00BD4FE2">
    <w:pPr>
      <w:spacing w:after="0" w:line="240" w:lineRule="auto"/>
      <w:jc w:val="center"/>
      <w:rPr>
        <w:rFonts w:ascii="Arial" w:hAnsi="Arial" w:cs="Arial"/>
        <w:b/>
        <w:sz w:val="24"/>
        <w:szCs w:val="24"/>
      </w:rPr>
    </w:pPr>
    <w:r w:rsidRPr="00DC1986">
      <w:rPr>
        <w:rFonts w:ascii="Arial" w:hAnsi="Arial" w:cs="Arial"/>
        <w:b/>
        <w:sz w:val="24"/>
        <w:szCs w:val="24"/>
      </w:rPr>
      <w:t>MANAGEMENT EFFICIENCY INVESTIGATION</w:t>
    </w:r>
  </w:p>
  <w:p w14:paraId="7D1B1FBF" w14:textId="77777777" w:rsidR="00B8682A" w:rsidRPr="00DC1986" w:rsidRDefault="00B8682A" w:rsidP="00BD4FE2">
    <w:pPr>
      <w:spacing w:after="0" w:line="240" w:lineRule="auto"/>
      <w:jc w:val="center"/>
      <w:rPr>
        <w:rFonts w:ascii="Arial" w:hAnsi="Arial" w:cs="Arial"/>
        <w:b/>
        <w:sz w:val="24"/>
        <w:szCs w:val="24"/>
      </w:rPr>
    </w:pPr>
    <w:r w:rsidRPr="00DC1986">
      <w:rPr>
        <w:rFonts w:ascii="Arial" w:hAnsi="Arial" w:cs="Arial"/>
        <w:b/>
        <w:sz w:val="24"/>
        <w:szCs w:val="24"/>
      </w:rPr>
      <w:t xml:space="preserve">SUMMARY OF </w:t>
    </w:r>
    <w:r>
      <w:rPr>
        <w:rFonts w:ascii="Arial" w:hAnsi="Arial" w:cs="Arial"/>
        <w:b/>
        <w:sz w:val="24"/>
        <w:szCs w:val="24"/>
      </w:rPr>
      <w:t>FEBRUARY 2013</w:t>
    </w:r>
    <w:r w:rsidRPr="00DC1986">
      <w:rPr>
        <w:rFonts w:ascii="Arial" w:hAnsi="Arial" w:cs="Arial"/>
        <w:b/>
        <w:sz w:val="24"/>
        <w:szCs w:val="24"/>
      </w:rPr>
      <w:t xml:space="preserve"> MANAGEMENT AUDIT RECOMMENDATIONS AND STAFF’S FOLLOW-UP FINDINGS</w:t>
    </w:r>
    <w:r>
      <w:rPr>
        <w:rFonts w:ascii="Arial" w:hAnsi="Arial" w:cs="Arial"/>
        <w:b/>
        <w:sz w:val="24"/>
        <w:szCs w:val="24"/>
      </w:rPr>
      <w:t>, CONCLUSIONS</w:t>
    </w:r>
    <w:r w:rsidRPr="00DC1986">
      <w:rPr>
        <w:rFonts w:ascii="Arial" w:hAnsi="Arial" w:cs="Arial"/>
        <w:b/>
        <w:sz w:val="24"/>
        <w:szCs w:val="24"/>
      </w:rPr>
      <w:t xml:space="preserve"> AND RECOMMENDATIONS</w:t>
    </w:r>
  </w:p>
  <w:p w14:paraId="149DCD03" w14:textId="77777777" w:rsidR="00B8682A" w:rsidRPr="00DC1986" w:rsidRDefault="00B8682A" w:rsidP="00BD4FE2">
    <w:pPr>
      <w:spacing w:after="0" w:line="240" w:lineRule="auto"/>
      <w:jc w:val="center"/>
      <w:rPr>
        <w:rFonts w:ascii="Arial" w:hAnsi="Arial" w:cs="Arial"/>
        <w:b/>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F12E8" w14:textId="333E4561" w:rsidR="00B8682A" w:rsidRPr="00BD4FE2" w:rsidRDefault="00B8682A" w:rsidP="00AC73FC">
    <w:pPr>
      <w:tabs>
        <w:tab w:val="center" w:pos="4680"/>
        <w:tab w:val="right" w:pos="9450"/>
      </w:tabs>
      <w:spacing w:after="0" w:line="240" w:lineRule="auto"/>
      <w:jc w:val="right"/>
      <w:rPr>
        <w:rFonts w:ascii="Arial" w:hAnsi="Arial" w:cs="Arial"/>
        <w:b/>
        <w:sz w:val="24"/>
        <w:szCs w:val="24"/>
      </w:rPr>
    </w:pPr>
    <w:r w:rsidRPr="00BD4FE2">
      <w:rPr>
        <w:rFonts w:ascii="Arial" w:hAnsi="Arial" w:cs="Arial"/>
        <w:b/>
        <w:sz w:val="24"/>
        <w:szCs w:val="24"/>
      </w:rPr>
      <w:t>Exhibit II-1</w:t>
    </w:r>
  </w:p>
  <w:p w14:paraId="5325311C" w14:textId="77777777" w:rsidR="00B8682A" w:rsidRPr="00BD4FE2" w:rsidRDefault="00B8682A" w:rsidP="00AC73FC">
    <w:pPr>
      <w:tabs>
        <w:tab w:val="center" w:pos="4680"/>
        <w:tab w:val="right" w:pos="9450"/>
      </w:tabs>
      <w:spacing w:after="0" w:line="240" w:lineRule="auto"/>
      <w:jc w:val="right"/>
      <w:rPr>
        <w:rFonts w:ascii="Arial" w:hAnsi="Arial" w:cs="Arial"/>
        <w:b/>
        <w:sz w:val="24"/>
        <w:szCs w:val="24"/>
      </w:rPr>
    </w:pPr>
    <w:r w:rsidRPr="00BD4FE2">
      <w:rPr>
        <w:rFonts w:ascii="Arial" w:hAnsi="Arial" w:cs="Arial"/>
        <w:b/>
        <w:sz w:val="24"/>
        <w:szCs w:val="24"/>
      </w:rPr>
      <w:t xml:space="preserve">Page 1 of </w:t>
    </w:r>
    <w:r>
      <w:rPr>
        <w:rFonts w:ascii="Arial" w:hAnsi="Arial" w:cs="Arial"/>
        <w:b/>
        <w:sz w:val="24"/>
        <w:szCs w:val="24"/>
      </w:rPr>
      <w:t>6</w:t>
    </w:r>
  </w:p>
  <w:p w14:paraId="54D9EF6A" w14:textId="77777777" w:rsidR="00B8682A" w:rsidRPr="00BD4FE2" w:rsidRDefault="00B8682A" w:rsidP="00BD4FE2">
    <w:pPr>
      <w:spacing w:after="0" w:line="240" w:lineRule="auto"/>
      <w:jc w:val="center"/>
      <w:rPr>
        <w:rFonts w:ascii="Arial" w:hAnsi="Arial" w:cs="Arial"/>
        <w:b/>
        <w:sz w:val="24"/>
        <w:szCs w:val="24"/>
      </w:rPr>
    </w:pPr>
  </w:p>
  <w:p w14:paraId="47C29318" w14:textId="77777777" w:rsidR="00B8682A" w:rsidRDefault="00B8682A" w:rsidP="00BD4FE2">
    <w:pPr>
      <w:spacing w:after="0" w:line="240" w:lineRule="auto"/>
      <w:jc w:val="center"/>
      <w:rPr>
        <w:rFonts w:ascii="Arial" w:hAnsi="Arial" w:cs="Arial"/>
        <w:b/>
        <w:sz w:val="24"/>
        <w:szCs w:val="24"/>
      </w:rPr>
    </w:pPr>
    <w:r>
      <w:rPr>
        <w:rFonts w:ascii="Arial" w:hAnsi="Arial" w:cs="Arial"/>
        <w:b/>
        <w:sz w:val="24"/>
        <w:szCs w:val="24"/>
      </w:rPr>
      <w:t>FIRSTENERGY PENNSYLVANIA COMPANIES</w:t>
    </w:r>
  </w:p>
  <w:p w14:paraId="0E91D48A" w14:textId="77777777" w:rsidR="00B8682A" w:rsidRPr="00BD4FE2" w:rsidRDefault="00B8682A" w:rsidP="00BD4FE2">
    <w:pPr>
      <w:spacing w:after="0" w:line="240" w:lineRule="auto"/>
      <w:jc w:val="center"/>
      <w:rPr>
        <w:rFonts w:ascii="Arial" w:hAnsi="Arial" w:cs="Arial"/>
        <w:b/>
        <w:sz w:val="24"/>
        <w:szCs w:val="24"/>
      </w:rPr>
    </w:pPr>
    <w:r w:rsidRPr="00BD4FE2">
      <w:rPr>
        <w:rFonts w:ascii="Arial" w:hAnsi="Arial" w:cs="Arial"/>
        <w:b/>
        <w:sz w:val="24"/>
        <w:szCs w:val="24"/>
      </w:rPr>
      <w:t>MANAGEMENT EFFICIENCY INVESTIGATION</w:t>
    </w:r>
  </w:p>
  <w:p w14:paraId="0B937D4A" w14:textId="77777777" w:rsidR="00B8682A" w:rsidRPr="00BD4FE2" w:rsidRDefault="00B8682A" w:rsidP="00BD4FE2">
    <w:pPr>
      <w:spacing w:after="0" w:line="240" w:lineRule="auto"/>
      <w:jc w:val="center"/>
      <w:rPr>
        <w:rFonts w:ascii="Arial" w:hAnsi="Arial" w:cs="Arial"/>
        <w:b/>
        <w:sz w:val="24"/>
        <w:szCs w:val="24"/>
      </w:rPr>
    </w:pPr>
    <w:r w:rsidRPr="00BD4FE2">
      <w:rPr>
        <w:rFonts w:ascii="Arial" w:hAnsi="Arial" w:cs="Arial"/>
        <w:b/>
        <w:sz w:val="24"/>
        <w:szCs w:val="24"/>
      </w:rPr>
      <w:t xml:space="preserve">SUMMARY OF </w:t>
    </w:r>
    <w:r>
      <w:rPr>
        <w:rFonts w:ascii="Arial" w:hAnsi="Arial" w:cs="Arial"/>
        <w:b/>
        <w:sz w:val="24"/>
        <w:szCs w:val="24"/>
      </w:rPr>
      <w:t>NOVEMBER 2014</w:t>
    </w:r>
    <w:r w:rsidRPr="00BD4FE2">
      <w:rPr>
        <w:rFonts w:ascii="Arial" w:hAnsi="Arial" w:cs="Arial"/>
        <w:b/>
        <w:sz w:val="24"/>
        <w:szCs w:val="24"/>
      </w:rPr>
      <w:t xml:space="preserve"> MANAGEMENT AUDIT RECOMMENDATIONS AND STAFF’S FOLLOW-UP FINDINGS</w:t>
    </w:r>
    <w:r>
      <w:rPr>
        <w:rFonts w:ascii="Arial" w:hAnsi="Arial" w:cs="Arial"/>
        <w:b/>
        <w:sz w:val="24"/>
        <w:szCs w:val="24"/>
      </w:rPr>
      <w:t>, CONCLUSIONS</w:t>
    </w:r>
    <w:r w:rsidRPr="00BD4FE2">
      <w:rPr>
        <w:rFonts w:ascii="Arial" w:hAnsi="Arial" w:cs="Arial"/>
        <w:b/>
        <w:sz w:val="24"/>
        <w:szCs w:val="24"/>
      </w:rPr>
      <w:t xml:space="preserve"> AND RECOMMENDATIONS</w:t>
    </w:r>
  </w:p>
  <w:p w14:paraId="343A3A7A" w14:textId="77777777" w:rsidR="00B8682A" w:rsidRPr="00BD4FE2" w:rsidRDefault="00B8682A" w:rsidP="00BD4FE2">
    <w:pPr>
      <w:spacing w:after="0" w:line="240" w:lineRule="auto"/>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2B3"/>
    <w:multiLevelType w:val="hybridMultilevel"/>
    <w:tmpl w:val="2544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55BF"/>
    <w:multiLevelType w:val="hybridMultilevel"/>
    <w:tmpl w:val="F84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92F60"/>
    <w:multiLevelType w:val="hybridMultilevel"/>
    <w:tmpl w:val="15E8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8748A"/>
    <w:multiLevelType w:val="hybridMultilevel"/>
    <w:tmpl w:val="20C8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35B33"/>
    <w:multiLevelType w:val="hybridMultilevel"/>
    <w:tmpl w:val="05EA2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B06C50"/>
    <w:multiLevelType w:val="hybridMultilevel"/>
    <w:tmpl w:val="30D4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F4330"/>
    <w:multiLevelType w:val="hybridMultilevel"/>
    <w:tmpl w:val="977E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62CA9"/>
    <w:multiLevelType w:val="hybridMultilevel"/>
    <w:tmpl w:val="B0EA8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33F71"/>
    <w:multiLevelType w:val="hybridMultilevel"/>
    <w:tmpl w:val="3F02953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10C5A"/>
    <w:multiLevelType w:val="hybridMultilevel"/>
    <w:tmpl w:val="69FEB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05F24"/>
    <w:multiLevelType w:val="hybridMultilevel"/>
    <w:tmpl w:val="73920EF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1" w15:restartNumberingAfterBreak="0">
    <w:nsid w:val="2FD37866"/>
    <w:multiLevelType w:val="hybridMultilevel"/>
    <w:tmpl w:val="6854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A03CE"/>
    <w:multiLevelType w:val="hybridMultilevel"/>
    <w:tmpl w:val="3826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2754E"/>
    <w:multiLevelType w:val="hybridMultilevel"/>
    <w:tmpl w:val="F0AA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B673E"/>
    <w:multiLevelType w:val="hybridMultilevel"/>
    <w:tmpl w:val="EB5A6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26CF1"/>
    <w:multiLevelType w:val="hybridMultilevel"/>
    <w:tmpl w:val="52C4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B58FC"/>
    <w:multiLevelType w:val="hybridMultilevel"/>
    <w:tmpl w:val="AD16AB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B821CA6"/>
    <w:multiLevelType w:val="hybridMultilevel"/>
    <w:tmpl w:val="D9484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458CD"/>
    <w:multiLevelType w:val="hybridMultilevel"/>
    <w:tmpl w:val="DBC6C1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5B087B"/>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3E4067C1"/>
    <w:multiLevelType w:val="hybridMultilevel"/>
    <w:tmpl w:val="3432C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D233C4"/>
    <w:multiLevelType w:val="hybridMultilevel"/>
    <w:tmpl w:val="96A83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010642"/>
    <w:multiLevelType w:val="hybridMultilevel"/>
    <w:tmpl w:val="0C6E3326"/>
    <w:lvl w:ilvl="0" w:tplc="8D2EC6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A1465"/>
    <w:multiLevelType w:val="hybridMultilevel"/>
    <w:tmpl w:val="C9D0B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7B5D78"/>
    <w:multiLevelType w:val="hybridMultilevel"/>
    <w:tmpl w:val="07DC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256DB"/>
    <w:multiLevelType w:val="hybridMultilevel"/>
    <w:tmpl w:val="A92A6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C3C45"/>
    <w:multiLevelType w:val="hybridMultilevel"/>
    <w:tmpl w:val="D56C1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691F62"/>
    <w:multiLevelType w:val="hybridMultilevel"/>
    <w:tmpl w:val="4EF8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84030"/>
    <w:multiLevelType w:val="hybridMultilevel"/>
    <w:tmpl w:val="48FA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057E9"/>
    <w:multiLevelType w:val="hybridMultilevel"/>
    <w:tmpl w:val="8C38B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A0EBC"/>
    <w:multiLevelType w:val="multilevel"/>
    <w:tmpl w:val="D2AA6FEA"/>
    <w:name w:val="FlushBulletsA0"/>
    <w:lvl w:ilvl="0">
      <w:start w:val="1"/>
      <w:numFmt w:val="bullet"/>
      <w:lvlRestart w:val="0"/>
      <w:lvlText w:val="¨"/>
      <w:lvlJc w:val="left"/>
      <w:pPr>
        <w:tabs>
          <w:tab w:val="num" w:pos="792"/>
        </w:tabs>
        <w:ind w:left="792" w:hanging="432"/>
      </w:pPr>
      <w:rPr>
        <w:rFonts w:ascii="Symbol" w:hAnsi="Symbol" w:hint="default"/>
        <w:color w:val="FF0000"/>
      </w:rPr>
    </w:lvl>
    <w:lvl w:ilvl="1">
      <w:start w:val="1"/>
      <w:numFmt w:val="bullet"/>
      <w:pStyle w:val="ListBullet-A0"/>
      <w:lvlText w:val="-"/>
      <w:lvlJc w:val="left"/>
      <w:pPr>
        <w:tabs>
          <w:tab w:val="num" w:pos="1152"/>
        </w:tabs>
        <w:ind w:left="1152" w:hanging="432"/>
      </w:pPr>
      <w:rPr>
        <w:rFonts w:ascii="Courier New" w:hAnsi="Courier New" w:cs="Courier New"/>
        <w:color w:val="000000"/>
      </w:rPr>
    </w:lvl>
    <w:lvl w:ilvl="2">
      <w:start w:val="1"/>
      <w:numFmt w:val="bullet"/>
      <w:pStyle w:val="ListBullet-A0"/>
      <w:lvlText w:val="·"/>
      <w:lvlJc w:val="left"/>
      <w:pPr>
        <w:tabs>
          <w:tab w:val="num" w:pos="1512"/>
        </w:tabs>
        <w:ind w:left="1512" w:hanging="432"/>
      </w:pPr>
      <w:rPr>
        <w:rFonts w:ascii="Symbol" w:hAnsi="Symbol" w:hint="default"/>
        <w:color w:val="FF0000"/>
      </w:rPr>
    </w:lvl>
    <w:lvl w:ilvl="3">
      <w:start w:val="1"/>
      <w:numFmt w:val="bullet"/>
      <w:lvlText w:val="¡"/>
      <w:lvlJc w:val="left"/>
      <w:pPr>
        <w:tabs>
          <w:tab w:val="num" w:pos="1872"/>
        </w:tabs>
        <w:ind w:left="1872" w:hanging="432"/>
      </w:pPr>
      <w:rPr>
        <w:rFonts w:ascii="Wingdings" w:hAnsi="Wingdings" w:hint="default"/>
        <w:color w:val="000000"/>
        <w:sz w:val="12"/>
      </w:rPr>
    </w:lvl>
    <w:lvl w:ilvl="4">
      <w:start w:val="1"/>
      <w:numFmt w:val="bullet"/>
      <w:lvlText w:val="¨"/>
      <w:lvlJc w:val="left"/>
      <w:pPr>
        <w:tabs>
          <w:tab w:val="num" w:pos="2232"/>
        </w:tabs>
        <w:ind w:left="2232" w:hanging="432"/>
      </w:pPr>
      <w:rPr>
        <w:rFonts w:ascii="Symbol" w:hAnsi="Symbol" w:hint="default"/>
        <w:color w:val="00000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FC6415A"/>
    <w:multiLevelType w:val="hybridMultilevel"/>
    <w:tmpl w:val="70B8C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84F4A5A"/>
    <w:multiLevelType w:val="hybridMultilevel"/>
    <w:tmpl w:val="C45C7FD6"/>
    <w:lvl w:ilvl="0" w:tplc="FD3C691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D4343AF"/>
    <w:multiLevelType w:val="hybridMultilevel"/>
    <w:tmpl w:val="B6D8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7107BB"/>
    <w:multiLevelType w:val="hybridMultilevel"/>
    <w:tmpl w:val="1FC0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30"/>
  </w:num>
  <w:num w:numId="4">
    <w:abstractNumId w:val="34"/>
  </w:num>
  <w:num w:numId="5">
    <w:abstractNumId w:val="5"/>
  </w:num>
  <w:num w:numId="6">
    <w:abstractNumId w:val="7"/>
  </w:num>
  <w:num w:numId="7">
    <w:abstractNumId w:val="17"/>
  </w:num>
  <w:num w:numId="8">
    <w:abstractNumId w:val="14"/>
  </w:num>
  <w:num w:numId="9">
    <w:abstractNumId w:val="29"/>
  </w:num>
  <w:num w:numId="10">
    <w:abstractNumId w:val="22"/>
  </w:num>
  <w:num w:numId="11">
    <w:abstractNumId w:val="20"/>
  </w:num>
  <w:num w:numId="12">
    <w:abstractNumId w:val="12"/>
  </w:num>
  <w:num w:numId="13">
    <w:abstractNumId w:val="16"/>
  </w:num>
  <w:num w:numId="14">
    <w:abstractNumId w:val="32"/>
  </w:num>
  <w:num w:numId="15">
    <w:abstractNumId w:val="4"/>
  </w:num>
  <w:num w:numId="16">
    <w:abstractNumId w:val="31"/>
  </w:num>
  <w:num w:numId="17">
    <w:abstractNumId w:val="13"/>
  </w:num>
  <w:num w:numId="18">
    <w:abstractNumId w:val="1"/>
  </w:num>
  <w:num w:numId="19">
    <w:abstractNumId w:val="33"/>
  </w:num>
  <w:num w:numId="20">
    <w:abstractNumId w:val="15"/>
  </w:num>
  <w:num w:numId="21">
    <w:abstractNumId w:val="6"/>
  </w:num>
  <w:num w:numId="22">
    <w:abstractNumId w:val="24"/>
  </w:num>
  <w:num w:numId="23">
    <w:abstractNumId w:val="3"/>
  </w:num>
  <w:num w:numId="24">
    <w:abstractNumId w:val="0"/>
  </w:num>
  <w:num w:numId="25">
    <w:abstractNumId w:val="11"/>
  </w:num>
  <w:num w:numId="26">
    <w:abstractNumId w:val="9"/>
  </w:num>
  <w:num w:numId="27">
    <w:abstractNumId w:val="25"/>
  </w:num>
  <w:num w:numId="28">
    <w:abstractNumId w:val="28"/>
  </w:num>
  <w:num w:numId="29">
    <w:abstractNumId w:val="10"/>
  </w:num>
  <w:num w:numId="30">
    <w:abstractNumId w:val="26"/>
  </w:num>
  <w:num w:numId="31">
    <w:abstractNumId w:val="8"/>
  </w:num>
  <w:num w:numId="32">
    <w:abstractNumId w:val="18"/>
  </w:num>
  <w:num w:numId="33">
    <w:abstractNumId w:val="23"/>
  </w:num>
  <w:num w:numId="34">
    <w:abstractNumId w:val="19"/>
  </w:num>
  <w:num w:numId="35">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E59"/>
    <w:rsid w:val="00000C40"/>
    <w:rsid w:val="00001F82"/>
    <w:rsid w:val="0000202F"/>
    <w:rsid w:val="000026FB"/>
    <w:rsid w:val="00002B99"/>
    <w:rsid w:val="00003AFF"/>
    <w:rsid w:val="0000585F"/>
    <w:rsid w:val="000063F7"/>
    <w:rsid w:val="00007126"/>
    <w:rsid w:val="000071F6"/>
    <w:rsid w:val="0001155A"/>
    <w:rsid w:val="00011708"/>
    <w:rsid w:val="000124DF"/>
    <w:rsid w:val="00013D13"/>
    <w:rsid w:val="00015224"/>
    <w:rsid w:val="00016FDE"/>
    <w:rsid w:val="0001749B"/>
    <w:rsid w:val="000201AC"/>
    <w:rsid w:val="000238F2"/>
    <w:rsid w:val="00025A4E"/>
    <w:rsid w:val="00025CA4"/>
    <w:rsid w:val="00027534"/>
    <w:rsid w:val="00027AA1"/>
    <w:rsid w:val="00030076"/>
    <w:rsid w:val="00030517"/>
    <w:rsid w:val="000307A7"/>
    <w:rsid w:val="000327E8"/>
    <w:rsid w:val="000356D0"/>
    <w:rsid w:val="00035C5C"/>
    <w:rsid w:val="0003696D"/>
    <w:rsid w:val="0003719C"/>
    <w:rsid w:val="00040071"/>
    <w:rsid w:val="00040A25"/>
    <w:rsid w:val="000412F7"/>
    <w:rsid w:val="00043569"/>
    <w:rsid w:val="00044A0F"/>
    <w:rsid w:val="000458C1"/>
    <w:rsid w:val="00045A6D"/>
    <w:rsid w:val="00047B53"/>
    <w:rsid w:val="00050541"/>
    <w:rsid w:val="00050AD0"/>
    <w:rsid w:val="00050ADC"/>
    <w:rsid w:val="00051757"/>
    <w:rsid w:val="00052E28"/>
    <w:rsid w:val="0005354D"/>
    <w:rsid w:val="0005532A"/>
    <w:rsid w:val="000553AB"/>
    <w:rsid w:val="000570F0"/>
    <w:rsid w:val="00060803"/>
    <w:rsid w:val="000610CC"/>
    <w:rsid w:val="00061B35"/>
    <w:rsid w:val="00061E72"/>
    <w:rsid w:val="00062185"/>
    <w:rsid w:val="00063ABB"/>
    <w:rsid w:val="00063F90"/>
    <w:rsid w:val="00064C8E"/>
    <w:rsid w:val="00065BB1"/>
    <w:rsid w:val="00070388"/>
    <w:rsid w:val="0007057C"/>
    <w:rsid w:val="000706DD"/>
    <w:rsid w:val="00070782"/>
    <w:rsid w:val="000707BF"/>
    <w:rsid w:val="00071A1E"/>
    <w:rsid w:val="000725A2"/>
    <w:rsid w:val="00072B16"/>
    <w:rsid w:val="0007302B"/>
    <w:rsid w:val="00073A7B"/>
    <w:rsid w:val="000746EF"/>
    <w:rsid w:val="00075F49"/>
    <w:rsid w:val="00076AC9"/>
    <w:rsid w:val="00076F38"/>
    <w:rsid w:val="0007766C"/>
    <w:rsid w:val="00080B3A"/>
    <w:rsid w:val="00080DC0"/>
    <w:rsid w:val="000820F9"/>
    <w:rsid w:val="00082EFF"/>
    <w:rsid w:val="00083986"/>
    <w:rsid w:val="00084E80"/>
    <w:rsid w:val="000852D4"/>
    <w:rsid w:val="000859FB"/>
    <w:rsid w:val="00085B2E"/>
    <w:rsid w:val="000865A5"/>
    <w:rsid w:val="00086910"/>
    <w:rsid w:val="00087181"/>
    <w:rsid w:val="0008755D"/>
    <w:rsid w:val="000903AC"/>
    <w:rsid w:val="00090A1C"/>
    <w:rsid w:val="00092F18"/>
    <w:rsid w:val="000931F7"/>
    <w:rsid w:val="000946A2"/>
    <w:rsid w:val="00094C0E"/>
    <w:rsid w:val="00094D85"/>
    <w:rsid w:val="00095771"/>
    <w:rsid w:val="00096DEC"/>
    <w:rsid w:val="00096FC2"/>
    <w:rsid w:val="00097203"/>
    <w:rsid w:val="00097888"/>
    <w:rsid w:val="00097F21"/>
    <w:rsid w:val="000A03C6"/>
    <w:rsid w:val="000A1286"/>
    <w:rsid w:val="000A2431"/>
    <w:rsid w:val="000A2918"/>
    <w:rsid w:val="000A3BA8"/>
    <w:rsid w:val="000A5385"/>
    <w:rsid w:val="000A5C17"/>
    <w:rsid w:val="000A5C82"/>
    <w:rsid w:val="000A5EFF"/>
    <w:rsid w:val="000A7B06"/>
    <w:rsid w:val="000B0527"/>
    <w:rsid w:val="000B0A5D"/>
    <w:rsid w:val="000B1878"/>
    <w:rsid w:val="000B2F4F"/>
    <w:rsid w:val="000B4A92"/>
    <w:rsid w:val="000B4F33"/>
    <w:rsid w:val="000B5061"/>
    <w:rsid w:val="000B679E"/>
    <w:rsid w:val="000B7AE5"/>
    <w:rsid w:val="000B7C60"/>
    <w:rsid w:val="000C0479"/>
    <w:rsid w:val="000C0C2B"/>
    <w:rsid w:val="000C0DC7"/>
    <w:rsid w:val="000C2F83"/>
    <w:rsid w:val="000C3EA0"/>
    <w:rsid w:val="000C6B62"/>
    <w:rsid w:val="000D05F9"/>
    <w:rsid w:val="000D07E4"/>
    <w:rsid w:val="000D09FB"/>
    <w:rsid w:val="000D0CE2"/>
    <w:rsid w:val="000D1E12"/>
    <w:rsid w:val="000D2CF0"/>
    <w:rsid w:val="000D3545"/>
    <w:rsid w:val="000D3A8B"/>
    <w:rsid w:val="000D3A93"/>
    <w:rsid w:val="000D3B0A"/>
    <w:rsid w:val="000D3B1D"/>
    <w:rsid w:val="000D3D4F"/>
    <w:rsid w:val="000D5D81"/>
    <w:rsid w:val="000D77E0"/>
    <w:rsid w:val="000D78C5"/>
    <w:rsid w:val="000E1099"/>
    <w:rsid w:val="000E3368"/>
    <w:rsid w:val="000E33E3"/>
    <w:rsid w:val="000E4E70"/>
    <w:rsid w:val="000E61AB"/>
    <w:rsid w:val="000E7439"/>
    <w:rsid w:val="000E7A55"/>
    <w:rsid w:val="000F1173"/>
    <w:rsid w:val="000F2BB6"/>
    <w:rsid w:val="000F3D71"/>
    <w:rsid w:val="000F4F5E"/>
    <w:rsid w:val="000F5114"/>
    <w:rsid w:val="000F5659"/>
    <w:rsid w:val="000F5A0A"/>
    <w:rsid w:val="000F7C49"/>
    <w:rsid w:val="001044C2"/>
    <w:rsid w:val="00105126"/>
    <w:rsid w:val="00106658"/>
    <w:rsid w:val="001108FC"/>
    <w:rsid w:val="00111C86"/>
    <w:rsid w:val="00111EC9"/>
    <w:rsid w:val="00112187"/>
    <w:rsid w:val="00113355"/>
    <w:rsid w:val="00114818"/>
    <w:rsid w:val="00115827"/>
    <w:rsid w:val="001162BF"/>
    <w:rsid w:val="00116820"/>
    <w:rsid w:val="00116BD4"/>
    <w:rsid w:val="001176A7"/>
    <w:rsid w:val="00117925"/>
    <w:rsid w:val="00117D74"/>
    <w:rsid w:val="001227C4"/>
    <w:rsid w:val="0012585B"/>
    <w:rsid w:val="001258D9"/>
    <w:rsid w:val="001259F4"/>
    <w:rsid w:val="00125B36"/>
    <w:rsid w:val="00126F30"/>
    <w:rsid w:val="00127AE8"/>
    <w:rsid w:val="00130E17"/>
    <w:rsid w:val="001324B9"/>
    <w:rsid w:val="00132EE6"/>
    <w:rsid w:val="00133B2F"/>
    <w:rsid w:val="00134112"/>
    <w:rsid w:val="00134718"/>
    <w:rsid w:val="001354E2"/>
    <w:rsid w:val="00137888"/>
    <w:rsid w:val="001415CC"/>
    <w:rsid w:val="00141DDE"/>
    <w:rsid w:val="00142C2D"/>
    <w:rsid w:val="0014400B"/>
    <w:rsid w:val="00144463"/>
    <w:rsid w:val="00144727"/>
    <w:rsid w:val="00147565"/>
    <w:rsid w:val="00147B98"/>
    <w:rsid w:val="00150261"/>
    <w:rsid w:val="00150BF5"/>
    <w:rsid w:val="00152E36"/>
    <w:rsid w:val="00152F91"/>
    <w:rsid w:val="001536AF"/>
    <w:rsid w:val="0015389F"/>
    <w:rsid w:val="00154804"/>
    <w:rsid w:val="00154FE0"/>
    <w:rsid w:val="0015567D"/>
    <w:rsid w:val="00155D82"/>
    <w:rsid w:val="00155F16"/>
    <w:rsid w:val="00155F6E"/>
    <w:rsid w:val="001571FA"/>
    <w:rsid w:val="00157DCF"/>
    <w:rsid w:val="00161A3E"/>
    <w:rsid w:val="0016233B"/>
    <w:rsid w:val="00165626"/>
    <w:rsid w:val="00166204"/>
    <w:rsid w:val="00166579"/>
    <w:rsid w:val="001672D9"/>
    <w:rsid w:val="00167A98"/>
    <w:rsid w:val="00167C3B"/>
    <w:rsid w:val="001703B3"/>
    <w:rsid w:val="0017247E"/>
    <w:rsid w:val="0017276F"/>
    <w:rsid w:val="00172831"/>
    <w:rsid w:val="0017296E"/>
    <w:rsid w:val="00172EFB"/>
    <w:rsid w:val="00174E63"/>
    <w:rsid w:val="00174EFB"/>
    <w:rsid w:val="00175671"/>
    <w:rsid w:val="00175733"/>
    <w:rsid w:val="001778F4"/>
    <w:rsid w:val="00177A6A"/>
    <w:rsid w:val="0018246F"/>
    <w:rsid w:val="0018263F"/>
    <w:rsid w:val="001856EC"/>
    <w:rsid w:val="00185A9A"/>
    <w:rsid w:val="00187483"/>
    <w:rsid w:val="001879B4"/>
    <w:rsid w:val="00191743"/>
    <w:rsid w:val="001934C6"/>
    <w:rsid w:val="00193EAB"/>
    <w:rsid w:val="00194676"/>
    <w:rsid w:val="00194CA3"/>
    <w:rsid w:val="0019679B"/>
    <w:rsid w:val="001A0C75"/>
    <w:rsid w:val="001A314F"/>
    <w:rsid w:val="001A358E"/>
    <w:rsid w:val="001A36E1"/>
    <w:rsid w:val="001A52A2"/>
    <w:rsid w:val="001A5938"/>
    <w:rsid w:val="001A5F86"/>
    <w:rsid w:val="001A6F04"/>
    <w:rsid w:val="001B2884"/>
    <w:rsid w:val="001B2C20"/>
    <w:rsid w:val="001B33FF"/>
    <w:rsid w:val="001B3B40"/>
    <w:rsid w:val="001B4C97"/>
    <w:rsid w:val="001B5159"/>
    <w:rsid w:val="001B67FC"/>
    <w:rsid w:val="001B777B"/>
    <w:rsid w:val="001C05AB"/>
    <w:rsid w:val="001C0EC9"/>
    <w:rsid w:val="001C2577"/>
    <w:rsid w:val="001C31DD"/>
    <w:rsid w:val="001C336F"/>
    <w:rsid w:val="001C3A0E"/>
    <w:rsid w:val="001C4FC8"/>
    <w:rsid w:val="001C718D"/>
    <w:rsid w:val="001C7ED7"/>
    <w:rsid w:val="001D198F"/>
    <w:rsid w:val="001D20F3"/>
    <w:rsid w:val="001D22AF"/>
    <w:rsid w:val="001D262D"/>
    <w:rsid w:val="001D26A1"/>
    <w:rsid w:val="001D2CEA"/>
    <w:rsid w:val="001D2FD7"/>
    <w:rsid w:val="001D42C8"/>
    <w:rsid w:val="001D435D"/>
    <w:rsid w:val="001D5B5D"/>
    <w:rsid w:val="001D600A"/>
    <w:rsid w:val="001D6A92"/>
    <w:rsid w:val="001D6DB9"/>
    <w:rsid w:val="001D74F4"/>
    <w:rsid w:val="001E15C1"/>
    <w:rsid w:val="001E2F96"/>
    <w:rsid w:val="001E3883"/>
    <w:rsid w:val="001E4253"/>
    <w:rsid w:val="001E4390"/>
    <w:rsid w:val="001E45A0"/>
    <w:rsid w:val="001E7AF5"/>
    <w:rsid w:val="001E7F26"/>
    <w:rsid w:val="001F0705"/>
    <w:rsid w:val="001F32DC"/>
    <w:rsid w:val="001F40F2"/>
    <w:rsid w:val="001F4557"/>
    <w:rsid w:val="001F457A"/>
    <w:rsid w:val="001F5043"/>
    <w:rsid w:val="001F6F9E"/>
    <w:rsid w:val="001F7677"/>
    <w:rsid w:val="001F79C6"/>
    <w:rsid w:val="00200F98"/>
    <w:rsid w:val="00204BD3"/>
    <w:rsid w:val="00205C48"/>
    <w:rsid w:val="0020710B"/>
    <w:rsid w:val="002071D7"/>
    <w:rsid w:val="00207BD7"/>
    <w:rsid w:val="00210431"/>
    <w:rsid w:val="002107C3"/>
    <w:rsid w:val="00210A19"/>
    <w:rsid w:val="00210B0B"/>
    <w:rsid w:val="00210E87"/>
    <w:rsid w:val="00215899"/>
    <w:rsid w:val="00215945"/>
    <w:rsid w:val="00215E6C"/>
    <w:rsid w:val="002174B6"/>
    <w:rsid w:val="00220BF4"/>
    <w:rsid w:val="0022162C"/>
    <w:rsid w:val="00221A99"/>
    <w:rsid w:val="002226C1"/>
    <w:rsid w:val="00222730"/>
    <w:rsid w:val="00222B96"/>
    <w:rsid w:val="00223C7E"/>
    <w:rsid w:val="002252D2"/>
    <w:rsid w:val="002255C4"/>
    <w:rsid w:val="00226B17"/>
    <w:rsid w:val="00227118"/>
    <w:rsid w:val="00227A58"/>
    <w:rsid w:val="00230B59"/>
    <w:rsid w:val="002322E2"/>
    <w:rsid w:val="0023259C"/>
    <w:rsid w:val="00233DB1"/>
    <w:rsid w:val="0023480A"/>
    <w:rsid w:val="00235822"/>
    <w:rsid w:val="002359AB"/>
    <w:rsid w:val="002364BC"/>
    <w:rsid w:val="00236E4D"/>
    <w:rsid w:val="00237AA0"/>
    <w:rsid w:val="002423DF"/>
    <w:rsid w:val="0024261E"/>
    <w:rsid w:val="00243EA2"/>
    <w:rsid w:val="00244EF8"/>
    <w:rsid w:val="0024641C"/>
    <w:rsid w:val="002465C2"/>
    <w:rsid w:val="002471F4"/>
    <w:rsid w:val="00251008"/>
    <w:rsid w:val="002510FA"/>
    <w:rsid w:val="00251443"/>
    <w:rsid w:val="00254C5F"/>
    <w:rsid w:val="0025606E"/>
    <w:rsid w:val="002567E9"/>
    <w:rsid w:val="0025688E"/>
    <w:rsid w:val="00257864"/>
    <w:rsid w:val="00257CE7"/>
    <w:rsid w:val="00257F21"/>
    <w:rsid w:val="00260456"/>
    <w:rsid w:val="00261B6D"/>
    <w:rsid w:val="00262332"/>
    <w:rsid w:val="002640F2"/>
    <w:rsid w:val="0026473E"/>
    <w:rsid w:val="0026527D"/>
    <w:rsid w:val="00266B6C"/>
    <w:rsid w:val="00267C4B"/>
    <w:rsid w:val="002700CE"/>
    <w:rsid w:val="00270DD7"/>
    <w:rsid w:val="002717D7"/>
    <w:rsid w:val="00275127"/>
    <w:rsid w:val="00275390"/>
    <w:rsid w:val="00275D92"/>
    <w:rsid w:val="00277969"/>
    <w:rsid w:val="00280678"/>
    <w:rsid w:val="00281581"/>
    <w:rsid w:val="002815F8"/>
    <w:rsid w:val="002821BA"/>
    <w:rsid w:val="00282A16"/>
    <w:rsid w:val="00284960"/>
    <w:rsid w:val="00285A87"/>
    <w:rsid w:val="002863D8"/>
    <w:rsid w:val="00286ADF"/>
    <w:rsid w:val="00286B5F"/>
    <w:rsid w:val="00287A61"/>
    <w:rsid w:val="00291008"/>
    <w:rsid w:val="00291830"/>
    <w:rsid w:val="00291A15"/>
    <w:rsid w:val="00291A20"/>
    <w:rsid w:val="00292A72"/>
    <w:rsid w:val="00293E6A"/>
    <w:rsid w:val="00294721"/>
    <w:rsid w:val="00295FC2"/>
    <w:rsid w:val="00297D53"/>
    <w:rsid w:val="002A0079"/>
    <w:rsid w:val="002A0C5A"/>
    <w:rsid w:val="002A1DD3"/>
    <w:rsid w:val="002A235A"/>
    <w:rsid w:val="002A2665"/>
    <w:rsid w:val="002A33B0"/>
    <w:rsid w:val="002A5EB2"/>
    <w:rsid w:val="002A64C7"/>
    <w:rsid w:val="002A6D4F"/>
    <w:rsid w:val="002A72ED"/>
    <w:rsid w:val="002A731A"/>
    <w:rsid w:val="002B0812"/>
    <w:rsid w:val="002B14CF"/>
    <w:rsid w:val="002B241C"/>
    <w:rsid w:val="002B2DD5"/>
    <w:rsid w:val="002B3AB3"/>
    <w:rsid w:val="002B5AC8"/>
    <w:rsid w:val="002B5E7A"/>
    <w:rsid w:val="002B61AF"/>
    <w:rsid w:val="002B658A"/>
    <w:rsid w:val="002B767F"/>
    <w:rsid w:val="002B7B82"/>
    <w:rsid w:val="002C0A28"/>
    <w:rsid w:val="002C0EFC"/>
    <w:rsid w:val="002C33BB"/>
    <w:rsid w:val="002C4321"/>
    <w:rsid w:val="002C45D1"/>
    <w:rsid w:val="002C4D9F"/>
    <w:rsid w:val="002C4F70"/>
    <w:rsid w:val="002C5C3A"/>
    <w:rsid w:val="002C64B4"/>
    <w:rsid w:val="002C6752"/>
    <w:rsid w:val="002D074E"/>
    <w:rsid w:val="002D11FE"/>
    <w:rsid w:val="002D1934"/>
    <w:rsid w:val="002D1B61"/>
    <w:rsid w:val="002D1D09"/>
    <w:rsid w:val="002D24BF"/>
    <w:rsid w:val="002D252A"/>
    <w:rsid w:val="002D3084"/>
    <w:rsid w:val="002D3317"/>
    <w:rsid w:val="002D3B88"/>
    <w:rsid w:val="002D492F"/>
    <w:rsid w:val="002D4DA1"/>
    <w:rsid w:val="002D5267"/>
    <w:rsid w:val="002D63AB"/>
    <w:rsid w:val="002E072B"/>
    <w:rsid w:val="002E1A10"/>
    <w:rsid w:val="002E1F67"/>
    <w:rsid w:val="002E2AFC"/>
    <w:rsid w:val="002E4080"/>
    <w:rsid w:val="002E4209"/>
    <w:rsid w:val="002E421D"/>
    <w:rsid w:val="002E45C1"/>
    <w:rsid w:val="002E4C1D"/>
    <w:rsid w:val="002E6343"/>
    <w:rsid w:val="002E6BC4"/>
    <w:rsid w:val="002E7F98"/>
    <w:rsid w:val="002F00FA"/>
    <w:rsid w:val="002F06D8"/>
    <w:rsid w:val="002F2AF9"/>
    <w:rsid w:val="002F2E86"/>
    <w:rsid w:val="002F3912"/>
    <w:rsid w:val="002F3FBA"/>
    <w:rsid w:val="002F40E5"/>
    <w:rsid w:val="002F44C8"/>
    <w:rsid w:val="002F4664"/>
    <w:rsid w:val="002F4E1E"/>
    <w:rsid w:val="002F5025"/>
    <w:rsid w:val="002F52F2"/>
    <w:rsid w:val="002F53D6"/>
    <w:rsid w:val="002F5436"/>
    <w:rsid w:val="002F60D7"/>
    <w:rsid w:val="002F71F7"/>
    <w:rsid w:val="002F77E0"/>
    <w:rsid w:val="00300909"/>
    <w:rsid w:val="00300A44"/>
    <w:rsid w:val="00300F96"/>
    <w:rsid w:val="003017FB"/>
    <w:rsid w:val="003038EF"/>
    <w:rsid w:val="003039B2"/>
    <w:rsid w:val="00303E0B"/>
    <w:rsid w:val="00304297"/>
    <w:rsid w:val="00304528"/>
    <w:rsid w:val="00304EAE"/>
    <w:rsid w:val="00306347"/>
    <w:rsid w:val="003065EA"/>
    <w:rsid w:val="00307AC2"/>
    <w:rsid w:val="00310EB7"/>
    <w:rsid w:val="00311A4F"/>
    <w:rsid w:val="00313FE9"/>
    <w:rsid w:val="00314106"/>
    <w:rsid w:val="00314B89"/>
    <w:rsid w:val="003161D3"/>
    <w:rsid w:val="0031726B"/>
    <w:rsid w:val="00321110"/>
    <w:rsid w:val="00321C71"/>
    <w:rsid w:val="00323391"/>
    <w:rsid w:val="003234A2"/>
    <w:rsid w:val="00323C8A"/>
    <w:rsid w:val="00324A26"/>
    <w:rsid w:val="0032551D"/>
    <w:rsid w:val="0032586D"/>
    <w:rsid w:val="00326341"/>
    <w:rsid w:val="00327EF6"/>
    <w:rsid w:val="00330EBC"/>
    <w:rsid w:val="00331451"/>
    <w:rsid w:val="00331B37"/>
    <w:rsid w:val="00332C6A"/>
    <w:rsid w:val="00332DE6"/>
    <w:rsid w:val="00333663"/>
    <w:rsid w:val="003354E9"/>
    <w:rsid w:val="003356DC"/>
    <w:rsid w:val="00335F0E"/>
    <w:rsid w:val="003423E6"/>
    <w:rsid w:val="003441FB"/>
    <w:rsid w:val="00344CFD"/>
    <w:rsid w:val="00345D97"/>
    <w:rsid w:val="00347614"/>
    <w:rsid w:val="00350ABA"/>
    <w:rsid w:val="00350EE7"/>
    <w:rsid w:val="003523DF"/>
    <w:rsid w:val="00352FAE"/>
    <w:rsid w:val="00353BDE"/>
    <w:rsid w:val="00353C6A"/>
    <w:rsid w:val="00353EC6"/>
    <w:rsid w:val="003551E5"/>
    <w:rsid w:val="00355CB1"/>
    <w:rsid w:val="00356CB0"/>
    <w:rsid w:val="00360D9E"/>
    <w:rsid w:val="00361482"/>
    <w:rsid w:val="003625CF"/>
    <w:rsid w:val="00364187"/>
    <w:rsid w:val="003655A8"/>
    <w:rsid w:val="0036599C"/>
    <w:rsid w:val="00365FFC"/>
    <w:rsid w:val="0036624C"/>
    <w:rsid w:val="00366DDA"/>
    <w:rsid w:val="00367566"/>
    <w:rsid w:val="00367E54"/>
    <w:rsid w:val="003707F2"/>
    <w:rsid w:val="00370DC6"/>
    <w:rsid w:val="003717C6"/>
    <w:rsid w:val="0037317C"/>
    <w:rsid w:val="00374F27"/>
    <w:rsid w:val="00375E79"/>
    <w:rsid w:val="00377728"/>
    <w:rsid w:val="00381069"/>
    <w:rsid w:val="00381298"/>
    <w:rsid w:val="00381933"/>
    <w:rsid w:val="00382292"/>
    <w:rsid w:val="0038480B"/>
    <w:rsid w:val="00384ADF"/>
    <w:rsid w:val="003858EF"/>
    <w:rsid w:val="00386A03"/>
    <w:rsid w:val="00386CA0"/>
    <w:rsid w:val="00387D6C"/>
    <w:rsid w:val="00391A2C"/>
    <w:rsid w:val="0039219A"/>
    <w:rsid w:val="00392572"/>
    <w:rsid w:val="00392E71"/>
    <w:rsid w:val="00393771"/>
    <w:rsid w:val="003946A1"/>
    <w:rsid w:val="00394B14"/>
    <w:rsid w:val="00394DE7"/>
    <w:rsid w:val="003953C2"/>
    <w:rsid w:val="003954A5"/>
    <w:rsid w:val="00396952"/>
    <w:rsid w:val="00396E93"/>
    <w:rsid w:val="00396F2F"/>
    <w:rsid w:val="0039792A"/>
    <w:rsid w:val="00397E49"/>
    <w:rsid w:val="003A0C45"/>
    <w:rsid w:val="003A379C"/>
    <w:rsid w:val="003A3901"/>
    <w:rsid w:val="003A3FFB"/>
    <w:rsid w:val="003A51A7"/>
    <w:rsid w:val="003A5289"/>
    <w:rsid w:val="003A5547"/>
    <w:rsid w:val="003A70A0"/>
    <w:rsid w:val="003A70A2"/>
    <w:rsid w:val="003A71E4"/>
    <w:rsid w:val="003A727E"/>
    <w:rsid w:val="003A73B2"/>
    <w:rsid w:val="003B0603"/>
    <w:rsid w:val="003B0FF9"/>
    <w:rsid w:val="003B2497"/>
    <w:rsid w:val="003B329D"/>
    <w:rsid w:val="003B358C"/>
    <w:rsid w:val="003B37A1"/>
    <w:rsid w:val="003B4374"/>
    <w:rsid w:val="003B4554"/>
    <w:rsid w:val="003B4E58"/>
    <w:rsid w:val="003B609F"/>
    <w:rsid w:val="003B65DC"/>
    <w:rsid w:val="003B6632"/>
    <w:rsid w:val="003B726B"/>
    <w:rsid w:val="003B739F"/>
    <w:rsid w:val="003B7B5A"/>
    <w:rsid w:val="003B7C50"/>
    <w:rsid w:val="003C1477"/>
    <w:rsid w:val="003C2232"/>
    <w:rsid w:val="003C3A0F"/>
    <w:rsid w:val="003C3E11"/>
    <w:rsid w:val="003C40C8"/>
    <w:rsid w:val="003C5818"/>
    <w:rsid w:val="003C58FD"/>
    <w:rsid w:val="003C6211"/>
    <w:rsid w:val="003C7E56"/>
    <w:rsid w:val="003D31A6"/>
    <w:rsid w:val="003D433A"/>
    <w:rsid w:val="003D4709"/>
    <w:rsid w:val="003D4886"/>
    <w:rsid w:val="003D4D1E"/>
    <w:rsid w:val="003D4E82"/>
    <w:rsid w:val="003D4FEF"/>
    <w:rsid w:val="003D7CED"/>
    <w:rsid w:val="003D7D27"/>
    <w:rsid w:val="003E07C5"/>
    <w:rsid w:val="003E0EDA"/>
    <w:rsid w:val="003E47F9"/>
    <w:rsid w:val="003E4AFD"/>
    <w:rsid w:val="003E50E2"/>
    <w:rsid w:val="003F034F"/>
    <w:rsid w:val="003F1383"/>
    <w:rsid w:val="003F22C1"/>
    <w:rsid w:val="003F35AB"/>
    <w:rsid w:val="003F3B76"/>
    <w:rsid w:val="003F4A0A"/>
    <w:rsid w:val="003F4FBA"/>
    <w:rsid w:val="003F5C2A"/>
    <w:rsid w:val="003F603F"/>
    <w:rsid w:val="003F6F3A"/>
    <w:rsid w:val="003F7CE8"/>
    <w:rsid w:val="004000AD"/>
    <w:rsid w:val="004001B0"/>
    <w:rsid w:val="004001F5"/>
    <w:rsid w:val="00402B14"/>
    <w:rsid w:val="00402E9A"/>
    <w:rsid w:val="00403241"/>
    <w:rsid w:val="004032DF"/>
    <w:rsid w:val="00404ECC"/>
    <w:rsid w:val="00406483"/>
    <w:rsid w:val="00407AF6"/>
    <w:rsid w:val="00407C96"/>
    <w:rsid w:val="00411BBA"/>
    <w:rsid w:val="004128C0"/>
    <w:rsid w:val="00412F61"/>
    <w:rsid w:val="00414704"/>
    <w:rsid w:val="00414B9A"/>
    <w:rsid w:val="00414BA2"/>
    <w:rsid w:val="00415819"/>
    <w:rsid w:val="00415A80"/>
    <w:rsid w:val="00417A35"/>
    <w:rsid w:val="0042000D"/>
    <w:rsid w:val="00420129"/>
    <w:rsid w:val="00420616"/>
    <w:rsid w:val="00421C03"/>
    <w:rsid w:val="00422E45"/>
    <w:rsid w:val="00424FC9"/>
    <w:rsid w:val="004255E6"/>
    <w:rsid w:val="004255F4"/>
    <w:rsid w:val="00425FAB"/>
    <w:rsid w:val="00427B2F"/>
    <w:rsid w:val="0043005B"/>
    <w:rsid w:val="00430359"/>
    <w:rsid w:val="004307DD"/>
    <w:rsid w:val="00431911"/>
    <w:rsid w:val="00432782"/>
    <w:rsid w:val="004336D5"/>
    <w:rsid w:val="0043404A"/>
    <w:rsid w:val="004341AF"/>
    <w:rsid w:val="00434270"/>
    <w:rsid w:val="00434F0B"/>
    <w:rsid w:val="00436CDB"/>
    <w:rsid w:val="00437C99"/>
    <w:rsid w:val="004403AC"/>
    <w:rsid w:val="004447EE"/>
    <w:rsid w:val="00444F33"/>
    <w:rsid w:val="004453ED"/>
    <w:rsid w:val="00445EB0"/>
    <w:rsid w:val="004463D8"/>
    <w:rsid w:val="0044750B"/>
    <w:rsid w:val="004478F4"/>
    <w:rsid w:val="0045033E"/>
    <w:rsid w:val="00450557"/>
    <w:rsid w:val="00450A82"/>
    <w:rsid w:val="00450CEC"/>
    <w:rsid w:val="004510E4"/>
    <w:rsid w:val="00452627"/>
    <w:rsid w:val="00452A7C"/>
    <w:rsid w:val="0045410E"/>
    <w:rsid w:val="004563F1"/>
    <w:rsid w:val="0046070C"/>
    <w:rsid w:val="00461041"/>
    <w:rsid w:val="00463301"/>
    <w:rsid w:val="004644DE"/>
    <w:rsid w:val="004647D5"/>
    <w:rsid w:val="004649B5"/>
    <w:rsid w:val="00465562"/>
    <w:rsid w:val="004673C9"/>
    <w:rsid w:val="00467A65"/>
    <w:rsid w:val="00470F6C"/>
    <w:rsid w:val="004732C5"/>
    <w:rsid w:val="0047460E"/>
    <w:rsid w:val="00474BC1"/>
    <w:rsid w:val="0047772D"/>
    <w:rsid w:val="004801DC"/>
    <w:rsid w:val="00480F7B"/>
    <w:rsid w:val="00482411"/>
    <w:rsid w:val="00482845"/>
    <w:rsid w:val="00482F4E"/>
    <w:rsid w:val="0048384A"/>
    <w:rsid w:val="00483A07"/>
    <w:rsid w:val="00485212"/>
    <w:rsid w:val="00485346"/>
    <w:rsid w:val="00485BF7"/>
    <w:rsid w:val="00485E68"/>
    <w:rsid w:val="0048694C"/>
    <w:rsid w:val="00487DD8"/>
    <w:rsid w:val="00487EB0"/>
    <w:rsid w:val="00490710"/>
    <w:rsid w:val="00490DD6"/>
    <w:rsid w:val="004913F5"/>
    <w:rsid w:val="004919C8"/>
    <w:rsid w:val="00493122"/>
    <w:rsid w:val="004931B9"/>
    <w:rsid w:val="004943BA"/>
    <w:rsid w:val="00495B6C"/>
    <w:rsid w:val="0049717E"/>
    <w:rsid w:val="00497CCE"/>
    <w:rsid w:val="00497EB1"/>
    <w:rsid w:val="004A0215"/>
    <w:rsid w:val="004A063E"/>
    <w:rsid w:val="004A2999"/>
    <w:rsid w:val="004A2B95"/>
    <w:rsid w:val="004A3A19"/>
    <w:rsid w:val="004A4D75"/>
    <w:rsid w:val="004B142C"/>
    <w:rsid w:val="004B1C8F"/>
    <w:rsid w:val="004B231E"/>
    <w:rsid w:val="004B370C"/>
    <w:rsid w:val="004B522E"/>
    <w:rsid w:val="004C03B0"/>
    <w:rsid w:val="004C05E0"/>
    <w:rsid w:val="004C0819"/>
    <w:rsid w:val="004C1777"/>
    <w:rsid w:val="004C42C8"/>
    <w:rsid w:val="004C4BD3"/>
    <w:rsid w:val="004C72C7"/>
    <w:rsid w:val="004D0435"/>
    <w:rsid w:val="004D2824"/>
    <w:rsid w:val="004D4834"/>
    <w:rsid w:val="004D5CB8"/>
    <w:rsid w:val="004D6502"/>
    <w:rsid w:val="004D742B"/>
    <w:rsid w:val="004D7C94"/>
    <w:rsid w:val="004E1132"/>
    <w:rsid w:val="004E1E59"/>
    <w:rsid w:val="004E2955"/>
    <w:rsid w:val="004E2A0D"/>
    <w:rsid w:val="004E3988"/>
    <w:rsid w:val="004E4E0B"/>
    <w:rsid w:val="004E5651"/>
    <w:rsid w:val="004E56A6"/>
    <w:rsid w:val="004F11F1"/>
    <w:rsid w:val="004F2D3D"/>
    <w:rsid w:val="004F31CD"/>
    <w:rsid w:val="004F3FA9"/>
    <w:rsid w:val="004F4151"/>
    <w:rsid w:val="004F49FF"/>
    <w:rsid w:val="004F4CB1"/>
    <w:rsid w:val="004F54A9"/>
    <w:rsid w:val="004F56C6"/>
    <w:rsid w:val="004F5E24"/>
    <w:rsid w:val="004F629A"/>
    <w:rsid w:val="004F63C5"/>
    <w:rsid w:val="004F6B7A"/>
    <w:rsid w:val="004F744A"/>
    <w:rsid w:val="004F771B"/>
    <w:rsid w:val="004F7D4E"/>
    <w:rsid w:val="00500951"/>
    <w:rsid w:val="00500F7C"/>
    <w:rsid w:val="00500FA8"/>
    <w:rsid w:val="005024D7"/>
    <w:rsid w:val="005025A5"/>
    <w:rsid w:val="00503E32"/>
    <w:rsid w:val="00506AD6"/>
    <w:rsid w:val="005070C6"/>
    <w:rsid w:val="00507349"/>
    <w:rsid w:val="00507BAD"/>
    <w:rsid w:val="005111DD"/>
    <w:rsid w:val="0051240A"/>
    <w:rsid w:val="005136B8"/>
    <w:rsid w:val="005136F7"/>
    <w:rsid w:val="005141FB"/>
    <w:rsid w:val="00514606"/>
    <w:rsid w:val="00515573"/>
    <w:rsid w:val="00515F6E"/>
    <w:rsid w:val="0051634B"/>
    <w:rsid w:val="00517526"/>
    <w:rsid w:val="0052050B"/>
    <w:rsid w:val="005219F1"/>
    <w:rsid w:val="005219FB"/>
    <w:rsid w:val="0052204A"/>
    <w:rsid w:val="005221AC"/>
    <w:rsid w:val="00524599"/>
    <w:rsid w:val="00526792"/>
    <w:rsid w:val="00527F68"/>
    <w:rsid w:val="00531E71"/>
    <w:rsid w:val="00533F40"/>
    <w:rsid w:val="00534A0B"/>
    <w:rsid w:val="0053500C"/>
    <w:rsid w:val="0053525D"/>
    <w:rsid w:val="005352D8"/>
    <w:rsid w:val="00537984"/>
    <w:rsid w:val="0054157C"/>
    <w:rsid w:val="0054316F"/>
    <w:rsid w:val="00543BF9"/>
    <w:rsid w:val="0054473E"/>
    <w:rsid w:val="005458F9"/>
    <w:rsid w:val="00545DE3"/>
    <w:rsid w:val="005460D8"/>
    <w:rsid w:val="00546512"/>
    <w:rsid w:val="00546A54"/>
    <w:rsid w:val="00547397"/>
    <w:rsid w:val="005521CF"/>
    <w:rsid w:val="0055320C"/>
    <w:rsid w:val="00554165"/>
    <w:rsid w:val="005543A4"/>
    <w:rsid w:val="0055625C"/>
    <w:rsid w:val="00556C37"/>
    <w:rsid w:val="00557A79"/>
    <w:rsid w:val="0056171D"/>
    <w:rsid w:val="00562E41"/>
    <w:rsid w:val="00563883"/>
    <w:rsid w:val="00565F4A"/>
    <w:rsid w:val="005669B4"/>
    <w:rsid w:val="00566C27"/>
    <w:rsid w:val="005676E2"/>
    <w:rsid w:val="00570543"/>
    <w:rsid w:val="00571D75"/>
    <w:rsid w:val="0057331C"/>
    <w:rsid w:val="00574DE1"/>
    <w:rsid w:val="00574EDA"/>
    <w:rsid w:val="00575160"/>
    <w:rsid w:val="005755AE"/>
    <w:rsid w:val="00575B58"/>
    <w:rsid w:val="005767DA"/>
    <w:rsid w:val="00580C4D"/>
    <w:rsid w:val="00581A23"/>
    <w:rsid w:val="00581A30"/>
    <w:rsid w:val="00583DAF"/>
    <w:rsid w:val="005844A1"/>
    <w:rsid w:val="0058509E"/>
    <w:rsid w:val="0058549E"/>
    <w:rsid w:val="00586535"/>
    <w:rsid w:val="005911BE"/>
    <w:rsid w:val="00591424"/>
    <w:rsid w:val="005933EC"/>
    <w:rsid w:val="00594C86"/>
    <w:rsid w:val="00594E20"/>
    <w:rsid w:val="005A095E"/>
    <w:rsid w:val="005A1A60"/>
    <w:rsid w:val="005A1B52"/>
    <w:rsid w:val="005A1BDE"/>
    <w:rsid w:val="005A2AFB"/>
    <w:rsid w:val="005A4434"/>
    <w:rsid w:val="005A7251"/>
    <w:rsid w:val="005A754F"/>
    <w:rsid w:val="005A7580"/>
    <w:rsid w:val="005A785F"/>
    <w:rsid w:val="005A79AA"/>
    <w:rsid w:val="005B13AC"/>
    <w:rsid w:val="005B220F"/>
    <w:rsid w:val="005B24F3"/>
    <w:rsid w:val="005B2D2F"/>
    <w:rsid w:val="005B339C"/>
    <w:rsid w:val="005B378D"/>
    <w:rsid w:val="005B3900"/>
    <w:rsid w:val="005B5972"/>
    <w:rsid w:val="005B7163"/>
    <w:rsid w:val="005C05F2"/>
    <w:rsid w:val="005C12A0"/>
    <w:rsid w:val="005C38A6"/>
    <w:rsid w:val="005C3FE0"/>
    <w:rsid w:val="005C4369"/>
    <w:rsid w:val="005C49AD"/>
    <w:rsid w:val="005C51FD"/>
    <w:rsid w:val="005C5B24"/>
    <w:rsid w:val="005C67A8"/>
    <w:rsid w:val="005C6A76"/>
    <w:rsid w:val="005C6E59"/>
    <w:rsid w:val="005C7770"/>
    <w:rsid w:val="005C7FED"/>
    <w:rsid w:val="005D01EB"/>
    <w:rsid w:val="005D07AF"/>
    <w:rsid w:val="005D10D0"/>
    <w:rsid w:val="005D1315"/>
    <w:rsid w:val="005D1964"/>
    <w:rsid w:val="005D3250"/>
    <w:rsid w:val="005D54AE"/>
    <w:rsid w:val="005D6BC0"/>
    <w:rsid w:val="005D7097"/>
    <w:rsid w:val="005E1E10"/>
    <w:rsid w:val="005E28CC"/>
    <w:rsid w:val="005E2D90"/>
    <w:rsid w:val="005E32B7"/>
    <w:rsid w:val="005E45C0"/>
    <w:rsid w:val="005E489B"/>
    <w:rsid w:val="005E5D49"/>
    <w:rsid w:val="005E645D"/>
    <w:rsid w:val="005F02FC"/>
    <w:rsid w:val="005F0378"/>
    <w:rsid w:val="005F1055"/>
    <w:rsid w:val="005F3E33"/>
    <w:rsid w:val="005F422A"/>
    <w:rsid w:val="005F44E4"/>
    <w:rsid w:val="005F45F3"/>
    <w:rsid w:val="005F645B"/>
    <w:rsid w:val="005F6953"/>
    <w:rsid w:val="005F6A1A"/>
    <w:rsid w:val="005F765C"/>
    <w:rsid w:val="006004E9"/>
    <w:rsid w:val="006024AD"/>
    <w:rsid w:val="00602D0C"/>
    <w:rsid w:val="00603518"/>
    <w:rsid w:val="0060495A"/>
    <w:rsid w:val="00605E36"/>
    <w:rsid w:val="00606B83"/>
    <w:rsid w:val="006072CB"/>
    <w:rsid w:val="006074C8"/>
    <w:rsid w:val="0060753E"/>
    <w:rsid w:val="00610074"/>
    <w:rsid w:val="006102C0"/>
    <w:rsid w:val="0061146D"/>
    <w:rsid w:val="0061224C"/>
    <w:rsid w:val="00612A9A"/>
    <w:rsid w:val="006135EF"/>
    <w:rsid w:val="00613FEB"/>
    <w:rsid w:val="00614005"/>
    <w:rsid w:val="00614175"/>
    <w:rsid w:val="0061511E"/>
    <w:rsid w:val="00615862"/>
    <w:rsid w:val="00616636"/>
    <w:rsid w:val="00617F1E"/>
    <w:rsid w:val="00620E5A"/>
    <w:rsid w:val="006210FF"/>
    <w:rsid w:val="00624089"/>
    <w:rsid w:val="006241FD"/>
    <w:rsid w:val="00625104"/>
    <w:rsid w:val="00625123"/>
    <w:rsid w:val="00625E1A"/>
    <w:rsid w:val="00626763"/>
    <w:rsid w:val="006267FC"/>
    <w:rsid w:val="00626805"/>
    <w:rsid w:val="00626FE7"/>
    <w:rsid w:val="006303B2"/>
    <w:rsid w:val="0063231F"/>
    <w:rsid w:val="006331B2"/>
    <w:rsid w:val="006337EF"/>
    <w:rsid w:val="00634DB1"/>
    <w:rsid w:val="00635DA8"/>
    <w:rsid w:val="00636A64"/>
    <w:rsid w:val="006374D7"/>
    <w:rsid w:val="00640190"/>
    <w:rsid w:val="00640747"/>
    <w:rsid w:val="00641D31"/>
    <w:rsid w:val="00642D8C"/>
    <w:rsid w:val="006430F1"/>
    <w:rsid w:val="00645B3B"/>
    <w:rsid w:val="00646B26"/>
    <w:rsid w:val="006471B2"/>
    <w:rsid w:val="00652599"/>
    <w:rsid w:val="00653436"/>
    <w:rsid w:val="00653A6E"/>
    <w:rsid w:val="00654C0E"/>
    <w:rsid w:val="00654EFF"/>
    <w:rsid w:val="0065549C"/>
    <w:rsid w:val="0065600A"/>
    <w:rsid w:val="00656143"/>
    <w:rsid w:val="006561C9"/>
    <w:rsid w:val="00657099"/>
    <w:rsid w:val="00657178"/>
    <w:rsid w:val="0065773A"/>
    <w:rsid w:val="00660497"/>
    <w:rsid w:val="00660B4D"/>
    <w:rsid w:val="00661CE9"/>
    <w:rsid w:val="00662740"/>
    <w:rsid w:val="006637EA"/>
    <w:rsid w:val="00663BD8"/>
    <w:rsid w:val="00663E0A"/>
    <w:rsid w:val="00664004"/>
    <w:rsid w:val="00664B50"/>
    <w:rsid w:val="00666369"/>
    <w:rsid w:val="00666A2F"/>
    <w:rsid w:val="00667861"/>
    <w:rsid w:val="00673082"/>
    <w:rsid w:val="006744E6"/>
    <w:rsid w:val="00677D9D"/>
    <w:rsid w:val="006828D2"/>
    <w:rsid w:val="00687510"/>
    <w:rsid w:val="006914D1"/>
    <w:rsid w:val="00691A54"/>
    <w:rsid w:val="006921D3"/>
    <w:rsid w:val="006930A9"/>
    <w:rsid w:val="00693658"/>
    <w:rsid w:val="006943DF"/>
    <w:rsid w:val="00694EA0"/>
    <w:rsid w:val="00696880"/>
    <w:rsid w:val="006A2552"/>
    <w:rsid w:val="006A3699"/>
    <w:rsid w:val="006A37B8"/>
    <w:rsid w:val="006A3F72"/>
    <w:rsid w:val="006A4503"/>
    <w:rsid w:val="006A4F2A"/>
    <w:rsid w:val="006A5122"/>
    <w:rsid w:val="006A5465"/>
    <w:rsid w:val="006A6E53"/>
    <w:rsid w:val="006B073A"/>
    <w:rsid w:val="006B2917"/>
    <w:rsid w:val="006B3137"/>
    <w:rsid w:val="006B4FE1"/>
    <w:rsid w:val="006B5E07"/>
    <w:rsid w:val="006B6045"/>
    <w:rsid w:val="006B63D0"/>
    <w:rsid w:val="006B6896"/>
    <w:rsid w:val="006B70E3"/>
    <w:rsid w:val="006C1D00"/>
    <w:rsid w:val="006C23A2"/>
    <w:rsid w:val="006C4303"/>
    <w:rsid w:val="006C4BA8"/>
    <w:rsid w:val="006D0269"/>
    <w:rsid w:val="006D1E68"/>
    <w:rsid w:val="006D26CF"/>
    <w:rsid w:val="006D3635"/>
    <w:rsid w:val="006D3636"/>
    <w:rsid w:val="006D3B6C"/>
    <w:rsid w:val="006D4DD2"/>
    <w:rsid w:val="006D6962"/>
    <w:rsid w:val="006D74D3"/>
    <w:rsid w:val="006D7E94"/>
    <w:rsid w:val="006E0BD9"/>
    <w:rsid w:val="006E1586"/>
    <w:rsid w:val="006E15BD"/>
    <w:rsid w:val="006E2387"/>
    <w:rsid w:val="006E2569"/>
    <w:rsid w:val="006E2C34"/>
    <w:rsid w:val="006E2FBD"/>
    <w:rsid w:val="006E3DAD"/>
    <w:rsid w:val="006E4278"/>
    <w:rsid w:val="006E496B"/>
    <w:rsid w:val="006E519A"/>
    <w:rsid w:val="006E58C5"/>
    <w:rsid w:val="006E6880"/>
    <w:rsid w:val="006E6C0F"/>
    <w:rsid w:val="006F0420"/>
    <w:rsid w:val="006F1FD2"/>
    <w:rsid w:val="006F319C"/>
    <w:rsid w:val="006F3EF4"/>
    <w:rsid w:val="006F4F5C"/>
    <w:rsid w:val="006F52BF"/>
    <w:rsid w:val="006F56A9"/>
    <w:rsid w:val="006F58F1"/>
    <w:rsid w:val="006F59A9"/>
    <w:rsid w:val="006F7022"/>
    <w:rsid w:val="00701001"/>
    <w:rsid w:val="007019BC"/>
    <w:rsid w:val="00701A87"/>
    <w:rsid w:val="0070221F"/>
    <w:rsid w:val="0070288B"/>
    <w:rsid w:val="007029B5"/>
    <w:rsid w:val="00703C42"/>
    <w:rsid w:val="007058D3"/>
    <w:rsid w:val="0070622D"/>
    <w:rsid w:val="00706D7D"/>
    <w:rsid w:val="00706FEF"/>
    <w:rsid w:val="00707047"/>
    <w:rsid w:val="0070755E"/>
    <w:rsid w:val="00707FF1"/>
    <w:rsid w:val="00711255"/>
    <w:rsid w:val="00711BFE"/>
    <w:rsid w:val="00712B23"/>
    <w:rsid w:val="00713F2A"/>
    <w:rsid w:val="007150C3"/>
    <w:rsid w:val="00716B7B"/>
    <w:rsid w:val="00717416"/>
    <w:rsid w:val="007175D8"/>
    <w:rsid w:val="00720917"/>
    <w:rsid w:val="00722308"/>
    <w:rsid w:val="0072282E"/>
    <w:rsid w:val="0072575F"/>
    <w:rsid w:val="00725950"/>
    <w:rsid w:val="00725E97"/>
    <w:rsid w:val="00726265"/>
    <w:rsid w:val="00726554"/>
    <w:rsid w:val="00726E53"/>
    <w:rsid w:val="00726EE8"/>
    <w:rsid w:val="00727A51"/>
    <w:rsid w:val="00727F81"/>
    <w:rsid w:val="00733683"/>
    <w:rsid w:val="0073368F"/>
    <w:rsid w:val="00734E7B"/>
    <w:rsid w:val="00740370"/>
    <w:rsid w:val="007403BA"/>
    <w:rsid w:val="00741B12"/>
    <w:rsid w:val="00742169"/>
    <w:rsid w:val="0074298D"/>
    <w:rsid w:val="007429A0"/>
    <w:rsid w:val="0074309B"/>
    <w:rsid w:val="007430E0"/>
    <w:rsid w:val="00744979"/>
    <w:rsid w:val="00744E98"/>
    <w:rsid w:val="0074590B"/>
    <w:rsid w:val="00746FDA"/>
    <w:rsid w:val="007472A2"/>
    <w:rsid w:val="00747B4D"/>
    <w:rsid w:val="00750574"/>
    <w:rsid w:val="00750A34"/>
    <w:rsid w:val="00750C18"/>
    <w:rsid w:val="00752074"/>
    <w:rsid w:val="0075266F"/>
    <w:rsid w:val="00752D4B"/>
    <w:rsid w:val="00754628"/>
    <w:rsid w:val="007547AA"/>
    <w:rsid w:val="0075495E"/>
    <w:rsid w:val="007559B7"/>
    <w:rsid w:val="00755E83"/>
    <w:rsid w:val="00757026"/>
    <w:rsid w:val="007638C6"/>
    <w:rsid w:val="00764960"/>
    <w:rsid w:val="007657A1"/>
    <w:rsid w:val="00766BB9"/>
    <w:rsid w:val="00767CF7"/>
    <w:rsid w:val="0077136E"/>
    <w:rsid w:val="00771EF6"/>
    <w:rsid w:val="00772644"/>
    <w:rsid w:val="007730CC"/>
    <w:rsid w:val="00775AEB"/>
    <w:rsid w:val="007762C9"/>
    <w:rsid w:val="00781CF1"/>
    <w:rsid w:val="00781FEF"/>
    <w:rsid w:val="00782FD7"/>
    <w:rsid w:val="0078501F"/>
    <w:rsid w:val="0078531E"/>
    <w:rsid w:val="0078579E"/>
    <w:rsid w:val="00786EED"/>
    <w:rsid w:val="00787A6F"/>
    <w:rsid w:val="00787B76"/>
    <w:rsid w:val="00791590"/>
    <w:rsid w:val="00793B3B"/>
    <w:rsid w:val="00796E7F"/>
    <w:rsid w:val="00797046"/>
    <w:rsid w:val="007972E0"/>
    <w:rsid w:val="00797918"/>
    <w:rsid w:val="007A0520"/>
    <w:rsid w:val="007A3776"/>
    <w:rsid w:val="007A3D1D"/>
    <w:rsid w:val="007A4250"/>
    <w:rsid w:val="007A4EED"/>
    <w:rsid w:val="007A5304"/>
    <w:rsid w:val="007A6105"/>
    <w:rsid w:val="007A6473"/>
    <w:rsid w:val="007A6677"/>
    <w:rsid w:val="007A6C6F"/>
    <w:rsid w:val="007A71AE"/>
    <w:rsid w:val="007A7373"/>
    <w:rsid w:val="007B0B28"/>
    <w:rsid w:val="007B0BD0"/>
    <w:rsid w:val="007B0F7D"/>
    <w:rsid w:val="007B220F"/>
    <w:rsid w:val="007B3C62"/>
    <w:rsid w:val="007B4920"/>
    <w:rsid w:val="007B6957"/>
    <w:rsid w:val="007B7195"/>
    <w:rsid w:val="007C00AF"/>
    <w:rsid w:val="007C00C0"/>
    <w:rsid w:val="007C04EF"/>
    <w:rsid w:val="007C0967"/>
    <w:rsid w:val="007C0CF2"/>
    <w:rsid w:val="007C326B"/>
    <w:rsid w:val="007C40C0"/>
    <w:rsid w:val="007C4DFF"/>
    <w:rsid w:val="007C6140"/>
    <w:rsid w:val="007C6289"/>
    <w:rsid w:val="007C6A84"/>
    <w:rsid w:val="007D034B"/>
    <w:rsid w:val="007D0394"/>
    <w:rsid w:val="007D1076"/>
    <w:rsid w:val="007D2710"/>
    <w:rsid w:val="007D293D"/>
    <w:rsid w:val="007D382F"/>
    <w:rsid w:val="007D4606"/>
    <w:rsid w:val="007D56C4"/>
    <w:rsid w:val="007D5749"/>
    <w:rsid w:val="007D5A93"/>
    <w:rsid w:val="007D72EA"/>
    <w:rsid w:val="007E0475"/>
    <w:rsid w:val="007E45CF"/>
    <w:rsid w:val="007E6EA4"/>
    <w:rsid w:val="007E74C1"/>
    <w:rsid w:val="007F0954"/>
    <w:rsid w:val="007F0ED6"/>
    <w:rsid w:val="007F1C1E"/>
    <w:rsid w:val="007F219B"/>
    <w:rsid w:val="007F29F7"/>
    <w:rsid w:val="007F5203"/>
    <w:rsid w:val="007F5792"/>
    <w:rsid w:val="007F613D"/>
    <w:rsid w:val="007F70FC"/>
    <w:rsid w:val="008003A8"/>
    <w:rsid w:val="008014BB"/>
    <w:rsid w:val="0080195E"/>
    <w:rsid w:val="0080436B"/>
    <w:rsid w:val="0080454E"/>
    <w:rsid w:val="00804C75"/>
    <w:rsid w:val="00804D5F"/>
    <w:rsid w:val="008064AC"/>
    <w:rsid w:val="008074C4"/>
    <w:rsid w:val="00807EBA"/>
    <w:rsid w:val="008104FC"/>
    <w:rsid w:val="0081335C"/>
    <w:rsid w:val="008137F7"/>
    <w:rsid w:val="00813B55"/>
    <w:rsid w:val="00814153"/>
    <w:rsid w:val="00814787"/>
    <w:rsid w:val="00816212"/>
    <w:rsid w:val="00817086"/>
    <w:rsid w:val="00817348"/>
    <w:rsid w:val="00817E79"/>
    <w:rsid w:val="00820B5A"/>
    <w:rsid w:val="008217EB"/>
    <w:rsid w:val="00821849"/>
    <w:rsid w:val="00823971"/>
    <w:rsid w:val="00824B58"/>
    <w:rsid w:val="008263AE"/>
    <w:rsid w:val="00827D07"/>
    <w:rsid w:val="00827E88"/>
    <w:rsid w:val="00830C1E"/>
    <w:rsid w:val="00830DAF"/>
    <w:rsid w:val="00830F93"/>
    <w:rsid w:val="008348E9"/>
    <w:rsid w:val="00840A4F"/>
    <w:rsid w:val="00840DE3"/>
    <w:rsid w:val="00842501"/>
    <w:rsid w:val="0084299C"/>
    <w:rsid w:val="008439A0"/>
    <w:rsid w:val="00845282"/>
    <w:rsid w:val="00845318"/>
    <w:rsid w:val="00845623"/>
    <w:rsid w:val="0084586E"/>
    <w:rsid w:val="00845FC9"/>
    <w:rsid w:val="00846908"/>
    <w:rsid w:val="00847E7A"/>
    <w:rsid w:val="008508E4"/>
    <w:rsid w:val="008526C9"/>
    <w:rsid w:val="00852BEB"/>
    <w:rsid w:val="00852CE1"/>
    <w:rsid w:val="00852E3D"/>
    <w:rsid w:val="008539E4"/>
    <w:rsid w:val="008542E9"/>
    <w:rsid w:val="00854BD5"/>
    <w:rsid w:val="0085594E"/>
    <w:rsid w:val="00856AE7"/>
    <w:rsid w:val="00857AB3"/>
    <w:rsid w:val="00857DB8"/>
    <w:rsid w:val="008603CB"/>
    <w:rsid w:val="00860989"/>
    <w:rsid w:val="0086263F"/>
    <w:rsid w:val="00864A5E"/>
    <w:rsid w:val="00865BC3"/>
    <w:rsid w:val="00866A91"/>
    <w:rsid w:val="00867327"/>
    <w:rsid w:val="0086784A"/>
    <w:rsid w:val="008679B8"/>
    <w:rsid w:val="008721AA"/>
    <w:rsid w:val="00873312"/>
    <w:rsid w:val="00875D30"/>
    <w:rsid w:val="00876A48"/>
    <w:rsid w:val="008800DA"/>
    <w:rsid w:val="00881F65"/>
    <w:rsid w:val="00882562"/>
    <w:rsid w:val="008831B7"/>
    <w:rsid w:val="00883F0D"/>
    <w:rsid w:val="0088458C"/>
    <w:rsid w:val="008861C0"/>
    <w:rsid w:val="00886D46"/>
    <w:rsid w:val="008903A2"/>
    <w:rsid w:val="008905DA"/>
    <w:rsid w:val="00893440"/>
    <w:rsid w:val="00893767"/>
    <w:rsid w:val="00894111"/>
    <w:rsid w:val="00895014"/>
    <w:rsid w:val="008956BA"/>
    <w:rsid w:val="00895959"/>
    <w:rsid w:val="00896374"/>
    <w:rsid w:val="00896CD3"/>
    <w:rsid w:val="008A1911"/>
    <w:rsid w:val="008A1B51"/>
    <w:rsid w:val="008A3168"/>
    <w:rsid w:val="008A49C5"/>
    <w:rsid w:val="008A5334"/>
    <w:rsid w:val="008A5585"/>
    <w:rsid w:val="008A56D9"/>
    <w:rsid w:val="008A5DD4"/>
    <w:rsid w:val="008A632A"/>
    <w:rsid w:val="008A70A5"/>
    <w:rsid w:val="008A75D3"/>
    <w:rsid w:val="008A7E54"/>
    <w:rsid w:val="008A7FD2"/>
    <w:rsid w:val="008B007A"/>
    <w:rsid w:val="008B019B"/>
    <w:rsid w:val="008B08D6"/>
    <w:rsid w:val="008B16D8"/>
    <w:rsid w:val="008B19A9"/>
    <w:rsid w:val="008B275B"/>
    <w:rsid w:val="008B2B4C"/>
    <w:rsid w:val="008B307A"/>
    <w:rsid w:val="008B5DC1"/>
    <w:rsid w:val="008B5DC6"/>
    <w:rsid w:val="008B67B2"/>
    <w:rsid w:val="008B72D8"/>
    <w:rsid w:val="008C0F9D"/>
    <w:rsid w:val="008C1845"/>
    <w:rsid w:val="008C1897"/>
    <w:rsid w:val="008C268B"/>
    <w:rsid w:val="008C301E"/>
    <w:rsid w:val="008C4CA4"/>
    <w:rsid w:val="008C50B1"/>
    <w:rsid w:val="008C67CE"/>
    <w:rsid w:val="008C6E36"/>
    <w:rsid w:val="008D2299"/>
    <w:rsid w:val="008D3BD0"/>
    <w:rsid w:val="008D3EEE"/>
    <w:rsid w:val="008D4679"/>
    <w:rsid w:val="008D4DA0"/>
    <w:rsid w:val="008D4FE7"/>
    <w:rsid w:val="008D507C"/>
    <w:rsid w:val="008D5602"/>
    <w:rsid w:val="008D5D1A"/>
    <w:rsid w:val="008D67E4"/>
    <w:rsid w:val="008E03C9"/>
    <w:rsid w:val="008E0917"/>
    <w:rsid w:val="008E0D74"/>
    <w:rsid w:val="008E149F"/>
    <w:rsid w:val="008E4364"/>
    <w:rsid w:val="008E46DA"/>
    <w:rsid w:val="008E4D88"/>
    <w:rsid w:val="008E5513"/>
    <w:rsid w:val="008E57C6"/>
    <w:rsid w:val="008E5F61"/>
    <w:rsid w:val="008E5FE0"/>
    <w:rsid w:val="008E70C0"/>
    <w:rsid w:val="008E7716"/>
    <w:rsid w:val="008F0521"/>
    <w:rsid w:val="008F06D2"/>
    <w:rsid w:val="008F0C62"/>
    <w:rsid w:val="008F0D2D"/>
    <w:rsid w:val="008F14E5"/>
    <w:rsid w:val="008F18F3"/>
    <w:rsid w:val="008F1D13"/>
    <w:rsid w:val="008F32BB"/>
    <w:rsid w:val="008F3713"/>
    <w:rsid w:val="008F3EEF"/>
    <w:rsid w:val="008F4300"/>
    <w:rsid w:val="008F51FB"/>
    <w:rsid w:val="008F5616"/>
    <w:rsid w:val="008F5AB3"/>
    <w:rsid w:val="008F5CE2"/>
    <w:rsid w:val="008F6E9D"/>
    <w:rsid w:val="008F7C74"/>
    <w:rsid w:val="008F7E8C"/>
    <w:rsid w:val="009011D1"/>
    <w:rsid w:val="00901D73"/>
    <w:rsid w:val="00902587"/>
    <w:rsid w:val="009036B7"/>
    <w:rsid w:val="00903B05"/>
    <w:rsid w:val="00903F5B"/>
    <w:rsid w:val="009059BC"/>
    <w:rsid w:val="009073B2"/>
    <w:rsid w:val="009073BB"/>
    <w:rsid w:val="00910166"/>
    <w:rsid w:val="0091031B"/>
    <w:rsid w:val="00910BF8"/>
    <w:rsid w:val="00911CB6"/>
    <w:rsid w:val="00912D4E"/>
    <w:rsid w:val="0091553E"/>
    <w:rsid w:val="00915792"/>
    <w:rsid w:val="00916342"/>
    <w:rsid w:val="00920BD8"/>
    <w:rsid w:val="009211BA"/>
    <w:rsid w:val="009211EA"/>
    <w:rsid w:val="00921720"/>
    <w:rsid w:val="009227DF"/>
    <w:rsid w:val="00922902"/>
    <w:rsid w:val="00923684"/>
    <w:rsid w:val="009237DD"/>
    <w:rsid w:val="0092398E"/>
    <w:rsid w:val="00924381"/>
    <w:rsid w:val="009246FF"/>
    <w:rsid w:val="00925958"/>
    <w:rsid w:val="00926265"/>
    <w:rsid w:val="00926999"/>
    <w:rsid w:val="0092732F"/>
    <w:rsid w:val="009306A2"/>
    <w:rsid w:val="0093355E"/>
    <w:rsid w:val="00935612"/>
    <w:rsid w:val="00935EC1"/>
    <w:rsid w:val="0093696B"/>
    <w:rsid w:val="009376C6"/>
    <w:rsid w:val="00937BA4"/>
    <w:rsid w:val="0094097A"/>
    <w:rsid w:val="00942038"/>
    <w:rsid w:val="0094232E"/>
    <w:rsid w:val="00942C07"/>
    <w:rsid w:val="009451DC"/>
    <w:rsid w:val="00945633"/>
    <w:rsid w:val="009471F8"/>
    <w:rsid w:val="00947367"/>
    <w:rsid w:val="0094754F"/>
    <w:rsid w:val="0095082A"/>
    <w:rsid w:val="00950EAF"/>
    <w:rsid w:val="009526B8"/>
    <w:rsid w:val="009527B0"/>
    <w:rsid w:val="00952D0D"/>
    <w:rsid w:val="0095348E"/>
    <w:rsid w:val="009536CA"/>
    <w:rsid w:val="00953FCC"/>
    <w:rsid w:val="009556E5"/>
    <w:rsid w:val="009559F4"/>
    <w:rsid w:val="00957224"/>
    <w:rsid w:val="00957D58"/>
    <w:rsid w:val="00962AB7"/>
    <w:rsid w:val="00964F41"/>
    <w:rsid w:val="009660C2"/>
    <w:rsid w:val="009661A4"/>
    <w:rsid w:val="009661B5"/>
    <w:rsid w:val="0096709B"/>
    <w:rsid w:val="009706D1"/>
    <w:rsid w:val="0097082C"/>
    <w:rsid w:val="00970AE6"/>
    <w:rsid w:val="00971033"/>
    <w:rsid w:val="00973058"/>
    <w:rsid w:val="009746FE"/>
    <w:rsid w:val="00974B06"/>
    <w:rsid w:val="00974E90"/>
    <w:rsid w:val="00974FBF"/>
    <w:rsid w:val="009755D7"/>
    <w:rsid w:val="00977584"/>
    <w:rsid w:val="00977BE3"/>
    <w:rsid w:val="009804FC"/>
    <w:rsid w:val="009807B4"/>
    <w:rsid w:val="00981351"/>
    <w:rsid w:val="009814C2"/>
    <w:rsid w:val="009821B7"/>
    <w:rsid w:val="00982914"/>
    <w:rsid w:val="00982F89"/>
    <w:rsid w:val="00983D5A"/>
    <w:rsid w:val="00984B10"/>
    <w:rsid w:val="009862B8"/>
    <w:rsid w:val="0098665F"/>
    <w:rsid w:val="0098723D"/>
    <w:rsid w:val="00987F7C"/>
    <w:rsid w:val="00991072"/>
    <w:rsid w:val="009912AD"/>
    <w:rsid w:val="00991E7D"/>
    <w:rsid w:val="00992B93"/>
    <w:rsid w:val="00992EC5"/>
    <w:rsid w:val="00993849"/>
    <w:rsid w:val="009940D6"/>
    <w:rsid w:val="009941C3"/>
    <w:rsid w:val="00994C68"/>
    <w:rsid w:val="009954CB"/>
    <w:rsid w:val="00996145"/>
    <w:rsid w:val="0099646B"/>
    <w:rsid w:val="00996BB3"/>
    <w:rsid w:val="009A0DFA"/>
    <w:rsid w:val="009A0EBC"/>
    <w:rsid w:val="009A3265"/>
    <w:rsid w:val="009A386F"/>
    <w:rsid w:val="009A3C89"/>
    <w:rsid w:val="009A61AC"/>
    <w:rsid w:val="009B052B"/>
    <w:rsid w:val="009B0B96"/>
    <w:rsid w:val="009B0D96"/>
    <w:rsid w:val="009B1075"/>
    <w:rsid w:val="009B1A42"/>
    <w:rsid w:val="009B1B62"/>
    <w:rsid w:val="009B2AFA"/>
    <w:rsid w:val="009B31C8"/>
    <w:rsid w:val="009B38FD"/>
    <w:rsid w:val="009B3E96"/>
    <w:rsid w:val="009B7692"/>
    <w:rsid w:val="009B7A29"/>
    <w:rsid w:val="009B7DFA"/>
    <w:rsid w:val="009C1706"/>
    <w:rsid w:val="009C200A"/>
    <w:rsid w:val="009C25EA"/>
    <w:rsid w:val="009C27EB"/>
    <w:rsid w:val="009C2C54"/>
    <w:rsid w:val="009C33A7"/>
    <w:rsid w:val="009C3651"/>
    <w:rsid w:val="009C3F0C"/>
    <w:rsid w:val="009C3F57"/>
    <w:rsid w:val="009C423B"/>
    <w:rsid w:val="009C61C1"/>
    <w:rsid w:val="009C6EBC"/>
    <w:rsid w:val="009C761F"/>
    <w:rsid w:val="009C7719"/>
    <w:rsid w:val="009D0053"/>
    <w:rsid w:val="009D070E"/>
    <w:rsid w:val="009D0889"/>
    <w:rsid w:val="009D0A63"/>
    <w:rsid w:val="009D25C8"/>
    <w:rsid w:val="009D3257"/>
    <w:rsid w:val="009D32FE"/>
    <w:rsid w:val="009D3E78"/>
    <w:rsid w:val="009D4792"/>
    <w:rsid w:val="009D4C6D"/>
    <w:rsid w:val="009D4F0B"/>
    <w:rsid w:val="009D5099"/>
    <w:rsid w:val="009D60D6"/>
    <w:rsid w:val="009D6471"/>
    <w:rsid w:val="009E131E"/>
    <w:rsid w:val="009E2C5F"/>
    <w:rsid w:val="009E4907"/>
    <w:rsid w:val="009E4E66"/>
    <w:rsid w:val="009E64E7"/>
    <w:rsid w:val="009E6CDD"/>
    <w:rsid w:val="009E6E08"/>
    <w:rsid w:val="009E7F15"/>
    <w:rsid w:val="009F002F"/>
    <w:rsid w:val="009F0486"/>
    <w:rsid w:val="009F087A"/>
    <w:rsid w:val="009F1340"/>
    <w:rsid w:val="009F1F35"/>
    <w:rsid w:val="009F2C33"/>
    <w:rsid w:val="009F369D"/>
    <w:rsid w:val="009F385F"/>
    <w:rsid w:val="009F45D9"/>
    <w:rsid w:val="009F67F0"/>
    <w:rsid w:val="009F6C04"/>
    <w:rsid w:val="009F6CC9"/>
    <w:rsid w:val="009F7BA7"/>
    <w:rsid w:val="00A00ED4"/>
    <w:rsid w:val="00A0166B"/>
    <w:rsid w:val="00A01A44"/>
    <w:rsid w:val="00A01C26"/>
    <w:rsid w:val="00A031F8"/>
    <w:rsid w:val="00A03BEB"/>
    <w:rsid w:val="00A051BC"/>
    <w:rsid w:val="00A07548"/>
    <w:rsid w:val="00A07584"/>
    <w:rsid w:val="00A10224"/>
    <w:rsid w:val="00A1108E"/>
    <w:rsid w:val="00A11EA3"/>
    <w:rsid w:val="00A14AEB"/>
    <w:rsid w:val="00A16E3F"/>
    <w:rsid w:val="00A2039C"/>
    <w:rsid w:val="00A20590"/>
    <w:rsid w:val="00A21685"/>
    <w:rsid w:val="00A2342F"/>
    <w:rsid w:val="00A23524"/>
    <w:rsid w:val="00A2371C"/>
    <w:rsid w:val="00A24459"/>
    <w:rsid w:val="00A2451C"/>
    <w:rsid w:val="00A3064F"/>
    <w:rsid w:val="00A30ECF"/>
    <w:rsid w:val="00A327D7"/>
    <w:rsid w:val="00A34CA7"/>
    <w:rsid w:val="00A359F2"/>
    <w:rsid w:val="00A35B32"/>
    <w:rsid w:val="00A35B35"/>
    <w:rsid w:val="00A37345"/>
    <w:rsid w:val="00A375B8"/>
    <w:rsid w:val="00A40BA5"/>
    <w:rsid w:val="00A415E5"/>
    <w:rsid w:val="00A4222B"/>
    <w:rsid w:val="00A424C1"/>
    <w:rsid w:val="00A435E6"/>
    <w:rsid w:val="00A44005"/>
    <w:rsid w:val="00A441E6"/>
    <w:rsid w:val="00A444C0"/>
    <w:rsid w:val="00A44AA6"/>
    <w:rsid w:val="00A45C74"/>
    <w:rsid w:val="00A46EA8"/>
    <w:rsid w:val="00A47794"/>
    <w:rsid w:val="00A47D40"/>
    <w:rsid w:val="00A5071B"/>
    <w:rsid w:val="00A537CE"/>
    <w:rsid w:val="00A54159"/>
    <w:rsid w:val="00A544A7"/>
    <w:rsid w:val="00A54BC9"/>
    <w:rsid w:val="00A5506C"/>
    <w:rsid w:val="00A55785"/>
    <w:rsid w:val="00A56F02"/>
    <w:rsid w:val="00A60458"/>
    <w:rsid w:val="00A6081F"/>
    <w:rsid w:val="00A6114F"/>
    <w:rsid w:val="00A6239C"/>
    <w:rsid w:val="00A62574"/>
    <w:rsid w:val="00A63AAC"/>
    <w:rsid w:val="00A63D50"/>
    <w:rsid w:val="00A65747"/>
    <w:rsid w:val="00A66B03"/>
    <w:rsid w:val="00A66BAD"/>
    <w:rsid w:val="00A67139"/>
    <w:rsid w:val="00A67BC8"/>
    <w:rsid w:val="00A67FE2"/>
    <w:rsid w:val="00A712B8"/>
    <w:rsid w:val="00A718BE"/>
    <w:rsid w:val="00A71ECF"/>
    <w:rsid w:val="00A71F58"/>
    <w:rsid w:val="00A727EA"/>
    <w:rsid w:val="00A73808"/>
    <w:rsid w:val="00A74645"/>
    <w:rsid w:val="00A746D9"/>
    <w:rsid w:val="00A75EB0"/>
    <w:rsid w:val="00A7642D"/>
    <w:rsid w:val="00A767D0"/>
    <w:rsid w:val="00A775E2"/>
    <w:rsid w:val="00A778AF"/>
    <w:rsid w:val="00A8010D"/>
    <w:rsid w:val="00A82A1F"/>
    <w:rsid w:val="00A83B6E"/>
    <w:rsid w:val="00A8592B"/>
    <w:rsid w:val="00A85E78"/>
    <w:rsid w:val="00A85FB3"/>
    <w:rsid w:val="00A86C87"/>
    <w:rsid w:val="00A87963"/>
    <w:rsid w:val="00A90313"/>
    <w:rsid w:val="00A9105E"/>
    <w:rsid w:val="00A929E7"/>
    <w:rsid w:val="00A9393D"/>
    <w:rsid w:val="00A93A5F"/>
    <w:rsid w:val="00A93F8C"/>
    <w:rsid w:val="00A945E3"/>
    <w:rsid w:val="00A95456"/>
    <w:rsid w:val="00A95EBA"/>
    <w:rsid w:val="00A9636A"/>
    <w:rsid w:val="00AA13A4"/>
    <w:rsid w:val="00AA186F"/>
    <w:rsid w:val="00AA27ED"/>
    <w:rsid w:val="00AA2A7F"/>
    <w:rsid w:val="00AA307B"/>
    <w:rsid w:val="00AA416B"/>
    <w:rsid w:val="00AA4423"/>
    <w:rsid w:val="00AA4E25"/>
    <w:rsid w:val="00AA642C"/>
    <w:rsid w:val="00AA75FA"/>
    <w:rsid w:val="00AB064C"/>
    <w:rsid w:val="00AB238A"/>
    <w:rsid w:val="00AB28DC"/>
    <w:rsid w:val="00AB2D53"/>
    <w:rsid w:val="00AB452D"/>
    <w:rsid w:val="00AB4EC6"/>
    <w:rsid w:val="00AB7281"/>
    <w:rsid w:val="00AC1853"/>
    <w:rsid w:val="00AC41E4"/>
    <w:rsid w:val="00AC5140"/>
    <w:rsid w:val="00AC64F1"/>
    <w:rsid w:val="00AC6689"/>
    <w:rsid w:val="00AC73FC"/>
    <w:rsid w:val="00AC7773"/>
    <w:rsid w:val="00AD00B5"/>
    <w:rsid w:val="00AD0634"/>
    <w:rsid w:val="00AD13C2"/>
    <w:rsid w:val="00AD1421"/>
    <w:rsid w:val="00AD169F"/>
    <w:rsid w:val="00AD2A1C"/>
    <w:rsid w:val="00AD2A86"/>
    <w:rsid w:val="00AD62F5"/>
    <w:rsid w:val="00AD6AD8"/>
    <w:rsid w:val="00AD6D1F"/>
    <w:rsid w:val="00AD7DFF"/>
    <w:rsid w:val="00AE09DC"/>
    <w:rsid w:val="00AE1EB4"/>
    <w:rsid w:val="00AE1EEA"/>
    <w:rsid w:val="00AE28F2"/>
    <w:rsid w:val="00AE2EF4"/>
    <w:rsid w:val="00AE3570"/>
    <w:rsid w:val="00AE373E"/>
    <w:rsid w:val="00AE41CB"/>
    <w:rsid w:val="00AE4A3F"/>
    <w:rsid w:val="00AE4A6E"/>
    <w:rsid w:val="00AE4E4D"/>
    <w:rsid w:val="00AE5836"/>
    <w:rsid w:val="00AE625E"/>
    <w:rsid w:val="00AE6CA1"/>
    <w:rsid w:val="00AE78D3"/>
    <w:rsid w:val="00AF0C11"/>
    <w:rsid w:val="00AF3B5E"/>
    <w:rsid w:val="00AF3B78"/>
    <w:rsid w:val="00AF4997"/>
    <w:rsid w:val="00AF4C2A"/>
    <w:rsid w:val="00AF57A1"/>
    <w:rsid w:val="00AF5A9B"/>
    <w:rsid w:val="00AF647C"/>
    <w:rsid w:val="00AF657E"/>
    <w:rsid w:val="00AF6978"/>
    <w:rsid w:val="00AF71C3"/>
    <w:rsid w:val="00B01655"/>
    <w:rsid w:val="00B01BF3"/>
    <w:rsid w:val="00B03CFC"/>
    <w:rsid w:val="00B04036"/>
    <w:rsid w:val="00B05255"/>
    <w:rsid w:val="00B1293B"/>
    <w:rsid w:val="00B134CD"/>
    <w:rsid w:val="00B14E0C"/>
    <w:rsid w:val="00B14E8D"/>
    <w:rsid w:val="00B15AC3"/>
    <w:rsid w:val="00B20D45"/>
    <w:rsid w:val="00B2174B"/>
    <w:rsid w:val="00B21CE1"/>
    <w:rsid w:val="00B2257B"/>
    <w:rsid w:val="00B22A49"/>
    <w:rsid w:val="00B22D9E"/>
    <w:rsid w:val="00B23258"/>
    <w:rsid w:val="00B236DB"/>
    <w:rsid w:val="00B23A70"/>
    <w:rsid w:val="00B23CD2"/>
    <w:rsid w:val="00B24FA8"/>
    <w:rsid w:val="00B25120"/>
    <w:rsid w:val="00B26F90"/>
    <w:rsid w:val="00B27938"/>
    <w:rsid w:val="00B31EBC"/>
    <w:rsid w:val="00B35909"/>
    <w:rsid w:val="00B369FE"/>
    <w:rsid w:val="00B36DAF"/>
    <w:rsid w:val="00B37BCE"/>
    <w:rsid w:val="00B41A60"/>
    <w:rsid w:val="00B41EBF"/>
    <w:rsid w:val="00B43836"/>
    <w:rsid w:val="00B4403E"/>
    <w:rsid w:val="00B45376"/>
    <w:rsid w:val="00B45809"/>
    <w:rsid w:val="00B45E43"/>
    <w:rsid w:val="00B45ECD"/>
    <w:rsid w:val="00B50FFD"/>
    <w:rsid w:val="00B54104"/>
    <w:rsid w:val="00B56BAD"/>
    <w:rsid w:val="00B619B6"/>
    <w:rsid w:val="00B61EF3"/>
    <w:rsid w:val="00B621A1"/>
    <w:rsid w:val="00B62F4B"/>
    <w:rsid w:val="00B632CA"/>
    <w:rsid w:val="00B640F8"/>
    <w:rsid w:val="00B64B06"/>
    <w:rsid w:val="00B653B3"/>
    <w:rsid w:val="00B6541E"/>
    <w:rsid w:val="00B660A1"/>
    <w:rsid w:val="00B665FB"/>
    <w:rsid w:val="00B67305"/>
    <w:rsid w:val="00B67C31"/>
    <w:rsid w:val="00B72E7D"/>
    <w:rsid w:val="00B73523"/>
    <w:rsid w:val="00B74FC4"/>
    <w:rsid w:val="00B7506C"/>
    <w:rsid w:val="00B76B3C"/>
    <w:rsid w:val="00B779E0"/>
    <w:rsid w:val="00B77B70"/>
    <w:rsid w:val="00B77D24"/>
    <w:rsid w:val="00B80312"/>
    <w:rsid w:val="00B81A80"/>
    <w:rsid w:val="00B81D72"/>
    <w:rsid w:val="00B823A5"/>
    <w:rsid w:val="00B824AD"/>
    <w:rsid w:val="00B84EEE"/>
    <w:rsid w:val="00B8682A"/>
    <w:rsid w:val="00B8721A"/>
    <w:rsid w:val="00B878E6"/>
    <w:rsid w:val="00B916F9"/>
    <w:rsid w:val="00B91C22"/>
    <w:rsid w:val="00B91DA3"/>
    <w:rsid w:val="00B94A0B"/>
    <w:rsid w:val="00B95374"/>
    <w:rsid w:val="00B96359"/>
    <w:rsid w:val="00B97809"/>
    <w:rsid w:val="00BA12B9"/>
    <w:rsid w:val="00BA38C4"/>
    <w:rsid w:val="00BA3A33"/>
    <w:rsid w:val="00BA526B"/>
    <w:rsid w:val="00BA566A"/>
    <w:rsid w:val="00BA580B"/>
    <w:rsid w:val="00BA5A8D"/>
    <w:rsid w:val="00BA7593"/>
    <w:rsid w:val="00BA7D3C"/>
    <w:rsid w:val="00BB145B"/>
    <w:rsid w:val="00BB1B0D"/>
    <w:rsid w:val="00BB2F4E"/>
    <w:rsid w:val="00BB390A"/>
    <w:rsid w:val="00BB48FA"/>
    <w:rsid w:val="00BB4B5E"/>
    <w:rsid w:val="00BB51AE"/>
    <w:rsid w:val="00BB66E7"/>
    <w:rsid w:val="00BC151C"/>
    <w:rsid w:val="00BC2848"/>
    <w:rsid w:val="00BC2FF7"/>
    <w:rsid w:val="00BC38B5"/>
    <w:rsid w:val="00BC3BC5"/>
    <w:rsid w:val="00BC4013"/>
    <w:rsid w:val="00BC436E"/>
    <w:rsid w:val="00BC5116"/>
    <w:rsid w:val="00BC6C8A"/>
    <w:rsid w:val="00BC7968"/>
    <w:rsid w:val="00BD089C"/>
    <w:rsid w:val="00BD170D"/>
    <w:rsid w:val="00BD250F"/>
    <w:rsid w:val="00BD3245"/>
    <w:rsid w:val="00BD327E"/>
    <w:rsid w:val="00BD3717"/>
    <w:rsid w:val="00BD4F1D"/>
    <w:rsid w:val="00BD4FE2"/>
    <w:rsid w:val="00BE0141"/>
    <w:rsid w:val="00BE0360"/>
    <w:rsid w:val="00BE0AF7"/>
    <w:rsid w:val="00BE45B0"/>
    <w:rsid w:val="00BE470F"/>
    <w:rsid w:val="00BE5DB5"/>
    <w:rsid w:val="00BE65D1"/>
    <w:rsid w:val="00BE7232"/>
    <w:rsid w:val="00BF02C3"/>
    <w:rsid w:val="00BF04CD"/>
    <w:rsid w:val="00BF0841"/>
    <w:rsid w:val="00BF181A"/>
    <w:rsid w:val="00BF1E2D"/>
    <w:rsid w:val="00BF2C86"/>
    <w:rsid w:val="00BF37FE"/>
    <w:rsid w:val="00BF4777"/>
    <w:rsid w:val="00BF48DB"/>
    <w:rsid w:val="00BF572A"/>
    <w:rsid w:val="00BF5933"/>
    <w:rsid w:val="00BF625C"/>
    <w:rsid w:val="00BF7A76"/>
    <w:rsid w:val="00C00273"/>
    <w:rsid w:val="00C00425"/>
    <w:rsid w:val="00C00830"/>
    <w:rsid w:val="00C00C6C"/>
    <w:rsid w:val="00C01121"/>
    <w:rsid w:val="00C02CAF"/>
    <w:rsid w:val="00C03F43"/>
    <w:rsid w:val="00C04148"/>
    <w:rsid w:val="00C04588"/>
    <w:rsid w:val="00C047B3"/>
    <w:rsid w:val="00C0617B"/>
    <w:rsid w:val="00C062AB"/>
    <w:rsid w:val="00C065DB"/>
    <w:rsid w:val="00C06760"/>
    <w:rsid w:val="00C07726"/>
    <w:rsid w:val="00C12FF4"/>
    <w:rsid w:val="00C1362C"/>
    <w:rsid w:val="00C13F57"/>
    <w:rsid w:val="00C14881"/>
    <w:rsid w:val="00C14D26"/>
    <w:rsid w:val="00C164EE"/>
    <w:rsid w:val="00C16747"/>
    <w:rsid w:val="00C16C1C"/>
    <w:rsid w:val="00C16D5A"/>
    <w:rsid w:val="00C17359"/>
    <w:rsid w:val="00C1780D"/>
    <w:rsid w:val="00C1794C"/>
    <w:rsid w:val="00C20432"/>
    <w:rsid w:val="00C206A1"/>
    <w:rsid w:val="00C20820"/>
    <w:rsid w:val="00C21CB1"/>
    <w:rsid w:val="00C21F5C"/>
    <w:rsid w:val="00C2234D"/>
    <w:rsid w:val="00C22585"/>
    <w:rsid w:val="00C238D8"/>
    <w:rsid w:val="00C24C8C"/>
    <w:rsid w:val="00C254B1"/>
    <w:rsid w:val="00C27199"/>
    <w:rsid w:val="00C273B9"/>
    <w:rsid w:val="00C275FD"/>
    <w:rsid w:val="00C30109"/>
    <w:rsid w:val="00C30C5E"/>
    <w:rsid w:val="00C31991"/>
    <w:rsid w:val="00C35210"/>
    <w:rsid w:val="00C363EB"/>
    <w:rsid w:val="00C3645B"/>
    <w:rsid w:val="00C365B6"/>
    <w:rsid w:val="00C373E1"/>
    <w:rsid w:val="00C4057E"/>
    <w:rsid w:val="00C407AE"/>
    <w:rsid w:val="00C408B4"/>
    <w:rsid w:val="00C40CCF"/>
    <w:rsid w:val="00C4213C"/>
    <w:rsid w:val="00C432CD"/>
    <w:rsid w:val="00C44628"/>
    <w:rsid w:val="00C44C7E"/>
    <w:rsid w:val="00C459B8"/>
    <w:rsid w:val="00C46F9C"/>
    <w:rsid w:val="00C47227"/>
    <w:rsid w:val="00C5009C"/>
    <w:rsid w:val="00C5063F"/>
    <w:rsid w:val="00C51FEB"/>
    <w:rsid w:val="00C52195"/>
    <w:rsid w:val="00C522F5"/>
    <w:rsid w:val="00C53038"/>
    <w:rsid w:val="00C530CE"/>
    <w:rsid w:val="00C5312C"/>
    <w:rsid w:val="00C53136"/>
    <w:rsid w:val="00C5506F"/>
    <w:rsid w:val="00C55499"/>
    <w:rsid w:val="00C55C9E"/>
    <w:rsid w:val="00C5692B"/>
    <w:rsid w:val="00C56CC7"/>
    <w:rsid w:val="00C57851"/>
    <w:rsid w:val="00C578BE"/>
    <w:rsid w:val="00C60BA2"/>
    <w:rsid w:val="00C614FB"/>
    <w:rsid w:val="00C6168B"/>
    <w:rsid w:val="00C61873"/>
    <w:rsid w:val="00C62E20"/>
    <w:rsid w:val="00C63B7F"/>
    <w:rsid w:val="00C64439"/>
    <w:rsid w:val="00C64DC9"/>
    <w:rsid w:val="00C6694E"/>
    <w:rsid w:val="00C71589"/>
    <w:rsid w:val="00C71E93"/>
    <w:rsid w:val="00C74F2F"/>
    <w:rsid w:val="00C750A2"/>
    <w:rsid w:val="00C75973"/>
    <w:rsid w:val="00C75BB3"/>
    <w:rsid w:val="00C762DB"/>
    <w:rsid w:val="00C77E2F"/>
    <w:rsid w:val="00C77E7D"/>
    <w:rsid w:val="00C80388"/>
    <w:rsid w:val="00C806A5"/>
    <w:rsid w:val="00C820E8"/>
    <w:rsid w:val="00C821F3"/>
    <w:rsid w:val="00C849BA"/>
    <w:rsid w:val="00C85B6C"/>
    <w:rsid w:val="00C91799"/>
    <w:rsid w:val="00C91B3D"/>
    <w:rsid w:val="00C927C3"/>
    <w:rsid w:val="00C93C49"/>
    <w:rsid w:val="00C94669"/>
    <w:rsid w:val="00C95330"/>
    <w:rsid w:val="00C9665A"/>
    <w:rsid w:val="00C96918"/>
    <w:rsid w:val="00C96B02"/>
    <w:rsid w:val="00C96DC2"/>
    <w:rsid w:val="00C96ECD"/>
    <w:rsid w:val="00CA0D61"/>
    <w:rsid w:val="00CA0E2C"/>
    <w:rsid w:val="00CA2ACB"/>
    <w:rsid w:val="00CA3945"/>
    <w:rsid w:val="00CA396B"/>
    <w:rsid w:val="00CA3FCB"/>
    <w:rsid w:val="00CA4420"/>
    <w:rsid w:val="00CA4B1A"/>
    <w:rsid w:val="00CA4F3D"/>
    <w:rsid w:val="00CA515C"/>
    <w:rsid w:val="00CA59EF"/>
    <w:rsid w:val="00CA5CEB"/>
    <w:rsid w:val="00CA6457"/>
    <w:rsid w:val="00CA6DB5"/>
    <w:rsid w:val="00CA7011"/>
    <w:rsid w:val="00CA796F"/>
    <w:rsid w:val="00CB028E"/>
    <w:rsid w:val="00CB1094"/>
    <w:rsid w:val="00CB10DD"/>
    <w:rsid w:val="00CB2684"/>
    <w:rsid w:val="00CB26C5"/>
    <w:rsid w:val="00CB384E"/>
    <w:rsid w:val="00CB455A"/>
    <w:rsid w:val="00CB6023"/>
    <w:rsid w:val="00CB626E"/>
    <w:rsid w:val="00CB72FC"/>
    <w:rsid w:val="00CB7C5F"/>
    <w:rsid w:val="00CC131D"/>
    <w:rsid w:val="00CC1813"/>
    <w:rsid w:val="00CC30F5"/>
    <w:rsid w:val="00CC4D66"/>
    <w:rsid w:val="00CC559C"/>
    <w:rsid w:val="00CC6645"/>
    <w:rsid w:val="00CC7021"/>
    <w:rsid w:val="00CD12E6"/>
    <w:rsid w:val="00CD2762"/>
    <w:rsid w:val="00CD3C92"/>
    <w:rsid w:val="00CD421B"/>
    <w:rsid w:val="00CD4268"/>
    <w:rsid w:val="00CD4526"/>
    <w:rsid w:val="00CD45C8"/>
    <w:rsid w:val="00CD4A06"/>
    <w:rsid w:val="00CD5FC9"/>
    <w:rsid w:val="00CD6513"/>
    <w:rsid w:val="00CD7F77"/>
    <w:rsid w:val="00CE0961"/>
    <w:rsid w:val="00CE2145"/>
    <w:rsid w:val="00CE4685"/>
    <w:rsid w:val="00CE4B51"/>
    <w:rsid w:val="00CE563F"/>
    <w:rsid w:val="00CE654C"/>
    <w:rsid w:val="00CF0AF0"/>
    <w:rsid w:val="00CF1E7F"/>
    <w:rsid w:val="00CF1FBA"/>
    <w:rsid w:val="00CF22B2"/>
    <w:rsid w:val="00CF303E"/>
    <w:rsid w:val="00CF369C"/>
    <w:rsid w:val="00CF44FD"/>
    <w:rsid w:val="00CF466E"/>
    <w:rsid w:val="00CF4772"/>
    <w:rsid w:val="00CF5303"/>
    <w:rsid w:val="00CF55D3"/>
    <w:rsid w:val="00CF572B"/>
    <w:rsid w:val="00CF7336"/>
    <w:rsid w:val="00CF7989"/>
    <w:rsid w:val="00D00004"/>
    <w:rsid w:val="00D0148C"/>
    <w:rsid w:val="00D01C3D"/>
    <w:rsid w:val="00D02DA3"/>
    <w:rsid w:val="00D02E54"/>
    <w:rsid w:val="00D03250"/>
    <w:rsid w:val="00D04F54"/>
    <w:rsid w:val="00D06337"/>
    <w:rsid w:val="00D06F99"/>
    <w:rsid w:val="00D07326"/>
    <w:rsid w:val="00D075D0"/>
    <w:rsid w:val="00D07A02"/>
    <w:rsid w:val="00D07DFC"/>
    <w:rsid w:val="00D10258"/>
    <w:rsid w:val="00D110DF"/>
    <w:rsid w:val="00D121B5"/>
    <w:rsid w:val="00D127D4"/>
    <w:rsid w:val="00D12DA8"/>
    <w:rsid w:val="00D131A6"/>
    <w:rsid w:val="00D13267"/>
    <w:rsid w:val="00D136B1"/>
    <w:rsid w:val="00D13816"/>
    <w:rsid w:val="00D13832"/>
    <w:rsid w:val="00D13983"/>
    <w:rsid w:val="00D144F0"/>
    <w:rsid w:val="00D14AE8"/>
    <w:rsid w:val="00D14C0B"/>
    <w:rsid w:val="00D14CFC"/>
    <w:rsid w:val="00D162E5"/>
    <w:rsid w:val="00D16F09"/>
    <w:rsid w:val="00D175E1"/>
    <w:rsid w:val="00D17EFD"/>
    <w:rsid w:val="00D209FE"/>
    <w:rsid w:val="00D20F8B"/>
    <w:rsid w:val="00D21F1E"/>
    <w:rsid w:val="00D231BA"/>
    <w:rsid w:val="00D233D3"/>
    <w:rsid w:val="00D26282"/>
    <w:rsid w:val="00D2645B"/>
    <w:rsid w:val="00D26BDA"/>
    <w:rsid w:val="00D271FF"/>
    <w:rsid w:val="00D3414C"/>
    <w:rsid w:val="00D3521E"/>
    <w:rsid w:val="00D35D49"/>
    <w:rsid w:val="00D3616D"/>
    <w:rsid w:val="00D362A9"/>
    <w:rsid w:val="00D370E2"/>
    <w:rsid w:val="00D37B8E"/>
    <w:rsid w:val="00D400C6"/>
    <w:rsid w:val="00D40438"/>
    <w:rsid w:val="00D40D33"/>
    <w:rsid w:val="00D40F85"/>
    <w:rsid w:val="00D41AE8"/>
    <w:rsid w:val="00D41B1F"/>
    <w:rsid w:val="00D424AA"/>
    <w:rsid w:val="00D42847"/>
    <w:rsid w:val="00D43469"/>
    <w:rsid w:val="00D460C6"/>
    <w:rsid w:val="00D46CF1"/>
    <w:rsid w:val="00D46F97"/>
    <w:rsid w:val="00D4701D"/>
    <w:rsid w:val="00D502F1"/>
    <w:rsid w:val="00D50BF7"/>
    <w:rsid w:val="00D52284"/>
    <w:rsid w:val="00D52944"/>
    <w:rsid w:val="00D538E7"/>
    <w:rsid w:val="00D53FB1"/>
    <w:rsid w:val="00D54052"/>
    <w:rsid w:val="00D55328"/>
    <w:rsid w:val="00D56002"/>
    <w:rsid w:val="00D5624B"/>
    <w:rsid w:val="00D60010"/>
    <w:rsid w:val="00D61CDF"/>
    <w:rsid w:val="00D62593"/>
    <w:rsid w:val="00D62C8D"/>
    <w:rsid w:val="00D63255"/>
    <w:rsid w:val="00D63A85"/>
    <w:rsid w:val="00D63C60"/>
    <w:rsid w:val="00D63FE6"/>
    <w:rsid w:val="00D64878"/>
    <w:rsid w:val="00D6514C"/>
    <w:rsid w:val="00D65192"/>
    <w:rsid w:val="00D65F7C"/>
    <w:rsid w:val="00D7005B"/>
    <w:rsid w:val="00D7188C"/>
    <w:rsid w:val="00D722A0"/>
    <w:rsid w:val="00D73B69"/>
    <w:rsid w:val="00D7477C"/>
    <w:rsid w:val="00D76EC7"/>
    <w:rsid w:val="00D77AAA"/>
    <w:rsid w:val="00D80527"/>
    <w:rsid w:val="00D80C3E"/>
    <w:rsid w:val="00D82839"/>
    <w:rsid w:val="00D83F2D"/>
    <w:rsid w:val="00D849CA"/>
    <w:rsid w:val="00D85A9E"/>
    <w:rsid w:val="00D85C90"/>
    <w:rsid w:val="00D85D3E"/>
    <w:rsid w:val="00D869F9"/>
    <w:rsid w:val="00D86BC8"/>
    <w:rsid w:val="00D91398"/>
    <w:rsid w:val="00D92800"/>
    <w:rsid w:val="00D9281B"/>
    <w:rsid w:val="00D933F7"/>
    <w:rsid w:val="00D94B11"/>
    <w:rsid w:val="00D960AD"/>
    <w:rsid w:val="00D96B7B"/>
    <w:rsid w:val="00D97435"/>
    <w:rsid w:val="00D9763F"/>
    <w:rsid w:val="00D97B3A"/>
    <w:rsid w:val="00DA0318"/>
    <w:rsid w:val="00DA11CA"/>
    <w:rsid w:val="00DA28C9"/>
    <w:rsid w:val="00DA3AE5"/>
    <w:rsid w:val="00DA4649"/>
    <w:rsid w:val="00DB1816"/>
    <w:rsid w:val="00DB29B6"/>
    <w:rsid w:val="00DB3244"/>
    <w:rsid w:val="00DB3C06"/>
    <w:rsid w:val="00DB5521"/>
    <w:rsid w:val="00DB6298"/>
    <w:rsid w:val="00DB6EA1"/>
    <w:rsid w:val="00DB7ED6"/>
    <w:rsid w:val="00DC0064"/>
    <w:rsid w:val="00DC1251"/>
    <w:rsid w:val="00DC1677"/>
    <w:rsid w:val="00DC1986"/>
    <w:rsid w:val="00DC2E48"/>
    <w:rsid w:val="00DC331C"/>
    <w:rsid w:val="00DC3BBC"/>
    <w:rsid w:val="00DC3D9B"/>
    <w:rsid w:val="00DC47E7"/>
    <w:rsid w:val="00DC4C32"/>
    <w:rsid w:val="00DC59D5"/>
    <w:rsid w:val="00DC618A"/>
    <w:rsid w:val="00DC695B"/>
    <w:rsid w:val="00DC7337"/>
    <w:rsid w:val="00DC7563"/>
    <w:rsid w:val="00DD12B6"/>
    <w:rsid w:val="00DD171B"/>
    <w:rsid w:val="00DD3085"/>
    <w:rsid w:val="00DD3415"/>
    <w:rsid w:val="00DD3517"/>
    <w:rsid w:val="00DD3C37"/>
    <w:rsid w:val="00DD4580"/>
    <w:rsid w:val="00DD57E4"/>
    <w:rsid w:val="00DE0A58"/>
    <w:rsid w:val="00DE1134"/>
    <w:rsid w:val="00DE136F"/>
    <w:rsid w:val="00DE1425"/>
    <w:rsid w:val="00DE193F"/>
    <w:rsid w:val="00DE1ECB"/>
    <w:rsid w:val="00DE3797"/>
    <w:rsid w:val="00DE60A1"/>
    <w:rsid w:val="00DE742C"/>
    <w:rsid w:val="00DF0C9A"/>
    <w:rsid w:val="00DF118B"/>
    <w:rsid w:val="00DF21CE"/>
    <w:rsid w:val="00DF21DD"/>
    <w:rsid w:val="00DF2571"/>
    <w:rsid w:val="00DF28C6"/>
    <w:rsid w:val="00DF3D73"/>
    <w:rsid w:val="00DF4C76"/>
    <w:rsid w:val="00DF580B"/>
    <w:rsid w:val="00DF6F28"/>
    <w:rsid w:val="00DF7D6D"/>
    <w:rsid w:val="00DF7EFB"/>
    <w:rsid w:val="00E00F33"/>
    <w:rsid w:val="00E01D8C"/>
    <w:rsid w:val="00E02651"/>
    <w:rsid w:val="00E02D57"/>
    <w:rsid w:val="00E02EDF"/>
    <w:rsid w:val="00E02FB9"/>
    <w:rsid w:val="00E04C39"/>
    <w:rsid w:val="00E05417"/>
    <w:rsid w:val="00E0571E"/>
    <w:rsid w:val="00E05F10"/>
    <w:rsid w:val="00E061E2"/>
    <w:rsid w:val="00E06AEB"/>
    <w:rsid w:val="00E0796F"/>
    <w:rsid w:val="00E10C41"/>
    <w:rsid w:val="00E12777"/>
    <w:rsid w:val="00E14F1D"/>
    <w:rsid w:val="00E15517"/>
    <w:rsid w:val="00E15B2B"/>
    <w:rsid w:val="00E207A0"/>
    <w:rsid w:val="00E209E6"/>
    <w:rsid w:val="00E209FB"/>
    <w:rsid w:val="00E22E07"/>
    <w:rsid w:val="00E2383A"/>
    <w:rsid w:val="00E24455"/>
    <w:rsid w:val="00E25C18"/>
    <w:rsid w:val="00E27BCF"/>
    <w:rsid w:val="00E310FE"/>
    <w:rsid w:val="00E31132"/>
    <w:rsid w:val="00E31D11"/>
    <w:rsid w:val="00E328C6"/>
    <w:rsid w:val="00E331AB"/>
    <w:rsid w:val="00E3349E"/>
    <w:rsid w:val="00E337C9"/>
    <w:rsid w:val="00E33907"/>
    <w:rsid w:val="00E33D8B"/>
    <w:rsid w:val="00E37372"/>
    <w:rsid w:val="00E37FE7"/>
    <w:rsid w:val="00E4017C"/>
    <w:rsid w:val="00E40634"/>
    <w:rsid w:val="00E41011"/>
    <w:rsid w:val="00E419AB"/>
    <w:rsid w:val="00E441F2"/>
    <w:rsid w:val="00E4562E"/>
    <w:rsid w:val="00E46287"/>
    <w:rsid w:val="00E46620"/>
    <w:rsid w:val="00E468CF"/>
    <w:rsid w:val="00E47731"/>
    <w:rsid w:val="00E50AAC"/>
    <w:rsid w:val="00E51A60"/>
    <w:rsid w:val="00E52D46"/>
    <w:rsid w:val="00E534AA"/>
    <w:rsid w:val="00E53756"/>
    <w:rsid w:val="00E53B19"/>
    <w:rsid w:val="00E547BE"/>
    <w:rsid w:val="00E54F32"/>
    <w:rsid w:val="00E55B0A"/>
    <w:rsid w:val="00E55BBA"/>
    <w:rsid w:val="00E560CD"/>
    <w:rsid w:val="00E56F16"/>
    <w:rsid w:val="00E57F38"/>
    <w:rsid w:val="00E605AD"/>
    <w:rsid w:val="00E606FF"/>
    <w:rsid w:val="00E60C75"/>
    <w:rsid w:val="00E6405B"/>
    <w:rsid w:val="00E64366"/>
    <w:rsid w:val="00E64A3A"/>
    <w:rsid w:val="00E65523"/>
    <w:rsid w:val="00E66332"/>
    <w:rsid w:val="00E67849"/>
    <w:rsid w:val="00E67D33"/>
    <w:rsid w:val="00E7349F"/>
    <w:rsid w:val="00E746CB"/>
    <w:rsid w:val="00E757BD"/>
    <w:rsid w:val="00E7643E"/>
    <w:rsid w:val="00E77435"/>
    <w:rsid w:val="00E77555"/>
    <w:rsid w:val="00E77FD5"/>
    <w:rsid w:val="00E81F88"/>
    <w:rsid w:val="00E83BE8"/>
    <w:rsid w:val="00E8427D"/>
    <w:rsid w:val="00E846B1"/>
    <w:rsid w:val="00E84AFE"/>
    <w:rsid w:val="00E8621C"/>
    <w:rsid w:val="00E864FB"/>
    <w:rsid w:val="00E869E2"/>
    <w:rsid w:val="00E86B5D"/>
    <w:rsid w:val="00E86F44"/>
    <w:rsid w:val="00E87E71"/>
    <w:rsid w:val="00E92861"/>
    <w:rsid w:val="00E92BF3"/>
    <w:rsid w:val="00E937FF"/>
    <w:rsid w:val="00E961F1"/>
    <w:rsid w:val="00E962B7"/>
    <w:rsid w:val="00E97C58"/>
    <w:rsid w:val="00EA0901"/>
    <w:rsid w:val="00EA16F8"/>
    <w:rsid w:val="00EA2CE4"/>
    <w:rsid w:val="00EA34E4"/>
    <w:rsid w:val="00EA3BE3"/>
    <w:rsid w:val="00EA448F"/>
    <w:rsid w:val="00EA59D2"/>
    <w:rsid w:val="00EA6436"/>
    <w:rsid w:val="00EA6469"/>
    <w:rsid w:val="00EA7533"/>
    <w:rsid w:val="00EA7E30"/>
    <w:rsid w:val="00EB182D"/>
    <w:rsid w:val="00EB201F"/>
    <w:rsid w:val="00EB2396"/>
    <w:rsid w:val="00EB24CA"/>
    <w:rsid w:val="00EC0A13"/>
    <w:rsid w:val="00EC2A21"/>
    <w:rsid w:val="00EC2C86"/>
    <w:rsid w:val="00EC2F50"/>
    <w:rsid w:val="00EC2FE6"/>
    <w:rsid w:val="00EC36A7"/>
    <w:rsid w:val="00EC4790"/>
    <w:rsid w:val="00EC4CC9"/>
    <w:rsid w:val="00EC54CD"/>
    <w:rsid w:val="00EC599A"/>
    <w:rsid w:val="00EC5DE3"/>
    <w:rsid w:val="00ED0D90"/>
    <w:rsid w:val="00ED1F25"/>
    <w:rsid w:val="00ED31FC"/>
    <w:rsid w:val="00ED35A3"/>
    <w:rsid w:val="00ED3779"/>
    <w:rsid w:val="00ED399D"/>
    <w:rsid w:val="00ED44CF"/>
    <w:rsid w:val="00ED4AA6"/>
    <w:rsid w:val="00ED5717"/>
    <w:rsid w:val="00ED5EB7"/>
    <w:rsid w:val="00ED603B"/>
    <w:rsid w:val="00ED79CF"/>
    <w:rsid w:val="00EE0131"/>
    <w:rsid w:val="00EE0A44"/>
    <w:rsid w:val="00EE2F0E"/>
    <w:rsid w:val="00EE4A9B"/>
    <w:rsid w:val="00EE738A"/>
    <w:rsid w:val="00EE799F"/>
    <w:rsid w:val="00EE7B8D"/>
    <w:rsid w:val="00EF0427"/>
    <w:rsid w:val="00EF0A70"/>
    <w:rsid w:val="00EF18F5"/>
    <w:rsid w:val="00EF3F3D"/>
    <w:rsid w:val="00EF6041"/>
    <w:rsid w:val="00EF67B9"/>
    <w:rsid w:val="00EF6808"/>
    <w:rsid w:val="00EF76A1"/>
    <w:rsid w:val="00EF7A3E"/>
    <w:rsid w:val="00F00960"/>
    <w:rsid w:val="00F00AA3"/>
    <w:rsid w:val="00F0180B"/>
    <w:rsid w:val="00F01F1E"/>
    <w:rsid w:val="00F024B1"/>
    <w:rsid w:val="00F03655"/>
    <w:rsid w:val="00F03BBA"/>
    <w:rsid w:val="00F04046"/>
    <w:rsid w:val="00F0434E"/>
    <w:rsid w:val="00F050C2"/>
    <w:rsid w:val="00F05D01"/>
    <w:rsid w:val="00F06CE1"/>
    <w:rsid w:val="00F06FA3"/>
    <w:rsid w:val="00F0730A"/>
    <w:rsid w:val="00F10EA7"/>
    <w:rsid w:val="00F10F8D"/>
    <w:rsid w:val="00F15D9A"/>
    <w:rsid w:val="00F16118"/>
    <w:rsid w:val="00F16BBD"/>
    <w:rsid w:val="00F17522"/>
    <w:rsid w:val="00F17DE3"/>
    <w:rsid w:val="00F17FA4"/>
    <w:rsid w:val="00F2306D"/>
    <w:rsid w:val="00F236C0"/>
    <w:rsid w:val="00F2449A"/>
    <w:rsid w:val="00F26806"/>
    <w:rsid w:val="00F26C22"/>
    <w:rsid w:val="00F3022A"/>
    <w:rsid w:val="00F30DDD"/>
    <w:rsid w:val="00F31E71"/>
    <w:rsid w:val="00F332B2"/>
    <w:rsid w:val="00F33623"/>
    <w:rsid w:val="00F33EE7"/>
    <w:rsid w:val="00F33FB1"/>
    <w:rsid w:val="00F34555"/>
    <w:rsid w:val="00F3759F"/>
    <w:rsid w:val="00F378E2"/>
    <w:rsid w:val="00F402B0"/>
    <w:rsid w:val="00F40463"/>
    <w:rsid w:val="00F4151A"/>
    <w:rsid w:val="00F42292"/>
    <w:rsid w:val="00F44C6B"/>
    <w:rsid w:val="00F450BD"/>
    <w:rsid w:val="00F47602"/>
    <w:rsid w:val="00F50B17"/>
    <w:rsid w:val="00F50E7B"/>
    <w:rsid w:val="00F51313"/>
    <w:rsid w:val="00F5133B"/>
    <w:rsid w:val="00F53771"/>
    <w:rsid w:val="00F546A7"/>
    <w:rsid w:val="00F5479F"/>
    <w:rsid w:val="00F55D1D"/>
    <w:rsid w:val="00F5773C"/>
    <w:rsid w:val="00F624FC"/>
    <w:rsid w:val="00F65A25"/>
    <w:rsid w:val="00F672A7"/>
    <w:rsid w:val="00F70F0F"/>
    <w:rsid w:val="00F71A01"/>
    <w:rsid w:val="00F72C9E"/>
    <w:rsid w:val="00F73D22"/>
    <w:rsid w:val="00F753FB"/>
    <w:rsid w:val="00F8076F"/>
    <w:rsid w:val="00F81C50"/>
    <w:rsid w:val="00F822F0"/>
    <w:rsid w:val="00F829CA"/>
    <w:rsid w:val="00F82FEF"/>
    <w:rsid w:val="00F831E4"/>
    <w:rsid w:val="00F85447"/>
    <w:rsid w:val="00F8605D"/>
    <w:rsid w:val="00F90EEB"/>
    <w:rsid w:val="00F93426"/>
    <w:rsid w:val="00F937E1"/>
    <w:rsid w:val="00F93E20"/>
    <w:rsid w:val="00F9582A"/>
    <w:rsid w:val="00F95B03"/>
    <w:rsid w:val="00F95B9E"/>
    <w:rsid w:val="00F964AE"/>
    <w:rsid w:val="00F9784B"/>
    <w:rsid w:val="00F97BAB"/>
    <w:rsid w:val="00F97F00"/>
    <w:rsid w:val="00FA0571"/>
    <w:rsid w:val="00FA14A4"/>
    <w:rsid w:val="00FA25BF"/>
    <w:rsid w:val="00FA2E63"/>
    <w:rsid w:val="00FA4713"/>
    <w:rsid w:val="00FA5CD6"/>
    <w:rsid w:val="00FB0D03"/>
    <w:rsid w:val="00FB0DD2"/>
    <w:rsid w:val="00FB20D3"/>
    <w:rsid w:val="00FB245F"/>
    <w:rsid w:val="00FB3DEC"/>
    <w:rsid w:val="00FB4340"/>
    <w:rsid w:val="00FB6414"/>
    <w:rsid w:val="00FB6E8A"/>
    <w:rsid w:val="00FB750D"/>
    <w:rsid w:val="00FB756A"/>
    <w:rsid w:val="00FC04F3"/>
    <w:rsid w:val="00FC0B46"/>
    <w:rsid w:val="00FC4A5D"/>
    <w:rsid w:val="00FC5E58"/>
    <w:rsid w:val="00FC6466"/>
    <w:rsid w:val="00FC669C"/>
    <w:rsid w:val="00FC6FBB"/>
    <w:rsid w:val="00FC763E"/>
    <w:rsid w:val="00FC7859"/>
    <w:rsid w:val="00FD0031"/>
    <w:rsid w:val="00FD08EA"/>
    <w:rsid w:val="00FD3BDF"/>
    <w:rsid w:val="00FD6472"/>
    <w:rsid w:val="00FD675E"/>
    <w:rsid w:val="00FD7CBF"/>
    <w:rsid w:val="00FE1CA4"/>
    <w:rsid w:val="00FE2B77"/>
    <w:rsid w:val="00FE3AD7"/>
    <w:rsid w:val="00FE404A"/>
    <w:rsid w:val="00FF0545"/>
    <w:rsid w:val="00FF2A68"/>
    <w:rsid w:val="00FF3329"/>
    <w:rsid w:val="00FF49BF"/>
    <w:rsid w:val="00FF4CE9"/>
    <w:rsid w:val="00FF5580"/>
    <w:rsid w:val="00FF702A"/>
    <w:rsid w:val="00FF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7B37F"/>
  <w15:docId w15:val="{CF1E3B39-8168-497A-B9A6-AF0E0F99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6CB"/>
  </w:style>
  <w:style w:type="paragraph" w:styleId="Heading1">
    <w:name w:val="heading 1"/>
    <w:basedOn w:val="Normal"/>
    <w:next w:val="Normal"/>
    <w:link w:val="Heading1Char"/>
    <w:qFormat/>
    <w:rsid w:val="002F2AF9"/>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2F2AF9"/>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2F2AF9"/>
    <w:pPr>
      <w:keepNext/>
      <w:widowControl w:val="0"/>
      <w:spacing w:after="0" w:line="240" w:lineRule="auto"/>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2F2AF9"/>
    <w:pPr>
      <w:keepNext/>
      <w:tabs>
        <w:tab w:val="left" w:pos="360"/>
      </w:tabs>
      <w:spacing w:after="0" w:line="240" w:lineRule="auto"/>
      <w:jc w:val="center"/>
      <w:outlineLvl w:val="3"/>
    </w:pPr>
    <w:rPr>
      <w:rFonts w:ascii="Times New Roman" w:eastAsia="Times New Roman" w:hAnsi="Times New Roman" w:cs="Times New Roman"/>
      <w:b/>
      <w:sz w:val="20"/>
      <w:szCs w:val="20"/>
      <w:u w:val="single"/>
    </w:rPr>
  </w:style>
  <w:style w:type="paragraph" w:styleId="Heading5">
    <w:name w:val="heading 5"/>
    <w:basedOn w:val="Normal"/>
    <w:next w:val="Normal"/>
    <w:link w:val="Heading5Char"/>
    <w:qFormat/>
    <w:rsid w:val="002F2AF9"/>
    <w:pPr>
      <w:keepNext/>
      <w:spacing w:after="0" w:line="480" w:lineRule="auto"/>
      <w:jc w:val="center"/>
      <w:outlineLvl w:val="4"/>
    </w:pPr>
    <w:rPr>
      <w:rFonts w:ascii="Times New Roman" w:eastAsia="Times New Roman" w:hAnsi="Times New Roman" w:cs="Times New Roman"/>
      <w:b/>
      <w:sz w:val="24"/>
      <w:szCs w:val="20"/>
      <w:u w:val="single"/>
    </w:rPr>
  </w:style>
  <w:style w:type="paragraph" w:styleId="Heading6">
    <w:name w:val="heading 6"/>
    <w:basedOn w:val="Normal"/>
    <w:next w:val="Normal"/>
    <w:link w:val="Heading6Char"/>
    <w:qFormat/>
    <w:rsid w:val="002F2AF9"/>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F2AF9"/>
    <w:pPr>
      <w:keepNext/>
      <w:widowControl w:val="0"/>
      <w:spacing w:after="0" w:line="240" w:lineRule="auto"/>
      <w:jc w:val="center"/>
      <w:outlineLvl w:val="6"/>
    </w:pPr>
    <w:rPr>
      <w:rFonts w:ascii="Arial" w:eastAsia="Times New Roman" w:hAnsi="Arial" w:cs="Times New Roman"/>
      <w:b/>
      <w:snapToGrid w:val="0"/>
      <w:color w:val="000000"/>
      <w:sz w:val="16"/>
      <w:szCs w:val="20"/>
      <w:u w:val="single"/>
    </w:rPr>
  </w:style>
  <w:style w:type="paragraph" w:styleId="Heading8">
    <w:name w:val="heading 8"/>
    <w:basedOn w:val="Normal"/>
    <w:next w:val="Normal"/>
    <w:link w:val="Heading8Char"/>
    <w:qFormat/>
    <w:rsid w:val="002F2AF9"/>
    <w:pPr>
      <w:keepNext/>
      <w:widowControl w:val="0"/>
      <w:spacing w:after="0" w:line="240" w:lineRule="auto"/>
      <w:outlineLvl w:val="7"/>
    </w:pPr>
    <w:rPr>
      <w:rFonts w:ascii="Arial" w:eastAsia="Times New Roman" w:hAnsi="Arial" w:cs="Times New Roman"/>
      <w:b/>
      <w:snapToGrid w:val="0"/>
      <w:color w:val="000000"/>
      <w:sz w:val="16"/>
      <w:szCs w:val="20"/>
      <w:u w:val="single"/>
    </w:rPr>
  </w:style>
  <w:style w:type="paragraph" w:styleId="Heading9">
    <w:name w:val="heading 9"/>
    <w:basedOn w:val="Normal"/>
    <w:next w:val="Normal"/>
    <w:link w:val="Heading9Char"/>
    <w:qFormat/>
    <w:rsid w:val="002F2AF9"/>
    <w:pPr>
      <w:keepNext/>
      <w:spacing w:after="0" w:line="240" w:lineRule="auto"/>
      <w:jc w:val="center"/>
      <w:outlineLvl w:val="8"/>
    </w:pPr>
    <w:rPr>
      <w:rFonts w:ascii="Times New Roman" w:eastAsia="Times New Roman" w:hAnsi="Times New Roman" w:cs="Times New Roman"/>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13C"/>
    <w:pPr>
      <w:ind w:left="720"/>
      <w:contextualSpacing/>
    </w:pPr>
  </w:style>
  <w:style w:type="table" w:styleId="TableGrid">
    <w:name w:val="Table Grid"/>
    <w:basedOn w:val="TableNormal"/>
    <w:uiPriority w:val="59"/>
    <w:rsid w:val="00C7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53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0CE"/>
    <w:rPr>
      <w:rFonts w:ascii="Tahoma" w:hAnsi="Tahoma" w:cs="Tahoma"/>
      <w:sz w:val="16"/>
      <w:szCs w:val="16"/>
    </w:rPr>
  </w:style>
  <w:style w:type="paragraph" w:styleId="Header">
    <w:name w:val="header"/>
    <w:basedOn w:val="Normal"/>
    <w:link w:val="HeaderChar"/>
    <w:uiPriority w:val="99"/>
    <w:unhideWhenUsed/>
    <w:rsid w:val="00953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6CA"/>
  </w:style>
  <w:style w:type="paragraph" w:styleId="Footer">
    <w:name w:val="footer"/>
    <w:basedOn w:val="Normal"/>
    <w:link w:val="FooterChar"/>
    <w:uiPriority w:val="99"/>
    <w:unhideWhenUsed/>
    <w:rsid w:val="00953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6CA"/>
  </w:style>
  <w:style w:type="character" w:styleId="CommentReference">
    <w:name w:val="annotation reference"/>
    <w:basedOn w:val="DefaultParagraphFont"/>
    <w:uiPriority w:val="99"/>
    <w:semiHidden/>
    <w:unhideWhenUsed/>
    <w:rsid w:val="00C04148"/>
    <w:rPr>
      <w:sz w:val="16"/>
      <w:szCs w:val="16"/>
    </w:rPr>
  </w:style>
  <w:style w:type="paragraph" w:styleId="CommentText">
    <w:name w:val="annotation text"/>
    <w:basedOn w:val="Normal"/>
    <w:link w:val="CommentTextChar"/>
    <w:uiPriority w:val="99"/>
    <w:unhideWhenUsed/>
    <w:rsid w:val="00C04148"/>
    <w:pPr>
      <w:spacing w:line="240" w:lineRule="auto"/>
    </w:pPr>
    <w:rPr>
      <w:sz w:val="20"/>
      <w:szCs w:val="20"/>
    </w:rPr>
  </w:style>
  <w:style w:type="character" w:customStyle="1" w:styleId="CommentTextChar">
    <w:name w:val="Comment Text Char"/>
    <w:basedOn w:val="DefaultParagraphFont"/>
    <w:link w:val="CommentText"/>
    <w:uiPriority w:val="99"/>
    <w:rsid w:val="00C04148"/>
    <w:rPr>
      <w:sz w:val="20"/>
      <w:szCs w:val="20"/>
    </w:rPr>
  </w:style>
  <w:style w:type="paragraph" w:styleId="CommentSubject">
    <w:name w:val="annotation subject"/>
    <w:basedOn w:val="CommentText"/>
    <w:next w:val="CommentText"/>
    <w:link w:val="CommentSubjectChar"/>
    <w:semiHidden/>
    <w:unhideWhenUsed/>
    <w:rsid w:val="00C04148"/>
    <w:rPr>
      <w:b/>
      <w:bCs/>
    </w:rPr>
  </w:style>
  <w:style w:type="character" w:customStyle="1" w:styleId="CommentSubjectChar">
    <w:name w:val="Comment Subject Char"/>
    <w:basedOn w:val="CommentTextChar"/>
    <w:link w:val="CommentSubject"/>
    <w:uiPriority w:val="99"/>
    <w:semiHidden/>
    <w:rsid w:val="00C04148"/>
    <w:rPr>
      <w:b/>
      <w:bCs/>
      <w:sz w:val="20"/>
      <w:szCs w:val="20"/>
    </w:rPr>
  </w:style>
  <w:style w:type="paragraph" w:styleId="FootnoteText">
    <w:name w:val="footnote text"/>
    <w:basedOn w:val="Normal"/>
    <w:link w:val="FootnoteTextChar"/>
    <w:uiPriority w:val="99"/>
    <w:semiHidden/>
    <w:unhideWhenUsed/>
    <w:rsid w:val="00A83B6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83B6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83B6E"/>
    <w:rPr>
      <w:vertAlign w:val="superscript"/>
    </w:rPr>
  </w:style>
  <w:style w:type="paragraph" w:styleId="EndnoteText">
    <w:name w:val="endnote text"/>
    <w:basedOn w:val="Normal"/>
    <w:link w:val="EndnoteTextChar"/>
    <w:semiHidden/>
    <w:rsid w:val="007D0394"/>
    <w:pPr>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7D0394"/>
    <w:rPr>
      <w:rFonts w:ascii="Courier New" w:eastAsia="Times New Roman" w:hAnsi="Courier New" w:cs="Times New Roman"/>
      <w:sz w:val="24"/>
      <w:szCs w:val="20"/>
    </w:rPr>
  </w:style>
  <w:style w:type="character" w:customStyle="1" w:styleId="Heading1Char">
    <w:name w:val="Heading 1 Char"/>
    <w:basedOn w:val="DefaultParagraphFont"/>
    <w:link w:val="Heading1"/>
    <w:rsid w:val="002F2AF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F2AF9"/>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2F2AF9"/>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F2AF9"/>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rsid w:val="002F2AF9"/>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rsid w:val="002F2AF9"/>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F2AF9"/>
    <w:rPr>
      <w:rFonts w:ascii="Arial" w:eastAsia="Times New Roman" w:hAnsi="Arial" w:cs="Times New Roman"/>
      <w:b/>
      <w:snapToGrid w:val="0"/>
      <w:color w:val="000000"/>
      <w:sz w:val="16"/>
      <w:szCs w:val="20"/>
      <w:u w:val="single"/>
    </w:rPr>
  </w:style>
  <w:style w:type="character" w:customStyle="1" w:styleId="Heading8Char">
    <w:name w:val="Heading 8 Char"/>
    <w:basedOn w:val="DefaultParagraphFont"/>
    <w:link w:val="Heading8"/>
    <w:rsid w:val="002F2AF9"/>
    <w:rPr>
      <w:rFonts w:ascii="Arial" w:eastAsia="Times New Roman" w:hAnsi="Arial" w:cs="Times New Roman"/>
      <w:b/>
      <w:snapToGrid w:val="0"/>
      <w:color w:val="000000"/>
      <w:sz w:val="16"/>
      <w:szCs w:val="20"/>
      <w:u w:val="single"/>
    </w:rPr>
  </w:style>
  <w:style w:type="character" w:customStyle="1" w:styleId="Heading9Char">
    <w:name w:val="Heading 9 Char"/>
    <w:basedOn w:val="DefaultParagraphFont"/>
    <w:link w:val="Heading9"/>
    <w:rsid w:val="002F2AF9"/>
    <w:rPr>
      <w:rFonts w:ascii="Times New Roman" w:eastAsia="Times New Roman" w:hAnsi="Times New Roman" w:cs="Times New Roman"/>
      <w:color w:val="000000"/>
      <w:sz w:val="26"/>
      <w:szCs w:val="20"/>
    </w:rPr>
  </w:style>
  <w:style w:type="table" w:customStyle="1" w:styleId="MediumShading2-Accent11">
    <w:name w:val="Medium Shading 2 - Accent 11"/>
    <w:basedOn w:val="TableNormal"/>
    <w:uiPriority w:val="64"/>
    <w:rsid w:val="002F2AF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2F2AF9"/>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List2-Accent1">
    <w:name w:val="Medium List 2 Accent 1"/>
    <w:basedOn w:val="TableNormal"/>
    <w:uiPriority w:val="66"/>
    <w:rsid w:val="002F2A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1">
    <w:name w:val="Medium Grid 3 Accent 1"/>
    <w:basedOn w:val="TableNormal"/>
    <w:uiPriority w:val="69"/>
    <w:rsid w:val="002F2AF9"/>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2F2AF9"/>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1">
    <w:name w:val="Light Shading Accent 1"/>
    <w:basedOn w:val="TableNormal"/>
    <w:uiPriority w:val="60"/>
    <w:rsid w:val="002F2AF9"/>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2F2AF9"/>
    <w:pPr>
      <w:spacing w:after="0" w:line="240" w:lineRule="auto"/>
    </w:pPr>
    <w:rPr>
      <w:rFonts w:eastAsiaTheme="minorEastAsia"/>
    </w:rPr>
  </w:style>
  <w:style w:type="character" w:styleId="PageNumber">
    <w:name w:val="page number"/>
    <w:basedOn w:val="DefaultParagraphFont"/>
    <w:rsid w:val="002F2AF9"/>
  </w:style>
  <w:style w:type="numbering" w:customStyle="1" w:styleId="NoList1">
    <w:name w:val="No List1"/>
    <w:next w:val="NoList"/>
    <w:uiPriority w:val="99"/>
    <w:semiHidden/>
    <w:unhideWhenUsed/>
    <w:rsid w:val="002F2AF9"/>
  </w:style>
  <w:style w:type="paragraph" w:styleId="BodyText">
    <w:name w:val="Body Text"/>
    <w:basedOn w:val="Normal"/>
    <w:link w:val="BodyTextChar"/>
    <w:rsid w:val="002F2AF9"/>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2F2AF9"/>
    <w:rPr>
      <w:rFonts w:ascii="Times New Roman" w:eastAsia="Times New Roman" w:hAnsi="Times New Roman" w:cs="Times New Roman"/>
      <w:b/>
      <w:sz w:val="24"/>
      <w:szCs w:val="20"/>
    </w:rPr>
  </w:style>
  <w:style w:type="paragraph" w:styleId="BodyTextIndent3">
    <w:name w:val="Body Text Indent 3"/>
    <w:basedOn w:val="Normal"/>
    <w:link w:val="BodyTextIndent3Char"/>
    <w:rsid w:val="002F2AF9"/>
    <w:pPr>
      <w:spacing w:after="0" w:line="240" w:lineRule="auto"/>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2F2AF9"/>
    <w:rPr>
      <w:rFonts w:ascii="Times New Roman" w:eastAsia="Times New Roman" w:hAnsi="Times New Roman" w:cs="Times New Roman"/>
      <w:sz w:val="24"/>
      <w:szCs w:val="20"/>
    </w:rPr>
  </w:style>
  <w:style w:type="paragraph" w:styleId="Title">
    <w:name w:val="Title"/>
    <w:basedOn w:val="Normal"/>
    <w:link w:val="TitleChar"/>
    <w:qFormat/>
    <w:rsid w:val="002F2A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F2AF9"/>
    <w:rPr>
      <w:rFonts w:ascii="Times New Roman" w:eastAsia="Times New Roman" w:hAnsi="Times New Roman" w:cs="Times New Roman"/>
      <w:b/>
      <w:sz w:val="24"/>
      <w:szCs w:val="20"/>
    </w:rPr>
  </w:style>
  <w:style w:type="paragraph" w:styleId="BodyTextIndent">
    <w:name w:val="Body Text Indent"/>
    <w:basedOn w:val="Normal"/>
    <w:link w:val="BodyTextIndentChar"/>
    <w:rsid w:val="002F2AF9"/>
    <w:pPr>
      <w:spacing w:after="0" w:line="240" w:lineRule="auto"/>
      <w:ind w:firstLine="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2F2AF9"/>
    <w:rPr>
      <w:rFonts w:ascii="Times New Roman" w:eastAsia="Times New Roman" w:hAnsi="Times New Roman" w:cs="Times New Roman"/>
      <w:sz w:val="24"/>
      <w:szCs w:val="20"/>
    </w:rPr>
  </w:style>
  <w:style w:type="paragraph" w:styleId="BodyText3">
    <w:name w:val="Body Text 3"/>
    <w:basedOn w:val="Normal"/>
    <w:link w:val="BodyText3Char"/>
    <w:rsid w:val="002F2AF9"/>
    <w:pPr>
      <w:spacing w:after="0" w:line="36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2F2AF9"/>
    <w:rPr>
      <w:rFonts w:ascii="Times New Roman" w:eastAsia="Times New Roman" w:hAnsi="Times New Roman" w:cs="Times New Roman"/>
      <w:sz w:val="24"/>
      <w:szCs w:val="20"/>
    </w:rPr>
  </w:style>
  <w:style w:type="paragraph" w:styleId="Caption">
    <w:name w:val="caption"/>
    <w:basedOn w:val="Normal"/>
    <w:next w:val="Normal"/>
    <w:qFormat/>
    <w:rsid w:val="002F2AF9"/>
    <w:pPr>
      <w:spacing w:after="0" w:line="240" w:lineRule="auto"/>
    </w:pPr>
    <w:rPr>
      <w:rFonts w:ascii="Times New Roman" w:eastAsia="Times New Roman" w:hAnsi="Times New Roman" w:cs="Times New Roman"/>
      <w:b/>
      <w:sz w:val="24"/>
      <w:szCs w:val="20"/>
    </w:rPr>
  </w:style>
  <w:style w:type="paragraph" w:styleId="BodyText2">
    <w:name w:val="Body Text 2"/>
    <w:basedOn w:val="Normal"/>
    <w:link w:val="BodyText2Char"/>
    <w:rsid w:val="002F2AF9"/>
    <w:pPr>
      <w:tabs>
        <w:tab w:val="num" w:pos="1140"/>
      </w:tabs>
      <w:spacing w:after="0" w:line="240" w:lineRule="auto"/>
    </w:pPr>
    <w:rPr>
      <w:rFonts w:ascii="Times New Roman" w:eastAsia="Times New Roman" w:hAnsi="Times New Roman" w:cs="Times New Roman"/>
      <w:sz w:val="23"/>
      <w:szCs w:val="20"/>
    </w:rPr>
  </w:style>
  <w:style w:type="character" w:customStyle="1" w:styleId="BodyText2Char">
    <w:name w:val="Body Text 2 Char"/>
    <w:basedOn w:val="DefaultParagraphFont"/>
    <w:link w:val="BodyText2"/>
    <w:rsid w:val="002F2AF9"/>
    <w:rPr>
      <w:rFonts w:ascii="Times New Roman" w:eastAsia="Times New Roman" w:hAnsi="Times New Roman" w:cs="Times New Roman"/>
      <w:sz w:val="23"/>
      <w:szCs w:val="20"/>
    </w:rPr>
  </w:style>
  <w:style w:type="paragraph" w:styleId="BodyTextIndent2">
    <w:name w:val="Body Text Indent 2"/>
    <w:basedOn w:val="Normal"/>
    <w:link w:val="BodyTextIndent2Char"/>
    <w:rsid w:val="002F2AF9"/>
    <w:pPr>
      <w:spacing w:after="0" w:line="360" w:lineRule="auto"/>
      <w:ind w:firstLine="720"/>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2F2AF9"/>
    <w:rPr>
      <w:rFonts w:ascii="Times New Roman" w:eastAsia="Times New Roman" w:hAnsi="Times New Roman" w:cs="Times New Roman"/>
      <w:sz w:val="26"/>
      <w:szCs w:val="20"/>
    </w:rPr>
  </w:style>
  <w:style w:type="paragraph" w:styleId="BlockText">
    <w:name w:val="Block Text"/>
    <w:basedOn w:val="Normal"/>
    <w:rsid w:val="002F2AF9"/>
    <w:pPr>
      <w:widowControl w:val="0"/>
      <w:spacing w:after="0" w:line="240" w:lineRule="auto"/>
      <w:ind w:left="720" w:right="720"/>
      <w:jc w:val="both"/>
    </w:pPr>
    <w:rPr>
      <w:rFonts w:ascii="Times New Roman" w:eastAsia="Times New Roman" w:hAnsi="Times New Roman" w:cs="Times New Roman"/>
      <w:snapToGrid w:val="0"/>
      <w:sz w:val="24"/>
      <w:szCs w:val="20"/>
    </w:rPr>
  </w:style>
  <w:style w:type="paragraph" w:styleId="Subtitle">
    <w:name w:val="Subtitle"/>
    <w:basedOn w:val="Normal"/>
    <w:link w:val="SubtitleChar"/>
    <w:qFormat/>
    <w:rsid w:val="002F2AF9"/>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SubtitleChar">
    <w:name w:val="Subtitle Char"/>
    <w:basedOn w:val="DefaultParagraphFont"/>
    <w:link w:val="Subtitle"/>
    <w:rsid w:val="002F2AF9"/>
    <w:rPr>
      <w:rFonts w:ascii="Times New Roman" w:eastAsia="Times New Roman" w:hAnsi="Times New Roman" w:cs="Times New Roman"/>
      <w:b/>
      <w:snapToGrid w:val="0"/>
      <w:sz w:val="24"/>
      <w:szCs w:val="20"/>
    </w:rPr>
  </w:style>
  <w:style w:type="character" w:styleId="Hyperlink">
    <w:name w:val="Hyperlink"/>
    <w:uiPriority w:val="99"/>
    <w:rsid w:val="002F2AF9"/>
    <w:rPr>
      <w:color w:val="0000FF"/>
      <w:u w:val="single"/>
    </w:rPr>
  </w:style>
  <w:style w:type="table" w:customStyle="1" w:styleId="TableGrid1">
    <w:name w:val="Table Grid1"/>
    <w:basedOn w:val="TableNormal"/>
    <w:next w:val="TableGrid"/>
    <w:uiPriority w:val="59"/>
    <w:rsid w:val="002F2A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F2AF9"/>
  </w:style>
  <w:style w:type="paragraph" w:customStyle="1" w:styleId="ListBullet-A0">
    <w:name w:val="List Bullet - A0"/>
    <w:basedOn w:val="Normal"/>
    <w:rsid w:val="002F2AF9"/>
    <w:pPr>
      <w:widowControl w:val="0"/>
      <w:numPr>
        <w:ilvl w:val="2"/>
        <w:numId w:val="3"/>
      </w:numPr>
      <w:tabs>
        <w:tab w:val="clear" w:pos="1512"/>
        <w:tab w:val="num" w:pos="792"/>
      </w:tabs>
      <w:spacing w:after="0" w:line="300" w:lineRule="exact"/>
      <w:ind w:left="792"/>
    </w:pPr>
    <w:rPr>
      <w:rFonts w:ascii="Garamond" w:eastAsia="Times New Roman" w:hAnsi="Garamond" w:cs="Times New Roman"/>
      <w:sz w:val="24"/>
      <w:szCs w:val="24"/>
    </w:rPr>
  </w:style>
  <w:style w:type="paragraph" w:customStyle="1" w:styleId="ListBullet2-A0">
    <w:name w:val="List Bullet 2 - A0"/>
    <w:basedOn w:val="Normal"/>
    <w:rsid w:val="002F2AF9"/>
    <w:pPr>
      <w:widowControl w:val="0"/>
      <w:tabs>
        <w:tab w:val="num" w:pos="1152"/>
      </w:tabs>
      <w:spacing w:after="0" w:line="300" w:lineRule="exact"/>
      <w:ind w:left="1152" w:hanging="432"/>
    </w:pPr>
    <w:rPr>
      <w:rFonts w:ascii="Garamond" w:eastAsia="Times New Roman" w:hAnsi="Garamond" w:cs="Times New Roman"/>
      <w:sz w:val="24"/>
      <w:szCs w:val="24"/>
    </w:rPr>
  </w:style>
  <w:style w:type="paragraph" w:customStyle="1" w:styleId="ListBullet3-A0">
    <w:name w:val="List Bullet 3 - A0"/>
    <w:basedOn w:val="Normal"/>
    <w:rsid w:val="002F2AF9"/>
    <w:pPr>
      <w:widowControl w:val="0"/>
      <w:tabs>
        <w:tab w:val="num" w:pos="1512"/>
      </w:tabs>
      <w:spacing w:after="0" w:line="300" w:lineRule="exact"/>
      <w:ind w:left="1512" w:hanging="432"/>
    </w:pPr>
    <w:rPr>
      <w:rFonts w:ascii="Garamond" w:eastAsia="Times New Roman" w:hAnsi="Garamond" w:cs="Times New Roman"/>
      <w:sz w:val="24"/>
      <w:szCs w:val="24"/>
    </w:rPr>
  </w:style>
  <w:style w:type="paragraph" w:customStyle="1" w:styleId="ListBullet4-A0">
    <w:name w:val="List Bullet 4 - A0"/>
    <w:basedOn w:val="Normal"/>
    <w:rsid w:val="002F2AF9"/>
    <w:pPr>
      <w:widowControl w:val="0"/>
      <w:tabs>
        <w:tab w:val="num" w:pos="1872"/>
      </w:tabs>
      <w:spacing w:after="0" w:line="300" w:lineRule="exact"/>
      <w:ind w:left="1872" w:hanging="432"/>
    </w:pPr>
    <w:rPr>
      <w:rFonts w:ascii="Garamond" w:eastAsia="Times New Roman" w:hAnsi="Garamond" w:cs="Times New Roman"/>
      <w:sz w:val="24"/>
      <w:szCs w:val="24"/>
    </w:rPr>
  </w:style>
  <w:style w:type="paragraph" w:customStyle="1" w:styleId="font5">
    <w:name w:val="font5"/>
    <w:basedOn w:val="Normal"/>
    <w:rsid w:val="002F2AF9"/>
    <w:pPr>
      <w:spacing w:before="100" w:beforeAutospacing="1" w:after="100" w:afterAutospacing="1" w:line="240" w:lineRule="auto"/>
    </w:pPr>
    <w:rPr>
      <w:rFonts w:ascii="Arial" w:eastAsia="Times New Roman" w:hAnsi="Arial" w:cs="Arial"/>
      <w:color w:val="000000"/>
      <w:sz w:val="24"/>
      <w:szCs w:val="24"/>
    </w:rPr>
  </w:style>
  <w:style w:type="paragraph" w:customStyle="1" w:styleId="font6">
    <w:name w:val="font6"/>
    <w:basedOn w:val="Normal"/>
    <w:rsid w:val="002F2AF9"/>
    <w:pPr>
      <w:spacing w:before="100" w:beforeAutospacing="1" w:after="100" w:afterAutospacing="1" w:line="240" w:lineRule="auto"/>
    </w:pPr>
    <w:rPr>
      <w:rFonts w:ascii="Arial" w:eastAsia="Times New Roman" w:hAnsi="Arial" w:cs="Arial"/>
      <w:i/>
      <w:iCs/>
      <w:color w:val="000000"/>
      <w:sz w:val="24"/>
      <w:szCs w:val="24"/>
    </w:rPr>
  </w:style>
  <w:style w:type="paragraph" w:customStyle="1" w:styleId="xl63">
    <w:name w:val="xl63"/>
    <w:basedOn w:val="Normal"/>
    <w:rsid w:val="002F2AF9"/>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64">
    <w:name w:val="xl64"/>
    <w:basedOn w:val="Normal"/>
    <w:rsid w:val="002F2AF9"/>
    <w:pPr>
      <w:spacing w:before="100" w:beforeAutospacing="1" w:after="100" w:afterAutospacing="1" w:line="240" w:lineRule="auto"/>
      <w:jc w:val="center"/>
      <w:textAlignment w:val="top"/>
    </w:pPr>
    <w:rPr>
      <w:rFonts w:ascii="Arial" w:eastAsia="Times New Roman" w:hAnsi="Arial" w:cs="Arial"/>
      <w:b/>
      <w:bCs/>
      <w:sz w:val="24"/>
      <w:szCs w:val="24"/>
      <w:u w:val="double"/>
    </w:rPr>
  </w:style>
  <w:style w:type="paragraph" w:customStyle="1" w:styleId="xl65">
    <w:name w:val="xl65"/>
    <w:basedOn w:val="Normal"/>
    <w:rsid w:val="002F2AF9"/>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6">
    <w:name w:val="xl66"/>
    <w:basedOn w:val="Normal"/>
    <w:rsid w:val="002F2AF9"/>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7">
    <w:name w:val="xl67"/>
    <w:basedOn w:val="Normal"/>
    <w:rsid w:val="002F2AF9"/>
    <w:pPr>
      <w:spacing w:before="100" w:beforeAutospacing="1" w:after="100" w:afterAutospacing="1" w:line="240" w:lineRule="auto"/>
      <w:jc w:val="center"/>
      <w:textAlignment w:val="top"/>
    </w:pPr>
    <w:rPr>
      <w:rFonts w:ascii="Arial" w:eastAsia="Times New Roman" w:hAnsi="Arial" w:cs="Arial"/>
      <w:b/>
      <w:bCs/>
      <w:sz w:val="24"/>
      <w:szCs w:val="24"/>
      <w:u w:val="single"/>
    </w:rPr>
  </w:style>
  <w:style w:type="paragraph" w:customStyle="1" w:styleId="xl68">
    <w:name w:val="xl68"/>
    <w:basedOn w:val="Normal"/>
    <w:rsid w:val="002F2AF9"/>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9">
    <w:name w:val="xl69"/>
    <w:basedOn w:val="Normal"/>
    <w:rsid w:val="002F2AF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2F2AF9"/>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Normal"/>
    <w:rsid w:val="002F2AF9"/>
    <w:pPr>
      <w:spacing w:before="100" w:beforeAutospacing="1" w:after="100" w:afterAutospacing="1" w:line="240" w:lineRule="auto"/>
    </w:pPr>
    <w:rPr>
      <w:rFonts w:ascii="Arial" w:eastAsia="Times New Roman" w:hAnsi="Arial" w:cs="Arial"/>
      <w:b/>
      <w:bCs/>
      <w:sz w:val="24"/>
      <w:szCs w:val="24"/>
      <w:u w:val="single"/>
    </w:rPr>
  </w:style>
  <w:style w:type="paragraph" w:customStyle="1" w:styleId="xl72">
    <w:name w:val="xl72"/>
    <w:basedOn w:val="Normal"/>
    <w:rsid w:val="002F2AF9"/>
    <w:pPr>
      <w:spacing w:before="100" w:beforeAutospacing="1" w:after="100" w:afterAutospacing="1" w:line="240" w:lineRule="auto"/>
      <w:textAlignment w:val="top"/>
    </w:pPr>
    <w:rPr>
      <w:rFonts w:ascii="Arial" w:eastAsia="Times New Roman" w:hAnsi="Arial" w:cs="Arial"/>
      <w:b/>
      <w:bCs/>
      <w:sz w:val="24"/>
      <w:szCs w:val="24"/>
      <w:u w:val="single"/>
    </w:rPr>
  </w:style>
  <w:style w:type="paragraph" w:customStyle="1" w:styleId="xl73">
    <w:name w:val="xl73"/>
    <w:basedOn w:val="Normal"/>
    <w:rsid w:val="002F2AF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Normal"/>
    <w:rsid w:val="002F2AF9"/>
    <w:pPr>
      <w:spacing w:before="100" w:beforeAutospacing="1" w:after="100" w:afterAutospacing="1" w:line="240" w:lineRule="auto"/>
      <w:textAlignment w:val="top"/>
    </w:pPr>
    <w:rPr>
      <w:rFonts w:ascii="Arial" w:eastAsia="Times New Roman" w:hAnsi="Arial" w:cs="Arial"/>
      <w:b/>
      <w:bCs/>
      <w:sz w:val="24"/>
      <w:szCs w:val="24"/>
      <w:u w:val="single"/>
    </w:rPr>
  </w:style>
  <w:style w:type="paragraph" w:customStyle="1" w:styleId="xl75">
    <w:name w:val="xl75"/>
    <w:basedOn w:val="Normal"/>
    <w:rsid w:val="002F2AF9"/>
    <w:pP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Normal"/>
    <w:rsid w:val="002F2AF9"/>
    <w:pPr>
      <w:spacing w:before="100" w:beforeAutospacing="1" w:after="100" w:afterAutospacing="1" w:line="240" w:lineRule="auto"/>
    </w:pPr>
    <w:rPr>
      <w:rFonts w:ascii="Arial" w:eastAsia="Times New Roman" w:hAnsi="Arial" w:cs="Arial"/>
      <w:b/>
      <w:bCs/>
      <w:sz w:val="24"/>
      <w:szCs w:val="24"/>
    </w:rPr>
  </w:style>
  <w:style w:type="paragraph" w:customStyle="1" w:styleId="xl77">
    <w:name w:val="xl77"/>
    <w:basedOn w:val="Normal"/>
    <w:rsid w:val="002F2AF9"/>
    <w:pPr>
      <w:spacing w:before="100" w:beforeAutospacing="1" w:after="100" w:afterAutospacing="1" w:line="240" w:lineRule="auto"/>
      <w:jc w:val="center"/>
    </w:pPr>
    <w:rPr>
      <w:rFonts w:ascii="Arial" w:eastAsia="Times New Roman" w:hAnsi="Arial" w:cs="Arial"/>
      <w:b/>
      <w:bCs/>
      <w:sz w:val="26"/>
      <w:szCs w:val="26"/>
    </w:rPr>
  </w:style>
  <w:style w:type="paragraph" w:customStyle="1" w:styleId="xl78">
    <w:name w:val="xl78"/>
    <w:basedOn w:val="Normal"/>
    <w:rsid w:val="002F2AF9"/>
    <w:pPr>
      <w:spacing w:before="100" w:beforeAutospacing="1" w:after="100" w:afterAutospacing="1" w:line="240" w:lineRule="auto"/>
      <w:jc w:val="center"/>
      <w:textAlignment w:val="top"/>
    </w:pPr>
    <w:rPr>
      <w:rFonts w:ascii="Arial" w:eastAsia="Times New Roman" w:hAnsi="Arial" w:cs="Arial"/>
      <w:b/>
      <w:bCs/>
      <w:sz w:val="23"/>
      <w:szCs w:val="23"/>
    </w:rPr>
  </w:style>
  <w:style w:type="paragraph" w:customStyle="1" w:styleId="xl79">
    <w:name w:val="xl79"/>
    <w:basedOn w:val="Normal"/>
    <w:rsid w:val="002F2AF9"/>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0">
    <w:name w:val="xl80"/>
    <w:basedOn w:val="Normal"/>
    <w:rsid w:val="002F2AF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2F2AF9"/>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82">
    <w:name w:val="xl82"/>
    <w:basedOn w:val="Normal"/>
    <w:rsid w:val="002F2AF9"/>
    <w:pPr>
      <w:spacing w:before="100" w:beforeAutospacing="1" w:after="100" w:afterAutospacing="1" w:line="240" w:lineRule="auto"/>
      <w:jc w:val="center"/>
      <w:textAlignment w:val="top"/>
    </w:pPr>
    <w:rPr>
      <w:rFonts w:ascii="Arial" w:eastAsia="Times New Roman" w:hAnsi="Arial" w:cs="Arial"/>
      <w:b/>
      <w:bCs/>
      <w:sz w:val="24"/>
      <w:szCs w:val="24"/>
      <w:u w:val="single"/>
    </w:rPr>
  </w:style>
  <w:style w:type="paragraph" w:customStyle="1" w:styleId="xl83">
    <w:name w:val="xl83"/>
    <w:basedOn w:val="Normal"/>
    <w:rsid w:val="002F2AF9"/>
    <w:pPr>
      <w:spacing w:before="100" w:beforeAutospacing="1" w:after="100" w:afterAutospacing="1" w:line="240" w:lineRule="auto"/>
      <w:textAlignment w:val="top"/>
    </w:pPr>
    <w:rPr>
      <w:rFonts w:ascii="Arial" w:eastAsia="Times New Roman" w:hAnsi="Arial" w:cs="Arial"/>
      <w:sz w:val="24"/>
      <w:szCs w:val="24"/>
    </w:rPr>
  </w:style>
  <w:style w:type="paragraph" w:customStyle="1" w:styleId="xl84">
    <w:name w:val="xl84"/>
    <w:basedOn w:val="Normal"/>
    <w:rsid w:val="002F2AF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2F2AF9"/>
    <w:pPr>
      <w:spacing w:before="100" w:beforeAutospacing="1" w:after="100" w:afterAutospacing="1" w:line="240" w:lineRule="auto"/>
      <w:textAlignment w:val="top"/>
    </w:pPr>
    <w:rPr>
      <w:rFonts w:ascii="Arial" w:eastAsia="Times New Roman" w:hAnsi="Arial" w:cs="Arial"/>
      <w:sz w:val="24"/>
      <w:szCs w:val="24"/>
    </w:rPr>
  </w:style>
  <w:style w:type="paragraph" w:customStyle="1" w:styleId="xl87">
    <w:name w:val="xl87"/>
    <w:basedOn w:val="Normal"/>
    <w:rsid w:val="002F2AF9"/>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Normal"/>
    <w:rsid w:val="002F2AF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Normal"/>
    <w:rsid w:val="002F2AF9"/>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Default">
    <w:name w:val="Default"/>
    <w:rsid w:val="002F2AF9"/>
    <w:pPr>
      <w:autoSpaceDE w:val="0"/>
      <w:autoSpaceDN w:val="0"/>
      <w:adjustRightInd w:val="0"/>
      <w:spacing w:after="0" w:line="240" w:lineRule="auto"/>
    </w:pPr>
    <w:rPr>
      <w:rFonts w:ascii="Garamond" w:eastAsia="Times New Roman" w:hAnsi="Garamond" w:cs="Garamond"/>
      <w:color w:val="000000"/>
      <w:sz w:val="24"/>
      <w:szCs w:val="24"/>
    </w:rPr>
  </w:style>
  <w:style w:type="character" w:styleId="Strong">
    <w:name w:val="Strong"/>
    <w:basedOn w:val="DefaultParagraphFont"/>
    <w:uiPriority w:val="22"/>
    <w:qFormat/>
    <w:rsid w:val="002F2AF9"/>
    <w:rPr>
      <w:b/>
      <w:bCs/>
    </w:rPr>
  </w:style>
  <w:style w:type="paragraph" w:styleId="NormalWeb">
    <w:name w:val="Normal (Web)"/>
    <w:basedOn w:val="Normal"/>
    <w:uiPriority w:val="99"/>
    <w:unhideWhenUsed/>
    <w:rsid w:val="002F2AF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42">
    <w:name w:val="Table Grid42"/>
    <w:basedOn w:val="TableNormal"/>
    <w:next w:val="TableGrid"/>
    <w:rsid w:val="002F2AF9"/>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F2A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A3A19"/>
    <w:rPr>
      <w:color w:val="800080" w:themeColor="followedHyperlink"/>
      <w:u w:val="single"/>
    </w:rPr>
  </w:style>
  <w:style w:type="table" w:customStyle="1" w:styleId="TableGrid3">
    <w:name w:val="Table Grid3"/>
    <w:basedOn w:val="TableNormal"/>
    <w:next w:val="TableGrid"/>
    <w:rsid w:val="00437C9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992B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C93C49"/>
    <w:pPr>
      <w:spacing w:after="0" w:line="240" w:lineRule="auto"/>
    </w:pPr>
    <w:rPr>
      <w:rFonts w:ascii="Times New Roman" w:eastAsia="Times New Roman" w:hAnsi="Times New Roman"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93C49"/>
    <w:pPr>
      <w:spacing w:after="0" w:line="240" w:lineRule="auto"/>
    </w:pPr>
    <w:rPr>
      <w:rFonts w:ascii="Times New Roman" w:eastAsia="Times New Roman" w:hAnsi="Times New Roman"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C93C49"/>
    <w:pPr>
      <w:spacing w:after="0" w:line="240" w:lineRule="auto"/>
    </w:pPr>
    <w:rPr>
      <w:rFonts w:ascii="Times New Roman" w:eastAsia="Times New Roman" w:hAnsi="Times New Roman"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93C49"/>
    <w:pPr>
      <w:spacing w:after="0" w:line="240" w:lineRule="auto"/>
    </w:pPr>
    <w:rPr>
      <w:rFonts w:ascii="Times New Roman" w:eastAsia="Times New Roman" w:hAnsi="Times New Roman"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93C49"/>
  </w:style>
  <w:style w:type="table" w:customStyle="1" w:styleId="TableGrid4">
    <w:name w:val="Table Grid4"/>
    <w:basedOn w:val="TableNormal"/>
    <w:next w:val="TableGrid"/>
    <w:uiPriority w:val="59"/>
    <w:rsid w:val="00C93C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C93C49"/>
    <w:pPr>
      <w:spacing w:after="0" w:line="240" w:lineRule="auto"/>
    </w:pPr>
    <w:rPr>
      <w:rFonts w:ascii="Times New Roman" w:eastAsia="Times New Roman" w:hAnsi="Times New Roman"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359F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A359F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A359F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A359F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
    <w:name w:val="Table Grid36"/>
    <w:basedOn w:val="TableNormal"/>
    <w:next w:val="TableGrid"/>
    <w:uiPriority w:val="59"/>
    <w:rsid w:val="00C40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F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4102">
      <w:bodyDiv w:val="1"/>
      <w:marLeft w:val="0"/>
      <w:marRight w:val="0"/>
      <w:marTop w:val="0"/>
      <w:marBottom w:val="0"/>
      <w:divBdr>
        <w:top w:val="none" w:sz="0" w:space="0" w:color="auto"/>
        <w:left w:val="none" w:sz="0" w:space="0" w:color="auto"/>
        <w:bottom w:val="none" w:sz="0" w:space="0" w:color="auto"/>
        <w:right w:val="none" w:sz="0" w:space="0" w:color="auto"/>
      </w:divBdr>
    </w:div>
    <w:div w:id="158868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1.xml"/><Relationship Id="rId21" Type="http://schemas.openxmlformats.org/officeDocument/2006/relationships/footer" Target="footer6.xml"/><Relationship Id="rId34" Type="http://schemas.openxmlformats.org/officeDocument/2006/relationships/footer" Target="footer10.xml"/><Relationship Id="rId42" Type="http://schemas.openxmlformats.org/officeDocument/2006/relationships/footer" Target="footer12.xml"/><Relationship Id="rId47" Type="http://schemas.openxmlformats.org/officeDocument/2006/relationships/package" Target="embeddings/Microsoft_Excel_Worksheet1.xlsx"/><Relationship Id="rId50" Type="http://schemas.openxmlformats.org/officeDocument/2006/relationships/image" Target="media/image4.emf"/><Relationship Id="rId55" Type="http://schemas.openxmlformats.org/officeDocument/2006/relationships/package" Target="embeddings/Microsoft_Excel_Worksheet5.xlsx"/><Relationship Id="rId63" Type="http://schemas.openxmlformats.org/officeDocument/2006/relationships/image" Target="media/image10.emf"/><Relationship Id="rId68" Type="http://schemas.openxmlformats.org/officeDocument/2006/relationships/package" Target="embeddings/Microsoft_Excel_Worksheet11.xlsx"/><Relationship Id="rId76" Type="http://schemas.openxmlformats.org/officeDocument/2006/relationships/header" Target="header26.xml"/><Relationship Id="rId7" Type="http://schemas.openxmlformats.org/officeDocument/2006/relationships/endnotes" Target="endnotes.xml"/><Relationship Id="rId71"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4.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package" Target="embeddings/Microsoft_Excel_Worksheet.xlsx"/><Relationship Id="rId53" Type="http://schemas.openxmlformats.org/officeDocument/2006/relationships/package" Target="embeddings/Microsoft_Excel_Worksheet4.xlsx"/><Relationship Id="rId58" Type="http://schemas.openxmlformats.org/officeDocument/2006/relationships/package" Target="embeddings/Microsoft_Excel_Worksheet6.xlsx"/><Relationship Id="rId66" Type="http://schemas.openxmlformats.org/officeDocument/2006/relationships/package" Target="embeddings/Microsoft_Excel_Worksheet10.xlsx"/><Relationship Id="rId74" Type="http://schemas.openxmlformats.org/officeDocument/2006/relationships/package" Target="embeddings/Microsoft_Excel_Worksheet14.xlsx"/><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9.emf"/><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5.xml"/><Relationship Id="rId44" Type="http://schemas.openxmlformats.org/officeDocument/2006/relationships/image" Target="media/image1.emf"/><Relationship Id="rId52" Type="http://schemas.openxmlformats.org/officeDocument/2006/relationships/image" Target="media/image5.emf"/><Relationship Id="rId60" Type="http://schemas.openxmlformats.org/officeDocument/2006/relationships/package" Target="embeddings/Microsoft_Excel_Worksheet7.xlsx"/><Relationship Id="rId65" Type="http://schemas.openxmlformats.org/officeDocument/2006/relationships/image" Target="media/image11.emf"/><Relationship Id="rId73" Type="http://schemas.openxmlformats.org/officeDocument/2006/relationships/image" Target="media/image15.emf"/><Relationship Id="rId78"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image" Target="media/image3.emf"/><Relationship Id="rId56" Type="http://schemas.openxmlformats.org/officeDocument/2006/relationships/hyperlink" Target="http://www.puc.state.pa.us/general/onlineforms/pdf/Physical_Cyber_Security_Form.pdf" TargetMode="External"/><Relationship Id="rId64" Type="http://schemas.openxmlformats.org/officeDocument/2006/relationships/package" Target="embeddings/Microsoft_Excel_Worksheet9.xlsx"/><Relationship Id="rId69" Type="http://schemas.openxmlformats.org/officeDocument/2006/relationships/image" Target="media/image13.emf"/><Relationship Id="rId77" Type="http://schemas.openxmlformats.org/officeDocument/2006/relationships/footer" Target="footer13.xml"/><Relationship Id="rId8" Type="http://schemas.openxmlformats.org/officeDocument/2006/relationships/header" Target="header1.xml"/><Relationship Id="rId51" Type="http://schemas.openxmlformats.org/officeDocument/2006/relationships/package" Target="embeddings/Microsoft_Excel_Worksheet3.xlsx"/><Relationship Id="rId72" Type="http://schemas.openxmlformats.org/officeDocument/2006/relationships/package" Target="embeddings/Microsoft_Excel_Worksheet13.xlsx"/><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11.xml"/><Relationship Id="rId46" Type="http://schemas.openxmlformats.org/officeDocument/2006/relationships/image" Target="media/image2.emf"/><Relationship Id="rId59" Type="http://schemas.openxmlformats.org/officeDocument/2006/relationships/image" Target="media/image8.emf"/><Relationship Id="rId67" Type="http://schemas.openxmlformats.org/officeDocument/2006/relationships/image" Target="media/image12.emf"/><Relationship Id="rId20" Type="http://schemas.openxmlformats.org/officeDocument/2006/relationships/header" Target="header8.xml"/><Relationship Id="rId41" Type="http://schemas.openxmlformats.org/officeDocument/2006/relationships/header" Target="header23.xml"/><Relationship Id="rId54" Type="http://schemas.openxmlformats.org/officeDocument/2006/relationships/image" Target="media/image6.emf"/><Relationship Id="rId62" Type="http://schemas.openxmlformats.org/officeDocument/2006/relationships/package" Target="embeddings/Microsoft_Excel_Worksheet8.xlsx"/><Relationship Id="rId70" Type="http://schemas.openxmlformats.org/officeDocument/2006/relationships/package" Target="embeddings/Microsoft_Excel_Worksheet12.xlsx"/><Relationship Id="rId75"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package" Target="embeddings/Microsoft_Excel_Worksheet2.xlsx"/><Relationship Id="rId57"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D0178-425C-4353-B0D7-2D8DC43B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36725</Words>
  <Characters>209335</Characters>
  <Application>Microsoft Office Word</Application>
  <DocSecurity>0</DocSecurity>
  <Lines>1744</Lines>
  <Paragraphs>491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245569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Borres, Bryan</dc:creator>
  <cp:lastModifiedBy>Clista, John</cp:lastModifiedBy>
  <cp:revision>2</cp:revision>
  <cp:lastPrinted>2018-08-08T19:21:00Z</cp:lastPrinted>
  <dcterms:created xsi:type="dcterms:W3CDTF">2018-09-21T19:40:00Z</dcterms:created>
  <dcterms:modified xsi:type="dcterms:W3CDTF">2018-09-21T19:40:00Z</dcterms:modified>
</cp:coreProperties>
</file>