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F0850" w14:textId="77777777" w:rsidR="00EB6185" w:rsidRPr="003C351F" w:rsidRDefault="00EB6185" w:rsidP="002E6D96">
      <w:pPr>
        <w:widowControl/>
        <w:contextualSpacing/>
        <w:jc w:val="center"/>
        <w:rPr>
          <w:b/>
          <w:sz w:val="26"/>
          <w:szCs w:val="26"/>
        </w:rPr>
      </w:pPr>
      <w:r w:rsidRPr="003C351F">
        <w:rPr>
          <w:b/>
          <w:sz w:val="26"/>
          <w:szCs w:val="26"/>
        </w:rPr>
        <w:t>PENNSYLVANIA</w:t>
      </w:r>
    </w:p>
    <w:p w14:paraId="7C9EB83B" w14:textId="77777777" w:rsidR="00EB6185" w:rsidRPr="003C351F" w:rsidRDefault="00EB6185" w:rsidP="002E6D96">
      <w:pPr>
        <w:widowControl/>
        <w:tabs>
          <w:tab w:val="center" w:pos="4680"/>
        </w:tabs>
        <w:suppressAutoHyphens/>
        <w:contextualSpacing/>
        <w:jc w:val="center"/>
        <w:rPr>
          <w:b/>
          <w:sz w:val="26"/>
          <w:szCs w:val="26"/>
        </w:rPr>
      </w:pPr>
      <w:r w:rsidRPr="003C351F">
        <w:rPr>
          <w:b/>
          <w:sz w:val="26"/>
          <w:szCs w:val="26"/>
        </w:rPr>
        <w:t>PUBLIC UTILITY COMMISSION</w:t>
      </w:r>
    </w:p>
    <w:p w14:paraId="700EA119" w14:textId="77777777" w:rsidR="00EB6185" w:rsidRPr="003C351F" w:rsidRDefault="00EB6185" w:rsidP="002E6D96">
      <w:pPr>
        <w:widowControl/>
        <w:tabs>
          <w:tab w:val="center" w:pos="4680"/>
        </w:tabs>
        <w:suppressAutoHyphens/>
        <w:contextualSpacing/>
        <w:jc w:val="center"/>
        <w:rPr>
          <w:b/>
          <w:sz w:val="26"/>
          <w:szCs w:val="26"/>
        </w:rPr>
      </w:pPr>
      <w:r w:rsidRPr="003C351F">
        <w:rPr>
          <w:b/>
          <w:sz w:val="26"/>
          <w:szCs w:val="26"/>
        </w:rPr>
        <w:t>Harrisburg, PA  17105-3265</w:t>
      </w:r>
    </w:p>
    <w:p w14:paraId="7C472B0C" w14:textId="77777777" w:rsidR="00EB6185" w:rsidRPr="003C351F" w:rsidRDefault="00EB6185" w:rsidP="002E6D96">
      <w:pPr>
        <w:widowControl/>
        <w:tabs>
          <w:tab w:val="left" w:pos="-720"/>
        </w:tabs>
        <w:suppressAutoHyphens/>
        <w:contextualSpacing/>
        <w:rPr>
          <w:sz w:val="26"/>
          <w:szCs w:val="26"/>
        </w:rPr>
      </w:pPr>
    </w:p>
    <w:p w14:paraId="514B6C03" w14:textId="77777777" w:rsidR="00EB6185" w:rsidRPr="003C351F" w:rsidRDefault="00EB6185" w:rsidP="002E6D96">
      <w:pPr>
        <w:widowControl/>
        <w:tabs>
          <w:tab w:val="right" w:pos="9360"/>
        </w:tabs>
        <w:suppressAutoHyphens/>
        <w:contextualSpacing/>
        <w:jc w:val="right"/>
        <w:rPr>
          <w:sz w:val="26"/>
          <w:szCs w:val="26"/>
        </w:rPr>
      </w:pPr>
      <w:r w:rsidRPr="003C351F">
        <w:rPr>
          <w:sz w:val="26"/>
          <w:szCs w:val="26"/>
        </w:rPr>
        <w:t xml:space="preserve">Public Meeting held </w:t>
      </w:r>
      <w:r w:rsidR="00162BDA">
        <w:rPr>
          <w:sz w:val="26"/>
          <w:szCs w:val="26"/>
        </w:rPr>
        <w:t>December 6</w:t>
      </w:r>
      <w:r w:rsidRPr="003C351F">
        <w:rPr>
          <w:sz w:val="26"/>
          <w:szCs w:val="26"/>
        </w:rPr>
        <w:t>, 2018</w:t>
      </w:r>
    </w:p>
    <w:p w14:paraId="557B8448" w14:textId="77777777" w:rsidR="00EB6185" w:rsidRDefault="00EB6185" w:rsidP="002E6D96">
      <w:pPr>
        <w:widowControl/>
        <w:tabs>
          <w:tab w:val="left" w:pos="-720"/>
        </w:tabs>
        <w:suppressAutoHyphens/>
        <w:contextualSpacing/>
        <w:rPr>
          <w:sz w:val="26"/>
          <w:szCs w:val="26"/>
        </w:rPr>
      </w:pPr>
    </w:p>
    <w:p w14:paraId="7E8EAC26" w14:textId="77777777" w:rsidR="004C7583" w:rsidRPr="003C351F" w:rsidRDefault="004C7583" w:rsidP="002E6D96">
      <w:pPr>
        <w:widowControl/>
        <w:tabs>
          <w:tab w:val="left" w:pos="-720"/>
        </w:tabs>
        <w:suppressAutoHyphens/>
        <w:contextualSpacing/>
        <w:rPr>
          <w:sz w:val="26"/>
          <w:szCs w:val="26"/>
        </w:rPr>
      </w:pPr>
    </w:p>
    <w:p w14:paraId="426F2085" w14:textId="77777777" w:rsidR="00EB6185" w:rsidRPr="003C351F" w:rsidRDefault="00EB6185" w:rsidP="002E6D96">
      <w:pPr>
        <w:widowControl/>
        <w:tabs>
          <w:tab w:val="left" w:pos="-720"/>
        </w:tabs>
        <w:suppressAutoHyphens/>
        <w:contextualSpacing/>
        <w:rPr>
          <w:sz w:val="26"/>
          <w:szCs w:val="26"/>
        </w:rPr>
      </w:pPr>
      <w:r w:rsidRPr="003C351F">
        <w:rPr>
          <w:sz w:val="26"/>
          <w:szCs w:val="26"/>
        </w:rPr>
        <w:t>Commissioners Present:</w:t>
      </w:r>
    </w:p>
    <w:p w14:paraId="3C3F6BC1" w14:textId="77777777" w:rsidR="00EB6185" w:rsidRPr="003C351F" w:rsidRDefault="00EB6185" w:rsidP="002E6D96">
      <w:pPr>
        <w:widowControl/>
        <w:tabs>
          <w:tab w:val="left" w:pos="-720"/>
        </w:tabs>
        <w:suppressAutoHyphens/>
        <w:contextualSpacing/>
        <w:rPr>
          <w:sz w:val="26"/>
          <w:szCs w:val="26"/>
        </w:rPr>
      </w:pPr>
    </w:p>
    <w:p w14:paraId="681591FE" w14:textId="2E4A07FA" w:rsidR="00EB6185" w:rsidRPr="003C351F" w:rsidRDefault="00EB6185" w:rsidP="002E6D96">
      <w:pPr>
        <w:widowControl/>
        <w:tabs>
          <w:tab w:val="left" w:pos="705"/>
        </w:tabs>
        <w:ind w:firstLine="720"/>
        <w:contextualSpacing/>
        <w:rPr>
          <w:sz w:val="26"/>
          <w:szCs w:val="26"/>
        </w:rPr>
      </w:pPr>
      <w:r w:rsidRPr="003C351F">
        <w:rPr>
          <w:sz w:val="26"/>
          <w:szCs w:val="26"/>
        </w:rPr>
        <w:t>Gladys M. Brown, Chairman</w:t>
      </w:r>
      <w:r w:rsidR="00E96131">
        <w:rPr>
          <w:sz w:val="26"/>
          <w:szCs w:val="26"/>
        </w:rPr>
        <w:t>, Statement</w:t>
      </w:r>
    </w:p>
    <w:p w14:paraId="1E8EB709" w14:textId="516A56AD" w:rsidR="00EB6185" w:rsidRPr="003C351F" w:rsidRDefault="00EB6185" w:rsidP="002E6D96">
      <w:pPr>
        <w:widowControl/>
        <w:tabs>
          <w:tab w:val="left" w:pos="705"/>
        </w:tabs>
        <w:ind w:firstLine="720"/>
        <w:contextualSpacing/>
        <w:rPr>
          <w:sz w:val="26"/>
          <w:szCs w:val="26"/>
        </w:rPr>
      </w:pPr>
      <w:r w:rsidRPr="003C351F">
        <w:rPr>
          <w:sz w:val="26"/>
          <w:szCs w:val="26"/>
        </w:rPr>
        <w:t>Andrew G. Place, Vice Chairman</w:t>
      </w:r>
    </w:p>
    <w:p w14:paraId="64108E1D" w14:textId="6B673B4A" w:rsidR="00EB6185" w:rsidRPr="003C351F" w:rsidRDefault="00EB6185" w:rsidP="002E6D96">
      <w:pPr>
        <w:widowControl/>
        <w:tabs>
          <w:tab w:val="left" w:pos="705"/>
        </w:tabs>
        <w:ind w:firstLine="720"/>
        <w:contextualSpacing/>
        <w:rPr>
          <w:sz w:val="26"/>
          <w:szCs w:val="26"/>
        </w:rPr>
      </w:pPr>
      <w:r w:rsidRPr="003C351F">
        <w:rPr>
          <w:sz w:val="26"/>
          <w:szCs w:val="26"/>
        </w:rPr>
        <w:t>Norman J. Kennard</w:t>
      </w:r>
    </w:p>
    <w:p w14:paraId="6A28D110" w14:textId="77777777" w:rsidR="00EB6185" w:rsidRPr="003C351F" w:rsidRDefault="00EB6185" w:rsidP="002E6D96">
      <w:pPr>
        <w:widowControl/>
        <w:tabs>
          <w:tab w:val="left" w:pos="705"/>
        </w:tabs>
        <w:ind w:firstLine="720"/>
        <w:contextualSpacing/>
        <w:rPr>
          <w:sz w:val="26"/>
          <w:szCs w:val="26"/>
        </w:rPr>
      </w:pPr>
      <w:r w:rsidRPr="003C351F">
        <w:rPr>
          <w:sz w:val="26"/>
          <w:szCs w:val="26"/>
        </w:rPr>
        <w:t>David W. Sweet</w:t>
      </w:r>
    </w:p>
    <w:p w14:paraId="3AE94D8C" w14:textId="77777777" w:rsidR="00EB6185" w:rsidRPr="003C351F" w:rsidRDefault="00EB6185" w:rsidP="002E6D96">
      <w:pPr>
        <w:widowControl/>
        <w:tabs>
          <w:tab w:val="left" w:pos="705"/>
        </w:tabs>
        <w:ind w:firstLine="720"/>
        <w:contextualSpacing/>
        <w:rPr>
          <w:sz w:val="26"/>
          <w:szCs w:val="26"/>
        </w:rPr>
      </w:pPr>
      <w:r w:rsidRPr="003C351F">
        <w:rPr>
          <w:sz w:val="26"/>
          <w:szCs w:val="26"/>
        </w:rPr>
        <w:t>John F. Coleman, Jr.</w:t>
      </w:r>
    </w:p>
    <w:p w14:paraId="2350BB91" w14:textId="77777777" w:rsidR="00EB6185" w:rsidRPr="003C351F" w:rsidRDefault="00EB6185" w:rsidP="002E6D96">
      <w:pPr>
        <w:widowControl/>
        <w:tabs>
          <w:tab w:val="left" w:pos="-720"/>
        </w:tabs>
        <w:suppressAutoHyphens/>
        <w:rPr>
          <w:sz w:val="26"/>
          <w:szCs w:val="26"/>
        </w:rPr>
      </w:pPr>
    </w:p>
    <w:p w14:paraId="6B387CFE" w14:textId="77777777" w:rsidR="00EB6185" w:rsidRPr="003C351F" w:rsidRDefault="00EB6185" w:rsidP="002E6D96">
      <w:pPr>
        <w:widowControl/>
        <w:tabs>
          <w:tab w:val="left" w:pos="-720"/>
        </w:tabs>
        <w:suppressAutoHyphens/>
        <w:rPr>
          <w:sz w:val="26"/>
          <w:szCs w:val="26"/>
        </w:rPr>
      </w:pPr>
    </w:p>
    <w:tbl>
      <w:tblPr>
        <w:tblW w:w="0" w:type="auto"/>
        <w:jc w:val="center"/>
        <w:tblLook w:val="00A0" w:firstRow="1" w:lastRow="0" w:firstColumn="1" w:lastColumn="0" w:noHBand="0" w:noVBand="0"/>
      </w:tblPr>
      <w:tblGrid>
        <w:gridCol w:w="4689"/>
        <w:gridCol w:w="4671"/>
      </w:tblGrid>
      <w:tr w:rsidR="00674A2C" w:rsidRPr="003C351F" w14:paraId="39F03D48" w14:textId="77777777" w:rsidTr="00D3034C">
        <w:trPr>
          <w:jc w:val="center"/>
        </w:trPr>
        <w:tc>
          <w:tcPr>
            <w:tcW w:w="4788" w:type="dxa"/>
          </w:tcPr>
          <w:p w14:paraId="71201BE0" w14:textId="77777777" w:rsidR="00EB6185" w:rsidRPr="003C351F" w:rsidRDefault="00EB6185" w:rsidP="002E6D96">
            <w:pPr>
              <w:widowControl/>
              <w:rPr>
                <w:sz w:val="26"/>
                <w:szCs w:val="26"/>
              </w:rPr>
            </w:pPr>
            <w:r w:rsidRPr="003C351F">
              <w:rPr>
                <w:sz w:val="26"/>
                <w:szCs w:val="26"/>
              </w:rPr>
              <w:t>Pennsylvania Public Utility Commission</w:t>
            </w:r>
          </w:p>
          <w:p w14:paraId="77DA4719" w14:textId="77777777" w:rsidR="00EB6185" w:rsidRPr="003C351F" w:rsidRDefault="00EB6185" w:rsidP="002E6D96">
            <w:pPr>
              <w:widowControl/>
              <w:rPr>
                <w:sz w:val="26"/>
                <w:szCs w:val="26"/>
              </w:rPr>
            </w:pPr>
            <w:r w:rsidRPr="003C351F">
              <w:rPr>
                <w:sz w:val="26"/>
                <w:szCs w:val="26"/>
              </w:rPr>
              <w:t>Office of Consumer Advocate</w:t>
            </w:r>
          </w:p>
          <w:p w14:paraId="0BE68B7D" w14:textId="77777777" w:rsidR="00EB6185" w:rsidRPr="003C351F" w:rsidRDefault="00EB6185" w:rsidP="002E6D96">
            <w:pPr>
              <w:widowControl/>
              <w:rPr>
                <w:sz w:val="26"/>
                <w:szCs w:val="26"/>
              </w:rPr>
            </w:pPr>
            <w:r w:rsidRPr="003C351F">
              <w:rPr>
                <w:sz w:val="26"/>
                <w:szCs w:val="26"/>
              </w:rPr>
              <w:t>Office of Small Business Advocate</w:t>
            </w:r>
          </w:p>
          <w:p w14:paraId="2681E233" w14:textId="77777777" w:rsidR="00EB6185" w:rsidRPr="003C351F" w:rsidRDefault="000737A7" w:rsidP="002E6D96">
            <w:pPr>
              <w:widowControl/>
              <w:rPr>
                <w:sz w:val="26"/>
                <w:szCs w:val="26"/>
              </w:rPr>
            </w:pPr>
            <w:r>
              <w:rPr>
                <w:sz w:val="26"/>
                <w:szCs w:val="26"/>
              </w:rPr>
              <w:t>Patricia Southorn</w:t>
            </w:r>
          </w:p>
          <w:p w14:paraId="5FCF834F" w14:textId="77777777" w:rsidR="00EB6185" w:rsidRPr="003C351F" w:rsidRDefault="000737A7" w:rsidP="002E6D96">
            <w:pPr>
              <w:widowControl/>
              <w:rPr>
                <w:sz w:val="26"/>
                <w:szCs w:val="26"/>
              </w:rPr>
            </w:pPr>
            <w:r>
              <w:rPr>
                <w:sz w:val="26"/>
                <w:szCs w:val="26"/>
              </w:rPr>
              <w:t>The Pennsylvania State University</w:t>
            </w:r>
          </w:p>
          <w:p w14:paraId="36ED6429" w14:textId="77777777" w:rsidR="009E53B2" w:rsidRDefault="005E24F1" w:rsidP="002E6D96">
            <w:pPr>
              <w:widowControl/>
              <w:rPr>
                <w:sz w:val="26"/>
                <w:szCs w:val="26"/>
              </w:rPr>
            </w:pPr>
            <w:r>
              <w:rPr>
                <w:sz w:val="26"/>
                <w:szCs w:val="26"/>
              </w:rPr>
              <w:t>Columbia Industrial Intervenors</w:t>
            </w:r>
          </w:p>
          <w:p w14:paraId="4C285967" w14:textId="77777777" w:rsidR="005E24F1" w:rsidRDefault="005E24F1" w:rsidP="002E6D96">
            <w:pPr>
              <w:widowControl/>
              <w:rPr>
                <w:sz w:val="26"/>
                <w:szCs w:val="26"/>
              </w:rPr>
            </w:pPr>
            <w:r>
              <w:rPr>
                <w:sz w:val="26"/>
                <w:szCs w:val="26"/>
              </w:rPr>
              <w:t>G. Blair Bauer</w:t>
            </w:r>
          </w:p>
          <w:p w14:paraId="42FA9C75" w14:textId="77777777" w:rsidR="005E24F1" w:rsidRDefault="005E24F1" w:rsidP="002E6D96">
            <w:pPr>
              <w:widowControl/>
              <w:rPr>
                <w:sz w:val="26"/>
                <w:szCs w:val="26"/>
              </w:rPr>
            </w:pPr>
            <w:r>
              <w:rPr>
                <w:sz w:val="26"/>
                <w:szCs w:val="26"/>
              </w:rPr>
              <w:t>Philip L. Bloch</w:t>
            </w:r>
          </w:p>
          <w:p w14:paraId="23511EC1" w14:textId="77777777" w:rsidR="005E24F1" w:rsidRDefault="005E24F1" w:rsidP="002E6D96">
            <w:pPr>
              <w:widowControl/>
              <w:rPr>
                <w:sz w:val="26"/>
                <w:szCs w:val="26"/>
              </w:rPr>
            </w:pPr>
            <w:r>
              <w:rPr>
                <w:sz w:val="26"/>
                <w:szCs w:val="26"/>
              </w:rPr>
              <w:t xml:space="preserve">Robin A. </w:t>
            </w:r>
            <w:r w:rsidR="002B1AF3">
              <w:rPr>
                <w:sz w:val="26"/>
                <w:szCs w:val="26"/>
              </w:rPr>
              <w:t>H</w:t>
            </w:r>
            <w:r>
              <w:rPr>
                <w:sz w:val="26"/>
                <w:szCs w:val="26"/>
              </w:rPr>
              <w:t>arrison</w:t>
            </w:r>
          </w:p>
          <w:p w14:paraId="7A159B51" w14:textId="77777777" w:rsidR="002B1AF3" w:rsidRPr="003C351F" w:rsidRDefault="002B1AF3" w:rsidP="002E6D96">
            <w:pPr>
              <w:widowControl/>
              <w:rPr>
                <w:sz w:val="26"/>
                <w:szCs w:val="26"/>
              </w:rPr>
            </w:pPr>
          </w:p>
          <w:p w14:paraId="29F45E06" w14:textId="77777777" w:rsidR="00EB6185" w:rsidRPr="003C351F" w:rsidRDefault="00EB6185" w:rsidP="002E6D96">
            <w:pPr>
              <w:widowControl/>
              <w:rPr>
                <w:sz w:val="26"/>
                <w:szCs w:val="26"/>
              </w:rPr>
            </w:pPr>
            <w:r w:rsidRPr="003C351F">
              <w:rPr>
                <w:sz w:val="26"/>
                <w:szCs w:val="26"/>
              </w:rPr>
              <w:tab/>
            </w:r>
            <w:r w:rsidRPr="003C351F">
              <w:rPr>
                <w:sz w:val="26"/>
                <w:szCs w:val="26"/>
              </w:rPr>
              <w:tab/>
              <w:t>v.</w:t>
            </w:r>
          </w:p>
          <w:p w14:paraId="1EC7DFBA" w14:textId="77777777" w:rsidR="00EB6185" w:rsidRPr="003C351F" w:rsidRDefault="00EB6185" w:rsidP="002E6D96">
            <w:pPr>
              <w:widowControl/>
              <w:rPr>
                <w:sz w:val="26"/>
                <w:szCs w:val="26"/>
              </w:rPr>
            </w:pPr>
          </w:p>
          <w:p w14:paraId="74DEAA59" w14:textId="77777777" w:rsidR="00DB3F6D" w:rsidRDefault="000E1153" w:rsidP="002E6D96">
            <w:pPr>
              <w:widowControl/>
              <w:rPr>
                <w:sz w:val="26"/>
                <w:szCs w:val="26"/>
              </w:rPr>
            </w:pPr>
            <w:r>
              <w:rPr>
                <w:sz w:val="26"/>
                <w:szCs w:val="26"/>
              </w:rPr>
              <w:t>Columbia Gas</w:t>
            </w:r>
            <w:r w:rsidR="00DB3F6D">
              <w:rPr>
                <w:sz w:val="26"/>
                <w:szCs w:val="26"/>
              </w:rPr>
              <w:t xml:space="preserve"> of Pennsylvania, Inc. </w:t>
            </w:r>
          </w:p>
          <w:p w14:paraId="1D3A18FD" w14:textId="77777777" w:rsidR="00DB3F6D" w:rsidRDefault="00DB3F6D" w:rsidP="002E6D96">
            <w:pPr>
              <w:widowControl/>
              <w:rPr>
                <w:sz w:val="26"/>
                <w:szCs w:val="26"/>
              </w:rPr>
            </w:pPr>
          </w:p>
          <w:p w14:paraId="58DD50BD" w14:textId="77777777" w:rsidR="00DB3F6D" w:rsidRDefault="00DB3F6D" w:rsidP="002E6D96">
            <w:pPr>
              <w:widowControl/>
              <w:rPr>
                <w:sz w:val="26"/>
                <w:szCs w:val="26"/>
              </w:rPr>
            </w:pPr>
          </w:p>
          <w:p w14:paraId="3D6F50A8" w14:textId="77777777" w:rsidR="00DB3F6D" w:rsidRDefault="00DB3F6D" w:rsidP="002E6D96">
            <w:pPr>
              <w:widowControl/>
              <w:rPr>
                <w:sz w:val="26"/>
                <w:szCs w:val="26"/>
              </w:rPr>
            </w:pPr>
            <w:bookmarkStart w:id="0" w:name="_Hlk531041800"/>
            <w:r>
              <w:rPr>
                <w:sz w:val="26"/>
                <w:szCs w:val="26"/>
              </w:rPr>
              <w:t xml:space="preserve">Petition of </w:t>
            </w:r>
            <w:r w:rsidR="000E1153">
              <w:rPr>
                <w:sz w:val="26"/>
                <w:szCs w:val="26"/>
              </w:rPr>
              <w:t>Columbia Gas</w:t>
            </w:r>
            <w:r>
              <w:rPr>
                <w:sz w:val="26"/>
                <w:szCs w:val="26"/>
              </w:rPr>
              <w:t xml:space="preserve"> of Pennsylvania, </w:t>
            </w:r>
          </w:p>
          <w:p w14:paraId="72760961" w14:textId="77777777" w:rsidR="00DB3F6D" w:rsidRDefault="00DB3F6D" w:rsidP="002E6D96">
            <w:pPr>
              <w:widowControl/>
              <w:rPr>
                <w:sz w:val="26"/>
                <w:szCs w:val="26"/>
              </w:rPr>
            </w:pPr>
            <w:r>
              <w:rPr>
                <w:sz w:val="26"/>
                <w:szCs w:val="26"/>
              </w:rPr>
              <w:t xml:space="preserve">Inc. For Authorization to Defer, For </w:t>
            </w:r>
          </w:p>
          <w:p w14:paraId="3552D1F7" w14:textId="77777777" w:rsidR="00DB3F6D" w:rsidRDefault="00DB3F6D" w:rsidP="002E6D96">
            <w:pPr>
              <w:widowControl/>
              <w:rPr>
                <w:sz w:val="26"/>
                <w:szCs w:val="26"/>
              </w:rPr>
            </w:pPr>
            <w:r>
              <w:rPr>
                <w:sz w:val="26"/>
                <w:szCs w:val="26"/>
              </w:rPr>
              <w:t>Accounting Purposes, Certain Costs,</w:t>
            </w:r>
          </w:p>
          <w:p w14:paraId="454DB0CB" w14:textId="77777777" w:rsidR="00DB3F6D" w:rsidRDefault="00DB3F6D" w:rsidP="002E6D96">
            <w:pPr>
              <w:widowControl/>
              <w:rPr>
                <w:sz w:val="26"/>
                <w:szCs w:val="26"/>
              </w:rPr>
            </w:pPr>
            <w:r>
              <w:rPr>
                <w:sz w:val="26"/>
                <w:szCs w:val="26"/>
              </w:rPr>
              <w:t>Associated With a Prepayment to the</w:t>
            </w:r>
          </w:p>
          <w:p w14:paraId="50844133" w14:textId="77777777" w:rsidR="00DB3F6D" w:rsidRDefault="00DB3F6D" w:rsidP="002E6D96">
            <w:pPr>
              <w:widowControl/>
              <w:rPr>
                <w:sz w:val="26"/>
                <w:szCs w:val="26"/>
              </w:rPr>
            </w:pPr>
            <w:r>
              <w:rPr>
                <w:sz w:val="26"/>
                <w:szCs w:val="26"/>
              </w:rPr>
              <w:t>NiSource, Inc. Pension Trust</w:t>
            </w:r>
            <w:bookmarkEnd w:id="0"/>
          </w:p>
          <w:p w14:paraId="7CC6191D" w14:textId="77777777" w:rsidR="00EB6185" w:rsidRPr="003C351F" w:rsidRDefault="00EB6185" w:rsidP="002E6D96">
            <w:pPr>
              <w:widowControl/>
              <w:rPr>
                <w:sz w:val="26"/>
                <w:szCs w:val="26"/>
              </w:rPr>
            </w:pPr>
          </w:p>
        </w:tc>
        <w:tc>
          <w:tcPr>
            <w:tcW w:w="4788" w:type="dxa"/>
          </w:tcPr>
          <w:p w14:paraId="56BE7AB3" w14:textId="77777777" w:rsidR="00EB6185" w:rsidRPr="003C351F" w:rsidRDefault="00EB6185" w:rsidP="002E6D96">
            <w:pPr>
              <w:widowControl/>
              <w:jc w:val="right"/>
              <w:rPr>
                <w:sz w:val="26"/>
                <w:szCs w:val="26"/>
              </w:rPr>
            </w:pPr>
            <w:r w:rsidRPr="003C351F">
              <w:rPr>
                <w:sz w:val="26"/>
                <w:szCs w:val="26"/>
              </w:rPr>
              <w:t>R-201</w:t>
            </w:r>
            <w:r w:rsidR="00674A2C">
              <w:rPr>
                <w:sz w:val="26"/>
                <w:szCs w:val="26"/>
              </w:rPr>
              <w:t>8</w:t>
            </w:r>
            <w:r w:rsidRPr="003C351F">
              <w:rPr>
                <w:sz w:val="26"/>
                <w:szCs w:val="26"/>
              </w:rPr>
              <w:t>-264</w:t>
            </w:r>
            <w:r w:rsidR="00674A2C">
              <w:rPr>
                <w:sz w:val="26"/>
                <w:szCs w:val="26"/>
              </w:rPr>
              <w:t>7577</w:t>
            </w:r>
          </w:p>
          <w:p w14:paraId="647606F5" w14:textId="77777777" w:rsidR="00EB6185" w:rsidRPr="003C351F" w:rsidRDefault="00EB6185" w:rsidP="002E6D96">
            <w:pPr>
              <w:widowControl/>
              <w:jc w:val="right"/>
              <w:rPr>
                <w:sz w:val="26"/>
                <w:szCs w:val="26"/>
              </w:rPr>
            </w:pPr>
            <w:r w:rsidRPr="003C351F">
              <w:rPr>
                <w:sz w:val="26"/>
                <w:szCs w:val="26"/>
              </w:rPr>
              <w:t>C-2018-</w:t>
            </w:r>
            <w:r w:rsidR="00674A2C">
              <w:rPr>
                <w:sz w:val="26"/>
                <w:szCs w:val="26"/>
              </w:rPr>
              <w:t>3000582</w:t>
            </w:r>
          </w:p>
          <w:p w14:paraId="1EF5CE5B" w14:textId="77777777" w:rsidR="00EB6185" w:rsidRPr="003C351F" w:rsidRDefault="00EB6185" w:rsidP="002E6D96">
            <w:pPr>
              <w:widowControl/>
              <w:jc w:val="right"/>
              <w:rPr>
                <w:sz w:val="26"/>
                <w:szCs w:val="26"/>
              </w:rPr>
            </w:pPr>
            <w:r w:rsidRPr="003C351F">
              <w:rPr>
                <w:sz w:val="26"/>
                <w:szCs w:val="26"/>
              </w:rPr>
              <w:t>C-2018-</w:t>
            </w:r>
            <w:r w:rsidR="00674A2C">
              <w:rPr>
                <w:sz w:val="26"/>
                <w:szCs w:val="26"/>
              </w:rPr>
              <w:t>3000773</w:t>
            </w:r>
          </w:p>
          <w:p w14:paraId="56FA3B5E" w14:textId="77777777" w:rsidR="00EB6185" w:rsidRPr="003C351F" w:rsidRDefault="00EB6185" w:rsidP="002E6D96">
            <w:pPr>
              <w:widowControl/>
              <w:jc w:val="right"/>
              <w:rPr>
                <w:sz w:val="26"/>
                <w:szCs w:val="26"/>
              </w:rPr>
            </w:pPr>
            <w:r w:rsidRPr="003C351F">
              <w:rPr>
                <w:sz w:val="26"/>
                <w:szCs w:val="26"/>
              </w:rPr>
              <w:t>C-2018-</w:t>
            </w:r>
            <w:r w:rsidR="00674A2C">
              <w:rPr>
                <w:sz w:val="26"/>
                <w:szCs w:val="26"/>
              </w:rPr>
              <w:t>3000779</w:t>
            </w:r>
          </w:p>
          <w:p w14:paraId="58C47BD5" w14:textId="77777777" w:rsidR="00EB6185" w:rsidRDefault="00EB6185" w:rsidP="002E6D96">
            <w:pPr>
              <w:widowControl/>
              <w:jc w:val="right"/>
              <w:rPr>
                <w:sz w:val="26"/>
                <w:szCs w:val="26"/>
              </w:rPr>
            </w:pPr>
            <w:r w:rsidRPr="003C351F">
              <w:rPr>
                <w:sz w:val="26"/>
                <w:szCs w:val="26"/>
              </w:rPr>
              <w:t>C-2018-300</w:t>
            </w:r>
            <w:r w:rsidR="00674A2C">
              <w:rPr>
                <w:sz w:val="26"/>
                <w:szCs w:val="26"/>
              </w:rPr>
              <w:t>1034</w:t>
            </w:r>
          </w:p>
          <w:p w14:paraId="04CF8FCC" w14:textId="77777777" w:rsidR="00674A2C" w:rsidRDefault="00674A2C" w:rsidP="002E6D96">
            <w:pPr>
              <w:widowControl/>
              <w:jc w:val="right"/>
              <w:rPr>
                <w:sz w:val="26"/>
                <w:szCs w:val="26"/>
              </w:rPr>
            </w:pPr>
            <w:r>
              <w:rPr>
                <w:sz w:val="26"/>
                <w:szCs w:val="26"/>
              </w:rPr>
              <w:t>C-2018-300</w:t>
            </w:r>
            <w:r w:rsidR="000737A7">
              <w:rPr>
                <w:sz w:val="26"/>
                <w:szCs w:val="26"/>
              </w:rPr>
              <w:t>1047</w:t>
            </w:r>
          </w:p>
          <w:p w14:paraId="29CC2A6D" w14:textId="77777777" w:rsidR="00674A2C" w:rsidRDefault="00674A2C" w:rsidP="002E6D96">
            <w:pPr>
              <w:widowControl/>
              <w:jc w:val="right"/>
              <w:rPr>
                <w:sz w:val="26"/>
                <w:szCs w:val="26"/>
              </w:rPr>
            </w:pPr>
            <w:r>
              <w:rPr>
                <w:sz w:val="26"/>
                <w:szCs w:val="26"/>
              </w:rPr>
              <w:t>C-2018-30</w:t>
            </w:r>
            <w:r w:rsidR="000737A7">
              <w:rPr>
                <w:sz w:val="26"/>
                <w:szCs w:val="26"/>
              </w:rPr>
              <w:t>01319</w:t>
            </w:r>
          </w:p>
          <w:p w14:paraId="18845C9C" w14:textId="77777777" w:rsidR="000737A7" w:rsidRDefault="000737A7" w:rsidP="002E6D96">
            <w:pPr>
              <w:widowControl/>
              <w:jc w:val="right"/>
              <w:rPr>
                <w:sz w:val="26"/>
                <w:szCs w:val="26"/>
              </w:rPr>
            </w:pPr>
            <w:r>
              <w:rPr>
                <w:sz w:val="26"/>
                <w:szCs w:val="26"/>
              </w:rPr>
              <w:t>C-2018-3001634</w:t>
            </w:r>
          </w:p>
          <w:p w14:paraId="28E18B50" w14:textId="77777777" w:rsidR="000737A7" w:rsidRDefault="000737A7" w:rsidP="002E6D96">
            <w:pPr>
              <w:widowControl/>
              <w:jc w:val="right"/>
              <w:rPr>
                <w:sz w:val="26"/>
                <w:szCs w:val="26"/>
              </w:rPr>
            </w:pPr>
            <w:r>
              <w:rPr>
                <w:sz w:val="26"/>
                <w:szCs w:val="26"/>
              </w:rPr>
              <w:t>C-2018-3002595</w:t>
            </w:r>
          </w:p>
          <w:p w14:paraId="6FAA5034" w14:textId="77777777" w:rsidR="00674A2C" w:rsidRDefault="00674A2C" w:rsidP="002E6D96">
            <w:pPr>
              <w:widowControl/>
              <w:jc w:val="right"/>
              <w:rPr>
                <w:sz w:val="26"/>
                <w:szCs w:val="26"/>
              </w:rPr>
            </w:pPr>
          </w:p>
          <w:p w14:paraId="73D3DA6A" w14:textId="77777777" w:rsidR="005D3499" w:rsidRDefault="005D3499" w:rsidP="002E6D96">
            <w:pPr>
              <w:widowControl/>
              <w:jc w:val="right"/>
              <w:rPr>
                <w:sz w:val="26"/>
                <w:szCs w:val="26"/>
              </w:rPr>
            </w:pPr>
          </w:p>
          <w:p w14:paraId="216F1AB5" w14:textId="77777777" w:rsidR="005D3499" w:rsidRDefault="005D3499" w:rsidP="002E6D96">
            <w:pPr>
              <w:widowControl/>
              <w:jc w:val="right"/>
              <w:rPr>
                <w:sz w:val="26"/>
                <w:szCs w:val="26"/>
              </w:rPr>
            </w:pPr>
          </w:p>
          <w:p w14:paraId="3E605185" w14:textId="77777777" w:rsidR="005D3499" w:rsidRDefault="005D3499" w:rsidP="002E6D96">
            <w:pPr>
              <w:widowControl/>
              <w:jc w:val="right"/>
              <w:rPr>
                <w:sz w:val="26"/>
                <w:szCs w:val="26"/>
              </w:rPr>
            </w:pPr>
          </w:p>
          <w:p w14:paraId="102424E6" w14:textId="77777777" w:rsidR="005D3499" w:rsidRDefault="005D3499" w:rsidP="002E6D96">
            <w:pPr>
              <w:widowControl/>
              <w:jc w:val="right"/>
              <w:rPr>
                <w:sz w:val="26"/>
                <w:szCs w:val="26"/>
              </w:rPr>
            </w:pPr>
          </w:p>
          <w:p w14:paraId="55A84D44" w14:textId="77777777" w:rsidR="005D3499" w:rsidRDefault="005D3499" w:rsidP="002E6D96">
            <w:pPr>
              <w:widowControl/>
              <w:jc w:val="right"/>
              <w:rPr>
                <w:sz w:val="26"/>
                <w:szCs w:val="26"/>
              </w:rPr>
            </w:pPr>
          </w:p>
          <w:p w14:paraId="34A90F02" w14:textId="77777777" w:rsidR="005D3499" w:rsidRDefault="005D3499" w:rsidP="002E6D96">
            <w:pPr>
              <w:widowControl/>
              <w:jc w:val="right"/>
              <w:rPr>
                <w:sz w:val="26"/>
                <w:szCs w:val="26"/>
              </w:rPr>
            </w:pPr>
          </w:p>
          <w:p w14:paraId="54B18961" w14:textId="77777777" w:rsidR="005D3499" w:rsidRPr="003C351F" w:rsidRDefault="005D3499" w:rsidP="002E6D96">
            <w:pPr>
              <w:widowControl/>
              <w:jc w:val="right"/>
              <w:rPr>
                <w:sz w:val="26"/>
                <w:szCs w:val="26"/>
              </w:rPr>
            </w:pPr>
            <w:bookmarkStart w:id="1" w:name="_Hlk530385132"/>
            <w:r>
              <w:rPr>
                <w:sz w:val="26"/>
                <w:szCs w:val="26"/>
              </w:rPr>
              <w:t>P-2018-2641257</w:t>
            </w:r>
            <w:bookmarkEnd w:id="1"/>
          </w:p>
        </w:tc>
      </w:tr>
    </w:tbl>
    <w:p w14:paraId="506BD456" w14:textId="77777777" w:rsidR="00EB6185" w:rsidRPr="003C351F" w:rsidRDefault="00EB6185" w:rsidP="002E6D96">
      <w:pPr>
        <w:widowControl/>
        <w:tabs>
          <w:tab w:val="center" w:pos="4680"/>
        </w:tabs>
        <w:suppressAutoHyphens/>
        <w:spacing w:line="360" w:lineRule="auto"/>
        <w:contextualSpacing/>
        <w:rPr>
          <w:sz w:val="26"/>
          <w:szCs w:val="26"/>
        </w:rPr>
      </w:pPr>
    </w:p>
    <w:p w14:paraId="53BDD7A2" w14:textId="77777777" w:rsidR="00F2483A" w:rsidRPr="003C351F" w:rsidRDefault="00EB6185" w:rsidP="002E6D96">
      <w:pPr>
        <w:widowControl/>
        <w:tabs>
          <w:tab w:val="center" w:pos="4680"/>
        </w:tabs>
        <w:suppressAutoHyphens/>
        <w:spacing w:line="360" w:lineRule="auto"/>
        <w:contextualSpacing/>
        <w:jc w:val="center"/>
        <w:rPr>
          <w:b/>
          <w:sz w:val="26"/>
          <w:szCs w:val="26"/>
        </w:rPr>
      </w:pPr>
      <w:r w:rsidRPr="003C351F">
        <w:rPr>
          <w:b/>
          <w:sz w:val="26"/>
          <w:szCs w:val="26"/>
        </w:rPr>
        <w:t>OPINION AND ORDER</w:t>
      </w:r>
    </w:p>
    <w:p w14:paraId="35064D60" w14:textId="77777777" w:rsidR="00F6137C" w:rsidRPr="003C351F" w:rsidRDefault="00F6137C" w:rsidP="002E6D96">
      <w:pPr>
        <w:widowControl/>
        <w:spacing w:line="360" w:lineRule="auto"/>
        <w:contextualSpacing/>
        <w:rPr>
          <w:b/>
          <w:sz w:val="26"/>
          <w:szCs w:val="26"/>
        </w:rPr>
        <w:sectPr w:rsidR="00F6137C" w:rsidRPr="003C351F" w:rsidSect="0060509C">
          <w:footerReference w:type="default" r:id="rId8"/>
          <w:pgSz w:w="12240" w:h="15840"/>
          <w:pgMar w:top="1440" w:right="1440" w:bottom="1440" w:left="1440" w:header="720" w:footer="720" w:gutter="0"/>
          <w:cols w:space="720"/>
          <w:titlePg/>
          <w:docGrid w:linePitch="360"/>
        </w:sectPr>
      </w:pPr>
    </w:p>
    <w:p w14:paraId="38415481" w14:textId="77777777" w:rsidR="00802EFC" w:rsidRPr="003C351F" w:rsidRDefault="00802EFC" w:rsidP="002E6D96">
      <w:pPr>
        <w:keepNext/>
        <w:widowControl/>
        <w:tabs>
          <w:tab w:val="left" w:pos="-720"/>
        </w:tabs>
        <w:suppressAutoHyphens/>
        <w:spacing w:line="360" w:lineRule="auto"/>
        <w:contextualSpacing/>
        <w:rPr>
          <w:sz w:val="26"/>
          <w:szCs w:val="26"/>
        </w:rPr>
      </w:pPr>
      <w:r w:rsidRPr="003C351F">
        <w:rPr>
          <w:b/>
          <w:sz w:val="26"/>
          <w:szCs w:val="26"/>
        </w:rPr>
        <w:lastRenderedPageBreak/>
        <w:t>BY THE COMMISSION:</w:t>
      </w:r>
    </w:p>
    <w:p w14:paraId="3D53BC38" w14:textId="77777777" w:rsidR="00802EFC" w:rsidRPr="003C351F" w:rsidRDefault="00802EFC" w:rsidP="002E6D96">
      <w:pPr>
        <w:keepNext/>
        <w:widowControl/>
        <w:tabs>
          <w:tab w:val="left" w:pos="-720"/>
        </w:tabs>
        <w:suppressAutoHyphens/>
        <w:spacing w:line="360" w:lineRule="auto"/>
        <w:contextualSpacing/>
        <w:rPr>
          <w:sz w:val="26"/>
          <w:szCs w:val="26"/>
        </w:rPr>
      </w:pPr>
    </w:p>
    <w:p w14:paraId="506884A3" w14:textId="28BBE4E7" w:rsidR="00992442" w:rsidRPr="003C351F" w:rsidRDefault="00802EFC" w:rsidP="002E6D96">
      <w:pPr>
        <w:widowControl/>
        <w:spacing w:line="360" w:lineRule="auto"/>
        <w:rPr>
          <w:rFonts w:eastAsia="Calibri"/>
          <w:sz w:val="26"/>
          <w:szCs w:val="26"/>
        </w:rPr>
      </w:pPr>
      <w:r w:rsidRPr="003C351F">
        <w:rPr>
          <w:rFonts w:eastAsia="Calibri"/>
          <w:sz w:val="26"/>
          <w:szCs w:val="26"/>
        </w:rPr>
        <w:tab/>
      </w:r>
      <w:r w:rsidRPr="003C351F">
        <w:rPr>
          <w:rFonts w:eastAsia="Calibri"/>
          <w:sz w:val="26"/>
          <w:szCs w:val="26"/>
        </w:rPr>
        <w:tab/>
        <w:t xml:space="preserve">Before the Pennsylvania Public Utility Commission (Commission) for consideration and disposition </w:t>
      </w:r>
      <w:r w:rsidR="003331CB">
        <w:rPr>
          <w:rFonts w:eastAsia="Calibri"/>
          <w:sz w:val="26"/>
          <w:szCs w:val="26"/>
        </w:rPr>
        <w:t xml:space="preserve">are the </w:t>
      </w:r>
      <w:r w:rsidR="008043F2">
        <w:rPr>
          <w:rFonts w:eastAsia="Calibri"/>
          <w:sz w:val="26"/>
          <w:szCs w:val="26"/>
        </w:rPr>
        <w:t xml:space="preserve">Joint </w:t>
      </w:r>
      <w:r w:rsidR="003331CB">
        <w:rPr>
          <w:rFonts w:eastAsia="Calibri"/>
          <w:sz w:val="26"/>
          <w:szCs w:val="26"/>
        </w:rPr>
        <w:t xml:space="preserve">Exceptions filed on October 15, 2018, by </w:t>
      </w:r>
      <w:r w:rsidR="008043F2">
        <w:rPr>
          <w:sz w:val="26"/>
          <w:szCs w:val="26"/>
        </w:rPr>
        <w:t xml:space="preserve">Shipley Choice, LLC, Dominion Retail, Inc., and Interstate Gas Supply, Inc. (hereinafter collectively referred to as </w:t>
      </w:r>
      <w:r w:rsidR="008043F2" w:rsidRPr="00436D11">
        <w:rPr>
          <w:sz w:val="26"/>
          <w:szCs w:val="26"/>
        </w:rPr>
        <w:t>the NGS Parties</w:t>
      </w:r>
      <w:r w:rsidR="008043F2">
        <w:rPr>
          <w:sz w:val="26"/>
          <w:szCs w:val="26"/>
        </w:rPr>
        <w:t>)</w:t>
      </w:r>
      <w:r w:rsidR="003331CB">
        <w:rPr>
          <w:rFonts w:eastAsia="Calibri"/>
          <w:sz w:val="26"/>
          <w:szCs w:val="26"/>
        </w:rPr>
        <w:t xml:space="preserve"> to </w:t>
      </w:r>
      <w:r w:rsidRPr="003C351F">
        <w:rPr>
          <w:rFonts w:eastAsia="Calibri"/>
          <w:sz w:val="26"/>
          <w:szCs w:val="26"/>
        </w:rPr>
        <w:t xml:space="preserve">the Recommended Decision </w:t>
      </w:r>
      <w:r w:rsidR="00384E91" w:rsidRPr="003C351F">
        <w:rPr>
          <w:rFonts w:eastAsia="Calibri"/>
          <w:sz w:val="26"/>
          <w:szCs w:val="26"/>
        </w:rPr>
        <w:t xml:space="preserve">(R.D.) </w:t>
      </w:r>
      <w:r w:rsidRPr="003C351F">
        <w:rPr>
          <w:rFonts w:eastAsia="Calibri"/>
          <w:sz w:val="26"/>
          <w:szCs w:val="26"/>
        </w:rPr>
        <w:t xml:space="preserve">of Administrative Law Judge (ALJ) </w:t>
      </w:r>
      <w:r w:rsidR="00151A03">
        <w:rPr>
          <w:rFonts w:eastAsia="Calibri"/>
          <w:sz w:val="26"/>
          <w:szCs w:val="26"/>
        </w:rPr>
        <w:t>Jeffrey A. Watson</w:t>
      </w:r>
      <w:r w:rsidRPr="003C351F">
        <w:rPr>
          <w:rFonts w:eastAsia="Calibri"/>
          <w:sz w:val="26"/>
          <w:szCs w:val="26"/>
        </w:rPr>
        <w:t xml:space="preserve">, </w:t>
      </w:r>
      <w:r w:rsidR="00265F33">
        <w:rPr>
          <w:rFonts w:eastAsia="Calibri"/>
          <w:sz w:val="26"/>
          <w:szCs w:val="26"/>
        </w:rPr>
        <w:t>issued</w:t>
      </w:r>
      <w:r w:rsidRPr="003C351F">
        <w:rPr>
          <w:rFonts w:eastAsia="Calibri"/>
          <w:sz w:val="26"/>
          <w:szCs w:val="26"/>
        </w:rPr>
        <w:t xml:space="preserve"> on </w:t>
      </w:r>
      <w:r w:rsidR="00151A03">
        <w:rPr>
          <w:rFonts w:eastAsia="Calibri"/>
          <w:sz w:val="26"/>
          <w:szCs w:val="26"/>
        </w:rPr>
        <w:t xml:space="preserve">September </w:t>
      </w:r>
      <w:r w:rsidR="00323666">
        <w:rPr>
          <w:rFonts w:eastAsia="Calibri"/>
          <w:sz w:val="26"/>
          <w:szCs w:val="26"/>
        </w:rPr>
        <w:t>2</w:t>
      </w:r>
      <w:r w:rsidR="00151A03">
        <w:rPr>
          <w:rFonts w:eastAsia="Calibri"/>
          <w:sz w:val="26"/>
          <w:szCs w:val="26"/>
        </w:rPr>
        <w:t>8, 2018</w:t>
      </w:r>
      <w:r w:rsidRPr="003C351F">
        <w:rPr>
          <w:rFonts w:eastAsia="Calibri"/>
          <w:sz w:val="26"/>
          <w:szCs w:val="26"/>
        </w:rPr>
        <w:t xml:space="preserve">, </w:t>
      </w:r>
      <w:r w:rsidR="00432A61">
        <w:rPr>
          <w:rFonts w:eastAsia="Calibri"/>
          <w:sz w:val="26"/>
          <w:szCs w:val="26"/>
        </w:rPr>
        <w:t xml:space="preserve">in the above-captioned proceedings wherein he </w:t>
      </w:r>
      <w:r w:rsidR="00FD0E30">
        <w:rPr>
          <w:rFonts w:eastAsia="Calibri"/>
          <w:sz w:val="26"/>
          <w:szCs w:val="26"/>
        </w:rPr>
        <w:t>recommend</w:t>
      </w:r>
      <w:r w:rsidR="00432A61">
        <w:rPr>
          <w:rFonts w:eastAsia="Calibri"/>
          <w:sz w:val="26"/>
          <w:szCs w:val="26"/>
        </w:rPr>
        <w:t xml:space="preserve">ed </w:t>
      </w:r>
      <w:r w:rsidR="00FD0E30">
        <w:rPr>
          <w:rFonts w:eastAsia="Calibri"/>
          <w:sz w:val="26"/>
          <w:szCs w:val="26"/>
        </w:rPr>
        <w:t>adoption</w:t>
      </w:r>
      <w:r w:rsidR="00432A61">
        <w:rPr>
          <w:rFonts w:eastAsia="Calibri"/>
          <w:sz w:val="26"/>
          <w:szCs w:val="26"/>
        </w:rPr>
        <w:t>,</w:t>
      </w:r>
      <w:r w:rsidR="00992442" w:rsidRPr="00992442">
        <w:rPr>
          <w:rFonts w:eastAsia="Calibri"/>
          <w:sz w:val="26"/>
          <w:szCs w:val="26"/>
        </w:rPr>
        <w:t xml:space="preserve"> </w:t>
      </w:r>
      <w:r w:rsidR="00992442">
        <w:rPr>
          <w:rFonts w:eastAsia="Calibri"/>
          <w:sz w:val="26"/>
          <w:szCs w:val="26"/>
        </w:rPr>
        <w:t>without modification</w:t>
      </w:r>
      <w:r w:rsidR="00432A61">
        <w:rPr>
          <w:rFonts w:eastAsia="Calibri"/>
          <w:sz w:val="26"/>
          <w:szCs w:val="26"/>
        </w:rPr>
        <w:t>,</w:t>
      </w:r>
      <w:r w:rsidR="00FD0E30">
        <w:rPr>
          <w:rFonts w:eastAsia="Calibri"/>
          <w:sz w:val="26"/>
          <w:szCs w:val="26"/>
        </w:rPr>
        <w:t xml:space="preserve"> of the </w:t>
      </w:r>
      <w:r w:rsidR="00436D11">
        <w:rPr>
          <w:rFonts w:eastAsia="Calibri"/>
          <w:sz w:val="26"/>
          <w:szCs w:val="26"/>
        </w:rPr>
        <w:t xml:space="preserve">terms </w:t>
      </w:r>
      <w:r w:rsidR="001D61AC">
        <w:rPr>
          <w:rFonts w:eastAsia="Calibri"/>
          <w:sz w:val="26"/>
          <w:szCs w:val="26"/>
        </w:rPr>
        <w:t xml:space="preserve">and conditions </w:t>
      </w:r>
      <w:r w:rsidR="00436D11">
        <w:rPr>
          <w:rFonts w:eastAsia="Calibri"/>
          <w:sz w:val="26"/>
          <w:szCs w:val="26"/>
        </w:rPr>
        <w:t xml:space="preserve">of the </w:t>
      </w:r>
      <w:r w:rsidR="00FD0E30">
        <w:rPr>
          <w:rFonts w:eastAsia="Calibri"/>
          <w:sz w:val="26"/>
          <w:szCs w:val="26"/>
        </w:rPr>
        <w:t xml:space="preserve">Joint </w:t>
      </w:r>
      <w:r w:rsidR="00436D11">
        <w:rPr>
          <w:rFonts w:eastAsia="Calibri"/>
          <w:sz w:val="26"/>
          <w:szCs w:val="26"/>
        </w:rPr>
        <w:t>Petition for</w:t>
      </w:r>
      <w:r w:rsidR="00FD0E30">
        <w:rPr>
          <w:rFonts w:eastAsia="Calibri"/>
          <w:sz w:val="26"/>
          <w:szCs w:val="26"/>
        </w:rPr>
        <w:t xml:space="preserve"> Partial Settlement</w:t>
      </w:r>
      <w:r w:rsidR="00B32188">
        <w:rPr>
          <w:rFonts w:eastAsia="Calibri"/>
          <w:sz w:val="26"/>
          <w:szCs w:val="26"/>
        </w:rPr>
        <w:t xml:space="preserve"> (Joint </w:t>
      </w:r>
      <w:r w:rsidR="00DC5FEC">
        <w:rPr>
          <w:rFonts w:eastAsia="Calibri"/>
          <w:sz w:val="26"/>
          <w:szCs w:val="26"/>
        </w:rPr>
        <w:t>Petition or Partial Settlement)</w:t>
      </w:r>
      <w:r w:rsidR="008E7046">
        <w:rPr>
          <w:rFonts w:eastAsia="Calibri"/>
          <w:sz w:val="26"/>
          <w:szCs w:val="26"/>
        </w:rPr>
        <w:t xml:space="preserve"> </w:t>
      </w:r>
      <w:r w:rsidR="00330E6C" w:rsidRPr="003C351F">
        <w:rPr>
          <w:sz w:val="26"/>
          <w:szCs w:val="26"/>
        </w:rPr>
        <w:t xml:space="preserve">filed </w:t>
      </w:r>
      <w:r w:rsidR="00287F4B">
        <w:rPr>
          <w:sz w:val="26"/>
          <w:szCs w:val="26"/>
        </w:rPr>
        <w:t>by the Joint Petitioners</w:t>
      </w:r>
      <w:r w:rsidR="00287F4B">
        <w:rPr>
          <w:rStyle w:val="FootnoteReference"/>
          <w:sz w:val="26"/>
          <w:szCs w:val="26"/>
        </w:rPr>
        <w:footnoteReference w:id="2"/>
      </w:r>
      <w:r w:rsidR="00287F4B">
        <w:rPr>
          <w:sz w:val="26"/>
          <w:szCs w:val="26"/>
        </w:rPr>
        <w:t xml:space="preserve"> </w:t>
      </w:r>
      <w:r w:rsidR="00330E6C" w:rsidRPr="003C351F">
        <w:rPr>
          <w:sz w:val="26"/>
          <w:szCs w:val="26"/>
        </w:rPr>
        <w:t xml:space="preserve">on </w:t>
      </w:r>
      <w:r w:rsidR="00661028">
        <w:rPr>
          <w:sz w:val="26"/>
          <w:szCs w:val="26"/>
        </w:rPr>
        <w:t>August 31, 2018</w:t>
      </w:r>
      <w:r w:rsidR="0066508A">
        <w:rPr>
          <w:sz w:val="26"/>
          <w:szCs w:val="26"/>
        </w:rPr>
        <w:t xml:space="preserve">.  The </w:t>
      </w:r>
      <w:r w:rsidR="00DC5FEC">
        <w:rPr>
          <w:sz w:val="26"/>
          <w:szCs w:val="26"/>
        </w:rPr>
        <w:t>Partial Settlement</w:t>
      </w:r>
      <w:r w:rsidR="00436D11">
        <w:rPr>
          <w:sz w:val="26"/>
          <w:szCs w:val="26"/>
        </w:rPr>
        <w:t xml:space="preserve"> </w:t>
      </w:r>
      <w:r w:rsidR="0066508A">
        <w:rPr>
          <w:sz w:val="26"/>
          <w:szCs w:val="26"/>
        </w:rPr>
        <w:t xml:space="preserve">proposes to </w:t>
      </w:r>
      <w:r w:rsidR="00436D11">
        <w:rPr>
          <w:sz w:val="26"/>
          <w:szCs w:val="26"/>
        </w:rPr>
        <w:t>resolv</w:t>
      </w:r>
      <w:r w:rsidR="0066508A">
        <w:rPr>
          <w:sz w:val="26"/>
          <w:szCs w:val="26"/>
        </w:rPr>
        <w:t>e</w:t>
      </w:r>
      <w:r w:rsidR="00436D11">
        <w:rPr>
          <w:sz w:val="26"/>
          <w:szCs w:val="26"/>
        </w:rPr>
        <w:t xml:space="preserve"> all issues related to the rate proceeding and preserv</w:t>
      </w:r>
      <w:r w:rsidR="0066508A">
        <w:rPr>
          <w:sz w:val="26"/>
          <w:szCs w:val="26"/>
        </w:rPr>
        <w:t>e</w:t>
      </w:r>
      <w:r w:rsidR="004C7583">
        <w:rPr>
          <w:sz w:val="26"/>
          <w:szCs w:val="26"/>
        </w:rPr>
        <w:t>s</w:t>
      </w:r>
      <w:r w:rsidR="00436D11">
        <w:rPr>
          <w:sz w:val="26"/>
          <w:szCs w:val="26"/>
        </w:rPr>
        <w:t xml:space="preserve"> as a separate matter, a claim </w:t>
      </w:r>
      <w:r w:rsidR="000B6B38">
        <w:rPr>
          <w:sz w:val="26"/>
          <w:szCs w:val="26"/>
        </w:rPr>
        <w:t xml:space="preserve">against </w:t>
      </w:r>
      <w:r w:rsidR="003331CB">
        <w:rPr>
          <w:sz w:val="26"/>
          <w:szCs w:val="26"/>
        </w:rPr>
        <w:t xml:space="preserve">Columbia </w:t>
      </w:r>
      <w:r w:rsidR="00436D11">
        <w:rPr>
          <w:sz w:val="26"/>
          <w:szCs w:val="26"/>
        </w:rPr>
        <w:t xml:space="preserve">for </w:t>
      </w:r>
      <w:r w:rsidR="003331CB">
        <w:rPr>
          <w:sz w:val="26"/>
          <w:szCs w:val="26"/>
        </w:rPr>
        <w:t xml:space="preserve">an alleged </w:t>
      </w:r>
      <w:r w:rsidR="00436D11">
        <w:rPr>
          <w:sz w:val="26"/>
          <w:szCs w:val="26"/>
        </w:rPr>
        <w:t xml:space="preserve">violation of Section 1502 of the </w:t>
      </w:r>
      <w:r w:rsidR="0028247A">
        <w:rPr>
          <w:sz w:val="26"/>
          <w:szCs w:val="26"/>
        </w:rPr>
        <w:t>Code</w:t>
      </w:r>
      <w:r w:rsidR="0066508A">
        <w:rPr>
          <w:sz w:val="26"/>
          <w:szCs w:val="26"/>
        </w:rPr>
        <w:t>, 66 Pa</w:t>
      </w:r>
      <w:r w:rsidR="00436D11">
        <w:rPr>
          <w:sz w:val="26"/>
          <w:szCs w:val="26"/>
        </w:rPr>
        <w:t>.</w:t>
      </w:r>
      <w:r w:rsidR="0066508A">
        <w:rPr>
          <w:sz w:val="26"/>
          <w:szCs w:val="26"/>
        </w:rPr>
        <w:t>C.S. § 1502 (Code).</w:t>
      </w:r>
      <w:r w:rsidR="00162094">
        <w:rPr>
          <w:sz w:val="26"/>
          <w:szCs w:val="26"/>
        </w:rPr>
        <w:t xml:space="preserve">  </w:t>
      </w:r>
      <w:r w:rsidR="00162094">
        <w:rPr>
          <w:rFonts w:eastAsia="Calibri"/>
          <w:sz w:val="26"/>
          <w:szCs w:val="26"/>
        </w:rPr>
        <w:t xml:space="preserve">The ALJ further recommends denial </w:t>
      </w:r>
      <w:r w:rsidR="003555A9">
        <w:rPr>
          <w:rFonts w:eastAsia="Calibri"/>
          <w:sz w:val="26"/>
          <w:szCs w:val="26"/>
        </w:rPr>
        <w:t xml:space="preserve">of </w:t>
      </w:r>
      <w:r w:rsidR="005F764C">
        <w:rPr>
          <w:rFonts w:eastAsia="Calibri"/>
          <w:sz w:val="26"/>
          <w:szCs w:val="26"/>
        </w:rPr>
        <w:t xml:space="preserve">the claim </w:t>
      </w:r>
      <w:r w:rsidR="00162094">
        <w:rPr>
          <w:rFonts w:eastAsia="Calibri"/>
          <w:sz w:val="26"/>
          <w:szCs w:val="26"/>
        </w:rPr>
        <w:t xml:space="preserve">by </w:t>
      </w:r>
      <w:r w:rsidR="00D11EEF">
        <w:rPr>
          <w:rFonts w:eastAsia="Calibri"/>
          <w:sz w:val="26"/>
          <w:szCs w:val="26"/>
        </w:rPr>
        <w:t xml:space="preserve">the NGS Parties </w:t>
      </w:r>
      <w:r w:rsidR="00162094">
        <w:rPr>
          <w:rFonts w:eastAsia="Calibri"/>
          <w:sz w:val="26"/>
          <w:szCs w:val="26"/>
        </w:rPr>
        <w:t xml:space="preserve">that Columbia discriminates in provision of service regarding billing in violation of Section 1502 of the Code. </w:t>
      </w:r>
      <w:r w:rsidR="00162094" w:rsidRPr="003C351F">
        <w:rPr>
          <w:sz w:val="26"/>
          <w:szCs w:val="26"/>
        </w:rPr>
        <w:t xml:space="preserve"> </w:t>
      </w:r>
      <w:r w:rsidR="00162094" w:rsidRPr="003C351F">
        <w:rPr>
          <w:rFonts w:eastAsia="Calibri"/>
          <w:sz w:val="26"/>
          <w:szCs w:val="26"/>
        </w:rPr>
        <w:t>Replies to Exceptions</w:t>
      </w:r>
      <w:r w:rsidR="003331CB">
        <w:rPr>
          <w:rFonts w:eastAsia="Calibri"/>
          <w:sz w:val="26"/>
          <w:szCs w:val="26"/>
        </w:rPr>
        <w:t xml:space="preserve"> were filed by </w:t>
      </w:r>
      <w:r w:rsidR="008043F2">
        <w:rPr>
          <w:rFonts w:eastAsia="Calibri"/>
          <w:sz w:val="26"/>
          <w:szCs w:val="26"/>
        </w:rPr>
        <w:t>Columbia</w:t>
      </w:r>
      <w:r w:rsidR="00323666">
        <w:rPr>
          <w:rFonts w:eastAsia="Calibri"/>
          <w:sz w:val="26"/>
          <w:szCs w:val="26"/>
        </w:rPr>
        <w:t xml:space="preserve"> and</w:t>
      </w:r>
      <w:r w:rsidR="008043F2">
        <w:rPr>
          <w:rFonts w:eastAsia="Calibri"/>
          <w:sz w:val="26"/>
          <w:szCs w:val="26"/>
        </w:rPr>
        <w:t xml:space="preserve"> the Office of Consumer Advocate (OCA) on October 25, 2018.</w:t>
      </w:r>
      <w:r w:rsidR="00CE78BF">
        <w:rPr>
          <w:rFonts w:eastAsia="Calibri"/>
          <w:sz w:val="26"/>
          <w:szCs w:val="26"/>
        </w:rPr>
        <w:t xml:space="preserve">  </w:t>
      </w:r>
      <w:r w:rsidR="00992442">
        <w:rPr>
          <w:rFonts w:eastAsia="Calibri"/>
          <w:sz w:val="26"/>
          <w:szCs w:val="26"/>
        </w:rPr>
        <w:t xml:space="preserve">The Exceptions and Replies </w:t>
      </w:r>
      <w:r w:rsidR="00CE78BF">
        <w:rPr>
          <w:rFonts w:eastAsia="Calibri"/>
          <w:sz w:val="26"/>
          <w:szCs w:val="26"/>
        </w:rPr>
        <w:t xml:space="preserve">to Exceptions </w:t>
      </w:r>
      <w:r w:rsidR="00992442">
        <w:rPr>
          <w:rFonts w:eastAsia="Calibri"/>
          <w:sz w:val="26"/>
          <w:szCs w:val="26"/>
        </w:rPr>
        <w:t xml:space="preserve">pertain exclusively to the </w:t>
      </w:r>
      <w:r w:rsidR="00C57DAE">
        <w:rPr>
          <w:rFonts w:eastAsia="Calibri"/>
          <w:sz w:val="26"/>
          <w:szCs w:val="26"/>
        </w:rPr>
        <w:t xml:space="preserve">sole issue </w:t>
      </w:r>
      <w:r w:rsidR="00413100">
        <w:rPr>
          <w:rFonts w:eastAsia="Calibri"/>
          <w:sz w:val="26"/>
          <w:szCs w:val="26"/>
        </w:rPr>
        <w:t xml:space="preserve">preserved </w:t>
      </w:r>
      <w:r w:rsidR="00C57DAE">
        <w:rPr>
          <w:rFonts w:eastAsia="Calibri"/>
          <w:sz w:val="26"/>
          <w:szCs w:val="26"/>
        </w:rPr>
        <w:t>as a separate matter</w:t>
      </w:r>
      <w:r w:rsidR="0066508A">
        <w:rPr>
          <w:rFonts w:eastAsia="Calibri"/>
          <w:sz w:val="26"/>
          <w:szCs w:val="26"/>
        </w:rPr>
        <w:t xml:space="preserve"> for litigation</w:t>
      </w:r>
      <w:r w:rsidR="00D20127">
        <w:rPr>
          <w:rFonts w:eastAsia="Calibri"/>
          <w:sz w:val="26"/>
          <w:szCs w:val="26"/>
        </w:rPr>
        <w:t xml:space="preserve"> that was </w:t>
      </w:r>
      <w:r w:rsidR="00C57DAE">
        <w:rPr>
          <w:rFonts w:eastAsia="Calibri"/>
          <w:sz w:val="26"/>
          <w:szCs w:val="26"/>
        </w:rPr>
        <w:t xml:space="preserve">unresolved </w:t>
      </w:r>
      <w:r w:rsidR="00992442">
        <w:rPr>
          <w:rFonts w:eastAsia="Calibri"/>
          <w:sz w:val="26"/>
          <w:szCs w:val="26"/>
        </w:rPr>
        <w:t xml:space="preserve">by the </w:t>
      </w:r>
      <w:r w:rsidR="00DC5FEC">
        <w:rPr>
          <w:rFonts w:eastAsia="Calibri"/>
          <w:sz w:val="26"/>
          <w:szCs w:val="26"/>
        </w:rPr>
        <w:t>Partial Settlement</w:t>
      </w:r>
      <w:r w:rsidR="00D20127">
        <w:rPr>
          <w:rFonts w:eastAsia="Calibri"/>
          <w:sz w:val="26"/>
          <w:szCs w:val="26"/>
        </w:rPr>
        <w:t xml:space="preserve">, </w:t>
      </w:r>
      <w:r w:rsidR="00D20127" w:rsidRPr="00D20127">
        <w:rPr>
          <w:rFonts w:eastAsia="Calibri"/>
          <w:i/>
          <w:sz w:val="26"/>
          <w:szCs w:val="26"/>
        </w:rPr>
        <w:t>i.e.</w:t>
      </w:r>
      <w:r w:rsidR="00D20127">
        <w:rPr>
          <w:rFonts w:eastAsia="Calibri"/>
          <w:sz w:val="26"/>
          <w:szCs w:val="26"/>
        </w:rPr>
        <w:t xml:space="preserve">, </w:t>
      </w:r>
      <w:r w:rsidR="00992442">
        <w:rPr>
          <w:rFonts w:eastAsia="Calibri"/>
          <w:sz w:val="26"/>
          <w:szCs w:val="26"/>
        </w:rPr>
        <w:t xml:space="preserve">the claim raised by </w:t>
      </w:r>
      <w:r w:rsidR="00413100">
        <w:rPr>
          <w:rFonts w:eastAsia="Calibri"/>
          <w:sz w:val="26"/>
          <w:szCs w:val="26"/>
        </w:rPr>
        <w:t xml:space="preserve">the </w:t>
      </w:r>
      <w:r w:rsidR="00D11EEF">
        <w:rPr>
          <w:rFonts w:eastAsia="Calibri"/>
          <w:sz w:val="26"/>
          <w:szCs w:val="26"/>
        </w:rPr>
        <w:t xml:space="preserve">NGS Parties </w:t>
      </w:r>
      <w:r w:rsidR="00992442">
        <w:rPr>
          <w:rFonts w:eastAsia="Calibri"/>
          <w:sz w:val="26"/>
          <w:szCs w:val="26"/>
        </w:rPr>
        <w:t xml:space="preserve">that </w:t>
      </w:r>
      <w:r w:rsidR="00413100">
        <w:rPr>
          <w:rFonts w:eastAsia="Calibri"/>
          <w:sz w:val="26"/>
          <w:szCs w:val="26"/>
        </w:rPr>
        <w:t xml:space="preserve">a Columbia billing </w:t>
      </w:r>
      <w:r w:rsidR="00992442">
        <w:rPr>
          <w:rFonts w:eastAsia="Calibri"/>
          <w:sz w:val="26"/>
          <w:szCs w:val="26"/>
        </w:rPr>
        <w:t>practice violates the prohibition on discrimination in provision of service under Section 1502 of the Code.</w:t>
      </w:r>
    </w:p>
    <w:p w14:paraId="54B54851" w14:textId="77777777" w:rsidR="00802EFC" w:rsidRPr="003C351F" w:rsidRDefault="00802EFC" w:rsidP="002E6D96">
      <w:pPr>
        <w:widowControl/>
        <w:spacing w:line="360" w:lineRule="auto"/>
        <w:contextualSpacing/>
        <w:rPr>
          <w:rFonts w:eastAsia="Calibri"/>
          <w:sz w:val="26"/>
          <w:szCs w:val="26"/>
        </w:rPr>
      </w:pPr>
    </w:p>
    <w:p w14:paraId="49A422DE" w14:textId="4DC3A67C" w:rsidR="009F7083" w:rsidRDefault="00802EFC" w:rsidP="002E6D96">
      <w:pPr>
        <w:widowControl/>
        <w:spacing w:line="360" w:lineRule="auto"/>
        <w:ind w:firstLine="1440"/>
        <w:rPr>
          <w:sz w:val="26"/>
          <w:szCs w:val="26"/>
        </w:rPr>
      </w:pPr>
      <w:r w:rsidRPr="003C351F">
        <w:rPr>
          <w:sz w:val="26"/>
          <w:szCs w:val="26"/>
        </w:rPr>
        <w:lastRenderedPageBreak/>
        <w:t xml:space="preserve">For the reasons stated, </w:t>
      </w:r>
      <w:r w:rsidRPr="003C351F">
        <w:rPr>
          <w:i/>
          <w:sz w:val="26"/>
          <w:szCs w:val="26"/>
        </w:rPr>
        <w:t>infra</w:t>
      </w:r>
      <w:r w:rsidRPr="003C351F">
        <w:rPr>
          <w:sz w:val="26"/>
          <w:szCs w:val="26"/>
        </w:rPr>
        <w:t xml:space="preserve">, we shall </w:t>
      </w:r>
      <w:r w:rsidR="00AD40A6">
        <w:rPr>
          <w:sz w:val="26"/>
          <w:szCs w:val="26"/>
        </w:rPr>
        <w:t xml:space="preserve">grant, in part, the Exceptions of the NGS Parties </w:t>
      </w:r>
      <w:r w:rsidR="00C21CCC">
        <w:rPr>
          <w:sz w:val="26"/>
          <w:szCs w:val="26"/>
        </w:rPr>
        <w:t xml:space="preserve">pertaining to the sole issue left unresolved by the terms of the Partial Settlement and </w:t>
      </w:r>
      <w:r w:rsidR="00AD40A6">
        <w:rPr>
          <w:sz w:val="26"/>
          <w:szCs w:val="26"/>
        </w:rPr>
        <w:t>a</w:t>
      </w:r>
      <w:r w:rsidR="00D060BD" w:rsidRPr="003C351F">
        <w:rPr>
          <w:sz w:val="26"/>
          <w:szCs w:val="26"/>
        </w:rPr>
        <w:t xml:space="preserve">dopt the </w:t>
      </w:r>
      <w:r w:rsidR="00AD40A6">
        <w:rPr>
          <w:sz w:val="26"/>
          <w:szCs w:val="26"/>
        </w:rPr>
        <w:t>ALJ’s Recommended Decision</w:t>
      </w:r>
      <w:r w:rsidR="00C21CCC">
        <w:rPr>
          <w:sz w:val="26"/>
          <w:szCs w:val="26"/>
        </w:rPr>
        <w:t xml:space="preserve">, as modified, to approve the </w:t>
      </w:r>
      <w:r w:rsidR="00C57DAE">
        <w:rPr>
          <w:sz w:val="26"/>
          <w:szCs w:val="26"/>
        </w:rPr>
        <w:t xml:space="preserve">terms and conditions of the </w:t>
      </w:r>
      <w:r w:rsidR="00D060BD" w:rsidRPr="003C351F">
        <w:rPr>
          <w:sz w:val="26"/>
          <w:szCs w:val="26"/>
        </w:rPr>
        <w:t xml:space="preserve">Joint </w:t>
      </w:r>
      <w:r w:rsidR="00C57DAE">
        <w:rPr>
          <w:sz w:val="26"/>
          <w:szCs w:val="26"/>
        </w:rPr>
        <w:t>Petition</w:t>
      </w:r>
      <w:r w:rsidR="00FC6268">
        <w:rPr>
          <w:sz w:val="26"/>
          <w:szCs w:val="26"/>
        </w:rPr>
        <w:t xml:space="preserve"> for Partial Settlement</w:t>
      </w:r>
      <w:r w:rsidR="00DF5CF8">
        <w:rPr>
          <w:sz w:val="26"/>
          <w:szCs w:val="26"/>
        </w:rPr>
        <w:t xml:space="preserve"> </w:t>
      </w:r>
      <w:r w:rsidR="0042294B">
        <w:rPr>
          <w:sz w:val="26"/>
          <w:szCs w:val="26"/>
        </w:rPr>
        <w:t xml:space="preserve">resolving all issues pertaining to the rate proceeding </w:t>
      </w:r>
      <w:r w:rsidR="00DF5CF8">
        <w:rPr>
          <w:sz w:val="26"/>
          <w:szCs w:val="26"/>
        </w:rPr>
        <w:t>without modification</w:t>
      </w:r>
      <w:r w:rsidR="00C21CCC">
        <w:rPr>
          <w:sz w:val="26"/>
          <w:szCs w:val="26"/>
        </w:rPr>
        <w:t>, consistent with this Opinion and Order</w:t>
      </w:r>
      <w:r w:rsidR="00D060BD" w:rsidRPr="003C351F">
        <w:rPr>
          <w:sz w:val="26"/>
          <w:szCs w:val="26"/>
        </w:rPr>
        <w:t xml:space="preserve">.  </w:t>
      </w:r>
      <w:r w:rsidR="00E162D4">
        <w:rPr>
          <w:sz w:val="26"/>
          <w:szCs w:val="26"/>
        </w:rPr>
        <w:t xml:space="preserve">Accordingly, as discussed </w:t>
      </w:r>
      <w:r w:rsidR="00E162D4">
        <w:rPr>
          <w:i/>
          <w:sz w:val="26"/>
          <w:szCs w:val="26"/>
        </w:rPr>
        <w:t>infra</w:t>
      </w:r>
      <w:r w:rsidR="00E162D4">
        <w:rPr>
          <w:sz w:val="26"/>
          <w:szCs w:val="26"/>
        </w:rPr>
        <w:t xml:space="preserve">, we conclude </w:t>
      </w:r>
      <w:r w:rsidR="00B06D3F">
        <w:rPr>
          <w:sz w:val="26"/>
          <w:szCs w:val="26"/>
        </w:rPr>
        <w:t xml:space="preserve">that </w:t>
      </w:r>
      <w:r w:rsidR="00AE1DA5">
        <w:rPr>
          <w:sz w:val="26"/>
          <w:szCs w:val="26"/>
        </w:rPr>
        <w:t xml:space="preserve">Columbia’s billing practice </w:t>
      </w:r>
      <w:r w:rsidR="00D17ED0">
        <w:rPr>
          <w:sz w:val="26"/>
          <w:szCs w:val="26"/>
        </w:rPr>
        <w:t xml:space="preserve">offering </w:t>
      </w:r>
      <w:r w:rsidR="008B2F2E">
        <w:rPr>
          <w:sz w:val="26"/>
          <w:szCs w:val="26"/>
        </w:rPr>
        <w:t xml:space="preserve">third parties </w:t>
      </w:r>
      <w:r w:rsidR="00467202">
        <w:rPr>
          <w:sz w:val="26"/>
          <w:szCs w:val="26"/>
        </w:rPr>
        <w:t>“</w:t>
      </w:r>
      <w:r w:rsidR="00D17ED0">
        <w:rPr>
          <w:sz w:val="26"/>
          <w:szCs w:val="26"/>
        </w:rPr>
        <w:t>on billing</w:t>
      </w:r>
      <w:r w:rsidR="00467202">
        <w:rPr>
          <w:sz w:val="26"/>
          <w:szCs w:val="26"/>
        </w:rPr>
        <w:t>”</w:t>
      </w:r>
      <w:r w:rsidR="00D17ED0">
        <w:rPr>
          <w:sz w:val="26"/>
          <w:szCs w:val="26"/>
        </w:rPr>
        <w:t xml:space="preserve"> for non-commodity</w:t>
      </w:r>
      <w:r w:rsidR="00A47CE1">
        <w:rPr>
          <w:sz w:val="26"/>
          <w:szCs w:val="26"/>
        </w:rPr>
        <w:t xml:space="preserve"> service provided by </w:t>
      </w:r>
      <w:r w:rsidR="008B2F2E">
        <w:rPr>
          <w:sz w:val="26"/>
          <w:szCs w:val="26"/>
        </w:rPr>
        <w:t xml:space="preserve">third parties </w:t>
      </w:r>
      <w:r w:rsidR="00AE1DA5">
        <w:rPr>
          <w:sz w:val="26"/>
          <w:szCs w:val="26"/>
        </w:rPr>
        <w:t xml:space="preserve">is subject to the Commission’s jurisdiction </w:t>
      </w:r>
      <w:r w:rsidR="00A95AD6">
        <w:rPr>
          <w:sz w:val="26"/>
          <w:szCs w:val="26"/>
        </w:rPr>
        <w:t xml:space="preserve">under Section 1502 of the Code, </w:t>
      </w:r>
      <w:r w:rsidR="00E162D4">
        <w:rPr>
          <w:sz w:val="26"/>
          <w:szCs w:val="26"/>
        </w:rPr>
        <w:t xml:space="preserve">which </w:t>
      </w:r>
      <w:r w:rsidR="00AE1DA5">
        <w:rPr>
          <w:sz w:val="26"/>
          <w:szCs w:val="26"/>
        </w:rPr>
        <w:t>prohibit</w:t>
      </w:r>
      <w:r w:rsidR="00E162D4">
        <w:rPr>
          <w:sz w:val="26"/>
          <w:szCs w:val="26"/>
        </w:rPr>
        <w:t>s</w:t>
      </w:r>
      <w:r w:rsidR="00A95AD6">
        <w:rPr>
          <w:sz w:val="26"/>
          <w:szCs w:val="26"/>
        </w:rPr>
        <w:t xml:space="preserve"> </w:t>
      </w:r>
      <w:r w:rsidR="00AE1DA5">
        <w:rPr>
          <w:sz w:val="26"/>
          <w:szCs w:val="26"/>
        </w:rPr>
        <w:t>discrimination in</w:t>
      </w:r>
      <w:r w:rsidR="00E162D4">
        <w:rPr>
          <w:sz w:val="26"/>
          <w:szCs w:val="26"/>
        </w:rPr>
        <w:t xml:space="preserve"> the</w:t>
      </w:r>
      <w:r w:rsidR="00AE1DA5">
        <w:rPr>
          <w:sz w:val="26"/>
          <w:szCs w:val="26"/>
        </w:rPr>
        <w:t xml:space="preserve"> provision of service</w:t>
      </w:r>
      <w:r w:rsidR="00C67A69">
        <w:rPr>
          <w:sz w:val="26"/>
          <w:szCs w:val="26"/>
        </w:rPr>
        <w:t xml:space="preserve">, and </w:t>
      </w:r>
      <w:r w:rsidR="00E162D4">
        <w:rPr>
          <w:sz w:val="26"/>
          <w:szCs w:val="26"/>
        </w:rPr>
        <w:t xml:space="preserve">we shall therefore </w:t>
      </w:r>
      <w:r w:rsidR="00C67A69">
        <w:rPr>
          <w:sz w:val="26"/>
          <w:szCs w:val="26"/>
        </w:rPr>
        <w:t xml:space="preserve">require Columbia </w:t>
      </w:r>
      <w:r w:rsidR="00E162D4">
        <w:rPr>
          <w:sz w:val="26"/>
          <w:szCs w:val="26"/>
        </w:rPr>
        <w:t xml:space="preserve">to </w:t>
      </w:r>
      <w:r w:rsidR="00C67A69">
        <w:rPr>
          <w:sz w:val="26"/>
          <w:szCs w:val="26"/>
        </w:rPr>
        <w:t xml:space="preserve">take action to conform </w:t>
      </w:r>
      <w:r w:rsidR="000803B8">
        <w:rPr>
          <w:sz w:val="26"/>
          <w:szCs w:val="26"/>
        </w:rPr>
        <w:t>its</w:t>
      </w:r>
      <w:r w:rsidR="00C67A69">
        <w:rPr>
          <w:sz w:val="26"/>
          <w:szCs w:val="26"/>
        </w:rPr>
        <w:t xml:space="preserve"> billing </w:t>
      </w:r>
      <w:r w:rsidR="000803B8">
        <w:rPr>
          <w:sz w:val="26"/>
          <w:szCs w:val="26"/>
        </w:rPr>
        <w:t>practice</w:t>
      </w:r>
      <w:r w:rsidR="00C67A69">
        <w:rPr>
          <w:sz w:val="26"/>
          <w:szCs w:val="26"/>
        </w:rPr>
        <w:t xml:space="preserve"> </w:t>
      </w:r>
      <w:r w:rsidR="00E162D4">
        <w:rPr>
          <w:sz w:val="26"/>
          <w:szCs w:val="26"/>
        </w:rPr>
        <w:t xml:space="preserve">in accordance </w:t>
      </w:r>
      <w:r w:rsidR="00C67A69">
        <w:rPr>
          <w:sz w:val="26"/>
          <w:szCs w:val="26"/>
        </w:rPr>
        <w:t>with Section 15</w:t>
      </w:r>
      <w:bookmarkStart w:id="2" w:name="_Toc522887309"/>
      <w:bookmarkStart w:id="3" w:name="_Toc524347669"/>
      <w:r w:rsidR="00C67A69">
        <w:rPr>
          <w:sz w:val="26"/>
          <w:szCs w:val="26"/>
        </w:rPr>
        <w:t>02.</w:t>
      </w:r>
    </w:p>
    <w:p w14:paraId="38DA7784" w14:textId="77777777" w:rsidR="000B5D2A" w:rsidRPr="003C351F" w:rsidRDefault="000B5D2A" w:rsidP="002E6D96">
      <w:pPr>
        <w:widowControl/>
        <w:spacing w:line="360" w:lineRule="auto"/>
        <w:ind w:firstLine="1440"/>
        <w:rPr>
          <w:b/>
          <w:bCs/>
          <w:sz w:val="26"/>
          <w:szCs w:val="26"/>
        </w:rPr>
      </w:pPr>
    </w:p>
    <w:p w14:paraId="3027C6C4" w14:textId="77777777" w:rsidR="00802EFC" w:rsidRDefault="00BB0BBE" w:rsidP="002E6D96">
      <w:pPr>
        <w:pStyle w:val="Heading1"/>
        <w:keepLines/>
        <w:numPr>
          <w:ilvl w:val="0"/>
          <w:numId w:val="0"/>
        </w:numPr>
      </w:pPr>
      <w:bookmarkStart w:id="4" w:name="_Toc531076117"/>
      <w:r>
        <w:t>I.</w:t>
      </w:r>
      <w:r>
        <w:tab/>
      </w:r>
      <w:r w:rsidR="00802EFC" w:rsidRPr="003C351F">
        <w:t>Background</w:t>
      </w:r>
      <w:bookmarkEnd w:id="2"/>
      <w:bookmarkEnd w:id="3"/>
      <w:bookmarkEnd w:id="4"/>
    </w:p>
    <w:p w14:paraId="01010F72" w14:textId="77777777" w:rsidR="00FA4DFE" w:rsidRPr="002B1D7C" w:rsidRDefault="00FA4DFE" w:rsidP="002E6D96">
      <w:pPr>
        <w:keepNext/>
        <w:keepLines/>
        <w:widowControl/>
        <w:spacing w:line="360" w:lineRule="auto"/>
        <w:ind w:firstLine="1440"/>
        <w:rPr>
          <w:b/>
          <w:sz w:val="26"/>
        </w:rPr>
      </w:pPr>
    </w:p>
    <w:p w14:paraId="20BA2B68" w14:textId="67E15E94" w:rsidR="00703EA8" w:rsidRPr="003C351F" w:rsidRDefault="00FA4DFE" w:rsidP="002E6D96">
      <w:pPr>
        <w:widowControl/>
        <w:spacing w:line="360" w:lineRule="auto"/>
        <w:contextualSpacing/>
        <w:rPr>
          <w:sz w:val="26"/>
          <w:szCs w:val="26"/>
        </w:rPr>
      </w:pPr>
      <w:r>
        <w:rPr>
          <w:sz w:val="26"/>
          <w:szCs w:val="26"/>
        </w:rPr>
        <w:tab/>
      </w:r>
      <w:r>
        <w:rPr>
          <w:sz w:val="26"/>
          <w:szCs w:val="26"/>
        </w:rPr>
        <w:tab/>
      </w:r>
      <w:r w:rsidRPr="00FA4DFE">
        <w:rPr>
          <w:sz w:val="26"/>
          <w:szCs w:val="26"/>
        </w:rPr>
        <w:t>Columbia is a public utility and natural gas distribution company (NGDC) as those terms are defined in Sections 102 and 2202 of the Code, 66 Pa.</w:t>
      </w:r>
      <w:r w:rsidR="007669A2">
        <w:rPr>
          <w:sz w:val="26"/>
          <w:szCs w:val="26"/>
        </w:rPr>
        <w:t xml:space="preserve"> </w:t>
      </w:r>
      <w:r w:rsidRPr="00FA4DFE">
        <w:rPr>
          <w:sz w:val="26"/>
          <w:szCs w:val="26"/>
        </w:rPr>
        <w:t>C.S. §§ 102, 2202.  Columbia provides natural gas distribution, sales, transportation, and/or supplier of last resort services to approximately 426,000 retail customers in portions of 26 counties of Pennsylvania.</w:t>
      </w:r>
    </w:p>
    <w:p w14:paraId="212007F4" w14:textId="77777777" w:rsidR="00703EA8" w:rsidRDefault="00703EA8" w:rsidP="002E6D96">
      <w:pPr>
        <w:widowControl/>
        <w:spacing w:line="360" w:lineRule="auto"/>
        <w:ind w:firstLine="1440"/>
        <w:rPr>
          <w:sz w:val="26"/>
          <w:szCs w:val="26"/>
        </w:rPr>
      </w:pPr>
    </w:p>
    <w:p w14:paraId="64DDF271" w14:textId="189D4EB1" w:rsidR="00945BA1" w:rsidRDefault="00945BA1" w:rsidP="002E6D96">
      <w:pPr>
        <w:widowControl/>
        <w:spacing w:line="360" w:lineRule="auto"/>
        <w:ind w:firstLine="1440"/>
        <w:rPr>
          <w:sz w:val="26"/>
          <w:szCs w:val="26"/>
        </w:rPr>
      </w:pPr>
      <w:r>
        <w:rPr>
          <w:sz w:val="26"/>
          <w:szCs w:val="26"/>
        </w:rPr>
        <w:t xml:space="preserve">Columbia originally sought an increase to its annual operating revenues of approximately $46.9 million.  Under the </w:t>
      </w:r>
      <w:r w:rsidR="00DC5FEC">
        <w:rPr>
          <w:sz w:val="26"/>
          <w:szCs w:val="26"/>
        </w:rPr>
        <w:t>Partial Settlement</w:t>
      </w:r>
      <w:r>
        <w:rPr>
          <w:sz w:val="26"/>
          <w:szCs w:val="26"/>
        </w:rPr>
        <w:t>, t</w:t>
      </w:r>
      <w:r w:rsidRPr="001067E3">
        <w:rPr>
          <w:sz w:val="26"/>
          <w:szCs w:val="26"/>
        </w:rPr>
        <w:t xml:space="preserve">he Joint Petitioners have </w:t>
      </w:r>
      <w:r>
        <w:rPr>
          <w:sz w:val="26"/>
          <w:szCs w:val="26"/>
        </w:rPr>
        <w:t xml:space="preserve">agreed upon a lesser increase in </w:t>
      </w:r>
      <w:r w:rsidRPr="001067E3">
        <w:rPr>
          <w:sz w:val="26"/>
          <w:szCs w:val="26"/>
        </w:rPr>
        <w:t>rates designed to produce an additional $26.0 million in annual base rate operating revenues</w:t>
      </w:r>
      <w:r>
        <w:rPr>
          <w:sz w:val="26"/>
          <w:szCs w:val="26"/>
        </w:rPr>
        <w:t xml:space="preserve"> which equates to </w:t>
      </w:r>
      <w:r w:rsidRPr="001067E3">
        <w:rPr>
          <w:sz w:val="26"/>
          <w:szCs w:val="26"/>
        </w:rPr>
        <w:t xml:space="preserve">an increase in </w:t>
      </w:r>
      <w:r>
        <w:rPr>
          <w:sz w:val="26"/>
          <w:szCs w:val="26"/>
        </w:rPr>
        <w:t xml:space="preserve">Columbia’s </w:t>
      </w:r>
      <w:r w:rsidRPr="001067E3">
        <w:rPr>
          <w:sz w:val="26"/>
          <w:szCs w:val="26"/>
        </w:rPr>
        <w:t>existing base rate operating revenues of approximately 4.52%, instead of the 8.16% increase</w:t>
      </w:r>
      <w:r>
        <w:rPr>
          <w:sz w:val="26"/>
          <w:szCs w:val="26"/>
        </w:rPr>
        <w:t xml:space="preserve"> originally sought</w:t>
      </w:r>
      <w:r w:rsidRPr="001067E3">
        <w:rPr>
          <w:sz w:val="26"/>
          <w:szCs w:val="26"/>
        </w:rPr>
        <w:t xml:space="preserve">.  </w:t>
      </w:r>
      <w:r>
        <w:rPr>
          <w:sz w:val="26"/>
          <w:szCs w:val="26"/>
        </w:rPr>
        <w:t xml:space="preserve">Similarly, </w:t>
      </w:r>
      <w:bookmarkStart w:id="5" w:name="_Hlk531049225"/>
      <w:r>
        <w:rPr>
          <w:sz w:val="26"/>
          <w:szCs w:val="26"/>
        </w:rPr>
        <w:t>the monthly bill of a</w:t>
      </w:r>
      <w:r w:rsidRPr="001067E3">
        <w:rPr>
          <w:sz w:val="26"/>
          <w:szCs w:val="26"/>
        </w:rPr>
        <w:t xml:space="preserve"> typical residential customer using 70 t</w:t>
      </w:r>
      <w:r>
        <w:rPr>
          <w:sz w:val="26"/>
          <w:szCs w:val="26"/>
        </w:rPr>
        <w:t>h</w:t>
      </w:r>
      <w:r w:rsidRPr="001067E3">
        <w:rPr>
          <w:sz w:val="26"/>
          <w:szCs w:val="26"/>
        </w:rPr>
        <w:t xml:space="preserve">erms of gas per month will </w:t>
      </w:r>
      <w:r w:rsidR="00365794" w:rsidRPr="001067E3">
        <w:rPr>
          <w:sz w:val="26"/>
          <w:szCs w:val="26"/>
        </w:rPr>
        <w:t>increase</w:t>
      </w:r>
      <w:r w:rsidR="00365794">
        <w:rPr>
          <w:sz w:val="26"/>
          <w:szCs w:val="26"/>
        </w:rPr>
        <w:t xml:space="preserve"> by</w:t>
      </w:r>
      <w:r>
        <w:rPr>
          <w:sz w:val="26"/>
          <w:szCs w:val="26"/>
        </w:rPr>
        <w:t xml:space="preserve"> $4.11,</w:t>
      </w:r>
      <w:r w:rsidRPr="001067E3">
        <w:rPr>
          <w:sz w:val="26"/>
          <w:szCs w:val="26"/>
        </w:rPr>
        <w:t xml:space="preserve"> from $91.63 to $95.74, or by 4.49%, </w:t>
      </w:r>
      <w:r>
        <w:rPr>
          <w:sz w:val="26"/>
          <w:szCs w:val="26"/>
        </w:rPr>
        <w:t xml:space="preserve">rather than the originally proposed increase of $8.25, </w:t>
      </w:r>
      <w:r w:rsidRPr="001067E3">
        <w:rPr>
          <w:sz w:val="26"/>
          <w:szCs w:val="26"/>
        </w:rPr>
        <w:t>from $91.63 to $99.88 per month, or 9</w:t>
      </w:r>
      <w:r>
        <w:rPr>
          <w:sz w:val="26"/>
          <w:szCs w:val="26"/>
        </w:rPr>
        <w:t>%.</w:t>
      </w:r>
      <w:bookmarkEnd w:id="5"/>
    </w:p>
    <w:p w14:paraId="31AAD698" w14:textId="77777777" w:rsidR="00F2483A" w:rsidRPr="003C351F" w:rsidRDefault="00F2483A" w:rsidP="002E6D96">
      <w:pPr>
        <w:widowControl/>
        <w:spacing w:line="360" w:lineRule="auto"/>
        <w:ind w:right="144" w:firstLine="1440"/>
        <w:contextualSpacing/>
        <w:textAlignment w:val="baseline"/>
        <w:rPr>
          <w:color w:val="000000"/>
          <w:sz w:val="26"/>
          <w:szCs w:val="26"/>
        </w:rPr>
      </w:pPr>
    </w:p>
    <w:p w14:paraId="01F758D8" w14:textId="08992609" w:rsidR="00E96ABF" w:rsidRDefault="00E84C0A" w:rsidP="002E6D96">
      <w:pPr>
        <w:widowControl/>
        <w:spacing w:line="360" w:lineRule="auto"/>
        <w:ind w:right="72" w:firstLine="1440"/>
        <w:contextualSpacing/>
        <w:textAlignment w:val="baseline"/>
        <w:rPr>
          <w:color w:val="000000"/>
          <w:sz w:val="26"/>
          <w:szCs w:val="26"/>
        </w:rPr>
      </w:pPr>
      <w:r>
        <w:rPr>
          <w:sz w:val="26"/>
          <w:szCs w:val="26"/>
        </w:rPr>
        <w:lastRenderedPageBreak/>
        <w:t xml:space="preserve">Columbia’s </w:t>
      </w:r>
      <w:r w:rsidRPr="001067E3">
        <w:rPr>
          <w:sz w:val="26"/>
          <w:szCs w:val="26"/>
        </w:rPr>
        <w:t>Accounting Deferral Petition</w:t>
      </w:r>
      <w:r w:rsidR="0031416C">
        <w:rPr>
          <w:sz w:val="26"/>
          <w:szCs w:val="26"/>
        </w:rPr>
        <w:t xml:space="preserve"> at Docket No. </w:t>
      </w:r>
      <w:r w:rsidR="0031416C" w:rsidRPr="0031416C">
        <w:rPr>
          <w:sz w:val="26"/>
          <w:szCs w:val="26"/>
        </w:rPr>
        <w:t>P-2018-2641257</w:t>
      </w:r>
      <w:r w:rsidR="00D249B8">
        <w:rPr>
          <w:sz w:val="26"/>
          <w:szCs w:val="26"/>
        </w:rPr>
        <w:t>, also resolved by</w:t>
      </w:r>
      <w:r w:rsidR="00034E85">
        <w:rPr>
          <w:sz w:val="26"/>
          <w:szCs w:val="26"/>
        </w:rPr>
        <w:t xml:space="preserve"> the </w:t>
      </w:r>
      <w:r w:rsidR="00DC5FEC">
        <w:rPr>
          <w:sz w:val="26"/>
          <w:szCs w:val="26"/>
        </w:rPr>
        <w:t>Partial Settlement</w:t>
      </w:r>
      <w:r w:rsidR="00D249B8">
        <w:rPr>
          <w:sz w:val="26"/>
          <w:szCs w:val="26"/>
        </w:rPr>
        <w:t xml:space="preserve">, </w:t>
      </w:r>
      <w:r w:rsidR="0031416C">
        <w:rPr>
          <w:sz w:val="26"/>
          <w:szCs w:val="26"/>
        </w:rPr>
        <w:t xml:space="preserve">sought </w:t>
      </w:r>
      <w:r w:rsidRPr="001067E3">
        <w:rPr>
          <w:sz w:val="26"/>
          <w:szCs w:val="26"/>
        </w:rPr>
        <w:t>Commission approval to defer, for accounting and financial reporting purposes only, the Company’s prepayment of $8.45 Million to the NiSource, Inc. Pension Plan, made on January 5, 2017.</w:t>
      </w:r>
    </w:p>
    <w:p w14:paraId="0917FEDC" w14:textId="77777777" w:rsidR="00E96ABF" w:rsidRPr="003C351F" w:rsidRDefault="00E96ABF" w:rsidP="002E6D96">
      <w:pPr>
        <w:widowControl/>
        <w:spacing w:line="360" w:lineRule="auto"/>
        <w:ind w:right="72" w:firstLine="1440"/>
        <w:contextualSpacing/>
        <w:textAlignment w:val="baseline"/>
        <w:rPr>
          <w:color w:val="000000"/>
          <w:sz w:val="26"/>
          <w:szCs w:val="26"/>
        </w:rPr>
      </w:pPr>
    </w:p>
    <w:p w14:paraId="7898EDBA" w14:textId="77777777" w:rsidR="001C2BF8" w:rsidRPr="00BB0BBE" w:rsidRDefault="00BB0BBE" w:rsidP="002E6D96">
      <w:pPr>
        <w:keepNext/>
        <w:keepLines/>
        <w:widowControl/>
        <w:spacing w:line="360" w:lineRule="auto"/>
        <w:jc w:val="center"/>
        <w:outlineLvl w:val="0"/>
        <w:rPr>
          <w:b/>
          <w:sz w:val="26"/>
          <w:szCs w:val="26"/>
        </w:rPr>
      </w:pPr>
      <w:bookmarkStart w:id="6" w:name="_Toc531076118"/>
      <w:r>
        <w:rPr>
          <w:b/>
          <w:sz w:val="26"/>
          <w:szCs w:val="26"/>
        </w:rPr>
        <w:t>II.</w:t>
      </w:r>
      <w:r>
        <w:rPr>
          <w:b/>
          <w:sz w:val="26"/>
          <w:szCs w:val="26"/>
        </w:rPr>
        <w:tab/>
      </w:r>
      <w:r w:rsidR="001C2BF8" w:rsidRPr="00BB0BBE">
        <w:rPr>
          <w:b/>
          <w:sz w:val="26"/>
          <w:szCs w:val="26"/>
        </w:rPr>
        <w:t>History of Proceeding</w:t>
      </w:r>
      <w:bookmarkEnd w:id="6"/>
    </w:p>
    <w:p w14:paraId="1DE4E50F" w14:textId="77777777" w:rsidR="008C3B05" w:rsidRPr="003C351F" w:rsidRDefault="008C3B05" w:rsidP="002E6D96">
      <w:pPr>
        <w:pStyle w:val="ListParagraph"/>
        <w:keepNext/>
        <w:keepLines/>
        <w:widowControl/>
        <w:spacing w:line="360" w:lineRule="auto"/>
        <w:ind w:left="0"/>
        <w:jc w:val="center"/>
        <w:outlineLvl w:val="0"/>
        <w:rPr>
          <w:b/>
          <w:sz w:val="26"/>
          <w:szCs w:val="26"/>
        </w:rPr>
      </w:pPr>
    </w:p>
    <w:p w14:paraId="71343BC0" w14:textId="77777777" w:rsidR="00E94066" w:rsidRDefault="007669A2" w:rsidP="002E6D96">
      <w:pPr>
        <w:widowControl/>
        <w:spacing w:line="360" w:lineRule="auto"/>
        <w:ind w:firstLine="1440"/>
        <w:rPr>
          <w:sz w:val="26"/>
          <w:szCs w:val="26"/>
        </w:rPr>
      </w:pPr>
      <w:r>
        <w:rPr>
          <w:sz w:val="26"/>
          <w:szCs w:val="26"/>
        </w:rPr>
        <w:t xml:space="preserve">The following history of the proceeding has been gleaned from the </w:t>
      </w:r>
      <w:r w:rsidR="00DC5FEC">
        <w:rPr>
          <w:sz w:val="26"/>
          <w:szCs w:val="26"/>
        </w:rPr>
        <w:t>Partial Settlement</w:t>
      </w:r>
      <w:r>
        <w:rPr>
          <w:sz w:val="26"/>
          <w:szCs w:val="26"/>
        </w:rPr>
        <w:t>.</w:t>
      </w:r>
    </w:p>
    <w:p w14:paraId="7BE523A4" w14:textId="77777777" w:rsidR="007669A2" w:rsidRPr="001067E3" w:rsidRDefault="007669A2" w:rsidP="002E6D96">
      <w:pPr>
        <w:widowControl/>
        <w:spacing w:line="360" w:lineRule="auto"/>
        <w:ind w:firstLine="1440"/>
        <w:rPr>
          <w:sz w:val="26"/>
          <w:szCs w:val="26"/>
        </w:rPr>
      </w:pPr>
    </w:p>
    <w:p w14:paraId="20954430" w14:textId="77B6F9CA" w:rsidR="00E94066" w:rsidRDefault="00E94066" w:rsidP="002E6D96">
      <w:pPr>
        <w:widowControl/>
        <w:spacing w:line="360" w:lineRule="auto"/>
        <w:ind w:firstLine="1440"/>
        <w:rPr>
          <w:sz w:val="26"/>
          <w:szCs w:val="26"/>
        </w:rPr>
      </w:pPr>
      <w:r w:rsidRPr="001067E3">
        <w:rPr>
          <w:sz w:val="26"/>
          <w:szCs w:val="26"/>
        </w:rPr>
        <w:t>On March 15, 2018, the Pennsylvania Public Utility Commission (Commission) issued an order at Docket No. M-2018-2641242, establishing the then-current rates of certain public utilities as temporary rates, in response to the Tax Cuts and Jobs Act of 2017, Pub. L. No. 115-97, 131 Stat. 2054 (TCJA).</w:t>
      </w:r>
      <w:r w:rsidR="00E96ABF">
        <w:rPr>
          <w:rStyle w:val="FootnoteReference"/>
          <w:sz w:val="26"/>
          <w:szCs w:val="26"/>
        </w:rPr>
        <w:footnoteReference w:id="3"/>
      </w:r>
    </w:p>
    <w:p w14:paraId="1965B7C9" w14:textId="77777777" w:rsidR="00E94066" w:rsidRPr="001067E3" w:rsidRDefault="00E94066" w:rsidP="002E6D96">
      <w:pPr>
        <w:widowControl/>
        <w:spacing w:line="360" w:lineRule="auto"/>
        <w:ind w:firstLine="1440"/>
        <w:rPr>
          <w:sz w:val="26"/>
          <w:szCs w:val="26"/>
        </w:rPr>
      </w:pPr>
    </w:p>
    <w:p w14:paraId="6E486565" w14:textId="5AF3AE72" w:rsidR="00E94066" w:rsidRPr="001067E3" w:rsidRDefault="00E94066" w:rsidP="002E6D96">
      <w:pPr>
        <w:widowControl/>
        <w:spacing w:line="360" w:lineRule="auto"/>
        <w:ind w:firstLine="1440"/>
        <w:rPr>
          <w:sz w:val="26"/>
          <w:szCs w:val="26"/>
        </w:rPr>
      </w:pPr>
      <w:r w:rsidRPr="001067E3">
        <w:rPr>
          <w:sz w:val="26"/>
          <w:szCs w:val="26"/>
        </w:rPr>
        <w:t xml:space="preserve">On March 16, 2018, Columbia Gas of Pennsylvania, Inc. filed Supplement No. 267 to its Tariff Gas – Pa. P.U.C. No. 9 (Supplement No. 267) with the Commission </w:t>
      </w:r>
      <w:r w:rsidR="006E4AB2">
        <w:rPr>
          <w:sz w:val="26"/>
          <w:szCs w:val="26"/>
        </w:rPr>
        <w:t xml:space="preserve">to become effective on </w:t>
      </w:r>
      <w:r w:rsidRPr="001067E3">
        <w:rPr>
          <w:sz w:val="26"/>
          <w:szCs w:val="26"/>
        </w:rPr>
        <w:t>May 15, 2018</w:t>
      </w:r>
      <w:r w:rsidR="006E4AB2">
        <w:rPr>
          <w:sz w:val="26"/>
          <w:szCs w:val="26"/>
        </w:rPr>
        <w:t>.</w:t>
      </w:r>
      <w:r w:rsidRPr="001067E3">
        <w:rPr>
          <w:sz w:val="26"/>
          <w:szCs w:val="26"/>
        </w:rPr>
        <w:t xml:space="preserve">  In Supplement No. 267, the Company proposed to increase rates to produce </w:t>
      </w:r>
      <w:r w:rsidR="006E4AB2" w:rsidRPr="001067E3">
        <w:rPr>
          <w:sz w:val="26"/>
          <w:szCs w:val="26"/>
        </w:rPr>
        <w:t>approximately $46.9 million</w:t>
      </w:r>
      <w:r w:rsidR="006E4AB2">
        <w:rPr>
          <w:sz w:val="26"/>
          <w:szCs w:val="26"/>
        </w:rPr>
        <w:t xml:space="preserve"> in a</w:t>
      </w:r>
      <w:r w:rsidRPr="001067E3">
        <w:rPr>
          <w:sz w:val="26"/>
          <w:szCs w:val="26"/>
        </w:rPr>
        <w:t xml:space="preserve">dditional </w:t>
      </w:r>
      <w:r w:rsidR="006E4AB2">
        <w:rPr>
          <w:sz w:val="26"/>
          <w:szCs w:val="26"/>
        </w:rPr>
        <w:t xml:space="preserve">annual operating </w:t>
      </w:r>
      <w:r w:rsidRPr="001067E3">
        <w:rPr>
          <w:sz w:val="26"/>
          <w:szCs w:val="26"/>
        </w:rPr>
        <w:t>revenues</w:t>
      </w:r>
      <w:r w:rsidR="006E4AB2">
        <w:rPr>
          <w:sz w:val="26"/>
          <w:szCs w:val="26"/>
        </w:rPr>
        <w:t xml:space="preserve">, </w:t>
      </w:r>
      <w:r w:rsidRPr="001067E3">
        <w:rPr>
          <w:sz w:val="26"/>
          <w:szCs w:val="26"/>
        </w:rPr>
        <w:t xml:space="preserve">or an 8.16% increase in </w:t>
      </w:r>
      <w:r w:rsidR="006E4AB2">
        <w:rPr>
          <w:sz w:val="26"/>
          <w:szCs w:val="26"/>
        </w:rPr>
        <w:t xml:space="preserve">annual </w:t>
      </w:r>
      <w:r w:rsidRPr="001067E3">
        <w:rPr>
          <w:sz w:val="26"/>
          <w:szCs w:val="26"/>
        </w:rPr>
        <w:t xml:space="preserve">operating revenues based upon a </w:t>
      </w:r>
      <w:r w:rsidRPr="002B1D7C">
        <w:rPr>
          <w:i/>
          <w:sz w:val="26"/>
        </w:rPr>
        <w:t>pro forma</w:t>
      </w:r>
      <w:r w:rsidRPr="001067E3">
        <w:rPr>
          <w:sz w:val="26"/>
          <w:szCs w:val="26"/>
        </w:rPr>
        <w:t xml:space="preserve"> fully projected future test year (FPFTY) ending December 31, 2019.</w:t>
      </w:r>
    </w:p>
    <w:p w14:paraId="6A66C98D" w14:textId="77777777" w:rsidR="00E94066" w:rsidRPr="001067E3" w:rsidRDefault="00E94066" w:rsidP="002E6D96">
      <w:pPr>
        <w:widowControl/>
        <w:spacing w:line="360" w:lineRule="auto"/>
        <w:ind w:firstLine="1440"/>
        <w:rPr>
          <w:sz w:val="26"/>
          <w:szCs w:val="26"/>
        </w:rPr>
      </w:pPr>
    </w:p>
    <w:p w14:paraId="044F1BCA" w14:textId="27831462" w:rsidR="00E94066" w:rsidRPr="001067E3" w:rsidRDefault="00E94066" w:rsidP="002E6D96">
      <w:pPr>
        <w:widowControl/>
        <w:spacing w:line="360" w:lineRule="auto"/>
        <w:ind w:firstLine="1440"/>
        <w:rPr>
          <w:sz w:val="26"/>
          <w:szCs w:val="26"/>
        </w:rPr>
      </w:pPr>
      <w:r w:rsidRPr="001067E3">
        <w:rPr>
          <w:sz w:val="26"/>
          <w:szCs w:val="26"/>
        </w:rPr>
        <w:t xml:space="preserve">On March 20, 2018, the OCA filed a </w:t>
      </w:r>
      <w:r w:rsidR="006E4AB2">
        <w:rPr>
          <w:sz w:val="26"/>
          <w:szCs w:val="26"/>
        </w:rPr>
        <w:t>f</w:t>
      </w:r>
      <w:r w:rsidRPr="001067E3">
        <w:rPr>
          <w:sz w:val="26"/>
          <w:szCs w:val="26"/>
        </w:rPr>
        <w:t xml:space="preserve">ormal </w:t>
      </w:r>
      <w:r w:rsidR="006E4AB2">
        <w:rPr>
          <w:sz w:val="26"/>
          <w:szCs w:val="26"/>
        </w:rPr>
        <w:t>c</w:t>
      </w:r>
      <w:r w:rsidRPr="001067E3">
        <w:rPr>
          <w:sz w:val="26"/>
          <w:szCs w:val="26"/>
        </w:rPr>
        <w:t>omplaint in opposition to the Company’s proposed rate increase at Docket No. C-2018</w:t>
      </w:r>
      <w:r w:rsidR="003555A9">
        <w:rPr>
          <w:sz w:val="26"/>
          <w:szCs w:val="26"/>
        </w:rPr>
        <w:t>-</w:t>
      </w:r>
      <w:r w:rsidRPr="001067E3">
        <w:rPr>
          <w:sz w:val="26"/>
          <w:szCs w:val="26"/>
        </w:rPr>
        <w:t xml:space="preserve">3000582.  On March 22, 2018, I&amp;E filed a Notice of Appearance in this matter.  On March 28, 2018, the OSBA filed a </w:t>
      </w:r>
      <w:r w:rsidR="006E4AB2">
        <w:rPr>
          <w:sz w:val="26"/>
          <w:szCs w:val="26"/>
        </w:rPr>
        <w:t>f</w:t>
      </w:r>
      <w:r w:rsidRPr="001067E3">
        <w:rPr>
          <w:sz w:val="26"/>
          <w:szCs w:val="26"/>
        </w:rPr>
        <w:t xml:space="preserve">ormal </w:t>
      </w:r>
      <w:r w:rsidR="006E4AB2">
        <w:rPr>
          <w:sz w:val="26"/>
          <w:szCs w:val="26"/>
        </w:rPr>
        <w:t>c</w:t>
      </w:r>
      <w:r w:rsidRPr="001067E3">
        <w:rPr>
          <w:sz w:val="26"/>
          <w:szCs w:val="26"/>
        </w:rPr>
        <w:t xml:space="preserve">omplaint at Docket No. C-2018-3000773.  On March 28, 2018, Patricia Southorn </w:t>
      </w:r>
      <w:r w:rsidRPr="001067E3">
        <w:rPr>
          <w:sz w:val="26"/>
          <w:szCs w:val="26"/>
        </w:rPr>
        <w:lastRenderedPageBreak/>
        <w:t>also filed a formal complaint at Docket No. C-2018-3000779.  On March 30, 2018, the NGS Parties filed a Petition to Intervene.  On April 4, 2018, CAAP also filed a Petition to Intervene.  On April 6, 2018, PSU filed a formal complaint at Docket No. C-2018-3001034.  On April 9, 2018, CII filed a formal complaint at Docket No. C</w:t>
      </w:r>
      <w:r w:rsidR="001A1548">
        <w:rPr>
          <w:sz w:val="26"/>
          <w:szCs w:val="26"/>
        </w:rPr>
        <w:noBreakHyphen/>
      </w:r>
      <w:r w:rsidRPr="001067E3">
        <w:rPr>
          <w:sz w:val="26"/>
          <w:szCs w:val="26"/>
        </w:rPr>
        <w:t>2018-3001047.  On April 10, 2018</w:t>
      </w:r>
      <w:r w:rsidR="002E1B98">
        <w:rPr>
          <w:sz w:val="26"/>
          <w:szCs w:val="26"/>
        </w:rPr>
        <w:t xml:space="preserve">, </w:t>
      </w:r>
      <w:r w:rsidRPr="001067E3">
        <w:rPr>
          <w:sz w:val="26"/>
          <w:szCs w:val="26"/>
        </w:rPr>
        <w:t>CAUSE-PA filed a Petition to Intervene.  On April 16, 2018</w:t>
      </w:r>
      <w:r w:rsidR="002E1B98">
        <w:rPr>
          <w:sz w:val="26"/>
          <w:szCs w:val="26"/>
        </w:rPr>
        <w:t xml:space="preserve">, the </w:t>
      </w:r>
      <w:r w:rsidRPr="001067E3">
        <w:rPr>
          <w:sz w:val="26"/>
          <w:szCs w:val="26"/>
        </w:rPr>
        <w:t>Direct Energy</w:t>
      </w:r>
      <w:r w:rsidR="002E1B98">
        <w:rPr>
          <w:sz w:val="26"/>
          <w:szCs w:val="26"/>
        </w:rPr>
        <w:t xml:space="preserve"> Companies</w:t>
      </w:r>
      <w:r w:rsidRPr="001067E3">
        <w:rPr>
          <w:sz w:val="26"/>
          <w:szCs w:val="26"/>
        </w:rPr>
        <w:t xml:space="preserve"> also filed a Petition to Intervene.</w:t>
      </w:r>
    </w:p>
    <w:p w14:paraId="69E9C7A2" w14:textId="77777777" w:rsidR="00E94066" w:rsidRDefault="00E94066" w:rsidP="002E6D96">
      <w:pPr>
        <w:widowControl/>
        <w:spacing w:line="360" w:lineRule="auto"/>
        <w:ind w:firstLine="1440"/>
        <w:rPr>
          <w:sz w:val="26"/>
          <w:szCs w:val="26"/>
        </w:rPr>
      </w:pPr>
    </w:p>
    <w:p w14:paraId="489C74FB" w14:textId="3FFE326D" w:rsidR="00E94066" w:rsidRPr="001067E3" w:rsidRDefault="00E94066" w:rsidP="002E6D96">
      <w:pPr>
        <w:widowControl/>
        <w:spacing w:line="360" w:lineRule="auto"/>
        <w:ind w:firstLine="1440"/>
        <w:rPr>
          <w:sz w:val="26"/>
          <w:szCs w:val="26"/>
        </w:rPr>
      </w:pPr>
      <w:r w:rsidRPr="001067E3">
        <w:rPr>
          <w:sz w:val="26"/>
          <w:szCs w:val="26"/>
        </w:rPr>
        <w:t xml:space="preserve">On April 5, 2018, the Commission entered an Order suspending Supplement No. 267 until December 16, 2018, pursuant to Section 1308(d) of the </w:t>
      </w:r>
      <w:r w:rsidR="0050169C">
        <w:rPr>
          <w:sz w:val="26"/>
          <w:szCs w:val="26"/>
        </w:rPr>
        <w:t>Code</w:t>
      </w:r>
      <w:r w:rsidRPr="001067E3">
        <w:rPr>
          <w:sz w:val="26"/>
          <w:szCs w:val="26"/>
        </w:rPr>
        <w:t>, 66 Pa.</w:t>
      </w:r>
      <w:r w:rsidR="002E1B98">
        <w:rPr>
          <w:sz w:val="26"/>
          <w:szCs w:val="26"/>
        </w:rPr>
        <w:t xml:space="preserve"> </w:t>
      </w:r>
      <w:r w:rsidRPr="001067E3">
        <w:rPr>
          <w:sz w:val="26"/>
          <w:szCs w:val="26"/>
        </w:rPr>
        <w:t xml:space="preserve">C.S. § 1308(d), and initiated an investigation into the lawfulness, justness, and reasonableness of the proposed and existing rates, rules, and regulations.  The Company’s filing was assigned to the Office of Administrative Law Judge (OALJ) </w:t>
      </w:r>
      <w:r w:rsidR="002E1B98">
        <w:rPr>
          <w:sz w:val="26"/>
          <w:szCs w:val="26"/>
        </w:rPr>
        <w:t xml:space="preserve">which assigned </w:t>
      </w:r>
      <w:r w:rsidR="00C1263C">
        <w:rPr>
          <w:sz w:val="26"/>
          <w:szCs w:val="26"/>
        </w:rPr>
        <w:t xml:space="preserve">ALJ </w:t>
      </w:r>
      <w:r w:rsidR="00C430A7">
        <w:rPr>
          <w:sz w:val="26"/>
          <w:szCs w:val="26"/>
        </w:rPr>
        <w:t xml:space="preserve">Jeffrey A. Watson as </w:t>
      </w:r>
      <w:r w:rsidRPr="001067E3">
        <w:rPr>
          <w:sz w:val="26"/>
          <w:szCs w:val="26"/>
        </w:rPr>
        <w:t>presiding officer.</w:t>
      </w:r>
    </w:p>
    <w:p w14:paraId="3540A6F0" w14:textId="77777777" w:rsidR="00E94066" w:rsidRPr="001067E3" w:rsidRDefault="00E94066" w:rsidP="002E6D96">
      <w:pPr>
        <w:widowControl/>
        <w:spacing w:line="360" w:lineRule="auto"/>
        <w:ind w:firstLine="1440"/>
        <w:rPr>
          <w:sz w:val="26"/>
          <w:szCs w:val="26"/>
        </w:rPr>
      </w:pPr>
    </w:p>
    <w:p w14:paraId="0C51124B" w14:textId="33D7F2AE" w:rsidR="00E94066" w:rsidRPr="001067E3" w:rsidRDefault="00E94066" w:rsidP="002E6D96">
      <w:pPr>
        <w:widowControl/>
        <w:spacing w:line="360" w:lineRule="auto"/>
        <w:ind w:firstLine="1440"/>
        <w:rPr>
          <w:sz w:val="26"/>
          <w:szCs w:val="26"/>
        </w:rPr>
      </w:pPr>
      <w:r w:rsidRPr="001067E3">
        <w:rPr>
          <w:sz w:val="26"/>
          <w:szCs w:val="26"/>
        </w:rPr>
        <w:t xml:space="preserve">On April 10, 2018, a Call-In Telephone Hearing Notice was issued </w:t>
      </w:r>
      <w:r w:rsidR="002E1B98">
        <w:rPr>
          <w:sz w:val="26"/>
          <w:szCs w:val="26"/>
        </w:rPr>
        <w:t>to sch</w:t>
      </w:r>
      <w:r w:rsidRPr="001067E3">
        <w:rPr>
          <w:sz w:val="26"/>
          <w:szCs w:val="26"/>
        </w:rPr>
        <w:t>edul</w:t>
      </w:r>
      <w:r w:rsidR="002E1B98">
        <w:rPr>
          <w:sz w:val="26"/>
          <w:szCs w:val="26"/>
        </w:rPr>
        <w:t>e</w:t>
      </w:r>
      <w:r w:rsidRPr="001067E3">
        <w:rPr>
          <w:sz w:val="26"/>
          <w:szCs w:val="26"/>
        </w:rPr>
        <w:t xml:space="preserve"> the Prehearing Conference in this proceeding for April 18, 2018, at 9:00 a.m.  A</w:t>
      </w:r>
      <w:r w:rsidR="002B1D7C">
        <w:rPr>
          <w:sz w:val="26"/>
          <w:szCs w:val="26"/>
        </w:rPr>
        <w:t> </w:t>
      </w:r>
      <w:r w:rsidRPr="001067E3">
        <w:rPr>
          <w:sz w:val="26"/>
          <w:szCs w:val="26"/>
        </w:rPr>
        <w:t xml:space="preserve">Prehearing Conference Order was entered on April 10, 2018, which required the Parties, </w:t>
      </w:r>
      <w:r w:rsidRPr="001067E3">
        <w:rPr>
          <w:i/>
          <w:sz w:val="26"/>
          <w:szCs w:val="26"/>
        </w:rPr>
        <w:t>inter alia</w:t>
      </w:r>
      <w:r w:rsidRPr="001067E3">
        <w:rPr>
          <w:sz w:val="26"/>
          <w:szCs w:val="26"/>
        </w:rPr>
        <w:t xml:space="preserve">, to submit prehearing memoranda.  Prehearing memoranda were submitted by the Company, I&amp;E, </w:t>
      </w:r>
      <w:r w:rsidR="00BB0BBE">
        <w:rPr>
          <w:sz w:val="26"/>
          <w:szCs w:val="26"/>
        </w:rPr>
        <w:t xml:space="preserve">the </w:t>
      </w:r>
      <w:r w:rsidRPr="001067E3">
        <w:rPr>
          <w:sz w:val="26"/>
          <w:szCs w:val="26"/>
        </w:rPr>
        <w:t xml:space="preserve">OCA, </w:t>
      </w:r>
      <w:r w:rsidR="00BB0BBE">
        <w:rPr>
          <w:sz w:val="26"/>
          <w:szCs w:val="26"/>
        </w:rPr>
        <w:t xml:space="preserve">the </w:t>
      </w:r>
      <w:r w:rsidRPr="001067E3">
        <w:rPr>
          <w:sz w:val="26"/>
          <w:szCs w:val="26"/>
        </w:rPr>
        <w:t xml:space="preserve">OSBA, the NGS Parties, CAUSE-PA, CII, </w:t>
      </w:r>
      <w:r w:rsidR="002E1B98">
        <w:rPr>
          <w:sz w:val="26"/>
          <w:szCs w:val="26"/>
        </w:rPr>
        <w:t xml:space="preserve">the </w:t>
      </w:r>
      <w:r w:rsidRPr="001067E3">
        <w:rPr>
          <w:sz w:val="26"/>
          <w:szCs w:val="26"/>
        </w:rPr>
        <w:t>Direct Energy</w:t>
      </w:r>
      <w:r w:rsidR="002E1B98">
        <w:rPr>
          <w:sz w:val="26"/>
          <w:szCs w:val="26"/>
        </w:rPr>
        <w:t xml:space="preserve"> Companies</w:t>
      </w:r>
      <w:r w:rsidRPr="001067E3">
        <w:rPr>
          <w:sz w:val="26"/>
          <w:szCs w:val="26"/>
        </w:rPr>
        <w:t>, and PSU prior to the Prehearing Conference in this proceeding.</w:t>
      </w:r>
    </w:p>
    <w:p w14:paraId="1D377734" w14:textId="77777777" w:rsidR="00E94066" w:rsidRPr="001067E3" w:rsidRDefault="00E94066" w:rsidP="002E6D96">
      <w:pPr>
        <w:widowControl/>
        <w:spacing w:line="360" w:lineRule="auto"/>
        <w:ind w:firstLine="1440"/>
        <w:rPr>
          <w:sz w:val="26"/>
          <w:szCs w:val="26"/>
        </w:rPr>
      </w:pPr>
    </w:p>
    <w:p w14:paraId="73E4C2F4" w14:textId="77777777" w:rsidR="00E94066" w:rsidRPr="001067E3" w:rsidRDefault="00E94066" w:rsidP="002E6D96">
      <w:pPr>
        <w:widowControl/>
        <w:spacing w:line="360" w:lineRule="auto"/>
        <w:ind w:firstLine="1440"/>
        <w:rPr>
          <w:sz w:val="26"/>
          <w:szCs w:val="26"/>
        </w:rPr>
      </w:pPr>
      <w:r w:rsidRPr="001067E3">
        <w:rPr>
          <w:sz w:val="26"/>
          <w:szCs w:val="26"/>
        </w:rPr>
        <w:t xml:space="preserve">A Prehearing Conference was held on April 18, 2018, as scheduled.  Counsel for the Company, I&amp;E, </w:t>
      </w:r>
      <w:r w:rsidR="00BB0BBE">
        <w:rPr>
          <w:sz w:val="26"/>
          <w:szCs w:val="26"/>
        </w:rPr>
        <w:t xml:space="preserve">the </w:t>
      </w:r>
      <w:r w:rsidRPr="001067E3">
        <w:rPr>
          <w:sz w:val="26"/>
          <w:szCs w:val="26"/>
        </w:rPr>
        <w:t xml:space="preserve">OCA, </w:t>
      </w:r>
      <w:r w:rsidR="00BB0BBE">
        <w:rPr>
          <w:sz w:val="26"/>
          <w:szCs w:val="26"/>
        </w:rPr>
        <w:t xml:space="preserve">the </w:t>
      </w:r>
      <w:r w:rsidRPr="001067E3">
        <w:rPr>
          <w:sz w:val="26"/>
          <w:szCs w:val="26"/>
        </w:rPr>
        <w:t xml:space="preserve">OSBA, the NGS Parties, CAUSE-PA, CII, </w:t>
      </w:r>
      <w:r w:rsidR="002E1B98">
        <w:rPr>
          <w:sz w:val="26"/>
          <w:szCs w:val="26"/>
        </w:rPr>
        <w:t>the Direct Energy Companies</w:t>
      </w:r>
      <w:r w:rsidRPr="001067E3">
        <w:rPr>
          <w:sz w:val="26"/>
          <w:szCs w:val="26"/>
        </w:rPr>
        <w:t>, and PSU attended the conference.</w:t>
      </w:r>
    </w:p>
    <w:p w14:paraId="2A180C45" w14:textId="77777777" w:rsidR="00E94066" w:rsidRPr="001067E3" w:rsidRDefault="00E94066" w:rsidP="002E6D96">
      <w:pPr>
        <w:widowControl/>
        <w:spacing w:line="360" w:lineRule="auto"/>
        <w:ind w:firstLine="1440"/>
        <w:rPr>
          <w:sz w:val="26"/>
          <w:szCs w:val="26"/>
        </w:rPr>
      </w:pPr>
    </w:p>
    <w:p w14:paraId="779B6FD5" w14:textId="0658377E" w:rsidR="00E94066" w:rsidRPr="001067E3" w:rsidRDefault="00E94066" w:rsidP="002E6D96">
      <w:pPr>
        <w:widowControl/>
        <w:spacing w:line="360" w:lineRule="auto"/>
        <w:ind w:firstLine="1440"/>
        <w:rPr>
          <w:sz w:val="26"/>
          <w:szCs w:val="26"/>
        </w:rPr>
      </w:pPr>
      <w:r w:rsidRPr="001067E3">
        <w:rPr>
          <w:sz w:val="26"/>
          <w:szCs w:val="26"/>
        </w:rPr>
        <w:t>On April 19, 2018, Columbia filed Supplement No. 274 to Tariff Gas Pa. PUC No. 9, suspending Columbia’s Supplement No. 267 until December 16, 2018.  Joint Petition</w:t>
      </w:r>
      <w:r w:rsidR="007669A2">
        <w:rPr>
          <w:sz w:val="26"/>
          <w:szCs w:val="26"/>
        </w:rPr>
        <w:t xml:space="preserve"> at 5.</w:t>
      </w:r>
    </w:p>
    <w:p w14:paraId="211E2422" w14:textId="77777777" w:rsidR="00E94066" w:rsidRPr="001067E3" w:rsidRDefault="00E94066" w:rsidP="002E6D96">
      <w:pPr>
        <w:widowControl/>
        <w:spacing w:line="360" w:lineRule="auto"/>
        <w:ind w:firstLine="1440"/>
        <w:rPr>
          <w:sz w:val="26"/>
          <w:szCs w:val="26"/>
        </w:rPr>
      </w:pPr>
    </w:p>
    <w:p w14:paraId="1C5CF99B" w14:textId="7B2DDD1A" w:rsidR="00E94066" w:rsidRPr="001067E3" w:rsidRDefault="00E94066" w:rsidP="002E6D96">
      <w:pPr>
        <w:widowControl/>
        <w:spacing w:line="360" w:lineRule="auto"/>
        <w:ind w:firstLine="1440"/>
        <w:rPr>
          <w:sz w:val="26"/>
          <w:szCs w:val="26"/>
        </w:rPr>
      </w:pPr>
      <w:r w:rsidRPr="001067E3">
        <w:rPr>
          <w:sz w:val="26"/>
          <w:szCs w:val="26"/>
        </w:rPr>
        <w:t>On April 20, 2018, Columbia filed supplemental direct testimony, which calculated the effect of the TCJA on Columbia’s 2018 tax liability.  Columbia’s original rate filing had included the prospective effect of the TCJA in calculating Columbia’s proposed revenue requirement.  Joint Petition</w:t>
      </w:r>
      <w:r w:rsidR="007669A2">
        <w:rPr>
          <w:sz w:val="26"/>
          <w:szCs w:val="26"/>
        </w:rPr>
        <w:t xml:space="preserve"> at </w:t>
      </w:r>
      <w:r w:rsidRPr="001067E3">
        <w:rPr>
          <w:sz w:val="26"/>
          <w:szCs w:val="26"/>
        </w:rPr>
        <w:t>4.</w:t>
      </w:r>
    </w:p>
    <w:p w14:paraId="35E06D33" w14:textId="77777777" w:rsidR="00E94066" w:rsidRPr="001067E3" w:rsidRDefault="00E94066" w:rsidP="002E6D96">
      <w:pPr>
        <w:widowControl/>
        <w:spacing w:line="360" w:lineRule="auto"/>
        <w:ind w:firstLine="1440"/>
        <w:rPr>
          <w:sz w:val="26"/>
          <w:szCs w:val="26"/>
        </w:rPr>
      </w:pPr>
    </w:p>
    <w:p w14:paraId="7DCA18B6" w14:textId="77777777" w:rsidR="00C430A7" w:rsidRDefault="00E94066" w:rsidP="002E6D96">
      <w:pPr>
        <w:widowControl/>
        <w:spacing w:line="360" w:lineRule="auto"/>
        <w:ind w:firstLine="1440"/>
        <w:rPr>
          <w:sz w:val="26"/>
          <w:szCs w:val="26"/>
        </w:rPr>
      </w:pPr>
      <w:r w:rsidRPr="001067E3">
        <w:rPr>
          <w:sz w:val="26"/>
          <w:szCs w:val="26"/>
        </w:rPr>
        <w:t xml:space="preserve">On May 1, 2018, </w:t>
      </w:r>
      <w:r w:rsidR="00104BAB">
        <w:rPr>
          <w:sz w:val="26"/>
          <w:szCs w:val="26"/>
        </w:rPr>
        <w:t>ALJ Watson</w:t>
      </w:r>
      <w:r w:rsidRPr="001067E3">
        <w:rPr>
          <w:sz w:val="26"/>
          <w:szCs w:val="26"/>
        </w:rPr>
        <w:t xml:space="preserve"> issued a Prehearing Order that confirmed the litigation schedule established at the Prehearing Conference.  The Prehearing Order also consolidated the </w:t>
      </w:r>
      <w:r w:rsidR="00023F5E">
        <w:rPr>
          <w:sz w:val="26"/>
          <w:szCs w:val="26"/>
        </w:rPr>
        <w:t xml:space="preserve">Company’s </w:t>
      </w:r>
      <w:r w:rsidRPr="001067E3">
        <w:rPr>
          <w:sz w:val="26"/>
          <w:szCs w:val="26"/>
        </w:rPr>
        <w:t xml:space="preserve">Accounting Deferral Petition </w:t>
      </w:r>
      <w:r w:rsidR="00023F5E">
        <w:rPr>
          <w:sz w:val="26"/>
          <w:szCs w:val="26"/>
        </w:rPr>
        <w:t xml:space="preserve">into the </w:t>
      </w:r>
      <w:r w:rsidR="000803B8">
        <w:rPr>
          <w:sz w:val="26"/>
          <w:szCs w:val="26"/>
        </w:rPr>
        <w:t>Company’s</w:t>
      </w:r>
      <w:r w:rsidR="00023F5E">
        <w:rPr>
          <w:sz w:val="26"/>
          <w:szCs w:val="26"/>
        </w:rPr>
        <w:t xml:space="preserve"> </w:t>
      </w:r>
      <w:r w:rsidRPr="001067E3">
        <w:rPr>
          <w:sz w:val="26"/>
          <w:szCs w:val="26"/>
        </w:rPr>
        <w:t>Base Rate Filing</w:t>
      </w:r>
      <w:r w:rsidR="00023F5E">
        <w:rPr>
          <w:sz w:val="26"/>
          <w:szCs w:val="26"/>
        </w:rPr>
        <w:t xml:space="preserve"> at the present docket</w:t>
      </w:r>
      <w:r w:rsidRPr="001067E3">
        <w:rPr>
          <w:sz w:val="26"/>
          <w:szCs w:val="26"/>
        </w:rPr>
        <w:t>.</w:t>
      </w:r>
    </w:p>
    <w:p w14:paraId="4D23007E" w14:textId="77777777" w:rsidR="00C430A7" w:rsidRDefault="00C430A7" w:rsidP="002E6D96">
      <w:pPr>
        <w:widowControl/>
        <w:spacing w:line="360" w:lineRule="auto"/>
        <w:ind w:firstLine="1440"/>
        <w:rPr>
          <w:sz w:val="26"/>
          <w:szCs w:val="26"/>
        </w:rPr>
      </w:pPr>
    </w:p>
    <w:p w14:paraId="52D6BDB6" w14:textId="77777777" w:rsidR="00E94066" w:rsidRPr="001067E3" w:rsidRDefault="00E94066" w:rsidP="002E6D96">
      <w:pPr>
        <w:widowControl/>
        <w:spacing w:line="360" w:lineRule="auto"/>
        <w:ind w:firstLine="1440"/>
        <w:rPr>
          <w:sz w:val="26"/>
          <w:szCs w:val="26"/>
        </w:rPr>
      </w:pPr>
      <w:r w:rsidRPr="001067E3">
        <w:rPr>
          <w:sz w:val="26"/>
          <w:szCs w:val="26"/>
        </w:rPr>
        <w:t>By way of background, on</w:t>
      </w:r>
      <w:r w:rsidRPr="001067E3">
        <w:rPr>
          <w:b/>
          <w:sz w:val="26"/>
          <w:szCs w:val="26"/>
        </w:rPr>
        <w:t xml:space="preserve"> </w:t>
      </w:r>
      <w:r w:rsidRPr="001067E3">
        <w:rPr>
          <w:sz w:val="26"/>
          <w:szCs w:val="26"/>
        </w:rPr>
        <w:t xml:space="preserve">January 5, 2018, at Docket No. P-2018-2641257, Columbia filed its Accounting Deferral Petition, requesting Commission approval to defer, for accounting and financial reporting purposes only, the Company’s prepayment of $8.45 Million to the NiSource, Inc. Pension Plan, made on January 5, 2017.  </w:t>
      </w:r>
      <w:r w:rsidR="00415AFC" w:rsidRPr="001067E3">
        <w:rPr>
          <w:sz w:val="26"/>
          <w:szCs w:val="26"/>
        </w:rPr>
        <w:t xml:space="preserve">In its Accounting Deferral Petition, Columbia sought permission to defer the pension prepayment on its books of account pending a determination of recoverability in Columbia’s next base rate case.  Columbia sought only permission to defer the prepayment </w:t>
      </w:r>
      <w:r w:rsidR="00415AFC" w:rsidRPr="00415AFC">
        <w:rPr>
          <w:i/>
          <w:sz w:val="26"/>
          <w:szCs w:val="26"/>
        </w:rPr>
        <w:t>for accounting purposes</w:t>
      </w:r>
      <w:r w:rsidR="00415AFC" w:rsidRPr="001067E3">
        <w:rPr>
          <w:sz w:val="26"/>
          <w:szCs w:val="26"/>
        </w:rPr>
        <w:t xml:space="preserve"> and did not seek a determination as to rate recovery of the prepayment.</w:t>
      </w:r>
      <w:r w:rsidR="00415AFC">
        <w:rPr>
          <w:sz w:val="26"/>
          <w:szCs w:val="26"/>
        </w:rPr>
        <w:t xml:space="preserve">  </w:t>
      </w:r>
      <w:r w:rsidRPr="001067E3">
        <w:rPr>
          <w:sz w:val="26"/>
          <w:szCs w:val="26"/>
        </w:rPr>
        <w:t xml:space="preserve">The case was assigned to Administrative Law Judge Dunderdale.  On April 6, 2018, the Company filed a motion to consolidate the Accounting Deferral Petition with the base rate proceeding filed at </w:t>
      </w:r>
      <w:r w:rsidR="009B42FA">
        <w:rPr>
          <w:sz w:val="26"/>
          <w:szCs w:val="26"/>
        </w:rPr>
        <w:t xml:space="preserve">this </w:t>
      </w:r>
      <w:r w:rsidR="00415AFC">
        <w:rPr>
          <w:sz w:val="26"/>
          <w:szCs w:val="26"/>
        </w:rPr>
        <w:t xml:space="preserve">docket, </w:t>
      </w:r>
      <w:r w:rsidRPr="001067E3">
        <w:rPr>
          <w:sz w:val="26"/>
          <w:szCs w:val="26"/>
        </w:rPr>
        <w:t>Docket No. R-2018-2647577.</w:t>
      </w:r>
    </w:p>
    <w:p w14:paraId="1338C417" w14:textId="77777777" w:rsidR="00E94066" w:rsidRPr="001067E3" w:rsidRDefault="00E94066" w:rsidP="002E6D96">
      <w:pPr>
        <w:widowControl/>
        <w:spacing w:line="360" w:lineRule="auto"/>
        <w:ind w:firstLine="1440"/>
        <w:rPr>
          <w:sz w:val="26"/>
          <w:szCs w:val="26"/>
        </w:rPr>
      </w:pPr>
    </w:p>
    <w:p w14:paraId="03C75916" w14:textId="5DB46EAF" w:rsidR="00E94066" w:rsidRPr="001067E3" w:rsidRDefault="000803B8" w:rsidP="002E6D96">
      <w:pPr>
        <w:widowControl/>
        <w:spacing w:line="360" w:lineRule="auto"/>
        <w:ind w:firstLine="1440"/>
        <w:rPr>
          <w:sz w:val="26"/>
          <w:szCs w:val="26"/>
        </w:rPr>
      </w:pPr>
      <w:r>
        <w:rPr>
          <w:sz w:val="26"/>
          <w:szCs w:val="26"/>
        </w:rPr>
        <w:t>ALJ</w:t>
      </w:r>
      <w:r w:rsidR="00934B93">
        <w:rPr>
          <w:sz w:val="26"/>
          <w:szCs w:val="26"/>
        </w:rPr>
        <w:t xml:space="preserve"> Watson’s </w:t>
      </w:r>
      <w:r w:rsidR="00E94066" w:rsidRPr="001067E3">
        <w:rPr>
          <w:sz w:val="26"/>
          <w:szCs w:val="26"/>
        </w:rPr>
        <w:t xml:space="preserve">Prehearing Order also consolidated </w:t>
      </w:r>
      <w:r w:rsidR="00934B93">
        <w:rPr>
          <w:sz w:val="26"/>
          <w:szCs w:val="26"/>
        </w:rPr>
        <w:t xml:space="preserve">several </w:t>
      </w:r>
      <w:r w:rsidR="00E94066" w:rsidRPr="001067E3">
        <w:rPr>
          <w:sz w:val="26"/>
          <w:szCs w:val="26"/>
        </w:rPr>
        <w:t>formal complaint</w:t>
      </w:r>
      <w:r w:rsidR="00934B93">
        <w:rPr>
          <w:sz w:val="26"/>
          <w:szCs w:val="26"/>
        </w:rPr>
        <w:t xml:space="preserve">s </w:t>
      </w:r>
      <w:r w:rsidR="009D0118">
        <w:rPr>
          <w:sz w:val="26"/>
          <w:szCs w:val="26"/>
        </w:rPr>
        <w:t>with</w:t>
      </w:r>
      <w:r w:rsidR="007B5455">
        <w:rPr>
          <w:sz w:val="26"/>
          <w:szCs w:val="26"/>
        </w:rPr>
        <w:t xml:space="preserve"> the</w:t>
      </w:r>
      <w:r w:rsidR="007F1903">
        <w:rPr>
          <w:sz w:val="26"/>
          <w:szCs w:val="26"/>
        </w:rPr>
        <w:t xml:space="preserve"> present </w:t>
      </w:r>
      <w:r w:rsidR="007B5455">
        <w:rPr>
          <w:sz w:val="26"/>
          <w:szCs w:val="26"/>
        </w:rPr>
        <w:t>base rate proceeding</w:t>
      </w:r>
      <w:r w:rsidR="007F1903">
        <w:rPr>
          <w:sz w:val="26"/>
          <w:szCs w:val="26"/>
        </w:rPr>
        <w:t>,</w:t>
      </w:r>
      <w:r w:rsidR="007B5455">
        <w:rPr>
          <w:sz w:val="26"/>
          <w:szCs w:val="26"/>
        </w:rPr>
        <w:t xml:space="preserve"> </w:t>
      </w:r>
      <w:r w:rsidR="009D0118">
        <w:rPr>
          <w:sz w:val="26"/>
          <w:szCs w:val="26"/>
        </w:rPr>
        <w:t xml:space="preserve">including: </w:t>
      </w:r>
      <w:r w:rsidR="00BB0BBE">
        <w:rPr>
          <w:sz w:val="26"/>
          <w:szCs w:val="26"/>
        </w:rPr>
        <w:t xml:space="preserve">the </w:t>
      </w:r>
      <w:r w:rsidR="007F1903">
        <w:rPr>
          <w:sz w:val="26"/>
          <w:szCs w:val="26"/>
        </w:rPr>
        <w:t xml:space="preserve">OCA’s </w:t>
      </w:r>
      <w:r w:rsidR="009D0118">
        <w:rPr>
          <w:sz w:val="26"/>
          <w:szCs w:val="26"/>
        </w:rPr>
        <w:t xml:space="preserve">formal complaint </w:t>
      </w:r>
      <w:r w:rsidR="00E94066" w:rsidRPr="001067E3">
        <w:rPr>
          <w:sz w:val="26"/>
          <w:szCs w:val="26"/>
        </w:rPr>
        <w:t>at Docket No. C-2018-3000582</w:t>
      </w:r>
      <w:r w:rsidR="009D0118">
        <w:rPr>
          <w:sz w:val="26"/>
          <w:szCs w:val="26"/>
        </w:rPr>
        <w:t>;</w:t>
      </w:r>
      <w:r w:rsidR="00E94066" w:rsidRPr="001067E3">
        <w:rPr>
          <w:sz w:val="26"/>
          <w:szCs w:val="26"/>
        </w:rPr>
        <w:t xml:space="preserve"> </w:t>
      </w:r>
      <w:r w:rsidR="00BB0BBE">
        <w:rPr>
          <w:sz w:val="26"/>
          <w:szCs w:val="26"/>
        </w:rPr>
        <w:t xml:space="preserve">the </w:t>
      </w:r>
      <w:r w:rsidR="007F1903">
        <w:rPr>
          <w:sz w:val="26"/>
          <w:szCs w:val="26"/>
        </w:rPr>
        <w:t xml:space="preserve">OSBA’s </w:t>
      </w:r>
      <w:r w:rsidR="00E94066" w:rsidRPr="001067E3">
        <w:rPr>
          <w:sz w:val="26"/>
          <w:szCs w:val="26"/>
        </w:rPr>
        <w:t>formal complaint at Docket No. C-2018</w:t>
      </w:r>
      <w:r w:rsidR="003555A9">
        <w:rPr>
          <w:sz w:val="26"/>
          <w:szCs w:val="26"/>
        </w:rPr>
        <w:t>-</w:t>
      </w:r>
      <w:r w:rsidR="00E94066" w:rsidRPr="001067E3">
        <w:rPr>
          <w:sz w:val="26"/>
          <w:szCs w:val="26"/>
        </w:rPr>
        <w:t>3000773</w:t>
      </w:r>
      <w:r w:rsidR="009D0118">
        <w:rPr>
          <w:sz w:val="26"/>
          <w:szCs w:val="26"/>
        </w:rPr>
        <w:t>;</w:t>
      </w:r>
      <w:r w:rsidR="00E94066" w:rsidRPr="001067E3">
        <w:rPr>
          <w:sz w:val="26"/>
          <w:szCs w:val="26"/>
        </w:rPr>
        <w:t xml:space="preserve"> </w:t>
      </w:r>
      <w:r w:rsidR="00C31502">
        <w:rPr>
          <w:sz w:val="26"/>
          <w:szCs w:val="26"/>
        </w:rPr>
        <w:t xml:space="preserve">Patria Southorn’s </w:t>
      </w:r>
      <w:r w:rsidR="00E94066" w:rsidRPr="001067E3">
        <w:rPr>
          <w:sz w:val="26"/>
          <w:szCs w:val="26"/>
        </w:rPr>
        <w:t>formal complaint at Docket No.</w:t>
      </w:r>
      <w:r w:rsidR="00E94066" w:rsidRPr="001067E3">
        <w:rPr>
          <w:b/>
          <w:sz w:val="26"/>
          <w:szCs w:val="26"/>
        </w:rPr>
        <w:t xml:space="preserve"> </w:t>
      </w:r>
      <w:r w:rsidR="00E94066" w:rsidRPr="001067E3">
        <w:rPr>
          <w:sz w:val="26"/>
          <w:szCs w:val="26"/>
        </w:rPr>
        <w:t>C-2018-3000779</w:t>
      </w:r>
      <w:r w:rsidR="00023F5E">
        <w:rPr>
          <w:sz w:val="26"/>
          <w:szCs w:val="26"/>
        </w:rPr>
        <w:t>;</w:t>
      </w:r>
      <w:r w:rsidR="00E94066" w:rsidRPr="001067E3">
        <w:rPr>
          <w:sz w:val="26"/>
          <w:szCs w:val="26"/>
        </w:rPr>
        <w:t xml:space="preserve"> </w:t>
      </w:r>
      <w:r w:rsidR="00C31502">
        <w:rPr>
          <w:sz w:val="26"/>
          <w:szCs w:val="26"/>
        </w:rPr>
        <w:t xml:space="preserve">PSU’s </w:t>
      </w:r>
      <w:r w:rsidR="00E94066" w:rsidRPr="001067E3">
        <w:rPr>
          <w:sz w:val="26"/>
          <w:szCs w:val="26"/>
        </w:rPr>
        <w:t xml:space="preserve">formal complaint </w:t>
      </w:r>
      <w:r w:rsidR="00C31502">
        <w:rPr>
          <w:sz w:val="26"/>
          <w:szCs w:val="26"/>
        </w:rPr>
        <w:t xml:space="preserve">at </w:t>
      </w:r>
      <w:r w:rsidR="00E94066" w:rsidRPr="001067E3">
        <w:rPr>
          <w:sz w:val="26"/>
          <w:szCs w:val="26"/>
        </w:rPr>
        <w:t>Docket No.</w:t>
      </w:r>
      <w:r w:rsidR="00E94066" w:rsidRPr="001067E3">
        <w:rPr>
          <w:b/>
          <w:sz w:val="26"/>
          <w:szCs w:val="26"/>
        </w:rPr>
        <w:t xml:space="preserve"> </w:t>
      </w:r>
      <w:r w:rsidR="00E94066" w:rsidRPr="001067E3">
        <w:rPr>
          <w:sz w:val="26"/>
          <w:szCs w:val="26"/>
        </w:rPr>
        <w:t>C-2018-3001034</w:t>
      </w:r>
      <w:r w:rsidR="00023F5E">
        <w:rPr>
          <w:sz w:val="26"/>
          <w:szCs w:val="26"/>
        </w:rPr>
        <w:t>;</w:t>
      </w:r>
      <w:r w:rsidR="00E94066" w:rsidRPr="001067E3">
        <w:rPr>
          <w:sz w:val="26"/>
          <w:szCs w:val="26"/>
        </w:rPr>
        <w:t xml:space="preserve"> and </w:t>
      </w:r>
      <w:r w:rsidR="00C31502">
        <w:rPr>
          <w:sz w:val="26"/>
          <w:szCs w:val="26"/>
        </w:rPr>
        <w:t xml:space="preserve">CII’s </w:t>
      </w:r>
      <w:r w:rsidR="00E94066" w:rsidRPr="001067E3">
        <w:rPr>
          <w:sz w:val="26"/>
          <w:szCs w:val="26"/>
        </w:rPr>
        <w:t>formal complaint at Docket No.</w:t>
      </w:r>
      <w:r w:rsidR="00345ADD">
        <w:rPr>
          <w:sz w:val="26"/>
          <w:szCs w:val="26"/>
        </w:rPr>
        <w:t> </w:t>
      </w:r>
      <w:r w:rsidR="00E94066" w:rsidRPr="001067E3">
        <w:rPr>
          <w:sz w:val="26"/>
          <w:szCs w:val="26"/>
        </w:rPr>
        <w:t>C</w:t>
      </w:r>
      <w:r w:rsidR="009A4677">
        <w:rPr>
          <w:sz w:val="26"/>
          <w:szCs w:val="26"/>
        </w:rPr>
        <w:noBreakHyphen/>
      </w:r>
      <w:r w:rsidR="00E94066" w:rsidRPr="001067E3">
        <w:rPr>
          <w:sz w:val="26"/>
          <w:szCs w:val="26"/>
        </w:rPr>
        <w:t>2018-3001047</w:t>
      </w:r>
      <w:r w:rsidR="00023F5E">
        <w:rPr>
          <w:sz w:val="26"/>
          <w:szCs w:val="26"/>
        </w:rPr>
        <w:t>.</w:t>
      </w:r>
    </w:p>
    <w:p w14:paraId="11B15359" w14:textId="77777777" w:rsidR="00E94066" w:rsidRPr="001067E3" w:rsidRDefault="00E94066" w:rsidP="002E6D96">
      <w:pPr>
        <w:widowControl/>
        <w:spacing w:line="360" w:lineRule="auto"/>
        <w:ind w:firstLine="1440"/>
        <w:rPr>
          <w:sz w:val="26"/>
          <w:szCs w:val="26"/>
        </w:rPr>
      </w:pPr>
    </w:p>
    <w:p w14:paraId="5AD73334" w14:textId="77777777" w:rsidR="00E94066" w:rsidRPr="001067E3" w:rsidRDefault="00E94066" w:rsidP="002E6D96">
      <w:pPr>
        <w:widowControl/>
        <w:spacing w:line="360" w:lineRule="auto"/>
        <w:ind w:firstLine="1440"/>
        <w:rPr>
          <w:sz w:val="26"/>
          <w:szCs w:val="26"/>
        </w:rPr>
      </w:pPr>
      <w:r w:rsidRPr="001067E3">
        <w:rPr>
          <w:sz w:val="26"/>
          <w:szCs w:val="26"/>
        </w:rPr>
        <w:t xml:space="preserve">On May 2, 2018, Columbia filed a Motion for a Protective Order.  </w:t>
      </w:r>
      <w:r w:rsidR="00E84C0A">
        <w:rPr>
          <w:sz w:val="26"/>
          <w:szCs w:val="26"/>
        </w:rPr>
        <w:t>ALJ Watson</w:t>
      </w:r>
      <w:r w:rsidRPr="001067E3">
        <w:rPr>
          <w:sz w:val="26"/>
          <w:szCs w:val="26"/>
        </w:rPr>
        <w:t xml:space="preserve"> granted Columbia’s Motion and issued the Protective Order on May 9, 2018.</w:t>
      </w:r>
    </w:p>
    <w:p w14:paraId="0CD442BC" w14:textId="77777777" w:rsidR="00E94066" w:rsidRPr="001067E3" w:rsidRDefault="00E94066" w:rsidP="002E6D96">
      <w:pPr>
        <w:widowControl/>
        <w:spacing w:line="360" w:lineRule="auto"/>
        <w:ind w:firstLine="1440"/>
        <w:rPr>
          <w:sz w:val="26"/>
          <w:szCs w:val="26"/>
        </w:rPr>
      </w:pPr>
    </w:p>
    <w:p w14:paraId="4610EEE7" w14:textId="6A133539" w:rsidR="00E94066" w:rsidRPr="001067E3" w:rsidRDefault="00E94066" w:rsidP="002E6D96">
      <w:pPr>
        <w:widowControl/>
        <w:spacing w:line="360" w:lineRule="auto"/>
        <w:ind w:firstLine="1440"/>
        <w:rPr>
          <w:sz w:val="26"/>
          <w:szCs w:val="26"/>
        </w:rPr>
      </w:pPr>
      <w:r w:rsidRPr="001067E3">
        <w:rPr>
          <w:sz w:val="26"/>
          <w:szCs w:val="26"/>
        </w:rPr>
        <w:t xml:space="preserve">On May 14, 2018, a </w:t>
      </w:r>
      <w:r w:rsidR="003555A9">
        <w:rPr>
          <w:sz w:val="26"/>
          <w:szCs w:val="26"/>
        </w:rPr>
        <w:t>P</w:t>
      </w:r>
      <w:r w:rsidRPr="001067E3">
        <w:rPr>
          <w:sz w:val="26"/>
          <w:szCs w:val="26"/>
        </w:rPr>
        <w:t xml:space="preserve">ublic </w:t>
      </w:r>
      <w:r w:rsidR="003555A9">
        <w:rPr>
          <w:sz w:val="26"/>
          <w:szCs w:val="26"/>
        </w:rPr>
        <w:t>I</w:t>
      </w:r>
      <w:r w:rsidRPr="001067E3">
        <w:rPr>
          <w:sz w:val="26"/>
          <w:szCs w:val="26"/>
        </w:rPr>
        <w:t xml:space="preserve">nput </w:t>
      </w:r>
      <w:r w:rsidR="003555A9">
        <w:rPr>
          <w:sz w:val="26"/>
          <w:szCs w:val="26"/>
        </w:rPr>
        <w:t>H</w:t>
      </w:r>
      <w:r w:rsidRPr="001067E3">
        <w:rPr>
          <w:sz w:val="26"/>
          <w:szCs w:val="26"/>
        </w:rPr>
        <w:t xml:space="preserve">earing </w:t>
      </w:r>
      <w:r w:rsidR="003555A9">
        <w:rPr>
          <w:sz w:val="26"/>
          <w:szCs w:val="26"/>
        </w:rPr>
        <w:t>N</w:t>
      </w:r>
      <w:r w:rsidRPr="001067E3">
        <w:rPr>
          <w:sz w:val="26"/>
          <w:szCs w:val="26"/>
        </w:rPr>
        <w:t>otice was issued</w:t>
      </w:r>
      <w:r w:rsidR="009A4677">
        <w:rPr>
          <w:sz w:val="26"/>
          <w:szCs w:val="26"/>
        </w:rPr>
        <w:t xml:space="preserve"> that scheduled</w:t>
      </w:r>
      <w:r w:rsidRPr="001067E3">
        <w:rPr>
          <w:sz w:val="26"/>
          <w:szCs w:val="26"/>
        </w:rPr>
        <w:t xml:space="preserve"> a public input hearing at the Courthouse Square Building, 100 West Beau Street, Washington, Pennsylvania, for June 21, 2018 beginning at 6:00 </w:t>
      </w:r>
      <w:r w:rsidR="000803B8" w:rsidRPr="001067E3">
        <w:rPr>
          <w:sz w:val="26"/>
          <w:szCs w:val="26"/>
        </w:rPr>
        <w:t xml:space="preserve">p.m.  </w:t>
      </w:r>
      <w:r w:rsidRPr="001067E3">
        <w:rPr>
          <w:sz w:val="26"/>
          <w:szCs w:val="26"/>
        </w:rPr>
        <w:t>The public input hearing was held as scheduled.</w:t>
      </w:r>
    </w:p>
    <w:p w14:paraId="12A9EE22" w14:textId="77777777" w:rsidR="00E94066" w:rsidRPr="001067E3" w:rsidRDefault="00E94066" w:rsidP="002E6D96">
      <w:pPr>
        <w:widowControl/>
        <w:spacing w:line="360" w:lineRule="auto"/>
        <w:ind w:firstLine="1440"/>
        <w:rPr>
          <w:sz w:val="26"/>
          <w:szCs w:val="26"/>
        </w:rPr>
      </w:pPr>
    </w:p>
    <w:p w14:paraId="1C215C81" w14:textId="77777777" w:rsidR="00E94066" w:rsidRPr="001067E3" w:rsidRDefault="00E94066" w:rsidP="002E6D96">
      <w:pPr>
        <w:widowControl/>
        <w:spacing w:line="360" w:lineRule="auto"/>
        <w:ind w:firstLine="1440"/>
        <w:rPr>
          <w:sz w:val="26"/>
          <w:szCs w:val="26"/>
        </w:rPr>
      </w:pPr>
      <w:r w:rsidRPr="001067E3">
        <w:rPr>
          <w:sz w:val="26"/>
          <w:szCs w:val="26"/>
        </w:rPr>
        <w:t>On May 17, 2018, at Docket No. M-2018-2641242, the Commission issued a further order directing certain utilities to establish temporary rates in the form of a negative surcharge effective July 1, 2018.  In that Order, the Commission exempted Columbia from filing a negative surcharge because of Columbia’s pending base rate case.  The Commission further stated:</w:t>
      </w:r>
    </w:p>
    <w:p w14:paraId="46E685A6" w14:textId="7DEDB55A" w:rsidR="00E94066" w:rsidRPr="001067E3" w:rsidRDefault="00E94066" w:rsidP="002E6D96">
      <w:pPr>
        <w:widowControl/>
        <w:spacing w:line="360" w:lineRule="auto"/>
        <w:ind w:firstLine="1440"/>
        <w:rPr>
          <w:sz w:val="26"/>
          <w:szCs w:val="26"/>
        </w:rPr>
      </w:pPr>
    </w:p>
    <w:p w14:paraId="14A20168" w14:textId="77777777" w:rsidR="00E94066" w:rsidRDefault="00E94066" w:rsidP="002E6D96">
      <w:pPr>
        <w:widowControl/>
        <w:ind w:left="1440" w:right="1440"/>
        <w:rPr>
          <w:sz w:val="26"/>
          <w:szCs w:val="26"/>
        </w:rPr>
      </w:pPr>
      <w:r w:rsidRPr="001067E3">
        <w:rPr>
          <w:sz w:val="26"/>
          <w:szCs w:val="26"/>
        </w:rPr>
        <w:t>Accordingly, the Commission expects the public utility and the parties in each such proceeding to address the effects of the federal tax reduction on the justness and reasonableness of the consumer rates charged during the term of the suspension period, and, in particular, whether a retroactive surcharge or other measure is necessary to account for the tax rate changes that became effective on January 1, 2018.</w:t>
      </w:r>
    </w:p>
    <w:p w14:paraId="261CACED" w14:textId="77777777" w:rsidR="009A4677" w:rsidRDefault="009A4677" w:rsidP="002E6D96">
      <w:pPr>
        <w:widowControl/>
        <w:ind w:left="1440" w:right="1440"/>
        <w:rPr>
          <w:sz w:val="26"/>
          <w:szCs w:val="26"/>
        </w:rPr>
      </w:pPr>
    </w:p>
    <w:p w14:paraId="3522D824" w14:textId="2353423F" w:rsidR="009A4677" w:rsidRPr="001067E3" w:rsidRDefault="009A4677" w:rsidP="002E6D96">
      <w:pPr>
        <w:widowControl/>
        <w:ind w:left="1440" w:right="1440"/>
        <w:rPr>
          <w:sz w:val="26"/>
          <w:szCs w:val="26"/>
        </w:rPr>
      </w:pPr>
    </w:p>
    <w:p w14:paraId="14CAA0F7" w14:textId="38AE7D14" w:rsidR="00E94066" w:rsidRPr="001067E3" w:rsidRDefault="00E94066" w:rsidP="002E6D96">
      <w:pPr>
        <w:widowControl/>
        <w:spacing w:line="360" w:lineRule="auto"/>
        <w:rPr>
          <w:sz w:val="26"/>
          <w:szCs w:val="26"/>
        </w:rPr>
      </w:pPr>
      <w:r w:rsidRPr="001067E3">
        <w:rPr>
          <w:sz w:val="26"/>
          <w:szCs w:val="26"/>
        </w:rPr>
        <w:t>May 17, 2018 Order at 20-21; Joint Petition</w:t>
      </w:r>
      <w:r w:rsidR="009A4677">
        <w:rPr>
          <w:sz w:val="26"/>
          <w:szCs w:val="26"/>
        </w:rPr>
        <w:t xml:space="preserve"> at</w:t>
      </w:r>
      <w:r w:rsidRPr="001067E3">
        <w:rPr>
          <w:sz w:val="26"/>
          <w:szCs w:val="26"/>
        </w:rPr>
        <w:t xml:space="preserve"> 4-5</w:t>
      </w:r>
      <w:r w:rsidR="009A4677">
        <w:rPr>
          <w:sz w:val="26"/>
          <w:szCs w:val="26"/>
        </w:rPr>
        <w:t>.</w:t>
      </w:r>
    </w:p>
    <w:p w14:paraId="3C8DECF0" w14:textId="77777777" w:rsidR="00E94066" w:rsidRPr="001067E3" w:rsidRDefault="00E94066" w:rsidP="002E6D96">
      <w:pPr>
        <w:widowControl/>
        <w:spacing w:line="360" w:lineRule="auto"/>
        <w:ind w:firstLine="1440"/>
        <w:rPr>
          <w:sz w:val="26"/>
          <w:szCs w:val="26"/>
        </w:rPr>
      </w:pPr>
    </w:p>
    <w:p w14:paraId="2BC7786C" w14:textId="5CD6BF92" w:rsidR="00E94066" w:rsidRPr="001067E3" w:rsidRDefault="00E94066" w:rsidP="002E6D96">
      <w:pPr>
        <w:widowControl/>
        <w:spacing w:line="360" w:lineRule="auto"/>
        <w:ind w:firstLine="1440"/>
        <w:rPr>
          <w:sz w:val="26"/>
          <w:szCs w:val="26"/>
        </w:rPr>
      </w:pPr>
      <w:r w:rsidRPr="001067E3">
        <w:rPr>
          <w:sz w:val="26"/>
          <w:szCs w:val="26"/>
        </w:rPr>
        <w:t xml:space="preserve">On June 11, 2018, a </w:t>
      </w:r>
      <w:r w:rsidR="009A4677">
        <w:rPr>
          <w:sz w:val="26"/>
          <w:szCs w:val="26"/>
        </w:rPr>
        <w:t>H</w:t>
      </w:r>
      <w:r w:rsidRPr="001067E3">
        <w:rPr>
          <w:sz w:val="26"/>
          <w:szCs w:val="26"/>
        </w:rPr>
        <w:t xml:space="preserve">earing </w:t>
      </w:r>
      <w:r w:rsidR="009A4677">
        <w:rPr>
          <w:sz w:val="26"/>
          <w:szCs w:val="26"/>
        </w:rPr>
        <w:t>No</w:t>
      </w:r>
      <w:r w:rsidRPr="001067E3">
        <w:rPr>
          <w:sz w:val="26"/>
          <w:szCs w:val="26"/>
        </w:rPr>
        <w:t>tice was issued</w:t>
      </w:r>
      <w:r w:rsidR="009A4677">
        <w:rPr>
          <w:sz w:val="26"/>
          <w:szCs w:val="26"/>
        </w:rPr>
        <w:t xml:space="preserve"> that </w:t>
      </w:r>
      <w:r w:rsidRPr="001067E3">
        <w:rPr>
          <w:sz w:val="26"/>
          <w:szCs w:val="26"/>
        </w:rPr>
        <w:t>schedul</w:t>
      </w:r>
      <w:r w:rsidR="009A4677">
        <w:rPr>
          <w:sz w:val="26"/>
          <w:szCs w:val="26"/>
        </w:rPr>
        <w:t>ed</w:t>
      </w:r>
      <w:r w:rsidRPr="001067E3">
        <w:rPr>
          <w:sz w:val="26"/>
          <w:szCs w:val="26"/>
        </w:rPr>
        <w:t xml:space="preserve"> the evidentiary hearing in this proceeding for July 25-27, 2018</w:t>
      </w:r>
      <w:r w:rsidR="009A4677">
        <w:rPr>
          <w:sz w:val="26"/>
          <w:szCs w:val="26"/>
        </w:rPr>
        <w:t>,</w:t>
      </w:r>
      <w:r w:rsidRPr="001067E3">
        <w:rPr>
          <w:sz w:val="26"/>
          <w:szCs w:val="26"/>
        </w:rPr>
        <w:t xml:space="preserve"> and August 6, 2018</w:t>
      </w:r>
      <w:r w:rsidR="009A4677">
        <w:rPr>
          <w:sz w:val="26"/>
          <w:szCs w:val="26"/>
        </w:rPr>
        <w:t>,</w:t>
      </w:r>
      <w:r w:rsidRPr="001067E3">
        <w:rPr>
          <w:sz w:val="26"/>
          <w:szCs w:val="26"/>
        </w:rPr>
        <w:t xml:space="preserve"> beginning at 10:00 a.m. each day in Harrisburg, Pennsylvania.</w:t>
      </w:r>
    </w:p>
    <w:p w14:paraId="1E639AC8" w14:textId="77777777" w:rsidR="00E94066" w:rsidRPr="001067E3" w:rsidRDefault="00E94066" w:rsidP="002E6D96">
      <w:pPr>
        <w:widowControl/>
        <w:spacing w:line="360" w:lineRule="auto"/>
        <w:ind w:firstLine="1440"/>
        <w:rPr>
          <w:sz w:val="26"/>
          <w:szCs w:val="26"/>
        </w:rPr>
      </w:pPr>
    </w:p>
    <w:p w14:paraId="6E35B26F" w14:textId="5E0F575A" w:rsidR="00E94066" w:rsidRDefault="00E94066" w:rsidP="002E6D96">
      <w:pPr>
        <w:widowControl/>
        <w:spacing w:line="360" w:lineRule="auto"/>
        <w:ind w:firstLine="1440"/>
        <w:rPr>
          <w:sz w:val="26"/>
          <w:szCs w:val="26"/>
        </w:rPr>
      </w:pPr>
      <w:r w:rsidRPr="001067E3">
        <w:rPr>
          <w:sz w:val="26"/>
          <w:szCs w:val="26"/>
        </w:rPr>
        <w:t xml:space="preserve">An </w:t>
      </w:r>
      <w:r w:rsidR="009A4677">
        <w:rPr>
          <w:sz w:val="26"/>
          <w:szCs w:val="26"/>
        </w:rPr>
        <w:t>I</w:t>
      </w:r>
      <w:r w:rsidRPr="001067E3">
        <w:rPr>
          <w:sz w:val="26"/>
          <w:szCs w:val="26"/>
        </w:rPr>
        <w:t xml:space="preserve">nterim </w:t>
      </w:r>
      <w:r w:rsidR="009A4677">
        <w:rPr>
          <w:sz w:val="26"/>
          <w:szCs w:val="26"/>
        </w:rPr>
        <w:t>O</w:t>
      </w:r>
      <w:r w:rsidRPr="001067E3">
        <w:rPr>
          <w:sz w:val="26"/>
          <w:szCs w:val="26"/>
        </w:rPr>
        <w:t xml:space="preserve">rder was entered on June 21, 2018 amending the Prehearing Order entered on May 1, 2018, to </w:t>
      </w:r>
      <w:r w:rsidR="009A4677">
        <w:rPr>
          <w:sz w:val="26"/>
          <w:szCs w:val="26"/>
        </w:rPr>
        <w:t xml:space="preserve">set </w:t>
      </w:r>
      <w:r w:rsidR="009A4677" w:rsidRPr="001067E3">
        <w:rPr>
          <w:sz w:val="26"/>
          <w:szCs w:val="26"/>
        </w:rPr>
        <w:t>July</w:t>
      </w:r>
      <w:r w:rsidR="009A4677">
        <w:rPr>
          <w:sz w:val="26"/>
          <w:szCs w:val="26"/>
        </w:rPr>
        <w:t> </w:t>
      </w:r>
      <w:r w:rsidR="009A4677" w:rsidRPr="001067E3">
        <w:rPr>
          <w:sz w:val="26"/>
          <w:szCs w:val="26"/>
        </w:rPr>
        <w:t>17, 2018</w:t>
      </w:r>
      <w:r w:rsidR="009A4677">
        <w:rPr>
          <w:sz w:val="26"/>
          <w:szCs w:val="26"/>
        </w:rPr>
        <w:t xml:space="preserve">, as the </w:t>
      </w:r>
      <w:r w:rsidRPr="001067E3">
        <w:rPr>
          <w:sz w:val="26"/>
          <w:szCs w:val="26"/>
        </w:rPr>
        <w:t xml:space="preserve">deadline for surrebuttal </w:t>
      </w:r>
      <w:r w:rsidRPr="001067E3">
        <w:rPr>
          <w:sz w:val="26"/>
          <w:szCs w:val="26"/>
        </w:rPr>
        <w:lastRenderedPageBreak/>
        <w:t>testimony</w:t>
      </w:r>
      <w:r w:rsidR="009A4677">
        <w:rPr>
          <w:sz w:val="26"/>
          <w:szCs w:val="26"/>
        </w:rPr>
        <w:t>,</w:t>
      </w:r>
      <w:r w:rsidRPr="001067E3">
        <w:rPr>
          <w:sz w:val="26"/>
          <w:szCs w:val="26"/>
        </w:rPr>
        <w:t xml:space="preserve"> except for OCA witness Roger D. Colton, whose surrebuttal testimony was due on July 19, 2018.</w:t>
      </w:r>
    </w:p>
    <w:p w14:paraId="1D0B4CFB" w14:textId="77777777" w:rsidR="00C453C8" w:rsidRPr="001067E3" w:rsidRDefault="00C453C8" w:rsidP="002E6D96">
      <w:pPr>
        <w:widowControl/>
        <w:spacing w:line="360" w:lineRule="auto"/>
        <w:ind w:firstLine="1440"/>
        <w:rPr>
          <w:sz w:val="26"/>
          <w:szCs w:val="26"/>
        </w:rPr>
      </w:pPr>
    </w:p>
    <w:p w14:paraId="5594E803" w14:textId="7780DA3A" w:rsidR="00A81DFF" w:rsidRDefault="00E94066" w:rsidP="002E6D96">
      <w:pPr>
        <w:widowControl/>
        <w:spacing w:line="360" w:lineRule="auto"/>
        <w:ind w:firstLine="1440"/>
        <w:rPr>
          <w:sz w:val="26"/>
          <w:szCs w:val="26"/>
        </w:rPr>
      </w:pPr>
      <w:r w:rsidRPr="001067E3">
        <w:rPr>
          <w:sz w:val="26"/>
          <w:szCs w:val="26"/>
        </w:rPr>
        <w:t xml:space="preserve">Subsequent to the Prehearing Conference, but prior to the commencement of the evidentiary hearing, additional </w:t>
      </w:r>
      <w:r>
        <w:rPr>
          <w:sz w:val="26"/>
          <w:szCs w:val="26"/>
        </w:rPr>
        <w:t>c</w:t>
      </w:r>
      <w:r w:rsidRPr="001067E3">
        <w:rPr>
          <w:sz w:val="26"/>
          <w:szCs w:val="26"/>
        </w:rPr>
        <w:t>omplaints were filed</w:t>
      </w:r>
      <w:r>
        <w:rPr>
          <w:sz w:val="26"/>
          <w:szCs w:val="26"/>
        </w:rPr>
        <w:t xml:space="preserve"> by four individual customers of Columbia, docketed respectively as</w:t>
      </w:r>
      <w:r w:rsidR="009A4677">
        <w:rPr>
          <w:sz w:val="26"/>
          <w:szCs w:val="26"/>
        </w:rPr>
        <w:t xml:space="preserve"> follows</w:t>
      </w:r>
      <w:r>
        <w:rPr>
          <w:sz w:val="26"/>
          <w:szCs w:val="26"/>
        </w:rPr>
        <w:t xml:space="preserve">: </w:t>
      </w:r>
      <w:r w:rsidR="009A4677">
        <w:rPr>
          <w:sz w:val="26"/>
          <w:szCs w:val="26"/>
        </w:rPr>
        <w:t xml:space="preserve">(1) </w:t>
      </w:r>
      <w:r w:rsidR="000E5DE8">
        <w:rPr>
          <w:sz w:val="26"/>
          <w:szCs w:val="26"/>
        </w:rPr>
        <w:t xml:space="preserve">the </w:t>
      </w:r>
      <w:r w:rsidRPr="001067E3">
        <w:rPr>
          <w:sz w:val="26"/>
          <w:szCs w:val="26"/>
        </w:rPr>
        <w:t xml:space="preserve">formal complaint </w:t>
      </w:r>
      <w:r w:rsidR="000E5DE8">
        <w:rPr>
          <w:sz w:val="26"/>
          <w:szCs w:val="26"/>
        </w:rPr>
        <w:t xml:space="preserve">of </w:t>
      </w:r>
      <w:r w:rsidRPr="001067E3">
        <w:rPr>
          <w:sz w:val="26"/>
          <w:szCs w:val="26"/>
        </w:rPr>
        <w:t>G.</w:t>
      </w:r>
      <w:r w:rsidR="009A4677">
        <w:rPr>
          <w:sz w:val="26"/>
          <w:szCs w:val="26"/>
        </w:rPr>
        <w:t> </w:t>
      </w:r>
      <w:r w:rsidRPr="001067E3">
        <w:rPr>
          <w:sz w:val="26"/>
          <w:szCs w:val="26"/>
        </w:rPr>
        <w:t>Blair</w:t>
      </w:r>
      <w:r w:rsidR="009A4677">
        <w:rPr>
          <w:sz w:val="26"/>
          <w:szCs w:val="26"/>
        </w:rPr>
        <w:t> </w:t>
      </w:r>
      <w:r w:rsidRPr="001067E3">
        <w:rPr>
          <w:sz w:val="26"/>
          <w:szCs w:val="26"/>
        </w:rPr>
        <w:t>Bauer</w:t>
      </w:r>
      <w:r w:rsidR="009A4677">
        <w:rPr>
          <w:sz w:val="26"/>
          <w:szCs w:val="26"/>
        </w:rPr>
        <w:t>,</w:t>
      </w:r>
      <w:r w:rsidRPr="001067E3">
        <w:rPr>
          <w:sz w:val="26"/>
          <w:szCs w:val="26"/>
        </w:rPr>
        <w:t xml:space="preserve"> </w:t>
      </w:r>
      <w:r w:rsidR="000E5DE8">
        <w:rPr>
          <w:sz w:val="26"/>
          <w:szCs w:val="26"/>
        </w:rPr>
        <w:t xml:space="preserve">filed </w:t>
      </w:r>
      <w:r>
        <w:rPr>
          <w:sz w:val="26"/>
          <w:szCs w:val="26"/>
        </w:rPr>
        <w:t>o</w:t>
      </w:r>
      <w:r w:rsidRPr="001067E3">
        <w:rPr>
          <w:sz w:val="26"/>
          <w:szCs w:val="26"/>
        </w:rPr>
        <w:t xml:space="preserve">n April 19, 2018, </w:t>
      </w:r>
      <w:r>
        <w:rPr>
          <w:sz w:val="26"/>
          <w:szCs w:val="26"/>
        </w:rPr>
        <w:t xml:space="preserve">at Docket </w:t>
      </w:r>
      <w:r w:rsidRPr="001067E3">
        <w:rPr>
          <w:sz w:val="26"/>
          <w:szCs w:val="26"/>
        </w:rPr>
        <w:t>No. C-2018-3001319</w:t>
      </w:r>
      <w:r>
        <w:rPr>
          <w:sz w:val="26"/>
          <w:szCs w:val="26"/>
        </w:rPr>
        <w:t>;</w:t>
      </w:r>
      <w:r w:rsidRPr="001067E3">
        <w:rPr>
          <w:sz w:val="26"/>
          <w:szCs w:val="26"/>
        </w:rPr>
        <w:t xml:space="preserve"> </w:t>
      </w:r>
      <w:r w:rsidR="009A4677">
        <w:rPr>
          <w:sz w:val="26"/>
          <w:szCs w:val="26"/>
        </w:rPr>
        <w:t xml:space="preserve">(2) </w:t>
      </w:r>
      <w:r w:rsidR="000E5DE8">
        <w:rPr>
          <w:sz w:val="26"/>
          <w:szCs w:val="26"/>
        </w:rPr>
        <w:t xml:space="preserve">the </w:t>
      </w:r>
      <w:r w:rsidRPr="001067E3">
        <w:rPr>
          <w:sz w:val="26"/>
          <w:szCs w:val="26"/>
        </w:rPr>
        <w:t xml:space="preserve">formal complaint </w:t>
      </w:r>
      <w:r w:rsidR="000E5DE8">
        <w:rPr>
          <w:sz w:val="26"/>
          <w:szCs w:val="26"/>
        </w:rPr>
        <w:t xml:space="preserve">of </w:t>
      </w:r>
      <w:r w:rsidRPr="001067E3">
        <w:rPr>
          <w:sz w:val="26"/>
          <w:szCs w:val="26"/>
        </w:rPr>
        <w:t>Philip L. Bloch</w:t>
      </w:r>
      <w:r w:rsidR="009A4677">
        <w:rPr>
          <w:sz w:val="26"/>
          <w:szCs w:val="26"/>
        </w:rPr>
        <w:t>,</w:t>
      </w:r>
      <w:r w:rsidRPr="001067E3">
        <w:rPr>
          <w:sz w:val="26"/>
          <w:szCs w:val="26"/>
        </w:rPr>
        <w:t xml:space="preserve"> </w:t>
      </w:r>
      <w:r w:rsidR="000E5DE8">
        <w:rPr>
          <w:sz w:val="26"/>
          <w:szCs w:val="26"/>
        </w:rPr>
        <w:t xml:space="preserve">filed </w:t>
      </w:r>
      <w:r w:rsidRPr="001067E3">
        <w:rPr>
          <w:sz w:val="26"/>
          <w:szCs w:val="26"/>
        </w:rPr>
        <w:t>on May 1, 2018</w:t>
      </w:r>
      <w:r w:rsidR="009A4677">
        <w:rPr>
          <w:sz w:val="26"/>
          <w:szCs w:val="26"/>
        </w:rPr>
        <w:t>,</w:t>
      </w:r>
      <w:r w:rsidRPr="001067E3">
        <w:rPr>
          <w:sz w:val="26"/>
          <w:szCs w:val="26"/>
        </w:rPr>
        <w:t xml:space="preserve"> at Docket No. C-2018-3001634; and </w:t>
      </w:r>
      <w:r w:rsidR="009A4677">
        <w:rPr>
          <w:sz w:val="26"/>
          <w:szCs w:val="26"/>
        </w:rPr>
        <w:t>(3) </w:t>
      </w:r>
      <w:r w:rsidR="000E5DE8">
        <w:rPr>
          <w:sz w:val="26"/>
          <w:szCs w:val="26"/>
        </w:rPr>
        <w:t>the f</w:t>
      </w:r>
      <w:r w:rsidRPr="001067E3">
        <w:rPr>
          <w:sz w:val="26"/>
          <w:szCs w:val="26"/>
        </w:rPr>
        <w:t xml:space="preserve">ormal complaint </w:t>
      </w:r>
      <w:r w:rsidR="000E5DE8">
        <w:rPr>
          <w:sz w:val="26"/>
          <w:szCs w:val="26"/>
        </w:rPr>
        <w:t xml:space="preserve">of </w:t>
      </w:r>
      <w:r w:rsidRPr="001067E3">
        <w:rPr>
          <w:sz w:val="26"/>
          <w:szCs w:val="26"/>
        </w:rPr>
        <w:t xml:space="preserve">Robin A. Harrison </w:t>
      </w:r>
      <w:r w:rsidR="000E5DE8">
        <w:rPr>
          <w:sz w:val="26"/>
          <w:szCs w:val="26"/>
        </w:rPr>
        <w:t xml:space="preserve">filed </w:t>
      </w:r>
      <w:r w:rsidRPr="001067E3">
        <w:rPr>
          <w:sz w:val="26"/>
          <w:szCs w:val="26"/>
        </w:rPr>
        <w:t>on June 7, 2018</w:t>
      </w:r>
      <w:r w:rsidR="0061137D">
        <w:rPr>
          <w:sz w:val="26"/>
          <w:szCs w:val="26"/>
        </w:rPr>
        <w:t>,</w:t>
      </w:r>
      <w:r w:rsidRPr="001067E3">
        <w:rPr>
          <w:sz w:val="26"/>
          <w:szCs w:val="26"/>
        </w:rPr>
        <w:t xml:space="preserve"> at Docket No. C</w:t>
      </w:r>
      <w:r w:rsidR="009A4677">
        <w:rPr>
          <w:sz w:val="26"/>
          <w:szCs w:val="26"/>
        </w:rPr>
        <w:noBreakHyphen/>
      </w:r>
      <w:r w:rsidRPr="001067E3">
        <w:rPr>
          <w:sz w:val="26"/>
          <w:szCs w:val="26"/>
        </w:rPr>
        <w:t>2018-3002595</w:t>
      </w:r>
      <w:r w:rsidR="0061137D">
        <w:rPr>
          <w:sz w:val="26"/>
          <w:szCs w:val="26"/>
        </w:rPr>
        <w:t>; and (4) the formal complaint of Patricia Southorn</w:t>
      </w:r>
      <w:r w:rsidR="009B08BF">
        <w:rPr>
          <w:sz w:val="26"/>
          <w:szCs w:val="26"/>
        </w:rPr>
        <w:t xml:space="preserve"> filed on March 28, 2018</w:t>
      </w:r>
      <w:r w:rsidR="0061137D">
        <w:rPr>
          <w:sz w:val="26"/>
          <w:szCs w:val="26"/>
        </w:rPr>
        <w:t>, at Docket No. C-2018-3000779.</w:t>
      </w:r>
    </w:p>
    <w:p w14:paraId="4C95A916" w14:textId="77777777" w:rsidR="00A81DFF" w:rsidRDefault="00A81DFF" w:rsidP="002E6D96">
      <w:pPr>
        <w:widowControl/>
        <w:spacing w:line="360" w:lineRule="auto"/>
        <w:ind w:firstLine="1440"/>
        <w:rPr>
          <w:sz w:val="26"/>
          <w:szCs w:val="26"/>
        </w:rPr>
      </w:pPr>
    </w:p>
    <w:p w14:paraId="24847D59" w14:textId="414E14F0" w:rsidR="00E94066" w:rsidRPr="001067E3" w:rsidRDefault="00E94066" w:rsidP="002E6D96">
      <w:pPr>
        <w:widowControl/>
        <w:spacing w:line="360" w:lineRule="auto"/>
        <w:ind w:firstLine="1440"/>
        <w:rPr>
          <w:sz w:val="26"/>
          <w:szCs w:val="26"/>
        </w:rPr>
      </w:pPr>
      <w:r w:rsidRPr="001067E3">
        <w:rPr>
          <w:sz w:val="26"/>
          <w:szCs w:val="26"/>
        </w:rPr>
        <w:t xml:space="preserve">The evidentiary hearing was </w:t>
      </w:r>
      <w:r w:rsidR="00BE3063">
        <w:rPr>
          <w:sz w:val="26"/>
          <w:szCs w:val="26"/>
        </w:rPr>
        <w:t>held o</w:t>
      </w:r>
      <w:r w:rsidRPr="001067E3">
        <w:rPr>
          <w:sz w:val="26"/>
          <w:szCs w:val="26"/>
        </w:rPr>
        <w:t xml:space="preserve">n July 26, 2018, at 10:00 a.m., at which time the Joint Petitioners’ pre-filed testimony and exhibits were admitted into the record.  Counsel for the Company, I&amp;E, </w:t>
      </w:r>
      <w:r w:rsidR="009A4677">
        <w:rPr>
          <w:sz w:val="26"/>
          <w:szCs w:val="26"/>
        </w:rPr>
        <w:t xml:space="preserve">the </w:t>
      </w:r>
      <w:r w:rsidRPr="001067E3">
        <w:rPr>
          <w:sz w:val="26"/>
          <w:szCs w:val="26"/>
        </w:rPr>
        <w:t xml:space="preserve">OCA, </w:t>
      </w:r>
      <w:r w:rsidR="009A4677">
        <w:rPr>
          <w:sz w:val="26"/>
          <w:szCs w:val="26"/>
        </w:rPr>
        <w:t xml:space="preserve">the </w:t>
      </w:r>
      <w:r w:rsidRPr="001067E3">
        <w:rPr>
          <w:sz w:val="26"/>
          <w:szCs w:val="26"/>
        </w:rPr>
        <w:t xml:space="preserve">OSBA, the NGS Parties, CAUSE-PA, CII, </w:t>
      </w:r>
      <w:r w:rsidR="002E1B98">
        <w:rPr>
          <w:sz w:val="26"/>
          <w:szCs w:val="26"/>
        </w:rPr>
        <w:t>the Direct Energy Companies</w:t>
      </w:r>
      <w:r w:rsidRPr="001067E3">
        <w:rPr>
          <w:sz w:val="26"/>
          <w:szCs w:val="26"/>
        </w:rPr>
        <w:t xml:space="preserve">, and PSU attended the hearing.  At the hearing, Counsel for the Company represented that the Parties had settled in principal all </w:t>
      </w:r>
      <w:r w:rsidR="00531187">
        <w:rPr>
          <w:sz w:val="26"/>
          <w:szCs w:val="26"/>
        </w:rPr>
        <w:t xml:space="preserve">issues related to the rate </w:t>
      </w:r>
      <w:r w:rsidR="000803B8">
        <w:rPr>
          <w:sz w:val="26"/>
          <w:szCs w:val="26"/>
        </w:rPr>
        <w:t>proceeding and</w:t>
      </w:r>
      <w:r w:rsidR="00531187">
        <w:rPr>
          <w:sz w:val="26"/>
          <w:szCs w:val="26"/>
        </w:rPr>
        <w:t xml:space="preserve"> agreed to preserve</w:t>
      </w:r>
      <w:r w:rsidR="00BB0BBE">
        <w:rPr>
          <w:sz w:val="26"/>
          <w:szCs w:val="26"/>
        </w:rPr>
        <w:t>,</w:t>
      </w:r>
      <w:r w:rsidR="00531187">
        <w:rPr>
          <w:sz w:val="26"/>
          <w:szCs w:val="26"/>
        </w:rPr>
        <w:t xml:space="preserve"> as a separate matter for </w:t>
      </w:r>
      <w:r w:rsidR="000803B8">
        <w:rPr>
          <w:sz w:val="26"/>
          <w:szCs w:val="26"/>
        </w:rPr>
        <w:t>litigation,</w:t>
      </w:r>
      <w:r w:rsidR="00531187">
        <w:rPr>
          <w:sz w:val="26"/>
          <w:szCs w:val="26"/>
        </w:rPr>
        <w:t xml:space="preserve"> the claim </w:t>
      </w:r>
      <w:r w:rsidR="000803B8">
        <w:rPr>
          <w:sz w:val="26"/>
          <w:szCs w:val="26"/>
        </w:rPr>
        <w:t>raised by</w:t>
      </w:r>
      <w:r w:rsidR="00531187">
        <w:rPr>
          <w:sz w:val="26"/>
          <w:szCs w:val="26"/>
        </w:rPr>
        <w:t xml:space="preserve"> the NGS Parties that a Columbia billing practice violates Section 1502 of the </w:t>
      </w:r>
      <w:r w:rsidR="00BB0BBE">
        <w:rPr>
          <w:sz w:val="26"/>
          <w:szCs w:val="26"/>
        </w:rPr>
        <w:t>Code.</w:t>
      </w:r>
      <w:r w:rsidR="000803B8">
        <w:rPr>
          <w:sz w:val="26"/>
          <w:szCs w:val="26"/>
        </w:rPr>
        <w:t xml:space="preserve">  </w:t>
      </w:r>
      <w:r w:rsidR="00531187">
        <w:rPr>
          <w:sz w:val="26"/>
          <w:szCs w:val="26"/>
        </w:rPr>
        <w:t>Further, the</w:t>
      </w:r>
      <w:r w:rsidRPr="001067E3">
        <w:rPr>
          <w:sz w:val="26"/>
          <w:szCs w:val="26"/>
        </w:rPr>
        <w:t xml:space="preserve"> Parties </w:t>
      </w:r>
      <w:r w:rsidR="00531187">
        <w:rPr>
          <w:sz w:val="26"/>
          <w:szCs w:val="26"/>
        </w:rPr>
        <w:t xml:space="preserve">represented they </w:t>
      </w:r>
      <w:r w:rsidRPr="001067E3">
        <w:rPr>
          <w:sz w:val="26"/>
          <w:szCs w:val="26"/>
        </w:rPr>
        <w:t xml:space="preserve">had reached an agreement regarding the admission of evidence and the waiver of cross examination at the hearing.  Evidence was </w:t>
      </w:r>
      <w:r w:rsidR="00A81DFF" w:rsidRPr="001067E3">
        <w:rPr>
          <w:sz w:val="26"/>
          <w:szCs w:val="26"/>
        </w:rPr>
        <w:t>received,</w:t>
      </w:r>
      <w:r w:rsidRPr="001067E3">
        <w:rPr>
          <w:sz w:val="26"/>
          <w:szCs w:val="26"/>
        </w:rPr>
        <w:t xml:space="preserve"> and the hearing was concluded on July 26, 2018.</w:t>
      </w:r>
    </w:p>
    <w:p w14:paraId="09C97655" w14:textId="77777777" w:rsidR="00E94066" w:rsidRPr="001067E3" w:rsidRDefault="00E94066" w:rsidP="002E6D96">
      <w:pPr>
        <w:widowControl/>
        <w:spacing w:line="360" w:lineRule="auto"/>
        <w:ind w:firstLine="1440"/>
        <w:rPr>
          <w:sz w:val="26"/>
          <w:szCs w:val="26"/>
        </w:rPr>
      </w:pPr>
      <w:r w:rsidRPr="001067E3">
        <w:rPr>
          <w:sz w:val="26"/>
          <w:szCs w:val="26"/>
        </w:rPr>
        <w:t xml:space="preserve"> </w:t>
      </w:r>
    </w:p>
    <w:p w14:paraId="10CD5ACC" w14:textId="6B861A0B" w:rsidR="00E94066" w:rsidRPr="001067E3" w:rsidRDefault="00E94066" w:rsidP="002E6D96">
      <w:pPr>
        <w:widowControl/>
        <w:spacing w:line="360" w:lineRule="auto"/>
        <w:ind w:firstLine="1440"/>
        <w:rPr>
          <w:sz w:val="26"/>
          <w:szCs w:val="26"/>
        </w:rPr>
      </w:pPr>
      <w:r w:rsidRPr="001067E3">
        <w:rPr>
          <w:sz w:val="26"/>
          <w:szCs w:val="26"/>
        </w:rPr>
        <w:t xml:space="preserve">On July 27, 2018, an </w:t>
      </w:r>
      <w:r w:rsidR="00BB0BBE">
        <w:rPr>
          <w:sz w:val="26"/>
          <w:szCs w:val="26"/>
        </w:rPr>
        <w:t>I</w:t>
      </w:r>
      <w:r w:rsidRPr="001067E3">
        <w:rPr>
          <w:sz w:val="26"/>
          <w:szCs w:val="26"/>
        </w:rPr>
        <w:t xml:space="preserve">nterim </w:t>
      </w:r>
      <w:r w:rsidR="00BB0BBE">
        <w:rPr>
          <w:sz w:val="26"/>
          <w:szCs w:val="26"/>
        </w:rPr>
        <w:t>O</w:t>
      </w:r>
      <w:r w:rsidRPr="001067E3">
        <w:rPr>
          <w:sz w:val="26"/>
          <w:szCs w:val="26"/>
        </w:rPr>
        <w:t>rder was entered consolidating the formal complaints filed by G. Blair Bauer</w:t>
      </w:r>
      <w:r w:rsidR="00BB0BBE">
        <w:rPr>
          <w:sz w:val="26"/>
          <w:szCs w:val="26"/>
        </w:rPr>
        <w:t>,</w:t>
      </w:r>
      <w:r w:rsidRPr="001067E3">
        <w:rPr>
          <w:sz w:val="26"/>
          <w:szCs w:val="26"/>
        </w:rPr>
        <w:t xml:space="preserve"> at Docket No. C-2018-3001319; by Philip L. Bloch</w:t>
      </w:r>
      <w:r w:rsidR="00BB0BBE">
        <w:rPr>
          <w:sz w:val="26"/>
          <w:szCs w:val="26"/>
        </w:rPr>
        <w:t>,</w:t>
      </w:r>
      <w:r w:rsidRPr="001067E3">
        <w:rPr>
          <w:sz w:val="26"/>
          <w:szCs w:val="26"/>
        </w:rPr>
        <w:t xml:space="preserve"> at Docket No. C-2018-3001634; and by Robin A. Harrison at Docket No. C-2018-3002595.  In addition, the hearings scheduled for July 27, 2018</w:t>
      </w:r>
      <w:r w:rsidR="00BB0BBE">
        <w:rPr>
          <w:sz w:val="26"/>
          <w:szCs w:val="26"/>
        </w:rPr>
        <w:t>,</w:t>
      </w:r>
      <w:r w:rsidRPr="001067E3">
        <w:rPr>
          <w:sz w:val="26"/>
          <w:szCs w:val="26"/>
        </w:rPr>
        <w:t xml:space="preserve"> and August 6, 2018</w:t>
      </w:r>
      <w:r w:rsidR="00BB0BBE">
        <w:rPr>
          <w:sz w:val="26"/>
          <w:szCs w:val="26"/>
        </w:rPr>
        <w:t xml:space="preserve">, </w:t>
      </w:r>
      <w:r w:rsidRPr="001067E3">
        <w:rPr>
          <w:sz w:val="26"/>
          <w:szCs w:val="26"/>
        </w:rPr>
        <w:t>were cancelled.</w:t>
      </w:r>
    </w:p>
    <w:p w14:paraId="3120F543" w14:textId="12A2168E" w:rsidR="00E94066" w:rsidRPr="001067E3" w:rsidRDefault="00E94066" w:rsidP="002E6D96">
      <w:pPr>
        <w:widowControl/>
        <w:spacing w:line="360" w:lineRule="auto"/>
        <w:ind w:firstLine="1440"/>
        <w:rPr>
          <w:sz w:val="26"/>
          <w:szCs w:val="26"/>
        </w:rPr>
      </w:pPr>
    </w:p>
    <w:p w14:paraId="586DEB2C" w14:textId="52001206" w:rsidR="00E94066" w:rsidRPr="001067E3" w:rsidRDefault="00E94066" w:rsidP="002E6D96">
      <w:pPr>
        <w:widowControl/>
        <w:spacing w:line="360" w:lineRule="auto"/>
        <w:ind w:firstLine="1440"/>
        <w:rPr>
          <w:sz w:val="26"/>
          <w:szCs w:val="26"/>
        </w:rPr>
      </w:pPr>
      <w:r w:rsidRPr="001067E3">
        <w:rPr>
          <w:sz w:val="26"/>
          <w:szCs w:val="26"/>
        </w:rPr>
        <w:lastRenderedPageBreak/>
        <w:t xml:space="preserve">On August 16, 2018, </w:t>
      </w:r>
      <w:r w:rsidR="00BB0BBE">
        <w:rPr>
          <w:sz w:val="26"/>
          <w:szCs w:val="26"/>
        </w:rPr>
        <w:t>M</w:t>
      </w:r>
      <w:r w:rsidRPr="001067E3">
        <w:rPr>
          <w:sz w:val="26"/>
          <w:szCs w:val="26"/>
        </w:rPr>
        <w:t xml:space="preserve">ain </w:t>
      </w:r>
      <w:r w:rsidR="00BB0BBE">
        <w:rPr>
          <w:sz w:val="26"/>
          <w:szCs w:val="26"/>
        </w:rPr>
        <w:t>B</w:t>
      </w:r>
      <w:r w:rsidRPr="001067E3">
        <w:rPr>
          <w:sz w:val="26"/>
          <w:szCs w:val="26"/>
        </w:rPr>
        <w:t xml:space="preserve">riefs were filed by Columbia, </w:t>
      </w:r>
      <w:r w:rsidR="00BB0BBE">
        <w:rPr>
          <w:sz w:val="26"/>
          <w:szCs w:val="26"/>
        </w:rPr>
        <w:t xml:space="preserve">the </w:t>
      </w:r>
      <w:r w:rsidRPr="001067E3">
        <w:rPr>
          <w:sz w:val="26"/>
          <w:szCs w:val="26"/>
        </w:rPr>
        <w:t>Direct Energy</w:t>
      </w:r>
      <w:r w:rsidR="00BB0BBE">
        <w:rPr>
          <w:sz w:val="26"/>
          <w:szCs w:val="26"/>
        </w:rPr>
        <w:t xml:space="preserve"> Companies</w:t>
      </w:r>
      <w:r w:rsidRPr="001067E3">
        <w:rPr>
          <w:sz w:val="26"/>
          <w:szCs w:val="26"/>
        </w:rPr>
        <w:t xml:space="preserve">, the NGS Parties and </w:t>
      </w:r>
      <w:r w:rsidR="00BB0BBE">
        <w:rPr>
          <w:sz w:val="26"/>
          <w:szCs w:val="26"/>
        </w:rPr>
        <w:t xml:space="preserve">the </w:t>
      </w:r>
      <w:r w:rsidRPr="001067E3">
        <w:rPr>
          <w:sz w:val="26"/>
          <w:szCs w:val="26"/>
        </w:rPr>
        <w:t>OCA</w:t>
      </w:r>
      <w:r w:rsidR="00B35D45">
        <w:rPr>
          <w:sz w:val="26"/>
          <w:szCs w:val="26"/>
        </w:rPr>
        <w:t xml:space="preserve"> on the sole issue preserved for litigation</w:t>
      </w:r>
      <w:r w:rsidR="00BB0BBE">
        <w:rPr>
          <w:sz w:val="26"/>
          <w:szCs w:val="26"/>
        </w:rPr>
        <w:t xml:space="preserve"> –</w:t>
      </w:r>
      <w:r w:rsidR="00B35D45">
        <w:rPr>
          <w:sz w:val="26"/>
          <w:szCs w:val="26"/>
        </w:rPr>
        <w:t xml:space="preserve"> the claim by </w:t>
      </w:r>
      <w:r w:rsidR="00BB0BBE">
        <w:rPr>
          <w:sz w:val="26"/>
          <w:szCs w:val="26"/>
        </w:rPr>
        <w:t xml:space="preserve">the </w:t>
      </w:r>
      <w:r w:rsidR="00B35D45">
        <w:rPr>
          <w:sz w:val="26"/>
          <w:szCs w:val="26"/>
        </w:rPr>
        <w:t xml:space="preserve">NGS Parties that a Columbia billing practice violates Section 1502 of the </w:t>
      </w:r>
      <w:r w:rsidR="00C61946">
        <w:rPr>
          <w:sz w:val="26"/>
          <w:szCs w:val="26"/>
        </w:rPr>
        <w:t>Code</w:t>
      </w:r>
      <w:r w:rsidR="00B35D45">
        <w:rPr>
          <w:sz w:val="26"/>
          <w:szCs w:val="26"/>
        </w:rPr>
        <w:t>.</w:t>
      </w:r>
    </w:p>
    <w:p w14:paraId="0BE3DD0A" w14:textId="77777777" w:rsidR="00E94066" w:rsidRPr="001067E3" w:rsidRDefault="00E94066" w:rsidP="002E6D96">
      <w:pPr>
        <w:widowControl/>
        <w:spacing w:line="360" w:lineRule="auto"/>
        <w:ind w:firstLine="1440"/>
        <w:rPr>
          <w:sz w:val="26"/>
          <w:szCs w:val="26"/>
        </w:rPr>
      </w:pPr>
      <w:r w:rsidRPr="001067E3">
        <w:rPr>
          <w:sz w:val="26"/>
          <w:szCs w:val="26"/>
        </w:rPr>
        <w:t xml:space="preserve"> </w:t>
      </w:r>
    </w:p>
    <w:p w14:paraId="3FA38B3F" w14:textId="1DB92FD8" w:rsidR="00E94066" w:rsidRDefault="00E94066" w:rsidP="002E6D96">
      <w:pPr>
        <w:widowControl/>
        <w:spacing w:line="360" w:lineRule="auto"/>
        <w:ind w:firstLine="1440"/>
        <w:rPr>
          <w:sz w:val="26"/>
          <w:szCs w:val="26"/>
        </w:rPr>
      </w:pPr>
      <w:r w:rsidRPr="001067E3">
        <w:rPr>
          <w:sz w:val="26"/>
          <w:szCs w:val="26"/>
        </w:rPr>
        <w:t xml:space="preserve">On August 31, 2018, </w:t>
      </w:r>
      <w:r w:rsidR="0052106D">
        <w:rPr>
          <w:sz w:val="26"/>
          <w:szCs w:val="26"/>
        </w:rPr>
        <w:t>R</w:t>
      </w:r>
      <w:r w:rsidRPr="001067E3">
        <w:rPr>
          <w:sz w:val="26"/>
          <w:szCs w:val="26"/>
        </w:rPr>
        <w:t xml:space="preserve">eply </w:t>
      </w:r>
      <w:r w:rsidR="0052106D">
        <w:rPr>
          <w:sz w:val="26"/>
          <w:szCs w:val="26"/>
        </w:rPr>
        <w:t>B</w:t>
      </w:r>
      <w:r w:rsidRPr="001067E3">
        <w:rPr>
          <w:sz w:val="26"/>
          <w:szCs w:val="26"/>
        </w:rPr>
        <w:t xml:space="preserve">riefs were filed by Columbia, the NGS Parties and </w:t>
      </w:r>
      <w:r w:rsidR="00BB0BBE">
        <w:rPr>
          <w:sz w:val="26"/>
          <w:szCs w:val="26"/>
        </w:rPr>
        <w:t xml:space="preserve">the </w:t>
      </w:r>
      <w:r w:rsidRPr="001067E3">
        <w:rPr>
          <w:sz w:val="26"/>
          <w:szCs w:val="26"/>
        </w:rPr>
        <w:t>OCA.</w:t>
      </w:r>
    </w:p>
    <w:p w14:paraId="0021B5B9" w14:textId="77777777" w:rsidR="003555A9" w:rsidRPr="001067E3" w:rsidRDefault="003555A9" w:rsidP="002E6D96">
      <w:pPr>
        <w:widowControl/>
        <w:spacing w:line="360" w:lineRule="auto"/>
        <w:ind w:firstLine="1440"/>
        <w:rPr>
          <w:sz w:val="26"/>
          <w:szCs w:val="26"/>
        </w:rPr>
      </w:pPr>
    </w:p>
    <w:p w14:paraId="284538C6" w14:textId="70C6C5B2" w:rsidR="00F81C50" w:rsidRPr="008A390F" w:rsidRDefault="00E94066" w:rsidP="008A390F">
      <w:pPr>
        <w:spacing w:line="360" w:lineRule="auto"/>
        <w:rPr>
          <w:sz w:val="26"/>
          <w:szCs w:val="26"/>
        </w:rPr>
      </w:pPr>
      <w:r w:rsidRPr="001067E3">
        <w:rPr>
          <w:sz w:val="26"/>
          <w:szCs w:val="26"/>
        </w:rPr>
        <w:t>On August 31, 2018, the Joint Petitioners filed a Joint Petition for Partial Settlement (</w:t>
      </w:r>
      <w:r w:rsidR="00DC5FEC">
        <w:rPr>
          <w:sz w:val="26"/>
          <w:szCs w:val="26"/>
        </w:rPr>
        <w:t>Partial Settlement</w:t>
      </w:r>
      <w:r w:rsidR="00717852">
        <w:rPr>
          <w:sz w:val="26"/>
          <w:szCs w:val="26"/>
        </w:rPr>
        <w:t>)</w:t>
      </w:r>
      <w:r w:rsidRPr="001067E3">
        <w:rPr>
          <w:sz w:val="26"/>
          <w:szCs w:val="26"/>
        </w:rPr>
        <w:t xml:space="preserve"> </w:t>
      </w:r>
      <w:r w:rsidR="006F5878">
        <w:rPr>
          <w:sz w:val="26"/>
          <w:szCs w:val="26"/>
        </w:rPr>
        <w:t xml:space="preserve">in which it </w:t>
      </w:r>
      <w:r w:rsidRPr="001067E3">
        <w:rPr>
          <w:sz w:val="26"/>
          <w:szCs w:val="26"/>
        </w:rPr>
        <w:t xml:space="preserve">requested that the Commission approve the </w:t>
      </w:r>
      <w:r w:rsidR="00F01DAB">
        <w:rPr>
          <w:sz w:val="26"/>
          <w:szCs w:val="26"/>
        </w:rPr>
        <w:t xml:space="preserve">terms and conditions of the </w:t>
      </w:r>
      <w:r w:rsidR="00E940D6">
        <w:rPr>
          <w:sz w:val="26"/>
          <w:szCs w:val="26"/>
        </w:rPr>
        <w:t xml:space="preserve">Partial </w:t>
      </w:r>
      <w:r w:rsidRPr="001067E3">
        <w:rPr>
          <w:sz w:val="26"/>
          <w:szCs w:val="26"/>
        </w:rPr>
        <w:t>Settlement</w:t>
      </w:r>
      <w:r w:rsidR="006F5878">
        <w:rPr>
          <w:sz w:val="26"/>
          <w:szCs w:val="26"/>
        </w:rPr>
        <w:t xml:space="preserve"> in </w:t>
      </w:r>
      <w:r w:rsidR="00302253">
        <w:rPr>
          <w:sz w:val="26"/>
          <w:szCs w:val="26"/>
        </w:rPr>
        <w:t>its</w:t>
      </w:r>
      <w:r w:rsidR="006F5878">
        <w:rPr>
          <w:sz w:val="26"/>
          <w:szCs w:val="26"/>
        </w:rPr>
        <w:t xml:space="preserve"> entirety without modification</w:t>
      </w:r>
      <w:r w:rsidRPr="001067E3">
        <w:rPr>
          <w:sz w:val="26"/>
          <w:szCs w:val="26"/>
        </w:rPr>
        <w:t xml:space="preserve">. </w:t>
      </w:r>
      <w:r w:rsidR="00F81C50">
        <w:rPr>
          <w:sz w:val="26"/>
          <w:szCs w:val="26"/>
        </w:rPr>
        <w:t xml:space="preserve"> </w:t>
      </w:r>
      <w:r w:rsidRPr="001067E3">
        <w:rPr>
          <w:sz w:val="26"/>
          <w:szCs w:val="26"/>
        </w:rPr>
        <w:t xml:space="preserve">The </w:t>
      </w:r>
      <w:r w:rsidR="00DC5FEC">
        <w:rPr>
          <w:sz w:val="26"/>
          <w:szCs w:val="26"/>
        </w:rPr>
        <w:t>Partial Settlement</w:t>
      </w:r>
      <w:r w:rsidRPr="001067E3">
        <w:rPr>
          <w:sz w:val="26"/>
          <w:szCs w:val="26"/>
        </w:rPr>
        <w:t xml:space="preserve"> included the tariff supplements and statements in support of </w:t>
      </w:r>
      <w:r w:rsidR="00B5166C">
        <w:rPr>
          <w:sz w:val="26"/>
          <w:szCs w:val="26"/>
        </w:rPr>
        <w:t xml:space="preserve">the </w:t>
      </w:r>
      <w:r w:rsidR="00DC5FEC">
        <w:rPr>
          <w:sz w:val="26"/>
          <w:szCs w:val="26"/>
        </w:rPr>
        <w:t xml:space="preserve">Partial </w:t>
      </w:r>
      <w:r w:rsidRPr="001067E3">
        <w:rPr>
          <w:sz w:val="26"/>
          <w:szCs w:val="26"/>
        </w:rPr>
        <w:t>Settlement filed by</w:t>
      </w:r>
      <w:r w:rsidRPr="001067E3">
        <w:rPr>
          <w:b/>
          <w:sz w:val="26"/>
          <w:szCs w:val="26"/>
        </w:rPr>
        <w:t xml:space="preserve"> </w:t>
      </w:r>
      <w:r w:rsidRPr="001067E3">
        <w:rPr>
          <w:sz w:val="26"/>
          <w:szCs w:val="26"/>
        </w:rPr>
        <w:t xml:space="preserve">I&amp;E, </w:t>
      </w:r>
      <w:r w:rsidR="00BB0BBE">
        <w:rPr>
          <w:sz w:val="26"/>
          <w:szCs w:val="26"/>
        </w:rPr>
        <w:t xml:space="preserve">the </w:t>
      </w:r>
      <w:r w:rsidRPr="001067E3">
        <w:rPr>
          <w:sz w:val="26"/>
          <w:szCs w:val="26"/>
        </w:rPr>
        <w:t xml:space="preserve">OCA, </w:t>
      </w:r>
      <w:r w:rsidR="00BB0BBE">
        <w:rPr>
          <w:sz w:val="26"/>
          <w:szCs w:val="26"/>
        </w:rPr>
        <w:t xml:space="preserve">the </w:t>
      </w:r>
      <w:r w:rsidRPr="001067E3">
        <w:rPr>
          <w:sz w:val="26"/>
          <w:szCs w:val="26"/>
        </w:rPr>
        <w:t xml:space="preserve">OSBA, CII, the NGS Parties, the Direct Energy Companies, CAUSE-PA, CAAP, PSU and </w:t>
      </w:r>
      <w:r w:rsidRPr="006539BD">
        <w:rPr>
          <w:sz w:val="26"/>
          <w:szCs w:val="26"/>
        </w:rPr>
        <w:t>Columbia</w:t>
      </w:r>
      <w:r w:rsidR="006539BD" w:rsidRPr="006539BD">
        <w:rPr>
          <w:sz w:val="26"/>
          <w:szCs w:val="26"/>
        </w:rPr>
        <w:t>.  These documents were</w:t>
      </w:r>
      <w:r w:rsidRPr="002B1D7C">
        <w:rPr>
          <w:sz w:val="26"/>
        </w:rPr>
        <w:t xml:space="preserve"> </w:t>
      </w:r>
      <w:r w:rsidRPr="006539BD">
        <w:rPr>
          <w:sz w:val="26"/>
          <w:szCs w:val="26"/>
        </w:rPr>
        <w:t xml:space="preserve">attached to the </w:t>
      </w:r>
      <w:r w:rsidR="00E940D6" w:rsidRPr="006539BD">
        <w:rPr>
          <w:sz w:val="26"/>
          <w:szCs w:val="26"/>
        </w:rPr>
        <w:t xml:space="preserve">Partial </w:t>
      </w:r>
      <w:r w:rsidRPr="006539BD">
        <w:rPr>
          <w:sz w:val="26"/>
          <w:szCs w:val="26"/>
        </w:rPr>
        <w:t>Settlement as Appendices A through M</w:t>
      </w:r>
      <w:r w:rsidR="008A390F">
        <w:rPr>
          <w:sz w:val="26"/>
          <w:szCs w:val="26"/>
        </w:rPr>
        <w:t xml:space="preserve"> (</w:t>
      </w:r>
      <w:r w:rsidR="008A390F" w:rsidRPr="00B03593">
        <w:rPr>
          <w:sz w:val="26"/>
          <w:szCs w:val="26"/>
        </w:rPr>
        <w:t>Appendices A and B</w:t>
      </w:r>
      <w:r w:rsidR="008A390F">
        <w:rPr>
          <w:sz w:val="26"/>
          <w:szCs w:val="26"/>
        </w:rPr>
        <w:t>,</w:t>
      </w:r>
      <w:r w:rsidR="008A390F" w:rsidRPr="00B03593">
        <w:rPr>
          <w:sz w:val="26"/>
          <w:szCs w:val="26"/>
        </w:rPr>
        <w:t xml:space="preserve"> pertaining to Increase by Rate Class and Allocation of Proposed Annual Revenues by Rate Schedule </w:t>
      </w:r>
      <w:r w:rsidR="00501C86">
        <w:rPr>
          <w:sz w:val="26"/>
          <w:szCs w:val="26"/>
        </w:rPr>
        <w:t>B</w:t>
      </w:r>
      <w:r w:rsidR="008A390F" w:rsidRPr="00B03593">
        <w:rPr>
          <w:sz w:val="26"/>
          <w:szCs w:val="26"/>
        </w:rPr>
        <w:t>ased on Revenue Requirement are reproduced and attached hereto</w:t>
      </w:r>
      <w:r w:rsidR="008A390F">
        <w:rPr>
          <w:sz w:val="26"/>
          <w:szCs w:val="26"/>
        </w:rPr>
        <w:t>).</w:t>
      </w:r>
      <w:r w:rsidRPr="002B1D7C">
        <w:rPr>
          <w:sz w:val="26"/>
        </w:rPr>
        <w:t xml:space="preserve">  </w:t>
      </w:r>
      <w:proofErr w:type="gramStart"/>
      <w:r w:rsidR="006539BD" w:rsidRPr="006539BD">
        <w:rPr>
          <w:sz w:val="26"/>
          <w:szCs w:val="26"/>
        </w:rPr>
        <w:t>All of</w:t>
      </w:r>
      <w:proofErr w:type="gramEnd"/>
      <w:r w:rsidR="006539BD" w:rsidRPr="006539BD">
        <w:rPr>
          <w:sz w:val="26"/>
          <w:szCs w:val="26"/>
        </w:rPr>
        <w:t xml:space="preserve"> the active Parties in the rate proceeding </w:t>
      </w:r>
      <w:r w:rsidR="00116164">
        <w:rPr>
          <w:sz w:val="26"/>
          <w:szCs w:val="26"/>
        </w:rPr>
        <w:t>agreed with the terms and conditions in the</w:t>
      </w:r>
      <w:r w:rsidR="006539BD" w:rsidRPr="006539BD">
        <w:rPr>
          <w:sz w:val="26"/>
          <w:szCs w:val="26"/>
        </w:rPr>
        <w:t xml:space="preserve"> Partial Settlement.</w:t>
      </w:r>
      <w:r w:rsidRPr="006539BD">
        <w:rPr>
          <w:sz w:val="26"/>
          <w:szCs w:val="26"/>
          <w:vertAlign w:val="superscript"/>
        </w:rPr>
        <w:footnoteReference w:id="4"/>
      </w:r>
    </w:p>
    <w:p w14:paraId="029FD11D" w14:textId="77777777" w:rsidR="00F81C50" w:rsidRDefault="00F81C50" w:rsidP="002E6D96">
      <w:pPr>
        <w:widowControl/>
        <w:spacing w:line="360" w:lineRule="auto"/>
        <w:ind w:firstLine="1440"/>
        <w:rPr>
          <w:sz w:val="26"/>
          <w:szCs w:val="26"/>
        </w:rPr>
      </w:pPr>
    </w:p>
    <w:p w14:paraId="4825E47B" w14:textId="3E30E58D" w:rsidR="00E94066" w:rsidRDefault="00E94066" w:rsidP="002E6D96">
      <w:pPr>
        <w:widowControl/>
        <w:spacing w:line="360" w:lineRule="auto"/>
        <w:ind w:firstLine="1440"/>
        <w:rPr>
          <w:sz w:val="26"/>
          <w:szCs w:val="26"/>
        </w:rPr>
      </w:pPr>
      <w:r w:rsidRPr="001067E3">
        <w:rPr>
          <w:sz w:val="26"/>
          <w:szCs w:val="26"/>
        </w:rPr>
        <w:t>On September 4, 2018, written notice was provided to Complainants</w:t>
      </w:r>
      <w:r w:rsidRPr="001067E3">
        <w:rPr>
          <w:b/>
          <w:sz w:val="26"/>
          <w:szCs w:val="26"/>
        </w:rPr>
        <w:t xml:space="preserve"> </w:t>
      </w:r>
      <w:r w:rsidRPr="001067E3">
        <w:rPr>
          <w:sz w:val="26"/>
          <w:szCs w:val="26"/>
        </w:rPr>
        <w:t>G.</w:t>
      </w:r>
      <w:r w:rsidR="00116164">
        <w:rPr>
          <w:sz w:val="26"/>
          <w:szCs w:val="26"/>
        </w:rPr>
        <w:t> </w:t>
      </w:r>
      <w:r w:rsidRPr="001067E3">
        <w:rPr>
          <w:sz w:val="26"/>
          <w:szCs w:val="26"/>
        </w:rPr>
        <w:t xml:space="preserve">Blair Bauer, Philip L. Bloch, Robin A. Harrison and Patricia Southorn (individual </w:t>
      </w:r>
      <w:r w:rsidR="00016EAC">
        <w:rPr>
          <w:sz w:val="26"/>
          <w:szCs w:val="26"/>
        </w:rPr>
        <w:lastRenderedPageBreak/>
        <w:t>Columbia customers</w:t>
      </w:r>
      <w:r w:rsidRPr="001067E3">
        <w:rPr>
          <w:sz w:val="26"/>
          <w:szCs w:val="26"/>
        </w:rPr>
        <w:t xml:space="preserve">) by </w:t>
      </w:r>
      <w:r w:rsidR="00D249B8">
        <w:rPr>
          <w:sz w:val="26"/>
          <w:szCs w:val="26"/>
        </w:rPr>
        <w:t>AL</w:t>
      </w:r>
      <w:r w:rsidR="00387D62">
        <w:rPr>
          <w:sz w:val="26"/>
          <w:szCs w:val="26"/>
        </w:rPr>
        <w:t>J</w:t>
      </w:r>
      <w:r w:rsidR="00D249B8">
        <w:rPr>
          <w:sz w:val="26"/>
          <w:szCs w:val="26"/>
        </w:rPr>
        <w:t xml:space="preserve"> Watson</w:t>
      </w:r>
      <w:r w:rsidRPr="001067E3">
        <w:rPr>
          <w:sz w:val="26"/>
          <w:szCs w:val="26"/>
        </w:rPr>
        <w:t xml:space="preserve"> acknowledging that they were listed on the certificate of service attached to the Joint Petition.  The notice advised the individual </w:t>
      </w:r>
      <w:r w:rsidR="00116164">
        <w:rPr>
          <w:sz w:val="26"/>
          <w:szCs w:val="26"/>
        </w:rPr>
        <w:t>C</w:t>
      </w:r>
      <w:r w:rsidRPr="001067E3">
        <w:rPr>
          <w:sz w:val="26"/>
          <w:szCs w:val="26"/>
        </w:rPr>
        <w:t xml:space="preserve">omplainants to carefully review the </w:t>
      </w:r>
      <w:r w:rsidR="00116164">
        <w:rPr>
          <w:sz w:val="26"/>
          <w:szCs w:val="26"/>
        </w:rPr>
        <w:t xml:space="preserve">Joint </w:t>
      </w:r>
      <w:r w:rsidRPr="001067E3">
        <w:rPr>
          <w:color w:val="0D0D0D"/>
          <w:sz w:val="26"/>
          <w:szCs w:val="26"/>
        </w:rPr>
        <w:t xml:space="preserve">Petition </w:t>
      </w:r>
      <w:r w:rsidR="00387D62">
        <w:rPr>
          <w:color w:val="0D0D0D"/>
          <w:sz w:val="26"/>
          <w:szCs w:val="26"/>
        </w:rPr>
        <w:t>f</w:t>
      </w:r>
      <w:r w:rsidRPr="001067E3">
        <w:rPr>
          <w:color w:val="0D0D0D"/>
          <w:sz w:val="26"/>
          <w:szCs w:val="26"/>
        </w:rPr>
        <w:t xml:space="preserve">or Partial Settlement </w:t>
      </w:r>
      <w:r w:rsidR="00116164">
        <w:rPr>
          <w:color w:val="0D0D0D"/>
          <w:sz w:val="26"/>
          <w:szCs w:val="26"/>
        </w:rPr>
        <w:t xml:space="preserve">that was </w:t>
      </w:r>
      <w:r w:rsidRPr="001067E3">
        <w:rPr>
          <w:sz w:val="26"/>
          <w:szCs w:val="26"/>
        </w:rPr>
        <w:t xml:space="preserve">filed on August 31, 2018.  The individual </w:t>
      </w:r>
      <w:r w:rsidR="006539BD">
        <w:rPr>
          <w:sz w:val="26"/>
          <w:szCs w:val="26"/>
        </w:rPr>
        <w:t>C</w:t>
      </w:r>
      <w:r w:rsidRPr="001067E3">
        <w:rPr>
          <w:sz w:val="26"/>
          <w:szCs w:val="26"/>
        </w:rPr>
        <w:t xml:space="preserve">omplainants were advised that they must file any objection to the </w:t>
      </w:r>
      <w:r w:rsidR="00387D62">
        <w:rPr>
          <w:sz w:val="26"/>
          <w:szCs w:val="26"/>
        </w:rPr>
        <w:t xml:space="preserve">proposed </w:t>
      </w:r>
      <w:r w:rsidR="00E940D6">
        <w:rPr>
          <w:sz w:val="26"/>
          <w:szCs w:val="26"/>
        </w:rPr>
        <w:t xml:space="preserve">Partial </w:t>
      </w:r>
      <w:r w:rsidRPr="001067E3">
        <w:rPr>
          <w:sz w:val="26"/>
          <w:szCs w:val="26"/>
        </w:rPr>
        <w:t xml:space="preserve">Settlement in writing with the Secretary </w:t>
      </w:r>
      <w:r w:rsidR="006539BD">
        <w:rPr>
          <w:sz w:val="26"/>
          <w:szCs w:val="26"/>
        </w:rPr>
        <w:t>of</w:t>
      </w:r>
      <w:r w:rsidRPr="001067E3">
        <w:rPr>
          <w:sz w:val="26"/>
          <w:szCs w:val="26"/>
        </w:rPr>
        <w:t xml:space="preserve"> the Commission and that all objections must be received by all </w:t>
      </w:r>
      <w:r w:rsidR="006539BD">
        <w:rPr>
          <w:sz w:val="26"/>
          <w:szCs w:val="26"/>
        </w:rPr>
        <w:t>P</w:t>
      </w:r>
      <w:r w:rsidRPr="001067E3">
        <w:rPr>
          <w:sz w:val="26"/>
          <w:szCs w:val="26"/>
        </w:rPr>
        <w:t xml:space="preserve">arties listed on the service list and the </w:t>
      </w:r>
      <w:r w:rsidR="006539BD">
        <w:rPr>
          <w:sz w:val="26"/>
          <w:szCs w:val="26"/>
        </w:rPr>
        <w:t>P</w:t>
      </w:r>
      <w:r w:rsidRPr="001067E3">
        <w:rPr>
          <w:sz w:val="26"/>
          <w:szCs w:val="26"/>
        </w:rPr>
        <w:t xml:space="preserve">residing </w:t>
      </w:r>
      <w:r w:rsidR="006539BD">
        <w:rPr>
          <w:sz w:val="26"/>
          <w:szCs w:val="26"/>
        </w:rPr>
        <w:t>O</w:t>
      </w:r>
      <w:r w:rsidRPr="001067E3">
        <w:rPr>
          <w:sz w:val="26"/>
          <w:szCs w:val="26"/>
        </w:rPr>
        <w:t xml:space="preserve">fficer no later than 4:30 p.m. on Wednesday, September 12, 2018.  The individual </w:t>
      </w:r>
      <w:r w:rsidR="006539BD">
        <w:rPr>
          <w:sz w:val="26"/>
          <w:szCs w:val="26"/>
        </w:rPr>
        <w:t>C</w:t>
      </w:r>
      <w:r w:rsidRPr="001067E3">
        <w:rPr>
          <w:sz w:val="26"/>
          <w:szCs w:val="26"/>
        </w:rPr>
        <w:t>omplainants were advised that any objection received after that time would not be considered.</w:t>
      </w:r>
    </w:p>
    <w:p w14:paraId="70BB1D32" w14:textId="77777777" w:rsidR="00953C2F" w:rsidRPr="001067E3" w:rsidRDefault="00953C2F" w:rsidP="002E6D96">
      <w:pPr>
        <w:widowControl/>
        <w:spacing w:line="360" w:lineRule="auto"/>
        <w:ind w:firstLine="1440"/>
        <w:rPr>
          <w:sz w:val="26"/>
          <w:szCs w:val="26"/>
        </w:rPr>
      </w:pPr>
    </w:p>
    <w:p w14:paraId="555C0831" w14:textId="74E32B9C" w:rsidR="00E94066" w:rsidRPr="001067E3" w:rsidRDefault="00E94066" w:rsidP="002E6D96">
      <w:pPr>
        <w:widowControl/>
        <w:spacing w:line="360" w:lineRule="auto"/>
        <w:ind w:firstLine="1440"/>
        <w:rPr>
          <w:sz w:val="26"/>
          <w:szCs w:val="26"/>
        </w:rPr>
      </w:pPr>
      <w:r w:rsidRPr="001067E3">
        <w:rPr>
          <w:sz w:val="26"/>
          <w:szCs w:val="26"/>
        </w:rPr>
        <w:t xml:space="preserve">On September 14, 2018, an </w:t>
      </w:r>
      <w:r w:rsidR="00FD5459">
        <w:rPr>
          <w:sz w:val="26"/>
          <w:szCs w:val="26"/>
        </w:rPr>
        <w:t>I</w:t>
      </w:r>
      <w:r w:rsidRPr="001067E3">
        <w:rPr>
          <w:sz w:val="26"/>
          <w:szCs w:val="26"/>
        </w:rPr>
        <w:t xml:space="preserve">nterim </w:t>
      </w:r>
      <w:r w:rsidR="00FD5459">
        <w:rPr>
          <w:sz w:val="26"/>
          <w:szCs w:val="26"/>
        </w:rPr>
        <w:t>O</w:t>
      </w:r>
      <w:r w:rsidRPr="001067E3">
        <w:rPr>
          <w:sz w:val="26"/>
          <w:szCs w:val="26"/>
        </w:rPr>
        <w:t>rder was issued which admitted the Joint Petition for Partial Settlement into the record along with the attached Appendices marked as A through M and closed the record.</w:t>
      </w:r>
    </w:p>
    <w:p w14:paraId="46B3118C" w14:textId="77777777" w:rsidR="00E94066" w:rsidRPr="001067E3" w:rsidRDefault="00E94066" w:rsidP="002E6D96">
      <w:pPr>
        <w:widowControl/>
        <w:spacing w:line="360" w:lineRule="auto"/>
        <w:ind w:firstLine="1440"/>
        <w:rPr>
          <w:sz w:val="26"/>
          <w:szCs w:val="26"/>
        </w:rPr>
      </w:pPr>
    </w:p>
    <w:p w14:paraId="5EB50837" w14:textId="4A0CF443" w:rsidR="00E94066" w:rsidRPr="001067E3" w:rsidRDefault="00E94066" w:rsidP="002E6D96">
      <w:pPr>
        <w:widowControl/>
        <w:spacing w:line="360" w:lineRule="auto"/>
        <w:ind w:firstLine="1440"/>
        <w:rPr>
          <w:sz w:val="26"/>
          <w:szCs w:val="26"/>
        </w:rPr>
      </w:pPr>
      <w:r w:rsidRPr="001067E3">
        <w:rPr>
          <w:sz w:val="26"/>
          <w:szCs w:val="26"/>
        </w:rPr>
        <w:t xml:space="preserve">No objection was received by </w:t>
      </w:r>
      <w:r w:rsidR="003647E6">
        <w:rPr>
          <w:sz w:val="26"/>
          <w:szCs w:val="26"/>
        </w:rPr>
        <w:t>ALJ Watson</w:t>
      </w:r>
      <w:r w:rsidRPr="001067E3">
        <w:rPr>
          <w:sz w:val="26"/>
          <w:szCs w:val="26"/>
        </w:rPr>
        <w:t xml:space="preserve"> from</w:t>
      </w:r>
      <w:r w:rsidRPr="001067E3">
        <w:rPr>
          <w:b/>
          <w:sz w:val="26"/>
          <w:szCs w:val="26"/>
        </w:rPr>
        <w:t xml:space="preserve"> </w:t>
      </w:r>
      <w:r w:rsidRPr="001067E3">
        <w:rPr>
          <w:sz w:val="26"/>
          <w:szCs w:val="26"/>
        </w:rPr>
        <w:t>Complainants</w:t>
      </w:r>
      <w:r w:rsidRPr="001067E3">
        <w:rPr>
          <w:b/>
          <w:sz w:val="26"/>
          <w:szCs w:val="26"/>
        </w:rPr>
        <w:t xml:space="preserve"> </w:t>
      </w:r>
      <w:r w:rsidRPr="001067E3">
        <w:rPr>
          <w:sz w:val="26"/>
          <w:szCs w:val="26"/>
        </w:rPr>
        <w:t>G. Blair Bauer, Philip L. Bloch, Robin A. Harrison and Patricia Southorn on or before September</w:t>
      </w:r>
      <w:r w:rsidR="00FD5459">
        <w:rPr>
          <w:sz w:val="26"/>
          <w:szCs w:val="26"/>
        </w:rPr>
        <w:t> </w:t>
      </w:r>
      <w:r w:rsidRPr="001067E3">
        <w:rPr>
          <w:sz w:val="26"/>
          <w:szCs w:val="26"/>
        </w:rPr>
        <w:t>12, 2018.</w:t>
      </w:r>
    </w:p>
    <w:p w14:paraId="62091672" w14:textId="77777777" w:rsidR="00E94066" w:rsidRPr="001067E3" w:rsidRDefault="00E94066" w:rsidP="002E6D96">
      <w:pPr>
        <w:widowControl/>
        <w:spacing w:line="360" w:lineRule="auto"/>
        <w:ind w:firstLine="1440"/>
        <w:rPr>
          <w:sz w:val="26"/>
          <w:szCs w:val="26"/>
        </w:rPr>
      </w:pPr>
    </w:p>
    <w:p w14:paraId="11AF05E8" w14:textId="51DF878C" w:rsidR="00E94066" w:rsidRDefault="006E1F53" w:rsidP="002E6D96">
      <w:pPr>
        <w:widowControl/>
        <w:spacing w:line="360" w:lineRule="auto"/>
        <w:ind w:firstLine="1440"/>
        <w:rPr>
          <w:sz w:val="26"/>
          <w:szCs w:val="26"/>
        </w:rPr>
      </w:pPr>
      <w:r>
        <w:rPr>
          <w:sz w:val="26"/>
          <w:szCs w:val="26"/>
        </w:rPr>
        <w:t xml:space="preserve">On September </w:t>
      </w:r>
      <w:r w:rsidR="00FD5459">
        <w:rPr>
          <w:sz w:val="26"/>
          <w:szCs w:val="26"/>
        </w:rPr>
        <w:t>2</w:t>
      </w:r>
      <w:r>
        <w:rPr>
          <w:sz w:val="26"/>
          <w:szCs w:val="26"/>
        </w:rPr>
        <w:t xml:space="preserve">8, 2018, </w:t>
      </w:r>
      <w:r w:rsidR="003647E6">
        <w:rPr>
          <w:sz w:val="26"/>
          <w:szCs w:val="26"/>
        </w:rPr>
        <w:t>ALJ</w:t>
      </w:r>
      <w:r>
        <w:rPr>
          <w:sz w:val="26"/>
          <w:szCs w:val="26"/>
        </w:rPr>
        <w:t xml:space="preserve"> Watson issued </w:t>
      </w:r>
      <w:r w:rsidR="00FD5459">
        <w:rPr>
          <w:sz w:val="26"/>
          <w:szCs w:val="26"/>
        </w:rPr>
        <w:t>his</w:t>
      </w:r>
      <w:r>
        <w:rPr>
          <w:sz w:val="26"/>
          <w:szCs w:val="26"/>
        </w:rPr>
        <w:t xml:space="preserve"> </w:t>
      </w:r>
      <w:r w:rsidR="00E94066" w:rsidRPr="001067E3">
        <w:rPr>
          <w:sz w:val="26"/>
          <w:szCs w:val="26"/>
        </w:rPr>
        <w:t xml:space="preserve">Recommended Decision </w:t>
      </w:r>
      <w:r w:rsidR="00FD5459">
        <w:rPr>
          <w:sz w:val="26"/>
          <w:szCs w:val="26"/>
        </w:rPr>
        <w:t xml:space="preserve">in </w:t>
      </w:r>
      <w:r w:rsidR="00E62620">
        <w:rPr>
          <w:sz w:val="26"/>
          <w:szCs w:val="26"/>
        </w:rPr>
        <w:t xml:space="preserve">which </w:t>
      </w:r>
      <w:r w:rsidR="00FD5459">
        <w:rPr>
          <w:sz w:val="26"/>
          <w:szCs w:val="26"/>
        </w:rPr>
        <w:t>he</w:t>
      </w:r>
      <w:r w:rsidR="00114D9F">
        <w:rPr>
          <w:sz w:val="26"/>
          <w:szCs w:val="26"/>
        </w:rPr>
        <w:t>: (1)</w:t>
      </w:r>
      <w:r w:rsidR="00FD5459">
        <w:rPr>
          <w:sz w:val="26"/>
          <w:szCs w:val="26"/>
        </w:rPr>
        <w:t xml:space="preserve"> rec</w:t>
      </w:r>
      <w:r w:rsidR="00E94066" w:rsidRPr="001067E3">
        <w:rPr>
          <w:sz w:val="26"/>
          <w:szCs w:val="26"/>
        </w:rPr>
        <w:t>ommend</w:t>
      </w:r>
      <w:r>
        <w:rPr>
          <w:sz w:val="26"/>
          <w:szCs w:val="26"/>
        </w:rPr>
        <w:t xml:space="preserve">ed </w:t>
      </w:r>
      <w:r w:rsidR="00196A6E">
        <w:rPr>
          <w:sz w:val="26"/>
          <w:szCs w:val="26"/>
        </w:rPr>
        <w:t xml:space="preserve">that </w:t>
      </w:r>
      <w:r w:rsidR="00E94066" w:rsidRPr="001067E3">
        <w:rPr>
          <w:sz w:val="26"/>
          <w:szCs w:val="26"/>
        </w:rPr>
        <w:t xml:space="preserve">the </w:t>
      </w:r>
      <w:r w:rsidR="001C3D07">
        <w:rPr>
          <w:sz w:val="26"/>
          <w:szCs w:val="26"/>
        </w:rPr>
        <w:t xml:space="preserve">terms and conditions of the </w:t>
      </w:r>
      <w:r w:rsidR="00DC5FEC">
        <w:rPr>
          <w:sz w:val="26"/>
          <w:szCs w:val="26"/>
        </w:rPr>
        <w:t>Partial Settlement</w:t>
      </w:r>
      <w:r w:rsidR="00E94066" w:rsidRPr="001067E3">
        <w:rPr>
          <w:sz w:val="26"/>
          <w:szCs w:val="26"/>
        </w:rPr>
        <w:t xml:space="preserve"> be adopted, without modification</w:t>
      </w:r>
      <w:r w:rsidR="00114D9F">
        <w:rPr>
          <w:sz w:val="26"/>
          <w:szCs w:val="26"/>
        </w:rPr>
        <w:t>;</w:t>
      </w:r>
      <w:r w:rsidR="00E94066" w:rsidRPr="001067E3">
        <w:rPr>
          <w:sz w:val="26"/>
          <w:szCs w:val="26"/>
        </w:rPr>
        <w:t xml:space="preserve"> </w:t>
      </w:r>
      <w:r w:rsidR="00114D9F">
        <w:rPr>
          <w:sz w:val="26"/>
          <w:szCs w:val="26"/>
        </w:rPr>
        <w:t>(2)</w:t>
      </w:r>
      <w:r w:rsidR="00E94066" w:rsidRPr="001067E3">
        <w:rPr>
          <w:sz w:val="26"/>
          <w:szCs w:val="26"/>
        </w:rPr>
        <w:t xml:space="preserve"> </w:t>
      </w:r>
      <w:r w:rsidR="00C527E6">
        <w:rPr>
          <w:sz w:val="26"/>
          <w:szCs w:val="26"/>
        </w:rPr>
        <w:t>f</w:t>
      </w:r>
      <w:r>
        <w:rPr>
          <w:sz w:val="26"/>
          <w:szCs w:val="26"/>
        </w:rPr>
        <w:t>ound</w:t>
      </w:r>
      <w:r w:rsidR="00316A5E">
        <w:rPr>
          <w:sz w:val="26"/>
          <w:szCs w:val="26"/>
        </w:rPr>
        <w:t xml:space="preserve">, as matter of law, </w:t>
      </w:r>
      <w:r w:rsidR="00C527E6">
        <w:rPr>
          <w:sz w:val="26"/>
          <w:szCs w:val="26"/>
        </w:rPr>
        <w:t xml:space="preserve">that </w:t>
      </w:r>
      <w:r w:rsidR="00E94066" w:rsidRPr="001067E3">
        <w:rPr>
          <w:sz w:val="26"/>
          <w:szCs w:val="26"/>
        </w:rPr>
        <w:t>Columbia</w:t>
      </w:r>
      <w:r w:rsidR="00C527E6">
        <w:rPr>
          <w:sz w:val="26"/>
          <w:szCs w:val="26"/>
        </w:rPr>
        <w:t xml:space="preserve">’s </w:t>
      </w:r>
      <w:r w:rsidR="001B4189">
        <w:rPr>
          <w:sz w:val="26"/>
          <w:szCs w:val="26"/>
        </w:rPr>
        <w:t xml:space="preserve">billing </w:t>
      </w:r>
      <w:r w:rsidR="00C527E6">
        <w:rPr>
          <w:sz w:val="26"/>
          <w:szCs w:val="26"/>
        </w:rPr>
        <w:t>practice</w:t>
      </w:r>
      <w:r w:rsidR="00E94066" w:rsidRPr="001067E3">
        <w:rPr>
          <w:sz w:val="26"/>
          <w:szCs w:val="26"/>
        </w:rPr>
        <w:t xml:space="preserve"> </w:t>
      </w:r>
      <w:r w:rsidR="001B4189">
        <w:rPr>
          <w:sz w:val="26"/>
          <w:szCs w:val="26"/>
        </w:rPr>
        <w:t xml:space="preserve">of </w:t>
      </w:r>
      <w:r w:rsidR="00E94066" w:rsidRPr="001067E3">
        <w:rPr>
          <w:sz w:val="26"/>
          <w:szCs w:val="26"/>
        </w:rPr>
        <w:t>includ</w:t>
      </w:r>
      <w:r w:rsidR="001C3D07">
        <w:rPr>
          <w:sz w:val="26"/>
          <w:szCs w:val="26"/>
        </w:rPr>
        <w:t>ing</w:t>
      </w:r>
      <w:r w:rsidR="00E94066" w:rsidRPr="001067E3">
        <w:rPr>
          <w:sz w:val="26"/>
          <w:szCs w:val="26"/>
        </w:rPr>
        <w:t xml:space="preserve"> on its bills</w:t>
      </w:r>
      <w:r w:rsidR="00FD5459">
        <w:rPr>
          <w:sz w:val="26"/>
          <w:szCs w:val="26"/>
        </w:rPr>
        <w:t>,</w:t>
      </w:r>
      <w:r w:rsidR="00E94066" w:rsidRPr="001067E3">
        <w:rPr>
          <w:sz w:val="26"/>
          <w:szCs w:val="26"/>
        </w:rPr>
        <w:t xml:space="preserve"> a separate line item charge for non-commodity services offered by </w:t>
      </w:r>
      <w:r w:rsidR="00196A6E">
        <w:rPr>
          <w:sz w:val="26"/>
          <w:szCs w:val="26"/>
        </w:rPr>
        <w:t>third parties</w:t>
      </w:r>
      <w:r w:rsidR="00FD5459">
        <w:rPr>
          <w:sz w:val="26"/>
          <w:szCs w:val="26"/>
        </w:rPr>
        <w:t>,</w:t>
      </w:r>
      <w:r w:rsidR="00196A6E">
        <w:rPr>
          <w:sz w:val="26"/>
          <w:szCs w:val="26"/>
        </w:rPr>
        <w:t xml:space="preserve"> </w:t>
      </w:r>
      <w:r w:rsidR="001B4189">
        <w:rPr>
          <w:sz w:val="26"/>
          <w:szCs w:val="26"/>
        </w:rPr>
        <w:t>is not subject to the Commission jurisdiction under Section 1502 of the Code</w:t>
      </w:r>
      <w:r>
        <w:rPr>
          <w:sz w:val="26"/>
          <w:szCs w:val="26"/>
        </w:rPr>
        <w:t xml:space="preserve"> (</w:t>
      </w:r>
      <w:r w:rsidR="001B4189">
        <w:rPr>
          <w:sz w:val="26"/>
          <w:szCs w:val="26"/>
        </w:rPr>
        <w:t>prohibiting discrimination in provision of service</w:t>
      </w:r>
      <w:r>
        <w:rPr>
          <w:sz w:val="26"/>
          <w:szCs w:val="26"/>
        </w:rPr>
        <w:t>)</w:t>
      </w:r>
      <w:r w:rsidR="00114D9F">
        <w:rPr>
          <w:sz w:val="26"/>
          <w:szCs w:val="26"/>
        </w:rPr>
        <w:t>;</w:t>
      </w:r>
      <w:r w:rsidR="001B4189">
        <w:rPr>
          <w:sz w:val="26"/>
          <w:szCs w:val="26"/>
        </w:rPr>
        <w:t xml:space="preserve"> and </w:t>
      </w:r>
      <w:r w:rsidR="00114D9F">
        <w:rPr>
          <w:sz w:val="26"/>
          <w:szCs w:val="26"/>
        </w:rPr>
        <w:t xml:space="preserve">(3) </w:t>
      </w:r>
      <w:r w:rsidR="001B4189">
        <w:rPr>
          <w:sz w:val="26"/>
          <w:szCs w:val="26"/>
        </w:rPr>
        <w:t>f</w:t>
      </w:r>
      <w:r w:rsidR="00E62620">
        <w:rPr>
          <w:sz w:val="26"/>
          <w:szCs w:val="26"/>
        </w:rPr>
        <w:t>ound</w:t>
      </w:r>
      <w:r w:rsidR="00316A5E">
        <w:rPr>
          <w:sz w:val="26"/>
          <w:szCs w:val="26"/>
        </w:rPr>
        <w:t>,</w:t>
      </w:r>
      <w:r w:rsidR="001B4189">
        <w:rPr>
          <w:sz w:val="26"/>
          <w:szCs w:val="26"/>
        </w:rPr>
        <w:t xml:space="preserve"> </w:t>
      </w:r>
      <w:r w:rsidR="001C3D07">
        <w:rPr>
          <w:sz w:val="26"/>
          <w:szCs w:val="26"/>
        </w:rPr>
        <w:t xml:space="preserve">as matter of fact, </w:t>
      </w:r>
      <w:r w:rsidR="00114D9F">
        <w:rPr>
          <w:sz w:val="26"/>
          <w:szCs w:val="26"/>
        </w:rPr>
        <w:t xml:space="preserve">that </w:t>
      </w:r>
      <w:r w:rsidR="00E62620">
        <w:rPr>
          <w:sz w:val="26"/>
          <w:szCs w:val="26"/>
        </w:rPr>
        <w:t>Columbia’s billing practice was not discriminatory against the NGS Parties.</w:t>
      </w:r>
    </w:p>
    <w:p w14:paraId="075FD4FD" w14:textId="027A9A32" w:rsidR="00E91353" w:rsidRDefault="00E91353" w:rsidP="002E6D96">
      <w:pPr>
        <w:widowControl/>
        <w:spacing w:line="360" w:lineRule="auto"/>
        <w:ind w:firstLine="1440"/>
        <w:rPr>
          <w:sz w:val="26"/>
          <w:szCs w:val="26"/>
        </w:rPr>
      </w:pPr>
    </w:p>
    <w:p w14:paraId="347A310E" w14:textId="28A51852" w:rsidR="00E91353" w:rsidRPr="001067E3" w:rsidRDefault="00E91353" w:rsidP="002E6D96">
      <w:pPr>
        <w:widowControl/>
        <w:spacing w:line="360" w:lineRule="auto"/>
        <w:ind w:firstLine="1440"/>
        <w:rPr>
          <w:sz w:val="26"/>
          <w:szCs w:val="26"/>
        </w:rPr>
      </w:pPr>
      <w:r>
        <w:rPr>
          <w:sz w:val="26"/>
          <w:szCs w:val="26"/>
        </w:rPr>
        <w:t xml:space="preserve">As noted, Joint Exceptions to the Recommended Decision were filed </w:t>
      </w:r>
      <w:r w:rsidR="001303BD">
        <w:rPr>
          <w:sz w:val="26"/>
          <w:szCs w:val="26"/>
        </w:rPr>
        <w:t xml:space="preserve">on </w:t>
      </w:r>
      <w:r>
        <w:rPr>
          <w:rFonts w:eastAsia="Calibri"/>
          <w:sz w:val="26"/>
          <w:szCs w:val="26"/>
        </w:rPr>
        <w:t xml:space="preserve">October 15, 2018, by </w:t>
      </w:r>
      <w:r w:rsidRPr="00436D11">
        <w:rPr>
          <w:sz w:val="26"/>
          <w:szCs w:val="26"/>
        </w:rPr>
        <w:t>the NGS Parties</w:t>
      </w:r>
      <w:r w:rsidR="001303BD">
        <w:rPr>
          <w:sz w:val="26"/>
          <w:szCs w:val="26"/>
        </w:rPr>
        <w:t xml:space="preserve">.  </w:t>
      </w:r>
      <w:r w:rsidR="001303BD" w:rsidRPr="003C351F">
        <w:rPr>
          <w:rFonts w:eastAsia="Calibri"/>
          <w:sz w:val="26"/>
          <w:szCs w:val="26"/>
        </w:rPr>
        <w:t>Replies to Exceptions</w:t>
      </w:r>
      <w:r w:rsidR="001303BD">
        <w:rPr>
          <w:rFonts w:eastAsia="Calibri"/>
          <w:sz w:val="26"/>
          <w:szCs w:val="26"/>
        </w:rPr>
        <w:t xml:space="preserve"> were filed by Columbia and the OCA on October 25, 2018.</w:t>
      </w:r>
    </w:p>
    <w:p w14:paraId="02825DBE" w14:textId="77777777" w:rsidR="00393923" w:rsidRPr="003C351F" w:rsidRDefault="00393923" w:rsidP="002E6D96">
      <w:pPr>
        <w:pStyle w:val="ListParagraph"/>
        <w:widowControl/>
        <w:spacing w:line="360" w:lineRule="auto"/>
        <w:ind w:left="0"/>
        <w:rPr>
          <w:b/>
          <w:sz w:val="26"/>
          <w:szCs w:val="26"/>
        </w:rPr>
      </w:pPr>
    </w:p>
    <w:p w14:paraId="5E52E7F0" w14:textId="77777777" w:rsidR="001C2BF8" w:rsidRPr="00114D9F" w:rsidRDefault="00114D9F" w:rsidP="002E6D96">
      <w:pPr>
        <w:keepNext/>
        <w:keepLines/>
        <w:widowControl/>
        <w:spacing w:line="360" w:lineRule="auto"/>
        <w:jc w:val="center"/>
        <w:outlineLvl w:val="0"/>
        <w:rPr>
          <w:b/>
          <w:sz w:val="26"/>
          <w:szCs w:val="26"/>
        </w:rPr>
      </w:pPr>
      <w:bookmarkStart w:id="9" w:name="_Toc531076119"/>
      <w:r>
        <w:rPr>
          <w:b/>
          <w:sz w:val="26"/>
          <w:szCs w:val="26"/>
        </w:rPr>
        <w:t>III.</w:t>
      </w:r>
      <w:r>
        <w:rPr>
          <w:b/>
          <w:sz w:val="26"/>
          <w:szCs w:val="26"/>
        </w:rPr>
        <w:tab/>
      </w:r>
      <w:r w:rsidR="00DC6D54" w:rsidRPr="00114D9F">
        <w:rPr>
          <w:b/>
          <w:sz w:val="26"/>
          <w:szCs w:val="26"/>
        </w:rPr>
        <w:t>Legal Standards</w:t>
      </w:r>
      <w:bookmarkEnd w:id="9"/>
    </w:p>
    <w:p w14:paraId="2D98B895" w14:textId="77777777" w:rsidR="00D3034C" w:rsidRPr="003C351F" w:rsidRDefault="00D3034C" w:rsidP="002E6D96">
      <w:pPr>
        <w:keepNext/>
        <w:keepLines/>
        <w:widowControl/>
        <w:spacing w:line="360" w:lineRule="auto"/>
        <w:contextualSpacing/>
        <w:rPr>
          <w:sz w:val="26"/>
          <w:szCs w:val="26"/>
        </w:rPr>
      </w:pPr>
    </w:p>
    <w:p w14:paraId="1415BCC8" w14:textId="77777777" w:rsidR="00711AED" w:rsidRDefault="00FA36CB" w:rsidP="002E6D96">
      <w:pPr>
        <w:widowControl/>
        <w:tabs>
          <w:tab w:val="left" w:pos="-720"/>
        </w:tabs>
        <w:suppressAutoHyphens/>
        <w:spacing w:line="360" w:lineRule="auto"/>
        <w:ind w:firstLine="1440"/>
        <w:contextualSpacing/>
        <w:rPr>
          <w:rFonts w:eastAsiaTheme="minorHAnsi"/>
          <w:sz w:val="26"/>
          <w:szCs w:val="26"/>
        </w:rPr>
      </w:pPr>
      <w:r w:rsidRPr="003C351F">
        <w:rPr>
          <w:rFonts w:eastAsiaTheme="minorHAnsi"/>
          <w:spacing w:val="-3"/>
          <w:sz w:val="26"/>
          <w:szCs w:val="26"/>
        </w:rPr>
        <w:t xml:space="preserve">In deciding this or any other general rate increase case brought under Section 1308(d) of the Code, 66 Pa. C.S. § 1308(d), certain general principles always apply.  </w:t>
      </w:r>
      <w:r w:rsidRPr="003C351F">
        <w:rPr>
          <w:rFonts w:eastAsiaTheme="minorHAnsi"/>
          <w:sz w:val="26"/>
          <w:szCs w:val="26"/>
        </w:rPr>
        <w:t xml:space="preserve">A public utility is entitled to an opportunity to earn a fair rate of return on the value of the property dedicated to public service.  </w:t>
      </w:r>
      <w:r w:rsidRPr="003C351F">
        <w:rPr>
          <w:rFonts w:eastAsiaTheme="minorHAnsi"/>
          <w:i/>
          <w:sz w:val="26"/>
          <w:szCs w:val="26"/>
        </w:rPr>
        <w:t>Pa. PUC v.</w:t>
      </w:r>
      <w:r w:rsidRPr="003C351F">
        <w:rPr>
          <w:rFonts w:eastAsiaTheme="minorHAnsi"/>
          <w:sz w:val="26"/>
          <w:szCs w:val="26"/>
        </w:rPr>
        <w:t xml:space="preserve"> </w:t>
      </w:r>
      <w:r w:rsidRPr="003C351F">
        <w:rPr>
          <w:rFonts w:eastAsiaTheme="minorHAnsi"/>
          <w:i/>
          <w:sz w:val="26"/>
          <w:szCs w:val="26"/>
        </w:rPr>
        <w:t>Pennsylvania Gas and Water Co.</w:t>
      </w:r>
      <w:r w:rsidRPr="003C351F">
        <w:rPr>
          <w:rFonts w:eastAsiaTheme="minorHAnsi"/>
          <w:sz w:val="26"/>
          <w:szCs w:val="26"/>
        </w:rPr>
        <w:t xml:space="preserve"> 341 A.2d 239, 251 (Pa. Cmwlth. 1975).  In determining a fair rate of return, the Commission is guided by the criteria provided by the United States Supreme Court in the landmark cases of </w:t>
      </w:r>
      <w:r w:rsidRPr="003C351F">
        <w:rPr>
          <w:rFonts w:eastAsiaTheme="minorHAnsi"/>
          <w:i/>
          <w:sz w:val="26"/>
          <w:szCs w:val="26"/>
        </w:rPr>
        <w:t>Bluefield Water Works and Improvement Co. v. Public Service Comm’n of West Virginia</w:t>
      </w:r>
      <w:r w:rsidRPr="003C351F">
        <w:rPr>
          <w:rFonts w:eastAsiaTheme="minorHAnsi"/>
          <w:sz w:val="26"/>
          <w:szCs w:val="26"/>
        </w:rPr>
        <w:t>, 262 U.S. 679 (1923)</w:t>
      </w:r>
      <w:r w:rsidR="00BC2F32">
        <w:rPr>
          <w:rFonts w:eastAsiaTheme="minorHAnsi"/>
          <w:sz w:val="26"/>
          <w:szCs w:val="26"/>
        </w:rPr>
        <w:t xml:space="preserve"> (</w:t>
      </w:r>
      <w:r w:rsidR="00BC2F32" w:rsidRPr="003C351F">
        <w:rPr>
          <w:rFonts w:eastAsiaTheme="minorHAnsi"/>
          <w:i/>
          <w:sz w:val="26"/>
          <w:szCs w:val="26"/>
        </w:rPr>
        <w:t>Bluefield</w:t>
      </w:r>
      <w:r w:rsidR="00BC2F32">
        <w:rPr>
          <w:rFonts w:eastAsiaTheme="minorHAnsi"/>
          <w:sz w:val="26"/>
          <w:szCs w:val="26"/>
        </w:rPr>
        <w:t>)</w:t>
      </w:r>
      <w:r w:rsidRPr="003C351F">
        <w:rPr>
          <w:rFonts w:eastAsiaTheme="minorHAnsi"/>
          <w:sz w:val="26"/>
          <w:szCs w:val="26"/>
        </w:rPr>
        <w:t xml:space="preserve"> and </w:t>
      </w:r>
      <w:r w:rsidRPr="003C351F">
        <w:rPr>
          <w:rFonts w:eastAsiaTheme="minorHAnsi"/>
          <w:i/>
          <w:sz w:val="26"/>
          <w:szCs w:val="26"/>
        </w:rPr>
        <w:t>Federal Power Comm’n v. Hope Natural Gas Co.</w:t>
      </w:r>
      <w:r w:rsidRPr="003C351F">
        <w:rPr>
          <w:rFonts w:eastAsiaTheme="minorHAnsi"/>
          <w:sz w:val="26"/>
          <w:szCs w:val="26"/>
        </w:rPr>
        <w:t xml:space="preserve">, </w:t>
      </w:r>
    </w:p>
    <w:p w14:paraId="56EE072A" w14:textId="24455D37" w:rsidR="00FA36CB" w:rsidRPr="003C351F" w:rsidRDefault="00FA36CB" w:rsidP="002E6D96">
      <w:pPr>
        <w:widowControl/>
        <w:tabs>
          <w:tab w:val="left" w:pos="-720"/>
        </w:tabs>
        <w:suppressAutoHyphens/>
        <w:spacing w:line="360" w:lineRule="auto"/>
        <w:ind w:firstLine="1440"/>
        <w:contextualSpacing/>
        <w:rPr>
          <w:rFonts w:eastAsiaTheme="minorHAnsi"/>
          <w:sz w:val="26"/>
          <w:szCs w:val="26"/>
        </w:rPr>
      </w:pPr>
      <w:r w:rsidRPr="003C351F">
        <w:rPr>
          <w:rFonts w:eastAsiaTheme="minorHAnsi"/>
          <w:sz w:val="26"/>
          <w:szCs w:val="26"/>
        </w:rPr>
        <w:t xml:space="preserve">320 U.S. 591 (1944).  In </w:t>
      </w:r>
      <w:r w:rsidRPr="003C351F">
        <w:rPr>
          <w:rFonts w:eastAsiaTheme="minorHAnsi"/>
          <w:i/>
          <w:sz w:val="26"/>
          <w:szCs w:val="26"/>
        </w:rPr>
        <w:t>Bluefield</w:t>
      </w:r>
      <w:r w:rsidRPr="003C351F">
        <w:rPr>
          <w:rFonts w:eastAsiaTheme="minorHAnsi"/>
          <w:sz w:val="26"/>
          <w:szCs w:val="26"/>
        </w:rPr>
        <w:t>, the Court stated:</w:t>
      </w:r>
    </w:p>
    <w:p w14:paraId="0495CAB3" w14:textId="77777777" w:rsidR="00FA36CB" w:rsidRPr="003C351F" w:rsidRDefault="00FA36CB" w:rsidP="002E6D96">
      <w:pPr>
        <w:widowControl/>
        <w:tabs>
          <w:tab w:val="left" w:pos="-720"/>
        </w:tabs>
        <w:suppressAutoHyphens/>
        <w:spacing w:line="360" w:lineRule="auto"/>
        <w:ind w:firstLine="1440"/>
        <w:contextualSpacing/>
        <w:rPr>
          <w:rFonts w:eastAsiaTheme="minorHAnsi"/>
          <w:sz w:val="26"/>
          <w:szCs w:val="26"/>
        </w:rPr>
      </w:pPr>
    </w:p>
    <w:p w14:paraId="018DF2D9" w14:textId="77777777" w:rsidR="00FA36CB" w:rsidRPr="003C351F" w:rsidRDefault="00FA36CB" w:rsidP="002E6D96">
      <w:pPr>
        <w:widowControl/>
        <w:ind w:left="1440" w:right="1440"/>
        <w:contextualSpacing/>
        <w:rPr>
          <w:rFonts w:eastAsiaTheme="minorHAnsi"/>
          <w:sz w:val="26"/>
          <w:szCs w:val="26"/>
        </w:rPr>
      </w:pPr>
      <w:r w:rsidRPr="003C351F">
        <w:rPr>
          <w:rFonts w:eastAsiaTheme="minorHAnsi"/>
          <w:sz w:val="26"/>
          <w:szCs w:val="26"/>
        </w:rPr>
        <w:t>A public utility is entitled to such rates as will permit it to earn a return on the value of the property which it employs for the convenience of the public equal to that generally being made at the same time and in the same general part of the country on investments in other business undertakings which are attended by corresponding risks and uncertainties; but it has no constitutional right to profits such as are realized or anticipated in highly profitable enterprises or speculative ventures.  The return should be reasonably sufficient to assure confidence in the financial soundness of the utility and should be adequate, under efficient and economical management, to maintain and support its credit and enable it to raise the money necessary for the proper discharge of its public duties.  A rate of return may be too high or too low by changes affecting opportunities for investment, the money market and business conditions generally.</w:t>
      </w:r>
    </w:p>
    <w:p w14:paraId="3DAA1CB0" w14:textId="77777777" w:rsidR="0002239F" w:rsidRPr="003C351F" w:rsidRDefault="0002239F" w:rsidP="002E6D96">
      <w:pPr>
        <w:widowControl/>
        <w:ind w:left="1440" w:right="1440"/>
        <w:contextualSpacing/>
        <w:rPr>
          <w:rFonts w:eastAsiaTheme="minorHAnsi"/>
          <w:sz w:val="26"/>
          <w:szCs w:val="26"/>
        </w:rPr>
      </w:pPr>
    </w:p>
    <w:p w14:paraId="421B6C12" w14:textId="77777777" w:rsidR="00FA36CB" w:rsidRPr="003C351F" w:rsidRDefault="00FA36CB" w:rsidP="002E6D96">
      <w:pPr>
        <w:widowControl/>
        <w:ind w:left="1440" w:right="1440"/>
        <w:contextualSpacing/>
        <w:rPr>
          <w:rFonts w:eastAsiaTheme="minorHAnsi"/>
          <w:sz w:val="26"/>
          <w:szCs w:val="26"/>
        </w:rPr>
      </w:pPr>
    </w:p>
    <w:p w14:paraId="310DD591" w14:textId="77777777" w:rsidR="00FA36CB" w:rsidRPr="003C351F" w:rsidRDefault="00FA36CB" w:rsidP="002E6D96">
      <w:pPr>
        <w:widowControl/>
        <w:spacing w:line="360" w:lineRule="auto"/>
        <w:ind w:right="1440"/>
        <w:contextualSpacing/>
        <w:rPr>
          <w:rFonts w:eastAsiaTheme="minorHAnsi"/>
          <w:sz w:val="26"/>
          <w:szCs w:val="26"/>
        </w:rPr>
      </w:pPr>
      <w:r w:rsidRPr="003C351F">
        <w:rPr>
          <w:rFonts w:eastAsiaTheme="minorHAnsi"/>
          <w:i/>
          <w:sz w:val="26"/>
          <w:szCs w:val="26"/>
        </w:rPr>
        <w:t>Bluefield</w:t>
      </w:r>
      <w:r w:rsidRPr="003C351F">
        <w:rPr>
          <w:rFonts w:eastAsiaTheme="minorHAnsi"/>
          <w:sz w:val="26"/>
          <w:szCs w:val="26"/>
        </w:rPr>
        <w:t>, 262 U.S. at 692-693.</w:t>
      </w:r>
    </w:p>
    <w:p w14:paraId="7AC6EC25" w14:textId="77777777" w:rsidR="00FA36CB" w:rsidRPr="003C351F" w:rsidRDefault="00FA36CB" w:rsidP="002E6D96">
      <w:pPr>
        <w:widowControl/>
        <w:tabs>
          <w:tab w:val="left" w:pos="-720"/>
        </w:tabs>
        <w:suppressAutoHyphens/>
        <w:spacing w:line="360" w:lineRule="auto"/>
        <w:contextualSpacing/>
        <w:rPr>
          <w:rFonts w:eastAsiaTheme="minorHAnsi"/>
          <w:spacing w:val="-3"/>
          <w:sz w:val="26"/>
          <w:szCs w:val="26"/>
        </w:rPr>
      </w:pPr>
    </w:p>
    <w:p w14:paraId="3C5E4ACB" w14:textId="77777777" w:rsidR="00FA36CB" w:rsidRPr="003C351F" w:rsidRDefault="00FA36CB" w:rsidP="002E6D96">
      <w:pPr>
        <w:widowControl/>
        <w:spacing w:line="360" w:lineRule="auto"/>
        <w:ind w:firstLine="1440"/>
        <w:contextualSpacing/>
        <w:rPr>
          <w:rFonts w:eastAsiaTheme="minorHAnsi"/>
          <w:sz w:val="26"/>
          <w:szCs w:val="26"/>
        </w:rPr>
      </w:pPr>
      <w:r w:rsidRPr="003C351F">
        <w:rPr>
          <w:rFonts w:eastAsiaTheme="minorHAnsi"/>
          <w:sz w:val="26"/>
          <w:szCs w:val="26"/>
        </w:rPr>
        <w:lastRenderedPageBreak/>
        <w:t>The burden of proof to establish the justness and reasonableness of every element of a public utility’s rate increase request rests solely upon the public utility in all proceedings filed under Section 1308(d) of the Code.  The standard to be met by the public utility is set forth in Section 315(a) of the Code, 66 Pa. C.S. § 315(a), as follows:</w:t>
      </w:r>
    </w:p>
    <w:p w14:paraId="08681143" w14:textId="77777777" w:rsidR="00FA36CB" w:rsidRPr="003C351F" w:rsidRDefault="00FA36CB" w:rsidP="002E6D96">
      <w:pPr>
        <w:widowControl/>
        <w:spacing w:line="360" w:lineRule="auto"/>
        <w:ind w:left="1440" w:right="1440"/>
        <w:contextualSpacing/>
        <w:rPr>
          <w:rFonts w:eastAsiaTheme="minorHAnsi"/>
          <w:b/>
          <w:sz w:val="26"/>
          <w:szCs w:val="26"/>
        </w:rPr>
      </w:pPr>
    </w:p>
    <w:p w14:paraId="1B6ADDB5" w14:textId="77777777" w:rsidR="00FA36CB" w:rsidRPr="003C351F" w:rsidRDefault="00FA36CB" w:rsidP="002E6D96">
      <w:pPr>
        <w:keepNext/>
        <w:keepLines/>
        <w:widowControl/>
        <w:ind w:left="1440" w:right="1440"/>
        <w:contextualSpacing/>
        <w:rPr>
          <w:rFonts w:eastAsiaTheme="minorHAnsi"/>
          <w:sz w:val="26"/>
          <w:szCs w:val="26"/>
        </w:rPr>
      </w:pPr>
      <w:r w:rsidRPr="003C351F">
        <w:rPr>
          <w:rFonts w:eastAsiaTheme="minorHAnsi"/>
          <w:b/>
          <w:sz w:val="26"/>
          <w:szCs w:val="26"/>
        </w:rPr>
        <w:t>Reasonableness of rates.</w:t>
      </w:r>
      <w:r w:rsidRPr="003C351F">
        <w:rPr>
          <w:rFonts w:eastAsiaTheme="minorHAnsi"/>
          <w:sz w:val="26"/>
          <w:szCs w:val="26"/>
        </w:rPr>
        <w:t xml:space="preserve"> – In any proceeding upon the motion of the commission, involving any proposed or existing rate of any public utility, or in any proceedings upon complaint involving any proposed increase in rates, the burden of proof to show that the rate involved is just and reasonable shall be upon the public utility.</w:t>
      </w:r>
    </w:p>
    <w:p w14:paraId="6DC81C3A" w14:textId="77777777" w:rsidR="00D01F32" w:rsidRPr="003C351F" w:rsidRDefault="00D01F32" w:rsidP="002E6D96">
      <w:pPr>
        <w:keepNext/>
        <w:keepLines/>
        <w:widowControl/>
        <w:ind w:left="1440" w:right="1440"/>
        <w:contextualSpacing/>
        <w:rPr>
          <w:rFonts w:eastAsiaTheme="minorHAnsi"/>
          <w:sz w:val="26"/>
          <w:szCs w:val="26"/>
        </w:rPr>
      </w:pPr>
    </w:p>
    <w:p w14:paraId="30EFD51B" w14:textId="77777777" w:rsidR="00D01F32" w:rsidRPr="003C351F" w:rsidRDefault="00D01F32" w:rsidP="002E6D96">
      <w:pPr>
        <w:keepNext/>
        <w:keepLines/>
        <w:widowControl/>
        <w:ind w:left="1440" w:right="1440"/>
        <w:contextualSpacing/>
        <w:rPr>
          <w:rFonts w:eastAsiaTheme="minorHAnsi"/>
          <w:sz w:val="26"/>
          <w:szCs w:val="26"/>
        </w:rPr>
      </w:pPr>
    </w:p>
    <w:p w14:paraId="7BCF4658" w14:textId="77777777" w:rsidR="00FA36CB" w:rsidRPr="003C351F" w:rsidRDefault="00FA36CB" w:rsidP="002E6D96">
      <w:pPr>
        <w:widowControl/>
        <w:spacing w:line="360" w:lineRule="auto"/>
        <w:ind w:firstLine="1440"/>
        <w:contextualSpacing/>
        <w:rPr>
          <w:rFonts w:eastAsiaTheme="minorHAnsi"/>
          <w:sz w:val="26"/>
          <w:szCs w:val="26"/>
        </w:rPr>
      </w:pPr>
      <w:r w:rsidRPr="003C351F">
        <w:rPr>
          <w:rFonts w:eastAsiaTheme="minorHAnsi"/>
          <w:sz w:val="26"/>
          <w:szCs w:val="26"/>
        </w:rPr>
        <w:t>In reviewing Section 315(a) of the Code, the Pennsylvania Commonwealth Court interpreted a public utility’s burden of proof in a rate proceeding as follows:</w:t>
      </w:r>
    </w:p>
    <w:p w14:paraId="59CAA07E" w14:textId="77777777" w:rsidR="00FA36CB" w:rsidRPr="003C351F" w:rsidRDefault="00FA36CB" w:rsidP="002E6D96">
      <w:pPr>
        <w:widowControl/>
        <w:spacing w:line="360" w:lineRule="auto"/>
        <w:ind w:firstLine="1440"/>
        <w:contextualSpacing/>
        <w:rPr>
          <w:rFonts w:eastAsiaTheme="minorHAnsi"/>
          <w:sz w:val="26"/>
          <w:szCs w:val="26"/>
        </w:rPr>
      </w:pPr>
    </w:p>
    <w:p w14:paraId="4D7BEBCC" w14:textId="77777777" w:rsidR="00FA36CB" w:rsidRPr="003C351F" w:rsidRDefault="00FA36CB" w:rsidP="002E6D96">
      <w:pPr>
        <w:widowControl/>
        <w:ind w:left="1440" w:right="1296"/>
        <w:contextualSpacing/>
        <w:rPr>
          <w:rFonts w:eastAsiaTheme="minorHAnsi"/>
          <w:sz w:val="26"/>
          <w:szCs w:val="26"/>
        </w:rPr>
      </w:pPr>
      <w:r w:rsidRPr="003C351F">
        <w:rPr>
          <w:rFonts w:eastAsiaTheme="minorHAnsi"/>
          <w:sz w:val="26"/>
          <w:szCs w:val="26"/>
        </w:rPr>
        <w:t xml:space="preserve">Section 315(a) of the Public Utility Code, 66 Pa. C.S. § 315(a), places the burden of proving the justness and reasonableness of a proposed rate hike squarely on the public utility.  </w:t>
      </w:r>
      <w:r w:rsidRPr="003C351F">
        <w:rPr>
          <w:rFonts w:eastAsiaTheme="minorHAnsi"/>
          <w:i/>
          <w:sz w:val="26"/>
          <w:szCs w:val="26"/>
        </w:rPr>
        <w:t>It is well-established that the evidence adduced by a utility to meet this burden must be substantial</w:t>
      </w:r>
      <w:r w:rsidRPr="003C351F">
        <w:rPr>
          <w:rFonts w:eastAsiaTheme="minorHAnsi"/>
          <w:sz w:val="26"/>
          <w:szCs w:val="26"/>
        </w:rPr>
        <w:t>.</w:t>
      </w:r>
    </w:p>
    <w:p w14:paraId="2611CBC6" w14:textId="77777777" w:rsidR="00D01F32" w:rsidRPr="003C351F" w:rsidRDefault="00D01F32" w:rsidP="002E6D96">
      <w:pPr>
        <w:widowControl/>
        <w:ind w:left="1440" w:right="1296"/>
        <w:contextualSpacing/>
        <w:rPr>
          <w:rFonts w:eastAsiaTheme="minorHAnsi"/>
          <w:sz w:val="26"/>
          <w:szCs w:val="26"/>
        </w:rPr>
      </w:pPr>
    </w:p>
    <w:p w14:paraId="13C33C88" w14:textId="77777777" w:rsidR="00D01F32" w:rsidRPr="003C351F" w:rsidRDefault="00D01F32" w:rsidP="002E6D96">
      <w:pPr>
        <w:widowControl/>
        <w:ind w:left="1440" w:right="1296"/>
        <w:contextualSpacing/>
        <w:rPr>
          <w:rFonts w:eastAsiaTheme="minorHAnsi"/>
          <w:sz w:val="26"/>
          <w:szCs w:val="26"/>
        </w:rPr>
      </w:pPr>
    </w:p>
    <w:p w14:paraId="43F5D977" w14:textId="77777777" w:rsidR="00FA36CB" w:rsidRPr="003C351F" w:rsidRDefault="00FA36CB" w:rsidP="002E6D96">
      <w:pPr>
        <w:widowControl/>
        <w:spacing w:line="360" w:lineRule="auto"/>
        <w:contextualSpacing/>
        <w:rPr>
          <w:rFonts w:eastAsiaTheme="minorHAnsi"/>
          <w:sz w:val="26"/>
          <w:szCs w:val="26"/>
        </w:rPr>
      </w:pPr>
      <w:r w:rsidRPr="003C351F">
        <w:rPr>
          <w:rFonts w:eastAsiaTheme="minorHAnsi"/>
          <w:i/>
          <w:sz w:val="26"/>
          <w:szCs w:val="26"/>
        </w:rPr>
        <w:t>Lower Frederick Twp. Water Co. v. Pa. PUC</w:t>
      </w:r>
      <w:r w:rsidRPr="003C351F">
        <w:rPr>
          <w:rFonts w:eastAsiaTheme="minorHAnsi"/>
          <w:sz w:val="26"/>
          <w:szCs w:val="26"/>
        </w:rPr>
        <w:t xml:space="preserve">, 409 A.2d 505, 507 (Pa. Cmwlth. 1980) (emphasis added).  </w:t>
      </w:r>
      <w:r w:rsidRPr="003C351F">
        <w:rPr>
          <w:rFonts w:eastAsiaTheme="minorHAnsi"/>
          <w:i/>
          <w:sz w:val="26"/>
          <w:szCs w:val="26"/>
        </w:rPr>
        <w:t>See also</w:t>
      </w:r>
      <w:r w:rsidRPr="003C351F">
        <w:rPr>
          <w:rFonts w:eastAsiaTheme="minorHAnsi"/>
          <w:sz w:val="26"/>
          <w:szCs w:val="26"/>
        </w:rPr>
        <w:t xml:space="preserve">, </w:t>
      </w:r>
      <w:r w:rsidRPr="003C351F">
        <w:rPr>
          <w:rFonts w:eastAsiaTheme="minorHAnsi"/>
          <w:i/>
          <w:sz w:val="26"/>
          <w:szCs w:val="26"/>
        </w:rPr>
        <w:t>Brockway Glass Co. v. Pa. PUC</w:t>
      </w:r>
      <w:r w:rsidRPr="003C351F">
        <w:rPr>
          <w:rFonts w:eastAsiaTheme="minorHAnsi"/>
          <w:sz w:val="26"/>
          <w:szCs w:val="26"/>
        </w:rPr>
        <w:t>, 437 A.2d 1067 (Pa. Cmwlth. 1981).</w:t>
      </w:r>
    </w:p>
    <w:p w14:paraId="49A47C94" w14:textId="77777777" w:rsidR="00FA36CB" w:rsidRPr="003C351F" w:rsidRDefault="00FA36CB" w:rsidP="002E6D96">
      <w:pPr>
        <w:widowControl/>
        <w:spacing w:line="360" w:lineRule="auto"/>
        <w:contextualSpacing/>
        <w:rPr>
          <w:rFonts w:eastAsiaTheme="minorHAnsi"/>
          <w:sz w:val="26"/>
          <w:szCs w:val="26"/>
        </w:rPr>
      </w:pPr>
    </w:p>
    <w:p w14:paraId="464C0525" w14:textId="77777777" w:rsidR="00FA36CB" w:rsidRPr="003C351F" w:rsidRDefault="00FA36CB" w:rsidP="002E6D96">
      <w:pPr>
        <w:widowControl/>
        <w:spacing w:line="360" w:lineRule="auto"/>
        <w:ind w:firstLine="1440"/>
        <w:contextualSpacing/>
        <w:rPr>
          <w:rFonts w:eastAsiaTheme="minorHAnsi"/>
          <w:sz w:val="26"/>
          <w:szCs w:val="26"/>
        </w:rPr>
      </w:pPr>
      <w:r w:rsidRPr="003C351F">
        <w:rPr>
          <w:rFonts w:eastAsiaTheme="minorHAnsi"/>
          <w:sz w:val="26"/>
          <w:szCs w:val="26"/>
        </w:rPr>
        <w:t>In general rate increase proceedings, it is well established that the burden of proof does not shift to parties challenging a requested rate increase.  Rather, the utility’s burden of establishing the justness and reasonableness of every component of its rate request is an affirmative one, and that burden remains with the public utility throughout the course of the rate proceeding.  There is no similar burden placed on parties to justify a proposed adjustment to the Company’s filing.  The Pennsylvania Supreme Court has held:</w:t>
      </w:r>
    </w:p>
    <w:p w14:paraId="6D6E2BF0" w14:textId="77777777" w:rsidR="00FA36CB" w:rsidRPr="003C351F" w:rsidRDefault="00FA36CB" w:rsidP="002E6D96">
      <w:pPr>
        <w:widowControl/>
        <w:spacing w:line="360" w:lineRule="auto"/>
        <w:ind w:firstLine="1440"/>
        <w:contextualSpacing/>
        <w:rPr>
          <w:rFonts w:eastAsiaTheme="minorHAnsi"/>
          <w:sz w:val="26"/>
          <w:szCs w:val="26"/>
        </w:rPr>
      </w:pPr>
    </w:p>
    <w:p w14:paraId="36988BAD" w14:textId="631A5F18" w:rsidR="00FA36CB" w:rsidRPr="003C351F" w:rsidRDefault="00FA36CB" w:rsidP="002E6D96">
      <w:pPr>
        <w:keepNext/>
        <w:keepLines/>
        <w:widowControl/>
        <w:ind w:left="1440" w:right="1296"/>
        <w:contextualSpacing/>
        <w:rPr>
          <w:rFonts w:eastAsiaTheme="minorHAnsi"/>
          <w:sz w:val="26"/>
          <w:szCs w:val="26"/>
        </w:rPr>
      </w:pPr>
      <w:r w:rsidRPr="003C351F">
        <w:rPr>
          <w:rFonts w:eastAsiaTheme="minorHAnsi"/>
          <w:sz w:val="26"/>
          <w:szCs w:val="26"/>
        </w:rPr>
        <w:t>[T]he appellants did not have the burden of proving that the plant additions were improper, unnecessary or too costly; on the contrary, that burden is, by statute, on the utility to demonstrate the reasonable necessity and cost of the installations, and that is the burden which the utility patently failed to carry.</w:t>
      </w:r>
    </w:p>
    <w:p w14:paraId="15333E7F" w14:textId="77777777" w:rsidR="00CB55D9" w:rsidRDefault="00CB55D9" w:rsidP="002E6D96">
      <w:pPr>
        <w:keepNext/>
        <w:keepLines/>
        <w:widowControl/>
        <w:ind w:left="1440" w:right="1296"/>
        <w:contextualSpacing/>
        <w:rPr>
          <w:rFonts w:eastAsiaTheme="minorHAnsi"/>
          <w:sz w:val="26"/>
          <w:szCs w:val="26"/>
        </w:rPr>
      </w:pPr>
    </w:p>
    <w:p w14:paraId="69F14F06" w14:textId="77777777" w:rsidR="003555A9" w:rsidRPr="003C351F" w:rsidRDefault="003555A9" w:rsidP="002E6D96">
      <w:pPr>
        <w:keepNext/>
        <w:keepLines/>
        <w:widowControl/>
        <w:ind w:left="1440" w:right="1296"/>
        <w:contextualSpacing/>
        <w:rPr>
          <w:rFonts w:eastAsiaTheme="minorHAnsi"/>
          <w:sz w:val="26"/>
          <w:szCs w:val="26"/>
        </w:rPr>
      </w:pPr>
    </w:p>
    <w:p w14:paraId="69717E8E" w14:textId="77777777" w:rsidR="00FA36CB" w:rsidRPr="003C351F" w:rsidRDefault="00FA36CB" w:rsidP="002E6D96">
      <w:pPr>
        <w:widowControl/>
        <w:spacing w:line="360" w:lineRule="auto"/>
        <w:ind w:right="1440"/>
        <w:contextualSpacing/>
        <w:rPr>
          <w:rFonts w:eastAsiaTheme="minorHAnsi"/>
          <w:sz w:val="26"/>
          <w:szCs w:val="26"/>
        </w:rPr>
      </w:pPr>
      <w:r w:rsidRPr="003C351F">
        <w:rPr>
          <w:rFonts w:eastAsiaTheme="minorHAnsi"/>
          <w:i/>
          <w:sz w:val="26"/>
          <w:szCs w:val="26"/>
        </w:rPr>
        <w:t>Berner v. Pa. PUC</w:t>
      </w:r>
      <w:r w:rsidRPr="003C351F">
        <w:rPr>
          <w:rFonts w:eastAsiaTheme="minorHAnsi"/>
          <w:sz w:val="26"/>
          <w:szCs w:val="26"/>
        </w:rPr>
        <w:t>, 382 Pa. 622, 631, 116 A.2d 738, 744 (1955).</w:t>
      </w:r>
    </w:p>
    <w:p w14:paraId="42110492" w14:textId="77777777" w:rsidR="0002239F" w:rsidRPr="003C351F" w:rsidRDefault="0002239F" w:rsidP="002E6D96">
      <w:pPr>
        <w:widowControl/>
        <w:spacing w:line="360" w:lineRule="auto"/>
        <w:ind w:right="1440"/>
        <w:contextualSpacing/>
        <w:rPr>
          <w:rFonts w:eastAsiaTheme="minorHAnsi"/>
          <w:sz w:val="26"/>
          <w:szCs w:val="26"/>
        </w:rPr>
      </w:pPr>
    </w:p>
    <w:p w14:paraId="21E93FF7" w14:textId="77777777" w:rsidR="00FA36CB" w:rsidRPr="003C351F" w:rsidRDefault="00FA36CB" w:rsidP="002E6D96">
      <w:pPr>
        <w:widowControl/>
        <w:tabs>
          <w:tab w:val="left" w:pos="-720"/>
        </w:tabs>
        <w:suppressAutoHyphens/>
        <w:spacing w:line="360" w:lineRule="auto"/>
        <w:ind w:firstLine="1440"/>
        <w:contextualSpacing/>
        <w:rPr>
          <w:rFonts w:eastAsiaTheme="minorHAnsi"/>
          <w:spacing w:val="-3"/>
          <w:sz w:val="26"/>
          <w:szCs w:val="26"/>
        </w:rPr>
      </w:pPr>
      <w:r w:rsidRPr="003C351F">
        <w:rPr>
          <w:rFonts w:eastAsiaTheme="minorHAnsi"/>
          <w:spacing w:val="-3"/>
          <w:sz w:val="26"/>
          <w:szCs w:val="26"/>
        </w:rPr>
        <w:t>This does not mean, however, that in proving that its proposed rates are just and reasonable, a public utility must affirmatively defend every claim it has made in its filing, even those which no other party has questioned.  As the Pennsylvania Commonwealth Court has held:</w:t>
      </w:r>
    </w:p>
    <w:p w14:paraId="0C47A1ED" w14:textId="77777777" w:rsidR="00FA36CB" w:rsidRPr="003C351F" w:rsidRDefault="00FA36CB" w:rsidP="002E6D96">
      <w:pPr>
        <w:widowControl/>
        <w:spacing w:line="360" w:lineRule="auto"/>
        <w:ind w:left="1440" w:right="1296"/>
        <w:contextualSpacing/>
        <w:rPr>
          <w:rFonts w:eastAsiaTheme="minorHAnsi"/>
          <w:spacing w:val="-3"/>
          <w:sz w:val="26"/>
          <w:szCs w:val="26"/>
        </w:rPr>
      </w:pPr>
    </w:p>
    <w:p w14:paraId="331BC79B" w14:textId="77777777" w:rsidR="00FA36CB" w:rsidRPr="003C351F" w:rsidRDefault="00FA36CB" w:rsidP="002E6D96">
      <w:pPr>
        <w:widowControl/>
        <w:ind w:left="1440" w:right="1296"/>
        <w:contextualSpacing/>
        <w:rPr>
          <w:rFonts w:eastAsiaTheme="minorHAnsi"/>
          <w:spacing w:val="-3"/>
          <w:sz w:val="26"/>
          <w:szCs w:val="26"/>
        </w:rPr>
      </w:pPr>
      <w:r w:rsidRPr="003C351F">
        <w:rPr>
          <w:rFonts w:eastAsiaTheme="minorHAnsi"/>
          <w:spacing w:val="-3"/>
          <w:sz w:val="26"/>
          <w:szCs w:val="26"/>
        </w:rPr>
        <w:t>While it is axiomatic that a utility has the burden of proving the justness and reasonableness of its proposed rates, it cannot be called upon to account for every action absent prior notice that such action is to be challenged.</w:t>
      </w:r>
    </w:p>
    <w:p w14:paraId="4BC55C3A" w14:textId="77777777" w:rsidR="00CB55D9" w:rsidRDefault="00CB55D9" w:rsidP="002E6D96">
      <w:pPr>
        <w:widowControl/>
        <w:ind w:left="1440" w:right="1296"/>
        <w:contextualSpacing/>
        <w:rPr>
          <w:rFonts w:eastAsiaTheme="minorHAnsi"/>
          <w:spacing w:val="-3"/>
          <w:sz w:val="26"/>
          <w:szCs w:val="26"/>
        </w:rPr>
      </w:pPr>
    </w:p>
    <w:p w14:paraId="6D6FEB85" w14:textId="77777777" w:rsidR="003555A9" w:rsidRPr="003C351F" w:rsidRDefault="003555A9" w:rsidP="002E6D96">
      <w:pPr>
        <w:widowControl/>
        <w:ind w:left="1440" w:right="1296"/>
        <w:contextualSpacing/>
        <w:rPr>
          <w:rFonts w:eastAsiaTheme="minorHAnsi"/>
          <w:spacing w:val="-3"/>
          <w:sz w:val="26"/>
          <w:szCs w:val="26"/>
        </w:rPr>
      </w:pPr>
    </w:p>
    <w:p w14:paraId="79AB2DF9" w14:textId="77777777" w:rsidR="00FA36CB" w:rsidRPr="003C351F" w:rsidRDefault="00FA36CB" w:rsidP="002E6D96">
      <w:pPr>
        <w:widowControl/>
        <w:spacing w:line="360" w:lineRule="auto"/>
        <w:contextualSpacing/>
        <w:rPr>
          <w:rFonts w:eastAsiaTheme="minorHAnsi"/>
          <w:spacing w:val="-3"/>
          <w:sz w:val="26"/>
          <w:szCs w:val="26"/>
        </w:rPr>
      </w:pPr>
      <w:r w:rsidRPr="003C351F">
        <w:rPr>
          <w:rFonts w:eastAsiaTheme="minorHAnsi"/>
          <w:i/>
          <w:spacing w:val="-3"/>
          <w:sz w:val="26"/>
          <w:szCs w:val="26"/>
        </w:rPr>
        <w:t>Allegheny Center Assocs. v. Pa. PUC</w:t>
      </w:r>
      <w:r w:rsidRPr="003C351F">
        <w:rPr>
          <w:rFonts w:eastAsiaTheme="minorHAnsi"/>
          <w:spacing w:val="-3"/>
          <w:sz w:val="26"/>
          <w:szCs w:val="26"/>
        </w:rPr>
        <w:t xml:space="preserve">, 570 A.2d 149, 153 (Pa. Cmwlth. 1990) (citation omitted).  </w:t>
      </w:r>
      <w:r w:rsidRPr="003C351F">
        <w:rPr>
          <w:rFonts w:eastAsiaTheme="minorHAnsi"/>
          <w:i/>
          <w:spacing w:val="-3"/>
          <w:sz w:val="26"/>
          <w:szCs w:val="26"/>
        </w:rPr>
        <w:t>See also, Pa. PUC v. Equitable Gas Co.</w:t>
      </w:r>
      <w:r w:rsidRPr="003C351F">
        <w:rPr>
          <w:rFonts w:eastAsiaTheme="minorHAnsi"/>
          <w:spacing w:val="-3"/>
          <w:sz w:val="26"/>
          <w:szCs w:val="26"/>
        </w:rPr>
        <w:t>, 73 Pa. P.U.C. 310, 359-360 (1990).</w:t>
      </w:r>
    </w:p>
    <w:p w14:paraId="370F8F96" w14:textId="77777777" w:rsidR="00FA36CB" w:rsidRPr="003C351F" w:rsidRDefault="00FA36CB" w:rsidP="002E6D96">
      <w:pPr>
        <w:widowControl/>
        <w:spacing w:line="360" w:lineRule="auto"/>
        <w:ind w:firstLine="1440"/>
        <w:contextualSpacing/>
        <w:rPr>
          <w:rFonts w:eastAsiaTheme="minorHAnsi"/>
          <w:spacing w:val="-3"/>
          <w:sz w:val="26"/>
          <w:szCs w:val="26"/>
        </w:rPr>
      </w:pPr>
    </w:p>
    <w:p w14:paraId="6B043725" w14:textId="7A01BCC5" w:rsidR="00FA36CB" w:rsidRDefault="00FA36CB" w:rsidP="002E6D96">
      <w:pPr>
        <w:widowControl/>
        <w:spacing w:line="360" w:lineRule="auto"/>
        <w:ind w:firstLine="1440"/>
        <w:contextualSpacing/>
        <w:rPr>
          <w:rFonts w:eastAsiaTheme="minorHAnsi"/>
          <w:spacing w:val="-3"/>
          <w:sz w:val="26"/>
          <w:szCs w:val="26"/>
        </w:rPr>
      </w:pPr>
      <w:r w:rsidRPr="003C351F">
        <w:rPr>
          <w:rFonts w:eastAsiaTheme="minorHAnsi"/>
          <w:spacing w:val="-3"/>
          <w:sz w:val="26"/>
          <w:szCs w:val="26"/>
        </w:rPr>
        <w:t>Additionally, Section 315(a) of the Code,</w:t>
      </w:r>
      <w:r w:rsidRPr="003C351F">
        <w:rPr>
          <w:rFonts w:eastAsiaTheme="minorHAnsi"/>
          <w:sz w:val="26"/>
          <w:szCs w:val="26"/>
        </w:rPr>
        <w:t xml:space="preserve"> 66 Pa. C.S. § 315(a), cannot reasonably be read to place the burden of proof on the utility with respect to an issue the utility did not include in its general rate case filing and which, frequently, the utility would oppose.  Inasmuch as the </w:t>
      </w:r>
      <w:r w:rsidR="003D3414">
        <w:rPr>
          <w:rFonts w:eastAsiaTheme="minorHAnsi"/>
          <w:sz w:val="26"/>
          <w:szCs w:val="26"/>
        </w:rPr>
        <w:t>l</w:t>
      </w:r>
      <w:r w:rsidRPr="003C351F">
        <w:rPr>
          <w:rFonts w:eastAsiaTheme="minorHAnsi"/>
          <w:sz w:val="26"/>
          <w:szCs w:val="26"/>
        </w:rPr>
        <w:t>egislature is not presumed to intend an absurd result in interpretation of its enactments,</w:t>
      </w:r>
      <w:r w:rsidRPr="003C351F">
        <w:rPr>
          <w:rFonts w:eastAsiaTheme="minorHAnsi"/>
          <w:sz w:val="26"/>
          <w:szCs w:val="26"/>
          <w:vertAlign w:val="superscript"/>
        </w:rPr>
        <w:footnoteReference w:id="5"/>
      </w:r>
      <w:r w:rsidRPr="003C351F">
        <w:rPr>
          <w:rFonts w:eastAsiaTheme="minorHAnsi"/>
          <w:sz w:val="26"/>
          <w:szCs w:val="26"/>
        </w:rPr>
        <w:t xml:space="preserve"> the burden of proof must be on the party who proposes a rate increase beyond that sought by the utility.  </w:t>
      </w:r>
      <w:r w:rsidRPr="003C351F">
        <w:rPr>
          <w:rFonts w:eastAsiaTheme="minorHAnsi"/>
          <w:spacing w:val="-3"/>
          <w:sz w:val="26"/>
          <w:szCs w:val="26"/>
        </w:rPr>
        <w:t xml:space="preserve">The mere rejection of evidence contrary to </w:t>
      </w:r>
      <w:r w:rsidRPr="003C351F">
        <w:rPr>
          <w:rFonts w:eastAsiaTheme="minorHAnsi"/>
          <w:spacing w:val="-3"/>
          <w:sz w:val="26"/>
          <w:szCs w:val="26"/>
        </w:rPr>
        <w:lastRenderedPageBreak/>
        <w:t xml:space="preserve">that adduced by the public utility is not an impermissible shifting of the evidentiary burden.  </w:t>
      </w:r>
      <w:r w:rsidRPr="003C351F">
        <w:rPr>
          <w:rFonts w:eastAsiaTheme="minorHAnsi"/>
          <w:i/>
          <w:spacing w:val="-3"/>
          <w:sz w:val="26"/>
          <w:szCs w:val="26"/>
        </w:rPr>
        <w:t>United States Steel Corp. v. Pa. PUC</w:t>
      </w:r>
      <w:r w:rsidRPr="003C351F">
        <w:rPr>
          <w:rFonts w:eastAsiaTheme="minorHAnsi"/>
          <w:spacing w:val="-3"/>
          <w:sz w:val="26"/>
          <w:szCs w:val="26"/>
        </w:rPr>
        <w:t>, 456 A.2d 686 (Pa. Cmwlth. 1983).</w:t>
      </w:r>
    </w:p>
    <w:p w14:paraId="1BC4757D" w14:textId="77777777" w:rsidR="00755C82" w:rsidRDefault="00755C82" w:rsidP="002E6D96">
      <w:pPr>
        <w:widowControl/>
        <w:spacing w:line="360" w:lineRule="auto"/>
        <w:ind w:firstLine="1440"/>
        <w:contextualSpacing/>
        <w:rPr>
          <w:rFonts w:eastAsiaTheme="minorHAnsi"/>
          <w:spacing w:val="-3"/>
          <w:sz w:val="26"/>
          <w:szCs w:val="26"/>
        </w:rPr>
      </w:pPr>
    </w:p>
    <w:p w14:paraId="5ADBF761" w14:textId="4E7F6AB1" w:rsidR="00755C82" w:rsidRPr="00755C82" w:rsidRDefault="00755C82" w:rsidP="002E6D96">
      <w:pPr>
        <w:widowControl/>
        <w:spacing w:line="360" w:lineRule="auto"/>
        <w:ind w:firstLine="1440"/>
        <w:contextualSpacing/>
        <w:rPr>
          <w:rFonts w:eastAsiaTheme="minorHAnsi"/>
          <w:spacing w:val="-3"/>
          <w:sz w:val="26"/>
          <w:szCs w:val="26"/>
        </w:rPr>
      </w:pPr>
      <w:r>
        <w:rPr>
          <w:rFonts w:eastAsiaTheme="minorHAnsi"/>
          <w:spacing w:val="-3"/>
          <w:sz w:val="26"/>
          <w:szCs w:val="26"/>
        </w:rPr>
        <w:t xml:space="preserve">Where, as here, the matter is resolved by settlement, </w:t>
      </w:r>
      <w:r w:rsidRPr="00755C82">
        <w:rPr>
          <w:rFonts w:eastAsiaTheme="minorHAnsi"/>
          <w:spacing w:val="-3"/>
          <w:sz w:val="26"/>
          <w:szCs w:val="26"/>
        </w:rPr>
        <w:t xml:space="preserve">the Commission must first determine that the proposed </w:t>
      </w:r>
      <w:r w:rsidR="00575D11">
        <w:rPr>
          <w:rFonts w:eastAsiaTheme="minorHAnsi"/>
          <w:spacing w:val="-3"/>
          <w:sz w:val="26"/>
          <w:szCs w:val="26"/>
        </w:rPr>
        <w:t xml:space="preserve">settlement </w:t>
      </w:r>
      <w:r w:rsidRPr="00755C82">
        <w:rPr>
          <w:rFonts w:eastAsiaTheme="minorHAnsi"/>
          <w:spacing w:val="-3"/>
          <w:sz w:val="26"/>
          <w:szCs w:val="26"/>
        </w:rPr>
        <w:t>terms and conditions are in the public interest</w:t>
      </w:r>
      <w:r w:rsidR="00A8391A">
        <w:rPr>
          <w:rFonts w:eastAsiaTheme="minorHAnsi"/>
          <w:spacing w:val="-3"/>
          <w:sz w:val="26"/>
          <w:szCs w:val="26"/>
        </w:rPr>
        <w:t xml:space="preserve"> before approving and adopting </w:t>
      </w:r>
      <w:r w:rsidR="00575D11">
        <w:rPr>
          <w:rFonts w:eastAsiaTheme="minorHAnsi"/>
          <w:spacing w:val="-3"/>
          <w:sz w:val="26"/>
          <w:szCs w:val="26"/>
        </w:rPr>
        <w:t>t</w:t>
      </w:r>
      <w:r w:rsidR="00A8391A">
        <w:rPr>
          <w:rFonts w:eastAsiaTheme="minorHAnsi"/>
          <w:spacing w:val="-3"/>
          <w:sz w:val="26"/>
          <w:szCs w:val="26"/>
        </w:rPr>
        <w:t>erms</w:t>
      </w:r>
      <w:r w:rsidRPr="00755C82">
        <w:rPr>
          <w:rFonts w:eastAsiaTheme="minorHAnsi"/>
          <w:spacing w:val="-3"/>
          <w:sz w:val="26"/>
          <w:szCs w:val="26"/>
        </w:rPr>
        <w:t xml:space="preserve">.  </w:t>
      </w:r>
      <w:r w:rsidRPr="00F273ED">
        <w:rPr>
          <w:rFonts w:eastAsiaTheme="minorHAnsi"/>
          <w:i/>
          <w:spacing w:val="-3"/>
          <w:sz w:val="26"/>
          <w:szCs w:val="26"/>
        </w:rPr>
        <w:t>Pa. Pub. Util. Comm’n v. York Water Co</w:t>
      </w:r>
      <w:r w:rsidRPr="00755C82">
        <w:rPr>
          <w:rFonts w:eastAsiaTheme="minorHAnsi"/>
          <w:spacing w:val="-3"/>
          <w:sz w:val="26"/>
          <w:szCs w:val="26"/>
        </w:rPr>
        <w:t xml:space="preserve">., Docket No. R-00049165 (Order entered October 4, 2004); </w:t>
      </w:r>
      <w:r w:rsidRPr="00F273ED">
        <w:rPr>
          <w:rFonts w:eastAsiaTheme="minorHAnsi"/>
          <w:i/>
          <w:spacing w:val="-3"/>
          <w:sz w:val="26"/>
          <w:szCs w:val="26"/>
        </w:rPr>
        <w:t>Pa. Pub. Util. Comm’n v. CS Water and Sewer Assoc.</w:t>
      </w:r>
      <w:r w:rsidRPr="00755C82">
        <w:rPr>
          <w:rFonts w:eastAsiaTheme="minorHAnsi"/>
          <w:spacing w:val="-3"/>
          <w:sz w:val="26"/>
          <w:szCs w:val="26"/>
        </w:rPr>
        <w:t>, 74 Pa. PUC 767 (1991).</w:t>
      </w:r>
    </w:p>
    <w:p w14:paraId="43AE1C34" w14:textId="77777777" w:rsidR="00755C82" w:rsidRPr="00755C82" w:rsidRDefault="00755C82" w:rsidP="002E6D96">
      <w:pPr>
        <w:widowControl/>
        <w:spacing w:line="360" w:lineRule="auto"/>
        <w:ind w:firstLine="1440"/>
        <w:contextualSpacing/>
        <w:rPr>
          <w:rFonts w:eastAsiaTheme="minorHAnsi"/>
          <w:spacing w:val="-3"/>
          <w:sz w:val="26"/>
          <w:szCs w:val="26"/>
        </w:rPr>
      </w:pPr>
    </w:p>
    <w:p w14:paraId="097CDA2D" w14:textId="52550C14" w:rsidR="00755C82" w:rsidRPr="003C351F" w:rsidRDefault="00F273ED" w:rsidP="002E6D96">
      <w:pPr>
        <w:widowControl/>
        <w:spacing w:line="360" w:lineRule="auto"/>
        <w:ind w:firstLine="1440"/>
        <w:contextualSpacing/>
        <w:rPr>
          <w:rFonts w:eastAsiaTheme="minorHAnsi"/>
          <w:spacing w:val="-3"/>
          <w:sz w:val="26"/>
          <w:szCs w:val="26"/>
        </w:rPr>
      </w:pPr>
      <w:r>
        <w:rPr>
          <w:rFonts w:eastAsiaTheme="minorHAnsi"/>
          <w:spacing w:val="-3"/>
          <w:sz w:val="26"/>
          <w:szCs w:val="26"/>
        </w:rPr>
        <w:t>In this case, t</w:t>
      </w:r>
      <w:r w:rsidR="00755C82" w:rsidRPr="00755C82">
        <w:rPr>
          <w:rFonts w:eastAsiaTheme="minorHAnsi"/>
          <w:spacing w:val="-3"/>
          <w:sz w:val="26"/>
          <w:szCs w:val="26"/>
        </w:rPr>
        <w:t xml:space="preserve">he </w:t>
      </w:r>
      <w:r>
        <w:rPr>
          <w:rFonts w:eastAsiaTheme="minorHAnsi"/>
          <w:spacing w:val="-3"/>
          <w:sz w:val="26"/>
          <w:szCs w:val="26"/>
        </w:rPr>
        <w:t xml:space="preserve">Partial Settlement </w:t>
      </w:r>
      <w:r w:rsidR="00755C82" w:rsidRPr="00755C82">
        <w:rPr>
          <w:rFonts w:eastAsiaTheme="minorHAnsi"/>
          <w:spacing w:val="-3"/>
          <w:sz w:val="26"/>
          <w:szCs w:val="26"/>
        </w:rPr>
        <w:t xml:space="preserve">is a “Black Box” agreement which does not specifically identify the resolution of certain disputed issues.  Instead, an overall increase to base rates is </w:t>
      </w:r>
      <w:r>
        <w:rPr>
          <w:rFonts w:eastAsiaTheme="minorHAnsi"/>
          <w:spacing w:val="-3"/>
          <w:sz w:val="26"/>
          <w:szCs w:val="26"/>
        </w:rPr>
        <w:t xml:space="preserve">negotiated and </w:t>
      </w:r>
      <w:r w:rsidR="00755C82" w:rsidRPr="00755C82">
        <w:rPr>
          <w:rFonts w:eastAsiaTheme="minorHAnsi"/>
          <w:spacing w:val="-3"/>
          <w:sz w:val="26"/>
          <w:szCs w:val="26"/>
        </w:rPr>
        <w:t xml:space="preserve">agreed </w:t>
      </w:r>
      <w:r>
        <w:rPr>
          <w:rFonts w:eastAsiaTheme="minorHAnsi"/>
          <w:spacing w:val="-3"/>
          <w:sz w:val="26"/>
          <w:szCs w:val="26"/>
        </w:rPr>
        <w:t xml:space="preserve">upon as in the best interest </w:t>
      </w:r>
      <w:r w:rsidR="00A8391A">
        <w:rPr>
          <w:rFonts w:eastAsiaTheme="minorHAnsi"/>
          <w:spacing w:val="-3"/>
          <w:sz w:val="26"/>
          <w:szCs w:val="26"/>
        </w:rPr>
        <w:t xml:space="preserve">of all </w:t>
      </w:r>
      <w:r w:rsidR="00114D9F">
        <w:rPr>
          <w:rFonts w:eastAsiaTheme="minorHAnsi"/>
          <w:spacing w:val="-3"/>
          <w:sz w:val="26"/>
          <w:szCs w:val="26"/>
        </w:rPr>
        <w:t>P</w:t>
      </w:r>
      <w:r w:rsidR="00A8391A">
        <w:rPr>
          <w:rFonts w:eastAsiaTheme="minorHAnsi"/>
          <w:spacing w:val="-3"/>
          <w:sz w:val="26"/>
          <w:szCs w:val="26"/>
        </w:rPr>
        <w:t xml:space="preserve">arties concerned </w:t>
      </w:r>
      <w:r w:rsidR="00755C82" w:rsidRPr="00755C82">
        <w:rPr>
          <w:rFonts w:eastAsiaTheme="minorHAnsi"/>
          <w:spacing w:val="-3"/>
          <w:sz w:val="26"/>
          <w:szCs w:val="26"/>
        </w:rPr>
        <w:t xml:space="preserve">and </w:t>
      </w:r>
      <w:r w:rsidR="00C61946">
        <w:rPr>
          <w:rFonts w:eastAsiaTheme="minorHAnsi"/>
          <w:spacing w:val="-3"/>
          <w:sz w:val="26"/>
          <w:szCs w:val="26"/>
        </w:rPr>
        <w:t xml:space="preserve">the </w:t>
      </w:r>
      <w:r w:rsidR="00755C82" w:rsidRPr="00755C82">
        <w:rPr>
          <w:rFonts w:eastAsiaTheme="minorHAnsi"/>
          <w:spacing w:val="-3"/>
          <w:sz w:val="26"/>
          <w:szCs w:val="26"/>
        </w:rPr>
        <w:t xml:space="preserve">Joint Petitioners </w:t>
      </w:r>
      <w:r w:rsidR="00016EAC">
        <w:rPr>
          <w:rFonts w:eastAsiaTheme="minorHAnsi"/>
          <w:spacing w:val="-3"/>
          <w:sz w:val="26"/>
          <w:szCs w:val="26"/>
        </w:rPr>
        <w:t>for</w:t>
      </w:r>
      <w:r w:rsidR="006539BD">
        <w:rPr>
          <w:rFonts w:eastAsiaTheme="minorHAnsi"/>
          <w:spacing w:val="-3"/>
          <w:sz w:val="26"/>
          <w:szCs w:val="26"/>
        </w:rPr>
        <w:t>e</w:t>
      </w:r>
      <w:r w:rsidR="00016EAC">
        <w:rPr>
          <w:rFonts w:eastAsiaTheme="minorHAnsi"/>
          <w:spacing w:val="-3"/>
          <w:sz w:val="26"/>
          <w:szCs w:val="26"/>
        </w:rPr>
        <w:t>go</w:t>
      </w:r>
      <w:r w:rsidR="006539BD">
        <w:rPr>
          <w:rFonts w:eastAsiaTheme="minorHAnsi"/>
          <w:spacing w:val="-3"/>
          <w:sz w:val="26"/>
          <w:szCs w:val="26"/>
        </w:rPr>
        <w:t xml:space="preserve"> </w:t>
      </w:r>
      <w:r w:rsidR="00016EAC">
        <w:rPr>
          <w:rFonts w:eastAsiaTheme="minorHAnsi"/>
          <w:spacing w:val="-3"/>
          <w:sz w:val="26"/>
          <w:szCs w:val="26"/>
        </w:rPr>
        <w:t xml:space="preserve">challenges in the present proceeding while </w:t>
      </w:r>
      <w:r w:rsidR="00755C82" w:rsidRPr="00755C82">
        <w:rPr>
          <w:rFonts w:eastAsiaTheme="minorHAnsi"/>
          <w:spacing w:val="-3"/>
          <w:sz w:val="26"/>
          <w:szCs w:val="26"/>
        </w:rPr>
        <w:t>retain</w:t>
      </w:r>
      <w:r w:rsidR="00016EAC">
        <w:rPr>
          <w:rFonts w:eastAsiaTheme="minorHAnsi"/>
          <w:spacing w:val="-3"/>
          <w:sz w:val="26"/>
          <w:szCs w:val="26"/>
        </w:rPr>
        <w:t>ing</w:t>
      </w:r>
      <w:r w:rsidR="00755C82" w:rsidRPr="00755C82">
        <w:rPr>
          <w:rFonts w:eastAsiaTheme="minorHAnsi"/>
          <w:spacing w:val="-3"/>
          <w:sz w:val="26"/>
          <w:szCs w:val="26"/>
        </w:rPr>
        <w:t xml:space="preserve"> </w:t>
      </w:r>
      <w:r w:rsidR="00016EAC">
        <w:rPr>
          <w:rFonts w:eastAsiaTheme="minorHAnsi"/>
          <w:spacing w:val="-3"/>
          <w:sz w:val="26"/>
          <w:szCs w:val="26"/>
        </w:rPr>
        <w:t xml:space="preserve">the </w:t>
      </w:r>
      <w:r w:rsidR="00755C82" w:rsidRPr="00755C82">
        <w:rPr>
          <w:rFonts w:eastAsiaTheme="minorHAnsi"/>
          <w:spacing w:val="-3"/>
          <w:sz w:val="26"/>
          <w:szCs w:val="26"/>
        </w:rPr>
        <w:t xml:space="preserve">right to further challenge all issues in subsequent proceedings.  A “Black Box” settlement benefits ratepayers as it allows for the resolution of a proceeding </w:t>
      </w:r>
      <w:r w:rsidR="00016EAC">
        <w:rPr>
          <w:rFonts w:eastAsiaTheme="minorHAnsi"/>
          <w:spacing w:val="-3"/>
          <w:sz w:val="26"/>
          <w:szCs w:val="26"/>
        </w:rPr>
        <w:t xml:space="preserve">on favorable terms </w:t>
      </w:r>
      <w:r w:rsidR="00755C82" w:rsidRPr="00755C82">
        <w:rPr>
          <w:rFonts w:eastAsiaTheme="minorHAnsi"/>
          <w:spacing w:val="-3"/>
          <w:sz w:val="26"/>
          <w:szCs w:val="26"/>
        </w:rPr>
        <w:t>in a timely manner while avoiding significant additional expenses.</w:t>
      </w:r>
    </w:p>
    <w:p w14:paraId="15CA9750" w14:textId="77777777" w:rsidR="00FA36CB" w:rsidRPr="003C351F" w:rsidRDefault="00FA36CB" w:rsidP="002E6D96">
      <w:pPr>
        <w:widowControl/>
        <w:tabs>
          <w:tab w:val="left" w:pos="-720"/>
        </w:tabs>
        <w:suppressAutoHyphens/>
        <w:spacing w:line="360" w:lineRule="auto"/>
        <w:ind w:firstLine="1440"/>
        <w:contextualSpacing/>
        <w:rPr>
          <w:rFonts w:eastAsiaTheme="minorHAnsi"/>
          <w:spacing w:val="-3"/>
          <w:sz w:val="26"/>
          <w:szCs w:val="26"/>
        </w:rPr>
      </w:pPr>
    </w:p>
    <w:p w14:paraId="181B9CED" w14:textId="77777777" w:rsidR="00FA36CB" w:rsidRPr="003C351F" w:rsidRDefault="00FA36CB" w:rsidP="002E6D96">
      <w:pPr>
        <w:widowControl/>
        <w:tabs>
          <w:tab w:val="left" w:pos="-720"/>
        </w:tabs>
        <w:suppressAutoHyphens/>
        <w:spacing w:line="360" w:lineRule="auto"/>
        <w:ind w:firstLine="1440"/>
        <w:contextualSpacing/>
        <w:rPr>
          <w:rFonts w:eastAsiaTheme="minorHAnsi"/>
          <w:spacing w:val="-3"/>
          <w:sz w:val="26"/>
          <w:szCs w:val="26"/>
        </w:rPr>
      </w:pPr>
      <w:r w:rsidRPr="003C351F">
        <w:rPr>
          <w:rFonts w:eastAsiaTheme="minorHAnsi"/>
          <w:spacing w:val="-3"/>
          <w:sz w:val="26"/>
          <w:szCs w:val="26"/>
        </w:rPr>
        <w:t xml:space="preserve">In analyzing a proposed general rate increase, the Commission determines a rate of return to be applied to a rate base measured by the aggregate value of all the utility’s property used and useful in the public service.  The Commission determines a proper rate of return by calculating the utility’s capital structure and the cost of the different types of capital during the period in issue.  The Commission is granted wide discretion, because of its administrative expertise, in determining the cost of capital.  </w:t>
      </w:r>
      <w:r w:rsidRPr="003C351F">
        <w:rPr>
          <w:rFonts w:eastAsiaTheme="minorHAnsi"/>
          <w:i/>
          <w:spacing w:val="-3"/>
          <w:sz w:val="26"/>
          <w:szCs w:val="26"/>
        </w:rPr>
        <w:t>Equitable Gas Co. v. Pa. PUC</w:t>
      </w:r>
      <w:r w:rsidRPr="003C351F">
        <w:rPr>
          <w:rFonts w:eastAsiaTheme="minorHAnsi"/>
          <w:spacing w:val="-3"/>
          <w:sz w:val="26"/>
          <w:szCs w:val="26"/>
        </w:rPr>
        <w:t>, 405 A.2d 1055, 1059 (Pa. Cmwlth. 1979) (determination of cost of capital is basically a matter of judgment which should be left to the regulatory agency and not disturbed absent an abuse of discretion).</w:t>
      </w:r>
    </w:p>
    <w:p w14:paraId="765FE0CC" w14:textId="77777777" w:rsidR="00FA36CB" w:rsidRPr="003C351F" w:rsidRDefault="00FA36CB" w:rsidP="002E6D96">
      <w:pPr>
        <w:widowControl/>
        <w:tabs>
          <w:tab w:val="left" w:pos="-720"/>
        </w:tabs>
        <w:suppressAutoHyphens/>
        <w:spacing w:line="360" w:lineRule="auto"/>
        <w:ind w:firstLine="1440"/>
        <w:contextualSpacing/>
        <w:rPr>
          <w:rFonts w:eastAsiaTheme="minorHAnsi"/>
          <w:spacing w:val="-3"/>
          <w:sz w:val="26"/>
          <w:szCs w:val="26"/>
        </w:rPr>
      </w:pPr>
    </w:p>
    <w:p w14:paraId="573FF4DC" w14:textId="673D2EB8" w:rsidR="00FA36CB" w:rsidRPr="003C351F" w:rsidRDefault="00FA36CB" w:rsidP="002E6D96">
      <w:pPr>
        <w:keepLines/>
        <w:widowControl/>
        <w:spacing w:line="360" w:lineRule="auto"/>
        <w:ind w:firstLine="1440"/>
        <w:contextualSpacing/>
        <w:rPr>
          <w:rFonts w:eastAsiaTheme="minorHAnsi"/>
          <w:sz w:val="26"/>
          <w:szCs w:val="26"/>
        </w:rPr>
      </w:pPr>
      <w:r w:rsidRPr="003C351F">
        <w:rPr>
          <w:rFonts w:eastAsiaTheme="minorHAnsi"/>
          <w:sz w:val="26"/>
          <w:szCs w:val="26"/>
        </w:rPr>
        <w:lastRenderedPageBreak/>
        <w:t xml:space="preserve">As we proceed in our review of the various positions of the Parties in this proceeding, we </w:t>
      </w:r>
      <w:r w:rsidR="00080653">
        <w:rPr>
          <w:rFonts w:eastAsiaTheme="minorHAnsi"/>
          <w:sz w:val="26"/>
          <w:szCs w:val="26"/>
        </w:rPr>
        <w:t xml:space="preserve">note </w:t>
      </w:r>
      <w:r w:rsidRPr="003C351F">
        <w:rPr>
          <w:rFonts w:eastAsiaTheme="minorHAnsi"/>
          <w:sz w:val="26"/>
          <w:szCs w:val="26"/>
        </w:rPr>
        <w:t>that any issue or Exception not specifically address</w:t>
      </w:r>
      <w:r w:rsidR="00080653">
        <w:rPr>
          <w:rFonts w:eastAsiaTheme="minorHAnsi"/>
          <w:sz w:val="26"/>
          <w:szCs w:val="26"/>
        </w:rPr>
        <w:t>ed</w:t>
      </w:r>
      <w:r w:rsidRPr="003C351F">
        <w:rPr>
          <w:rFonts w:eastAsiaTheme="minorHAnsi"/>
          <w:sz w:val="26"/>
          <w:szCs w:val="26"/>
        </w:rPr>
        <w:t xml:space="preserve"> </w:t>
      </w:r>
      <w:r w:rsidRPr="003C351F">
        <w:rPr>
          <w:sz w:val="26"/>
          <w:szCs w:val="26"/>
        </w:rPr>
        <w:t xml:space="preserve">shall be deemed to have been duly considered and denied without further discussion.  </w:t>
      </w:r>
      <w:r w:rsidR="00080653">
        <w:rPr>
          <w:sz w:val="26"/>
          <w:szCs w:val="26"/>
        </w:rPr>
        <w:t>It is well settled that t</w:t>
      </w:r>
      <w:r w:rsidRPr="003C351F">
        <w:rPr>
          <w:sz w:val="26"/>
          <w:szCs w:val="26"/>
        </w:rPr>
        <w:t xml:space="preserve">he Commission is not required to consider expressly or at length each contention or argument raised by the parties.  </w:t>
      </w:r>
      <w:hyperlink r:id="rId9" w:history="1">
        <w:r w:rsidRPr="003C351F">
          <w:rPr>
            <w:i/>
            <w:iCs/>
            <w:color w:val="000000"/>
            <w:sz w:val="26"/>
            <w:szCs w:val="26"/>
          </w:rPr>
          <w:t xml:space="preserve">Consolidated Rail Corp. v. Pa. PUC, </w:t>
        </w:r>
        <w:r w:rsidRPr="003C351F">
          <w:rPr>
            <w:color w:val="000000"/>
            <w:sz w:val="26"/>
            <w:szCs w:val="26"/>
          </w:rPr>
          <w:t>625 A.2d 741 (Pa. Cmwlth. 1993);</w:t>
        </w:r>
      </w:hyperlink>
      <w:r w:rsidRPr="003C351F">
        <w:rPr>
          <w:color w:val="000000"/>
          <w:sz w:val="26"/>
          <w:szCs w:val="26"/>
        </w:rPr>
        <w:t xml:space="preserve"> </w:t>
      </w:r>
      <w:r w:rsidRPr="003C351F">
        <w:rPr>
          <w:i/>
          <w:color w:val="000000"/>
          <w:sz w:val="26"/>
          <w:szCs w:val="26"/>
        </w:rPr>
        <w:t xml:space="preserve">also </w:t>
      </w:r>
      <w:r w:rsidRPr="003C351F">
        <w:rPr>
          <w:i/>
          <w:iCs/>
          <w:color w:val="000000"/>
          <w:sz w:val="26"/>
          <w:szCs w:val="26"/>
        </w:rPr>
        <w:t xml:space="preserve">see, generally, </w:t>
      </w:r>
      <w:hyperlink r:id="rId10" w:history="1">
        <w:r w:rsidRPr="003C351F">
          <w:rPr>
            <w:i/>
            <w:iCs/>
            <w:color w:val="000000"/>
            <w:sz w:val="26"/>
            <w:szCs w:val="26"/>
          </w:rPr>
          <w:t>University of Pennsylvania v. Pa. PUC</w:t>
        </w:r>
        <w:r w:rsidRPr="003C351F">
          <w:rPr>
            <w:color w:val="000000"/>
            <w:sz w:val="26"/>
            <w:szCs w:val="26"/>
          </w:rPr>
          <w:t>, 485 A.2d 1217 (Pa. Cmwlth. 1984).</w:t>
        </w:r>
      </w:hyperlink>
    </w:p>
    <w:p w14:paraId="4BA17469" w14:textId="77777777" w:rsidR="00FA36CB" w:rsidRPr="003C351F" w:rsidRDefault="00FA36CB" w:rsidP="002E6D96">
      <w:pPr>
        <w:widowControl/>
        <w:spacing w:line="360" w:lineRule="auto"/>
        <w:contextualSpacing/>
        <w:rPr>
          <w:b/>
          <w:sz w:val="26"/>
          <w:szCs w:val="26"/>
        </w:rPr>
      </w:pPr>
    </w:p>
    <w:p w14:paraId="0BFBCDD8" w14:textId="2C7760CF" w:rsidR="007D77D1" w:rsidRPr="00114D9F" w:rsidRDefault="00114D9F" w:rsidP="002E6D96">
      <w:pPr>
        <w:keepNext/>
        <w:keepLines/>
        <w:widowControl/>
        <w:spacing w:line="360" w:lineRule="auto"/>
        <w:jc w:val="center"/>
        <w:rPr>
          <w:b/>
          <w:sz w:val="26"/>
          <w:szCs w:val="26"/>
        </w:rPr>
      </w:pPr>
      <w:r>
        <w:rPr>
          <w:b/>
          <w:sz w:val="26"/>
          <w:szCs w:val="26"/>
        </w:rPr>
        <w:t>IV.</w:t>
      </w:r>
      <w:r>
        <w:rPr>
          <w:b/>
          <w:sz w:val="26"/>
          <w:szCs w:val="26"/>
        </w:rPr>
        <w:tab/>
      </w:r>
      <w:r w:rsidR="000362A3" w:rsidRPr="00114D9F">
        <w:rPr>
          <w:b/>
          <w:sz w:val="26"/>
          <w:szCs w:val="26"/>
        </w:rPr>
        <w:t>Partial Settlement</w:t>
      </w:r>
    </w:p>
    <w:p w14:paraId="561487F2" w14:textId="77777777" w:rsidR="007D77D1" w:rsidRDefault="007D77D1" w:rsidP="002E6D96">
      <w:pPr>
        <w:pStyle w:val="ListParagraph"/>
        <w:keepNext/>
        <w:keepLines/>
        <w:widowControl/>
        <w:spacing w:line="360" w:lineRule="auto"/>
        <w:ind w:left="0"/>
        <w:jc w:val="center"/>
        <w:outlineLvl w:val="0"/>
        <w:rPr>
          <w:b/>
          <w:sz w:val="26"/>
          <w:szCs w:val="26"/>
        </w:rPr>
      </w:pPr>
    </w:p>
    <w:p w14:paraId="6CB03CC2" w14:textId="4B7A8CAE" w:rsidR="007D77D1" w:rsidRDefault="008B1A20" w:rsidP="002E6D96">
      <w:pPr>
        <w:widowControl/>
        <w:spacing w:line="360" w:lineRule="auto"/>
        <w:ind w:firstLine="1440"/>
        <w:rPr>
          <w:sz w:val="26"/>
          <w:szCs w:val="26"/>
        </w:rPr>
      </w:pPr>
      <w:r>
        <w:rPr>
          <w:sz w:val="26"/>
          <w:szCs w:val="26"/>
        </w:rPr>
        <w:t xml:space="preserve">By the terms and conditions set forth in the </w:t>
      </w:r>
      <w:r w:rsidR="00DC5FEC">
        <w:rPr>
          <w:sz w:val="26"/>
          <w:szCs w:val="26"/>
        </w:rPr>
        <w:t>Partial Settlement</w:t>
      </w:r>
      <w:r w:rsidR="00625B13">
        <w:rPr>
          <w:sz w:val="26"/>
          <w:szCs w:val="26"/>
        </w:rPr>
        <w:t xml:space="preserve"> and which are set forth and addressed by the ALJ in his Recommended Decision, </w:t>
      </w:r>
      <w:r>
        <w:rPr>
          <w:sz w:val="26"/>
          <w:szCs w:val="26"/>
        </w:rPr>
        <w:t>t</w:t>
      </w:r>
      <w:r w:rsidR="007D77D1" w:rsidRPr="001067E3">
        <w:rPr>
          <w:sz w:val="26"/>
          <w:szCs w:val="26"/>
        </w:rPr>
        <w:t xml:space="preserve">he Joint Petitioners </w:t>
      </w:r>
      <w:r w:rsidR="00625B13">
        <w:rPr>
          <w:sz w:val="26"/>
          <w:szCs w:val="26"/>
        </w:rPr>
        <w:t xml:space="preserve">have </w:t>
      </w:r>
      <w:r w:rsidR="00243E5B">
        <w:rPr>
          <w:sz w:val="26"/>
          <w:szCs w:val="26"/>
        </w:rPr>
        <w:t xml:space="preserve">resolved </w:t>
      </w:r>
      <w:r w:rsidR="007D77D1" w:rsidRPr="001067E3">
        <w:rPr>
          <w:sz w:val="26"/>
          <w:szCs w:val="26"/>
        </w:rPr>
        <w:t xml:space="preserve">all </w:t>
      </w:r>
      <w:r w:rsidR="00625B13">
        <w:rPr>
          <w:sz w:val="26"/>
          <w:szCs w:val="26"/>
        </w:rPr>
        <w:t xml:space="preserve">of the </w:t>
      </w:r>
      <w:r w:rsidR="007D77D1">
        <w:rPr>
          <w:sz w:val="26"/>
          <w:szCs w:val="26"/>
        </w:rPr>
        <w:t xml:space="preserve">issues related to </w:t>
      </w:r>
      <w:r w:rsidR="005F1D3D">
        <w:rPr>
          <w:sz w:val="26"/>
          <w:szCs w:val="26"/>
        </w:rPr>
        <w:t xml:space="preserve">Columbia’s </w:t>
      </w:r>
      <w:r w:rsidR="007D77D1" w:rsidRPr="001067E3">
        <w:rPr>
          <w:sz w:val="26"/>
          <w:szCs w:val="26"/>
        </w:rPr>
        <w:t>2018 Base Rate Filing</w:t>
      </w:r>
      <w:r w:rsidR="00243E5B">
        <w:rPr>
          <w:sz w:val="26"/>
          <w:szCs w:val="26"/>
        </w:rPr>
        <w:t xml:space="preserve"> </w:t>
      </w:r>
      <w:r w:rsidR="00625B13">
        <w:rPr>
          <w:sz w:val="26"/>
          <w:szCs w:val="26"/>
        </w:rPr>
        <w:t xml:space="preserve">through mutual </w:t>
      </w:r>
      <w:r w:rsidR="00243E5B">
        <w:rPr>
          <w:sz w:val="26"/>
          <w:szCs w:val="26"/>
        </w:rPr>
        <w:t>agreement</w:t>
      </w:r>
      <w:r w:rsidR="007D77D1">
        <w:rPr>
          <w:sz w:val="26"/>
          <w:szCs w:val="26"/>
        </w:rPr>
        <w:t xml:space="preserve">, </w:t>
      </w:r>
      <w:r w:rsidR="00625B13">
        <w:rPr>
          <w:sz w:val="26"/>
          <w:szCs w:val="26"/>
        </w:rPr>
        <w:t xml:space="preserve">but have </w:t>
      </w:r>
      <w:r w:rsidR="007D77D1">
        <w:rPr>
          <w:sz w:val="26"/>
          <w:szCs w:val="26"/>
        </w:rPr>
        <w:t>preserved</w:t>
      </w:r>
      <w:r w:rsidR="00625B13">
        <w:rPr>
          <w:sz w:val="26"/>
          <w:szCs w:val="26"/>
        </w:rPr>
        <w:t>,</w:t>
      </w:r>
      <w:r w:rsidR="007D77D1">
        <w:rPr>
          <w:sz w:val="26"/>
          <w:szCs w:val="26"/>
        </w:rPr>
        <w:t xml:space="preserve"> as a separate matter for </w:t>
      </w:r>
      <w:r w:rsidR="00AE15A5">
        <w:rPr>
          <w:sz w:val="26"/>
          <w:szCs w:val="26"/>
        </w:rPr>
        <w:t>litigation</w:t>
      </w:r>
      <w:r w:rsidR="007D77D1">
        <w:rPr>
          <w:sz w:val="26"/>
          <w:szCs w:val="26"/>
        </w:rPr>
        <w:t xml:space="preserve">, the claim </w:t>
      </w:r>
      <w:r w:rsidR="00016EAC">
        <w:rPr>
          <w:sz w:val="26"/>
          <w:szCs w:val="26"/>
        </w:rPr>
        <w:t xml:space="preserve">raised by the </w:t>
      </w:r>
      <w:r w:rsidR="007D77D1">
        <w:rPr>
          <w:sz w:val="26"/>
          <w:szCs w:val="26"/>
        </w:rPr>
        <w:t xml:space="preserve">NGS Parties that a Columbia billing practice violates Section 1502 of the </w:t>
      </w:r>
      <w:r w:rsidR="00C61946">
        <w:rPr>
          <w:sz w:val="26"/>
          <w:szCs w:val="26"/>
        </w:rPr>
        <w:t>Code</w:t>
      </w:r>
      <w:r w:rsidR="007D77D1">
        <w:rPr>
          <w:sz w:val="26"/>
          <w:szCs w:val="26"/>
        </w:rPr>
        <w:t xml:space="preserve"> regarding nondiscrimination in provision of service</w:t>
      </w:r>
      <w:r w:rsidR="007D77D1" w:rsidRPr="001067E3">
        <w:rPr>
          <w:sz w:val="26"/>
          <w:szCs w:val="26"/>
        </w:rPr>
        <w:t>.</w:t>
      </w:r>
      <w:r w:rsidR="00AB5966">
        <w:rPr>
          <w:sz w:val="26"/>
          <w:szCs w:val="26"/>
        </w:rPr>
        <w:t xml:space="preserve">  R.D</w:t>
      </w:r>
      <w:r w:rsidR="00EF66AF">
        <w:rPr>
          <w:sz w:val="26"/>
          <w:szCs w:val="26"/>
        </w:rPr>
        <w:t>.</w:t>
      </w:r>
      <w:r w:rsidR="00AB5966">
        <w:rPr>
          <w:sz w:val="26"/>
          <w:szCs w:val="26"/>
        </w:rPr>
        <w:t xml:space="preserve"> at </w:t>
      </w:r>
      <w:r w:rsidR="00220196">
        <w:rPr>
          <w:sz w:val="26"/>
          <w:szCs w:val="26"/>
        </w:rPr>
        <w:t xml:space="preserve">14-27, Joint </w:t>
      </w:r>
      <w:r w:rsidR="00EF66AF">
        <w:rPr>
          <w:sz w:val="26"/>
          <w:szCs w:val="26"/>
        </w:rPr>
        <w:t xml:space="preserve">Petition </w:t>
      </w:r>
      <w:r w:rsidR="00625B13">
        <w:rPr>
          <w:sz w:val="26"/>
          <w:szCs w:val="26"/>
        </w:rPr>
        <w:t xml:space="preserve">at </w:t>
      </w:r>
      <w:r w:rsidR="00EF66AF">
        <w:rPr>
          <w:sz w:val="26"/>
          <w:szCs w:val="26"/>
        </w:rPr>
        <w:t>⁋⁋26-78</w:t>
      </w:r>
      <w:r w:rsidR="00AB5966">
        <w:rPr>
          <w:sz w:val="26"/>
          <w:szCs w:val="26"/>
        </w:rPr>
        <w:t>.</w:t>
      </w:r>
    </w:p>
    <w:p w14:paraId="4017C341" w14:textId="77777777" w:rsidR="00625B13" w:rsidRPr="001067E3" w:rsidRDefault="00625B13" w:rsidP="002E6D96">
      <w:pPr>
        <w:widowControl/>
        <w:spacing w:line="360" w:lineRule="auto"/>
        <w:ind w:firstLine="1440"/>
        <w:rPr>
          <w:sz w:val="26"/>
          <w:szCs w:val="26"/>
        </w:rPr>
      </w:pPr>
    </w:p>
    <w:p w14:paraId="6AAA7A4A" w14:textId="2E333DA3" w:rsidR="007D77D1" w:rsidRDefault="007D77D1" w:rsidP="002E6D96">
      <w:pPr>
        <w:widowControl/>
        <w:spacing w:line="360" w:lineRule="auto"/>
        <w:ind w:firstLine="1440"/>
        <w:rPr>
          <w:sz w:val="26"/>
          <w:szCs w:val="26"/>
        </w:rPr>
      </w:pPr>
      <w:r w:rsidRPr="001067E3">
        <w:rPr>
          <w:sz w:val="26"/>
          <w:szCs w:val="26"/>
        </w:rPr>
        <w:t xml:space="preserve">The Joint Petitioners agreed to a base rate increase, an allocation of that revenue increase to the rate classes and </w:t>
      </w:r>
      <w:r w:rsidR="00BC2F32">
        <w:rPr>
          <w:sz w:val="26"/>
          <w:szCs w:val="26"/>
        </w:rPr>
        <w:t xml:space="preserve">a </w:t>
      </w:r>
      <w:r w:rsidRPr="001067E3">
        <w:rPr>
          <w:sz w:val="26"/>
          <w:szCs w:val="26"/>
        </w:rPr>
        <w:t xml:space="preserve">rate design for all rate classes to recover the portion of the rate increase allocated to </w:t>
      </w:r>
      <w:r w:rsidR="00625B13">
        <w:rPr>
          <w:sz w:val="26"/>
          <w:szCs w:val="26"/>
        </w:rPr>
        <w:t>each</w:t>
      </w:r>
      <w:r w:rsidRPr="001067E3">
        <w:rPr>
          <w:sz w:val="26"/>
          <w:szCs w:val="26"/>
        </w:rPr>
        <w:t xml:space="preserve"> class.  </w:t>
      </w:r>
      <w:r w:rsidR="00777C16">
        <w:rPr>
          <w:sz w:val="26"/>
          <w:szCs w:val="26"/>
        </w:rPr>
        <w:t>In compliance with the Commission’s directive, t</w:t>
      </w:r>
      <w:r w:rsidRPr="001067E3">
        <w:rPr>
          <w:sz w:val="26"/>
          <w:szCs w:val="26"/>
        </w:rPr>
        <w:t xml:space="preserve">he Joint Petitioners agreed to a mechanism to return to customers the 2018 income tax differential resulting from the TCJA.  </w:t>
      </w:r>
      <w:r w:rsidR="00625B13">
        <w:rPr>
          <w:sz w:val="26"/>
          <w:szCs w:val="26"/>
        </w:rPr>
        <w:t>All o</w:t>
      </w:r>
      <w:r w:rsidRPr="001067E3">
        <w:rPr>
          <w:sz w:val="26"/>
          <w:szCs w:val="26"/>
        </w:rPr>
        <w:t xml:space="preserve">ther issues presented in the proceeding, except for the billing of non-commodity products and services, were resolved by the </w:t>
      </w:r>
      <w:r w:rsidR="00DC5FEC">
        <w:rPr>
          <w:sz w:val="26"/>
          <w:szCs w:val="26"/>
        </w:rPr>
        <w:t>Partial Settlement</w:t>
      </w:r>
      <w:r w:rsidRPr="001067E3">
        <w:rPr>
          <w:sz w:val="26"/>
          <w:szCs w:val="26"/>
        </w:rPr>
        <w:t xml:space="preserve">. </w:t>
      </w:r>
      <w:r w:rsidR="00625B13">
        <w:rPr>
          <w:sz w:val="26"/>
          <w:szCs w:val="26"/>
        </w:rPr>
        <w:t xml:space="preserve"> </w:t>
      </w:r>
      <w:r w:rsidR="007E3BD5" w:rsidRPr="007E3BD5">
        <w:rPr>
          <w:i/>
          <w:sz w:val="26"/>
          <w:szCs w:val="26"/>
        </w:rPr>
        <w:t>Id</w:t>
      </w:r>
      <w:r w:rsidR="007E3BD5">
        <w:rPr>
          <w:sz w:val="26"/>
          <w:szCs w:val="26"/>
        </w:rPr>
        <w:t>.</w:t>
      </w:r>
    </w:p>
    <w:p w14:paraId="29225561" w14:textId="77777777" w:rsidR="00E006B8" w:rsidRDefault="00E006B8" w:rsidP="002E6D96">
      <w:pPr>
        <w:widowControl/>
        <w:spacing w:line="360" w:lineRule="auto"/>
        <w:ind w:firstLine="1440"/>
        <w:rPr>
          <w:sz w:val="26"/>
          <w:szCs w:val="26"/>
        </w:rPr>
      </w:pPr>
    </w:p>
    <w:p w14:paraId="253244AE" w14:textId="737A35DA" w:rsidR="00D3034C" w:rsidRDefault="007E3BD5" w:rsidP="002E6D96">
      <w:pPr>
        <w:widowControl/>
        <w:spacing w:line="360" w:lineRule="auto"/>
        <w:ind w:firstLine="1440"/>
        <w:rPr>
          <w:sz w:val="26"/>
          <w:szCs w:val="26"/>
        </w:rPr>
      </w:pPr>
      <w:r>
        <w:rPr>
          <w:sz w:val="26"/>
          <w:szCs w:val="26"/>
        </w:rPr>
        <w:t xml:space="preserve">As a term of </w:t>
      </w:r>
      <w:r w:rsidR="00625B13">
        <w:rPr>
          <w:sz w:val="26"/>
          <w:szCs w:val="26"/>
        </w:rPr>
        <w:t>the Partial S</w:t>
      </w:r>
      <w:r>
        <w:rPr>
          <w:sz w:val="26"/>
          <w:szCs w:val="26"/>
        </w:rPr>
        <w:t xml:space="preserve">ettlement, </w:t>
      </w:r>
      <w:r w:rsidR="007D77D1" w:rsidRPr="001067E3">
        <w:rPr>
          <w:sz w:val="26"/>
          <w:szCs w:val="26"/>
        </w:rPr>
        <w:t xml:space="preserve">the Joint Petitioners proposed that rates be designed to produce an additional $26 million in annual base rate operating revenues </w:t>
      </w:r>
      <w:r w:rsidR="00E006B8" w:rsidRPr="001067E3">
        <w:rPr>
          <w:sz w:val="26"/>
          <w:szCs w:val="26"/>
        </w:rPr>
        <w:t xml:space="preserve">based upon the </w:t>
      </w:r>
      <w:r w:rsidR="00E006B8" w:rsidRPr="00625B13">
        <w:rPr>
          <w:i/>
          <w:sz w:val="26"/>
          <w:szCs w:val="26"/>
        </w:rPr>
        <w:t>pro forma</w:t>
      </w:r>
      <w:r w:rsidR="00E006B8" w:rsidRPr="001067E3">
        <w:rPr>
          <w:sz w:val="26"/>
          <w:szCs w:val="26"/>
        </w:rPr>
        <w:t xml:space="preserve"> level of operations for the twelve months ended December 31, </w:t>
      </w:r>
      <w:r w:rsidR="00E006B8" w:rsidRPr="001067E3">
        <w:rPr>
          <w:sz w:val="26"/>
          <w:szCs w:val="26"/>
        </w:rPr>
        <w:lastRenderedPageBreak/>
        <w:t>2019</w:t>
      </w:r>
      <w:r w:rsidR="00E006B8">
        <w:rPr>
          <w:sz w:val="26"/>
          <w:szCs w:val="26"/>
        </w:rPr>
        <w:t xml:space="preserve">, </w:t>
      </w:r>
      <w:r w:rsidR="007D77D1" w:rsidRPr="001067E3">
        <w:rPr>
          <w:sz w:val="26"/>
          <w:szCs w:val="26"/>
        </w:rPr>
        <w:t xml:space="preserve">instead of the Company’s filed increase request of approximately $46.9 million.  </w:t>
      </w:r>
      <w:r w:rsidR="00E006B8">
        <w:rPr>
          <w:sz w:val="26"/>
          <w:szCs w:val="26"/>
        </w:rPr>
        <w:t xml:space="preserve">R.D. at 7, Joint Petition at 2.  </w:t>
      </w:r>
      <w:r w:rsidR="00E006B8" w:rsidRPr="001067E3">
        <w:rPr>
          <w:sz w:val="26"/>
          <w:szCs w:val="26"/>
        </w:rPr>
        <w:t xml:space="preserve">The </w:t>
      </w:r>
      <w:r w:rsidR="00E006B8">
        <w:rPr>
          <w:sz w:val="26"/>
          <w:szCs w:val="26"/>
        </w:rPr>
        <w:t xml:space="preserve">effective date of the </w:t>
      </w:r>
      <w:r w:rsidR="00E006B8" w:rsidRPr="001067E3">
        <w:rPr>
          <w:sz w:val="26"/>
          <w:szCs w:val="26"/>
        </w:rPr>
        <w:t xml:space="preserve">new rates </w:t>
      </w:r>
      <w:r w:rsidR="00E006B8">
        <w:rPr>
          <w:sz w:val="26"/>
          <w:szCs w:val="26"/>
        </w:rPr>
        <w:t xml:space="preserve">would be </w:t>
      </w:r>
      <w:r w:rsidR="00E006B8" w:rsidRPr="001067E3">
        <w:rPr>
          <w:sz w:val="26"/>
          <w:szCs w:val="26"/>
        </w:rPr>
        <w:t>December</w:t>
      </w:r>
      <w:r w:rsidR="00345ADD">
        <w:rPr>
          <w:sz w:val="26"/>
          <w:szCs w:val="26"/>
        </w:rPr>
        <w:t> </w:t>
      </w:r>
      <w:r w:rsidR="00E006B8" w:rsidRPr="001067E3">
        <w:rPr>
          <w:sz w:val="26"/>
          <w:szCs w:val="26"/>
        </w:rPr>
        <w:t xml:space="preserve">16, 2018. </w:t>
      </w:r>
      <w:r w:rsidR="00E006B8">
        <w:rPr>
          <w:sz w:val="26"/>
          <w:szCs w:val="26"/>
        </w:rPr>
        <w:t xml:space="preserve"> R.D. at 7, </w:t>
      </w:r>
      <w:r w:rsidR="00E006B8" w:rsidRPr="001067E3">
        <w:rPr>
          <w:sz w:val="26"/>
          <w:szCs w:val="26"/>
        </w:rPr>
        <w:t>Joint Petition</w:t>
      </w:r>
      <w:r w:rsidR="00E006B8">
        <w:rPr>
          <w:sz w:val="26"/>
          <w:szCs w:val="26"/>
        </w:rPr>
        <w:t xml:space="preserve"> at 2</w:t>
      </w:r>
      <w:r w:rsidR="00E006B8" w:rsidRPr="001067E3">
        <w:rPr>
          <w:sz w:val="26"/>
          <w:szCs w:val="26"/>
        </w:rPr>
        <w:t>.</w:t>
      </w:r>
      <w:r w:rsidR="00E006B8">
        <w:rPr>
          <w:sz w:val="26"/>
          <w:szCs w:val="26"/>
        </w:rPr>
        <w:t xml:space="preserve">  If the </w:t>
      </w:r>
      <w:r w:rsidR="00E940D6">
        <w:rPr>
          <w:sz w:val="26"/>
          <w:szCs w:val="26"/>
        </w:rPr>
        <w:t xml:space="preserve">Partial </w:t>
      </w:r>
      <w:r w:rsidR="007D77D1" w:rsidRPr="001067E3">
        <w:rPr>
          <w:sz w:val="26"/>
          <w:szCs w:val="26"/>
        </w:rPr>
        <w:t>Settlement</w:t>
      </w:r>
      <w:r w:rsidR="00E006B8">
        <w:rPr>
          <w:sz w:val="26"/>
          <w:szCs w:val="26"/>
        </w:rPr>
        <w:t xml:space="preserve"> is approved</w:t>
      </w:r>
      <w:r w:rsidR="007D77D1" w:rsidRPr="001067E3">
        <w:rPr>
          <w:sz w:val="26"/>
          <w:szCs w:val="26"/>
        </w:rPr>
        <w:t xml:space="preserve">, Columbia will receive an increase in existing base rate operating revenues of approximately 4.52%, instead of the 8.16% increase </w:t>
      </w:r>
      <w:r w:rsidR="00E006B8">
        <w:rPr>
          <w:sz w:val="26"/>
          <w:szCs w:val="26"/>
        </w:rPr>
        <w:t xml:space="preserve">originally </w:t>
      </w:r>
      <w:r w:rsidR="007D77D1" w:rsidRPr="001067E3">
        <w:rPr>
          <w:sz w:val="26"/>
          <w:szCs w:val="26"/>
        </w:rPr>
        <w:t xml:space="preserve">proposed </w:t>
      </w:r>
      <w:r w:rsidR="00E006B8">
        <w:rPr>
          <w:sz w:val="26"/>
          <w:szCs w:val="26"/>
        </w:rPr>
        <w:t xml:space="preserve">by </w:t>
      </w:r>
      <w:r w:rsidR="007D77D1" w:rsidRPr="001067E3">
        <w:rPr>
          <w:sz w:val="26"/>
          <w:szCs w:val="26"/>
        </w:rPr>
        <w:t>Columbia</w:t>
      </w:r>
      <w:r w:rsidR="00E006B8">
        <w:rPr>
          <w:sz w:val="26"/>
          <w:szCs w:val="26"/>
        </w:rPr>
        <w:t>.</w:t>
      </w:r>
      <w:r w:rsidR="007D77D1" w:rsidRPr="001067E3">
        <w:rPr>
          <w:sz w:val="26"/>
          <w:szCs w:val="26"/>
        </w:rPr>
        <w:t xml:space="preserve">  </w:t>
      </w:r>
      <w:r w:rsidR="00E006B8">
        <w:rPr>
          <w:sz w:val="26"/>
          <w:szCs w:val="26"/>
        </w:rPr>
        <w:t>The monthly bill of a</w:t>
      </w:r>
      <w:r w:rsidR="00E006B8" w:rsidRPr="001067E3">
        <w:rPr>
          <w:sz w:val="26"/>
          <w:szCs w:val="26"/>
        </w:rPr>
        <w:t xml:space="preserve"> typical residential customer using 70 t</w:t>
      </w:r>
      <w:r w:rsidR="00E006B8">
        <w:rPr>
          <w:sz w:val="26"/>
          <w:szCs w:val="26"/>
        </w:rPr>
        <w:t>h</w:t>
      </w:r>
      <w:r w:rsidR="00E006B8" w:rsidRPr="001067E3">
        <w:rPr>
          <w:sz w:val="26"/>
          <w:szCs w:val="26"/>
        </w:rPr>
        <w:t>erms of gas per month will increase</w:t>
      </w:r>
      <w:r w:rsidR="00E006B8">
        <w:rPr>
          <w:sz w:val="26"/>
          <w:szCs w:val="26"/>
        </w:rPr>
        <w:t xml:space="preserve"> by $4.11,</w:t>
      </w:r>
      <w:r w:rsidR="00E006B8" w:rsidRPr="001067E3">
        <w:rPr>
          <w:sz w:val="26"/>
          <w:szCs w:val="26"/>
        </w:rPr>
        <w:t xml:space="preserve"> from $91.63 to $95.74, or by 4.49%, </w:t>
      </w:r>
      <w:r w:rsidR="00E006B8">
        <w:rPr>
          <w:sz w:val="26"/>
          <w:szCs w:val="26"/>
        </w:rPr>
        <w:t xml:space="preserve">rather than the originally proposed increase of $8.25, </w:t>
      </w:r>
      <w:r w:rsidR="00E006B8" w:rsidRPr="001067E3">
        <w:rPr>
          <w:sz w:val="26"/>
          <w:szCs w:val="26"/>
        </w:rPr>
        <w:t>from $91.63 to $99.88 per month, or 9</w:t>
      </w:r>
      <w:r w:rsidR="00E006B8">
        <w:rPr>
          <w:sz w:val="26"/>
          <w:szCs w:val="26"/>
        </w:rPr>
        <w:t xml:space="preserve">%.  </w:t>
      </w:r>
      <w:r w:rsidR="00DA11B4">
        <w:rPr>
          <w:sz w:val="26"/>
          <w:szCs w:val="26"/>
        </w:rPr>
        <w:t xml:space="preserve">R.D. at </w:t>
      </w:r>
      <w:r w:rsidR="00E04B9E">
        <w:rPr>
          <w:sz w:val="26"/>
          <w:szCs w:val="26"/>
        </w:rPr>
        <w:t xml:space="preserve">7, </w:t>
      </w:r>
      <w:r w:rsidR="007D77D1" w:rsidRPr="001067E3">
        <w:rPr>
          <w:sz w:val="26"/>
          <w:szCs w:val="26"/>
        </w:rPr>
        <w:t>Joint Petition</w:t>
      </w:r>
      <w:r w:rsidR="00E04B9E">
        <w:rPr>
          <w:sz w:val="26"/>
          <w:szCs w:val="26"/>
        </w:rPr>
        <w:t xml:space="preserve"> at </w:t>
      </w:r>
      <w:r w:rsidR="007D77D1" w:rsidRPr="001067E3">
        <w:rPr>
          <w:sz w:val="26"/>
          <w:szCs w:val="26"/>
        </w:rPr>
        <w:t>6-7.</w:t>
      </w:r>
    </w:p>
    <w:p w14:paraId="148183E8" w14:textId="77777777" w:rsidR="0031516E" w:rsidRDefault="0031516E" w:rsidP="002E6D96">
      <w:pPr>
        <w:widowControl/>
        <w:spacing w:line="360" w:lineRule="auto"/>
        <w:ind w:firstLine="1440"/>
        <w:rPr>
          <w:sz w:val="26"/>
          <w:szCs w:val="26"/>
        </w:rPr>
      </w:pPr>
    </w:p>
    <w:p w14:paraId="47AE13B4" w14:textId="0459530F" w:rsidR="0031516E" w:rsidRDefault="00C61946" w:rsidP="002E6D96">
      <w:pPr>
        <w:widowControl/>
        <w:spacing w:line="360" w:lineRule="auto"/>
        <w:ind w:firstLine="1440"/>
        <w:rPr>
          <w:sz w:val="26"/>
          <w:szCs w:val="26"/>
        </w:rPr>
      </w:pPr>
      <w:r>
        <w:rPr>
          <w:sz w:val="26"/>
          <w:szCs w:val="26"/>
        </w:rPr>
        <w:t xml:space="preserve">The </w:t>
      </w:r>
      <w:r w:rsidR="0031516E" w:rsidRPr="0031516E">
        <w:rPr>
          <w:sz w:val="26"/>
          <w:szCs w:val="26"/>
        </w:rPr>
        <w:t>Joint Petitioners</w:t>
      </w:r>
      <w:r w:rsidR="0031516E">
        <w:rPr>
          <w:b/>
          <w:sz w:val="26"/>
          <w:szCs w:val="26"/>
        </w:rPr>
        <w:t xml:space="preserve"> </w:t>
      </w:r>
      <w:r w:rsidR="0031516E" w:rsidRPr="0031516E">
        <w:rPr>
          <w:sz w:val="26"/>
          <w:szCs w:val="26"/>
        </w:rPr>
        <w:t>maintained that terms</w:t>
      </w:r>
      <w:r w:rsidR="0031516E">
        <w:rPr>
          <w:sz w:val="26"/>
          <w:szCs w:val="26"/>
        </w:rPr>
        <w:t xml:space="preserve"> and conditions of the </w:t>
      </w:r>
      <w:r w:rsidR="00DC5FEC">
        <w:rPr>
          <w:sz w:val="26"/>
          <w:szCs w:val="26"/>
        </w:rPr>
        <w:t>Partial Settlement</w:t>
      </w:r>
      <w:r w:rsidR="0031516E">
        <w:rPr>
          <w:sz w:val="26"/>
          <w:szCs w:val="26"/>
        </w:rPr>
        <w:t xml:space="preserve"> </w:t>
      </w:r>
      <w:r w:rsidR="0031516E" w:rsidRPr="0031516E">
        <w:rPr>
          <w:sz w:val="26"/>
          <w:szCs w:val="26"/>
        </w:rPr>
        <w:t xml:space="preserve">reflect a carefully balanced compromise of the interests of all the Joint Petitioners in this proceeding.  The Joint Petitioners unanimously agreed that the </w:t>
      </w:r>
      <w:r w:rsidR="00E940D6">
        <w:rPr>
          <w:sz w:val="26"/>
          <w:szCs w:val="26"/>
        </w:rPr>
        <w:t xml:space="preserve">Partial </w:t>
      </w:r>
      <w:r w:rsidR="0031516E" w:rsidRPr="0031516E">
        <w:rPr>
          <w:sz w:val="26"/>
          <w:szCs w:val="26"/>
        </w:rPr>
        <w:t xml:space="preserve">Settlement, which resolves all </w:t>
      </w:r>
      <w:r w:rsidR="00016EAC">
        <w:rPr>
          <w:sz w:val="26"/>
          <w:szCs w:val="26"/>
        </w:rPr>
        <w:t xml:space="preserve">material </w:t>
      </w:r>
      <w:r w:rsidR="000A637C">
        <w:rPr>
          <w:sz w:val="26"/>
          <w:szCs w:val="26"/>
        </w:rPr>
        <w:t>issues relat</w:t>
      </w:r>
      <w:r w:rsidR="00016EAC">
        <w:rPr>
          <w:sz w:val="26"/>
          <w:szCs w:val="26"/>
        </w:rPr>
        <w:t>ed</w:t>
      </w:r>
      <w:r w:rsidR="000A637C">
        <w:rPr>
          <w:sz w:val="26"/>
          <w:szCs w:val="26"/>
        </w:rPr>
        <w:t xml:space="preserve"> to Columbia’s 2018 Base Rate Filing </w:t>
      </w:r>
      <w:r w:rsidR="0031516E" w:rsidRPr="0031516E">
        <w:rPr>
          <w:sz w:val="26"/>
          <w:szCs w:val="26"/>
        </w:rPr>
        <w:t xml:space="preserve">is in the public interest.  The Joint Petitioners </w:t>
      </w:r>
      <w:r w:rsidR="000A637C">
        <w:rPr>
          <w:sz w:val="26"/>
          <w:szCs w:val="26"/>
        </w:rPr>
        <w:t xml:space="preserve">requested that the Commission approve Columbia’s </w:t>
      </w:r>
      <w:r w:rsidR="0031516E" w:rsidRPr="0031516E">
        <w:rPr>
          <w:sz w:val="26"/>
          <w:szCs w:val="26"/>
        </w:rPr>
        <w:t>2018 Base Rate Filing</w:t>
      </w:r>
      <w:r w:rsidR="00016EAC">
        <w:rPr>
          <w:sz w:val="26"/>
          <w:szCs w:val="26"/>
        </w:rPr>
        <w:t xml:space="preserve"> as modified by the </w:t>
      </w:r>
      <w:r w:rsidR="00DC5FEC">
        <w:rPr>
          <w:sz w:val="26"/>
          <w:szCs w:val="26"/>
        </w:rPr>
        <w:t>Partial Settlement</w:t>
      </w:r>
      <w:r w:rsidR="0031516E" w:rsidRPr="0031516E">
        <w:rPr>
          <w:sz w:val="26"/>
          <w:szCs w:val="26"/>
        </w:rPr>
        <w:t xml:space="preserve">, including those tariff changes </w:t>
      </w:r>
      <w:r w:rsidR="00B80DD8">
        <w:rPr>
          <w:sz w:val="26"/>
          <w:szCs w:val="26"/>
        </w:rPr>
        <w:t xml:space="preserve">contained in </w:t>
      </w:r>
      <w:r w:rsidR="0031516E" w:rsidRPr="0031516E">
        <w:rPr>
          <w:sz w:val="26"/>
          <w:szCs w:val="26"/>
        </w:rPr>
        <w:t xml:space="preserve">Supplement No. 267 </w:t>
      </w:r>
      <w:r w:rsidR="00B80DD8">
        <w:rPr>
          <w:sz w:val="26"/>
          <w:szCs w:val="26"/>
        </w:rPr>
        <w:t xml:space="preserve">which is attached as </w:t>
      </w:r>
      <w:r w:rsidR="0031516E" w:rsidRPr="0031516E">
        <w:rPr>
          <w:sz w:val="26"/>
          <w:szCs w:val="26"/>
        </w:rPr>
        <w:t>Appendix “C”</w:t>
      </w:r>
      <w:r w:rsidR="00B80DD8">
        <w:rPr>
          <w:sz w:val="26"/>
          <w:szCs w:val="26"/>
        </w:rPr>
        <w:t xml:space="preserve"> of </w:t>
      </w:r>
      <w:r w:rsidR="0031516E" w:rsidRPr="0031516E">
        <w:rPr>
          <w:sz w:val="26"/>
          <w:szCs w:val="26"/>
        </w:rPr>
        <w:t>the Joint Petition</w:t>
      </w:r>
      <w:r w:rsidR="00B80DD8">
        <w:rPr>
          <w:sz w:val="26"/>
          <w:szCs w:val="26"/>
        </w:rPr>
        <w:t xml:space="preserve">.  </w:t>
      </w:r>
      <w:r w:rsidR="000A637C">
        <w:rPr>
          <w:sz w:val="26"/>
          <w:szCs w:val="26"/>
        </w:rPr>
        <w:t>R.D. at</w:t>
      </w:r>
      <w:r w:rsidR="006828D5">
        <w:rPr>
          <w:sz w:val="26"/>
          <w:szCs w:val="26"/>
        </w:rPr>
        <w:t xml:space="preserve"> 14, </w:t>
      </w:r>
      <w:r w:rsidR="0031516E" w:rsidRPr="0031516E">
        <w:rPr>
          <w:sz w:val="26"/>
          <w:szCs w:val="26"/>
        </w:rPr>
        <w:t>Joint Petition</w:t>
      </w:r>
      <w:r w:rsidR="006828D5">
        <w:rPr>
          <w:sz w:val="26"/>
          <w:szCs w:val="26"/>
        </w:rPr>
        <w:t xml:space="preserve"> at </w:t>
      </w:r>
      <w:r w:rsidR="0031516E" w:rsidRPr="0031516E">
        <w:rPr>
          <w:sz w:val="26"/>
          <w:szCs w:val="26"/>
        </w:rPr>
        <w:t>7.</w:t>
      </w:r>
    </w:p>
    <w:p w14:paraId="7C36B19C" w14:textId="77777777" w:rsidR="003331CB" w:rsidRPr="0031516E" w:rsidRDefault="003331CB" w:rsidP="002E6D96">
      <w:pPr>
        <w:widowControl/>
        <w:spacing w:line="360" w:lineRule="auto"/>
        <w:ind w:firstLine="1440"/>
        <w:rPr>
          <w:sz w:val="26"/>
          <w:szCs w:val="26"/>
        </w:rPr>
      </w:pPr>
    </w:p>
    <w:p w14:paraId="5948A9FA" w14:textId="77777777" w:rsidR="00815418" w:rsidRPr="00B80DD8" w:rsidRDefault="00B80DD8" w:rsidP="002E6D96">
      <w:pPr>
        <w:keepNext/>
        <w:keepLines/>
        <w:widowControl/>
        <w:tabs>
          <w:tab w:val="left" w:pos="1530"/>
        </w:tabs>
        <w:spacing w:line="360" w:lineRule="auto"/>
        <w:ind w:left="792"/>
        <w:textAlignment w:val="baseline"/>
        <w:outlineLvl w:val="1"/>
        <w:rPr>
          <w:b/>
          <w:color w:val="000000"/>
          <w:sz w:val="26"/>
          <w:szCs w:val="26"/>
        </w:rPr>
      </w:pPr>
      <w:bookmarkStart w:id="10" w:name="_Toc531076120"/>
      <w:r>
        <w:rPr>
          <w:b/>
          <w:color w:val="000000"/>
          <w:sz w:val="26"/>
          <w:szCs w:val="26"/>
        </w:rPr>
        <w:t>A.</w:t>
      </w:r>
      <w:r>
        <w:rPr>
          <w:b/>
          <w:color w:val="000000"/>
          <w:sz w:val="26"/>
          <w:szCs w:val="26"/>
        </w:rPr>
        <w:tab/>
      </w:r>
      <w:r w:rsidR="001B5007" w:rsidRPr="00B80DD8">
        <w:rPr>
          <w:b/>
          <w:color w:val="000000"/>
          <w:sz w:val="26"/>
          <w:szCs w:val="26"/>
        </w:rPr>
        <w:t>Revenue Requirement</w:t>
      </w:r>
      <w:bookmarkEnd w:id="10"/>
    </w:p>
    <w:p w14:paraId="53ADC2D9" w14:textId="77777777" w:rsidR="00753615" w:rsidRDefault="00753615" w:rsidP="002E6D96">
      <w:pPr>
        <w:keepNext/>
        <w:keepLines/>
        <w:widowControl/>
        <w:spacing w:line="360" w:lineRule="auto"/>
        <w:ind w:firstLine="1440"/>
        <w:rPr>
          <w:b/>
          <w:sz w:val="26"/>
          <w:szCs w:val="26"/>
        </w:rPr>
      </w:pPr>
    </w:p>
    <w:p w14:paraId="4C18CF4E" w14:textId="6E43F9A0" w:rsidR="00753615" w:rsidRPr="00D83AEC" w:rsidRDefault="00753615" w:rsidP="002E6D96">
      <w:pPr>
        <w:widowControl/>
        <w:spacing w:line="360" w:lineRule="auto"/>
        <w:ind w:firstLine="1440"/>
        <w:rPr>
          <w:sz w:val="26"/>
          <w:szCs w:val="26"/>
        </w:rPr>
      </w:pPr>
      <w:r w:rsidRPr="00D83AEC">
        <w:rPr>
          <w:sz w:val="26"/>
          <w:szCs w:val="26"/>
        </w:rPr>
        <w:t xml:space="preserve">The </w:t>
      </w:r>
      <w:r w:rsidR="00DC5FEC">
        <w:rPr>
          <w:sz w:val="26"/>
          <w:szCs w:val="26"/>
        </w:rPr>
        <w:t>Partial Settlement</w:t>
      </w:r>
      <w:r>
        <w:rPr>
          <w:sz w:val="26"/>
          <w:szCs w:val="26"/>
        </w:rPr>
        <w:t xml:space="preserve"> </w:t>
      </w:r>
      <w:r w:rsidRPr="00D83AEC">
        <w:rPr>
          <w:sz w:val="26"/>
          <w:szCs w:val="26"/>
        </w:rPr>
        <w:t xml:space="preserve">provides for rates designed to produce an increase in operating revenues of $26 million over </w:t>
      </w:r>
      <w:r>
        <w:rPr>
          <w:sz w:val="26"/>
          <w:szCs w:val="26"/>
        </w:rPr>
        <w:t xml:space="preserve">Columbia’s </w:t>
      </w:r>
      <w:r w:rsidRPr="00D83AEC">
        <w:rPr>
          <w:sz w:val="26"/>
          <w:szCs w:val="26"/>
        </w:rPr>
        <w:t>current base rates</w:t>
      </w:r>
      <w:r>
        <w:rPr>
          <w:sz w:val="26"/>
          <w:szCs w:val="26"/>
        </w:rPr>
        <w:t>,</w:t>
      </w:r>
      <w:r w:rsidRPr="00D83AEC">
        <w:rPr>
          <w:sz w:val="26"/>
          <w:szCs w:val="26"/>
        </w:rPr>
        <w:t xml:space="preserve"> based upon the </w:t>
      </w:r>
      <w:r w:rsidRPr="002B1D7C">
        <w:rPr>
          <w:i/>
          <w:sz w:val="26"/>
        </w:rPr>
        <w:t>pro forma</w:t>
      </w:r>
      <w:r w:rsidRPr="00D83AEC">
        <w:rPr>
          <w:sz w:val="26"/>
          <w:szCs w:val="26"/>
        </w:rPr>
        <w:t xml:space="preserve"> level of operations for the twelve months ended December 31, 2019.  </w:t>
      </w:r>
      <w:r>
        <w:rPr>
          <w:sz w:val="26"/>
          <w:szCs w:val="26"/>
        </w:rPr>
        <w:t xml:space="preserve">Joint Petition at </w:t>
      </w:r>
      <w:r w:rsidRPr="00D83AEC">
        <w:rPr>
          <w:sz w:val="26"/>
          <w:szCs w:val="26"/>
        </w:rPr>
        <w:t xml:space="preserve">¶ 26.  </w:t>
      </w:r>
      <w:r w:rsidR="00B80DD8">
        <w:rPr>
          <w:sz w:val="26"/>
          <w:szCs w:val="26"/>
        </w:rPr>
        <w:t>If approved, t</w:t>
      </w:r>
      <w:r w:rsidRPr="00D83AEC">
        <w:rPr>
          <w:sz w:val="26"/>
          <w:szCs w:val="26"/>
        </w:rPr>
        <w:t xml:space="preserve">he $26 million increase in tariff rates will </w:t>
      </w:r>
      <w:r w:rsidR="00B80DD8">
        <w:rPr>
          <w:sz w:val="26"/>
          <w:szCs w:val="26"/>
        </w:rPr>
        <w:t xml:space="preserve">become effective </w:t>
      </w:r>
      <w:r w:rsidRPr="00D83AEC">
        <w:rPr>
          <w:sz w:val="26"/>
          <w:szCs w:val="26"/>
        </w:rPr>
        <w:t>on December 16, 2018, which is the effective date of rates under the Commission’s April 5, 2018 suspension order.</w:t>
      </w:r>
      <w:r>
        <w:rPr>
          <w:sz w:val="26"/>
          <w:szCs w:val="26"/>
        </w:rPr>
        <w:t xml:space="preserve"> </w:t>
      </w:r>
      <w:r w:rsidR="00B80DD8">
        <w:rPr>
          <w:sz w:val="26"/>
          <w:szCs w:val="26"/>
        </w:rPr>
        <w:t xml:space="preserve"> </w:t>
      </w:r>
      <w:r>
        <w:rPr>
          <w:sz w:val="26"/>
          <w:szCs w:val="26"/>
        </w:rPr>
        <w:t xml:space="preserve">Joint Petition at </w:t>
      </w:r>
      <w:r w:rsidRPr="00D83AEC">
        <w:rPr>
          <w:sz w:val="26"/>
          <w:szCs w:val="26"/>
        </w:rPr>
        <w:t xml:space="preserve">¶ 38.  The </w:t>
      </w:r>
      <w:r>
        <w:rPr>
          <w:sz w:val="26"/>
          <w:szCs w:val="26"/>
        </w:rPr>
        <w:t xml:space="preserve">agreed upon rate </w:t>
      </w:r>
      <w:r w:rsidRPr="00D83AEC">
        <w:rPr>
          <w:sz w:val="26"/>
          <w:szCs w:val="26"/>
        </w:rPr>
        <w:t xml:space="preserve">increase is approximately 55% of Columbia’s original request of $46.9 million.  Columbia Exhibit 102, Sch. 3, p. 3.  The </w:t>
      </w:r>
      <w:r>
        <w:rPr>
          <w:sz w:val="26"/>
          <w:szCs w:val="26"/>
        </w:rPr>
        <w:t xml:space="preserve">Joint Petitioners </w:t>
      </w:r>
      <w:r w:rsidRPr="00D83AEC">
        <w:rPr>
          <w:sz w:val="26"/>
          <w:szCs w:val="26"/>
        </w:rPr>
        <w:t xml:space="preserve">agree that the $26 million </w:t>
      </w:r>
      <w:r w:rsidR="00D54B0D">
        <w:rPr>
          <w:sz w:val="26"/>
          <w:szCs w:val="26"/>
        </w:rPr>
        <w:t xml:space="preserve">revenue </w:t>
      </w:r>
      <w:r w:rsidRPr="00D83AEC">
        <w:rPr>
          <w:sz w:val="26"/>
          <w:szCs w:val="26"/>
        </w:rPr>
        <w:t>increase, although</w:t>
      </w:r>
      <w:r>
        <w:rPr>
          <w:sz w:val="26"/>
          <w:szCs w:val="26"/>
        </w:rPr>
        <w:t xml:space="preserve"> </w:t>
      </w:r>
      <w:r w:rsidR="003F3B53">
        <w:rPr>
          <w:sz w:val="26"/>
          <w:szCs w:val="26"/>
        </w:rPr>
        <w:t>$</w:t>
      </w:r>
      <w:r>
        <w:rPr>
          <w:sz w:val="26"/>
          <w:szCs w:val="26"/>
        </w:rPr>
        <w:t xml:space="preserve">20.9 million </w:t>
      </w:r>
      <w:r w:rsidRPr="00D83AEC">
        <w:rPr>
          <w:sz w:val="26"/>
          <w:szCs w:val="26"/>
        </w:rPr>
        <w:t xml:space="preserve">less than that </w:t>
      </w:r>
      <w:r w:rsidR="00B80DD8">
        <w:rPr>
          <w:sz w:val="26"/>
          <w:szCs w:val="26"/>
        </w:rPr>
        <w:t xml:space="preserve">originally </w:t>
      </w:r>
      <w:r w:rsidRPr="00D83AEC">
        <w:rPr>
          <w:sz w:val="26"/>
          <w:szCs w:val="26"/>
        </w:rPr>
        <w:t xml:space="preserve">requested by the Company, </w:t>
      </w:r>
      <w:r>
        <w:rPr>
          <w:sz w:val="26"/>
          <w:szCs w:val="26"/>
        </w:rPr>
        <w:t xml:space="preserve">is </w:t>
      </w:r>
      <w:r w:rsidR="00B80DD8">
        <w:rPr>
          <w:sz w:val="26"/>
          <w:szCs w:val="26"/>
        </w:rPr>
        <w:t xml:space="preserve">a just and </w:t>
      </w:r>
      <w:r>
        <w:rPr>
          <w:sz w:val="26"/>
          <w:szCs w:val="26"/>
        </w:rPr>
        <w:lastRenderedPageBreak/>
        <w:t xml:space="preserve">reasonable increase </w:t>
      </w:r>
      <w:r w:rsidR="00B80DD8">
        <w:rPr>
          <w:sz w:val="26"/>
          <w:szCs w:val="26"/>
        </w:rPr>
        <w:t xml:space="preserve">that will </w:t>
      </w:r>
      <w:r w:rsidR="00A11B82">
        <w:rPr>
          <w:sz w:val="26"/>
          <w:szCs w:val="26"/>
        </w:rPr>
        <w:t>permit</w:t>
      </w:r>
      <w:r w:rsidR="00B80DD8">
        <w:rPr>
          <w:sz w:val="26"/>
          <w:szCs w:val="26"/>
        </w:rPr>
        <w:t xml:space="preserve"> the Company to earn a reasonable rate of retur</w:t>
      </w:r>
      <w:r w:rsidR="00A11B82">
        <w:rPr>
          <w:sz w:val="26"/>
          <w:szCs w:val="26"/>
        </w:rPr>
        <w:t xml:space="preserve">n while </w:t>
      </w:r>
      <w:r>
        <w:rPr>
          <w:sz w:val="26"/>
          <w:szCs w:val="26"/>
        </w:rPr>
        <w:t>protect</w:t>
      </w:r>
      <w:r w:rsidR="00A11B82">
        <w:rPr>
          <w:sz w:val="26"/>
          <w:szCs w:val="26"/>
        </w:rPr>
        <w:t>ing</w:t>
      </w:r>
      <w:r>
        <w:rPr>
          <w:sz w:val="26"/>
          <w:szCs w:val="26"/>
        </w:rPr>
        <w:t xml:space="preserve"> the interests of </w:t>
      </w:r>
      <w:r w:rsidR="00A11B82">
        <w:rPr>
          <w:sz w:val="26"/>
          <w:szCs w:val="26"/>
        </w:rPr>
        <w:t xml:space="preserve">its customers through the provision of </w:t>
      </w:r>
      <w:r>
        <w:rPr>
          <w:sz w:val="26"/>
          <w:szCs w:val="26"/>
        </w:rPr>
        <w:t xml:space="preserve">safe, reliable and affordable utility service. </w:t>
      </w:r>
      <w:r w:rsidR="003F3B53">
        <w:rPr>
          <w:sz w:val="26"/>
          <w:szCs w:val="26"/>
        </w:rPr>
        <w:t xml:space="preserve"> </w:t>
      </w:r>
      <w:r>
        <w:rPr>
          <w:sz w:val="26"/>
          <w:szCs w:val="26"/>
        </w:rPr>
        <w:t>R.D. at 42.</w:t>
      </w:r>
    </w:p>
    <w:p w14:paraId="6ED5C052" w14:textId="77777777" w:rsidR="00753615" w:rsidRPr="00D83AEC" w:rsidRDefault="00753615" w:rsidP="002E6D96">
      <w:pPr>
        <w:widowControl/>
        <w:spacing w:line="360" w:lineRule="auto"/>
        <w:ind w:firstLine="1440"/>
        <w:rPr>
          <w:sz w:val="26"/>
          <w:szCs w:val="26"/>
        </w:rPr>
      </w:pPr>
    </w:p>
    <w:p w14:paraId="193FF397" w14:textId="567A5B25" w:rsidR="00753615" w:rsidRDefault="00753615" w:rsidP="002E6D96">
      <w:pPr>
        <w:widowControl/>
        <w:spacing w:line="360" w:lineRule="auto"/>
        <w:ind w:firstLine="1440"/>
        <w:rPr>
          <w:sz w:val="26"/>
          <w:szCs w:val="26"/>
          <w:u w:color="000000"/>
        </w:rPr>
      </w:pPr>
      <w:r>
        <w:rPr>
          <w:sz w:val="26"/>
          <w:szCs w:val="26"/>
        </w:rPr>
        <w:t xml:space="preserve">The ALJ emphasized that the </w:t>
      </w:r>
      <w:r w:rsidRPr="00D83AEC">
        <w:rPr>
          <w:sz w:val="26"/>
          <w:szCs w:val="26"/>
        </w:rPr>
        <w:t xml:space="preserve">Joint Petitioners </w:t>
      </w:r>
      <w:r>
        <w:rPr>
          <w:sz w:val="26"/>
          <w:szCs w:val="26"/>
        </w:rPr>
        <w:t xml:space="preserve">acknowledge that </w:t>
      </w:r>
      <w:r w:rsidRPr="00D83AEC">
        <w:rPr>
          <w:sz w:val="26"/>
          <w:szCs w:val="26"/>
        </w:rPr>
        <w:t xml:space="preserve">this </w:t>
      </w:r>
      <w:r w:rsidR="00DF1FE0">
        <w:rPr>
          <w:sz w:val="26"/>
          <w:szCs w:val="26"/>
        </w:rPr>
        <w:t>“Black Box”</w:t>
      </w:r>
      <w:r w:rsidRPr="00D83AEC">
        <w:rPr>
          <w:sz w:val="26"/>
          <w:szCs w:val="26"/>
        </w:rPr>
        <w:t xml:space="preserve"> </w:t>
      </w:r>
      <w:r w:rsidR="00A11B82">
        <w:rPr>
          <w:sz w:val="26"/>
          <w:szCs w:val="26"/>
        </w:rPr>
        <w:t>s</w:t>
      </w:r>
      <w:r w:rsidRPr="00D83AEC">
        <w:rPr>
          <w:sz w:val="26"/>
          <w:szCs w:val="26"/>
        </w:rPr>
        <w:t xml:space="preserve">ettlement </w:t>
      </w:r>
      <w:r w:rsidR="00A11B82">
        <w:rPr>
          <w:sz w:val="26"/>
          <w:szCs w:val="26"/>
        </w:rPr>
        <w:t xml:space="preserve">has been attained through </w:t>
      </w:r>
      <w:r w:rsidRPr="00D83AEC">
        <w:rPr>
          <w:sz w:val="26"/>
          <w:szCs w:val="26"/>
        </w:rPr>
        <w:t xml:space="preserve">compromise of </w:t>
      </w:r>
      <w:r w:rsidR="00C61946">
        <w:rPr>
          <w:sz w:val="26"/>
          <w:szCs w:val="26"/>
        </w:rPr>
        <w:t xml:space="preserve">the </w:t>
      </w:r>
      <w:r w:rsidRPr="00D83AEC">
        <w:rPr>
          <w:sz w:val="26"/>
          <w:szCs w:val="26"/>
        </w:rPr>
        <w:t xml:space="preserve">Joint Petitioners’ </w:t>
      </w:r>
      <w:r>
        <w:rPr>
          <w:sz w:val="26"/>
          <w:szCs w:val="26"/>
        </w:rPr>
        <w:t xml:space="preserve">litigation </w:t>
      </w:r>
      <w:r w:rsidRPr="00D83AEC">
        <w:rPr>
          <w:sz w:val="26"/>
          <w:szCs w:val="26"/>
        </w:rPr>
        <w:t xml:space="preserve">positions on </w:t>
      </w:r>
      <w:r>
        <w:rPr>
          <w:sz w:val="26"/>
          <w:szCs w:val="26"/>
        </w:rPr>
        <w:t>all</w:t>
      </w:r>
      <w:r w:rsidRPr="00D83AEC">
        <w:rPr>
          <w:sz w:val="26"/>
          <w:szCs w:val="26"/>
        </w:rPr>
        <w:t xml:space="preserve"> </w:t>
      </w:r>
      <w:r>
        <w:rPr>
          <w:sz w:val="26"/>
          <w:szCs w:val="26"/>
        </w:rPr>
        <w:t xml:space="preserve">material </w:t>
      </w:r>
      <w:r w:rsidRPr="00D83AEC">
        <w:rPr>
          <w:sz w:val="26"/>
          <w:szCs w:val="26"/>
        </w:rPr>
        <w:t>issues.</w:t>
      </w:r>
      <w:r>
        <w:rPr>
          <w:sz w:val="26"/>
          <w:szCs w:val="26"/>
        </w:rPr>
        <w:t xml:space="preserve">  Pursuant to the </w:t>
      </w:r>
      <w:r w:rsidR="00DC5FEC">
        <w:rPr>
          <w:sz w:val="26"/>
          <w:szCs w:val="26"/>
        </w:rPr>
        <w:t>Partial Settlement</w:t>
      </w:r>
      <w:r w:rsidRPr="00D83AEC">
        <w:rPr>
          <w:sz w:val="26"/>
          <w:szCs w:val="26"/>
        </w:rPr>
        <w:t xml:space="preserve">, </w:t>
      </w:r>
      <w:r>
        <w:rPr>
          <w:sz w:val="26"/>
          <w:szCs w:val="26"/>
        </w:rPr>
        <w:t xml:space="preserve">apart from a few specified factors, </w:t>
      </w:r>
      <w:r w:rsidRPr="00D83AEC">
        <w:rPr>
          <w:sz w:val="26"/>
          <w:szCs w:val="26"/>
        </w:rPr>
        <w:t xml:space="preserve">the </w:t>
      </w:r>
      <w:r>
        <w:rPr>
          <w:sz w:val="26"/>
          <w:szCs w:val="26"/>
        </w:rPr>
        <w:t xml:space="preserve">agreed upon </w:t>
      </w:r>
      <w:r w:rsidR="008726DF">
        <w:rPr>
          <w:sz w:val="26"/>
          <w:szCs w:val="26"/>
        </w:rPr>
        <w:t>revenue increase</w:t>
      </w:r>
      <w:r w:rsidRPr="00D83AEC">
        <w:rPr>
          <w:sz w:val="26"/>
          <w:szCs w:val="26"/>
        </w:rPr>
        <w:t xml:space="preserve"> </w:t>
      </w:r>
      <w:r>
        <w:rPr>
          <w:sz w:val="26"/>
          <w:szCs w:val="26"/>
        </w:rPr>
        <w:t xml:space="preserve">of </w:t>
      </w:r>
      <w:r w:rsidR="003F3B53">
        <w:rPr>
          <w:sz w:val="26"/>
          <w:szCs w:val="26"/>
        </w:rPr>
        <w:t>$</w:t>
      </w:r>
      <w:r>
        <w:rPr>
          <w:sz w:val="26"/>
          <w:szCs w:val="26"/>
        </w:rPr>
        <w:t xml:space="preserve">26 million </w:t>
      </w:r>
      <w:r w:rsidRPr="00D83AEC">
        <w:rPr>
          <w:sz w:val="26"/>
          <w:szCs w:val="26"/>
        </w:rPr>
        <w:t xml:space="preserve">is a </w:t>
      </w:r>
      <w:r w:rsidR="00DF1FE0">
        <w:rPr>
          <w:sz w:val="26"/>
          <w:szCs w:val="26"/>
        </w:rPr>
        <w:t>“Black Box”</w:t>
      </w:r>
      <w:r w:rsidRPr="00D83AEC">
        <w:rPr>
          <w:sz w:val="26"/>
          <w:szCs w:val="26"/>
        </w:rPr>
        <w:t xml:space="preserve"> amount.  </w:t>
      </w:r>
      <w:r>
        <w:rPr>
          <w:sz w:val="26"/>
          <w:szCs w:val="26"/>
        </w:rPr>
        <w:t xml:space="preserve">Therefore, under the terms of settlement, the </w:t>
      </w:r>
      <w:r w:rsidR="006539BD">
        <w:rPr>
          <w:sz w:val="26"/>
          <w:szCs w:val="26"/>
        </w:rPr>
        <w:t>P</w:t>
      </w:r>
      <w:r w:rsidRPr="00D83AEC">
        <w:rPr>
          <w:sz w:val="26"/>
          <w:szCs w:val="26"/>
        </w:rPr>
        <w:t xml:space="preserve">arties </w:t>
      </w:r>
      <w:r>
        <w:rPr>
          <w:sz w:val="26"/>
          <w:szCs w:val="26"/>
        </w:rPr>
        <w:t xml:space="preserve">have not calculated the revenue requirement based on specified </w:t>
      </w:r>
      <w:r w:rsidRPr="00D83AEC">
        <w:rPr>
          <w:sz w:val="26"/>
          <w:szCs w:val="26"/>
        </w:rPr>
        <w:t>revenues, expenses and returns that are allowed or disallowed</w:t>
      </w:r>
      <w:r>
        <w:rPr>
          <w:sz w:val="26"/>
          <w:szCs w:val="26"/>
        </w:rPr>
        <w:t xml:space="preserve">.  Instead, the Joint Petitioners achieved a </w:t>
      </w:r>
      <w:r>
        <w:rPr>
          <w:sz w:val="26"/>
          <w:szCs w:val="26"/>
          <w:u w:color="000000"/>
        </w:rPr>
        <w:t xml:space="preserve">consensus revenue </w:t>
      </w:r>
      <w:r w:rsidR="00CF52BE">
        <w:rPr>
          <w:sz w:val="26"/>
          <w:szCs w:val="26"/>
          <w:u w:color="000000"/>
        </w:rPr>
        <w:t>increase</w:t>
      </w:r>
      <w:r>
        <w:rPr>
          <w:sz w:val="26"/>
          <w:szCs w:val="26"/>
          <w:u w:color="000000"/>
        </w:rPr>
        <w:t xml:space="preserve"> amount of </w:t>
      </w:r>
      <w:r w:rsidR="003F3B53">
        <w:rPr>
          <w:sz w:val="26"/>
          <w:szCs w:val="26"/>
          <w:u w:color="000000"/>
        </w:rPr>
        <w:t>$</w:t>
      </w:r>
      <w:r>
        <w:rPr>
          <w:sz w:val="26"/>
          <w:szCs w:val="26"/>
          <w:u w:color="000000"/>
        </w:rPr>
        <w:t xml:space="preserve">26 million by weighing all factors in favor of, and opposed to, Columbia’s original proposed revenue </w:t>
      </w:r>
      <w:r w:rsidR="00CF52BE">
        <w:rPr>
          <w:sz w:val="26"/>
          <w:szCs w:val="26"/>
          <w:u w:color="000000"/>
        </w:rPr>
        <w:t>increase</w:t>
      </w:r>
      <w:r>
        <w:rPr>
          <w:sz w:val="26"/>
          <w:szCs w:val="26"/>
          <w:u w:color="000000"/>
        </w:rPr>
        <w:t xml:space="preserve"> of </w:t>
      </w:r>
      <w:r w:rsidR="003F3B53">
        <w:rPr>
          <w:sz w:val="26"/>
          <w:szCs w:val="26"/>
          <w:u w:color="000000"/>
        </w:rPr>
        <w:t>$</w:t>
      </w:r>
      <w:r>
        <w:rPr>
          <w:sz w:val="26"/>
          <w:szCs w:val="26"/>
          <w:u w:color="000000"/>
        </w:rPr>
        <w:t xml:space="preserve">46.9 million. </w:t>
      </w:r>
      <w:r w:rsidR="003F3B53">
        <w:rPr>
          <w:sz w:val="26"/>
          <w:szCs w:val="26"/>
          <w:u w:color="000000"/>
        </w:rPr>
        <w:t xml:space="preserve"> </w:t>
      </w:r>
      <w:r>
        <w:rPr>
          <w:sz w:val="26"/>
          <w:szCs w:val="26"/>
          <w:u w:color="000000"/>
        </w:rPr>
        <w:t>R.D. at 42.</w:t>
      </w:r>
    </w:p>
    <w:p w14:paraId="4570AD9D" w14:textId="77777777" w:rsidR="00753615" w:rsidRDefault="00753615" w:rsidP="002E6D96">
      <w:pPr>
        <w:widowControl/>
        <w:spacing w:line="360" w:lineRule="auto"/>
        <w:ind w:firstLine="1440"/>
        <w:rPr>
          <w:sz w:val="26"/>
          <w:szCs w:val="26"/>
          <w:u w:color="000000"/>
        </w:rPr>
      </w:pPr>
    </w:p>
    <w:p w14:paraId="0EC13E00" w14:textId="4F54B9AD" w:rsidR="00753615" w:rsidRPr="00D83AEC" w:rsidRDefault="00753615" w:rsidP="002E6D96">
      <w:pPr>
        <w:widowControl/>
        <w:spacing w:line="360" w:lineRule="auto"/>
        <w:ind w:firstLine="1440"/>
        <w:rPr>
          <w:sz w:val="26"/>
          <w:szCs w:val="26"/>
        </w:rPr>
      </w:pPr>
      <w:r>
        <w:rPr>
          <w:sz w:val="26"/>
          <w:szCs w:val="26"/>
        </w:rPr>
        <w:t xml:space="preserve">The ALJ noted, for example, that </w:t>
      </w:r>
      <w:r w:rsidRPr="00D83AEC">
        <w:rPr>
          <w:sz w:val="26"/>
          <w:szCs w:val="26"/>
        </w:rPr>
        <w:t xml:space="preserve">Columbia, I&amp;E and </w:t>
      </w:r>
      <w:r w:rsidR="00BB0BBE">
        <w:rPr>
          <w:sz w:val="26"/>
          <w:szCs w:val="26"/>
        </w:rPr>
        <w:t xml:space="preserve">the </w:t>
      </w:r>
      <w:r w:rsidRPr="00D83AEC">
        <w:rPr>
          <w:sz w:val="26"/>
          <w:szCs w:val="26"/>
        </w:rPr>
        <w:t xml:space="preserve">OCA presented extensive testimony on Columbia’s overall revenue requirement and related issues.  </w:t>
      </w:r>
      <w:r>
        <w:rPr>
          <w:sz w:val="26"/>
          <w:szCs w:val="26"/>
        </w:rPr>
        <w:t xml:space="preserve">The </w:t>
      </w:r>
      <w:r w:rsidR="006539BD">
        <w:rPr>
          <w:sz w:val="26"/>
          <w:szCs w:val="26"/>
        </w:rPr>
        <w:t>P</w:t>
      </w:r>
      <w:r>
        <w:rPr>
          <w:sz w:val="26"/>
          <w:szCs w:val="26"/>
        </w:rPr>
        <w:t xml:space="preserve">arties acknowledged that extensive litigation would have been required by Columbia’s opposition to virtually all </w:t>
      </w:r>
      <w:r w:rsidRPr="00D83AEC">
        <w:rPr>
          <w:sz w:val="26"/>
          <w:szCs w:val="26"/>
        </w:rPr>
        <w:t xml:space="preserve">proposed adjustments </w:t>
      </w:r>
      <w:r>
        <w:rPr>
          <w:sz w:val="26"/>
          <w:szCs w:val="26"/>
        </w:rPr>
        <w:t xml:space="preserve">to the revenue requirement </w:t>
      </w:r>
      <w:r w:rsidRPr="00D83AEC">
        <w:rPr>
          <w:sz w:val="26"/>
          <w:szCs w:val="26"/>
        </w:rPr>
        <w:t xml:space="preserve">advanced by I&amp;E and </w:t>
      </w:r>
      <w:r w:rsidR="00BB0BBE">
        <w:rPr>
          <w:sz w:val="26"/>
          <w:szCs w:val="26"/>
        </w:rPr>
        <w:t xml:space="preserve">the </w:t>
      </w:r>
      <w:r w:rsidRPr="00D83AEC">
        <w:rPr>
          <w:sz w:val="26"/>
          <w:szCs w:val="26"/>
        </w:rPr>
        <w:t xml:space="preserve">OCA.  </w:t>
      </w:r>
      <w:r w:rsidR="00A11B82">
        <w:rPr>
          <w:sz w:val="26"/>
          <w:szCs w:val="26"/>
        </w:rPr>
        <w:t>W</w:t>
      </w:r>
      <w:r w:rsidRPr="00D83AEC">
        <w:rPr>
          <w:sz w:val="26"/>
          <w:szCs w:val="26"/>
        </w:rPr>
        <w:t xml:space="preserve">hile supporting their </w:t>
      </w:r>
      <w:r>
        <w:rPr>
          <w:sz w:val="26"/>
          <w:szCs w:val="26"/>
        </w:rPr>
        <w:t xml:space="preserve">respective litigation positions regarding the </w:t>
      </w:r>
      <w:r w:rsidRPr="00D83AEC">
        <w:rPr>
          <w:sz w:val="26"/>
          <w:szCs w:val="26"/>
        </w:rPr>
        <w:t xml:space="preserve">revenue requirement, </w:t>
      </w:r>
      <w:r w:rsidR="00A11B82">
        <w:rPr>
          <w:sz w:val="26"/>
          <w:szCs w:val="26"/>
        </w:rPr>
        <w:t>t</w:t>
      </w:r>
      <w:r w:rsidR="00A11B82" w:rsidRPr="00D83AEC">
        <w:rPr>
          <w:sz w:val="26"/>
          <w:szCs w:val="26"/>
        </w:rPr>
        <w:t xml:space="preserve">he Joint Petitioners </w:t>
      </w:r>
      <w:r w:rsidRPr="00D83AEC">
        <w:rPr>
          <w:sz w:val="26"/>
          <w:szCs w:val="26"/>
        </w:rPr>
        <w:t xml:space="preserve">recognized that </w:t>
      </w:r>
      <w:r>
        <w:rPr>
          <w:sz w:val="26"/>
          <w:szCs w:val="26"/>
        </w:rPr>
        <w:t xml:space="preserve">after extensive litigation, </w:t>
      </w:r>
      <w:r w:rsidRPr="00D83AEC">
        <w:rPr>
          <w:sz w:val="26"/>
          <w:szCs w:val="26"/>
        </w:rPr>
        <w:t xml:space="preserve">the Commission </w:t>
      </w:r>
      <w:r>
        <w:rPr>
          <w:sz w:val="26"/>
          <w:szCs w:val="26"/>
        </w:rPr>
        <w:t xml:space="preserve">would </w:t>
      </w:r>
      <w:r w:rsidRPr="00D83AEC">
        <w:rPr>
          <w:sz w:val="26"/>
          <w:szCs w:val="26"/>
        </w:rPr>
        <w:t xml:space="preserve">likely have accepted </w:t>
      </w:r>
      <w:r>
        <w:rPr>
          <w:sz w:val="26"/>
          <w:szCs w:val="26"/>
        </w:rPr>
        <w:t xml:space="preserve">some, but not all, of each Joint Petitioner’s </w:t>
      </w:r>
      <w:r w:rsidRPr="00D83AEC">
        <w:rPr>
          <w:sz w:val="26"/>
          <w:szCs w:val="26"/>
        </w:rPr>
        <w:t xml:space="preserve">proposed </w:t>
      </w:r>
      <w:r>
        <w:rPr>
          <w:sz w:val="26"/>
          <w:szCs w:val="26"/>
        </w:rPr>
        <w:t xml:space="preserve">adjustments.  </w:t>
      </w:r>
      <w:r w:rsidRPr="00D83AEC">
        <w:rPr>
          <w:sz w:val="26"/>
          <w:szCs w:val="26"/>
        </w:rPr>
        <w:t xml:space="preserve">The </w:t>
      </w:r>
      <w:r>
        <w:rPr>
          <w:sz w:val="26"/>
          <w:szCs w:val="26"/>
        </w:rPr>
        <w:t xml:space="preserve">Joint Petitioners, therefore, concluded that a </w:t>
      </w:r>
      <w:r w:rsidRPr="00D83AEC">
        <w:rPr>
          <w:sz w:val="26"/>
          <w:szCs w:val="26"/>
        </w:rPr>
        <w:t xml:space="preserve">revenue increase of $26 million reflects a reasonable compromise of </w:t>
      </w:r>
      <w:r>
        <w:rPr>
          <w:sz w:val="26"/>
          <w:szCs w:val="26"/>
        </w:rPr>
        <w:t xml:space="preserve">the disparate positions of the </w:t>
      </w:r>
      <w:r w:rsidRPr="00D83AEC">
        <w:rPr>
          <w:sz w:val="26"/>
          <w:szCs w:val="26"/>
        </w:rPr>
        <w:t>Joint Petitioners.</w:t>
      </w:r>
      <w:r>
        <w:rPr>
          <w:sz w:val="26"/>
          <w:szCs w:val="26"/>
        </w:rPr>
        <w:t xml:space="preserve"> </w:t>
      </w:r>
      <w:r w:rsidR="00BC2F32">
        <w:rPr>
          <w:sz w:val="26"/>
          <w:szCs w:val="26"/>
        </w:rPr>
        <w:t xml:space="preserve"> </w:t>
      </w:r>
      <w:r>
        <w:rPr>
          <w:sz w:val="26"/>
          <w:szCs w:val="26"/>
        </w:rPr>
        <w:t>R.D. at 43.</w:t>
      </w:r>
    </w:p>
    <w:p w14:paraId="267430F0" w14:textId="77777777" w:rsidR="00753615" w:rsidRDefault="00753615" w:rsidP="002E6D96">
      <w:pPr>
        <w:widowControl/>
        <w:spacing w:line="360" w:lineRule="auto"/>
        <w:ind w:firstLine="1440"/>
        <w:rPr>
          <w:sz w:val="26"/>
          <w:szCs w:val="26"/>
          <w:u w:color="000000"/>
        </w:rPr>
      </w:pPr>
    </w:p>
    <w:p w14:paraId="52861DBC" w14:textId="7280800A" w:rsidR="00753615" w:rsidRDefault="00753615" w:rsidP="002E6D96">
      <w:pPr>
        <w:widowControl/>
        <w:spacing w:line="360" w:lineRule="auto"/>
        <w:ind w:firstLine="1440"/>
        <w:rPr>
          <w:sz w:val="26"/>
          <w:szCs w:val="26"/>
        </w:rPr>
      </w:pPr>
      <w:r>
        <w:rPr>
          <w:sz w:val="26"/>
          <w:szCs w:val="26"/>
          <w:u w:color="000000"/>
        </w:rPr>
        <w:t xml:space="preserve">The ALJ also noted that </w:t>
      </w:r>
      <w:r w:rsidRPr="00D83AEC">
        <w:rPr>
          <w:sz w:val="26"/>
          <w:szCs w:val="26"/>
        </w:rPr>
        <w:t xml:space="preserve">Columbia asserted that </w:t>
      </w:r>
      <w:r w:rsidR="00DF1FE0">
        <w:rPr>
          <w:sz w:val="26"/>
          <w:szCs w:val="26"/>
        </w:rPr>
        <w:t>“Black Box”</w:t>
      </w:r>
      <w:r w:rsidRPr="00D83AEC">
        <w:rPr>
          <w:sz w:val="26"/>
          <w:szCs w:val="26"/>
        </w:rPr>
        <w:t xml:space="preserve"> settlements facilitate agreements, as parties are not required to identify a specific return on equity or identify specific revenues and/or expenses that are allowed or disallowed.</w:t>
      </w:r>
      <w:r>
        <w:rPr>
          <w:sz w:val="26"/>
          <w:szCs w:val="26"/>
        </w:rPr>
        <w:t xml:space="preserve"> </w:t>
      </w:r>
      <w:r w:rsidR="00BC2F32">
        <w:rPr>
          <w:sz w:val="26"/>
          <w:szCs w:val="26"/>
        </w:rPr>
        <w:t xml:space="preserve"> </w:t>
      </w:r>
      <w:r>
        <w:rPr>
          <w:sz w:val="26"/>
          <w:szCs w:val="26"/>
        </w:rPr>
        <w:t>R.D. 43.</w:t>
      </w:r>
      <w:r w:rsidRPr="00D83AEC">
        <w:rPr>
          <w:sz w:val="26"/>
          <w:szCs w:val="26"/>
        </w:rPr>
        <w:t xml:space="preserve">  </w:t>
      </w:r>
      <w:r>
        <w:rPr>
          <w:sz w:val="26"/>
          <w:szCs w:val="26"/>
        </w:rPr>
        <w:t>Further, weighing all the competing factors</w:t>
      </w:r>
      <w:r w:rsidRPr="00D83AEC">
        <w:rPr>
          <w:sz w:val="26"/>
          <w:szCs w:val="26"/>
        </w:rPr>
        <w:t xml:space="preserve">, the Joint Petitioners </w:t>
      </w:r>
      <w:r>
        <w:rPr>
          <w:sz w:val="26"/>
          <w:szCs w:val="26"/>
        </w:rPr>
        <w:t xml:space="preserve">agree and affirm that </w:t>
      </w:r>
      <w:r w:rsidRPr="00D83AEC">
        <w:rPr>
          <w:sz w:val="26"/>
          <w:szCs w:val="26"/>
        </w:rPr>
        <w:t xml:space="preserve">the </w:t>
      </w:r>
      <w:r w:rsidRPr="00D83AEC">
        <w:rPr>
          <w:sz w:val="26"/>
          <w:szCs w:val="26"/>
        </w:rPr>
        <w:lastRenderedPageBreak/>
        <w:t xml:space="preserve">revenue </w:t>
      </w:r>
      <w:r w:rsidR="00CF52BE">
        <w:rPr>
          <w:sz w:val="26"/>
          <w:szCs w:val="26"/>
        </w:rPr>
        <w:t>increase</w:t>
      </w:r>
      <w:r w:rsidRPr="00D83AEC">
        <w:rPr>
          <w:sz w:val="26"/>
          <w:szCs w:val="26"/>
        </w:rPr>
        <w:t xml:space="preserve"> </w:t>
      </w:r>
      <w:r>
        <w:rPr>
          <w:sz w:val="26"/>
          <w:szCs w:val="26"/>
        </w:rPr>
        <w:t xml:space="preserve">of </w:t>
      </w:r>
      <w:r w:rsidR="00A11B82">
        <w:rPr>
          <w:sz w:val="26"/>
          <w:szCs w:val="26"/>
        </w:rPr>
        <w:t>$</w:t>
      </w:r>
      <w:r>
        <w:rPr>
          <w:sz w:val="26"/>
          <w:szCs w:val="26"/>
        </w:rPr>
        <w:t xml:space="preserve">26 million </w:t>
      </w:r>
      <w:r w:rsidRPr="00D83AEC">
        <w:rPr>
          <w:sz w:val="26"/>
          <w:szCs w:val="26"/>
        </w:rPr>
        <w:t>is</w:t>
      </w:r>
      <w:r>
        <w:rPr>
          <w:sz w:val="26"/>
          <w:szCs w:val="26"/>
        </w:rPr>
        <w:t xml:space="preserve"> just and </w:t>
      </w:r>
      <w:r w:rsidRPr="00D83AEC">
        <w:rPr>
          <w:sz w:val="26"/>
          <w:szCs w:val="26"/>
        </w:rPr>
        <w:t xml:space="preserve">reasonable </w:t>
      </w:r>
      <w:r>
        <w:rPr>
          <w:sz w:val="26"/>
          <w:szCs w:val="26"/>
        </w:rPr>
        <w:t>in the circumstances.  R.D. at</w:t>
      </w:r>
      <w:r w:rsidR="00773966">
        <w:rPr>
          <w:sz w:val="26"/>
          <w:szCs w:val="26"/>
        </w:rPr>
        <w:t> </w:t>
      </w:r>
      <w:r>
        <w:rPr>
          <w:sz w:val="26"/>
          <w:szCs w:val="26"/>
        </w:rPr>
        <w:t>42</w:t>
      </w:r>
      <w:r w:rsidR="00FC04F6">
        <w:rPr>
          <w:sz w:val="26"/>
          <w:szCs w:val="26"/>
        </w:rPr>
        <w:noBreakHyphen/>
      </w:r>
      <w:r>
        <w:rPr>
          <w:sz w:val="26"/>
          <w:szCs w:val="26"/>
        </w:rPr>
        <w:t xml:space="preserve">43.  The </w:t>
      </w:r>
      <w:r w:rsidR="00DC5FEC">
        <w:rPr>
          <w:sz w:val="26"/>
          <w:szCs w:val="26"/>
        </w:rPr>
        <w:t>Partial Settlement</w:t>
      </w:r>
      <w:r>
        <w:rPr>
          <w:sz w:val="26"/>
          <w:szCs w:val="26"/>
        </w:rPr>
        <w:t xml:space="preserve"> sets forth the basis for the revenue requirement to </w:t>
      </w:r>
      <w:r w:rsidRPr="00D83AEC">
        <w:rPr>
          <w:sz w:val="26"/>
          <w:szCs w:val="26"/>
        </w:rPr>
        <w:t xml:space="preserve">provide the Company with the </w:t>
      </w:r>
      <w:r>
        <w:rPr>
          <w:sz w:val="26"/>
          <w:szCs w:val="26"/>
        </w:rPr>
        <w:t xml:space="preserve">increase in </w:t>
      </w:r>
      <w:r w:rsidRPr="00D83AEC">
        <w:rPr>
          <w:sz w:val="26"/>
          <w:szCs w:val="26"/>
        </w:rPr>
        <w:t xml:space="preserve">revenues necessary to </w:t>
      </w:r>
      <w:r>
        <w:rPr>
          <w:sz w:val="26"/>
          <w:szCs w:val="26"/>
        </w:rPr>
        <w:t xml:space="preserve">continue to </w:t>
      </w:r>
      <w:r w:rsidRPr="00D83AEC">
        <w:rPr>
          <w:sz w:val="26"/>
          <w:szCs w:val="26"/>
        </w:rPr>
        <w:t xml:space="preserve">provide </w:t>
      </w:r>
      <w:r>
        <w:rPr>
          <w:sz w:val="26"/>
          <w:szCs w:val="26"/>
        </w:rPr>
        <w:t xml:space="preserve">safe and </w:t>
      </w:r>
      <w:r w:rsidRPr="00D83AEC">
        <w:rPr>
          <w:sz w:val="26"/>
          <w:szCs w:val="26"/>
        </w:rPr>
        <w:t xml:space="preserve">reliable service to </w:t>
      </w:r>
      <w:r w:rsidR="00130F3A" w:rsidRPr="00D83AEC">
        <w:rPr>
          <w:sz w:val="26"/>
          <w:szCs w:val="26"/>
        </w:rPr>
        <w:t>customers and</w:t>
      </w:r>
      <w:r w:rsidRPr="00D83AEC">
        <w:rPr>
          <w:sz w:val="26"/>
          <w:szCs w:val="26"/>
        </w:rPr>
        <w:t xml:space="preserve"> balances the need of the Company to have an opportunity to earn a reasonable rate of return with its customers’ need for reasonable rates</w:t>
      </w:r>
      <w:r>
        <w:rPr>
          <w:sz w:val="26"/>
          <w:szCs w:val="26"/>
        </w:rPr>
        <w:t xml:space="preserve">.  Upon review of all the terms and conditions, the ALJ concluded the </w:t>
      </w:r>
      <w:r w:rsidR="00A11B82">
        <w:rPr>
          <w:sz w:val="26"/>
          <w:szCs w:val="26"/>
        </w:rPr>
        <w:t xml:space="preserve">$26 million </w:t>
      </w:r>
      <w:r>
        <w:rPr>
          <w:sz w:val="26"/>
          <w:szCs w:val="26"/>
        </w:rPr>
        <w:t xml:space="preserve">revenue </w:t>
      </w:r>
      <w:r w:rsidR="00FC04F6">
        <w:rPr>
          <w:sz w:val="26"/>
          <w:szCs w:val="26"/>
        </w:rPr>
        <w:t>increase</w:t>
      </w:r>
      <w:r>
        <w:rPr>
          <w:sz w:val="26"/>
          <w:szCs w:val="26"/>
        </w:rPr>
        <w:t xml:space="preserve"> was just and reasonable and in the public interest. R.D. 42-46.</w:t>
      </w:r>
    </w:p>
    <w:p w14:paraId="7E2F9820" w14:textId="77777777" w:rsidR="00753615" w:rsidRDefault="00753615" w:rsidP="002E6D96">
      <w:pPr>
        <w:widowControl/>
        <w:spacing w:line="360" w:lineRule="auto"/>
        <w:ind w:firstLine="1440"/>
        <w:rPr>
          <w:sz w:val="26"/>
          <w:szCs w:val="26"/>
          <w:u w:color="000000"/>
        </w:rPr>
      </w:pPr>
    </w:p>
    <w:p w14:paraId="02EBF3DF" w14:textId="5C563EFD" w:rsidR="00753615" w:rsidRDefault="00753615" w:rsidP="002E6D96">
      <w:pPr>
        <w:widowControl/>
        <w:spacing w:line="360" w:lineRule="auto"/>
        <w:ind w:firstLine="1440"/>
        <w:rPr>
          <w:sz w:val="26"/>
          <w:szCs w:val="26"/>
          <w:u w:color="000000"/>
        </w:rPr>
      </w:pPr>
      <w:r>
        <w:rPr>
          <w:sz w:val="26"/>
          <w:szCs w:val="26"/>
          <w:u w:color="000000"/>
        </w:rPr>
        <w:t xml:space="preserve">As explained, Columbia’s revenue requirement was a consensus amount determined by weighing all factors in favor of, and opposed to, Columbia’s proposed rate increase, rather than a calculation of itemized allowances, disallowances and returns.  However, the Joint Petitioners did specify agreement with respect to the following issues </w:t>
      </w:r>
      <w:r w:rsidR="00773966">
        <w:rPr>
          <w:sz w:val="26"/>
          <w:szCs w:val="26"/>
          <w:u w:color="000000"/>
        </w:rPr>
        <w:t xml:space="preserve">that </w:t>
      </w:r>
      <w:r>
        <w:rPr>
          <w:sz w:val="26"/>
          <w:szCs w:val="26"/>
          <w:u w:color="000000"/>
        </w:rPr>
        <w:t>impact</w:t>
      </w:r>
      <w:r w:rsidR="00773966">
        <w:rPr>
          <w:sz w:val="26"/>
          <w:szCs w:val="26"/>
          <w:u w:color="000000"/>
        </w:rPr>
        <w:t xml:space="preserve"> t</w:t>
      </w:r>
      <w:r>
        <w:rPr>
          <w:sz w:val="26"/>
          <w:szCs w:val="26"/>
          <w:u w:color="000000"/>
        </w:rPr>
        <w:t xml:space="preserve">he revenue requirement: Columbia’s accounting of capital expenditures; Columbia’s </w:t>
      </w:r>
      <w:r w:rsidRPr="00D83AEC">
        <w:rPr>
          <w:sz w:val="26"/>
          <w:szCs w:val="26"/>
          <w:u w:color="000000"/>
        </w:rPr>
        <w:t>Return of Income Tax Expense Differential</w:t>
      </w:r>
      <w:r>
        <w:rPr>
          <w:sz w:val="26"/>
          <w:szCs w:val="26"/>
          <w:u w:color="000000"/>
        </w:rPr>
        <w:t>;</w:t>
      </w:r>
      <w:r w:rsidRPr="00D83AEC">
        <w:rPr>
          <w:sz w:val="26"/>
          <w:szCs w:val="26"/>
          <w:u w:color="000000"/>
        </w:rPr>
        <w:t xml:space="preserve"> Tax Repair Allowance and Mixed Service Cost Normalization</w:t>
      </w:r>
      <w:r>
        <w:rPr>
          <w:sz w:val="26"/>
          <w:szCs w:val="26"/>
          <w:u w:color="000000"/>
        </w:rPr>
        <w:t xml:space="preserve">; and </w:t>
      </w:r>
      <w:r w:rsidRPr="00D83AEC">
        <w:rPr>
          <w:sz w:val="26"/>
          <w:szCs w:val="26"/>
          <w:u w:color="000000"/>
        </w:rPr>
        <w:t>Pension Prepayment</w:t>
      </w:r>
      <w:r>
        <w:rPr>
          <w:sz w:val="26"/>
          <w:szCs w:val="26"/>
          <w:u w:color="000000"/>
        </w:rPr>
        <w:t xml:space="preserve"> Amortization.</w:t>
      </w:r>
    </w:p>
    <w:p w14:paraId="30F76963" w14:textId="77777777" w:rsidR="00753615" w:rsidRDefault="00753615" w:rsidP="002E6D96">
      <w:pPr>
        <w:widowControl/>
        <w:spacing w:line="360" w:lineRule="auto"/>
        <w:ind w:firstLine="1440"/>
        <w:rPr>
          <w:sz w:val="26"/>
          <w:szCs w:val="26"/>
        </w:rPr>
      </w:pPr>
    </w:p>
    <w:p w14:paraId="1E92B75D" w14:textId="73BB476C" w:rsidR="00753615" w:rsidRDefault="00753615" w:rsidP="002E6D96">
      <w:pPr>
        <w:widowControl/>
        <w:spacing w:line="360" w:lineRule="auto"/>
        <w:ind w:firstLine="1440"/>
        <w:rPr>
          <w:sz w:val="26"/>
          <w:szCs w:val="26"/>
        </w:rPr>
      </w:pPr>
      <w:r>
        <w:rPr>
          <w:sz w:val="26"/>
          <w:szCs w:val="26"/>
        </w:rPr>
        <w:t xml:space="preserve">As a condition of settlement of the revenue requirement, </w:t>
      </w:r>
      <w:r w:rsidRPr="00D83AEC">
        <w:rPr>
          <w:sz w:val="26"/>
          <w:szCs w:val="26"/>
        </w:rPr>
        <w:t xml:space="preserve">Columbia </w:t>
      </w:r>
      <w:r w:rsidR="00866308">
        <w:rPr>
          <w:sz w:val="26"/>
          <w:szCs w:val="26"/>
        </w:rPr>
        <w:t xml:space="preserve">has </w:t>
      </w:r>
      <w:r w:rsidRPr="00D83AEC">
        <w:rPr>
          <w:sz w:val="26"/>
          <w:szCs w:val="26"/>
        </w:rPr>
        <w:t>agree</w:t>
      </w:r>
      <w:r w:rsidR="00866308">
        <w:rPr>
          <w:sz w:val="26"/>
          <w:szCs w:val="26"/>
        </w:rPr>
        <w:t>d</w:t>
      </w:r>
      <w:r w:rsidRPr="00D83AEC">
        <w:rPr>
          <w:sz w:val="26"/>
          <w:szCs w:val="26"/>
        </w:rPr>
        <w:t xml:space="preserve"> to provide</w:t>
      </w:r>
      <w:r>
        <w:rPr>
          <w:sz w:val="26"/>
          <w:szCs w:val="26"/>
        </w:rPr>
        <w:t xml:space="preserve"> an actual accounting of </w:t>
      </w:r>
      <w:r w:rsidRPr="00D83AEC">
        <w:rPr>
          <w:sz w:val="26"/>
          <w:szCs w:val="26"/>
        </w:rPr>
        <w:t xml:space="preserve">Columbia’s capital investments.  Specifically, Columbia has agreed that on or before April 1, 2019, it will provide the Commission’s Bureau of Technical Utility Services (TUS), I&amp;E, </w:t>
      </w:r>
      <w:r w:rsidR="00BB0BBE">
        <w:rPr>
          <w:sz w:val="26"/>
          <w:szCs w:val="26"/>
        </w:rPr>
        <w:t xml:space="preserve">the </w:t>
      </w:r>
      <w:r w:rsidRPr="00D83AEC">
        <w:rPr>
          <w:sz w:val="26"/>
          <w:szCs w:val="26"/>
        </w:rPr>
        <w:t xml:space="preserve">OCA and </w:t>
      </w:r>
      <w:r w:rsidR="00BB0BBE">
        <w:rPr>
          <w:sz w:val="26"/>
          <w:szCs w:val="26"/>
        </w:rPr>
        <w:t xml:space="preserve">the </w:t>
      </w:r>
      <w:r w:rsidRPr="00D83AEC">
        <w:rPr>
          <w:sz w:val="26"/>
          <w:szCs w:val="26"/>
        </w:rPr>
        <w:t xml:space="preserve">OSBA with an update to Columbia Exhibit No. 108, Schedule 1, </w:t>
      </w:r>
      <w:r>
        <w:rPr>
          <w:sz w:val="26"/>
          <w:szCs w:val="26"/>
        </w:rPr>
        <w:t>including</w:t>
      </w:r>
      <w:r w:rsidRPr="00D83AEC">
        <w:rPr>
          <w:sz w:val="26"/>
          <w:szCs w:val="26"/>
        </w:rPr>
        <w:t xml:space="preserve"> actual capital expenditures, plant additions, and retirements by month for the twelve months ending December 31, 2018.  Joint Petition at ¶ 36.  On or before April 1, 2020, Columbia will update Exhibit No. 108, Schedule 1 for the twelve months ending December 31, 2019.  Joint Petition at ¶ 36.  Also, as part of the Company’s next base rate proceeding, the Company will prepare a comparison of its actual revenue, expenses and rate base additions for the twelve months ended December 31, 2019.</w:t>
      </w:r>
      <w:r>
        <w:rPr>
          <w:sz w:val="26"/>
          <w:szCs w:val="26"/>
        </w:rPr>
        <w:t xml:space="preserve"> </w:t>
      </w:r>
      <w:r w:rsidR="003F3B53">
        <w:rPr>
          <w:sz w:val="26"/>
          <w:szCs w:val="26"/>
        </w:rPr>
        <w:t xml:space="preserve"> </w:t>
      </w:r>
      <w:r>
        <w:rPr>
          <w:sz w:val="26"/>
          <w:szCs w:val="26"/>
        </w:rPr>
        <w:t>R.D. at 42,</w:t>
      </w:r>
      <w:r w:rsidRPr="00D83AEC">
        <w:rPr>
          <w:sz w:val="26"/>
          <w:szCs w:val="26"/>
        </w:rPr>
        <w:t xml:space="preserve"> Joint Petition at ¶ 36.</w:t>
      </w:r>
    </w:p>
    <w:p w14:paraId="7D911E55" w14:textId="77777777" w:rsidR="00753615" w:rsidRPr="00D83AEC" w:rsidRDefault="00753615" w:rsidP="002E6D96">
      <w:pPr>
        <w:widowControl/>
        <w:spacing w:line="360" w:lineRule="auto"/>
        <w:ind w:firstLine="1440"/>
        <w:rPr>
          <w:sz w:val="26"/>
          <w:szCs w:val="26"/>
        </w:rPr>
      </w:pPr>
    </w:p>
    <w:p w14:paraId="4345A1E2" w14:textId="12A750DA" w:rsidR="00753615" w:rsidRPr="00D83AEC" w:rsidRDefault="00753615" w:rsidP="002E6D96">
      <w:pPr>
        <w:widowControl/>
        <w:spacing w:line="360" w:lineRule="auto"/>
        <w:ind w:firstLine="1440"/>
        <w:rPr>
          <w:sz w:val="26"/>
          <w:szCs w:val="26"/>
        </w:rPr>
      </w:pPr>
      <w:r>
        <w:rPr>
          <w:sz w:val="26"/>
          <w:szCs w:val="26"/>
        </w:rPr>
        <w:lastRenderedPageBreak/>
        <w:t>The ALJ noted that</w:t>
      </w:r>
      <w:r w:rsidRPr="00D83AEC">
        <w:rPr>
          <w:sz w:val="26"/>
          <w:szCs w:val="26"/>
        </w:rPr>
        <w:t xml:space="preserve"> the </w:t>
      </w:r>
      <w:r w:rsidR="00DC5FEC">
        <w:rPr>
          <w:sz w:val="26"/>
          <w:szCs w:val="26"/>
        </w:rPr>
        <w:t>Partial Settlement</w:t>
      </w:r>
      <w:r>
        <w:rPr>
          <w:sz w:val="26"/>
          <w:szCs w:val="26"/>
        </w:rPr>
        <w:t xml:space="preserve"> </w:t>
      </w:r>
      <w:r w:rsidRPr="00D83AEC">
        <w:rPr>
          <w:sz w:val="26"/>
          <w:szCs w:val="26"/>
        </w:rPr>
        <w:t>provides that approximately $23.8 million associated with the TCJA will be re</w:t>
      </w:r>
      <w:r>
        <w:rPr>
          <w:sz w:val="26"/>
          <w:szCs w:val="26"/>
        </w:rPr>
        <w:t xml:space="preserve">funded </w:t>
      </w:r>
      <w:r w:rsidRPr="00D83AEC">
        <w:rPr>
          <w:sz w:val="26"/>
          <w:szCs w:val="26"/>
        </w:rPr>
        <w:t>to customers in full over an eighteen</w:t>
      </w:r>
      <w:r w:rsidR="00866308">
        <w:rPr>
          <w:sz w:val="26"/>
          <w:szCs w:val="26"/>
        </w:rPr>
        <w:t>-</w:t>
      </w:r>
      <w:r w:rsidRPr="00D83AEC">
        <w:rPr>
          <w:sz w:val="26"/>
          <w:szCs w:val="26"/>
        </w:rPr>
        <w:t xml:space="preserve">month period </w:t>
      </w:r>
      <w:r>
        <w:rPr>
          <w:sz w:val="26"/>
          <w:szCs w:val="26"/>
        </w:rPr>
        <w:t>upon the new rates taking effect on</w:t>
      </w:r>
      <w:r w:rsidRPr="00D83AEC">
        <w:rPr>
          <w:sz w:val="26"/>
          <w:szCs w:val="26"/>
        </w:rPr>
        <w:t xml:space="preserve"> December 16, 2018</w:t>
      </w:r>
      <w:r>
        <w:rPr>
          <w:sz w:val="26"/>
          <w:szCs w:val="26"/>
        </w:rPr>
        <w:t xml:space="preserve">, to be calculated based on </w:t>
      </w:r>
      <w:r w:rsidRPr="00D83AEC">
        <w:rPr>
          <w:sz w:val="26"/>
          <w:szCs w:val="26"/>
        </w:rPr>
        <w:t>liability booked by the Company in revenues for service rendered from January 1, 2018 through December 1</w:t>
      </w:r>
      <w:r w:rsidR="0045418B">
        <w:rPr>
          <w:sz w:val="26"/>
          <w:szCs w:val="26"/>
        </w:rPr>
        <w:t>5</w:t>
      </w:r>
      <w:r w:rsidRPr="00D83AEC">
        <w:rPr>
          <w:sz w:val="26"/>
          <w:szCs w:val="26"/>
        </w:rPr>
        <w:t>, 2018</w:t>
      </w:r>
      <w:r>
        <w:rPr>
          <w:sz w:val="26"/>
          <w:szCs w:val="26"/>
        </w:rPr>
        <w:t>.</w:t>
      </w:r>
      <w:r w:rsidRPr="00D83AEC">
        <w:rPr>
          <w:sz w:val="26"/>
          <w:szCs w:val="26"/>
        </w:rPr>
        <w:t xml:space="preserve">  </w:t>
      </w:r>
      <w:r>
        <w:rPr>
          <w:sz w:val="26"/>
          <w:szCs w:val="26"/>
        </w:rPr>
        <w:t xml:space="preserve">Customers will be refunded the approximately $23.8 </w:t>
      </w:r>
      <w:r w:rsidRPr="00866308">
        <w:rPr>
          <w:sz w:val="26"/>
          <w:szCs w:val="26"/>
        </w:rPr>
        <w:t xml:space="preserve">million </w:t>
      </w:r>
      <w:r w:rsidRPr="002B1D7C">
        <w:rPr>
          <w:sz w:val="26"/>
        </w:rPr>
        <w:t>via</w:t>
      </w:r>
      <w:r w:rsidRPr="00866308">
        <w:rPr>
          <w:sz w:val="26"/>
          <w:szCs w:val="26"/>
        </w:rPr>
        <w:t xml:space="preserve"> a</w:t>
      </w:r>
      <w:r w:rsidRPr="00D83AEC">
        <w:rPr>
          <w:sz w:val="26"/>
          <w:szCs w:val="26"/>
        </w:rPr>
        <w:t xml:space="preserve"> negative surcharge applied</w:t>
      </w:r>
      <w:r>
        <w:rPr>
          <w:sz w:val="26"/>
          <w:szCs w:val="26"/>
        </w:rPr>
        <w:t xml:space="preserve"> to customers’ bills </w:t>
      </w:r>
      <w:r w:rsidRPr="00D83AEC">
        <w:rPr>
          <w:sz w:val="26"/>
          <w:szCs w:val="26"/>
        </w:rPr>
        <w:t xml:space="preserve">on a percentage basis </w:t>
      </w:r>
      <w:r>
        <w:rPr>
          <w:sz w:val="26"/>
          <w:szCs w:val="26"/>
        </w:rPr>
        <w:t>w</w:t>
      </w:r>
      <w:r w:rsidRPr="00D83AEC">
        <w:rPr>
          <w:sz w:val="26"/>
          <w:szCs w:val="26"/>
        </w:rPr>
        <w:t>ith interest</w:t>
      </w:r>
      <w:r>
        <w:rPr>
          <w:sz w:val="26"/>
          <w:szCs w:val="26"/>
        </w:rPr>
        <w:t xml:space="preserve">, calculated pursuant to rate specified by law, and based on balance of the actual regulatory liability per the terms of the </w:t>
      </w:r>
      <w:r w:rsidR="00DC5FEC">
        <w:rPr>
          <w:sz w:val="26"/>
          <w:szCs w:val="26"/>
        </w:rPr>
        <w:t>Partial Settlement</w:t>
      </w:r>
      <w:r>
        <w:rPr>
          <w:sz w:val="26"/>
          <w:szCs w:val="26"/>
        </w:rPr>
        <w:t xml:space="preserve"> to ensure customers obtain the total amount of the refund plus interest determined to be owed. </w:t>
      </w:r>
      <w:r w:rsidRPr="00D83AEC">
        <w:rPr>
          <w:sz w:val="26"/>
          <w:szCs w:val="26"/>
        </w:rPr>
        <w:t xml:space="preserve"> </w:t>
      </w:r>
      <w:r>
        <w:rPr>
          <w:sz w:val="26"/>
          <w:szCs w:val="26"/>
        </w:rPr>
        <w:t>R.D. at 43-44,</w:t>
      </w:r>
      <w:r w:rsidRPr="00D83AEC">
        <w:rPr>
          <w:sz w:val="26"/>
          <w:szCs w:val="26"/>
        </w:rPr>
        <w:t xml:space="preserve"> </w:t>
      </w:r>
      <w:r>
        <w:rPr>
          <w:sz w:val="26"/>
          <w:szCs w:val="26"/>
        </w:rPr>
        <w:t xml:space="preserve">Joint Petition at </w:t>
      </w:r>
      <w:r w:rsidRPr="00D83AEC">
        <w:rPr>
          <w:sz w:val="26"/>
          <w:szCs w:val="26"/>
        </w:rPr>
        <w:t>¶ 27.</w:t>
      </w:r>
    </w:p>
    <w:p w14:paraId="61603071" w14:textId="77777777" w:rsidR="00753615" w:rsidRPr="00D83AEC" w:rsidRDefault="00753615" w:rsidP="002E6D96">
      <w:pPr>
        <w:widowControl/>
        <w:spacing w:line="360" w:lineRule="auto"/>
        <w:ind w:firstLine="1440"/>
        <w:rPr>
          <w:sz w:val="26"/>
          <w:szCs w:val="26"/>
        </w:rPr>
      </w:pPr>
    </w:p>
    <w:p w14:paraId="422F5AFB" w14:textId="1998DBC0" w:rsidR="00753615" w:rsidRPr="00D83AEC" w:rsidRDefault="00753615" w:rsidP="002E6D96">
      <w:pPr>
        <w:widowControl/>
        <w:spacing w:line="360" w:lineRule="auto"/>
        <w:ind w:firstLine="1440"/>
        <w:rPr>
          <w:sz w:val="26"/>
          <w:szCs w:val="26"/>
        </w:rPr>
      </w:pPr>
      <w:r w:rsidRPr="00D83AEC">
        <w:rPr>
          <w:sz w:val="26"/>
          <w:szCs w:val="26"/>
        </w:rPr>
        <w:t xml:space="preserve">The revenue requirement agreed upon </w:t>
      </w:r>
      <w:r>
        <w:rPr>
          <w:sz w:val="26"/>
          <w:szCs w:val="26"/>
        </w:rPr>
        <w:t xml:space="preserve">also factors in </w:t>
      </w:r>
      <w:r w:rsidRPr="00D83AEC">
        <w:rPr>
          <w:sz w:val="26"/>
          <w:szCs w:val="26"/>
        </w:rPr>
        <w:t xml:space="preserve">a reduction to rate base for the excess accumulated deferred income taxes amount as of the end of the FPFTY.  The Company agreed to continue such treatment in future base rate filings until the entire amount has been refunded in future years. </w:t>
      </w:r>
      <w:r w:rsidR="00866308">
        <w:rPr>
          <w:sz w:val="26"/>
          <w:szCs w:val="26"/>
        </w:rPr>
        <w:t xml:space="preserve"> </w:t>
      </w:r>
      <w:r>
        <w:rPr>
          <w:sz w:val="26"/>
          <w:szCs w:val="26"/>
        </w:rPr>
        <w:t>Joint Petition at</w:t>
      </w:r>
      <w:r w:rsidR="00866308">
        <w:rPr>
          <w:sz w:val="26"/>
          <w:szCs w:val="26"/>
        </w:rPr>
        <w:t xml:space="preserve"> </w:t>
      </w:r>
      <w:r w:rsidRPr="00D83AEC">
        <w:rPr>
          <w:sz w:val="26"/>
          <w:szCs w:val="26"/>
        </w:rPr>
        <w:t xml:space="preserve">¶ 28.  </w:t>
      </w:r>
      <w:r>
        <w:rPr>
          <w:sz w:val="26"/>
          <w:szCs w:val="26"/>
        </w:rPr>
        <w:t xml:space="preserve">The ALJ concluded that the terms and conditions of the </w:t>
      </w:r>
      <w:r w:rsidR="00DC5FEC">
        <w:rPr>
          <w:sz w:val="26"/>
          <w:szCs w:val="26"/>
        </w:rPr>
        <w:t>Partial Settlement</w:t>
      </w:r>
      <w:r>
        <w:rPr>
          <w:sz w:val="26"/>
          <w:szCs w:val="26"/>
        </w:rPr>
        <w:t xml:space="preserve"> </w:t>
      </w:r>
      <w:r w:rsidRPr="00D83AEC">
        <w:rPr>
          <w:sz w:val="26"/>
          <w:szCs w:val="26"/>
        </w:rPr>
        <w:t xml:space="preserve">addressing the federal tax reduction comply with the Commission’s directive in the May 17 Order at Docket No. M-2018-2641242 and are in the public interest. </w:t>
      </w:r>
      <w:r w:rsidR="003F3B53">
        <w:rPr>
          <w:sz w:val="26"/>
          <w:szCs w:val="26"/>
        </w:rPr>
        <w:t xml:space="preserve"> </w:t>
      </w:r>
      <w:r>
        <w:rPr>
          <w:sz w:val="26"/>
          <w:szCs w:val="26"/>
        </w:rPr>
        <w:t>R.D. at 44.</w:t>
      </w:r>
    </w:p>
    <w:p w14:paraId="2DC239A8" w14:textId="77777777" w:rsidR="00753615" w:rsidRPr="00D83AEC" w:rsidRDefault="00753615" w:rsidP="002E6D96">
      <w:pPr>
        <w:widowControl/>
        <w:spacing w:line="360" w:lineRule="auto"/>
        <w:ind w:firstLine="1440"/>
        <w:rPr>
          <w:sz w:val="26"/>
          <w:szCs w:val="26"/>
        </w:rPr>
      </w:pPr>
    </w:p>
    <w:p w14:paraId="0F2AC025" w14:textId="29E4EEB3" w:rsidR="00753615" w:rsidRDefault="00753615" w:rsidP="002E6D96">
      <w:pPr>
        <w:widowControl/>
        <w:spacing w:line="360" w:lineRule="auto"/>
        <w:ind w:firstLine="1440"/>
        <w:rPr>
          <w:sz w:val="26"/>
          <w:szCs w:val="26"/>
        </w:rPr>
      </w:pPr>
      <w:r w:rsidRPr="00D83AEC">
        <w:rPr>
          <w:sz w:val="26"/>
          <w:szCs w:val="26"/>
        </w:rPr>
        <w:t>A</w:t>
      </w:r>
      <w:r>
        <w:rPr>
          <w:sz w:val="26"/>
          <w:szCs w:val="26"/>
        </w:rPr>
        <w:t xml:space="preserve">nother factor recognized in the </w:t>
      </w:r>
      <w:r w:rsidR="00DC5FEC">
        <w:rPr>
          <w:sz w:val="26"/>
          <w:szCs w:val="26"/>
        </w:rPr>
        <w:t>Partial Settlement</w:t>
      </w:r>
      <w:r>
        <w:rPr>
          <w:sz w:val="26"/>
          <w:szCs w:val="26"/>
        </w:rPr>
        <w:t xml:space="preserve"> is that </w:t>
      </w:r>
      <w:r w:rsidRPr="00D83AEC">
        <w:rPr>
          <w:sz w:val="26"/>
          <w:szCs w:val="26"/>
        </w:rPr>
        <w:t xml:space="preserve">Columbia has completed the amortization of the full amount of the $37.4 million tax refund </w:t>
      </w:r>
      <w:r w:rsidR="00866308">
        <w:rPr>
          <w:sz w:val="26"/>
          <w:szCs w:val="26"/>
        </w:rPr>
        <w:t xml:space="preserve">it </w:t>
      </w:r>
      <w:r w:rsidRPr="00D83AEC">
        <w:rPr>
          <w:sz w:val="26"/>
          <w:szCs w:val="26"/>
        </w:rPr>
        <w:t>previously received</w:t>
      </w:r>
      <w:r w:rsidR="00866308">
        <w:rPr>
          <w:sz w:val="26"/>
          <w:szCs w:val="26"/>
        </w:rPr>
        <w:t xml:space="preserve">.  This is </w:t>
      </w:r>
      <w:r w:rsidRPr="00D83AEC">
        <w:rPr>
          <w:sz w:val="26"/>
          <w:szCs w:val="26"/>
        </w:rPr>
        <w:t>consistent with prior Commission-approved settlement agreements</w:t>
      </w:r>
      <w:r w:rsidR="00866308">
        <w:rPr>
          <w:sz w:val="26"/>
          <w:szCs w:val="26"/>
        </w:rPr>
        <w:t xml:space="preserve"> which </w:t>
      </w:r>
      <w:r w:rsidRPr="00D83AEC">
        <w:rPr>
          <w:sz w:val="26"/>
          <w:szCs w:val="26"/>
        </w:rPr>
        <w:t>provided that the amortization would be without interest and without a deduction of the unamortized balance from rate base.  Th</w:t>
      </w:r>
      <w:r>
        <w:rPr>
          <w:sz w:val="26"/>
          <w:szCs w:val="26"/>
        </w:rPr>
        <w:t xml:space="preserve">e </w:t>
      </w:r>
      <w:r w:rsidR="00866308">
        <w:rPr>
          <w:sz w:val="26"/>
          <w:szCs w:val="26"/>
        </w:rPr>
        <w:t>Joint Petitioners</w:t>
      </w:r>
      <w:r>
        <w:rPr>
          <w:sz w:val="26"/>
          <w:szCs w:val="26"/>
        </w:rPr>
        <w:t xml:space="preserve"> </w:t>
      </w:r>
      <w:r w:rsidRPr="00D83AEC">
        <w:rPr>
          <w:sz w:val="26"/>
          <w:szCs w:val="26"/>
        </w:rPr>
        <w:t>acknowledge</w:t>
      </w:r>
      <w:r w:rsidR="00866308">
        <w:rPr>
          <w:sz w:val="26"/>
          <w:szCs w:val="26"/>
        </w:rPr>
        <w:t>d</w:t>
      </w:r>
      <w:r w:rsidRPr="00D83AEC">
        <w:rPr>
          <w:sz w:val="26"/>
          <w:szCs w:val="26"/>
        </w:rPr>
        <w:t xml:space="preserve"> that the full amount of the $37.4 million has been returned to Columbia’s customers. </w:t>
      </w:r>
      <w:r w:rsidR="00BC2F32">
        <w:rPr>
          <w:sz w:val="26"/>
          <w:szCs w:val="26"/>
        </w:rPr>
        <w:t xml:space="preserve"> </w:t>
      </w:r>
      <w:r>
        <w:rPr>
          <w:sz w:val="26"/>
          <w:szCs w:val="26"/>
        </w:rPr>
        <w:t>R.D. at 44.</w:t>
      </w:r>
    </w:p>
    <w:p w14:paraId="761A044F" w14:textId="77777777" w:rsidR="00753615" w:rsidRPr="00D83AEC" w:rsidRDefault="00753615" w:rsidP="002E6D96">
      <w:pPr>
        <w:widowControl/>
        <w:spacing w:line="360" w:lineRule="auto"/>
        <w:ind w:firstLine="1440"/>
        <w:rPr>
          <w:sz w:val="26"/>
          <w:szCs w:val="26"/>
        </w:rPr>
      </w:pPr>
    </w:p>
    <w:p w14:paraId="5F2445BB" w14:textId="77777777" w:rsidR="00753615" w:rsidRPr="00D83AEC" w:rsidRDefault="00753615" w:rsidP="002E6D96">
      <w:pPr>
        <w:widowControl/>
        <w:spacing w:line="360" w:lineRule="auto"/>
        <w:ind w:firstLine="1440"/>
        <w:rPr>
          <w:sz w:val="26"/>
          <w:szCs w:val="26"/>
        </w:rPr>
      </w:pPr>
      <w:r w:rsidRPr="00D83AEC">
        <w:rPr>
          <w:sz w:val="26"/>
          <w:szCs w:val="26"/>
        </w:rPr>
        <w:t xml:space="preserve">The Joint Petitioners have also agreed that Columbia will continue to use normalization accounting with respect to the tax treatment of Internal Revenue Code </w:t>
      </w:r>
      <w:r w:rsidRPr="00D83AEC">
        <w:rPr>
          <w:sz w:val="26"/>
          <w:szCs w:val="26"/>
        </w:rPr>
        <w:lastRenderedPageBreak/>
        <w:t xml:space="preserve">Section 263A mixed service costs (MSC).  </w:t>
      </w:r>
      <w:r>
        <w:rPr>
          <w:sz w:val="26"/>
          <w:szCs w:val="26"/>
        </w:rPr>
        <w:t xml:space="preserve">Joint Petition at </w:t>
      </w:r>
      <w:r w:rsidRPr="00D83AEC">
        <w:rPr>
          <w:sz w:val="26"/>
          <w:szCs w:val="26"/>
        </w:rPr>
        <w:t xml:space="preserve">¶ 32.  </w:t>
      </w:r>
      <w:r>
        <w:rPr>
          <w:sz w:val="26"/>
          <w:szCs w:val="26"/>
        </w:rPr>
        <w:t xml:space="preserve">The ALJ noted that Columbia’s use of normalization accounting </w:t>
      </w:r>
      <w:r w:rsidRPr="00D83AEC">
        <w:rPr>
          <w:sz w:val="26"/>
          <w:szCs w:val="26"/>
        </w:rPr>
        <w:t xml:space="preserve">was </w:t>
      </w:r>
      <w:r>
        <w:rPr>
          <w:sz w:val="26"/>
          <w:szCs w:val="26"/>
        </w:rPr>
        <w:t xml:space="preserve">adopted in </w:t>
      </w:r>
      <w:r w:rsidRPr="00D83AEC">
        <w:rPr>
          <w:sz w:val="26"/>
          <w:szCs w:val="26"/>
        </w:rPr>
        <w:t xml:space="preserve">the settlement of Columbia’s 2012 rate case at Docket No. R-2012-2321748, and </w:t>
      </w:r>
      <w:r>
        <w:rPr>
          <w:sz w:val="26"/>
          <w:szCs w:val="26"/>
        </w:rPr>
        <w:t xml:space="preserve">that no party raised opposition to its continued use </w:t>
      </w:r>
      <w:r w:rsidRPr="00D83AEC">
        <w:rPr>
          <w:sz w:val="26"/>
          <w:szCs w:val="26"/>
        </w:rPr>
        <w:t xml:space="preserve">in this proceeding.  </w:t>
      </w:r>
      <w:r>
        <w:rPr>
          <w:sz w:val="26"/>
          <w:szCs w:val="26"/>
        </w:rPr>
        <w:t>Therefore, t</w:t>
      </w:r>
      <w:r w:rsidRPr="00D83AEC">
        <w:rPr>
          <w:sz w:val="26"/>
          <w:szCs w:val="26"/>
        </w:rPr>
        <w:t xml:space="preserve">he </w:t>
      </w:r>
      <w:r>
        <w:rPr>
          <w:sz w:val="26"/>
          <w:szCs w:val="26"/>
        </w:rPr>
        <w:t>Joint Petitioners h</w:t>
      </w:r>
      <w:r w:rsidRPr="00D83AEC">
        <w:rPr>
          <w:sz w:val="26"/>
          <w:szCs w:val="26"/>
        </w:rPr>
        <w:t xml:space="preserve">ave agreed </w:t>
      </w:r>
      <w:r>
        <w:rPr>
          <w:sz w:val="26"/>
          <w:szCs w:val="26"/>
        </w:rPr>
        <w:t>to the continued us of normalization accounting with respect to MSC</w:t>
      </w:r>
      <w:r w:rsidRPr="00D83AEC">
        <w:rPr>
          <w:sz w:val="26"/>
          <w:szCs w:val="26"/>
        </w:rPr>
        <w:t xml:space="preserve">. </w:t>
      </w:r>
      <w:r w:rsidR="003F3B53">
        <w:rPr>
          <w:sz w:val="26"/>
          <w:szCs w:val="26"/>
        </w:rPr>
        <w:t xml:space="preserve"> </w:t>
      </w:r>
      <w:r>
        <w:rPr>
          <w:sz w:val="26"/>
          <w:szCs w:val="26"/>
        </w:rPr>
        <w:t>R.D. at 44-45.</w:t>
      </w:r>
      <w:r w:rsidRPr="00D83AEC">
        <w:rPr>
          <w:sz w:val="26"/>
          <w:szCs w:val="26"/>
        </w:rPr>
        <w:t xml:space="preserve"> </w:t>
      </w:r>
    </w:p>
    <w:p w14:paraId="0D93FAAB" w14:textId="77777777" w:rsidR="00753615" w:rsidRPr="00D83AEC" w:rsidRDefault="00753615" w:rsidP="002E6D96">
      <w:pPr>
        <w:widowControl/>
        <w:spacing w:line="360" w:lineRule="auto"/>
        <w:ind w:firstLine="1440"/>
        <w:rPr>
          <w:sz w:val="26"/>
          <w:szCs w:val="26"/>
        </w:rPr>
      </w:pPr>
    </w:p>
    <w:p w14:paraId="01041C89" w14:textId="4EA610F5" w:rsidR="00753615" w:rsidRPr="00D83AEC" w:rsidRDefault="00753615" w:rsidP="002E6D96">
      <w:pPr>
        <w:widowControl/>
        <w:spacing w:line="360" w:lineRule="auto"/>
        <w:ind w:firstLine="1440"/>
        <w:rPr>
          <w:sz w:val="26"/>
          <w:szCs w:val="26"/>
        </w:rPr>
      </w:pPr>
      <w:r>
        <w:rPr>
          <w:sz w:val="26"/>
          <w:szCs w:val="26"/>
        </w:rPr>
        <w:t xml:space="preserve">Finally, </w:t>
      </w:r>
      <w:r w:rsidRPr="00D83AEC">
        <w:rPr>
          <w:sz w:val="26"/>
          <w:szCs w:val="26"/>
        </w:rPr>
        <w:t xml:space="preserve">Columbia’s Petition for Pension </w:t>
      </w:r>
      <w:r>
        <w:rPr>
          <w:sz w:val="26"/>
          <w:szCs w:val="26"/>
        </w:rPr>
        <w:t xml:space="preserve">Pre-Payment </w:t>
      </w:r>
      <w:r w:rsidRPr="00D83AEC">
        <w:rPr>
          <w:sz w:val="26"/>
          <w:szCs w:val="26"/>
        </w:rPr>
        <w:t>Deferral at Docket No. P-2018-2641257</w:t>
      </w:r>
      <w:r>
        <w:rPr>
          <w:sz w:val="26"/>
          <w:szCs w:val="26"/>
        </w:rPr>
        <w:t>,</w:t>
      </w:r>
      <w:r w:rsidRPr="00D83AEC">
        <w:rPr>
          <w:sz w:val="26"/>
          <w:szCs w:val="26"/>
        </w:rPr>
        <w:t xml:space="preserve"> seeking permission to defer for accounting and financial reporting purposes the one-time prepayment of pension expense of $8,449,772</w:t>
      </w:r>
      <w:r>
        <w:rPr>
          <w:sz w:val="26"/>
          <w:szCs w:val="26"/>
        </w:rPr>
        <w:t xml:space="preserve">, </w:t>
      </w:r>
      <w:r w:rsidRPr="00D83AEC">
        <w:rPr>
          <w:sz w:val="26"/>
          <w:szCs w:val="26"/>
        </w:rPr>
        <w:t>was consolidated with the present rate proceeding</w:t>
      </w:r>
      <w:r w:rsidR="00BC2F32">
        <w:rPr>
          <w:sz w:val="26"/>
          <w:szCs w:val="26"/>
        </w:rPr>
        <w:t xml:space="preserve">.  </w:t>
      </w:r>
      <w:r w:rsidR="00BC2F32">
        <w:rPr>
          <w:i/>
          <w:sz w:val="26"/>
          <w:szCs w:val="26"/>
        </w:rPr>
        <w:t>See</w:t>
      </w:r>
      <w:r w:rsidR="00412655">
        <w:rPr>
          <w:i/>
          <w:sz w:val="26"/>
          <w:szCs w:val="26"/>
        </w:rPr>
        <w:t>,</w:t>
      </w:r>
      <w:r w:rsidR="00BC2F32">
        <w:rPr>
          <w:i/>
          <w:sz w:val="26"/>
          <w:szCs w:val="26"/>
        </w:rPr>
        <w:t xml:space="preserve"> </w:t>
      </w:r>
      <w:r>
        <w:rPr>
          <w:sz w:val="26"/>
          <w:szCs w:val="26"/>
        </w:rPr>
        <w:t>Order Entered May 1, 2018, at this docket</w:t>
      </w:r>
      <w:r w:rsidR="00BC2F32">
        <w:rPr>
          <w:sz w:val="26"/>
          <w:szCs w:val="26"/>
        </w:rPr>
        <w:t>;</w:t>
      </w:r>
      <w:r>
        <w:rPr>
          <w:sz w:val="26"/>
          <w:szCs w:val="26"/>
        </w:rPr>
        <w:t xml:space="preserve"> R.D. at</w:t>
      </w:r>
      <w:r w:rsidR="00C61946">
        <w:rPr>
          <w:sz w:val="26"/>
          <w:szCs w:val="26"/>
        </w:rPr>
        <w:t> </w:t>
      </w:r>
      <w:r>
        <w:rPr>
          <w:sz w:val="26"/>
          <w:szCs w:val="26"/>
        </w:rPr>
        <w:t>45.  T</w:t>
      </w:r>
      <w:r w:rsidRPr="00D83AEC">
        <w:rPr>
          <w:sz w:val="26"/>
          <w:szCs w:val="26"/>
        </w:rPr>
        <w:t xml:space="preserve">he Joint Petitioners agreed that the pension prepayment in the amount of $8,449,772 will be amortized over </w:t>
      </w:r>
      <w:r>
        <w:rPr>
          <w:sz w:val="26"/>
          <w:szCs w:val="26"/>
        </w:rPr>
        <w:t xml:space="preserve">the longer </w:t>
      </w:r>
      <w:r w:rsidRPr="00D83AEC">
        <w:rPr>
          <w:sz w:val="26"/>
          <w:szCs w:val="26"/>
        </w:rPr>
        <w:t>ten-year period</w:t>
      </w:r>
      <w:r>
        <w:rPr>
          <w:sz w:val="26"/>
          <w:szCs w:val="26"/>
        </w:rPr>
        <w:t>,</w:t>
      </w:r>
      <w:r w:rsidRPr="00D83AEC">
        <w:rPr>
          <w:sz w:val="26"/>
          <w:szCs w:val="26"/>
        </w:rPr>
        <w:t xml:space="preserve"> as recommended by the OCA, rather than the three-year period proposed by the Company, beginning December 16, 2018.  </w:t>
      </w:r>
      <w:r>
        <w:rPr>
          <w:sz w:val="26"/>
          <w:szCs w:val="26"/>
        </w:rPr>
        <w:t>The ALJ further noted that a</w:t>
      </w:r>
      <w:r w:rsidRPr="00D83AEC">
        <w:rPr>
          <w:sz w:val="26"/>
          <w:szCs w:val="26"/>
        </w:rPr>
        <w:t xml:space="preserve">ny unamortized balance shall not be permitted to be included in rate base in future rate base cases.  </w:t>
      </w:r>
      <w:r>
        <w:rPr>
          <w:sz w:val="26"/>
          <w:szCs w:val="26"/>
        </w:rPr>
        <w:t xml:space="preserve">R.D. 46, Joint Petition at </w:t>
      </w:r>
      <w:r w:rsidRPr="00D83AEC">
        <w:rPr>
          <w:sz w:val="26"/>
          <w:szCs w:val="26"/>
        </w:rPr>
        <w:t>¶ 33 (ii).</w:t>
      </w:r>
    </w:p>
    <w:p w14:paraId="15C75FE8" w14:textId="77777777" w:rsidR="00753615" w:rsidRPr="00D83AEC" w:rsidRDefault="00753615" w:rsidP="002E6D96">
      <w:pPr>
        <w:widowControl/>
        <w:spacing w:line="360" w:lineRule="auto"/>
        <w:ind w:firstLine="1440"/>
        <w:rPr>
          <w:sz w:val="26"/>
          <w:szCs w:val="26"/>
        </w:rPr>
      </w:pPr>
    </w:p>
    <w:p w14:paraId="1CB6FA3C" w14:textId="77777777" w:rsidR="00753615" w:rsidRDefault="00753615" w:rsidP="002E6D96">
      <w:pPr>
        <w:widowControl/>
        <w:spacing w:line="360" w:lineRule="auto"/>
        <w:ind w:firstLine="1440"/>
        <w:rPr>
          <w:sz w:val="26"/>
          <w:szCs w:val="26"/>
        </w:rPr>
      </w:pPr>
      <w:r>
        <w:rPr>
          <w:sz w:val="26"/>
          <w:szCs w:val="26"/>
        </w:rPr>
        <w:t>As the ALJ noted,</w:t>
      </w:r>
      <w:r w:rsidRPr="00D83AEC">
        <w:rPr>
          <w:sz w:val="26"/>
          <w:szCs w:val="26"/>
        </w:rPr>
        <w:t xml:space="preserve"> </w:t>
      </w:r>
      <w:r>
        <w:rPr>
          <w:sz w:val="26"/>
          <w:szCs w:val="26"/>
        </w:rPr>
        <w:t xml:space="preserve">the agreement for </w:t>
      </w:r>
      <w:r w:rsidRPr="00D83AEC">
        <w:rPr>
          <w:sz w:val="26"/>
          <w:szCs w:val="26"/>
        </w:rPr>
        <w:t xml:space="preserve">amortization of the pension prepayment over ten years is consistent with the number of years the Company has prepaid </w:t>
      </w:r>
      <w:r>
        <w:rPr>
          <w:sz w:val="26"/>
          <w:szCs w:val="26"/>
        </w:rPr>
        <w:t xml:space="preserve">the pension obligation </w:t>
      </w:r>
      <w:r w:rsidRPr="00D83AEC">
        <w:rPr>
          <w:sz w:val="26"/>
          <w:szCs w:val="26"/>
        </w:rPr>
        <w:t>per actuarial future estimates.</w:t>
      </w:r>
      <w:r>
        <w:rPr>
          <w:sz w:val="26"/>
          <w:szCs w:val="26"/>
        </w:rPr>
        <w:t xml:space="preserve"> </w:t>
      </w:r>
      <w:r w:rsidRPr="00D83AEC">
        <w:rPr>
          <w:i/>
          <w:sz w:val="26"/>
          <w:szCs w:val="26"/>
        </w:rPr>
        <w:t>See</w:t>
      </w:r>
      <w:r>
        <w:rPr>
          <w:sz w:val="26"/>
          <w:szCs w:val="26"/>
        </w:rPr>
        <w:t xml:space="preserve">, </w:t>
      </w:r>
      <w:r w:rsidRPr="00D83AEC">
        <w:rPr>
          <w:sz w:val="26"/>
          <w:szCs w:val="26"/>
        </w:rPr>
        <w:t xml:space="preserve">Columbia Petition for Pension </w:t>
      </w:r>
      <w:r>
        <w:rPr>
          <w:sz w:val="26"/>
          <w:szCs w:val="26"/>
        </w:rPr>
        <w:t xml:space="preserve">Pre-Payment </w:t>
      </w:r>
      <w:r w:rsidRPr="00D83AEC">
        <w:rPr>
          <w:sz w:val="26"/>
          <w:szCs w:val="26"/>
        </w:rPr>
        <w:t>Deferral at Docket No. P-2018-2641257</w:t>
      </w:r>
      <w:r>
        <w:rPr>
          <w:sz w:val="26"/>
          <w:szCs w:val="26"/>
        </w:rPr>
        <w:t xml:space="preserve">. </w:t>
      </w:r>
      <w:r w:rsidRPr="00D83AEC">
        <w:rPr>
          <w:sz w:val="26"/>
          <w:szCs w:val="26"/>
        </w:rPr>
        <w:t xml:space="preserve"> </w:t>
      </w:r>
      <w:r>
        <w:rPr>
          <w:sz w:val="26"/>
          <w:szCs w:val="26"/>
        </w:rPr>
        <w:t xml:space="preserve">R.D. at 46.  </w:t>
      </w:r>
      <w:r w:rsidRPr="00D83AEC">
        <w:rPr>
          <w:sz w:val="26"/>
          <w:szCs w:val="26"/>
        </w:rPr>
        <w:t xml:space="preserve">The </w:t>
      </w:r>
      <w:r>
        <w:rPr>
          <w:sz w:val="26"/>
          <w:szCs w:val="26"/>
        </w:rPr>
        <w:t xml:space="preserve">ALJ concluded that the </w:t>
      </w:r>
      <w:r w:rsidRPr="00D83AEC">
        <w:rPr>
          <w:sz w:val="26"/>
          <w:szCs w:val="26"/>
        </w:rPr>
        <w:t xml:space="preserve">ten-year amortization of the pension prepayment </w:t>
      </w:r>
      <w:r>
        <w:rPr>
          <w:sz w:val="26"/>
          <w:szCs w:val="26"/>
        </w:rPr>
        <w:t xml:space="preserve">serves the </w:t>
      </w:r>
      <w:r w:rsidRPr="00D83AEC">
        <w:rPr>
          <w:sz w:val="26"/>
          <w:szCs w:val="26"/>
        </w:rPr>
        <w:t xml:space="preserve">public interest </w:t>
      </w:r>
      <w:r>
        <w:rPr>
          <w:sz w:val="26"/>
          <w:szCs w:val="26"/>
        </w:rPr>
        <w:t xml:space="preserve">both as a factor weighing in favor of settlement and as it </w:t>
      </w:r>
      <w:r w:rsidRPr="00D83AEC">
        <w:rPr>
          <w:sz w:val="26"/>
          <w:szCs w:val="26"/>
        </w:rPr>
        <w:t>allows the Company to recover that cost over the same amount of time that the prepayment savings or benefits are realized.</w:t>
      </w:r>
      <w:r w:rsidR="003F3B53">
        <w:rPr>
          <w:sz w:val="26"/>
          <w:szCs w:val="26"/>
        </w:rPr>
        <w:t xml:space="preserve"> </w:t>
      </w:r>
      <w:r>
        <w:rPr>
          <w:sz w:val="26"/>
          <w:szCs w:val="26"/>
        </w:rPr>
        <w:t xml:space="preserve"> R.D. at 46.</w:t>
      </w:r>
    </w:p>
    <w:p w14:paraId="32AAA28E" w14:textId="77777777" w:rsidR="00753615" w:rsidRDefault="00753615" w:rsidP="002E6D96">
      <w:pPr>
        <w:widowControl/>
        <w:spacing w:line="360" w:lineRule="auto"/>
        <w:ind w:firstLine="1440"/>
        <w:rPr>
          <w:sz w:val="26"/>
          <w:szCs w:val="26"/>
        </w:rPr>
      </w:pPr>
    </w:p>
    <w:p w14:paraId="572B001B" w14:textId="77777777" w:rsidR="00815418" w:rsidRPr="00B80DD8" w:rsidRDefault="00B80DD8" w:rsidP="002E6D96">
      <w:pPr>
        <w:keepNext/>
        <w:keepLines/>
        <w:widowControl/>
        <w:spacing w:line="360" w:lineRule="auto"/>
        <w:ind w:left="792"/>
        <w:textAlignment w:val="baseline"/>
        <w:outlineLvl w:val="1"/>
        <w:rPr>
          <w:b/>
          <w:color w:val="000000"/>
          <w:sz w:val="26"/>
          <w:szCs w:val="26"/>
        </w:rPr>
      </w:pPr>
      <w:bookmarkStart w:id="11" w:name="_Toc531076121"/>
      <w:r>
        <w:rPr>
          <w:b/>
          <w:color w:val="000000"/>
          <w:sz w:val="26"/>
          <w:szCs w:val="26"/>
        </w:rPr>
        <w:t>B.</w:t>
      </w:r>
      <w:r>
        <w:rPr>
          <w:b/>
          <w:color w:val="000000"/>
          <w:sz w:val="26"/>
          <w:szCs w:val="26"/>
        </w:rPr>
        <w:tab/>
      </w:r>
      <w:r w:rsidR="00D90B74" w:rsidRPr="00B80DD8">
        <w:rPr>
          <w:b/>
          <w:color w:val="000000"/>
          <w:sz w:val="26"/>
          <w:szCs w:val="26"/>
        </w:rPr>
        <w:t>Revenue Allocation and Rate Design</w:t>
      </w:r>
      <w:bookmarkEnd w:id="11"/>
    </w:p>
    <w:p w14:paraId="27AFFE30" w14:textId="77777777" w:rsidR="00753615" w:rsidRDefault="00753615" w:rsidP="002E6D96">
      <w:pPr>
        <w:pStyle w:val="ListParagraph"/>
        <w:keepNext/>
        <w:keepLines/>
        <w:widowControl/>
        <w:spacing w:line="360" w:lineRule="auto"/>
        <w:ind w:left="1080"/>
        <w:textAlignment w:val="baseline"/>
        <w:outlineLvl w:val="1"/>
        <w:rPr>
          <w:b/>
          <w:color w:val="000000"/>
          <w:sz w:val="26"/>
          <w:szCs w:val="26"/>
        </w:rPr>
      </w:pPr>
    </w:p>
    <w:p w14:paraId="25B748A9" w14:textId="45C027AF" w:rsidR="00E42732" w:rsidRPr="00D83AEC" w:rsidRDefault="00E42732" w:rsidP="002E6D96">
      <w:pPr>
        <w:widowControl/>
        <w:spacing w:line="360" w:lineRule="auto"/>
        <w:ind w:firstLine="1440"/>
        <w:rPr>
          <w:sz w:val="26"/>
          <w:szCs w:val="26"/>
        </w:rPr>
      </w:pPr>
      <w:r w:rsidRPr="00D83AEC">
        <w:rPr>
          <w:sz w:val="26"/>
          <w:szCs w:val="26"/>
        </w:rPr>
        <w:t xml:space="preserve">Appendices A and B to the </w:t>
      </w:r>
      <w:r w:rsidR="003857AB">
        <w:rPr>
          <w:sz w:val="26"/>
          <w:szCs w:val="26"/>
        </w:rPr>
        <w:t xml:space="preserve">Partial </w:t>
      </w:r>
      <w:r w:rsidRPr="00D83AEC">
        <w:rPr>
          <w:sz w:val="26"/>
          <w:szCs w:val="26"/>
        </w:rPr>
        <w:t>Settlement set forth the revenue allocation and rate design to the classes</w:t>
      </w:r>
      <w:r w:rsidR="00412655">
        <w:rPr>
          <w:sz w:val="26"/>
          <w:szCs w:val="26"/>
        </w:rPr>
        <w:t xml:space="preserve"> agreed upon by the Parties</w:t>
      </w:r>
      <w:r w:rsidRPr="00D83AEC">
        <w:rPr>
          <w:sz w:val="26"/>
          <w:szCs w:val="26"/>
        </w:rPr>
        <w:t xml:space="preserve">. </w:t>
      </w:r>
      <w:r w:rsidR="00BC2F32">
        <w:rPr>
          <w:sz w:val="26"/>
          <w:szCs w:val="26"/>
        </w:rPr>
        <w:t xml:space="preserve"> </w:t>
      </w:r>
      <w:r>
        <w:rPr>
          <w:sz w:val="26"/>
          <w:szCs w:val="26"/>
        </w:rPr>
        <w:t xml:space="preserve">Joint Petition at </w:t>
      </w:r>
      <w:r w:rsidRPr="00D83AEC">
        <w:rPr>
          <w:sz w:val="26"/>
          <w:szCs w:val="26"/>
        </w:rPr>
        <w:t xml:space="preserve">¶ 47.  </w:t>
      </w:r>
      <w:r>
        <w:rPr>
          <w:sz w:val="26"/>
          <w:szCs w:val="26"/>
        </w:rPr>
        <w:lastRenderedPageBreak/>
        <w:t xml:space="preserve">As the ALJ noted, </w:t>
      </w:r>
      <w:r w:rsidRPr="00D83AEC">
        <w:rPr>
          <w:sz w:val="26"/>
          <w:szCs w:val="26"/>
        </w:rPr>
        <w:t>the</w:t>
      </w:r>
      <w:r>
        <w:rPr>
          <w:sz w:val="26"/>
          <w:szCs w:val="26"/>
        </w:rPr>
        <w:t xml:space="preserve"> revenue allocation and rate design were </w:t>
      </w:r>
      <w:r w:rsidRPr="00D83AEC">
        <w:rPr>
          <w:sz w:val="26"/>
          <w:szCs w:val="26"/>
        </w:rPr>
        <w:t>the subject of extensive litigation and negotiation</w:t>
      </w:r>
      <w:r>
        <w:rPr>
          <w:sz w:val="26"/>
          <w:szCs w:val="26"/>
        </w:rPr>
        <w:t xml:space="preserve"> among the </w:t>
      </w:r>
      <w:r w:rsidR="006539BD">
        <w:rPr>
          <w:sz w:val="26"/>
          <w:szCs w:val="26"/>
        </w:rPr>
        <w:t>P</w:t>
      </w:r>
      <w:r>
        <w:rPr>
          <w:sz w:val="26"/>
          <w:szCs w:val="26"/>
        </w:rPr>
        <w:t>arties</w:t>
      </w:r>
      <w:r w:rsidRPr="00D83AEC">
        <w:rPr>
          <w:sz w:val="26"/>
          <w:szCs w:val="26"/>
        </w:rPr>
        <w:t xml:space="preserve"> and reflect a compromise of the positions of </w:t>
      </w:r>
      <w:r>
        <w:rPr>
          <w:sz w:val="26"/>
          <w:szCs w:val="26"/>
        </w:rPr>
        <w:t xml:space="preserve">the Joint Petitioners in </w:t>
      </w:r>
      <w:r w:rsidRPr="00D83AEC">
        <w:rPr>
          <w:sz w:val="26"/>
          <w:szCs w:val="26"/>
        </w:rPr>
        <w:t xml:space="preserve">this proceeding.  </w:t>
      </w:r>
      <w:r>
        <w:rPr>
          <w:sz w:val="26"/>
          <w:szCs w:val="26"/>
        </w:rPr>
        <w:t xml:space="preserve">While </w:t>
      </w:r>
      <w:r w:rsidRPr="00D83AEC">
        <w:rPr>
          <w:sz w:val="26"/>
          <w:szCs w:val="26"/>
        </w:rPr>
        <w:t xml:space="preserve">the Joint Petitioners </w:t>
      </w:r>
      <w:r>
        <w:rPr>
          <w:sz w:val="26"/>
          <w:szCs w:val="26"/>
        </w:rPr>
        <w:t xml:space="preserve">did not </w:t>
      </w:r>
      <w:r w:rsidRPr="00D83AEC">
        <w:rPr>
          <w:sz w:val="26"/>
          <w:szCs w:val="26"/>
        </w:rPr>
        <w:t xml:space="preserve">agree on a specific class “cost of service” in the </w:t>
      </w:r>
      <w:r w:rsidR="003857AB">
        <w:rPr>
          <w:sz w:val="26"/>
          <w:szCs w:val="26"/>
        </w:rPr>
        <w:t xml:space="preserve">Partial </w:t>
      </w:r>
      <w:r w:rsidRPr="00D83AEC">
        <w:rPr>
          <w:sz w:val="26"/>
          <w:szCs w:val="26"/>
        </w:rPr>
        <w:t xml:space="preserve">Settlement, they </w:t>
      </w:r>
      <w:r>
        <w:rPr>
          <w:sz w:val="26"/>
          <w:szCs w:val="26"/>
        </w:rPr>
        <w:t xml:space="preserve">did reach agreement on </w:t>
      </w:r>
      <w:r w:rsidRPr="00D83AEC">
        <w:rPr>
          <w:sz w:val="26"/>
          <w:szCs w:val="26"/>
        </w:rPr>
        <w:t xml:space="preserve">a revenue allocation within the range of </w:t>
      </w:r>
      <w:r>
        <w:rPr>
          <w:sz w:val="26"/>
          <w:szCs w:val="26"/>
        </w:rPr>
        <w:t xml:space="preserve">the various </w:t>
      </w:r>
      <w:r w:rsidRPr="00D83AEC">
        <w:rPr>
          <w:sz w:val="26"/>
          <w:szCs w:val="26"/>
        </w:rPr>
        <w:t>revenue allocations proposed by the Joint Petitioners</w:t>
      </w:r>
      <w:r>
        <w:rPr>
          <w:sz w:val="26"/>
          <w:szCs w:val="26"/>
        </w:rPr>
        <w:t xml:space="preserve">. </w:t>
      </w:r>
      <w:r w:rsidR="003F3B53">
        <w:rPr>
          <w:sz w:val="26"/>
          <w:szCs w:val="26"/>
        </w:rPr>
        <w:t xml:space="preserve"> </w:t>
      </w:r>
      <w:r>
        <w:rPr>
          <w:sz w:val="26"/>
          <w:szCs w:val="26"/>
        </w:rPr>
        <w:t>R.D. at 58.</w:t>
      </w:r>
    </w:p>
    <w:p w14:paraId="036B5157" w14:textId="77777777" w:rsidR="00E42732" w:rsidRDefault="00E42732" w:rsidP="002E6D96">
      <w:pPr>
        <w:widowControl/>
        <w:spacing w:line="360" w:lineRule="auto"/>
        <w:ind w:firstLine="1440"/>
        <w:rPr>
          <w:sz w:val="26"/>
          <w:szCs w:val="26"/>
        </w:rPr>
      </w:pPr>
    </w:p>
    <w:p w14:paraId="471C3732" w14:textId="397BC4DD" w:rsidR="00E42732" w:rsidRPr="00D83AEC" w:rsidRDefault="00E42732" w:rsidP="002E6D96">
      <w:pPr>
        <w:widowControl/>
        <w:spacing w:line="360" w:lineRule="auto"/>
        <w:ind w:firstLine="1440"/>
        <w:rPr>
          <w:sz w:val="26"/>
          <w:szCs w:val="26"/>
        </w:rPr>
      </w:pPr>
      <w:r>
        <w:rPr>
          <w:sz w:val="26"/>
          <w:szCs w:val="26"/>
        </w:rPr>
        <w:t xml:space="preserve">The ALJ noted that the </w:t>
      </w:r>
      <w:r w:rsidRPr="00D83AEC">
        <w:rPr>
          <w:sz w:val="26"/>
          <w:szCs w:val="26"/>
        </w:rPr>
        <w:t xml:space="preserve">Joint Petitioners disagreed on </w:t>
      </w:r>
      <w:r>
        <w:rPr>
          <w:sz w:val="26"/>
          <w:szCs w:val="26"/>
        </w:rPr>
        <w:t xml:space="preserve">how to </w:t>
      </w:r>
      <w:r w:rsidRPr="00D83AEC">
        <w:rPr>
          <w:sz w:val="26"/>
          <w:szCs w:val="26"/>
        </w:rPr>
        <w:t>allocate certain costs to the different rate classes</w:t>
      </w:r>
      <w:r>
        <w:rPr>
          <w:sz w:val="26"/>
          <w:szCs w:val="26"/>
        </w:rPr>
        <w:t xml:space="preserve"> and </w:t>
      </w:r>
      <w:r w:rsidRPr="00D83AEC">
        <w:rPr>
          <w:sz w:val="26"/>
          <w:szCs w:val="26"/>
        </w:rPr>
        <w:t xml:space="preserve">how much movement toward cost of service was appropriate. </w:t>
      </w:r>
      <w:r>
        <w:rPr>
          <w:sz w:val="26"/>
          <w:szCs w:val="26"/>
        </w:rPr>
        <w:t xml:space="preserve"> </w:t>
      </w:r>
      <w:r w:rsidRPr="00D83AEC">
        <w:rPr>
          <w:sz w:val="26"/>
          <w:szCs w:val="26"/>
        </w:rPr>
        <w:t xml:space="preserve">Therefore, the revenue allocation set forth in the </w:t>
      </w:r>
      <w:r w:rsidR="00DC5FEC">
        <w:rPr>
          <w:sz w:val="26"/>
          <w:szCs w:val="26"/>
        </w:rPr>
        <w:t>Partial Settlement</w:t>
      </w:r>
      <w:r>
        <w:rPr>
          <w:sz w:val="26"/>
          <w:szCs w:val="26"/>
        </w:rPr>
        <w:t xml:space="preserve"> </w:t>
      </w:r>
      <w:r w:rsidRPr="00D83AEC">
        <w:rPr>
          <w:sz w:val="26"/>
          <w:szCs w:val="26"/>
        </w:rPr>
        <w:t xml:space="preserve">is </w:t>
      </w:r>
      <w:r>
        <w:rPr>
          <w:sz w:val="26"/>
          <w:szCs w:val="26"/>
        </w:rPr>
        <w:t xml:space="preserve">based on neither </w:t>
      </w:r>
      <w:r w:rsidRPr="00D83AEC">
        <w:rPr>
          <w:sz w:val="26"/>
          <w:szCs w:val="26"/>
        </w:rPr>
        <w:t xml:space="preserve">a specific </w:t>
      </w:r>
      <w:r>
        <w:rPr>
          <w:sz w:val="26"/>
          <w:szCs w:val="26"/>
        </w:rPr>
        <w:t xml:space="preserve">allocation formula, nor </w:t>
      </w:r>
      <w:r w:rsidRPr="00D83AEC">
        <w:rPr>
          <w:sz w:val="26"/>
          <w:szCs w:val="26"/>
        </w:rPr>
        <w:t xml:space="preserve">any specific cost of service study results.  Instead, the </w:t>
      </w:r>
      <w:r>
        <w:rPr>
          <w:sz w:val="26"/>
          <w:szCs w:val="26"/>
        </w:rPr>
        <w:t xml:space="preserve">Joint Petitioners reached a compromise between the disparate </w:t>
      </w:r>
      <w:r w:rsidRPr="00D83AEC">
        <w:rPr>
          <w:sz w:val="26"/>
          <w:szCs w:val="26"/>
        </w:rPr>
        <w:t>revenue allocation and rate design proposals.  (</w:t>
      </w:r>
      <w:r w:rsidR="003857AB">
        <w:rPr>
          <w:sz w:val="26"/>
          <w:szCs w:val="26"/>
        </w:rPr>
        <w:t xml:space="preserve">Partial </w:t>
      </w:r>
      <w:r w:rsidRPr="00D83AEC">
        <w:rPr>
          <w:sz w:val="26"/>
          <w:szCs w:val="26"/>
        </w:rPr>
        <w:t xml:space="preserve">Settlement Appendices “A” and “B”.) </w:t>
      </w:r>
      <w:r w:rsidRPr="002B1D7C">
        <w:rPr>
          <w:sz w:val="26"/>
        </w:rPr>
        <w:t xml:space="preserve"> </w:t>
      </w:r>
      <w:r w:rsidRPr="00D83AEC">
        <w:rPr>
          <w:sz w:val="26"/>
          <w:szCs w:val="26"/>
        </w:rPr>
        <w:t xml:space="preserve">Columbia notes that because of the disagreement over cost allocation studies and the </w:t>
      </w:r>
      <w:r w:rsidR="00DF1FE0">
        <w:rPr>
          <w:sz w:val="26"/>
          <w:szCs w:val="26"/>
        </w:rPr>
        <w:t>“Black Box”</w:t>
      </w:r>
      <w:r w:rsidRPr="00D83AEC">
        <w:rPr>
          <w:sz w:val="26"/>
          <w:szCs w:val="26"/>
        </w:rPr>
        <w:t xml:space="preserve"> nature of the </w:t>
      </w:r>
      <w:r>
        <w:rPr>
          <w:sz w:val="26"/>
          <w:szCs w:val="26"/>
        </w:rPr>
        <w:t>stipulated s</w:t>
      </w:r>
      <w:r w:rsidRPr="00D83AEC">
        <w:rPr>
          <w:sz w:val="26"/>
          <w:szCs w:val="26"/>
        </w:rPr>
        <w:t xml:space="preserve">ettlement, it is not possible to precisely calculate the extent to which the </w:t>
      </w:r>
      <w:r>
        <w:rPr>
          <w:sz w:val="26"/>
          <w:szCs w:val="26"/>
        </w:rPr>
        <w:t>stipulated rates</w:t>
      </w:r>
      <w:r w:rsidRPr="00D83AEC">
        <w:rPr>
          <w:sz w:val="26"/>
          <w:szCs w:val="26"/>
        </w:rPr>
        <w:t xml:space="preserve"> move rates closer to </w:t>
      </w:r>
      <w:r>
        <w:rPr>
          <w:sz w:val="26"/>
          <w:szCs w:val="26"/>
        </w:rPr>
        <w:t xml:space="preserve">the actual </w:t>
      </w:r>
      <w:r w:rsidRPr="00D83AEC">
        <w:rPr>
          <w:sz w:val="26"/>
          <w:szCs w:val="26"/>
        </w:rPr>
        <w:t>cost of service</w:t>
      </w:r>
      <w:r>
        <w:rPr>
          <w:sz w:val="26"/>
          <w:szCs w:val="26"/>
        </w:rPr>
        <w:t>.</w:t>
      </w:r>
      <w:r w:rsidR="003F3B53">
        <w:rPr>
          <w:sz w:val="26"/>
          <w:szCs w:val="26"/>
        </w:rPr>
        <w:t xml:space="preserve"> </w:t>
      </w:r>
      <w:r>
        <w:rPr>
          <w:sz w:val="26"/>
          <w:szCs w:val="26"/>
        </w:rPr>
        <w:t xml:space="preserve"> R.D. at 59.</w:t>
      </w:r>
    </w:p>
    <w:p w14:paraId="207E42AC" w14:textId="77777777" w:rsidR="00E42732" w:rsidRPr="00D83AEC" w:rsidRDefault="00E42732" w:rsidP="002E6D96">
      <w:pPr>
        <w:widowControl/>
        <w:spacing w:line="360" w:lineRule="auto"/>
        <w:ind w:firstLine="1440"/>
        <w:rPr>
          <w:sz w:val="26"/>
          <w:szCs w:val="26"/>
        </w:rPr>
      </w:pPr>
    </w:p>
    <w:p w14:paraId="26D07B3B" w14:textId="5C3C13FF" w:rsidR="00E42732" w:rsidRDefault="00E42732" w:rsidP="002E6D96">
      <w:pPr>
        <w:widowControl/>
        <w:spacing w:line="360" w:lineRule="auto"/>
        <w:ind w:firstLine="1440"/>
        <w:rPr>
          <w:sz w:val="26"/>
          <w:szCs w:val="26"/>
        </w:rPr>
      </w:pPr>
      <w:r>
        <w:rPr>
          <w:sz w:val="26"/>
          <w:szCs w:val="26"/>
        </w:rPr>
        <w:t xml:space="preserve">As illustrated below, the </w:t>
      </w:r>
      <w:r w:rsidR="00DC5FEC">
        <w:rPr>
          <w:sz w:val="26"/>
          <w:szCs w:val="26"/>
        </w:rPr>
        <w:t>Partial Settlement</w:t>
      </w:r>
      <w:r>
        <w:rPr>
          <w:sz w:val="26"/>
          <w:szCs w:val="26"/>
        </w:rPr>
        <w:t xml:space="preserve"> arrived at a revenue increase of </w:t>
      </w:r>
      <w:r w:rsidR="003F3B53">
        <w:rPr>
          <w:sz w:val="26"/>
          <w:szCs w:val="26"/>
        </w:rPr>
        <w:t>$</w:t>
      </w:r>
      <w:r>
        <w:rPr>
          <w:sz w:val="26"/>
          <w:szCs w:val="26"/>
        </w:rPr>
        <w:t xml:space="preserve">26 million rather than Columbia’s proposed increase of </w:t>
      </w:r>
      <w:r w:rsidR="003F3B53">
        <w:rPr>
          <w:sz w:val="26"/>
          <w:szCs w:val="26"/>
        </w:rPr>
        <w:t>$</w:t>
      </w:r>
      <w:r>
        <w:rPr>
          <w:sz w:val="26"/>
          <w:szCs w:val="26"/>
        </w:rPr>
        <w:t xml:space="preserve">46.9 million, and further stipulated to an allocation of revenue increase by class based upon </w:t>
      </w:r>
      <w:r w:rsidR="00C61946">
        <w:rPr>
          <w:sz w:val="26"/>
          <w:szCs w:val="26"/>
        </w:rPr>
        <w:t xml:space="preserve">the </w:t>
      </w:r>
      <w:r>
        <w:rPr>
          <w:sz w:val="26"/>
          <w:szCs w:val="26"/>
        </w:rPr>
        <w:t>Joint Petitioners’ consensus, rather than a specific cost allocation study.  Again, Columbia points out that the use of the stipulated revenue and cost allocation figures precludes accurate measurement of proximity between rates and cost of service.</w:t>
      </w:r>
    </w:p>
    <w:p w14:paraId="2714497F" w14:textId="77777777" w:rsidR="00E42732" w:rsidRDefault="00E42732" w:rsidP="002E6D96">
      <w:pPr>
        <w:widowControl/>
        <w:spacing w:line="360" w:lineRule="auto"/>
        <w:ind w:firstLine="1440"/>
        <w:rPr>
          <w:sz w:val="26"/>
          <w:szCs w:val="26"/>
        </w:rPr>
      </w:pPr>
    </w:p>
    <w:p w14:paraId="5054566A" w14:textId="77777777" w:rsidR="00E42732" w:rsidRPr="00D83AEC" w:rsidRDefault="00E42732" w:rsidP="002E6D96">
      <w:pPr>
        <w:widowControl/>
        <w:spacing w:line="259" w:lineRule="auto"/>
      </w:pPr>
    </w:p>
    <w:tbl>
      <w:tblPr>
        <w:tblStyle w:val="TableGrid0"/>
        <w:tblW w:w="9621" w:type="dxa"/>
        <w:tblInd w:w="5" w:type="dxa"/>
        <w:tblCellMar>
          <w:top w:w="62" w:type="dxa"/>
          <w:left w:w="108" w:type="dxa"/>
          <w:right w:w="49" w:type="dxa"/>
        </w:tblCellMar>
        <w:tblLook w:val="04A0" w:firstRow="1" w:lastRow="0" w:firstColumn="1" w:lastColumn="0" w:noHBand="0" w:noVBand="1"/>
      </w:tblPr>
      <w:tblGrid>
        <w:gridCol w:w="2701"/>
        <w:gridCol w:w="1620"/>
        <w:gridCol w:w="1908"/>
        <w:gridCol w:w="1712"/>
        <w:gridCol w:w="1680"/>
      </w:tblGrid>
      <w:tr w:rsidR="00E42732" w:rsidRPr="00D83AEC" w14:paraId="21FC5FFD" w14:textId="77777777" w:rsidTr="000803B8">
        <w:trPr>
          <w:trHeight w:val="838"/>
        </w:trPr>
        <w:tc>
          <w:tcPr>
            <w:tcW w:w="2701" w:type="dxa"/>
            <w:tcBorders>
              <w:top w:val="single" w:sz="4" w:space="0" w:color="000000"/>
              <w:left w:val="single" w:sz="4" w:space="0" w:color="000000"/>
              <w:bottom w:val="single" w:sz="4" w:space="0" w:color="000000"/>
              <w:right w:val="single" w:sz="4" w:space="0" w:color="000000"/>
            </w:tcBorders>
          </w:tcPr>
          <w:p w14:paraId="4E841313" w14:textId="77777777" w:rsidR="00E42732" w:rsidRPr="00D83AEC" w:rsidRDefault="00E42732" w:rsidP="002E6D96">
            <w:pPr>
              <w:keepNext/>
              <w:keepLines/>
              <w:widowControl/>
              <w:spacing w:line="259" w:lineRule="auto"/>
              <w:ind w:right="63"/>
              <w:jc w:val="center"/>
            </w:pPr>
            <w:r w:rsidRPr="00D83AEC">
              <w:rPr>
                <w:b/>
              </w:rPr>
              <w:lastRenderedPageBreak/>
              <w:t xml:space="preserve">Customer Group </w:t>
            </w:r>
          </w:p>
        </w:tc>
        <w:tc>
          <w:tcPr>
            <w:tcW w:w="1620" w:type="dxa"/>
            <w:tcBorders>
              <w:top w:val="single" w:sz="4" w:space="0" w:color="000000"/>
              <w:left w:val="single" w:sz="4" w:space="0" w:color="000000"/>
              <w:bottom w:val="single" w:sz="4" w:space="0" w:color="000000"/>
              <w:right w:val="single" w:sz="4" w:space="0" w:color="000000"/>
            </w:tcBorders>
          </w:tcPr>
          <w:p w14:paraId="3BDC8F54" w14:textId="77777777" w:rsidR="00E42732" w:rsidRPr="00D83AEC" w:rsidRDefault="00E42732" w:rsidP="002E6D96">
            <w:pPr>
              <w:keepNext/>
              <w:keepLines/>
              <w:widowControl/>
              <w:spacing w:line="259" w:lineRule="auto"/>
              <w:ind w:right="62"/>
              <w:jc w:val="center"/>
            </w:pPr>
            <w:r w:rsidRPr="00D83AEC">
              <w:rPr>
                <w:b/>
              </w:rPr>
              <w:t xml:space="preserve">As Filed </w:t>
            </w:r>
          </w:p>
          <w:p w14:paraId="177351AD" w14:textId="77777777" w:rsidR="00E42732" w:rsidRPr="00D83AEC" w:rsidRDefault="00E42732" w:rsidP="002E6D96">
            <w:pPr>
              <w:keepNext/>
              <w:keepLines/>
              <w:widowControl/>
              <w:spacing w:line="259" w:lineRule="auto"/>
            </w:pPr>
            <w:r w:rsidRPr="00D83AEC">
              <w:rPr>
                <w:b/>
              </w:rPr>
              <w:t xml:space="preserve"> </w:t>
            </w:r>
          </w:p>
        </w:tc>
        <w:tc>
          <w:tcPr>
            <w:tcW w:w="1908" w:type="dxa"/>
            <w:tcBorders>
              <w:top w:val="single" w:sz="4" w:space="0" w:color="000000"/>
              <w:left w:val="single" w:sz="4" w:space="0" w:color="000000"/>
              <w:bottom w:val="single" w:sz="4" w:space="0" w:color="000000"/>
              <w:right w:val="single" w:sz="4" w:space="0" w:color="000000"/>
            </w:tcBorders>
          </w:tcPr>
          <w:p w14:paraId="3E110A40" w14:textId="77777777" w:rsidR="00E42732" w:rsidRPr="00D83AEC" w:rsidRDefault="00E42732" w:rsidP="002E6D96">
            <w:pPr>
              <w:keepNext/>
              <w:keepLines/>
              <w:widowControl/>
              <w:spacing w:line="259" w:lineRule="auto"/>
              <w:ind w:right="64"/>
              <w:jc w:val="center"/>
            </w:pPr>
            <w:r w:rsidRPr="00D83AEC">
              <w:rPr>
                <w:b/>
              </w:rPr>
              <w:t xml:space="preserve">Percentage of </w:t>
            </w:r>
          </w:p>
          <w:p w14:paraId="2EC32021" w14:textId="77777777" w:rsidR="00E42732" w:rsidRPr="00D83AEC" w:rsidRDefault="00E42732" w:rsidP="002E6D96">
            <w:pPr>
              <w:keepNext/>
              <w:keepLines/>
              <w:widowControl/>
              <w:spacing w:line="259" w:lineRule="auto"/>
              <w:ind w:right="60"/>
              <w:jc w:val="center"/>
            </w:pPr>
            <w:r w:rsidRPr="00D83AEC">
              <w:rPr>
                <w:b/>
              </w:rPr>
              <w:t xml:space="preserve">Proposed </w:t>
            </w:r>
          </w:p>
          <w:p w14:paraId="0EB45487" w14:textId="77777777" w:rsidR="00E42732" w:rsidRPr="00D83AEC" w:rsidRDefault="00E42732" w:rsidP="002E6D96">
            <w:pPr>
              <w:keepNext/>
              <w:keepLines/>
              <w:widowControl/>
              <w:spacing w:line="259" w:lineRule="auto"/>
              <w:ind w:right="60"/>
              <w:jc w:val="center"/>
            </w:pPr>
            <w:r w:rsidRPr="00D83AEC">
              <w:rPr>
                <w:b/>
              </w:rPr>
              <w:t>Increase</w:t>
            </w:r>
            <w:r w:rsidRPr="00D83AEC">
              <w:rPr>
                <w:b/>
                <w:vertAlign w:val="superscript"/>
              </w:rPr>
              <w:t>16</w:t>
            </w:r>
            <w:r w:rsidRPr="00D83AEC">
              <w:rPr>
                <w:b/>
              </w:rPr>
              <w:t xml:space="preserve"> </w:t>
            </w:r>
          </w:p>
        </w:tc>
        <w:tc>
          <w:tcPr>
            <w:tcW w:w="1712" w:type="dxa"/>
            <w:tcBorders>
              <w:top w:val="single" w:sz="4" w:space="0" w:color="000000"/>
              <w:left w:val="single" w:sz="4" w:space="0" w:color="000000"/>
              <w:bottom w:val="single" w:sz="4" w:space="0" w:color="000000"/>
              <w:right w:val="single" w:sz="4" w:space="0" w:color="000000"/>
            </w:tcBorders>
          </w:tcPr>
          <w:p w14:paraId="371B7DE9" w14:textId="77777777" w:rsidR="00E42732" w:rsidRPr="00D83AEC" w:rsidRDefault="00E42732" w:rsidP="002E6D96">
            <w:pPr>
              <w:keepNext/>
              <w:keepLines/>
              <w:widowControl/>
              <w:spacing w:line="259" w:lineRule="auto"/>
              <w:ind w:right="67"/>
              <w:jc w:val="center"/>
            </w:pPr>
            <w:r w:rsidRPr="00D83AEC">
              <w:rPr>
                <w:b/>
              </w:rPr>
              <w:t xml:space="preserve">As Settled </w:t>
            </w:r>
          </w:p>
          <w:p w14:paraId="34BA1655" w14:textId="77777777" w:rsidR="00E42732" w:rsidRPr="00D83AEC" w:rsidRDefault="00E42732" w:rsidP="002E6D96">
            <w:pPr>
              <w:keepNext/>
              <w:keepLines/>
              <w:widowControl/>
              <w:spacing w:line="259" w:lineRule="auto"/>
              <w:ind w:right="2"/>
              <w:jc w:val="center"/>
            </w:pPr>
            <w:r w:rsidRPr="00D83AEC">
              <w:rPr>
                <w:b/>
              </w:rPr>
              <w:t xml:space="preserve"> </w:t>
            </w:r>
          </w:p>
        </w:tc>
        <w:tc>
          <w:tcPr>
            <w:tcW w:w="1680" w:type="dxa"/>
            <w:tcBorders>
              <w:top w:val="single" w:sz="4" w:space="0" w:color="000000"/>
              <w:left w:val="single" w:sz="4" w:space="0" w:color="000000"/>
              <w:bottom w:val="single" w:sz="4" w:space="0" w:color="000000"/>
              <w:right w:val="single" w:sz="4" w:space="0" w:color="000000"/>
            </w:tcBorders>
          </w:tcPr>
          <w:p w14:paraId="61F787AE" w14:textId="77777777" w:rsidR="00E42732" w:rsidRPr="00D83AEC" w:rsidRDefault="00E42732" w:rsidP="002E6D96">
            <w:pPr>
              <w:keepNext/>
              <w:keepLines/>
              <w:widowControl/>
              <w:spacing w:line="259" w:lineRule="auto"/>
              <w:ind w:left="36"/>
            </w:pPr>
            <w:r w:rsidRPr="00D83AEC">
              <w:rPr>
                <w:b/>
              </w:rPr>
              <w:t xml:space="preserve">Percentage of </w:t>
            </w:r>
          </w:p>
          <w:p w14:paraId="701CFF04" w14:textId="77777777" w:rsidR="00E42732" w:rsidRPr="00D83AEC" w:rsidRDefault="00E42732" w:rsidP="002E6D96">
            <w:pPr>
              <w:keepNext/>
              <w:keepLines/>
              <w:widowControl/>
              <w:spacing w:line="259" w:lineRule="auto"/>
              <w:ind w:right="59"/>
              <w:jc w:val="center"/>
            </w:pPr>
            <w:r w:rsidRPr="00D83AEC">
              <w:rPr>
                <w:b/>
              </w:rPr>
              <w:t xml:space="preserve">Settled </w:t>
            </w:r>
          </w:p>
          <w:p w14:paraId="2370305F" w14:textId="77777777" w:rsidR="00E42732" w:rsidRPr="00D83AEC" w:rsidRDefault="00E42732" w:rsidP="002E6D96">
            <w:pPr>
              <w:keepNext/>
              <w:keepLines/>
              <w:widowControl/>
              <w:spacing w:line="259" w:lineRule="auto"/>
              <w:ind w:right="63"/>
              <w:jc w:val="center"/>
            </w:pPr>
            <w:r w:rsidRPr="00D83AEC">
              <w:rPr>
                <w:b/>
              </w:rPr>
              <w:t xml:space="preserve">Increase </w:t>
            </w:r>
          </w:p>
        </w:tc>
      </w:tr>
      <w:tr w:rsidR="00E42732" w:rsidRPr="00D83AEC" w14:paraId="05E6F7F5" w14:textId="77777777" w:rsidTr="000803B8">
        <w:trPr>
          <w:trHeight w:val="288"/>
        </w:trPr>
        <w:tc>
          <w:tcPr>
            <w:tcW w:w="2701" w:type="dxa"/>
            <w:tcBorders>
              <w:top w:val="single" w:sz="4" w:space="0" w:color="000000"/>
              <w:left w:val="single" w:sz="4" w:space="0" w:color="000000"/>
              <w:bottom w:val="single" w:sz="4" w:space="0" w:color="000000"/>
              <w:right w:val="single" w:sz="4" w:space="0" w:color="000000"/>
            </w:tcBorders>
          </w:tcPr>
          <w:p w14:paraId="69FB3E94" w14:textId="77777777" w:rsidR="00E42732" w:rsidRPr="00D83AEC" w:rsidRDefault="00E42732" w:rsidP="002E6D96">
            <w:pPr>
              <w:keepNext/>
              <w:keepLines/>
              <w:widowControl/>
              <w:spacing w:line="259" w:lineRule="auto"/>
            </w:pPr>
            <w:r w:rsidRPr="00D83AEC">
              <w:t xml:space="preserve">Residential (RS/RDS) </w:t>
            </w:r>
          </w:p>
        </w:tc>
        <w:tc>
          <w:tcPr>
            <w:tcW w:w="1620" w:type="dxa"/>
            <w:tcBorders>
              <w:top w:val="single" w:sz="4" w:space="0" w:color="000000"/>
              <w:left w:val="single" w:sz="4" w:space="0" w:color="000000"/>
              <w:bottom w:val="single" w:sz="4" w:space="0" w:color="000000"/>
              <w:right w:val="single" w:sz="4" w:space="0" w:color="000000"/>
            </w:tcBorders>
          </w:tcPr>
          <w:p w14:paraId="669CB384" w14:textId="77777777" w:rsidR="00E42732" w:rsidRPr="00D83AEC" w:rsidRDefault="00E42732" w:rsidP="002E6D96">
            <w:pPr>
              <w:keepNext/>
              <w:keepLines/>
              <w:widowControl/>
              <w:spacing w:line="259" w:lineRule="auto"/>
              <w:ind w:left="101"/>
            </w:pPr>
            <w:r w:rsidRPr="00D83AEC">
              <w:t xml:space="preserve">$37,712,156 </w:t>
            </w:r>
          </w:p>
        </w:tc>
        <w:tc>
          <w:tcPr>
            <w:tcW w:w="1908" w:type="dxa"/>
            <w:tcBorders>
              <w:top w:val="single" w:sz="4" w:space="0" w:color="000000"/>
              <w:left w:val="single" w:sz="4" w:space="0" w:color="000000"/>
              <w:bottom w:val="single" w:sz="4" w:space="0" w:color="000000"/>
              <w:right w:val="single" w:sz="4" w:space="0" w:color="000000"/>
            </w:tcBorders>
          </w:tcPr>
          <w:p w14:paraId="249FC38B" w14:textId="77777777" w:rsidR="00E42732" w:rsidRPr="00D83AEC" w:rsidRDefault="00E42732" w:rsidP="002E6D96">
            <w:pPr>
              <w:keepNext/>
              <w:keepLines/>
              <w:widowControl/>
              <w:spacing w:line="259" w:lineRule="auto"/>
              <w:ind w:right="61"/>
              <w:jc w:val="center"/>
            </w:pPr>
            <w:r w:rsidRPr="00D83AEC">
              <w:t xml:space="preserve">79.22% </w:t>
            </w:r>
          </w:p>
        </w:tc>
        <w:tc>
          <w:tcPr>
            <w:tcW w:w="1712" w:type="dxa"/>
            <w:tcBorders>
              <w:top w:val="single" w:sz="4" w:space="0" w:color="000000"/>
              <w:left w:val="single" w:sz="4" w:space="0" w:color="000000"/>
              <w:bottom w:val="single" w:sz="4" w:space="0" w:color="000000"/>
              <w:right w:val="single" w:sz="4" w:space="0" w:color="000000"/>
            </w:tcBorders>
          </w:tcPr>
          <w:p w14:paraId="201D7740" w14:textId="77777777" w:rsidR="00E42732" w:rsidRPr="00D83AEC" w:rsidRDefault="00E42732" w:rsidP="002E6D96">
            <w:pPr>
              <w:keepNext/>
              <w:keepLines/>
              <w:widowControl/>
              <w:spacing w:line="259" w:lineRule="auto"/>
              <w:ind w:right="62"/>
              <w:jc w:val="center"/>
            </w:pPr>
            <w:r w:rsidRPr="00D83AEC">
              <w:t xml:space="preserve">$18,799,197 </w:t>
            </w:r>
          </w:p>
        </w:tc>
        <w:tc>
          <w:tcPr>
            <w:tcW w:w="1680" w:type="dxa"/>
            <w:tcBorders>
              <w:top w:val="single" w:sz="4" w:space="0" w:color="000000"/>
              <w:left w:val="single" w:sz="4" w:space="0" w:color="000000"/>
              <w:bottom w:val="single" w:sz="4" w:space="0" w:color="000000"/>
              <w:right w:val="single" w:sz="4" w:space="0" w:color="000000"/>
            </w:tcBorders>
          </w:tcPr>
          <w:p w14:paraId="25749E3B" w14:textId="77777777" w:rsidR="00E42732" w:rsidRPr="00D83AEC" w:rsidRDefault="00E42732" w:rsidP="002E6D96">
            <w:pPr>
              <w:keepNext/>
              <w:keepLines/>
              <w:widowControl/>
              <w:spacing w:line="259" w:lineRule="auto"/>
              <w:ind w:right="58"/>
              <w:jc w:val="center"/>
            </w:pPr>
            <w:r w:rsidRPr="00D83AEC">
              <w:t xml:space="preserve">72.3% </w:t>
            </w:r>
          </w:p>
        </w:tc>
      </w:tr>
      <w:tr w:rsidR="00E42732" w:rsidRPr="00D83AEC" w14:paraId="69C96D84" w14:textId="77777777" w:rsidTr="000803B8">
        <w:trPr>
          <w:trHeight w:val="562"/>
        </w:trPr>
        <w:tc>
          <w:tcPr>
            <w:tcW w:w="2701" w:type="dxa"/>
            <w:tcBorders>
              <w:top w:val="single" w:sz="4" w:space="0" w:color="000000"/>
              <w:left w:val="single" w:sz="4" w:space="0" w:color="000000"/>
              <w:bottom w:val="single" w:sz="4" w:space="0" w:color="000000"/>
              <w:right w:val="single" w:sz="4" w:space="0" w:color="000000"/>
            </w:tcBorders>
          </w:tcPr>
          <w:p w14:paraId="08C3202A" w14:textId="77777777" w:rsidR="00E42732" w:rsidRPr="00D83AEC" w:rsidRDefault="00E42732" w:rsidP="002E6D96">
            <w:pPr>
              <w:keepNext/>
              <w:keepLines/>
              <w:widowControl/>
              <w:spacing w:line="259" w:lineRule="auto"/>
            </w:pPr>
            <w:r w:rsidRPr="00D83AEC">
              <w:t xml:space="preserve">Small General Service (SGSS/SGDS/SCD) </w:t>
            </w:r>
          </w:p>
        </w:tc>
        <w:tc>
          <w:tcPr>
            <w:tcW w:w="1620" w:type="dxa"/>
            <w:tcBorders>
              <w:top w:val="single" w:sz="4" w:space="0" w:color="000000"/>
              <w:left w:val="single" w:sz="4" w:space="0" w:color="000000"/>
              <w:bottom w:val="single" w:sz="4" w:space="0" w:color="000000"/>
              <w:right w:val="single" w:sz="4" w:space="0" w:color="000000"/>
            </w:tcBorders>
          </w:tcPr>
          <w:p w14:paraId="40B59A8A" w14:textId="77777777" w:rsidR="00E42732" w:rsidRPr="00D83AEC" w:rsidRDefault="00E42732" w:rsidP="002E6D96">
            <w:pPr>
              <w:keepNext/>
              <w:keepLines/>
              <w:widowControl/>
              <w:spacing w:line="259" w:lineRule="auto"/>
              <w:ind w:right="61"/>
              <w:jc w:val="center"/>
            </w:pPr>
            <w:r w:rsidRPr="00D83AEC">
              <w:t xml:space="preserve">$4,547,224 </w:t>
            </w:r>
          </w:p>
        </w:tc>
        <w:tc>
          <w:tcPr>
            <w:tcW w:w="1908" w:type="dxa"/>
            <w:tcBorders>
              <w:top w:val="single" w:sz="4" w:space="0" w:color="000000"/>
              <w:left w:val="single" w:sz="4" w:space="0" w:color="000000"/>
              <w:bottom w:val="single" w:sz="4" w:space="0" w:color="000000"/>
              <w:right w:val="single" w:sz="4" w:space="0" w:color="000000"/>
            </w:tcBorders>
          </w:tcPr>
          <w:p w14:paraId="11F66B37" w14:textId="77777777" w:rsidR="00E42732" w:rsidRPr="00D83AEC" w:rsidRDefault="00E42732" w:rsidP="002E6D96">
            <w:pPr>
              <w:keepNext/>
              <w:keepLines/>
              <w:widowControl/>
              <w:spacing w:line="259" w:lineRule="auto"/>
              <w:ind w:right="61"/>
              <w:jc w:val="center"/>
            </w:pPr>
            <w:r w:rsidRPr="00D83AEC">
              <w:t xml:space="preserve">10.81% </w:t>
            </w:r>
          </w:p>
        </w:tc>
        <w:tc>
          <w:tcPr>
            <w:tcW w:w="1712" w:type="dxa"/>
            <w:tcBorders>
              <w:top w:val="single" w:sz="4" w:space="0" w:color="000000"/>
              <w:left w:val="single" w:sz="4" w:space="0" w:color="000000"/>
              <w:bottom w:val="single" w:sz="4" w:space="0" w:color="000000"/>
              <w:right w:val="single" w:sz="4" w:space="0" w:color="000000"/>
            </w:tcBorders>
          </w:tcPr>
          <w:p w14:paraId="357BD09B" w14:textId="77777777" w:rsidR="00E42732" w:rsidRPr="00D83AEC" w:rsidRDefault="00E42732" w:rsidP="002E6D96">
            <w:pPr>
              <w:keepNext/>
              <w:keepLines/>
              <w:widowControl/>
              <w:spacing w:line="259" w:lineRule="auto"/>
              <w:ind w:right="62"/>
              <w:jc w:val="center"/>
            </w:pPr>
            <w:r w:rsidRPr="00D83AEC">
              <w:t xml:space="preserve">$4,198,609 </w:t>
            </w:r>
          </w:p>
        </w:tc>
        <w:tc>
          <w:tcPr>
            <w:tcW w:w="1680" w:type="dxa"/>
            <w:tcBorders>
              <w:top w:val="single" w:sz="4" w:space="0" w:color="000000"/>
              <w:left w:val="single" w:sz="4" w:space="0" w:color="000000"/>
              <w:bottom w:val="single" w:sz="4" w:space="0" w:color="000000"/>
              <w:right w:val="single" w:sz="4" w:space="0" w:color="000000"/>
            </w:tcBorders>
          </w:tcPr>
          <w:p w14:paraId="69FEA9EA" w14:textId="77777777" w:rsidR="00E42732" w:rsidRPr="00D83AEC" w:rsidRDefault="00E42732" w:rsidP="002E6D96">
            <w:pPr>
              <w:keepNext/>
              <w:keepLines/>
              <w:widowControl/>
              <w:spacing w:line="259" w:lineRule="auto"/>
              <w:ind w:right="58"/>
              <w:jc w:val="center"/>
            </w:pPr>
            <w:r w:rsidRPr="00D83AEC">
              <w:t xml:space="preserve">16.15% </w:t>
            </w:r>
          </w:p>
        </w:tc>
      </w:tr>
      <w:tr w:rsidR="00E42732" w:rsidRPr="00D83AEC" w14:paraId="777AE611" w14:textId="77777777" w:rsidTr="000803B8">
        <w:trPr>
          <w:trHeight w:val="562"/>
        </w:trPr>
        <w:tc>
          <w:tcPr>
            <w:tcW w:w="2701" w:type="dxa"/>
            <w:tcBorders>
              <w:top w:val="single" w:sz="4" w:space="0" w:color="000000"/>
              <w:left w:val="single" w:sz="4" w:space="0" w:color="000000"/>
              <w:bottom w:val="single" w:sz="4" w:space="0" w:color="000000"/>
              <w:right w:val="single" w:sz="4" w:space="0" w:color="000000"/>
            </w:tcBorders>
          </w:tcPr>
          <w:p w14:paraId="6F7B564A" w14:textId="77777777" w:rsidR="00E42732" w:rsidRPr="00D83AEC" w:rsidRDefault="00E42732" w:rsidP="002E6D96">
            <w:pPr>
              <w:keepNext/>
              <w:keepLines/>
              <w:widowControl/>
              <w:tabs>
                <w:tab w:val="right" w:pos="2543"/>
              </w:tabs>
              <w:spacing w:line="259" w:lineRule="auto"/>
            </w:pPr>
            <w:r w:rsidRPr="00D83AEC">
              <w:t xml:space="preserve">Small Distribution </w:t>
            </w:r>
          </w:p>
          <w:p w14:paraId="69AA3FF4" w14:textId="77777777" w:rsidR="00E42732" w:rsidRPr="00D83AEC" w:rsidRDefault="00E42732" w:rsidP="002E6D96">
            <w:pPr>
              <w:keepNext/>
              <w:keepLines/>
              <w:widowControl/>
              <w:spacing w:line="259" w:lineRule="auto"/>
            </w:pPr>
            <w:r w:rsidRPr="00D83AEC">
              <w:t xml:space="preserve">Service (SDS/LGSS)  </w:t>
            </w:r>
          </w:p>
        </w:tc>
        <w:tc>
          <w:tcPr>
            <w:tcW w:w="1620" w:type="dxa"/>
            <w:tcBorders>
              <w:top w:val="single" w:sz="4" w:space="0" w:color="000000"/>
              <w:left w:val="single" w:sz="4" w:space="0" w:color="000000"/>
              <w:bottom w:val="single" w:sz="4" w:space="0" w:color="000000"/>
              <w:right w:val="single" w:sz="4" w:space="0" w:color="000000"/>
            </w:tcBorders>
          </w:tcPr>
          <w:p w14:paraId="43646335" w14:textId="77777777" w:rsidR="00E42732" w:rsidRPr="00D83AEC" w:rsidRDefault="00E42732" w:rsidP="002E6D96">
            <w:pPr>
              <w:keepNext/>
              <w:keepLines/>
              <w:widowControl/>
              <w:spacing w:line="259" w:lineRule="auto"/>
              <w:ind w:right="61"/>
              <w:jc w:val="center"/>
            </w:pPr>
            <w:r w:rsidRPr="00D83AEC">
              <w:t xml:space="preserve">$2,505,422 </w:t>
            </w:r>
          </w:p>
        </w:tc>
        <w:tc>
          <w:tcPr>
            <w:tcW w:w="1908" w:type="dxa"/>
            <w:tcBorders>
              <w:top w:val="single" w:sz="4" w:space="0" w:color="000000"/>
              <w:left w:val="single" w:sz="4" w:space="0" w:color="000000"/>
              <w:bottom w:val="single" w:sz="4" w:space="0" w:color="000000"/>
              <w:right w:val="single" w:sz="4" w:space="0" w:color="000000"/>
            </w:tcBorders>
          </w:tcPr>
          <w:p w14:paraId="7D3ED3D9" w14:textId="77777777" w:rsidR="00E42732" w:rsidRPr="00D83AEC" w:rsidRDefault="00E42732" w:rsidP="002E6D96">
            <w:pPr>
              <w:keepNext/>
              <w:keepLines/>
              <w:widowControl/>
              <w:spacing w:line="259" w:lineRule="auto"/>
              <w:ind w:right="61"/>
              <w:jc w:val="center"/>
            </w:pPr>
            <w:r w:rsidRPr="00D83AEC">
              <w:t xml:space="preserve">5.34% </w:t>
            </w:r>
          </w:p>
        </w:tc>
        <w:tc>
          <w:tcPr>
            <w:tcW w:w="1712" w:type="dxa"/>
            <w:tcBorders>
              <w:top w:val="single" w:sz="4" w:space="0" w:color="000000"/>
              <w:left w:val="single" w:sz="4" w:space="0" w:color="000000"/>
              <w:bottom w:val="single" w:sz="4" w:space="0" w:color="000000"/>
              <w:right w:val="single" w:sz="4" w:space="0" w:color="000000"/>
            </w:tcBorders>
          </w:tcPr>
          <w:p w14:paraId="6E5225BD" w14:textId="77777777" w:rsidR="00E42732" w:rsidRPr="00D83AEC" w:rsidRDefault="00E42732" w:rsidP="002E6D96">
            <w:pPr>
              <w:keepNext/>
              <w:keepLines/>
              <w:widowControl/>
              <w:spacing w:line="259" w:lineRule="auto"/>
              <w:ind w:right="62"/>
              <w:jc w:val="center"/>
            </w:pPr>
            <w:r w:rsidRPr="00D83AEC">
              <w:t xml:space="preserve">$2,002,266 </w:t>
            </w:r>
          </w:p>
        </w:tc>
        <w:tc>
          <w:tcPr>
            <w:tcW w:w="1680" w:type="dxa"/>
            <w:tcBorders>
              <w:top w:val="single" w:sz="4" w:space="0" w:color="000000"/>
              <w:left w:val="single" w:sz="4" w:space="0" w:color="000000"/>
              <w:bottom w:val="single" w:sz="4" w:space="0" w:color="000000"/>
              <w:right w:val="single" w:sz="4" w:space="0" w:color="000000"/>
            </w:tcBorders>
          </w:tcPr>
          <w:p w14:paraId="607EB1E1" w14:textId="77777777" w:rsidR="00E42732" w:rsidRPr="00D83AEC" w:rsidRDefault="00E42732" w:rsidP="002E6D96">
            <w:pPr>
              <w:keepNext/>
              <w:keepLines/>
              <w:widowControl/>
              <w:spacing w:line="259" w:lineRule="auto"/>
              <w:ind w:right="58"/>
              <w:jc w:val="center"/>
            </w:pPr>
            <w:r w:rsidRPr="00D83AEC">
              <w:t xml:space="preserve">7.7% </w:t>
            </w:r>
          </w:p>
        </w:tc>
      </w:tr>
      <w:tr w:rsidR="00E42732" w:rsidRPr="00D83AEC" w14:paraId="72A02DAB" w14:textId="77777777" w:rsidTr="000803B8">
        <w:trPr>
          <w:trHeight w:val="562"/>
        </w:trPr>
        <w:tc>
          <w:tcPr>
            <w:tcW w:w="2701" w:type="dxa"/>
            <w:tcBorders>
              <w:top w:val="single" w:sz="4" w:space="0" w:color="000000"/>
              <w:left w:val="single" w:sz="4" w:space="0" w:color="000000"/>
              <w:bottom w:val="single" w:sz="4" w:space="0" w:color="000000"/>
              <w:right w:val="single" w:sz="4" w:space="0" w:color="000000"/>
            </w:tcBorders>
          </w:tcPr>
          <w:p w14:paraId="40D91881" w14:textId="77777777" w:rsidR="00E42732" w:rsidRPr="00D83AEC" w:rsidRDefault="00E42732" w:rsidP="002E6D96">
            <w:pPr>
              <w:keepNext/>
              <w:keepLines/>
              <w:widowControl/>
              <w:tabs>
                <w:tab w:val="right" w:pos="2543"/>
              </w:tabs>
              <w:spacing w:line="259" w:lineRule="auto"/>
            </w:pPr>
            <w:r w:rsidRPr="00D83AEC">
              <w:t xml:space="preserve">Large Distribution </w:t>
            </w:r>
          </w:p>
          <w:p w14:paraId="638DF04B" w14:textId="77777777" w:rsidR="00E42732" w:rsidRPr="00D83AEC" w:rsidRDefault="00E42732" w:rsidP="002E6D96">
            <w:pPr>
              <w:keepNext/>
              <w:keepLines/>
              <w:widowControl/>
              <w:spacing w:line="259" w:lineRule="auto"/>
            </w:pPr>
            <w:r w:rsidRPr="00D83AEC">
              <w:t xml:space="preserve">Service (LDS/LGSS)  </w:t>
            </w:r>
          </w:p>
        </w:tc>
        <w:tc>
          <w:tcPr>
            <w:tcW w:w="1620" w:type="dxa"/>
            <w:tcBorders>
              <w:top w:val="single" w:sz="4" w:space="0" w:color="000000"/>
              <w:left w:val="single" w:sz="4" w:space="0" w:color="000000"/>
              <w:bottom w:val="single" w:sz="4" w:space="0" w:color="000000"/>
              <w:right w:val="single" w:sz="4" w:space="0" w:color="000000"/>
            </w:tcBorders>
          </w:tcPr>
          <w:p w14:paraId="57484882" w14:textId="77777777" w:rsidR="00E42732" w:rsidRPr="00D83AEC" w:rsidRDefault="00E42732" w:rsidP="002E6D96">
            <w:pPr>
              <w:keepNext/>
              <w:keepLines/>
              <w:widowControl/>
              <w:spacing w:line="259" w:lineRule="auto"/>
              <w:ind w:right="61"/>
              <w:jc w:val="center"/>
            </w:pPr>
            <w:r w:rsidRPr="00D83AEC">
              <w:t xml:space="preserve">$2,130,154 </w:t>
            </w:r>
          </w:p>
        </w:tc>
        <w:tc>
          <w:tcPr>
            <w:tcW w:w="1908" w:type="dxa"/>
            <w:tcBorders>
              <w:top w:val="single" w:sz="4" w:space="0" w:color="000000"/>
              <w:left w:val="single" w:sz="4" w:space="0" w:color="000000"/>
              <w:bottom w:val="single" w:sz="4" w:space="0" w:color="000000"/>
              <w:right w:val="single" w:sz="4" w:space="0" w:color="000000"/>
            </w:tcBorders>
          </w:tcPr>
          <w:p w14:paraId="0B128636" w14:textId="77777777" w:rsidR="00E42732" w:rsidRPr="00D83AEC" w:rsidRDefault="00E42732" w:rsidP="002E6D96">
            <w:pPr>
              <w:keepNext/>
              <w:keepLines/>
              <w:widowControl/>
              <w:spacing w:line="259" w:lineRule="auto"/>
              <w:ind w:right="61"/>
              <w:jc w:val="center"/>
            </w:pPr>
            <w:r w:rsidRPr="00D83AEC">
              <w:t xml:space="preserve">4.54% </w:t>
            </w:r>
          </w:p>
        </w:tc>
        <w:tc>
          <w:tcPr>
            <w:tcW w:w="1712" w:type="dxa"/>
            <w:tcBorders>
              <w:top w:val="single" w:sz="4" w:space="0" w:color="000000"/>
              <w:left w:val="single" w:sz="4" w:space="0" w:color="000000"/>
              <w:bottom w:val="single" w:sz="4" w:space="0" w:color="000000"/>
              <w:right w:val="single" w:sz="4" w:space="0" w:color="000000"/>
            </w:tcBorders>
          </w:tcPr>
          <w:p w14:paraId="60B37711" w14:textId="77777777" w:rsidR="00E42732" w:rsidRPr="00D83AEC" w:rsidRDefault="00E42732" w:rsidP="002E6D96">
            <w:pPr>
              <w:keepNext/>
              <w:keepLines/>
              <w:widowControl/>
              <w:spacing w:line="259" w:lineRule="auto"/>
              <w:ind w:right="64"/>
              <w:jc w:val="center"/>
            </w:pPr>
            <w:r w:rsidRPr="00D83AEC">
              <w:t xml:space="preserve">$999,929 </w:t>
            </w:r>
          </w:p>
        </w:tc>
        <w:tc>
          <w:tcPr>
            <w:tcW w:w="1680" w:type="dxa"/>
            <w:tcBorders>
              <w:top w:val="single" w:sz="4" w:space="0" w:color="000000"/>
              <w:left w:val="single" w:sz="4" w:space="0" w:color="000000"/>
              <w:bottom w:val="single" w:sz="4" w:space="0" w:color="000000"/>
              <w:right w:val="single" w:sz="4" w:space="0" w:color="000000"/>
            </w:tcBorders>
          </w:tcPr>
          <w:p w14:paraId="5FEBC2E1" w14:textId="77777777" w:rsidR="00E42732" w:rsidRPr="00D83AEC" w:rsidRDefault="00E42732" w:rsidP="002E6D96">
            <w:pPr>
              <w:keepNext/>
              <w:keepLines/>
              <w:widowControl/>
              <w:spacing w:line="259" w:lineRule="auto"/>
              <w:ind w:right="58"/>
              <w:jc w:val="center"/>
            </w:pPr>
            <w:r w:rsidRPr="00D83AEC">
              <w:t xml:space="preserve">3.85% </w:t>
            </w:r>
          </w:p>
        </w:tc>
      </w:tr>
      <w:tr w:rsidR="00E42732" w:rsidRPr="00D83AEC" w14:paraId="2345A74B" w14:textId="77777777" w:rsidTr="000803B8">
        <w:trPr>
          <w:trHeight w:val="562"/>
        </w:trPr>
        <w:tc>
          <w:tcPr>
            <w:tcW w:w="2701" w:type="dxa"/>
            <w:tcBorders>
              <w:top w:val="single" w:sz="4" w:space="0" w:color="000000"/>
              <w:left w:val="single" w:sz="4" w:space="0" w:color="000000"/>
              <w:bottom w:val="single" w:sz="4" w:space="0" w:color="000000"/>
              <w:right w:val="single" w:sz="4" w:space="0" w:color="000000"/>
            </w:tcBorders>
          </w:tcPr>
          <w:p w14:paraId="0604E399" w14:textId="77777777" w:rsidR="00E42732" w:rsidRPr="00D83AEC" w:rsidRDefault="00E42732" w:rsidP="002E6D96">
            <w:pPr>
              <w:keepNext/>
              <w:keepLines/>
              <w:widowControl/>
              <w:spacing w:line="259" w:lineRule="auto"/>
              <w:jc w:val="both"/>
            </w:pPr>
            <w:r w:rsidRPr="00D83AEC">
              <w:t xml:space="preserve">Mainline Distribution Service (MLDS/NSS) </w:t>
            </w:r>
          </w:p>
        </w:tc>
        <w:tc>
          <w:tcPr>
            <w:tcW w:w="1620" w:type="dxa"/>
            <w:tcBorders>
              <w:top w:val="single" w:sz="4" w:space="0" w:color="000000"/>
              <w:left w:val="single" w:sz="4" w:space="0" w:color="000000"/>
              <w:bottom w:val="single" w:sz="4" w:space="0" w:color="000000"/>
              <w:right w:val="single" w:sz="4" w:space="0" w:color="000000"/>
            </w:tcBorders>
          </w:tcPr>
          <w:p w14:paraId="049C1C68" w14:textId="77777777" w:rsidR="00E42732" w:rsidRPr="00D83AEC" w:rsidRDefault="00E42732" w:rsidP="002E6D96">
            <w:pPr>
              <w:keepNext/>
              <w:keepLines/>
              <w:widowControl/>
              <w:spacing w:line="259" w:lineRule="auto"/>
              <w:ind w:right="59"/>
              <w:jc w:val="center"/>
            </w:pPr>
            <w:r w:rsidRPr="00D83AEC">
              <w:t xml:space="preserve">$42,270 </w:t>
            </w:r>
          </w:p>
        </w:tc>
        <w:tc>
          <w:tcPr>
            <w:tcW w:w="1908" w:type="dxa"/>
            <w:tcBorders>
              <w:top w:val="single" w:sz="4" w:space="0" w:color="000000"/>
              <w:left w:val="single" w:sz="4" w:space="0" w:color="000000"/>
              <w:bottom w:val="single" w:sz="4" w:space="0" w:color="000000"/>
              <w:right w:val="single" w:sz="4" w:space="0" w:color="000000"/>
            </w:tcBorders>
          </w:tcPr>
          <w:p w14:paraId="73FA819E" w14:textId="77777777" w:rsidR="00E42732" w:rsidRPr="00D83AEC" w:rsidRDefault="00E42732" w:rsidP="002E6D96">
            <w:pPr>
              <w:keepNext/>
              <w:keepLines/>
              <w:widowControl/>
              <w:spacing w:line="259" w:lineRule="auto"/>
              <w:ind w:right="58"/>
              <w:jc w:val="center"/>
            </w:pPr>
            <w:r w:rsidRPr="00D83AEC">
              <w:t xml:space="preserve">0% </w:t>
            </w:r>
          </w:p>
        </w:tc>
        <w:tc>
          <w:tcPr>
            <w:tcW w:w="1712" w:type="dxa"/>
            <w:tcBorders>
              <w:top w:val="single" w:sz="4" w:space="0" w:color="000000"/>
              <w:left w:val="single" w:sz="4" w:space="0" w:color="000000"/>
              <w:bottom w:val="single" w:sz="4" w:space="0" w:color="000000"/>
              <w:right w:val="single" w:sz="4" w:space="0" w:color="000000"/>
            </w:tcBorders>
          </w:tcPr>
          <w:p w14:paraId="6C4B814F" w14:textId="77777777" w:rsidR="00E42732" w:rsidRPr="00D83AEC" w:rsidRDefault="00E42732" w:rsidP="002E6D96">
            <w:pPr>
              <w:keepNext/>
              <w:keepLines/>
              <w:widowControl/>
              <w:spacing w:line="259" w:lineRule="auto"/>
              <w:ind w:right="62"/>
              <w:jc w:val="center"/>
            </w:pPr>
            <w:r w:rsidRPr="00D83AEC">
              <w:t xml:space="preserve">$0 </w:t>
            </w:r>
          </w:p>
        </w:tc>
        <w:tc>
          <w:tcPr>
            <w:tcW w:w="1680" w:type="dxa"/>
            <w:tcBorders>
              <w:top w:val="single" w:sz="4" w:space="0" w:color="000000"/>
              <w:left w:val="single" w:sz="4" w:space="0" w:color="000000"/>
              <w:bottom w:val="single" w:sz="4" w:space="0" w:color="000000"/>
              <w:right w:val="single" w:sz="4" w:space="0" w:color="000000"/>
            </w:tcBorders>
          </w:tcPr>
          <w:p w14:paraId="27AC97BB" w14:textId="77777777" w:rsidR="00E42732" w:rsidRPr="00D83AEC" w:rsidRDefault="00E42732" w:rsidP="002E6D96">
            <w:pPr>
              <w:keepNext/>
              <w:keepLines/>
              <w:widowControl/>
              <w:spacing w:line="259" w:lineRule="auto"/>
              <w:ind w:right="60"/>
              <w:jc w:val="center"/>
            </w:pPr>
            <w:r w:rsidRPr="00D83AEC">
              <w:t xml:space="preserve">0% </w:t>
            </w:r>
          </w:p>
        </w:tc>
      </w:tr>
      <w:tr w:rsidR="00E42732" w:rsidRPr="00D83AEC" w14:paraId="152DFD6D" w14:textId="77777777" w:rsidTr="000803B8">
        <w:trPr>
          <w:trHeight w:val="286"/>
        </w:trPr>
        <w:tc>
          <w:tcPr>
            <w:tcW w:w="2701" w:type="dxa"/>
            <w:tcBorders>
              <w:top w:val="single" w:sz="4" w:space="0" w:color="000000"/>
              <w:left w:val="single" w:sz="4" w:space="0" w:color="000000"/>
              <w:bottom w:val="single" w:sz="4" w:space="0" w:color="000000"/>
              <w:right w:val="single" w:sz="4" w:space="0" w:color="000000"/>
            </w:tcBorders>
          </w:tcPr>
          <w:p w14:paraId="422FB13A" w14:textId="77777777" w:rsidR="00E42732" w:rsidRPr="00D83AEC" w:rsidRDefault="00E42732" w:rsidP="002E6D96">
            <w:pPr>
              <w:keepNext/>
              <w:keepLines/>
              <w:widowControl/>
              <w:spacing w:line="259" w:lineRule="auto"/>
            </w:pPr>
            <w:r w:rsidRPr="00D83AEC">
              <w:t xml:space="preserve">Total </w:t>
            </w:r>
          </w:p>
        </w:tc>
        <w:tc>
          <w:tcPr>
            <w:tcW w:w="1620" w:type="dxa"/>
            <w:tcBorders>
              <w:top w:val="single" w:sz="4" w:space="0" w:color="000000"/>
              <w:left w:val="single" w:sz="4" w:space="0" w:color="000000"/>
              <w:bottom w:val="single" w:sz="4" w:space="0" w:color="000000"/>
              <w:right w:val="single" w:sz="4" w:space="0" w:color="000000"/>
            </w:tcBorders>
          </w:tcPr>
          <w:p w14:paraId="3AAED4C3" w14:textId="77777777" w:rsidR="00E42732" w:rsidRPr="00D83AEC" w:rsidRDefault="00E42732" w:rsidP="002E6D96">
            <w:pPr>
              <w:keepNext/>
              <w:keepLines/>
              <w:widowControl/>
              <w:spacing w:line="259" w:lineRule="auto"/>
              <w:ind w:left="101"/>
            </w:pPr>
            <w:r w:rsidRPr="00D83AEC">
              <w:t xml:space="preserve">$46,937,246 </w:t>
            </w:r>
          </w:p>
        </w:tc>
        <w:tc>
          <w:tcPr>
            <w:tcW w:w="1908" w:type="dxa"/>
            <w:tcBorders>
              <w:top w:val="single" w:sz="4" w:space="0" w:color="000000"/>
              <w:left w:val="single" w:sz="4" w:space="0" w:color="000000"/>
              <w:bottom w:val="single" w:sz="4" w:space="0" w:color="000000"/>
              <w:right w:val="single" w:sz="4" w:space="0" w:color="000000"/>
            </w:tcBorders>
          </w:tcPr>
          <w:p w14:paraId="60251CBF" w14:textId="77777777" w:rsidR="00E42732" w:rsidRPr="00D83AEC" w:rsidRDefault="00E42732" w:rsidP="002E6D96">
            <w:pPr>
              <w:keepNext/>
              <w:keepLines/>
              <w:widowControl/>
              <w:spacing w:line="259" w:lineRule="auto"/>
              <w:ind w:right="58"/>
              <w:jc w:val="center"/>
            </w:pPr>
            <w:r w:rsidRPr="00D83AEC">
              <w:t xml:space="preserve">100% </w:t>
            </w:r>
          </w:p>
        </w:tc>
        <w:tc>
          <w:tcPr>
            <w:tcW w:w="1712" w:type="dxa"/>
            <w:tcBorders>
              <w:top w:val="single" w:sz="4" w:space="0" w:color="000000"/>
              <w:left w:val="single" w:sz="4" w:space="0" w:color="000000"/>
              <w:bottom w:val="single" w:sz="4" w:space="0" w:color="000000"/>
              <w:right w:val="single" w:sz="4" w:space="0" w:color="000000"/>
            </w:tcBorders>
          </w:tcPr>
          <w:p w14:paraId="0ACCB869" w14:textId="77777777" w:rsidR="00E42732" w:rsidRPr="00D83AEC" w:rsidRDefault="00E42732" w:rsidP="002E6D96">
            <w:pPr>
              <w:keepNext/>
              <w:keepLines/>
              <w:widowControl/>
              <w:spacing w:line="259" w:lineRule="auto"/>
              <w:ind w:right="62"/>
              <w:jc w:val="center"/>
            </w:pPr>
            <w:r w:rsidRPr="00D83AEC">
              <w:t xml:space="preserve">$26,000,000 </w:t>
            </w:r>
          </w:p>
        </w:tc>
        <w:tc>
          <w:tcPr>
            <w:tcW w:w="1680" w:type="dxa"/>
            <w:tcBorders>
              <w:top w:val="single" w:sz="4" w:space="0" w:color="000000"/>
              <w:left w:val="single" w:sz="4" w:space="0" w:color="000000"/>
              <w:bottom w:val="single" w:sz="4" w:space="0" w:color="000000"/>
              <w:right w:val="single" w:sz="4" w:space="0" w:color="000000"/>
            </w:tcBorders>
          </w:tcPr>
          <w:p w14:paraId="6ACB52A2" w14:textId="77777777" w:rsidR="00E42732" w:rsidRPr="00D83AEC" w:rsidRDefault="00E42732" w:rsidP="002E6D96">
            <w:pPr>
              <w:keepNext/>
              <w:keepLines/>
              <w:widowControl/>
              <w:spacing w:line="259" w:lineRule="auto"/>
              <w:ind w:right="60"/>
              <w:jc w:val="center"/>
            </w:pPr>
            <w:r w:rsidRPr="00D83AEC">
              <w:t xml:space="preserve">100% </w:t>
            </w:r>
          </w:p>
        </w:tc>
      </w:tr>
    </w:tbl>
    <w:p w14:paraId="205FF9B8" w14:textId="77777777" w:rsidR="00E42732" w:rsidRPr="002B1D7C" w:rsidRDefault="00E42732" w:rsidP="002E6D96">
      <w:pPr>
        <w:widowControl/>
        <w:ind w:left="1440"/>
        <w:rPr>
          <w:sz w:val="26"/>
        </w:rPr>
      </w:pPr>
    </w:p>
    <w:p w14:paraId="1CFBC763" w14:textId="77777777" w:rsidR="00567E6A" w:rsidRPr="00567E6A" w:rsidRDefault="00567E6A" w:rsidP="002E6D96">
      <w:pPr>
        <w:widowControl/>
        <w:ind w:left="1440"/>
        <w:rPr>
          <w:sz w:val="26"/>
          <w:szCs w:val="26"/>
        </w:rPr>
      </w:pPr>
    </w:p>
    <w:p w14:paraId="021CD5A5" w14:textId="07D802F2" w:rsidR="00E42732" w:rsidRDefault="00E42732" w:rsidP="002E6D96">
      <w:pPr>
        <w:widowControl/>
        <w:spacing w:line="360" w:lineRule="auto"/>
        <w:ind w:firstLine="1440"/>
        <w:rPr>
          <w:sz w:val="26"/>
          <w:szCs w:val="26"/>
        </w:rPr>
      </w:pPr>
      <w:r>
        <w:rPr>
          <w:sz w:val="26"/>
          <w:szCs w:val="26"/>
        </w:rPr>
        <w:t xml:space="preserve">However, as a practical matter, the stipulated revenue and allocation serve to lower the rate increase for a typical residential customer as compared to Columbia’s initial proposal.  For example, </w:t>
      </w:r>
      <w:r w:rsidR="001A1F45">
        <w:rPr>
          <w:sz w:val="26"/>
          <w:szCs w:val="26"/>
        </w:rPr>
        <w:t xml:space="preserve">as previously noted, </w:t>
      </w:r>
      <w:r>
        <w:rPr>
          <w:sz w:val="26"/>
          <w:szCs w:val="26"/>
        </w:rPr>
        <w:t>u</w:t>
      </w:r>
      <w:r w:rsidRPr="00D83AEC">
        <w:rPr>
          <w:sz w:val="26"/>
          <w:szCs w:val="26"/>
        </w:rPr>
        <w:t xml:space="preserve">nder the terms of the </w:t>
      </w:r>
      <w:r w:rsidR="00DC5FEC">
        <w:rPr>
          <w:sz w:val="26"/>
          <w:szCs w:val="26"/>
        </w:rPr>
        <w:t>Partial Settlement</w:t>
      </w:r>
      <w:r w:rsidRPr="00D83AEC">
        <w:rPr>
          <w:sz w:val="26"/>
          <w:szCs w:val="26"/>
        </w:rPr>
        <w:t xml:space="preserve">, a typical </w:t>
      </w:r>
      <w:r>
        <w:rPr>
          <w:sz w:val="26"/>
          <w:szCs w:val="26"/>
        </w:rPr>
        <w:t>r</w:t>
      </w:r>
      <w:r w:rsidRPr="00D83AEC">
        <w:rPr>
          <w:sz w:val="26"/>
          <w:szCs w:val="26"/>
        </w:rPr>
        <w:t xml:space="preserve">esidential customer using 70 therms of gas per month will experience a 4.49% increase in their monthly bill, rather than a 9% increase as proposed by the Company in its original filing.  </w:t>
      </w:r>
      <w:r>
        <w:rPr>
          <w:sz w:val="26"/>
          <w:szCs w:val="26"/>
        </w:rPr>
        <w:t>Joint Petition at</w:t>
      </w:r>
      <w:r w:rsidRPr="00D83AEC">
        <w:rPr>
          <w:sz w:val="26"/>
          <w:szCs w:val="26"/>
        </w:rPr>
        <w:t xml:space="preserve"> ¶ 23. </w:t>
      </w:r>
      <w:r w:rsidR="001A1F45">
        <w:rPr>
          <w:sz w:val="26"/>
          <w:szCs w:val="26"/>
        </w:rPr>
        <w:t xml:space="preserve"> </w:t>
      </w:r>
      <w:r w:rsidRPr="00D83AEC">
        <w:rPr>
          <w:sz w:val="26"/>
          <w:szCs w:val="26"/>
        </w:rPr>
        <w:t xml:space="preserve">Specifically, the total monthly bill of a typical Residential customer using 70 therms of gas per month would increase from $91.63 to $99.88 under the Company’s </w:t>
      </w:r>
      <w:r w:rsidR="001A1F45">
        <w:rPr>
          <w:sz w:val="26"/>
          <w:szCs w:val="26"/>
        </w:rPr>
        <w:t xml:space="preserve">original </w:t>
      </w:r>
      <w:r w:rsidRPr="00D83AEC">
        <w:rPr>
          <w:sz w:val="26"/>
          <w:szCs w:val="26"/>
        </w:rPr>
        <w:t xml:space="preserve">proposal, whereas the monthly bill of a typical Residential customer using 70 therms of gas per month will increase from $91.63 to $95.74 under the </w:t>
      </w:r>
      <w:r w:rsidR="003857AB">
        <w:rPr>
          <w:sz w:val="26"/>
          <w:szCs w:val="26"/>
        </w:rPr>
        <w:t xml:space="preserve">Partial </w:t>
      </w:r>
      <w:r w:rsidRPr="00D83AEC">
        <w:rPr>
          <w:sz w:val="26"/>
          <w:szCs w:val="26"/>
        </w:rPr>
        <w:t xml:space="preserve">Settlement.  </w:t>
      </w:r>
      <w:r>
        <w:rPr>
          <w:sz w:val="26"/>
          <w:szCs w:val="26"/>
        </w:rPr>
        <w:t>Joint Petition at</w:t>
      </w:r>
      <w:r w:rsidRPr="00D83AEC">
        <w:rPr>
          <w:sz w:val="26"/>
          <w:szCs w:val="26"/>
        </w:rPr>
        <w:t xml:space="preserve"> ¶ 23.</w:t>
      </w:r>
    </w:p>
    <w:p w14:paraId="273CC2A8" w14:textId="77777777" w:rsidR="00E42732" w:rsidRDefault="00E42732" w:rsidP="002E6D96">
      <w:pPr>
        <w:widowControl/>
        <w:spacing w:line="360" w:lineRule="auto"/>
        <w:ind w:firstLine="1440"/>
        <w:rPr>
          <w:sz w:val="26"/>
          <w:szCs w:val="26"/>
        </w:rPr>
      </w:pPr>
    </w:p>
    <w:p w14:paraId="610464D9" w14:textId="42C62ADE" w:rsidR="00E42732" w:rsidRDefault="00E42732" w:rsidP="002E6D96">
      <w:pPr>
        <w:widowControl/>
        <w:spacing w:line="360" w:lineRule="auto"/>
        <w:ind w:firstLine="1440"/>
        <w:rPr>
          <w:sz w:val="26"/>
          <w:szCs w:val="26"/>
        </w:rPr>
      </w:pPr>
      <w:r>
        <w:rPr>
          <w:sz w:val="26"/>
          <w:szCs w:val="26"/>
        </w:rPr>
        <w:t>The compromise position of the Joint Petitioners is illustrated in t</w:t>
      </w:r>
      <w:r w:rsidRPr="00D83AEC">
        <w:rPr>
          <w:sz w:val="26"/>
          <w:szCs w:val="26"/>
        </w:rPr>
        <w:t>he table below</w:t>
      </w:r>
      <w:r w:rsidR="001A1F45">
        <w:rPr>
          <w:sz w:val="26"/>
          <w:szCs w:val="26"/>
        </w:rPr>
        <w:t xml:space="preserve"> that was</w:t>
      </w:r>
      <w:r w:rsidRPr="00D83AEC">
        <w:rPr>
          <w:sz w:val="26"/>
          <w:szCs w:val="26"/>
        </w:rPr>
        <w:t xml:space="preserve"> prepared by </w:t>
      </w:r>
      <w:r w:rsidR="001A1F45">
        <w:rPr>
          <w:sz w:val="26"/>
          <w:szCs w:val="26"/>
        </w:rPr>
        <w:t xml:space="preserve">the </w:t>
      </w:r>
      <w:r w:rsidRPr="00D83AEC">
        <w:rPr>
          <w:sz w:val="26"/>
          <w:szCs w:val="26"/>
        </w:rPr>
        <w:t>OSBA</w:t>
      </w:r>
      <w:r>
        <w:rPr>
          <w:sz w:val="26"/>
          <w:szCs w:val="26"/>
        </w:rPr>
        <w:t>.</w:t>
      </w:r>
      <w:r w:rsidRPr="00D83AEC">
        <w:rPr>
          <w:sz w:val="26"/>
          <w:szCs w:val="26"/>
          <w:vertAlign w:val="superscript"/>
        </w:rPr>
        <w:footnoteReference w:id="6"/>
      </w:r>
      <w:r w:rsidRPr="00D83AEC">
        <w:rPr>
          <w:sz w:val="26"/>
          <w:szCs w:val="26"/>
        </w:rPr>
        <w:t xml:space="preserve"> </w:t>
      </w:r>
      <w:r>
        <w:rPr>
          <w:sz w:val="26"/>
          <w:szCs w:val="26"/>
        </w:rPr>
        <w:t xml:space="preserve"> The illustration </w:t>
      </w:r>
      <w:r w:rsidRPr="00D83AEC">
        <w:rPr>
          <w:sz w:val="26"/>
          <w:szCs w:val="26"/>
        </w:rPr>
        <w:t xml:space="preserve">sets out the </w:t>
      </w:r>
      <w:r>
        <w:rPr>
          <w:sz w:val="26"/>
          <w:szCs w:val="26"/>
        </w:rPr>
        <w:t xml:space="preserve">range of revenue allocation proposals of the </w:t>
      </w:r>
      <w:r w:rsidR="006539BD">
        <w:rPr>
          <w:sz w:val="26"/>
          <w:szCs w:val="26"/>
        </w:rPr>
        <w:t>P</w:t>
      </w:r>
      <w:r w:rsidRPr="00D83AEC">
        <w:rPr>
          <w:sz w:val="26"/>
          <w:szCs w:val="26"/>
        </w:rPr>
        <w:t xml:space="preserve">arties, </w:t>
      </w:r>
      <w:r>
        <w:rPr>
          <w:sz w:val="26"/>
          <w:szCs w:val="26"/>
        </w:rPr>
        <w:t xml:space="preserve">by class </w:t>
      </w:r>
      <w:r w:rsidRPr="00D83AEC">
        <w:rPr>
          <w:sz w:val="26"/>
          <w:szCs w:val="26"/>
        </w:rPr>
        <w:t xml:space="preserve">as a percentage of the overall </w:t>
      </w:r>
      <w:r>
        <w:rPr>
          <w:sz w:val="26"/>
          <w:szCs w:val="26"/>
        </w:rPr>
        <w:t xml:space="preserve">revenue </w:t>
      </w:r>
      <w:r w:rsidRPr="00D83AEC">
        <w:rPr>
          <w:sz w:val="26"/>
          <w:szCs w:val="26"/>
        </w:rPr>
        <w:t>increase. (</w:t>
      </w:r>
      <w:r w:rsidRPr="00D83AEC">
        <w:rPr>
          <w:i/>
          <w:sz w:val="26"/>
          <w:szCs w:val="26"/>
        </w:rPr>
        <w:t>i.e</w:t>
      </w:r>
      <w:r>
        <w:rPr>
          <w:sz w:val="26"/>
          <w:szCs w:val="26"/>
        </w:rPr>
        <w:t xml:space="preserve">., </w:t>
      </w:r>
      <w:r w:rsidRPr="00D83AEC">
        <w:rPr>
          <w:sz w:val="26"/>
          <w:szCs w:val="26"/>
        </w:rPr>
        <w:t xml:space="preserve">if a class </w:t>
      </w:r>
      <w:r>
        <w:rPr>
          <w:sz w:val="26"/>
          <w:szCs w:val="26"/>
        </w:rPr>
        <w:t xml:space="preserve">allocation is </w:t>
      </w:r>
      <w:r w:rsidRPr="00D83AEC">
        <w:rPr>
          <w:sz w:val="26"/>
          <w:szCs w:val="26"/>
        </w:rPr>
        <w:t>$</w:t>
      </w:r>
      <w:r>
        <w:rPr>
          <w:sz w:val="26"/>
          <w:szCs w:val="26"/>
        </w:rPr>
        <w:t>5</w:t>
      </w:r>
      <w:r w:rsidRPr="00D83AEC">
        <w:rPr>
          <w:sz w:val="26"/>
          <w:szCs w:val="26"/>
        </w:rPr>
        <w:t xml:space="preserve"> million of a system-wide $50 million increase, the </w:t>
      </w:r>
      <w:r>
        <w:rPr>
          <w:sz w:val="26"/>
          <w:szCs w:val="26"/>
        </w:rPr>
        <w:t>class allocation</w:t>
      </w:r>
      <w:r w:rsidRPr="00D83AEC">
        <w:rPr>
          <w:sz w:val="26"/>
          <w:szCs w:val="26"/>
        </w:rPr>
        <w:t xml:space="preserve"> </w:t>
      </w:r>
      <w:r>
        <w:rPr>
          <w:sz w:val="26"/>
          <w:szCs w:val="26"/>
        </w:rPr>
        <w:t xml:space="preserve">equals </w:t>
      </w:r>
      <w:r w:rsidR="001A1F45">
        <w:rPr>
          <w:sz w:val="26"/>
          <w:szCs w:val="26"/>
        </w:rPr>
        <w:t>ten</w:t>
      </w:r>
      <w:r w:rsidRPr="00D83AEC">
        <w:rPr>
          <w:sz w:val="26"/>
          <w:szCs w:val="26"/>
        </w:rPr>
        <w:t xml:space="preserve"> percent</w:t>
      </w:r>
      <w:r>
        <w:rPr>
          <w:sz w:val="26"/>
          <w:szCs w:val="26"/>
        </w:rPr>
        <w:t xml:space="preserve"> of total revenue increase</w:t>
      </w:r>
      <w:r w:rsidRPr="00D83AEC">
        <w:rPr>
          <w:sz w:val="26"/>
          <w:szCs w:val="26"/>
        </w:rPr>
        <w:t>)</w:t>
      </w:r>
      <w:r w:rsidR="001A1F45">
        <w:rPr>
          <w:sz w:val="26"/>
          <w:szCs w:val="26"/>
        </w:rPr>
        <w:t>.</w:t>
      </w:r>
      <w:r w:rsidRPr="00D83AEC">
        <w:rPr>
          <w:sz w:val="26"/>
          <w:szCs w:val="26"/>
        </w:rPr>
        <w:t xml:space="preserve">  The table also includes </w:t>
      </w:r>
      <w:r w:rsidRPr="00D83AEC">
        <w:rPr>
          <w:sz w:val="26"/>
          <w:szCs w:val="26"/>
        </w:rPr>
        <w:lastRenderedPageBreak/>
        <w:t>the Joint Petition</w:t>
      </w:r>
      <w:r>
        <w:rPr>
          <w:sz w:val="26"/>
          <w:szCs w:val="26"/>
        </w:rPr>
        <w:t xml:space="preserve">er’s stipulated </w:t>
      </w:r>
      <w:r w:rsidRPr="00D83AEC">
        <w:rPr>
          <w:sz w:val="26"/>
          <w:szCs w:val="26"/>
        </w:rPr>
        <w:t xml:space="preserve">revenue allocation.  As </w:t>
      </w:r>
      <w:r>
        <w:rPr>
          <w:sz w:val="26"/>
          <w:szCs w:val="26"/>
        </w:rPr>
        <w:t>illustrated</w:t>
      </w:r>
      <w:r w:rsidRPr="00D83AEC">
        <w:rPr>
          <w:sz w:val="26"/>
          <w:szCs w:val="26"/>
        </w:rPr>
        <w:t>, the Joint Petition</w:t>
      </w:r>
      <w:r>
        <w:rPr>
          <w:sz w:val="26"/>
          <w:szCs w:val="26"/>
        </w:rPr>
        <w:t xml:space="preserve">er’s stipulated </w:t>
      </w:r>
      <w:r w:rsidRPr="00D83AEC">
        <w:rPr>
          <w:sz w:val="26"/>
          <w:szCs w:val="26"/>
        </w:rPr>
        <w:t xml:space="preserve">revenue allocation lies within the range of the </w:t>
      </w:r>
      <w:r>
        <w:rPr>
          <w:sz w:val="26"/>
          <w:szCs w:val="26"/>
        </w:rPr>
        <w:t>proposals put forth by</w:t>
      </w:r>
      <w:r w:rsidRPr="00D83AEC">
        <w:rPr>
          <w:sz w:val="26"/>
          <w:szCs w:val="26"/>
        </w:rPr>
        <w:t xml:space="preserve"> the </w:t>
      </w:r>
      <w:r w:rsidR="006539BD">
        <w:rPr>
          <w:sz w:val="26"/>
          <w:szCs w:val="26"/>
        </w:rPr>
        <w:t>P</w:t>
      </w:r>
      <w:r w:rsidRPr="00D83AEC">
        <w:rPr>
          <w:sz w:val="26"/>
          <w:szCs w:val="26"/>
        </w:rPr>
        <w:t>arties.</w:t>
      </w:r>
    </w:p>
    <w:p w14:paraId="009DC40F" w14:textId="77777777" w:rsidR="00E42732" w:rsidRPr="00D83AEC" w:rsidRDefault="00E42732" w:rsidP="002E6D96">
      <w:pPr>
        <w:widowControl/>
        <w:spacing w:line="360" w:lineRule="auto"/>
        <w:ind w:firstLine="1440"/>
        <w:rPr>
          <w:sz w:val="26"/>
          <w:szCs w:val="26"/>
        </w:rPr>
      </w:pPr>
    </w:p>
    <w:tbl>
      <w:tblPr>
        <w:tblStyle w:val="TableGrid0"/>
        <w:tblW w:w="9362" w:type="dxa"/>
        <w:tblInd w:w="118" w:type="dxa"/>
        <w:tblCellMar>
          <w:top w:w="62" w:type="dxa"/>
          <w:left w:w="108" w:type="dxa"/>
          <w:right w:w="48" w:type="dxa"/>
        </w:tblCellMar>
        <w:tblLook w:val="04A0" w:firstRow="1" w:lastRow="0" w:firstColumn="1" w:lastColumn="0" w:noHBand="0" w:noVBand="1"/>
      </w:tblPr>
      <w:tblGrid>
        <w:gridCol w:w="1901"/>
        <w:gridCol w:w="1004"/>
        <w:gridCol w:w="955"/>
        <w:gridCol w:w="955"/>
        <w:gridCol w:w="939"/>
        <w:gridCol w:w="1337"/>
        <w:gridCol w:w="1364"/>
        <w:gridCol w:w="907"/>
      </w:tblGrid>
      <w:tr w:rsidR="00E42732" w:rsidRPr="00D83AEC" w14:paraId="62F15AF0" w14:textId="77777777" w:rsidTr="000803B8">
        <w:trPr>
          <w:trHeight w:val="286"/>
        </w:trPr>
        <w:tc>
          <w:tcPr>
            <w:tcW w:w="1901" w:type="dxa"/>
            <w:tcBorders>
              <w:top w:val="single" w:sz="4" w:space="0" w:color="000000"/>
              <w:left w:val="single" w:sz="4" w:space="0" w:color="000000"/>
              <w:bottom w:val="single" w:sz="4" w:space="0" w:color="000000"/>
              <w:right w:val="nil"/>
            </w:tcBorders>
          </w:tcPr>
          <w:p w14:paraId="3F772427" w14:textId="77777777" w:rsidR="00E42732" w:rsidRPr="00D83AEC" w:rsidRDefault="00E42732" w:rsidP="002E6D96">
            <w:pPr>
              <w:widowControl/>
              <w:spacing w:after="160" w:line="259" w:lineRule="auto"/>
            </w:pPr>
          </w:p>
        </w:tc>
        <w:tc>
          <w:tcPr>
            <w:tcW w:w="6554" w:type="dxa"/>
            <w:gridSpan w:val="6"/>
            <w:tcBorders>
              <w:top w:val="single" w:sz="4" w:space="0" w:color="000000"/>
              <w:left w:val="nil"/>
              <w:bottom w:val="single" w:sz="4" w:space="0" w:color="000000"/>
              <w:right w:val="nil"/>
            </w:tcBorders>
          </w:tcPr>
          <w:p w14:paraId="58B2C88E" w14:textId="77777777" w:rsidR="00E42732" w:rsidRPr="00D83AEC" w:rsidRDefault="001A1F45" w:rsidP="002E6D96">
            <w:pPr>
              <w:widowControl/>
              <w:spacing w:line="259" w:lineRule="auto"/>
              <w:ind w:left="350"/>
            </w:pPr>
            <w:r>
              <w:rPr>
                <w:b/>
              </w:rPr>
              <w:t xml:space="preserve">         </w:t>
            </w:r>
            <w:r w:rsidR="00E42732" w:rsidRPr="00D83AEC">
              <w:rPr>
                <w:b/>
              </w:rPr>
              <w:t xml:space="preserve">Comparison of Revenue Allocation Proposals </w:t>
            </w:r>
          </w:p>
        </w:tc>
        <w:tc>
          <w:tcPr>
            <w:tcW w:w="907" w:type="dxa"/>
            <w:tcBorders>
              <w:top w:val="single" w:sz="4" w:space="0" w:color="000000"/>
              <w:left w:val="nil"/>
              <w:bottom w:val="single" w:sz="4" w:space="0" w:color="000000"/>
              <w:right w:val="single" w:sz="4" w:space="0" w:color="000000"/>
            </w:tcBorders>
          </w:tcPr>
          <w:p w14:paraId="5DC4D377" w14:textId="77777777" w:rsidR="00E42732" w:rsidRPr="00D83AEC" w:rsidRDefault="00E42732" w:rsidP="002E6D96">
            <w:pPr>
              <w:widowControl/>
              <w:spacing w:after="160" w:line="259" w:lineRule="auto"/>
            </w:pPr>
          </w:p>
        </w:tc>
      </w:tr>
      <w:tr w:rsidR="00E42732" w:rsidRPr="00D83AEC" w14:paraId="2624F65E" w14:textId="77777777" w:rsidTr="000803B8">
        <w:trPr>
          <w:trHeight w:val="286"/>
        </w:trPr>
        <w:tc>
          <w:tcPr>
            <w:tcW w:w="1901" w:type="dxa"/>
            <w:tcBorders>
              <w:top w:val="single" w:sz="4" w:space="0" w:color="000000"/>
              <w:left w:val="single" w:sz="4" w:space="0" w:color="000000"/>
              <w:bottom w:val="single" w:sz="4" w:space="0" w:color="000000"/>
              <w:right w:val="single" w:sz="4" w:space="0" w:color="000000"/>
            </w:tcBorders>
          </w:tcPr>
          <w:p w14:paraId="603A99CE" w14:textId="77777777" w:rsidR="00E42732" w:rsidRPr="00D83AEC" w:rsidRDefault="00E42732" w:rsidP="002E6D96">
            <w:pPr>
              <w:widowControl/>
              <w:spacing w:line="259" w:lineRule="auto"/>
            </w:pPr>
            <w:r w:rsidRPr="00D83AEC">
              <w:rPr>
                <w:b/>
              </w:rPr>
              <w:t xml:space="preserve"> </w:t>
            </w:r>
          </w:p>
        </w:tc>
        <w:tc>
          <w:tcPr>
            <w:tcW w:w="1004" w:type="dxa"/>
            <w:tcBorders>
              <w:top w:val="single" w:sz="4" w:space="0" w:color="000000"/>
              <w:left w:val="single" w:sz="4" w:space="0" w:color="000000"/>
              <w:bottom w:val="single" w:sz="4" w:space="0" w:color="000000"/>
              <w:right w:val="single" w:sz="4" w:space="0" w:color="000000"/>
            </w:tcBorders>
          </w:tcPr>
          <w:p w14:paraId="432B4DE6" w14:textId="77777777" w:rsidR="00E42732" w:rsidRPr="00D83AEC" w:rsidRDefault="00E42732" w:rsidP="002E6D96">
            <w:pPr>
              <w:widowControl/>
              <w:spacing w:line="259" w:lineRule="auto"/>
              <w:ind w:right="61"/>
              <w:jc w:val="center"/>
            </w:pPr>
            <w:r w:rsidRPr="00D83AEC">
              <w:rPr>
                <w:b/>
              </w:rPr>
              <w:t xml:space="preserve">Total </w:t>
            </w:r>
          </w:p>
        </w:tc>
        <w:tc>
          <w:tcPr>
            <w:tcW w:w="955" w:type="dxa"/>
            <w:tcBorders>
              <w:top w:val="single" w:sz="4" w:space="0" w:color="000000"/>
              <w:left w:val="single" w:sz="4" w:space="0" w:color="000000"/>
              <w:bottom w:val="single" w:sz="4" w:space="0" w:color="000000"/>
              <w:right w:val="single" w:sz="4" w:space="0" w:color="000000"/>
            </w:tcBorders>
          </w:tcPr>
          <w:p w14:paraId="6F585721" w14:textId="77777777" w:rsidR="00E42732" w:rsidRPr="00D83AEC" w:rsidRDefault="00E42732" w:rsidP="002E6D96">
            <w:pPr>
              <w:widowControl/>
              <w:spacing w:line="259" w:lineRule="auto"/>
              <w:ind w:right="60"/>
              <w:jc w:val="center"/>
            </w:pPr>
            <w:r w:rsidRPr="00D83AEC">
              <w:rPr>
                <w:b/>
              </w:rPr>
              <w:t xml:space="preserve">R </w:t>
            </w:r>
          </w:p>
        </w:tc>
        <w:tc>
          <w:tcPr>
            <w:tcW w:w="955" w:type="dxa"/>
            <w:tcBorders>
              <w:top w:val="single" w:sz="4" w:space="0" w:color="000000"/>
              <w:left w:val="single" w:sz="4" w:space="0" w:color="000000"/>
              <w:bottom w:val="single" w:sz="4" w:space="0" w:color="000000"/>
              <w:right w:val="single" w:sz="4" w:space="0" w:color="000000"/>
            </w:tcBorders>
          </w:tcPr>
          <w:p w14:paraId="2B138061" w14:textId="77777777" w:rsidR="00E42732" w:rsidRPr="00D83AEC" w:rsidRDefault="00E42732" w:rsidP="002E6D96">
            <w:pPr>
              <w:widowControl/>
              <w:spacing w:line="259" w:lineRule="auto"/>
              <w:ind w:left="82"/>
            </w:pPr>
            <w:r w:rsidRPr="00D83AEC">
              <w:rPr>
                <w:b/>
              </w:rPr>
              <w:t xml:space="preserve">SGS1 </w:t>
            </w:r>
          </w:p>
        </w:tc>
        <w:tc>
          <w:tcPr>
            <w:tcW w:w="939" w:type="dxa"/>
            <w:tcBorders>
              <w:top w:val="single" w:sz="4" w:space="0" w:color="000000"/>
              <w:left w:val="single" w:sz="4" w:space="0" w:color="000000"/>
              <w:bottom w:val="single" w:sz="4" w:space="0" w:color="000000"/>
              <w:right w:val="single" w:sz="4" w:space="0" w:color="000000"/>
            </w:tcBorders>
          </w:tcPr>
          <w:p w14:paraId="2630D897" w14:textId="77777777" w:rsidR="00E42732" w:rsidRPr="00D83AEC" w:rsidRDefault="00E42732" w:rsidP="002E6D96">
            <w:pPr>
              <w:widowControl/>
              <w:spacing w:line="259" w:lineRule="auto"/>
              <w:ind w:left="74"/>
            </w:pPr>
            <w:r w:rsidRPr="00D83AEC">
              <w:rPr>
                <w:b/>
              </w:rPr>
              <w:t xml:space="preserve">SGS2 </w:t>
            </w:r>
          </w:p>
        </w:tc>
        <w:tc>
          <w:tcPr>
            <w:tcW w:w="1337" w:type="dxa"/>
            <w:tcBorders>
              <w:top w:val="single" w:sz="4" w:space="0" w:color="000000"/>
              <w:left w:val="single" w:sz="4" w:space="0" w:color="000000"/>
              <w:bottom w:val="single" w:sz="4" w:space="0" w:color="000000"/>
              <w:right w:val="single" w:sz="4" w:space="0" w:color="000000"/>
            </w:tcBorders>
          </w:tcPr>
          <w:p w14:paraId="3AF1DA0B" w14:textId="77777777" w:rsidR="00E42732" w:rsidRPr="00D83AEC" w:rsidRDefault="00E42732" w:rsidP="002E6D96">
            <w:pPr>
              <w:widowControl/>
              <w:spacing w:line="259" w:lineRule="auto"/>
              <w:jc w:val="both"/>
            </w:pPr>
            <w:r w:rsidRPr="00D83AEC">
              <w:rPr>
                <w:b/>
              </w:rPr>
              <w:t xml:space="preserve">SDS/LGSS </w:t>
            </w:r>
          </w:p>
        </w:tc>
        <w:tc>
          <w:tcPr>
            <w:tcW w:w="1364" w:type="dxa"/>
            <w:tcBorders>
              <w:top w:val="single" w:sz="4" w:space="0" w:color="000000"/>
              <w:left w:val="single" w:sz="4" w:space="0" w:color="000000"/>
              <w:bottom w:val="single" w:sz="4" w:space="0" w:color="000000"/>
              <w:right w:val="single" w:sz="4" w:space="0" w:color="000000"/>
            </w:tcBorders>
          </w:tcPr>
          <w:p w14:paraId="6B46B2E2" w14:textId="77777777" w:rsidR="00E42732" w:rsidRPr="00D83AEC" w:rsidRDefault="00E42732" w:rsidP="002E6D96">
            <w:pPr>
              <w:widowControl/>
              <w:spacing w:line="259" w:lineRule="auto"/>
              <w:jc w:val="both"/>
            </w:pPr>
            <w:r w:rsidRPr="00D83AEC">
              <w:rPr>
                <w:b/>
              </w:rPr>
              <w:t xml:space="preserve">LDS/LGSS </w:t>
            </w:r>
          </w:p>
        </w:tc>
        <w:tc>
          <w:tcPr>
            <w:tcW w:w="907" w:type="dxa"/>
            <w:tcBorders>
              <w:top w:val="single" w:sz="4" w:space="0" w:color="000000"/>
              <w:left w:val="single" w:sz="4" w:space="0" w:color="000000"/>
              <w:bottom w:val="single" w:sz="4" w:space="0" w:color="000000"/>
              <w:right w:val="single" w:sz="4" w:space="0" w:color="000000"/>
            </w:tcBorders>
          </w:tcPr>
          <w:p w14:paraId="12496E9B" w14:textId="77777777" w:rsidR="00E42732" w:rsidRPr="00D83AEC" w:rsidRDefault="00E42732" w:rsidP="002E6D96">
            <w:pPr>
              <w:widowControl/>
              <w:spacing w:line="259" w:lineRule="auto"/>
              <w:ind w:left="79"/>
            </w:pPr>
            <w:r w:rsidRPr="00D83AEC">
              <w:rPr>
                <w:b/>
              </w:rPr>
              <w:t xml:space="preserve">MDS </w:t>
            </w:r>
          </w:p>
        </w:tc>
      </w:tr>
      <w:tr w:rsidR="00E42732" w:rsidRPr="00D83AEC" w14:paraId="392269CD" w14:textId="77777777" w:rsidTr="000803B8">
        <w:trPr>
          <w:trHeight w:val="562"/>
        </w:trPr>
        <w:tc>
          <w:tcPr>
            <w:tcW w:w="1901" w:type="dxa"/>
            <w:tcBorders>
              <w:top w:val="single" w:sz="4" w:space="0" w:color="000000"/>
              <w:left w:val="single" w:sz="4" w:space="0" w:color="000000"/>
              <w:bottom w:val="single" w:sz="4" w:space="0" w:color="000000"/>
              <w:right w:val="single" w:sz="4" w:space="0" w:color="000000"/>
            </w:tcBorders>
          </w:tcPr>
          <w:p w14:paraId="730C479E" w14:textId="77777777" w:rsidR="00E42732" w:rsidRPr="00D83AEC" w:rsidRDefault="00E42732" w:rsidP="002E6D96">
            <w:pPr>
              <w:widowControl/>
              <w:spacing w:line="259" w:lineRule="auto"/>
            </w:pPr>
            <w:r w:rsidRPr="00D83AEC">
              <w:t xml:space="preserve">Company </w:t>
            </w:r>
          </w:p>
          <w:p w14:paraId="39245F93" w14:textId="77777777" w:rsidR="00E42732" w:rsidRPr="00D83AEC" w:rsidRDefault="00E42732" w:rsidP="002E6D96">
            <w:pPr>
              <w:widowControl/>
              <w:spacing w:line="259" w:lineRule="auto"/>
            </w:pPr>
            <w:r w:rsidRPr="00D83AEC">
              <w:t xml:space="preserve">Proposal </w:t>
            </w:r>
          </w:p>
        </w:tc>
        <w:tc>
          <w:tcPr>
            <w:tcW w:w="1004" w:type="dxa"/>
            <w:tcBorders>
              <w:top w:val="single" w:sz="4" w:space="0" w:color="000000"/>
              <w:left w:val="single" w:sz="4" w:space="0" w:color="000000"/>
              <w:bottom w:val="single" w:sz="4" w:space="0" w:color="000000"/>
              <w:right w:val="single" w:sz="4" w:space="0" w:color="000000"/>
            </w:tcBorders>
            <w:vAlign w:val="center"/>
          </w:tcPr>
          <w:p w14:paraId="437368E3" w14:textId="77777777" w:rsidR="00E42732" w:rsidRPr="00D83AEC" w:rsidRDefault="00E42732" w:rsidP="002E6D96">
            <w:pPr>
              <w:widowControl/>
              <w:spacing w:line="259" w:lineRule="auto"/>
              <w:ind w:left="24"/>
            </w:pPr>
            <w:r w:rsidRPr="00D83AEC">
              <w:t xml:space="preserve">100.0% </w:t>
            </w:r>
          </w:p>
        </w:tc>
        <w:tc>
          <w:tcPr>
            <w:tcW w:w="955" w:type="dxa"/>
            <w:tcBorders>
              <w:top w:val="single" w:sz="4" w:space="0" w:color="000000"/>
              <w:left w:val="single" w:sz="4" w:space="0" w:color="000000"/>
              <w:bottom w:val="single" w:sz="4" w:space="0" w:color="000000"/>
              <w:right w:val="single" w:sz="4" w:space="0" w:color="000000"/>
            </w:tcBorders>
            <w:vAlign w:val="center"/>
          </w:tcPr>
          <w:p w14:paraId="3D8BA82D" w14:textId="77777777" w:rsidR="00E42732" w:rsidRPr="00D83AEC" w:rsidRDefault="00E42732" w:rsidP="002E6D96">
            <w:pPr>
              <w:widowControl/>
              <w:spacing w:line="259" w:lineRule="auto"/>
              <w:ind w:left="60"/>
            </w:pPr>
            <w:r w:rsidRPr="00D83AEC">
              <w:t xml:space="preserve">80.3% </w:t>
            </w:r>
          </w:p>
        </w:tc>
        <w:tc>
          <w:tcPr>
            <w:tcW w:w="955" w:type="dxa"/>
            <w:tcBorders>
              <w:top w:val="single" w:sz="4" w:space="0" w:color="000000"/>
              <w:left w:val="single" w:sz="4" w:space="0" w:color="000000"/>
              <w:bottom w:val="single" w:sz="4" w:space="0" w:color="000000"/>
              <w:right w:val="single" w:sz="4" w:space="0" w:color="000000"/>
            </w:tcBorders>
            <w:vAlign w:val="center"/>
          </w:tcPr>
          <w:p w14:paraId="31BFACC7" w14:textId="77777777" w:rsidR="00E42732" w:rsidRPr="00D83AEC" w:rsidRDefault="00E42732" w:rsidP="002E6D96">
            <w:pPr>
              <w:widowControl/>
              <w:spacing w:line="259" w:lineRule="auto"/>
              <w:ind w:right="59"/>
              <w:jc w:val="center"/>
            </w:pPr>
            <w:r w:rsidRPr="00D83AEC">
              <w:t xml:space="preserve">5.1% </w:t>
            </w:r>
          </w:p>
        </w:tc>
        <w:tc>
          <w:tcPr>
            <w:tcW w:w="939" w:type="dxa"/>
            <w:tcBorders>
              <w:top w:val="single" w:sz="4" w:space="0" w:color="000000"/>
              <w:left w:val="single" w:sz="4" w:space="0" w:color="000000"/>
              <w:bottom w:val="single" w:sz="4" w:space="0" w:color="000000"/>
              <w:right w:val="single" w:sz="4" w:space="0" w:color="000000"/>
            </w:tcBorders>
            <w:vAlign w:val="center"/>
          </w:tcPr>
          <w:p w14:paraId="21540D63" w14:textId="77777777" w:rsidR="00E42732" w:rsidRPr="00D83AEC" w:rsidRDefault="00E42732" w:rsidP="002E6D96">
            <w:pPr>
              <w:widowControl/>
              <w:spacing w:line="259" w:lineRule="auto"/>
              <w:ind w:left="110"/>
            </w:pPr>
            <w:r w:rsidRPr="00D83AEC">
              <w:t xml:space="preserve">4.6% </w:t>
            </w:r>
          </w:p>
        </w:tc>
        <w:tc>
          <w:tcPr>
            <w:tcW w:w="1337" w:type="dxa"/>
            <w:tcBorders>
              <w:top w:val="single" w:sz="4" w:space="0" w:color="000000"/>
              <w:left w:val="single" w:sz="4" w:space="0" w:color="000000"/>
              <w:bottom w:val="single" w:sz="4" w:space="0" w:color="000000"/>
              <w:right w:val="single" w:sz="4" w:space="0" w:color="000000"/>
            </w:tcBorders>
            <w:vAlign w:val="center"/>
          </w:tcPr>
          <w:p w14:paraId="30924032" w14:textId="77777777" w:rsidR="00E42732" w:rsidRPr="00D83AEC" w:rsidRDefault="00E42732" w:rsidP="002E6D96">
            <w:pPr>
              <w:widowControl/>
              <w:spacing w:line="259" w:lineRule="auto"/>
              <w:ind w:right="62"/>
              <w:jc w:val="center"/>
            </w:pPr>
            <w:r w:rsidRPr="00D83AEC">
              <w:t xml:space="preserve">5.3% </w:t>
            </w:r>
          </w:p>
        </w:tc>
        <w:tc>
          <w:tcPr>
            <w:tcW w:w="1364" w:type="dxa"/>
            <w:tcBorders>
              <w:top w:val="single" w:sz="4" w:space="0" w:color="000000"/>
              <w:left w:val="single" w:sz="4" w:space="0" w:color="000000"/>
              <w:bottom w:val="single" w:sz="4" w:space="0" w:color="000000"/>
              <w:right w:val="single" w:sz="4" w:space="0" w:color="000000"/>
            </w:tcBorders>
            <w:vAlign w:val="center"/>
          </w:tcPr>
          <w:p w14:paraId="75B57E99" w14:textId="77777777" w:rsidR="00E42732" w:rsidRPr="00D83AEC" w:rsidRDefault="00E42732" w:rsidP="002E6D96">
            <w:pPr>
              <w:widowControl/>
              <w:spacing w:line="259" w:lineRule="auto"/>
              <w:ind w:right="60"/>
              <w:jc w:val="center"/>
            </w:pPr>
            <w:r w:rsidRPr="00D83AEC">
              <w:t xml:space="preserve">4.5% </w:t>
            </w:r>
          </w:p>
        </w:tc>
        <w:tc>
          <w:tcPr>
            <w:tcW w:w="907" w:type="dxa"/>
            <w:tcBorders>
              <w:top w:val="single" w:sz="4" w:space="0" w:color="000000"/>
              <w:left w:val="single" w:sz="4" w:space="0" w:color="000000"/>
              <w:bottom w:val="single" w:sz="4" w:space="0" w:color="000000"/>
              <w:right w:val="single" w:sz="4" w:space="0" w:color="000000"/>
            </w:tcBorders>
            <w:vAlign w:val="center"/>
          </w:tcPr>
          <w:p w14:paraId="4EC6BBE0" w14:textId="77777777" w:rsidR="00E42732" w:rsidRPr="00D83AEC" w:rsidRDefault="00E42732" w:rsidP="002E6D96">
            <w:pPr>
              <w:widowControl/>
              <w:spacing w:line="259" w:lineRule="auto"/>
              <w:ind w:left="96"/>
            </w:pPr>
            <w:r w:rsidRPr="00D83AEC">
              <w:t xml:space="preserve">0.1% </w:t>
            </w:r>
          </w:p>
        </w:tc>
      </w:tr>
      <w:tr w:rsidR="00E42732" w:rsidRPr="00D83AEC" w14:paraId="5FBCEC92" w14:textId="77777777" w:rsidTr="000803B8">
        <w:trPr>
          <w:trHeight w:val="288"/>
        </w:trPr>
        <w:tc>
          <w:tcPr>
            <w:tcW w:w="1901" w:type="dxa"/>
            <w:tcBorders>
              <w:top w:val="single" w:sz="4" w:space="0" w:color="000000"/>
              <w:left w:val="single" w:sz="4" w:space="0" w:color="000000"/>
              <w:bottom w:val="single" w:sz="4" w:space="0" w:color="000000"/>
              <w:right w:val="single" w:sz="4" w:space="0" w:color="000000"/>
            </w:tcBorders>
          </w:tcPr>
          <w:p w14:paraId="7841A6C0" w14:textId="77777777" w:rsidR="00E42732" w:rsidRPr="00D83AEC" w:rsidRDefault="00E42732" w:rsidP="002E6D96">
            <w:pPr>
              <w:widowControl/>
              <w:spacing w:line="259" w:lineRule="auto"/>
            </w:pPr>
            <w:r w:rsidRPr="00D83AEC">
              <w:t xml:space="preserve">OSBA Proposal </w:t>
            </w:r>
          </w:p>
        </w:tc>
        <w:tc>
          <w:tcPr>
            <w:tcW w:w="1004" w:type="dxa"/>
            <w:tcBorders>
              <w:top w:val="single" w:sz="4" w:space="0" w:color="000000"/>
              <w:left w:val="single" w:sz="4" w:space="0" w:color="000000"/>
              <w:bottom w:val="single" w:sz="4" w:space="0" w:color="000000"/>
              <w:right w:val="single" w:sz="4" w:space="0" w:color="000000"/>
            </w:tcBorders>
          </w:tcPr>
          <w:p w14:paraId="09A70652" w14:textId="77777777" w:rsidR="00E42732" w:rsidRPr="00D83AEC" w:rsidRDefault="00E42732" w:rsidP="002E6D96">
            <w:pPr>
              <w:widowControl/>
              <w:spacing w:line="259" w:lineRule="auto"/>
              <w:ind w:left="24"/>
            </w:pPr>
            <w:r w:rsidRPr="00D83AEC">
              <w:t xml:space="preserve">100.0% </w:t>
            </w:r>
          </w:p>
        </w:tc>
        <w:tc>
          <w:tcPr>
            <w:tcW w:w="955" w:type="dxa"/>
            <w:tcBorders>
              <w:top w:val="single" w:sz="4" w:space="0" w:color="000000"/>
              <w:left w:val="single" w:sz="4" w:space="0" w:color="000000"/>
              <w:bottom w:val="single" w:sz="4" w:space="0" w:color="000000"/>
              <w:right w:val="single" w:sz="4" w:space="0" w:color="000000"/>
            </w:tcBorders>
          </w:tcPr>
          <w:p w14:paraId="67AA20EC" w14:textId="77777777" w:rsidR="00E42732" w:rsidRPr="00D83AEC" w:rsidRDefault="00E42732" w:rsidP="002E6D96">
            <w:pPr>
              <w:widowControl/>
              <w:spacing w:line="259" w:lineRule="auto"/>
              <w:ind w:left="60"/>
            </w:pPr>
            <w:r w:rsidRPr="00D83AEC">
              <w:t xml:space="preserve">78.7% </w:t>
            </w:r>
          </w:p>
        </w:tc>
        <w:tc>
          <w:tcPr>
            <w:tcW w:w="955" w:type="dxa"/>
            <w:tcBorders>
              <w:top w:val="single" w:sz="4" w:space="0" w:color="000000"/>
              <w:left w:val="single" w:sz="4" w:space="0" w:color="000000"/>
              <w:bottom w:val="single" w:sz="4" w:space="0" w:color="000000"/>
              <w:right w:val="single" w:sz="4" w:space="0" w:color="000000"/>
            </w:tcBorders>
          </w:tcPr>
          <w:p w14:paraId="04BDF33A" w14:textId="77777777" w:rsidR="00E42732" w:rsidRPr="00D83AEC" w:rsidRDefault="00E42732" w:rsidP="002E6D96">
            <w:pPr>
              <w:widowControl/>
              <w:spacing w:line="259" w:lineRule="auto"/>
              <w:ind w:right="59"/>
              <w:jc w:val="center"/>
            </w:pPr>
            <w:r w:rsidRPr="00D83AEC">
              <w:t xml:space="preserve">7.6% </w:t>
            </w:r>
          </w:p>
        </w:tc>
        <w:tc>
          <w:tcPr>
            <w:tcW w:w="939" w:type="dxa"/>
            <w:tcBorders>
              <w:top w:val="single" w:sz="4" w:space="0" w:color="000000"/>
              <w:left w:val="single" w:sz="4" w:space="0" w:color="000000"/>
              <w:bottom w:val="single" w:sz="4" w:space="0" w:color="000000"/>
              <w:right w:val="single" w:sz="4" w:space="0" w:color="000000"/>
            </w:tcBorders>
          </w:tcPr>
          <w:p w14:paraId="0628A45B" w14:textId="77777777" w:rsidR="00E42732" w:rsidRPr="00D83AEC" w:rsidRDefault="00E42732" w:rsidP="002E6D96">
            <w:pPr>
              <w:widowControl/>
              <w:spacing w:line="259" w:lineRule="auto"/>
              <w:ind w:left="110"/>
            </w:pPr>
            <w:r w:rsidRPr="00D83AEC">
              <w:t xml:space="preserve">0.0% </w:t>
            </w:r>
          </w:p>
        </w:tc>
        <w:tc>
          <w:tcPr>
            <w:tcW w:w="1337" w:type="dxa"/>
            <w:tcBorders>
              <w:top w:val="single" w:sz="4" w:space="0" w:color="000000"/>
              <w:left w:val="single" w:sz="4" w:space="0" w:color="000000"/>
              <w:bottom w:val="single" w:sz="4" w:space="0" w:color="000000"/>
              <w:right w:val="single" w:sz="4" w:space="0" w:color="000000"/>
            </w:tcBorders>
          </w:tcPr>
          <w:p w14:paraId="6035F7F2" w14:textId="77777777" w:rsidR="00E42732" w:rsidRPr="00D83AEC" w:rsidRDefault="00E42732" w:rsidP="002E6D96">
            <w:pPr>
              <w:widowControl/>
              <w:spacing w:line="259" w:lineRule="auto"/>
              <w:ind w:right="62"/>
              <w:jc w:val="center"/>
            </w:pPr>
            <w:r w:rsidRPr="00D83AEC">
              <w:t xml:space="preserve">6.9% </w:t>
            </w:r>
          </w:p>
        </w:tc>
        <w:tc>
          <w:tcPr>
            <w:tcW w:w="1364" w:type="dxa"/>
            <w:tcBorders>
              <w:top w:val="single" w:sz="4" w:space="0" w:color="000000"/>
              <w:left w:val="single" w:sz="4" w:space="0" w:color="000000"/>
              <w:bottom w:val="single" w:sz="4" w:space="0" w:color="000000"/>
              <w:right w:val="single" w:sz="4" w:space="0" w:color="000000"/>
            </w:tcBorders>
          </w:tcPr>
          <w:p w14:paraId="1175E44C" w14:textId="77777777" w:rsidR="00E42732" w:rsidRPr="00D83AEC" w:rsidRDefault="00E42732" w:rsidP="002E6D96">
            <w:pPr>
              <w:widowControl/>
              <w:spacing w:line="259" w:lineRule="auto"/>
              <w:ind w:right="60"/>
              <w:jc w:val="center"/>
            </w:pPr>
            <w:r w:rsidRPr="00D83AEC">
              <w:t xml:space="preserve">6.8% </w:t>
            </w:r>
          </w:p>
        </w:tc>
        <w:tc>
          <w:tcPr>
            <w:tcW w:w="907" w:type="dxa"/>
            <w:tcBorders>
              <w:top w:val="single" w:sz="4" w:space="0" w:color="000000"/>
              <w:left w:val="single" w:sz="4" w:space="0" w:color="000000"/>
              <w:bottom w:val="single" w:sz="4" w:space="0" w:color="000000"/>
              <w:right w:val="single" w:sz="4" w:space="0" w:color="000000"/>
            </w:tcBorders>
          </w:tcPr>
          <w:p w14:paraId="72C3E1DE" w14:textId="77777777" w:rsidR="00E42732" w:rsidRPr="00D83AEC" w:rsidRDefault="00E42732" w:rsidP="002E6D96">
            <w:pPr>
              <w:widowControl/>
              <w:spacing w:line="259" w:lineRule="auto"/>
              <w:ind w:left="96"/>
            </w:pPr>
            <w:r w:rsidRPr="00D83AEC">
              <w:t xml:space="preserve">0.0% </w:t>
            </w:r>
          </w:p>
        </w:tc>
      </w:tr>
      <w:tr w:rsidR="00E42732" w:rsidRPr="00D83AEC" w14:paraId="365F63E7" w14:textId="77777777" w:rsidTr="000803B8">
        <w:trPr>
          <w:trHeight w:val="562"/>
        </w:trPr>
        <w:tc>
          <w:tcPr>
            <w:tcW w:w="1901" w:type="dxa"/>
            <w:tcBorders>
              <w:top w:val="single" w:sz="4" w:space="0" w:color="000000"/>
              <w:left w:val="single" w:sz="4" w:space="0" w:color="000000"/>
              <w:bottom w:val="single" w:sz="4" w:space="0" w:color="000000"/>
              <w:right w:val="single" w:sz="4" w:space="0" w:color="000000"/>
            </w:tcBorders>
          </w:tcPr>
          <w:p w14:paraId="6DCC7EAB" w14:textId="77777777" w:rsidR="00E42732" w:rsidRPr="00D83AEC" w:rsidRDefault="00E42732" w:rsidP="002E6D96">
            <w:pPr>
              <w:widowControl/>
              <w:spacing w:line="259" w:lineRule="auto"/>
            </w:pPr>
            <w:r w:rsidRPr="00D83AEC">
              <w:t xml:space="preserve">OSBA 50/50 </w:t>
            </w:r>
          </w:p>
          <w:p w14:paraId="592459F6" w14:textId="77777777" w:rsidR="00E42732" w:rsidRPr="00D83AEC" w:rsidRDefault="00E42732" w:rsidP="002E6D96">
            <w:pPr>
              <w:widowControl/>
              <w:spacing w:line="259" w:lineRule="auto"/>
            </w:pPr>
            <w:r w:rsidRPr="00D83AEC">
              <w:t xml:space="preserve">Alternative </w:t>
            </w:r>
          </w:p>
        </w:tc>
        <w:tc>
          <w:tcPr>
            <w:tcW w:w="1004" w:type="dxa"/>
            <w:tcBorders>
              <w:top w:val="single" w:sz="4" w:space="0" w:color="000000"/>
              <w:left w:val="single" w:sz="4" w:space="0" w:color="000000"/>
              <w:bottom w:val="single" w:sz="4" w:space="0" w:color="000000"/>
              <w:right w:val="single" w:sz="4" w:space="0" w:color="000000"/>
            </w:tcBorders>
            <w:vAlign w:val="center"/>
          </w:tcPr>
          <w:p w14:paraId="629C0550" w14:textId="77777777" w:rsidR="00E42732" w:rsidRPr="00D83AEC" w:rsidRDefault="00E42732" w:rsidP="002E6D96">
            <w:pPr>
              <w:widowControl/>
              <w:spacing w:line="259" w:lineRule="auto"/>
              <w:ind w:left="24"/>
            </w:pPr>
            <w:r w:rsidRPr="00D83AEC">
              <w:t xml:space="preserve">100.0% </w:t>
            </w:r>
          </w:p>
        </w:tc>
        <w:tc>
          <w:tcPr>
            <w:tcW w:w="955" w:type="dxa"/>
            <w:tcBorders>
              <w:top w:val="single" w:sz="4" w:space="0" w:color="000000"/>
              <w:left w:val="single" w:sz="4" w:space="0" w:color="000000"/>
              <w:bottom w:val="single" w:sz="4" w:space="0" w:color="000000"/>
              <w:right w:val="single" w:sz="4" w:space="0" w:color="000000"/>
            </w:tcBorders>
            <w:vAlign w:val="center"/>
          </w:tcPr>
          <w:p w14:paraId="1684AAD4" w14:textId="77777777" w:rsidR="00E42732" w:rsidRPr="00D83AEC" w:rsidRDefault="00E42732" w:rsidP="002E6D96">
            <w:pPr>
              <w:widowControl/>
              <w:spacing w:line="259" w:lineRule="auto"/>
              <w:ind w:left="60"/>
            </w:pPr>
            <w:r w:rsidRPr="00D83AEC">
              <w:t xml:space="preserve">92.8% </w:t>
            </w:r>
          </w:p>
        </w:tc>
        <w:tc>
          <w:tcPr>
            <w:tcW w:w="955" w:type="dxa"/>
            <w:tcBorders>
              <w:top w:val="single" w:sz="4" w:space="0" w:color="000000"/>
              <w:left w:val="single" w:sz="4" w:space="0" w:color="000000"/>
              <w:bottom w:val="single" w:sz="4" w:space="0" w:color="000000"/>
              <w:right w:val="single" w:sz="4" w:space="0" w:color="000000"/>
            </w:tcBorders>
            <w:vAlign w:val="center"/>
          </w:tcPr>
          <w:p w14:paraId="7A9A358B" w14:textId="77777777" w:rsidR="00E42732" w:rsidRPr="00D83AEC" w:rsidRDefault="00E42732" w:rsidP="002E6D96">
            <w:pPr>
              <w:widowControl/>
              <w:spacing w:line="259" w:lineRule="auto"/>
              <w:ind w:right="59"/>
              <w:jc w:val="center"/>
            </w:pPr>
            <w:r w:rsidRPr="00D83AEC">
              <w:t xml:space="preserve">5.3% </w:t>
            </w:r>
          </w:p>
        </w:tc>
        <w:tc>
          <w:tcPr>
            <w:tcW w:w="939" w:type="dxa"/>
            <w:tcBorders>
              <w:top w:val="single" w:sz="4" w:space="0" w:color="000000"/>
              <w:left w:val="single" w:sz="4" w:space="0" w:color="000000"/>
              <w:bottom w:val="single" w:sz="4" w:space="0" w:color="000000"/>
              <w:right w:val="single" w:sz="4" w:space="0" w:color="000000"/>
            </w:tcBorders>
            <w:vAlign w:val="center"/>
          </w:tcPr>
          <w:p w14:paraId="09050DFC" w14:textId="77777777" w:rsidR="00E42732" w:rsidRPr="00D83AEC" w:rsidRDefault="00E42732" w:rsidP="002E6D96">
            <w:pPr>
              <w:widowControl/>
              <w:spacing w:line="259" w:lineRule="auto"/>
              <w:ind w:left="110"/>
            </w:pPr>
            <w:r w:rsidRPr="00D83AEC">
              <w:t xml:space="preserve">0.0% </w:t>
            </w:r>
          </w:p>
        </w:tc>
        <w:tc>
          <w:tcPr>
            <w:tcW w:w="1337" w:type="dxa"/>
            <w:tcBorders>
              <w:top w:val="single" w:sz="4" w:space="0" w:color="000000"/>
              <w:left w:val="single" w:sz="4" w:space="0" w:color="000000"/>
              <w:bottom w:val="single" w:sz="4" w:space="0" w:color="000000"/>
              <w:right w:val="single" w:sz="4" w:space="0" w:color="000000"/>
            </w:tcBorders>
            <w:vAlign w:val="center"/>
          </w:tcPr>
          <w:p w14:paraId="21F63306" w14:textId="77777777" w:rsidR="00E42732" w:rsidRPr="00D83AEC" w:rsidRDefault="00E42732" w:rsidP="002E6D96">
            <w:pPr>
              <w:widowControl/>
              <w:spacing w:line="259" w:lineRule="auto"/>
              <w:ind w:right="62"/>
              <w:jc w:val="center"/>
            </w:pPr>
            <w:r w:rsidRPr="00D83AEC">
              <w:t xml:space="preserve">1.6% </w:t>
            </w:r>
          </w:p>
        </w:tc>
        <w:tc>
          <w:tcPr>
            <w:tcW w:w="1364" w:type="dxa"/>
            <w:tcBorders>
              <w:top w:val="single" w:sz="4" w:space="0" w:color="000000"/>
              <w:left w:val="single" w:sz="4" w:space="0" w:color="000000"/>
              <w:bottom w:val="single" w:sz="4" w:space="0" w:color="000000"/>
              <w:right w:val="single" w:sz="4" w:space="0" w:color="000000"/>
            </w:tcBorders>
            <w:vAlign w:val="center"/>
          </w:tcPr>
          <w:p w14:paraId="7D1022AD" w14:textId="77777777" w:rsidR="00E42732" w:rsidRPr="00D83AEC" w:rsidRDefault="00E42732" w:rsidP="002E6D96">
            <w:pPr>
              <w:widowControl/>
              <w:spacing w:line="259" w:lineRule="auto"/>
              <w:ind w:right="60"/>
              <w:jc w:val="center"/>
            </w:pPr>
            <w:r w:rsidRPr="00D83AEC">
              <w:t xml:space="preserve">0.3% </w:t>
            </w:r>
          </w:p>
        </w:tc>
        <w:tc>
          <w:tcPr>
            <w:tcW w:w="907" w:type="dxa"/>
            <w:tcBorders>
              <w:top w:val="single" w:sz="4" w:space="0" w:color="000000"/>
              <w:left w:val="single" w:sz="4" w:space="0" w:color="000000"/>
              <w:bottom w:val="single" w:sz="4" w:space="0" w:color="000000"/>
              <w:right w:val="single" w:sz="4" w:space="0" w:color="000000"/>
            </w:tcBorders>
            <w:vAlign w:val="center"/>
          </w:tcPr>
          <w:p w14:paraId="6F0F3B35" w14:textId="77777777" w:rsidR="00E42732" w:rsidRPr="00D83AEC" w:rsidRDefault="00E42732" w:rsidP="002E6D96">
            <w:pPr>
              <w:widowControl/>
              <w:spacing w:line="259" w:lineRule="auto"/>
              <w:ind w:left="96"/>
            </w:pPr>
            <w:r w:rsidRPr="00D83AEC">
              <w:t xml:space="preserve">0.0% </w:t>
            </w:r>
          </w:p>
        </w:tc>
      </w:tr>
      <w:tr w:rsidR="00E42732" w:rsidRPr="00D83AEC" w14:paraId="691BA71F" w14:textId="77777777" w:rsidTr="000803B8">
        <w:trPr>
          <w:trHeight w:val="562"/>
        </w:trPr>
        <w:tc>
          <w:tcPr>
            <w:tcW w:w="1901" w:type="dxa"/>
            <w:tcBorders>
              <w:top w:val="single" w:sz="4" w:space="0" w:color="000000"/>
              <w:left w:val="single" w:sz="4" w:space="0" w:color="000000"/>
              <w:bottom w:val="single" w:sz="4" w:space="0" w:color="000000"/>
              <w:right w:val="single" w:sz="4" w:space="0" w:color="000000"/>
            </w:tcBorders>
          </w:tcPr>
          <w:p w14:paraId="0488744E" w14:textId="77777777" w:rsidR="00E42732" w:rsidRPr="00D83AEC" w:rsidRDefault="00E42732" w:rsidP="002E6D96">
            <w:pPr>
              <w:widowControl/>
              <w:spacing w:line="259" w:lineRule="auto"/>
            </w:pPr>
            <w:r w:rsidRPr="00D83AEC">
              <w:t xml:space="preserve">I&amp;E Proposal (Sch 14) </w:t>
            </w:r>
          </w:p>
        </w:tc>
        <w:tc>
          <w:tcPr>
            <w:tcW w:w="1004" w:type="dxa"/>
            <w:tcBorders>
              <w:top w:val="single" w:sz="4" w:space="0" w:color="000000"/>
              <w:left w:val="single" w:sz="4" w:space="0" w:color="000000"/>
              <w:bottom w:val="single" w:sz="4" w:space="0" w:color="000000"/>
              <w:right w:val="single" w:sz="4" w:space="0" w:color="000000"/>
            </w:tcBorders>
            <w:vAlign w:val="center"/>
          </w:tcPr>
          <w:p w14:paraId="01E29095" w14:textId="77777777" w:rsidR="00E42732" w:rsidRPr="00D83AEC" w:rsidRDefault="00E42732" w:rsidP="002E6D96">
            <w:pPr>
              <w:widowControl/>
              <w:spacing w:line="259" w:lineRule="auto"/>
              <w:ind w:left="24"/>
            </w:pPr>
            <w:r w:rsidRPr="00D83AEC">
              <w:t xml:space="preserve">100.0% </w:t>
            </w:r>
          </w:p>
        </w:tc>
        <w:tc>
          <w:tcPr>
            <w:tcW w:w="955" w:type="dxa"/>
            <w:tcBorders>
              <w:top w:val="single" w:sz="4" w:space="0" w:color="000000"/>
              <w:left w:val="single" w:sz="4" w:space="0" w:color="000000"/>
              <w:bottom w:val="single" w:sz="4" w:space="0" w:color="000000"/>
              <w:right w:val="single" w:sz="4" w:space="0" w:color="000000"/>
            </w:tcBorders>
            <w:vAlign w:val="center"/>
          </w:tcPr>
          <w:p w14:paraId="6BD1591A" w14:textId="77777777" w:rsidR="00E42732" w:rsidRPr="00D83AEC" w:rsidRDefault="00E42732" w:rsidP="002E6D96">
            <w:pPr>
              <w:widowControl/>
              <w:spacing w:line="259" w:lineRule="auto"/>
              <w:ind w:left="60"/>
            </w:pPr>
            <w:r w:rsidRPr="00D83AEC">
              <w:t xml:space="preserve">70.7% </w:t>
            </w:r>
          </w:p>
        </w:tc>
        <w:tc>
          <w:tcPr>
            <w:tcW w:w="955" w:type="dxa"/>
            <w:tcBorders>
              <w:top w:val="single" w:sz="4" w:space="0" w:color="000000"/>
              <w:left w:val="single" w:sz="4" w:space="0" w:color="000000"/>
              <w:bottom w:val="single" w:sz="4" w:space="0" w:color="000000"/>
              <w:right w:val="single" w:sz="4" w:space="0" w:color="000000"/>
            </w:tcBorders>
            <w:vAlign w:val="center"/>
          </w:tcPr>
          <w:p w14:paraId="59542465" w14:textId="77777777" w:rsidR="00E42732" w:rsidRPr="00D83AEC" w:rsidRDefault="00E42732" w:rsidP="002E6D96">
            <w:pPr>
              <w:widowControl/>
              <w:spacing w:line="259" w:lineRule="auto"/>
              <w:ind w:left="60"/>
            </w:pPr>
            <w:r w:rsidRPr="00D83AEC">
              <w:t xml:space="preserve">11.5% </w:t>
            </w:r>
          </w:p>
        </w:tc>
        <w:tc>
          <w:tcPr>
            <w:tcW w:w="939" w:type="dxa"/>
            <w:tcBorders>
              <w:top w:val="single" w:sz="4" w:space="0" w:color="000000"/>
              <w:left w:val="single" w:sz="4" w:space="0" w:color="000000"/>
              <w:bottom w:val="single" w:sz="4" w:space="0" w:color="000000"/>
              <w:right w:val="single" w:sz="4" w:space="0" w:color="000000"/>
            </w:tcBorders>
            <w:vAlign w:val="center"/>
          </w:tcPr>
          <w:p w14:paraId="0C052178" w14:textId="77777777" w:rsidR="00E42732" w:rsidRPr="00D83AEC" w:rsidRDefault="00E42732" w:rsidP="002E6D96">
            <w:pPr>
              <w:widowControl/>
              <w:spacing w:line="259" w:lineRule="auto"/>
              <w:ind w:left="110"/>
            </w:pPr>
            <w:r w:rsidRPr="00D83AEC">
              <w:t xml:space="preserve">7.8% </w:t>
            </w:r>
          </w:p>
        </w:tc>
        <w:tc>
          <w:tcPr>
            <w:tcW w:w="1337" w:type="dxa"/>
            <w:tcBorders>
              <w:top w:val="single" w:sz="4" w:space="0" w:color="000000"/>
              <w:left w:val="single" w:sz="4" w:space="0" w:color="000000"/>
              <w:bottom w:val="single" w:sz="4" w:space="0" w:color="000000"/>
              <w:right w:val="single" w:sz="4" w:space="0" w:color="000000"/>
            </w:tcBorders>
            <w:vAlign w:val="center"/>
          </w:tcPr>
          <w:p w14:paraId="3BE1A5DA" w14:textId="77777777" w:rsidR="00E42732" w:rsidRPr="00D83AEC" w:rsidRDefault="00E42732" w:rsidP="002E6D96">
            <w:pPr>
              <w:widowControl/>
              <w:spacing w:line="259" w:lineRule="auto"/>
              <w:ind w:right="62"/>
              <w:jc w:val="center"/>
            </w:pPr>
            <w:r w:rsidRPr="00D83AEC">
              <w:t xml:space="preserve">5.3% </w:t>
            </w:r>
          </w:p>
        </w:tc>
        <w:tc>
          <w:tcPr>
            <w:tcW w:w="1364" w:type="dxa"/>
            <w:tcBorders>
              <w:top w:val="single" w:sz="4" w:space="0" w:color="000000"/>
              <w:left w:val="single" w:sz="4" w:space="0" w:color="000000"/>
              <w:bottom w:val="single" w:sz="4" w:space="0" w:color="000000"/>
              <w:right w:val="single" w:sz="4" w:space="0" w:color="000000"/>
            </w:tcBorders>
            <w:vAlign w:val="center"/>
          </w:tcPr>
          <w:p w14:paraId="5AA46AF2" w14:textId="77777777" w:rsidR="00E42732" w:rsidRPr="00D83AEC" w:rsidRDefault="00E42732" w:rsidP="002E6D96">
            <w:pPr>
              <w:widowControl/>
              <w:spacing w:line="259" w:lineRule="auto"/>
              <w:ind w:right="60"/>
              <w:jc w:val="center"/>
            </w:pPr>
            <w:r w:rsidRPr="00D83AEC">
              <w:t xml:space="preserve">4.5% </w:t>
            </w:r>
          </w:p>
        </w:tc>
        <w:tc>
          <w:tcPr>
            <w:tcW w:w="907" w:type="dxa"/>
            <w:tcBorders>
              <w:top w:val="single" w:sz="4" w:space="0" w:color="000000"/>
              <w:left w:val="single" w:sz="4" w:space="0" w:color="000000"/>
              <w:bottom w:val="single" w:sz="4" w:space="0" w:color="000000"/>
              <w:right w:val="single" w:sz="4" w:space="0" w:color="000000"/>
            </w:tcBorders>
            <w:vAlign w:val="center"/>
          </w:tcPr>
          <w:p w14:paraId="70A79C14" w14:textId="77777777" w:rsidR="00E42732" w:rsidRPr="00D83AEC" w:rsidRDefault="00E42732" w:rsidP="002E6D96">
            <w:pPr>
              <w:widowControl/>
              <w:spacing w:line="259" w:lineRule="auto"/>
              <w:ind w:left="96"/>
            </w:pPr>
            <w:r w:rsidRPr="00D83AEC">
              <w:t xml:space="preserve">0.1% </w:t>
            </w:r>
          </w:p>
        </w:tc>
      </w:tr>
      <w:tr w:rsidR="00E42732" w:rsidRPr="00D83AEC" w14:paraId="1A7530C6" w14:textId="77777777" w:rsidTr="000803B8">
        <w:trPr>
          <w:trHeight w:val="562"/>
        </w:trPr>
        <w:tc>
          <w:tcPr>
            <w:tcW w:w="1901" w:type="dxa"/>
            <w:tcBorders>
              <w:top w:val="single" w:sz="4" w:space="0" w:color="000000"/>
              <w:left w:val="single" w:sz="4" w:space="0" w:color="000000"/>
              <w:bottom w:val="single" w:sz="4" w:space="0" w:color="000000"/>
              <w:right w:val="single" w:sz="4" w:space="0" w:color="000000"/>
            </w:tcBorders>
          </w:tcPr>
          <w:p w14:paraId="64E733D7" w14:textId="77777777" w:rsidR="00E42732" w:rsidRPr="00D83AEC" w:rsidRDefault="00E42732" w:rsidP="002E6D96">
            <w:pPr>
              <w:widowControl/>
              <w:spacing w:line="259" w:lineRule="auto"/>
            </w:pPr>
            <w:r w:rsidRPr="00D83AEC">
              <w:t xml:space="preserve">I&amp;E Proposal (Sch 13) </w:t>
            </w:r>
          </w:p>
        </w:tc>
        <w:tc>
          <w:tcPr>
            <w:tcW w:w="1004" w:type="dxa"/>
            <w:tcBorders>
              <w:top w:val="single" w:sz="4" w:space="0" w:color="000000"/>
              <w:left w:val="single" w:sz="4" w:space="0" w:color="000000"/>
              <w:bottom w:val="single" w:sz="4" w:space="0" w:color="000000"/>
              <w:right w:val="single" w:sz="4" w:space="0" w:color="000000"/>
            </w:tcBorders>
            <w:vAlign w:val="center"/>
          </w:tcPr>
          <w:p w14:paraId="14BCA84F" w14:textId="77777777" w:rsidR="00E42732" w:rsidRPr="00D83AEC" w:rsidRDefault="00E42732" w:rsidP="002E6D96">
            <w:pPr>
              <w:widowControl/>
              <w:spacing w:line="259" w:lineRule="auto"/>
              <w:ind w:left="24"/>
            </w:pPr>
            <w:r w:rsidRPr="00D83AEC">
              <w:t xml:space="preserve">100.0% </w:t>
            </w:r>
          </w:p>
        </w:tc>
        <w:tc>
          <w:tcPr>
            <w:tcW w:w="955" w:type="dxa"/>
            <w:tcBorders>
              <w:top w:val="single" w:sz="4" w:space="0" w:color="000000"/>
              <w:left w:val="single" w:sz="4" w:space="0" w:color="000000"/>
              <w:bottom w:val="single" w:sz="4" w:space="0" w:color="000000"/>
              <w:right w:val="single" w:sz="4" w:space="0" w:color="000000"/>
            </w:tcBorders>
            <w:vAlign w:val="center"/>
          </w:tcPr>
          <w:p w14:paraId="24919313" w14:textId="77777777" w:rsidR="00E42732" w:rsidRPr="00D83AEC" w:rsidRDefault="00E42732" w:rsidP="002E6D96">
            <w:pPr>
              <w:widowControl/>
              <w:spacing w:line="259" w:lineRule="auto"/>
              <w:ind w:left="60"/>
            </w:pPr>
            <w:r w:rsidRPr="00D83AEC">
              <w:t xml:space="preserve">70.1% </w:t>
            </w:r>
          </w:p>
        </w:tc>
        <w:tc>
          <w:tcPr>
            <w:tcW w:w="955" w:type="dxa"/>
            <w:tcBorders>
              <w:top w:val="single" w:sz="4" w:space="0" w:color="000000"/>
              <w:left w:val="single" w:sz="4" w:space="0" w:color="000000"/>
              <w:bottom w:val="single" w:sz="4" w:space="0" w:color="000000"/>
              <w:right w:val="single" w:sz="4" w:space="0" w:color="000000"/>
            </w:tcBorders>
            <w:vAlign w:val="center"/>
          </w:tcPr>
          <w:p w14:paraId="7FC41877" w14:textId="77777777" w:rsidR="00E42732" w:rsidRPr="00D83AEC" w:rsidRDefault="00E42732" w:rsidP="002E6D96">
            <w:pPr>
              <w:widowControl/>
              <w:spacing w:line="259" w:lineRule="auto"/>
              <w:ind w:left="60"/>
            </w:pPr>
            <w:r w:rsidRPr="00D83AEC">
              <w:t xml:space="preserve">11.7% </w:t>
            </w:r>
          </w:p>
        </w:tc>
        <w:tc>
          <w:tcPr>
            <w:tcW w:w="939" w:type="dxa"/>
            <w:tcBorders>
              <w:top w:val="single" w:sz="4" w:space="0" w:color="000000"/>
              <w:left w:val="single" w:sz="4" w:space="0" w:color="000000"/>
              <w:bottom w:val="single" w:sz="4" w:space="0" w:color="000000"/>
              <w:right w:val="single" w:sz="4" w:space="0" w:color="000000"/>
            </w:tcBorders>
            <w:vAlign w:val="center"/>
          </w:tcPr>
          <w:p w14:paraId="20EB81E5" w14:textId="77777777" w:rsidR="00E42732" w:rsidRPr="00D83AEC" w:rsidRDefault="00E42732" w:rsidP="002E6D96">
            <w:pPr>
              <w:widowControl/>
              <w:spacing w:line="259" w:lineRule="auto"/>
              <w:ind w:left="110"/>
            </w:pPr>
            <w:r w:rsidRPr="00D83AEC">
              <w:t xml:space="preserve">8.2% </w:t>
            </w:r>
          </w:p>
        </w:tc>
        <w:tc>
          <w:tcPr>
            <w:tcW w:w="1337" w:type="dxa"/>
            <w:tcBorders>
              <w:top w:val="single" w:sz="4" w:space="0" w:color="000000"/>
              <w:left w:val="single" w:sz="4" w:space="0" w:color="000000"/>
              <w:bottom w:val="single" w:sz="4" w:space="0" w:color="000000"/>
              <w:right w:val="single" w:sz="4" w:space="0" w:color="000000"/>
            </w:tcBorders>
            <w:vAlign w:val="center"/>
          </w:tcPr>
          <w:p w14:paraId="05E300FE" w14:textId="77777777" w:rsidR="00E42732" w:rsidRPr="00D83AEC" w:rsidRDefault="00E42732" w:rsidP="002E6D96">
            <w:pPr>
              <w:widowControl/>
              <w:spacing w:line="259" w:lineRule="auto"/>
              <w:ind w:right="62"/>
              <w:jc w:val="center"/>
            </w:pPr>
            <w:r w:rsidRPr="00D83AEC">
              <w:t xml:space="preserve">5.3% </w:t>
            </w:r>
          </w:p>
        </w:tc>
        <w:tc>
          <w:tcPr>
            <w:tcW w:w="1364" w:type="dxa"/>
            <w:tcBorders>
              <w:top w:val="single" w:sz="4" w:space="0" w:color="000000"/>
              <w:left w:val="single" w:sz="4" w:space="0" w:color="000000"/>
              <w:bottom w:val="single" w:sz="4" w:space="0" w:color="000000"/>
              <w:right w:val="single" w:sz="4" w:space="0" w:color="000000"/>
            </w:tcBorders>
            <w:vAlign w:val="center"/>
          </w:tcPr>
          <w:p w14:paraId="70A9B8BB" w14:textId="77777777" w:rsidR="00E42732" w:rsidRPr="00D83AEC" w:rsidRDefault="00E42732" w:rsidP="002E6D96">
            <w:pPr>
              <w:widowControl/>
              <w:spacing w:line="259" w:lineRule="auto"/>
              <w:ind w:right="60"/>
              <w:jc w:val="center"/>
            </w:pPr>
            <w:r w:rsidRPr="00D83AEC">
              <w:t xml:space="preserve">4.5% </w:t>
            </w:r>
          </w:p>
        </w:tc>
        <w:tc>
          <w:tcPr>
            <w:tcW w:w="907" w:type="dxa"/>
            <w:tcBorders>
              <w:top w:val="single" w:sz="4" w:space="0" w:color="000000"/>
              <w:left w:val="single" w:sz="4" w:space="0" w:color="000000"/>
              <w:bottom w:val="single" w:sz="4" w:space="0" w:color="000000"/>
              <w:right w:val="single" w:sz="4" w:space="0" w:color="000000"/>
            </w:tcBorders>
            <w:vAlign w:val="center"/>
          </w:tcPr>
          <w:p w14:paraId="3A20E16F" w14:textId="77777777" w:rsidR="00E42732" w:rsidRPr="00D83AEC" w:rsidRDefault="00E42732" w:rsidP="002E6D96">
            <w:pPr>
              <w:widowControl/>
              <w:spacing w:line="259" w:lineRule="auto"/>
              <w:ind w:left="96"/>
            </w:pPr>
            <w:r w:rsidRPr="00D83AEC">
              <w:t xml:space="preserve">0.1% </w:t>
            </w:r>
          </w:p>
        </w:tc>
      </w:tr>
      <w:tr w:rsidR="00E42732" w:rsidRPr="00D83AEC" w14:paraId="4C73AA60" w14:textId="77777777" w:rsidTr="000803B8">
        <w:trPr>
          <w:trHeight w:val="562"/>
        </w:trPr>
        <w:tc>
          <w:tcPr>
            <w:tcW w:w="1901" w:type="dxa"/>
            <w:tcBorders>
              <w:top w:val="single" w:sz="4" w:space="0" w:color="000000"/>
              <w:left w:val="single" w:sz="4" w:space="0" w:color="000000"/>
              <w:bottom w:val="single" w:sz="4" w:space="0" w:color="000000"/>
              <w:right w:val="single" w:sz="4" w:space="0" w:color="000000"/>
            </w:tcBorders>
          </w:tcPr>
          <w:p w14:paraId="1CDCE06B" w14:textId="77777777" w:rsidR="00E42732" w:rsidRPr="00D83AEC" w:rsidRDefault="00E42732" w:rsidP="002E6D96">
            <w:pPr>
              <w:widowControl/>
              <w:spacing w:line="259" w:lineRule="auto"/>
            </w:pPr>
            <w:r w:rsidRPr="00D83AEC">
              <w:t xml:space="preserve">OCA Proposal </w:t>
            </w:r>
          </w:p>
          <w:p w14:paraId="609A1D18" w14:textId="77777777" w:rsidR="00E42732" w:rsidRPr="00D83AEC" w:rsidRDefault="00E42732" w:rsidP="002E6D96">
            <w:pPr>
              <w:widowControl/>
              <w:spacing w:line="259" w:lineRule="auto"/>
            </w:pPr>
            <w:r w:rsidRPr="00D83AEC">
              <w:t xml:space="preserve">Direct </w:t>
            </w:r>
          </w:p>
        </w:tc>
        <w:tc>
          <w:tcPr>
            <w:tcW w:w="1004" w:type="dxa"/>
            <w:tcBorders>
              <w:top w:val="single" w:sz="4" w:space="0" w:color="000000"/>
              <w:left w:val="single" w:sz="4" w:space="0" w:color="000000"/>
              <w:bottom w:val="single" w:sz="4" w:space="0" w:color="000000"/>
              <w:right w:val="single" w:sz="4" w:space="0" w:color="000000"/>
            </w:tcBorders>
            <w:vAlign w:val="center"/>
          </w:tcPr>
          <w:p w14:paraId="135B12B7" w14:textId="77777777" w:rsidR="00E42732" w:rsidRPr="00D83AEC" w:rsidRDefault="00E42732" w:rsidP="002E6D96">
            <w:pPr>
              <w:widowControl/>
              <w:spacing w:line="259" w:lineRule="auto"/>
              <w:ind w:left="24"/>
            </w:pPr>
            <w:r w:rsidRPr="00D83AEC">
              <w:t xml:space="preserve">100.0% </w:t>
            </w:r>
          </w:p>
        </w:tc>
        <w:tc>
          <w:tcPr>
            <w:tcW w:w="955" w:type="dxa"/>
            <w:tcBorders>
              <w:top w:val="single" w:sz="4" w:space="0" w:color="000000"/>
              <w:left w:val="single" w:sz="4" w:space="0" w:color="000000"/>
              <w:bottom w:val="single" w:sz="4" w:space="0" w:color="000000"/>
              <w:right w:val="single" w:sz="4" w:space="0" w:color="000000"/>
            </w:tcBorders>
            <w:vAlign w:val="center"/>
          </w:tcPr>
          <w:p w14:paraId="27E9A6A9" w14:textId="77777777" w:rsidR="00E42732" w:rsidRPr="00D83AEC" w:rsidRDefault="00E42732" w:rsidP="002E6D96">
            <w:pPr>
              <w:widowControl/>
              <w:spacing w:line="259" w:lineRule="auto"/>
              <w:ind w:left="60"/>
            </w:pPr>
            <w:r w:rsidRPr="00D83AEC">
              <w:t xml:space="preserve">63.8% </w:t>
            </w:r>
          </w:p>
        </w:tc>
        <w:tc>
          <w:tcPr>
            <w:tcW w:w="955" w:type="dxa"/>
            <w:tcBorders>
              <w:top w:val="single" w:sz="4" w:space="0" w:color="000000"/>
              <w:left w:val="single" w:sz="4" w:space="0" w:color="000000"/>
              <w:bottom w:val="single" w:sz="4" w:space="0" w:color="000000"/>
              <w:right w:val="single" w:sz="4" w:space="0" w:color="000000"/>
            </w:tcBorders>
            <w:vAlign w:val="center"/>
          </w:tcPr>
          <w:p w14:paraId="49AB735E" w14:textId="77777777" w:rsidR="00E42732" w:rsidRPr="00D83AEC" w:rsidRDefault="00E42732" w:rsidP="002E6D96">
            <w:pPr>
              <w:widowControl/>
              <w:spacing w:line="259" w:lineRule="auto"/>
              <w:ind w:left="60"/>
            </w:pPr>
            <w:r w:rsidRPr="00D83AEC">
              <w:t xml:space="preserve">10.1% </w:t>
            </w:r>
          </w:p>
        </w:tc>
        <w:tc>
          <w:tcPr>
            <w:tcW w:w="939" w:type="dxa"/>
            <w:tcBorders>
              <w:top w:val="single" w:sz="4" w:space="0" w:color="000000"/>
              <w:left w:val="single" w:sz="4" w:space="0" w:color="000000"/>
              <w:bottom w:val="single" w:sz="4" w:space="0" w:color="000000"/>
              <w:right w:val="single" w:sz="4" w:space="0" w:color="000000"/>
            </w:tcBorders>
            <w:vAlign w:val="center"/>
          </w:tcPr>
          <w:p w14:paraId="5175AC0C" w14:textId="77777777" w:rsidR="00E42732" w:rsidRPr="00D83AEC" w:rsidRDefault="00E42732" w:rsidP="002E6D96">
            <w:pPr>
              <w:widowControl/>
              <w:spacing w:line="259" w:lineRule="auto"/>
              <w:ind w:left="50"/>
            </w:pPr>
            <w:r w:rsidRPr="00D83AEC">
              <w:t xml:space="preserve">11.3% </w:t>
            </w:r>
          </w:p>
        </w:tc>
        <w:tc>
          <w:tcPr>
            <w:tcW w:w="1337" w:type="dxa"/>
            <w:tcBorders>
              <w:top w:val="single" w:sz="4" w:space="0" w:color="000000"/>
              <w:left w:val="single" w:sz="4" w:space="0" w:color="000000"/>
              <w:bottom w:val="single" w:sz="4" w:space="0" w:color="000000"/>
              <w:right w:val="single" w:sz="4" w:space="0" w:color="000000"/>
            </w:tcBorders>
            <w:vAlign w:val="center"/>
          </w:tcPr>
          <w:p w14:paraId="2A562C77" w14:textId="77777777" w:rsidR="00E42732" w:rsidRPr="00D83AEC" w:rsidRDefault="00E42732" w:rsidP="002E6D96">
            <w:pPr>
              <w:widowControl/>
              <w:spacing w:line="259" w:lineRule="auto"/>
              <w:ind w:right="62"/>
              <w:jc w:val="center"/>
            </w:pPr>
            <w:r w:rsidRPr="00D83AEC">
              <w:t xml:space="preserve">9.2% </w:t>
            </w:r>
          </w:p>
        </w:tc>
        <w:tc>
          <w:tcPr>
            <w:tcW w:w="1364" w:type="dxa"/>
            <w:tcBorders>
              <w:top w:val="single" w:sz="4" w:space="0" w:color="000000"/>
              <w:left w:val="single" w:sz="4" w:space="0" w:color="000000"/>
              <w:bottom w:val="single" w:sz="4" w:space="0" w:color="000000"/>
              <w:right w:val="single" w:sz="4" w:space="0" w:color="000000"/>
            </w:tcBorders>
            <w:vAlign w:val="center"/>
          </w:tcPr>
          <w:p w14:paraId="46F49E7B" w14:textId="77777777" w:rsidR="00E42732" w:rsidRPr="00D83AEC" w:rsidRDefault="00E42732" w:rsidP="002E6D96">
            <w:pPr>
              <w:widowControl/>
              <w:spacing w:line="259" w:lineRule="auto"/>
              <w:ind w:right="60"/>
              <w:jc w:val="center"/>
            </w:pPr>
            <w:r w:rsidRPr="00D83AEC">
              <w:t xml:space="preserve">5.2% </w:t>
            </w:r>
          </w:p>
        </w:tc>
        <w:tc>
          <w:tcPr>
            <w:tcW w:w="907" w:type="dxa"/>
            <w:tcBorders>
              <w:top w:val="single" w:sz="4" w:space="0" w:color="000000"/>
              <w:left w:val="single" w:sz="4" w:space="0" w:color="000000"/>
              <w:bottom w:val="single" w:sz="4" w:space="0" w:color="000000"/>
              <w:right w:val="single" w:sz="4" w:space="0" w:color="000000"/>
            </w:tcBorders>
            <w:vAlign w:val="center"/>
          </w:tcPr>
          <w:p w14:paraId="3170B8F0" w14:textId="77777777" w:rsidR="00E42732" w:rsidRPr="00D83AEC" w:rsidRDefault="00E42732" w:rsidP="002E6D96">
            <w:pPr>
              <w:widowControl/>
              <w:spacing w:line="259" w:lineRule="auto"/>
              <w:ind w:left="96"/>
            </w:pPr>
            <w:r w:rsidRPr="00D83AEC">
              <w:t xml:space="preserve">0.3% </w:t>
            </w:r>
          </w:p>
        </w:tc>
      </w:tr>
      <w:tr w:rsidR="00E42732" w:rsidRPr="00D83AEC" w14:paraId="4BF565A7" w14:textId="77777777" w:rsidTr="000803B8">
        <w:trPr>
          <w:trHeight w:val="562"/>
        </w:trPr>
        <w:tc>
          <w:tcPr>
            <w:tcW w:w="1901" w:type="dxa"/>
            <w:tcBorders>
              <w:top w:val="single" w:sz="4" w:space="0" w:color="000000"/>
              <w:left w:val="single" w:sz="4" w:space="0" w:color="000000"/>
              <w:bottom w:val="single" w:sz="4" w:space="0" w:color="000000"/>
              <w:right w:val="single" w:sz="4" w:space="0" w:color="000000"/>
            </w:tcBorders>
          </w:tcPr>
          <w:p w14:paraId="0C5C00E4" w14:textId="77777777" w:rsidR="00E42732" w:rsidRPr="00D83AEC" w:rsidRDefault="00E42732" w:rsidP="002E6D96">
            <w:pPr>
              <w:widowControl/>
              <w:spacing w:line="259" w:lineRule="auto"/>
            </w:pPr>
            <w:r w:rsidRPr="00D83AEC">
              <w:t xml:space="preserve">OCA Proposal Surreb. </w:t>
            </w:r>
          </w:p>
        </w:tc>
        <w:tc>
          <w:tcPr>
            <w:tcW w:w="1004" w:type="dxa"/>
            <w:tcBorders>
              <w:top w:val="single" w:sz="4" w:space="0" w:color="000000"/>
              <w:left w:val="single" w:sz="4" w:space="0" w:color="000000"/>
              <w:bottom w:val="single" w:sz="4" w:space="0" w:color="000000"/>
              <w:right w:val="single" w:sz="4" w:space="0" w:color="000000"/>
            </w:tcBorders>
            <w:vAlign w:val="center"/>
          </w:tcPr>
          <w:p w14:paraId="409AE067" w14:textId="77777777" w:rsidR="00E42732" w:rsidRPr="00D83AEC" w:rsidRDefault="00E42732" w:rsidP="002E6D96">
            <w:pPr>
              <w:widowControl/>
              <w:spacing w:line="259" w:lineRule="auto"/>
              <w:ind w:left="24"/>
            </w:pPr>
            <w:r w:rsidRPr="00D83AEC">
              <w:t xml:space="preserve">100.0% </w:t>
            </w:r>
          </w:p>
        </w:tc>
        <w:tc>
          <w:tcPr>
            <w:tcW w:w="955" w:type="dxa"/>
            <w:tcBorders>
              <w:top w:val="single" w:sz="4" w:space="0" w:color="000000"/>
              <w:left w:val="single" w:sz="4" w:space="0" w:color="000000"/>
              <w:bottom w:val="single" w:sz="4" w:space="0" w:color="000000"/>
              <w:right w:val="single" w:sz="4" w:space="0" w:color="000000"/>
            </w:tcBorders>
            <w:vAlign w:val="center"/>
          </w:tcPr>
          <w:p w14:paraId="109FA464" w14:textId="77777777" w:rsidR="00E42732" w:rsidRPr="00D83AEC" w:rsidRDefault="00E42732" w:rsidP="002E6D96">
            <w:pPr>
              <w:widowControl/>
              <w:spacing w:line="259" w:lineRule="auto"/>
              <w:ind w:left="60"/>
            </w:pPr>
            <w:r w:rsidRPr="00D83AEC">
              <w:t xml:space="preserve">63.1% </w:t>
            </w:r>
          </w:p>
        </w:tc>
        <w:tc>
          <w:tcPr>
            <w:tcW w:w="955" w:type="dxa"/>
            <w:tcBorders>
              <w:top w:val="single" w:sz="4" w:space="0" w:color="000000"/>
              <w:left w:val="single" w:sz="4" w:space="0" w:color="000000"/>
              <w:bottom w:val="single" w:sz="4" w:space="0" w:color="000000"/>
              <w:right w:val="single" w:sz="4" w:space="0" w:color="000000"/>
            </w:tcBorders>
            <w:vAlign w:val="center"/>
          </w:tcPr>
          <w:p w14:paraId="5772430E" w14:textId="77777777" w:rsidR="00E42732" w:rsidRPr="00D83AEC" w:rsidRDefault="00E42732" w:rsidP="002E6D96">
            <w:pPr>
              <w:widowControl/>
              <w:spacing w:line="259" w:lineRule="auto"/>
              <w:ind w:left="60"/>
            </w:pPr>
            <w:r w:rsidRPr="00D83AEC">
              <w:t xml:space="preserve">10.1% </w:t>
            </w:r>
          </w:p>
        </w:tc>
        <w:tc>
          <w:tcPr>
            <w:tcW w:w="939" w:type="dxa"/>
            <w:tcBorders>
              <w:top w:val="single" w:sz="4" w:space="0" w:color="000000"/>
              <w:left w:val="single" w:sz="4" w:space="0" w:color="000000"/>
              <w:bottom w:val="single" w:sz="4" w:space="0" w:color="000000"/>
              <w:right w:val="single" w:sz="4" w:space="0" w:color="000000"/>
            </w:tcBorders>
            <w:vAlign w:val="center"/>
          </w:tcPr>
          <w:p w14:paraId="558348CD" w14:textId="77777777" w:rsidR="00E42732" w:rsidRPr="00D83AEC" w:rsidRDefault="00E42732" w:rsidP="002E6D96">
            <w:pPr>
              <w:widowControl/>
              <w:spacing w:line="259" w:lineRule="auto"/>
              <w:ind w:left="50"/>
            </w:pPr>
            <w:r w:rsidRPr="00D83AEC">
              <w:t xml:space="preserve">10.0% </w:t>
            </w:r>
          </w:p>
        </w:tc>
        <w:tc>
          <w:tcPr>
            <w:tcW w:w="1337" w:type="dxa"/>
            <w:tcBorders>
              <w:top w:val="single" w:sz="4" w:space="0" w:color="000000"/>
              <w:left w:val="single" w:sz="4" w:space="0" w:color="000000"/>
              <w:bottom w:val="single" w:sz="4" w:space="0" w:color="000000"/>
              <w:right w:val="single" w:sz="4" w:space="0" w:color="000000"/>
            </w:tcBorders>
            <w:vAlign w:val="center"/>
          </w:tcPr>
          <w:p w14:paraId="288CBCB6" w14:textId="77777777" w:rsidR="00E42732" w:rsidRPr="00D83AEC" w:rsidRDefault="00E42732" w:rsidP="002E6D96">
            <w:pPr>
              <w:widowControl/>
              <w:spacing w:line="259" w:lineRule="auto"/>
              <w:ind w:right="62"/>
              <w:jc w:val="center"/>
            </w:pPr>
            <w:r w:rsidRPr="00D83AEC">
              <w:t xml:space="preserve">9.2% </w:t>
            </w:r>
          </w:p>
        </w:tc>
        <w:tc>
          <w:tcPr>
            <w:tcW w:w="1364" w:type="dxa"/>
            <w:tcBorders>
              <w:top w:val="single" w:sz="4" w:space="0" w:color="000000"/>
              <w:left w:val="single" w:sz="4" w:space="0" w:color="000000"/>
              <w:bottom w:val="single" w:sz="4" w:space="0" w:color="000000"/>
              <w:right w:val="single" w:sz="4" w:space="0" w:color="000000"/>
            </w:tcBorders>
            <w:vAlign w:val="center"/>
          </w:tcPr>
          <w:p w14:paraId="3A305C99" w14:textId="77777777" w:rsidR="00E42732" w:rsidRPr="00D83AEC" w:rsidRDefault="00E42732" w:rsidP="002E6D96">
            <w:pPr>
              <w:widowControl/>
              <w:spacing w:line="259" w:lineRule="auto"/>
              <w:ind w:right="60"/>
              <w:jc w:val="center"/>
            </w:pPr>
            <w:r w:rsidRPr="00D83AEC">
              <w:t xml:space="preserve">7.2% </w:t>
            </w:r>
          </w:p>
        </w:tc>
        <w:tc>
          <w:tcPr>
            <w:tcW w:w="907" w:type="dxa"/>
            <w:tcBorders>
              <w:top w:val="single" w:sz="4" w:space="0" w:color="000000"/>
              <w:left w:val="single" w:sz="4" w:space="0" w:color="000000"/>
              <w:bottom w:val="single" w:sz="4" w:space="0" w:color="000000"/>
              <w:right w:val="single" w:sz="4" w:space="0" w:color="000000"/>
            </w:tcBorders>
            <w:vAlign w:val="center"/>
          </w:tcPr>
          <w:p w14:paraId="6C5D222F" w14:textId="77777777" w:rsidR="00E42732" w:rsidRPr="00D83AEC" w:rsidRDefault="00E42732" w:rsidP="002E6D96">
            <w:pPr>
              <w:widowControl/>
              <w:spacing w:line="259" w:lineRule="auto"/>
              <w:ind w:left="96"/>
            </w:pPr>
            <w:r w:rsidRPr="00D83AEC">
              <w:t xml:space="preserve">0.3% </w:t>
            </w:r>
          </w:p>
        </w:tc>
      </w:tr>
      <w:tr w:rsidR="00E42732" w:rsidRPr="00D83AEC" w14:paraId="4DF73EEC" w14:textId="77777777" w:rsidTr="000803B8">
        <w:trPr>
          <w:trHeight w:val="564"/>
        </w:trPr>
        <w:tc>
          <w:tcPr>
            <w:tcW w:w="1901" w:type="dxa"/>
            <w:tcBorders>
              <w:top w:val="single" w:sz="4" w:space="0" w:color="000000"/>
              <w:left w:val="single" w:sz="4" w:space="0" w:color="000000"/>
              <w:bottom w:val="single" w:sz="4" w:space="0" w:color="000000"/>
              <w:right w:val="single" w:sz="4" w:space="0" w:color="000000"/>
            </w:tcBorders>
          </w:tcPr>
          <w:p w14:paraId="204985D2" w14:textId="77777777" w:rsidR="00E42732" w:rsidRPr="00D83AEC" w:rsidRDefault="00E42732" w:rsidP="002E6D96">
            <w:pPr>
              <w:widowControl/>
              <w:spacing w:line="259" w:lineRule="auto"/>
            </w:pPr>
            <w:r w:rsidRPr="00D83AEC">
              <w:t xml:space="preserve">I&amp;E Scaleback (Sch 15) </w:t>
            </w:r>
          </w:p>
        </w:tc>
        <w:tc>
          <w:tcPr>
            <w:tcW w:w="1004" w:type="dxa"/>
            <w:tcBorders>
              <w:top w:val="single" w:sz="4" w:space="0" w:color="000000"/>
              <w:left w:val="single" w:sz="4" w:space="0" w:color="000000"/>
              <w:bottom w:val="single" w:sz="4" w:space="0" w:color="000000"/>
              <w:right w:val="single" w:sz="4" w:space="0" w:color="000000"/>
            </w:tcBorders>
            <w:vAlign w:val="center"/>
          </w:tcPr>
          <w:p w14:paraId="3F9F8E13" w14:textId="77777777" w:rsidR="00E42732" w:rsidRPr="00D83AEC" w:rsidRDefault="00E42732" w:rsidP="002E6D96">
            <w:pPr>
              <w:widowControl/>
              <w:spacing w:line="259" w:lineRule="auto"/>
              <w:ind w:left="24"/>
            </w:pPr>
            <w:r w:rsidRPr="00D83AEC">
              <w:t xml:space="preserve">100.0% </w:t>
            </w:r>
          </w:p>
        </w:tc>
        <w:tc>
          <w:tcPr>
            <w:tcW w:w="955" w:type="dxa"/>
            <w:tcBorders>
              <w:top w:val="single" w:sz="4" w:space="0" w:color="000000"/>
              <w:left w:val="single" w:sz="4" w:space="0" w:color="000000"/>
              <w:bottom w:val="single" w:sz="4" w:space="0" w:color="000000"/>
              <w:right w:val="single" w:sz="4" w:space="0" w:color="000000"/>
            </w:tcBorders>
            <w:vAlign w:val="center"/>
          </w:tcPr>
          <w:p w14:paraId="671A3F00" w14:textId="77777777" w:rsidR="00E42732" w:rsidRPr="00D83AEC" w:rsidRDefault="00E42732" w:rsidP="002E6D96">
            <w:pPr>
              <w:widowControl/>
              <w:spacing w:line="259" w:lineRule="auto"/>
              <w:ind w:left="60"/>
            </w:pPr>
            <w:r w:rsidRPr="00D83AEC">
              <w:t xml:space="preserve">70.6% </w:t>
            </w:r>
          </w:p>
        </w:tc>
        <w:tc>
          <w:tcPr>
            <w:tcW w:w="955" w:type="dxa"/>
            <w:tcBorders>
              <w:top w:val="single" w:sz="4" w:space="0" w:color="000000"/>
              <w:left w:val="single" w:sz="4" w:space="0" w:color="000000"/>
              <w:bottom w:val="single" w:sz="4" w:space="0" w:color="000000"/>
              <w:right w:val="single" w:sz="4" w:space="0" w:color="000000"/>
            </w:tcBorders>
            <w:vAlign w:val="center"/>
          </w:tcPr>
          <w:p w14:paraId="74EFC381" w14:textId="77777777" w:rsidR="00E42732" w:rsidRPr="00D83AEC" w:rsidRDefault="00E42732" w:rsidP="002E6D96">
            <w:pPr>
              <w:widowControl/>
              <w:spacing w:line="259" w:lineRule="auto"/>
              <w:ind w:left="60"/>
            </w:pPr>
            <w:r w:rsidRPr="00D83AEC">
              <w:t xml:space="preserve">13.4% </w:t>
            </w:r>
          </w:p>
        </w:tc>
        <w:tc>
          <w:tcPr>
            <w:tcW w:w="939" w:type="dxa"/>
            <w:tcBorders>
              <w:top w:val="single" w:sz="4" w:space="0" w:color="000000"/>
              <w:left w:val="single" w:sz="4" w:space="0" w:color="000000"/>
              <w:bottom w:val="single" w:sz="4" w:space="0" w:color="000000"/>
              <w:right w:val="single" w:sz="4" w:space="0" w:color="000000"/>
            </w:tcBorders>
            <w:vAlign w:val="center"/>
          </w:tcPr>
          <w:p w14:paraId="2D2C2A45" w14:textId="77777777" w:rsidR="00E42732" w:rsidRPr="00D83AEC" w:rsidRDefault="00E42732" w:rsidP="002E6D96">
            <w:pPr>
              <w:widowControl/>
              <w:spacing w:line="259" w:lineRule="auto"/>
              <w:ind w:left="110"/>
            </w:pPr>
            <w:r w:rsidRPr="00D83AEC">
              <w:t xml:space="preserve">6.0% </w:t>
            </w:r>
          </w:p>
        </w:tc>
        <w:tc>
          <w:tcPr>
            <w:tcW w:w="1337" w:type="dxa"/>
            <w:tcBorders>
              <w:top w:val="single" w:sz="4" w:space="0" w:color="000000"/>
              <w:left w:val="single" w:sz="4" w:space="0" w:color="000000"/>
              <w:bottom w:val="single" w:sz="4" w:space="0" w:color="000000"/>
              <w:right w:val="single" w:sz="4" w:space="0" w:color="000000"/>
            </w:tcBorders>
            <w:vAlign w:val="center"/>
          </w:tcPr>
          <w:p w14:paraId="125E5D08" w14:textId="77777777" w:rsidR="00E42732" w:rsidRPr="00D83AEC" w:rsidRDefault="00E42732" w:rsidP="002E6D96">
            <w:pPr>
              <w:widowControl/>
              <w:spacing w:line="259" w:lineRule="auto"/>
              <w:ind w:right="62"/>
              <w:jc w:val="center"/>
            </w:pPr>
            <w:r w:rsidRPr="00D83AEC">
              <w:t xml:space="preserve">5.3% </w:t>
            </w:r>
          </w:p>
        </w:tc>
        <w:tc>
          <w:tcPr>
            <w:tcW w:w="1364" w:type="dxa"/>
            <w:tcBorders>
              <w:top w:val="single" w:sz="4" w:space="0" w:color="000000"/>
              <w:left w:val="single" w:sz="4" w:space="0" w:color="000000"/>
              <w:bottom w:val="single" w:sz="4" w:space="0" w:color="000000"/>
              <w:right w:val="single" w:sz="4" w:space="0" w:color="000000"/>
            </w:tcBorders>
            <w:vAlign w:val="center"/>
          </w:tcPr>
          <w:p w14:paraId="4923A5B7" w14:textId="77777777" w:rsidR="00E42732" w:rsidRPr="00D83AEC" w:rsidRDefault="00E42732" w:rsidP="002E6D96">
            <w:pPr>
              <w:widowControl/>
              <w:spacing w:line="259" w:lineRule="auto"/>
              <w:ind w:right="60"/>
              <w:jc w:val="center"/>
            </w:pPr>
            <w:r w:rsidRPr="00D83AEC">
              <w:t xml:space="preserve">4.5% </w:t>
            </w:r>
          </w:p>
        </w:tc>
        <w:tc>
          <w:tcPr>
            <w:tcW w:w="907" w:type="dxa"/>
            <w:tcBorders>
              <w:top w:val="single" w:sz="4" w:space="0" w:color="000000"/>
              <w:left w:val="single" w:sz="4" w:space="0" w:color="000000"/>
              <w:bottom w:val="single" w:sz="4" w:space="0" w:color="000000"/>
              <w:right w:val="single" w:sz="4" w:space="0" w:color="000000"/>
            </w:tcBorders>
            <w:vAlign w:val="center"/>
          </w:tcPr>
          <w:p w14:paraId="779944F4" w14:textId="77777777" w:rsidR="00E42732" w:rsidRPr="00D83AEC" w:rsidRDefault="00E42732" w:rsidP="002E6D96">
            <w:pPr>
              <w:widowControl/>
              <w:spacing w:line="259" w:lineRule="auto"/>
              <w:ind w:left="96"/>
            </w:pPr>
            <w:r w:rsidRPr="00D83AEC">
              <w:t xml:space="preserve">0.1% </w:t>
            </w:r>
          </w:p>
        </w:tc>
      </w:tr>
      <w:tr w:rsidR="00E42732" w:rsidRPr="00D83AEC" w14:paraId="20C1D2AF" w14:textId="77777777" w:rsidTr="000803B8">
        <w:trPr>
          <w:trHeight w:val="286"/>
        </w:trPr>
        <w:tc>
          <w:tcPr>
            <w:tcW w:w="1901" w:type="dxa"/>
            <w:tcBorders>
              <w:top w:val="single" w:sz="4" w:space="0" w:color="000000"/>
              <w:left w:val="single" w:sz="4" w:space="0" w:color="000000"/>
              <w:bottom w:val="single" w:sz="4" w:space="0" w:color="000000"/>
              <w:right w:val="single" w:sz="4" w:space="0" w:color="000000"/>
            </w:tcBorders>
          </w:tcPr>
          <w:p w14:paraId="2135CE5C" w14:textId="77777777" w:rsidR="00E42732" w:rsidRPr="00D83AEC" w:rsidRDefault="00E42732" w:rsidP="002E6D96">
            <w:pPr>
              <w:widowControl/>
              <w:spacing w:line="259" w:lineRule="auto"/>
            </w:pPr>
            <w:r w:rsidRPr="00D83AEC">
              <w:rPr>
                <w:b/>
              </w:rPr>
              <w:t xml:space="preserve">Joint Petition </w:t>
            </w:r>
          </w:p>
        </w:tc>
        <w:tc>
          <w:tcPr>
            <w:tcW w:w="1004" w:type="dxa"/>
            <w:tcBorders>
              <w:top w:val="single" w:sz="4" w:space="0" w:color="000000"/>
              <w:left w:val="single" w:sz="4" w:space="0" w:color="000000"/>
              <w:bottom w:val="single" w:sz="4" w:space="0" w:color="000000"/>
              <w:right w:val="single" w:sz="4" w:space="0" w:color="000000"/>
            </w:tcBorders>
          </w:tcPr>
          <w:p w14:paraId="283A651B" w14:textId="77777777" w:rsidR="00E42732" w:rsidRPr="00D83AEC" w:rsidRDefault="00E42732" w:rsidP="002E6D96">
            <w:pPr>
              <w:widowControl/>
              <w:spacing w:line="259" w:lineRule="auto"/>
              <w:ind w:left="2"/>
              <w:jc w:val="both"/>
            </w:pPr>
            <w:r w:rsidRPr="00D83AEC">
              <w:rPr>
                <w:b/>
              </w:rPr>
              <w:t xml:space="preserve">100.0% </w:t>
            </w:r>
          </w:p>
        </w:tc>
        <w:tc>
          <w:tcPr>
            <w:tcW w:w="955" w:type="dxa"/>
            <w:tcBorders>
              <w:top w:val="single" w:sz="4" w:space="0" w:color="000000"/>
              <w:left w:val="single" w:sz="4" w:space="0" w:color="000000"/>
              <w:bottom w:val="single" w:sz="4" w:space="0" w:color="000000"/>
              <w:right w:val="single" w:sz="4" w:space="0" w:color="000000"/>
            </w:tcBorders>
          </w:tcPr>
          <w:p w14:paraId="634593CC" w14:textId="77777777" w:rsidR="00E42732" w:rsidRPr="00D83AEC" w:rsidRDefault="00E42732" w:rsidP="002E6D96">
            <w:pPr>
              <w:widowControl/>
              <w:spacing w:line="259" w:lineRule="auto"/>
              <w:ind w:left="38"/>
            </w:pPr>
            <w:r w:rsidRPr="00D83AEC">
              <w:rPr>
                <w:b/>
              </w:rPr>
              <w:t xml:space="preserve">72.3% </w:t>
            </w:r>
          </w:p>
        </w:tc>
        <w:tc>
          <w:tcPr>
            <w:tcW w:w="955" w:type="dxa"/>
            <w:tcBorders>
              <w:top w:val="single" w:sz="4" w:space="0" w:color="000000"/>
              <w:left w:val="single" w:sz="4" w:space="0" w:color="000000"/>
              <w:bottom w:val="single" w:sz="4" w:space="0" w:color="000000"/>
              <w:right w:val="single" w:sz="4" w:space="0" w:color="000000"/>
            </w:tcBorders>
          </w:tcPr>
          <w:p w14:paraId="7F43F4E3" w14:textId="77777777" w:rsidR="00E42732" w:rsidRPr="00D83AEC" w:rsidRDefault="00E42732" w:rsidP="002E6D96">
            <w:pPr>
              <w:widowControl/>
              <w:spacing w:line="259" w:lineRule="auto"/>
              <w:ind w:left="38"/>
            </w:pPr>
            <w:r w:rsidRPr="00D83AEC">
              <w:rPr>
                <w:b/>
              </w:rPr>
              <w:t xml:space="preserve">10.4% </w:t>
            </w:r>
          </w:p>
        </w:tc>
        <w:tc>
          <w:tcPr>
            <w:tcW w:w="939" w:type="dxa"/>
            <w:tcBorders>
              <w:top w:val="single" w:sz="4" w:space="0" w:color="000000"/>
              <w:left w:val="single" w:sz="4" w:space="0" w:color="000000"/>
              <w:bottom w:val="single" w:sz="4" w:space="0" w:color="000000"/>
              <w:right w:val="single" w:sz="4" w:space="0" w:color="000000"/>
            </w:tcBorders>
          </w:tcPr>
          <w:p w14:paraId="6D16AB5D" w14:textId="77777777" w:rsidR="00E42732" w:rsidRPr="00D83AEC" w:rsidRDefault="00E42732" w:rsidP="002E6D96">
            <w:pPr>
              <w:widowControl/>
              <w:spacing w:line="259" w:lineRule="auto"/>
              <w:ind w:left="91"/>
            </w:pPr>
            <w:r w:rsidRPr="00D83AEC">
              <w:rPr>
                <w:b/>
              </w:rPr>
              <w:t xml:space="preserve">5.7% </w:t>
            </w:r>
          </w:p>
        </w:tc>
        <w:tc>
          <w:tcPr>
            <w:tcW w:w="1337" w:type="dxa"/>
            <w:tcBorders>
              <w:top w:val="single" w:sz="4" w:space="0" w:color="000000"/>
              <w:left w:val="single" w:sz="4" w:space="0" w:color="000000"/>
              <w:bottom w:val="single" w:sz="4" w:space="0" w:color="000000"/>
              <w:right w:val="single" w:sz="4" w:space="0" w:color="000000"/>
            </w:tcBorders>
          </w:tcPr>
          <w:p w14:paraId="19B8F537" w14:textId="77777777" w:rsidR="00E42732" w:rsidRPr="00D83AEC" w:rsidRDefault="00E42732" w:rsidP="002E6D96">
            <w:pPr>
              <w:widowControl/>
              <w:spacing w:line="259" w:lineRule="auto"/>
              <w:ind w:right="60"/>
              <w:jc w:val="center"/>
            </w:pPr>
            <w:r w:rsidRPr="00D83AEC">
              <w:rPr>
                <w:b/>
              </w:rPr>
              <w:t xml:space="preserve">7.7% </w:t>
            </w:r>
          </w:p>
        </w:tc>
        <w:tc>
          <w:tcPr>
            <w:tcW w:w="1364" w:type="dxa"/>
            <w:tcBorders>
              <w:top w:val="single" w:sz="4" w:space="0" w:color="000000"/>
              <w:left w:val="single" w:sz="4" w:space="0" w:color="000000"/>
              <w:bottom w:val="single" w:sz="4" w:space="0" w:color="000000"/>
              <w:right w:val="single" w:sz="4" w:space="0" w:color="000000"/>
            </w:tcBorders>
          </w:tcPr>
          <w:p w14:paraId="67A3FE25" w14:textId="77777777" w:rsidR="00E42732" w:rsidRPr="00D83AEC" w:rsidRDefault="00E42732" w:rsidP="002E6D96">
            <w:pPr>
              <w:widowControl/>
              <w:spacing w:line="259" w:lineRule="auto"/>
              <w:ind w:right="63"/>
              <w:jc w:val="center"/>
            </w:pPr>
            <w:r w:rsidRPr="00D83AEC">
              <w:rPr>
                <w:b/>
              </w:rPr>
              <w:t xml:space="preserve">3.8% </w:t>
            </w:r>
          </w:p>
        </w:tc>
        <w:tc>
          <w:tcPr>
            <w:tcW w:w="907" w:type="dxa"/>
            <w:tcBorders>
              <w:top w:val="single" w:sz="4" w:space="0" w:color="000000"/>
              <w:left w:val="single" w:sz="4" w:space="0" w:color="000000"/>
              <w:bottom w:val="single" w:sz="4" w:space="0" w:color="000000"/>
              <w:right w:val="single" w:sz="4" w:space="0" w:color="000000"/>
            </w:tcBorders>
          </w:tcPr>
          <w:p w14:paraId="1959B001" w14:textId="77777777" w:rsidR="00E42732" w:rsidRPr="00D83AEC" w:rsidRDefault="00E42732" w:rsidP="002E6D96">
            <w:pPr>
              <w:widowControl/>
              <w:spacing w:line="259" w:lineRule="auto"/>
              <w:ind w:left="74"/>
            </w:pPr>
            <w:r w:rsidRPr="00D83AEC">
              <w:rPr>
                <w:b/>
              </w:rPr>
              <w:t xml:space="preserve">0.0% </w:t>
            </w:r>
          </w:p>
        </w:tc>
      </w:tr>
    </w:tbl>
    <w:p w14:paraId="46BC3F84" w14:textId="77777777" w:rsidR="00E42732" w:rsidRDefault="00E42732" w:rsidP="002E6D96">
      <w:pPr>
        <w:widowControl/>
        <w:ind w:firstLine="1440"/>
        <w:rPr>
          <w:sz w:val="26"/>
          <w:szCs w:val="26"/>
        </w:rPr>
      </w:pPr>
    </w:p>
    <w:p w14:paraId="3EDD90C8" w14:textId="77777777" w:rsidR="001A1F45" w:rsidRPr="00D83AEC" w:rsidRDefault="001A1F45" w:rsidP="002E6D96">
      <w:pPr>
        <w:widowControl/>
        <w:ind w:firstLine="1440"/>
        <w:rPr>
          <w:sz w:val="26"/>
          <w:szCs w:val="26"/>
        </w:rPr>
      </w:pPr>
    </w:p>
    <w:p w14:paraId="55081CBA" w14:textId="12427793" w:rsidR="00E42732" w:rsidRDefault="00E42732" w:rsidP="002E6D96">
      <w:pPr>
        <w:pStyle w:val="BodyTextIndent"/>
        <w:widowControl/>
      </w:pPr>
      <w:r w:rsidRPr="00D83AEC">
        <w:t xml:space="preserve">The proposed changes to the rate design for all customer classes, as set forth in Appendix “B” to the </w:t>
      </w:r>
      <w:r w:rsidR="003857AB">
        <w:t xml:space="preserve">Partial </w:t>
      </w:r>
      <w:r w:rsidRPr="00D83AEC">
        <w:t xml:space="preserve">Settlement, reflect an accord reached between the Joint Petitioners </w:t>
      </w:r>
      <w:r w:rsidR="001A1F45">
        <w:t xml:space="preserve">for </w:t>
      </w:r>
      <w:r w:rsidRPr="00D83AEC">
        <w:t xml:space="preserve">the rate design to be used to recover the rate increases allocated to the Company’s customers.  The Joint Petitioners have agreed that the </w:t>
      </w:r>
      <w:r w:rsidR="003857AB">
        <w:t xml:space="preserve">Partial </w:t>
      </w:r>
      <w:r w:rsidRPr="00D83AEC">
        <w:t>Settlement reflects an acceptable compromise of the competing litigation positions of the Joint Petitioners relative to rate design.</w:t>
      </w:r>
      <w:r>
        <w:t xml:space="preserve"> </w:t>
      </w:r>
      <w:r w:rsidRPr="00D83AEC">
        <w:t xml:space="preserve"> </w:t>
      </w:r>
      <w:r>
        <w:t>Further, t</w:t>
      </w:r>
      <w:r w:rsidRPr="00D83AEC">
        <w:t>he Joint Petition provides that the residential customer charge will not be increased and will remain at $16.75 per month</w:t>
      </w:r>
      <w:r>
        <w:t xml:space="preserve">, thereby serving the public interest by protecting residential ratepayers while providing Columbia with </w:t>
      </w:r>
      <w:r w:rsidRPr="00D83AEC">
        <w:t>adequate revenue.</w:t>
      </w:r>
      <w:bookmarkStart w:id="12" w:name="_Toc143077"/>
      <w:r w:rsidR="00BC2F32">
        <w:t xml:space="preserve"> </w:t>
      </w:r>
      <w:r>
        <w:t xml:space="preserve"> R.D. at 60</w:t>
      </w:r>
      <w:r w:rsidR="00B471BC">
        <w:t>.</w:t>
      </w:r>
    </w:p>
    <w:p w14:paraId="3342DDC5" w14:textId="77777777" w:rsidR="00E42732" w:rsidRDefault="00E42732" w:rsidP="002E6D96">
      <w:pPr>
        <w:widowControl/>
        <w:spacing w:line="360" w:lineRule="auto"/>
        <w:ind w:firstLine="1440"/>
        <w:rPr>
          <w:sz w:val="26"/>
          <w:szCs w:val="26"/>
          <w:u w:val="single" w:color="000000"/>
        </w:rPr>
      </w:pPr>
    </w:p>
    <w:p w14:paraId="27428C02" w14:textId="082025A0" w:rsidR="00E42732" w:rsidRDefault="00E42732" w:rsidP="002E6D96">
      <w:pPr>
        <w:widowControl/>
        <w:spacing w:line="360" w:lineRule="auto"/>
        <w:ind w:firstLine="1440"/>
        <w:rPr>
          <w:sz w:val="26"/>
          <w:szCs w:val="26"/>
        </w:rPr>
      </w:pPr>
      <w:r w:rsidRPr="00D83AEC">
        <w:rPr>
          <w:sz w:val="26"/>
          <w:szCs w:val="26"/>
          <w:u w:color="000000"/>
        </w:rPr>
        <w:lastRenderedPageBreak/>
        <w:t xml:space="preserve">The ALJ specifically noted that the Joint Petition resolved several related and contentious </w:t>
      </w:r>
      <w:r>
        <w:rPr>
          <w:sz w:val="26"/>
          <w:szCs w:val="26"/>
          <w:u w:color="000000"/>
        </w:rPr>
        <w:t xml:space="preserve">cost </w:t>
      </w:r>
      <w:r w:rsidRPr="00D83AEC">
        <w:rPr>
          <w:sz w:val="26"/>
          <w:szCs w:val="26"/>
          <w:u w:color="000000"/>
        </w:rPr>
        <w:t>issues regarding the Weather Normalization Adjustment</w:t>
      </w:r>
      <w:r>
        <w:rPr>
          <w:sz w:val="26"/>
          <w:szCs w:val="26"/>
          <w:u w:color="000000"/>
        </w:rPr>
        <w:t xml:space="preserve"> (WNA)</w:t>
      </w:r>
      <w:r w:rsidRPr="00D83AEC">
        <w:rPr>
          <w:sz w:val="26"/>
          <w:szCs w:val="26"/>
          <w:u w:color="000000"/>
        </w:rPr>
        <w:t xml:space="preserve"> and Revenue Normalization Adjustment</w:t>
      </w:r>
      <w:bookmarkEnd w:id="12"/>
      <w:r>
        <w:rPr>
          <w:sz w:val="26"/>
          <w:szCs w:val="26"/>
          <w:u w:color="000000"/>
        </w:rPr>
        <w:t xml:space="preserve"> (RNA)</w:t>
      </w:r>
      <w:r w:rsidRPr="00D83AEC">
        <w:rPr>
          <w:sz w:val="26"/>
          <w:szCs w:val="26"/>
          <w:u w:color="000000"/>
        </w:rPr>
        <w:t xml:space="preserve"> and </w:t>
      </w:r>
      <w:r>
        <w:rPr>
          <w:sz w:val="26"/>
          <w:szCs w:val="26"/>
          <w:u w:color="000000"/>
        </w:rPr>
        <w:t xml:space="preserve">the </w:t>
      </w:r>
      <w:r w:rsidR="00B84CC7">
        <w:rPr>
          <w:sz w:val="26"/>
          <w:szCs w:val="26"/>
          <w:u w:color="000000"/>
        </w:rPr>
        <w:t>Commercial and Industrial Network (</w:t>
      </w:r>
      <w:r w:rsidRPr="00D83AEC">
        <w:rPr>
          <w:sz w:val="26"/>
          <w:szCs w:val="26"/>
          <w:u w:color="000000"/>
        </w:rPr>
        <w:t>C</w:t>
      </w:r>
      <w:r w:rsidR="001A1F45">
        <w:rPr>
          <w:sz w:val="26"/>
          <w:szCs w:val="26"/>
          <w:u w:color="000000"/>
        </w:rPr>
        <w:t>&amp;</w:t>
      </w:r>
      <w:r w:rsidRPr="00D83AEC">
        <w:rPr>
          <w:sz w:val="26"/>
          <w:szCs w:val="26"/>
          <w:u w:color="000000"/>
        </w:rPr>
        <w:t>I Network</w:t>
      </w:r>
      <w:r w:rsidR="00B84CC7">
        <w:rPr>
          <w:sz w:val="26"/>
          <w:szCs w:val="26"/>
          <w:u w:color="000000"/>
        </w:rPr>
        <w:t>)</w:t>
      </w:r>
      <w:r w:rsidRPr="00D83AEC">
        <w:rPr>
          <w:sz w:val="26"/>
          <w:szCs w:val="26"/>
          <w:u w:color="000000"/>
        </w:rPr>
        <w:t>.</w:t>
      </w:r>
      <w:r>
        <w:rPr>
          <w:sz w:val="26"/>
          <w:szCs w:val="26"/>
          <w:u w:color="000000"/>
        </w:rPr>
        <w:t xml:space="preserve">  </w:t>
      </w:r>
      <w:r w:rsidRPr="00D83AEC">
        <w:rPr>
          <w:sz w:val="26"/>
          <w:szCs w:val="26"/>
        </w:rPr>
        <w:t xml:space="preserve">The </w:t>
      </w:r>
      <w:r w:rsidR="003857AB">
        <w:rPr>
          <w:sz w:val="26"/>
          <w:szCs w:val="26"/>
        </w:rPr>
        <w:t xml:space="preserve">Partial </w:t>
      </w:r>
      <w:r w:rsidRPr="00D83AEC">
        <w:rPr>
          <w:sz w:val="26"/>
          <w:szCs w:val="26"/>
        </w:rPr>
        <w:t>Settlement provides that the proposed WNA “will continue as a pilot and will include a 3% deadband”</w:t>
      </w:r>
      <w:r w:rsidR="00C778B7">
        <w:rPr>
          <w:rStyle w:val="FootnoteReference"/>
          <w:sz w:val="26"/>
          <w:szCs w:val="26"/>
        </w:rPr>
        <w:footnoteReference w:id="7"/>
      </w:r>
      <w:r w:rsidRPr="00D83AEC">
        <w:rPr>
          <w:sz w:val="26"/>
          <w:szCs w:val="26"/>
        </w:rPr>
        <w:t xml:space="preserve"> to take effect on January 31, 2019, and that the “proposal to exclude the month of October from the operation of the revised WNA is . . . accepted.” </w:t>
      </w:r>
      <w:r>
        <w:rPr>
          <w:sz w:val="26"/>
          <w:szCs w:val="26"/>
        </w:rPr>
        <w:t xml:space="preserve">Joint Petition </w:t>
      </w:r>
      <w:r w:rsidRPr="00D83AEC">
        <w:rPr>
          <w:sz w:val="26"/>
          <w:szCs w:val="26"/>
        </w:rPr>
        <w:t xml:space="preserve">at ¶ 40.  In addition, the Company’s proposed RNA has been withdrawn.  </w:t>
      </w:r>
      <w:r>
        <w:rPr>
          <w:sz w:val="26"/>
          <w:szCs w:val="26"/>
        </w:rPr>
        <w:t>Joint Petition</w:t>
      </w:r>
      <w:r w:rsidRPr="00D83AEC">
        <w:rPr>
          <w:sz w:val="26"/>
          <w:szCs w:val="26"/>
        </w:rPr>
        <w:t xml:space="preserve"> at ¶ 41.</w:t>
      </w:r>
      <w:r>
        <w:rPr>
          <w:sz w:val="26"/>
          <w:szCs w:val="26"/>
        </w:rPr>
        <w:t xml:space="preserve">  The </w:t>
      </w:r>
      <w:r w:rsidRPr="00D83AEC">
        <w:rPr>
          <w:sz w:val="26"/>
          <w:szCs w:val="26"/>
        </w:rPr>
        <w:t>Joint Petition provides that the “C&amp;I Network will not be placed in service in 2019, and no charges will be imposed on customers in this proceeding related to the C&amp;I Network</w:t>
      </w:r>
      <w:r>
        <w:rPr>
          <w:sz w:val="26"/>
          <w:szCs w:val="26"/>
        </w:rPr>
        <w:t>.</w:t>
      </w:r>
      <w:r w:rsidRPr="00D83AEC">
        <w:rPr>
          <w:sz w:val="26"/>
          <w:szCs w:val="26"/>
        </w:rPr>
        <w:t>”</w:t>
      </w:r>
      <w:r>
        <w:rPr>
          <w:sz w:val="26"/>
          <w:szCs w:val="26"/>
        </w:rPr>
        <w:t xml:space="preserve"> </w:t>
      </w:r>
      <w:r w:rsidR="003F3B53">
        <w:rPr>
          <w:sz w:val="26"/>
          <w:szCs w:val="26"/>
        </w:rPr>
        <w:t xml:space="preserve"> </w:t>
      </w:r>
      <w:r>
        <w:rPr>
          <w:sz w:val="26"/>
          <w:szCs w:val="26"/>
        </w:rPr>
        <w:t>R.D. at 60.</w:t>
      </w:r>
    </w:p>
    <w:p w14:paraId="3F020078" w14:textId="77777777" w:rsidR="00E42732" w:rsidRPr="00D83AEC" w:rsidRDefault="00E42732" w:rsidP="002E6D96">
      <w:pPr>
        <w:widowControl/>
        <w:spacing w:line="360" w:lineRule="auto"/>
        <w:ind w:firstLine="1440"/>
        <w:rPr>
          <w:sz w:val="26"/>
          <w:szCs w:val="26"/>
        </w:rPr>
      </w:pPr>
    </w:p>
    <w:p w14:paraId="4AD8C9F8" w14:textId="54502425" w:rsidR="00E42732" w:rsidRDefault="00E42732" w:rsidP="002E6D96">
      <w:pPr>
        <w:widowControl/>
        <w:spacing w:line="360" w:lineRule="auto"/>
        <w:ind w:firstLine="1440"/>
        <w:rPr>
          <w:sz w:val="26"/>
          <w:szCs w:val="26"/>
        </w:rPr>
      </w:pPr>
      <w:r>
        <w:rPr>
          <w:sz w:val="26"/>
          <w:szCs w:val="26"/>
        </w:rPr>
        <w:t>As noted by the ALJ, r</w:t>
      </w:r>
      <w:r w:rsidRPr="00D83AEC">
        <w:rPr>
          <w:sz w:val="26"/>
          <w:szCs w:val="26"/>
        </w:rPr>
        <w:t xml:space="preserve">evenue allocation and rate design, and the specific issues addressed by the Joint Petitioners were the subject of extensive litigation and negotiation, and the </w:t>
      </w:r>
      <w:r w:rsidR="003857AB">
        <w:rPr>
          <w:sz w:val="26"/>
          <w:szCs w:val="26"/>
        </w:rPr>
        <w:t xml:space="preserve">Partial </w:t>
      </w:r>
      <w:r w:rsidRPr="00D83AEC">
        <w:rPr>
          <w:sz w:val="26"/>
          <w:szCs w:val="26"/>
        </w:rPr>
        <w:t xml:space="preserve">Settlement reflects a compromise of </w:t>
      </w:r>
      <w:r>
        <w:rPr>
          <w:sz w:val="26"/>
          <w:szCs w:val="26"/>
        </w:rPr>
        <w:t xml:space="preserve">all </w:t>
      </w:r>
      <w:r w:rsidRPr="00D83AEC">
        <w:rPr>
          <w:sz w:val="26"/>
          <w:szCs w:val="26"/>
        </w:rPr>
        <w:t>the positions of the active Parties to this proceeding.</w:t>
      </w:r>
      <w:r>
        <w:rPr>
          <w:sz w:val="26"/>
          <w:szCs w:val="26"/>
        </w:rPr>
        <w:t xml:space="preserve">  R.D. at 58-62.</w:t>
      </w:r>
      <w:r w:rsidRPr="00D83AEC">
        <w:rPr>
          <w:sz w:val="26"/>
          <w:szCs w:val="26"/>
        </w:rPr>
        <w:t xml:space="preserve">  As such, the </w:t>
      </w:r>
      <w:r w:rsidR="003857AB">
        <w:rPr>
          <w:sz w:val="26"/>
          <w:szCs w:val="26"/>
        </w:rPr>
        <w:t xml:space="preserve">Partial </w:t>
      </w:r>
      <w:r w:rsidRPr="00D83AEC">
        <w:rPr>
          <w:sz w:val="26"/>
          <w:szCs w:val="26"/>
        </w:rPr>
        <w:t xml:space="preserve">Settlement </w:t>
      </w:r>
      <w:r>
        <w:rPr>
          <w:sz w:val="26"/>
          <w:szCs w:val="26"/>
        </w:rPr>
        <w:t xml:space="preserve">is not based on a formulaic calculation of revenue allocation and rate design, but rather a consensus of all </w:t>
      </w:r>
      <w:r w:rsidR="002854E5">
        <w:rPr>
          <w:sz w:val="26"/>
          <w:szCs w:val="26"/>
        </w:rPr>
        <w:t>P</w:t>
      </w:r>
      <w:r>
        <w:rPr>
          <w:sz w:val="26"/>
          <w:szCs w:val="26"/>
        </w:rPr>
        <w:t>arties to revenue allocation and rate design which adequately addresses the concerns of each party, and as a practical matter, strikes a balance between the two paramount concerns: adequate revenue for the utility to provide safe and reliable utility service and affordability of utility service for rate payers in the Commonwealth.</w:t>
      </w:r>
    </w:p>
    <w:p w14:paraId="79C908C8" w14:textId="77777777" w:rsidR="00D3034C" w:rsidRPr="003C351F" w:rsidRDefault="00D3034C" w:rsidP="002E6D96">
      <w:pPr>
        <w:widowControl/>
        <w:spacing w:line="360" w:lineRule="auto"/>
        <w:ind w:right="216" w:firstLine="1440"/>
        <w:contextualSpacing/>
        <w:textAlignment w:val="baseline"/>
        <w:rPr>
          <w:color w:val="000000"/>
          <w:sz w:val="26"/>
          <w:szCs w:val="26"/>
        </w:rPr>
      </w:pPr>
    </w:p>
    <w:p w14:paraId="3062CAC2" w14:textId="77777777" w:rsidR="006727EC" w:rsidRPr="00B80DD8" w:rsidRDefault="00B80DD8" w:rsidP="002E6D96">
      <w:pPr>
        <w:keepNext/>
        <w:keepLines/>
        <w:widowControl/>
        <w:tabs>
          <w:tab w:val="left" w:pos="1440"/>
        </w:tabs>
        <w:spacing w:line="360" w:lineRule="auto"/>
        <w:ind w:left="792"/>
        <w:textAlignment w:val="baseline"/>
        <w:outlineLvl w:val="1"/>
        <w:rPr>
          <w:b/>
          <w:color w:val="000000"/>
          <w:sz w:val="26"/>
          <w:szCs w:val="26"/>
        </w:rPr>
      </w:pPr>
      <w:bookmarkStart w:id="13" w:name="_Toc531076122"/>
      <w:r>
        <w:rPr>
          <w:b/>
          <w:color w:val="000000"/>
          <w:sz w:val="26"/>
          <w:szCs w:val="26"/>
        </w:rPr>
        <w:t>C.</w:t>
      </w:r>
      <w:r>
        <w:rPr>
          <w:b/>
          <w:color w:val="000000"/>
          <w:sz w:val="26"/>
          <w:szCs w:val="26"/>
        </w:rPr>
        <w:tab/>
      </w:r>
      <w:r w:rsidR="00D90B74" w:rsidRPr="00B80DD8">
        <w:rPr>
          <w:b/>
          <w:color w:val="000000"/>
          <w:sz w:val="26"/>
          <w:szCs w:val="26"/>
        </w:rPr>
        <w:t>Universal Service and Conservation</w:t>
      </w:r>
      <w:bookmarkEnd w:id="13"/>
    </w:p>
    <w:p w14:paraId="59092FBE" w14:textId="77777777" w:rsidR="00E42732" w:rsidRPr="009B016B" w:rsidRDefault="00E42732" w:rsidP="002E6D96">
      <w:pPr>
        <w:keepNext/>
        <w:keepLines/>
        <w:widowControl/>
        <w:spacing w:line="360" w:lineRule="auto"/>
        <w:ind w:firstLine="1440"/>
        <w:rPr>
          <w:b/>
          <w:sz w:val="26"/>
          <w:szCs w:val="26"/>
        </w:rPr>
      </w:pPr>
    </w:p>
    <w:p w14:paraId="50797FDD" w14:textId="18527F0D" w:rsidR="00E42732" w:rsidRDefault="00E42732" w:rsidP="002E6D96">
      <w:pPr>
        <w:widowControl/>
        <w:spacing w:line="360" w:lineRule="auto"/>
        <w:ind w:firstLine="1440"/>
        <w:rPr>
          <w:sz w:val="26"/>
          <w:szCs w:val="26"/>
        </w:rPr>
      </w:pPr>
      <w:r>
        <w:rPr>
          <w:sz w:val="26"/>
          <w:szCs w:val="26"/>
        </w:rPr>
        <w:t xml:space="preserve">Pursuant to the </w:t>
      </w:r>
      <w:r w:rsidR="00DC5FEC">
        <w:rPr>
          <w:sz w:val="26"/>
          <w:szCs w:val="26"/>
        </w:rPr>
        <w:t>Partial Settlement</w:t>
      </w:r>
      <w:r>
        <w:rPr>
          <w:sz w:val="26"/>
          <w:szCs w:val="26"/>
        </w:rPr>
        <w:t xml:space="preserve">, Columbia agrees to adopt certain policies regarding service to </w:t>
      </w:r>
      <w:r w:rsidRPr="00602833">
        <w:rPr>
          <w:sz w:val="26"/>
          <w:szCs w:val="26"/>
        </w:rPr>
        <w:t xml:space="preserve">low-income </w:t>
      </w:r>
      <w:r>
        <w:rPr>
          <w:sz w:val="26"/>
          <w:szCs w:val="26"/>
        </w:rPr>
        <w:t xml:space="preserve">customers and </w:t>
      </w:r>
      <w:r w:rsidRPr="00602833">
        <w:rPr>
          <w:sz w:val="26"/>
          <w:szCs w:val="26"/>
        </w:rPr>
        <w:t xml:space="preserve">universal service </w:t>
      </w:r>
      <w:r>
        <w:rPr>
          <w:sz w:val="26"/>
          <w:szCs w:val="26"/>
        </w:rPr>
        <w:t xml:space="preserve">which </w:t>
      </w:r>
      <w:r w:rsidR="00C61946">
        <w:rPr>
          <w:sz w:val="26"/>
          <w:szCs w:val="26"/>
        </w:rPr>
        <w:t xml:space="preserve">the </w:t>
      </w:r>
      <w:r>
        <w:rPr>
          <w:sz w:val="26"/>
          <w:szCs w:val="26"/>
        </w:rPr>
        <w:t xml:space="preserve">Joint Petitioners agree are beneficial to the </w:t>
      </w:r>
      <w:r w:rsidRPr="00602833">
        <w:rPr>
          <w:sz w:val="26"/>
          <w:szCs w:val="26"/>
        </w:rPr>
        <w:t>public interest</w:t>
      </w:r>
      <w:r>
        <w:rPr>
          <w:sz w:val="26"/>
          <w:szCs w:val="26"/>
        </w:rPr>
        <w:t xml:space="preserve">.  Specifically, settlement terms </w:t>
      </w:r>
      <w:r w:rsidRPr="00602833">
        <w:rPr>
          <w:sz w:val="26"/>
          <w:szCs w:val="26"/>
        </w:rPr>
        <w:lastRenderedPageBreak/>
        <w:t>provide necessary steps toward remedying issues related to funding of the Company’s Hardship Fund, budget billing enrollment, budget billing outreach, high CAP credits, and Hardship Fund grant eligibility, and ensur</w:t>
      </w:r>
      <w:r>
        <w:rPr>
          <w:sz w:val="26"/>
          <w:szCs w:val="26"/>
        </w:rPr>
        <w:t>ing</w:t>
      </w:r>
      <w:r w:rsidRPr="00602833">
        <w:rPr>
          <w:sz w:val="26"/>
          <w:szCs w:val="26"/>
        </w:rPr>
        <w:t xml:space="preserve"> the availability of essential programs to low-income customers.</w:t>
      </w:r>
    </w:p>
    <w:p w14:paraId="602B1414" w14:textId="77777777" w:rsidR="00E42732" w:rsidRPr="009B016B" w:rsidRDefault="00E42732" w:rsidP="002E6D96">
      <w:pPr>
        <w:widowControl/>
        <w:spacing w:line="360" w:lineRule="auto"/>
        <w:ind w:firstLine="1440"/>
        <w:rPr>
          <w:sz w:val="26"/>
          <w:szCs w:val="26"/>
        </w:rPr>
      </w:pPr>
    </w:p>
    <w:p w14:paraId="6FAE3873" w14:textId="60313D11" w:rsidR="00E42732" w:rsidRPr="006E51F5" w:rsidRDefault="00E42732" w:rsidP="002E6D96">
      <w:pPr>
        <w:widowControl/>
        <w:tabs>
          <w:tab w:val="center" w:pos="720"/>
          <w:tab w:val="center" w:pos="4872"/>
        </w:tabs>
        <w:spacing w:line="360" w:lineRule="auto"/>
        <w:ind w:firstLine="1440"/>
        <w:rPr>
          <w:sz w:val="24"/>
          <w:szCs w:val="22"/>
        </w:rPr>
      </w:pPr>
      <w:r>
        <w:rPr>
          <w:sz w:val="26"/>
          <w:szCs w:val="26"/>
        </w:rPr>
        <w:tab/>
      </w:r>
      <w:r w:rsidRPr="006E51F5">
        <w:rPr>
          <w:sz w:val="26"/>
          <w:szCs w:val="26"/>
        </w:rPr>
        <w:t xml:space="preserve">It was the consensus of </w:t>
      </w:r>
      <w:r w:rsidR="00C61946">
        <w:rPr>
          <w:sz w:val="26"/>
          <w:szCs w:val="26"/>
        </w:rPr>
        <w:t xml:space="preserve">the </w:t>
      </w:r>
      <w:r w:rsidRPr="006E51F5">
        <w:rPr>
          <w:sz w:val="26"/>
          <w:szCs w:val="26"/>
        </w:rPr>
        <w:t xml:space="preserve">Joint Petitioners that </w:t>
      </w:r>
      <w:r>
        <w:rPr>
          <w:sz w:val="26"/>
          <w:szCs w:val="26"/>
        </w:rPr>
        <w:t xml:space="preserve">establishing </w:t>
      </w:r>
      <w:r w:rsidRPr="006E51F5">
        <w:rPr>
          <w:sz w:val="26"/>
          <w:szCs w:val="26"/>
        </w:rPr>
        <w:t xml:space="preserve">adequate funding for Columbia’s Hardship Fund </w:t>
      </w:r>
      <w:r>
        <w:rPr>
          <w:sz w:val="26"/>
          <w:szCs w:val="26"/>
        </w:rPr>
        <w:t xml:space="preserve">was necessary to prevent </w:t>
      </w:r>
      <w:r w:rsidRPr="006E51F5">
        <w:rPr>
          <w:sz w:val="26"/>
          <w:szCs w:val="26"/>
        </w:rPr>
        <w:t xml:space="preserve">adverse impact on </w:t>
      </w:r>
      <w:r w:rsidRPr="00B147E2">
        <w:rPr>
          <w:sz w:val="26"/>
          <w:szCs w:val="26"/>
        </w:rPr>
        <w:t xml:space="preserve">the Company’s low-income </w:t>
      </w:r>
      <w:r>
        <w:rPr>
          <w:sz w:val="26"/>
          <w:szCs w:val="26"/>
        </w:rPr>
        <w:t>population</w:t>
      </w:r>
      <w:r w:rsidRPr="006E51F5">
        <w:rPr>
          <w:sz w:val="26"/>
          <w:szCs w:val="26"/>
        </w:rPr>
        <w:t xml:space="preserve">. </w:t>
      </w:r>
      <w:r>
        <w:rPr>
          <w:sz w:val="26"/>
          <w:szCs w:val="26"/>
        </w:rPr>
        <w:t xml:space="preserve"> </w:t>
      </w:r>
      <w:r w:rsidRPr="006E51F5">
        <w:rPr>
          <w:sz w:val="26"/>
          <w:szCs w:val="26"/>
        </w:rPr>
        <w:t>As</w:t>
      </w:r>
      <w:r>
        <w:rPr>
          <w:sz w:val="26"/>
          <w:szCs w:val="26"/>
        </w:rPr>
        <w:t xml:space="preserve"> the ALJ noted, t</w:t>
      </w:r>
      <w:r w:rsidRPr="009B016B">
        <w:rPr>
          <w:sz w:val="26"/>
          <w:szCs w:val="26"/>
        </w:rPr>
        <w:t xml:space="preserve">he </w:t>
      </w:r>
      <w:r w:rsidR="00DC5FEC">
        <w:rPr>
          <w:sz w:val="26"/>
          <w:szCs w:val="26"/>
        </w:rPr>
        <w:t>Partial Settlement</w:t>
      </w:r>
      <w:r>
        <w:rPr>
          <w:sz w:val="26"/>
          <w:szCs w:val="26"/>
        </w:rPr>
        <w:t xml:space="preserve"> </w:t>
      </w:r>
      <w:r w:rsidRPr="009B016B">
        <w:rPr>
          <w:sz w:val="26"/>
          <w:szCs w:val="26"/>
        </w:rPr>
        <w:t xml:space="preserve">adopts Columbia’s proposal </w:t>
      </w:r>
      <w:r>
        <w:rPr>
          <w:sz w:val="26"/>
          <w:szCs w:val="26"/>
        </w:rPr>
        <w:t xml:space="preserve">for continued </w:t>
      </w:r>
      <w:r w:rsidRPr="009B016B">
        <w:rPr>
          <w:sz w:val="26"/>
          <w:szCs w:val="26"/>
        </w:rPr>
        <w:t>funding for the Hardship Fund.</w:t>
      </w:r>
      <w:r w:rsidR="002B00AF">
        <w:rPr>
          <w:sz w:val="26"/>
          <w:szCs w:val="26"/>
        </w:rPr>
        <w:t xml:space="preserve"> </w:t>
      </w:r>
      <w:r>
        <w:rPr>
          <w:sz w:val="26"/>
          <w:szCs w:val="26"/>
        </w:rPr>
        <w:t xml:space="preserve"> R.D. at 70.  Specifically, </w:t>
      </w:r>
      <w:r w:rsidRPr="009B016B">
        <w:rPr>
          <w:sz w:val="26"/>
          <w:szCs w:val="26"/>
        </w:rPr>
        <w:t>Columbia</w:t>
      </w:r>
      <w:r>
        <w:rPr>
          <w:sz w:val="26"/>
          <w:szCs w:val="26"/>
        </w:rPr>
        <w:t xml:space="preserve"> will adopt certain practices which will serve </w:t>
      </w:r>
      <w:r w:rsidR="003F3B53">
        <w:rPr>
          <w:sz w:val="26"/>
          <w:szCs w:val="26"/>
        </w:rPr>
        <w:t xml:space="preserve">to </w:t>
      </w:r>
      <w:r>
        <w:rPr>
          <w:sz w:val="26"/>
          <w:szCs w:val="26"/>
        </w:rPr>
        <w:t xml:space="preserve">optimize the benefit of the fund, and secure additional funding sources.  For example, </w:t>
      </w:r>
      <w:r w:rsidRPr="009B016B">
        <w:rPr>
          <w:sz w:val="26"/>
          <w:szCs w:val="26"/>
        </w:rPr>
        <w:t xml:space="preserve">Columbia may </w:t>
      </w:r>
      <w:r>
        <w:rPr>
          <w:sz w:val="26"/>
          <w:szCs w:val="26"/>
        </w:rPr>
        <w:t xml:space="preserve">continue the practice of using </w:t>
      </w:r>
      <w:r w:rsidRPr="009B016B">
        <w:rPr>
          <w:sz w:val="26"/>
          <w:szCs w:val="26"/>
        </w:rPr>
        <w:t xml:space="preserve">the residential portion of pipeline penalty credits and refunds as a funding source for the Hardship Fund, while it continues to seek out additional funding from voluntary sources, consistent with </w:t>
      </w:r>
      <w:r>
        <w:rPr>
          <w:sz w:val="26"/>
          <w:szCs w:val="26"/>
        </w:rPr>
        <w:t xml:space="preserve">the </w:t>
      </w:r>
      <w:r w:rsidRPr="009B016B">
        <w:rPr>
          <w:sz w:val="26"/>
          <w:szCs w:val="26"/>
        </w:rPr>
        <w:t>Commission</w:t>
      </w:r>
      <w:r>
        <w:rPr>
          <w:sz w:val="26"/>
          <w:szCs w:val="26"/>
        </w:rPr>
        <w:t>’s Order approving the practice</w:t>
      </w:r>
      <w:r w:rsidRPr="009B016B">
        <w:rPr>
          <w:sz w:val="26"/>
          <w:szCs w:val="26"/>
        </w:rPr>
        <w:t>.</w:t>
      </w:r>
      <w:r w:rsidRPr="009B016B">
        <w:rPr>
          <w:sz w:val="26"/>
          <w:szCs w:val="26"/>
          <w:vertAlign w:val="superscript"/>
        </w:rPr>
        <w:footnoteReference w:id="8"/>
      </w:r>
      <w:r w:rsidRPr="009B016B">
        <w:rPr>
          <w:sz w:val="26"/>
          <w:szCs w:val="26"/>
        </w:rPr>
        <w:t xml:space="preserve">  </w:t>
      </w:r>
      <w:r>
        <w:rPr>
          <w:sz w:val="26"/>
          <w:szCs w:val="26"/>
        </w:rPr>
        <w:t xml:space="preserve">To measure the Company’s progress, </w:t>
      </w:r>
      <w:r w:rsidRPr="009B016B">
        <w:rPr>
          <w:sz w:val="26"/>
          <w:szCs w:val="26"/>
        </w:rPr>
        <w:t xml:space="preserve">Columbia agreed </w:t>
      </w:r>
      <w:r>
        <w:rPr>
          <w:sz w:val="26"/>
          <w:szCs w:val="26"/>
        </w:rPr>
        <w:t xml:space="preserve">to </w:t>
      </w:r>
      <w:r w:rsidRPr="009B016B">
        <w:rPr>
          <w:sz w:val="26"/>
          <w:szCs w:val="26"/>
        </w:rPr>
        <w:t>report in its next base rate proceeding on</w:t>
      </w:r>
      <w:r>
        <w:rPr>
          <w:sz w:val="26"/>
          <w:szCs w:val="26"/>
        </w:rPr>
        <w:t xml:space="preserve"> policies and practices developed </w:t>
      </w:r>
      <w:r w:rsidRPr="009B016B">
        <w:rPr>
          <w:sz w:val="26"/>
          <w:szCs w:val="26"/>
        </w:rPr>
        <w:t xml:space="preserve">to increase voluntary contributions to </w:t>
      </w:r>
      <w:r>
        <w:rPr>
          <w:sz w:val="26"/>
          <w:szCs w:val="26"/>
        </w:rPr>
        <w:t xml:space="preserve">the </w:t>
      </w:r>
      <w:r w:rsidRPr="009B016B">
        <w:rPr>
          <w:sz w:val="26"/>
          <w:szCs w:val="26"/>
        </w:rPr>
        <w:t>Fund.</w:t>
      </w:r>
      <w:r>
        <w:rPr>
          <w:sz w:val="26"/>
          <w:szCs w:val="26"/>
        </w:rPr>
        <w:t xml:space="preserve"> </w:t>
      </w:r>
      <w:r w:rsidR="003F3B53">
        <w:rPr>
          <w:sz w:val="26"/>
          <w:szCs w:val="26"/>
        </w:rPr>
        <w:t xml:space="preserve"> </w:t>
      </w:r>
      <w:r>
        <w:rPr>
          <w:sz w:val="26"/>
          <w:szCs w:val="26"/>
        </w:rPr>
        <w:t>R.D. at 70, Joint Petition at ⁋48.  Columbia also agree</w:t>
      </w:r>
      <w:r w:rsidR="003F3B53">
        <w:rPr>
          <w:sz w:val="26"/>
          <w:szCs w:val="26"/>
        </w:rPr>
        <w:t>d</w:t>
      </w:r>
      <w:r>
        <w:rPr>
          <w:sz w:val="26"/>
          <w:szCs w:val="26"/>
        </w:rPr>
        <w:t xml:space="preserve"> to provide an accounting to measure the effectiveness of the funding proposal, by providing testimony of the </w:t>
      </w:r>
      <w:r w:rsidRPr="009B016B">
        <w:rPr>
          <w:sz w:val="26"/>
          <w:szCs w:val="26"/>
        </w:rPr>
        <w:t>exact annual cost impact on an individual customer basis for the average usage customer and a comparison of the residential price-to-compare with and without utilized pipeline credits and refunds.</w:t>
      </w:r>
      <w:r>
        <w:rPr>
          <w:sz w:val="26"/>
          <w:szCs w:val="26"/>
        </w:rPr>
        <w:t xml:space="preserve"> </w:t>
      </w:r>
      <w:r w:rsidRPr="009B016B">
        <w:rPr>
          <w:sz w:val="26"/>
          <w:szCs w:val="26"/>
        </w:rPr>
        <w:t xml:space="preserve"> </w:t>
      </w:r>
      <w:r w:rsidR="00C61946">
        <w:rPr>
          <w:sz w:val="26"/>
          <w:szCs w:val="26"/>
        </w:rPr>
        <w:t xml:space="preserve">The </w:t>
      </w:r>
      <w:r>
        <w:rPr>
          <w:sz w:val="26"/>
          <w:szCs w:val="26"/>
        </w:rPr>
        <w:t xml:space="preserve">Joint Petitioners further agreed that </w:t>
      </w:r>
      <w:r w:rsidRPr="009B016B">
        <w:rPr>
          <w:sz w:val="26"/>
          <w:szCs w:val="26"/>
        </w:rPr>
        <w:t xml:space="preserve">all </w:t>
      </w:r>
      <w:r w:rsidR="002854E5">
        <w:rPr>
          <w:sz w:val="26"/>
          <w:szCs w:val="26"/>
        </w:rPr>
        <w:t>P</w:t>
      </w:r>
      <w:r w:rsidRPr="009B016B">
        <w:rPr>
          <w:sz w:val="26"/>
          <w:szCs w:val="26"/>
        </w:rPr>
        <w:t xml:space="preserve">arties </w:t>
      </w:r>
      <w:r>
        <w:rPr>
          <w:sz w:val="26"/>
          <w:szCs w:val="26"/>
        </w:rPr>
        <w:t>reserve the</w:t>
      </w:r>
      <w:r w:rsidRPr="009B016B">
        <w:rPr>
          <w:sz w:val="26"/>
          <w:szCs w:val="26"/>
        </w:rPr>
        <w:t xml:space="preserve"> right to challenge </w:t>
      </w:r>
      <w:r>
        <w:rPr>
          <w:sz w:val="26"/>
          <w:szCs w:val="26"/>
        </w:rPr>
        <w:t xml:space="preserve">or support the </w:t>
      </w:r>
      <w:r w:rsidRPr="009B016B">
        <w:rPr>
          <w:sz w:val="26"/>
          <w:szCs w:val="26"/>
        </w:rPr>
        <w:t xml:space="preserve">continued use of those funds to support the Hardship Fund. </w:t>
      </w:r>
      <w:r w:rsidR="003F3B53">
        <w:rPr>
          <w:sz w:val="26"/>
          <w:szCs w:val="26"/>
        </w:rPr>
        <w:t xml:space="preserve"> </w:t>
      </w:r>
      <w:r>
        <w:rPr>
          <w:sz w:val="26"/>
          <w:szCs w:val="26"/>
        </w:rPr>
        <w:t>R.D. at 70-71.</w:t>
      </w:r>
    </w:p>
    <w:p w14:paraId="09B89748" w14:textId="77777777" w:rsidR="00E42732" w:rsidRDefault="00E42732" w:rsidP="002E6D96">
      <w:pPr>
        <w:widowControl/>
        <w:spacing w:line="360" w:lineRule="auto"/>
        <w:ind w:firstLine="1440"/>
        <w:rPr>
          <w:sz w:val="26"/>
          <w:szCs w:val="26"/>
        </w:rPr>
      </w:pPr>
    </w:p>
    <w:p w14:paraId="0990503E" w14:textId="5C008D71" w:rsidR="00E42732" w:rsidRDefault="00E42732" w:rsidP="002E6D96">
      <w:pPr>
        <w:widowControl/>
        <w:spacing w:line="360" w:lineRule="auto"/>
        <w:ind w:firstLine="1440"/>
        <w:rPr>
          <w:sz w:val="26"/>
          <w:szCs w:val="26"/>
        </w:rPr>
      </w:pPr>
      <w:r>
        <w:rPr>
          <w:sz w:val="26"/>
          <w:szCs w:val="26"/>
        </w:rPr>
        <w:lastRenderedPageBreak/>
        <w:t>The ALJ noted that t</w:t>
      </w:r>
      <w:r w:rsidRPr="009B016B">
        <w:rPr>
          <w:sz w:val="26"/>
          <w:szCs w:val="26"/>
        </w:rPr>
        <w:t xml:space="preserve">he </w:t>
      </w:r>
      <w:r w:rsidR="00DC5FEC">
        <w:rPr>
          <w:sz w:val="26"/>
          <w:szCs w:val="26"/>
        </w:rPr>
        <w:t>Partial Settlement</w:t>
      </w:r>
      <w:r>
        <w:rPr>
          <w:sz w:val="26"/>
          <w:szCs w:val="26"/>
        </w:rPr>
        <w:t xml:space="preserve"> </w:t>
      </w:r>
      <w:r w:rsidRPr="009B016B">
        <w:rPr>
          <w:sz w:val="26"/>
          <w:szCs w:val="26"/>
        </w:rPr>
        <w:t>addresses a number of the concerns raised by the Joint Petitioners</w:t>
      </w:r>
      <w:r>
        <w:rPr>
          <w:sz w:val="26"/>
          <w:szCs w:val="26"/>
        </w:rPr>
        <w:t xml:space="preserve"> regarding the Company’s Universal Service Programs, including: </w:t>
      </w:r>
    </w:p>
    <w:p w14:paraId="00631F03" w14:textId="77777777" w:rsidR="00E42732" w:rsidRPr="009B016B" w:rsidRDefault="00E42732" w:rsidP="002E6D96">
      <w:pPr>
        <w:widowControl/>
        <w:spacing w:line="360" w:lineRule="auto"/>
        <w:ind w:firstLine="1440"/>
        <w:rPr>
          <w:sz w:val="26"/>
          <w:szCs w:val="26"/>
        </w:rPr>
      </w:pPr>
    </w:p>
    <w:p w14:paraId="75A96A50" w14:textId="77777777" w:rsidR="0074608D" w:rsidRDefault="00E42732" w:rsidP="002E6D96">
      <w:pPr>
        <w:widowControl/>
        <w:ind w:left="1440" w:right="1440"/>
        <w:rPr>
          <w:sz w:val="26"/>
          <w:szCs w:val="26"/>
        </w:rPr>
      </w:pPr>
      <w:r w:rsidRPr="009B016B">
        <w:rPr>
          <w:sz w:val="26"/>
          <w:szCs w:val="26"/>
        </w:rPr>
        <w:t>48. Columbia’s proposal to use the residential portion of pipeline credits and refunds as a funding source for the Hardship Fund, while it continues to seek out additional funding from voluntary sources, is approved</w:t>
      </w:r>
      <w:r w:rsidR="0074608D">
        <w:rPr>
          <w:sz w:val="26"/>
          <w:szCs w:val="26"/>
        </w:rPr>
        <w:t xml:space="preserve"> . . . .</w:t>
      </w:r>
    </w:p>
    <w:p w14:paraId="7F60700D" w14:textId="1C3F00D8" w:rsidR="0074608D" w:rsidRDefault="0074608D" w:rsidP="002E6D96">
      <w:pPr>
        <w:widowControl/>
        <w:ind w:left="1440" w:right="1440"/>
        <w:rPr>
          <w:sz w:val="26"/>
          <w:szCs w:val="26"/>
        </w:rPr>
      </w:pPr>
    </w:p>
    <w:p w14:paraId="31B7AE04" w14:textId="77777777" w:rsidR="00E42732" w:rsidRPr="009B016B" w:rsidRDefault="0074608D" w:rsidP="002E6D96">
      <w:pPr>
        <w:widowControl/>
        <w:ind w:left="1440" w:right="1440"/>
        <w:jc w:val="center"/>
        <w:rPr>
          <w:sz w:val="26"/>
          <w:szCs w:val="26"/>
        </w:rPr>
      </w:pPr>
      <w:r>
        <w:rPr>
          <w:sz w:val="26"/>
          <w:szCs w:val="26"/>
        </w:rPr>
        <w:t>*   *   *</w:t>
      </w:r>
    </w:p>
    <w:p w14:paraId="6E9B9CB4" w14:textId="77777777" w:rsidR="00E42732" w:rsidRPr="009B016B" w:rsidRDefault="00E42732" w:rsidP="002E6D96">
      <w:pPr>
        <w:widowControl/>
        <w:ind w:left="1440" w:right="1440"/>
        <w:rPr>
          <w:sz w:val="26"/>
          <w:szCs w:val="26"/>
        </w:rPr>
      </w:pPr>
    </w:p>
    <w:p w14:paraId="62D789A5" w14:textId="77777777" w:rsidR="00E42732" w:rsidRPr="009B016B" w:rsidRDefault="00E42732" w:rsidP="002E6D96">
      <w:pPr>
        <w:widowControl/>
        <w:numPr>
          <w:ilvl w:val="0"/>
          <w:numId w:val="31"/>
        </w:numPr>
        <w:ind w:left="1440" w:right="1440"/>
        <w:rPr>
          <w:sz w:val="26"/>
          <w:szCs w:val="26"/>
        </w:rPr>
      </w:pPr>
      <w:r w:rsidRPr="009B016B">
        <w:rPr>
          <w:sz w:val="26"/>
          <w:szCs w:val="26"/>
        </w:rPr>
        <w:t xml:space="preserve">The Company will allow year-round rolling enrollment for its budget billing program and shall modify its related tariff language accordingly in its compliance filing and Columbia agrees to further review the budget billing proposals of Mr. Colton and provide an analysis in its next rate case of the costs and timing to adopt further modifications. </w:t>
      </w:r>
    </w:p>
    <w:p w14:paraId="01C85A48" w14:textId="38101B50" w:rsidR="00E42732" w:rsidRPr="009B016B" w:rsidRDefault="00E42732" w:rsidP="002E6D96">
      <w:pPr>
        <w:widowControl/>
        <w:ind w:left="1440" w:right="1440"/>
        <w:rPr>
          <w:sz w:val="26"/>
          <w:szCs w:val="26"/>
        </w:rPr>
      </w:pPr>
    </w:p>
    <w:p w14:paraId="7E3C3FBD" w14:textId="77777777" w:rsidR="00E42732" w:rsidRPr="009B016B" w:rsidRDefault="00E42732" w:rsidP="002E6D96">
      <w:pPr>
        <w:widowControl/>
        <w:numPr>
          <w:ilvl w:val="0"/>
          <w:numId w:val="31"/>
        </w:numPr>
        <w:ind w:left="1440" w:right="1440"/>
        <w:rPr>
          <w:sz w:val="26"/>
          <w:szCs w:val="26"/>
        </w:rPr>
      </w:pPr>
      <w:r w:rsidRPr="009B016B">
        <w:rPr>
          <w:sz w:val="26"/>
          <w:szCs w:val="26"/>
        </w:rPr>
        <w:t xml:space="preserve">Columbia will promote the budget plan to each customer upon successful completion of a deferred payment plan.  </w:t>
      </w:r>
    </w:p>
    <w:p w14:paraId="68662FB8" w14:textId="5CF4926B" w:rsidR="00E42732" w:rsidRPr="009B016B" w:rsidRDefault="00E42732" w:rsidP="002E6D96">
      <w:pPr>
        <w:widowControl/>
        <w:ind w:left="1440" w:right="1440"/>
        <w:rPr>
          <w:sz w:val="26"/>
          <w:szCs w:val="26"/>
        </w:rPr>
      </w:pPr>
    </w:p>
    <w:p w14:paraId="33419291" w14:textId="77777777" w:rsidR="00E42732" w:rsidRPr="009B016B" w:rsidRDefault="00E42732" w:rsidP="002E6D96">
      <w:pPr>
        <w:widowControl/>
        <w:numPr>
          <w:ilvl w:val="0"/>
          <w:numId w:val="31"/>
        </w:numPr>
        <w:ind w:left="1440" w:right="1440"/>
        <w:rPr>
          <w:sz w:val="26"/>
          <w:szCs w:val="26"/>
        </w:rPr>
      </w:pPr>
      <w:r w:rsidRPr="009B016B">
        <w:rPr>
          <w:sz w:val="26"/>
          <w:szCs w:val="26"/>
        </w:rPr>
        <w:t xml:space="preserve">Columbia agrees to engage in specific budget billing outreach to accounts, both low-income and residential generally, that experience short-term arrears during the Company’s high cost months. </w:t>
      </w:r>
    </w:p>
    <w:p w14:paraId="75A08DA7" w14:textId="2DA20237" w:rsidR="00E42732" w:rsidRPr="009B016B" w:rsidRDefault="00E42732" w:rsidP="002E6D96">
      <w:pPr>
        <w:widowControl/>
        <w:ind w:left="1440" w:right="1440"/>
        <w:rPr>
          <w:sz w:val="26"/>
          <w:szCs w:val="26"/>
        </w:rPr>
      </w:pPr>
    </w:p>
    <w:p w14:paraId="2B673CBA" w14:textId="77777777" w:rsidR="00E42732" w:rsidRPr="009B016B" w:rsidRDefault="00E42732" w:rsidP="002E6D96">
      <w:pPr>
        <w:widowControl/>
        <w:numPr>
          <w:ilvl w:val="0"/>
          <w:numId w:val="31"/>
        </w:numPr>
        <w:ind w:left="1440" w:right="1440"/>
        <w:rPr>
          <w:sz w:val="26"/>
          <w:szCs w:val="26"/>
        </w:rPr>
      </w:pPr>
      <w:r w:rsidRPr="009B016B">
        <w:rPr>
          <w:sz w:val="26"/>
          <w:szCs w:val="26"/>
        </w:rPr>
        <w:t xml:space="preserve">Columbia agrees to continue to review the list of customers with high CAP credits (over $1,000) from the prior year and prioritize those customers for weatherization when possible.  Once this list has been exhausted, Columbia will use the high usage CAP customer list as well as eligible customers requesting weatherization.  This prioritization will continue unless and until Columbia evaluates the cost-effectiveness of the prioritization; reviews that evaluation with stakeholders; and all parties agree that the prioritization is not cost-effective. </w:t>
      </w:r>
    </w:p>
    <w:p w14:paraId="32916531" w14:textId="3B3BCEAC" w:rsidR="00E42732" w:rsidRPr="009B016B" w:rsidRDefault="00E42732" w:rsidP="002E6D96">
      <w:pPr>
        <w:widowControl/>
        <w:ind w:left="1440" w:right="1440"/>
        <w:rPr>
          <w:sz w:val="26"/>
          <w:szCs w:val="26"/>
        </w:rPr>
      </w:pPr>
    </w:p>
    <w:p w14:paraId="0EE3D66E" w14:textId="00747C66" w:rsidR="00E42732" w:rsidRDefault="00E42732" w:rsidP="002E6D96">
      <w:pPr>
        <w:widowControl/>
        <w:numPr>
          <w:ilvl w:val="0"/>
          <w:numId w:val="31"/>
        </w:numPr>
        <w:ind w:left="1440" w:right="1440"/>
        <w:rPr>
          <w:sz w:val="26"/>
          <w:szCs w:val="26"/>
        </w:rPr>
      </w:pPr>
      <w:r w:rsidRPr="009B016B">
        <w:rPr>
          <w:sz w:val="26"/>
          <w:szCs w:val="26"/>
        </w:rPr>
        <w:t xml:space="preserve">Columbia’s proposal to decline to impose a limitation on the eligibility to receive a Hardship Fund grant to </w:t>
      </w:r>
      <w:r w:rsidRPr="009B016B">
        <w:rPr>
          <w:sz w:val="26"/>
          <w:szCs w:val="26"/>
        </w:rPr>
        <w:lastRenderedPageBreak/>
        <w:t>households with income between 151% and 200% of Poverty is approved.</w:t>
      </w:r>
    </w:p>
    <w:p w14:paraId="55A5F454" w14:textId="0FD4F55A" w:rsidR="0074608D" w:rsidRDefault="0074608D" w:rsidP="002E6D96">
      <w:pPr>
        <w:widowControl/>
        <w:ind w:right="1440"/>
        <w:rPr>
          <w:sz w:val="26"/>
          <w:szCs w:val="26"/>
        </w:rPr>
      </w:pPr>
    </w:p>
    <w:p w14:paraId="5A9B2776" w14:textId="77777777" w:rsidR="0074608D" w:rsidRPr="009B016B" w:rsidRDefault="0074608D" w:rsidP="002E6D96">
      <w:pPr>
        <w:widowControl/>
        <w:ind w:right="1440"/>
        <w:rPr>
          <w:sz w:val="26"/>
          <w:szCs w:val="26"/>
        </w:rPr>
      </w:pPr>
    </w:p>
    <w:p w14:paraId="0D45B7C1" w14:textId="77777777" w:rsidR="00E42732" w:rsidRDefault="00E42732" w:rsidP="002E6D96">
      <w:pPr>
        <w:widowControl/>
        <w:spacing w:line="360" w:lineRule="auto"/>
        <w:rPr>
          <w:sz w:val="26"/>
          <w:szCs w:val="26"/>
        </w:rPr>
      </w:pPr>
      <w:r>
        <w:rPr>
          <w:sz w:val="26"/>
          <w:szCs w:val="26"/>
        </w:rPr>
        <w:t xml:space="preserve">R.D. at 71-72, Joint Petition </w:t>
      </w:r>
      <w:r w:rsidRPr="009B016B">
        <w:rPr>
          <w:sz w:val="26"/>
          <w:szCs w:val="26"/>
        </w:rPr>
        <w:t>at ¶¶ 48, 52-56.</w:t>
      </w:r>
    </w:p>
    <w:p w14:paraId="46A73171" w14:textId="77777777" w:rsidR="00E42732" w:rsidRDefault="00E42732" w:rsidP="002E6D96">
      <w:pPr>
        <w:widowControl/>
        <w:spacing w:line="360" w:lineRule="auto"/>
        <w:ind w:firstLine="1440"/>
        <w:rPr>
          <w:sz w:val="26"/>
          <w:szCs w:val="26"/>
        </w:rPr>
      </w:pPr>
    </w:p>
    <w:p w14:paraId="17209D16" w14:textId="3AE69105" w:rsidR="00E42732" w:rsidRPr="009B016B" w:rsidRDefault="00E42732" w:rsidP="002E6D96">
      <w:pPr>
        <w:widowControl/>
        <w:spacing w:line="360" w:lineRule="auto"/>
        <w:ind w:firstLine="1440"/>
        <w:rPr>
          <w:sz w:val="26"/>
          <w:szCs w:val="26"/>
        </w:rPr>
      </w:pPr>
      <w:r>
        <w:rPr>
          <w:sz w:val="26"/>
          <w:szCs w:val="26"/>
        </w:rPr>
        <w:t>The ALJ further noted that as a condition of settlement, Columbia agreed to work cooperatively to address issues</w:t>
      </w:r>
      <w:r w:rsidRPr="001B3070">
        <w:rPr>
          <w:sz w:val="26"/>
          <w:szCs w:val="26"/>
        </w:rPr>
        <w:t xml:space="preserve"> </w:t>
      </w:r>
      <w:r>
        <w:rPr>
          <w:sz w:val="26"/>
          <w:szCs w:val="26"/>
        </w:rPr>
        <w:t xml:space="preserve">raised by </w:t>
      </w:r>
      <w:r w:rsidRPr="009B016B">
        <w:rPr>
          <w:sz w:val="26"/>
          <w:szCs w:val="26"/>
        </w:rPr>
        <w:t xml:space="preserve">CAUSE-PA, CAAP </w:t>
      </w:r>
      <w:r w:rsidR="00BB0BBE">
        <w:rPr>
          <w:sz w:val="26"/>
          <w:szCs w:val="26"/>
        </w:rPr>
        <w:t>and the</w:t>
      </w:r>
      <w:r w:rsidRPr="009B016B">
        <w:rPr>
          <w:sz w:val="26"/>
          <w:szCs w:val="26"/>
        </w:rPr>
        <w:t xml:space="preserve"> OCA</w:t>
      </w:r>
      <w:r>
        <w:rPr>
          <w:sz w:val="26"/>
          <w:szCs w:val="26"/>
        </w:rPr>
        <w:t xml:space="preserve"> related to universal service </w:t>
      </w:r>
      <w:r w:rsidR="0074608D">
        <w:rPr>
          <w:sz w:val="26"/>
          <w:szCs w:val="26"/>
        </w:rPr>
        <w:t xml:space="preserve">issues </w:t>
      </w:r>
      <w:r>
        <w:rPr>
          <w:sz w:val="26"/>
          <w:szCs w:val="26"/>
        </w:rPr>
        <w:t xml:space="preserve">which are not addressed in the </w:t>
      </w:r>
      <w:r w:rsidR="00DC5FEC">
        <w:rPr>
          <w:sz w:val="26"/>
          <w:szCs w:val="26"/>
        </w:rPr>
        <w:t>Partial Settlement</w:t>
      </w:r>
      <w:r w:rsidR="00736083">
        <w:rPr>
          <w:sz w:val="26"/>
          <w:szCs w:val="26"/>
        </w:rPr>
        <w:t>.  T</w:t>
      </w:r>
      <w:r>
        <w:rPr>
          <w:sz w:val="26"/>
          <w:szCs w:val="26"/>
        </w:rPr>
        <w:t xml:space="preserve">he </w:t>
      </w:r>
      <w:r w:rsidR="002854E5">
        <w:rPr>
          <w:sz w:val="26"/>
          <w:szCs w:val="26"/>
        </w:rPr>
        <w:t>P</w:t>
      </w:r>
      <w:r>
        <w:rPr>
          <w:sz w:val="26"/>
          <w:szCs w:val="26"/>
        </w:rPr>
        <w:t xml:space="preserve">arties </w:t>
      </w:r>
      <w:r w:rsidR="00736083">
        <w:rPr>
          <w:sz w:val="26"/>
          <w:szCs w:val="26"/>
        </w:rPr>
        <w:t xml:space="preserve">agreed that they </w:t>
      </w:r>
      <w:r>
        <w:rPr>
          <w:sz w:val="26"/>
          <w:szCs w:val="26"/>
        </w:rPr>
        <w:t xml:space="preserve">may </w:t>
      </w:r>
      <w:r w:rsidRPr="009B016B">
        <w:rPr>
          <w:sz w:val="26"/>
          <w:szCs w:val="26"/>
        </w:rPr>
        <w:t xml:space="preserve">present </w:t>
      </w:r>
      <w:r w:rsidR="004E1588">
        <w:rPr>
          <w:sz w:val="26"/>
          <w:szCs w:val="26"/>
        </w:rPr>
        <w:t xml:space="preserve">these issues </w:t>
      </w:r>
      <w:r w:rsidRPr="009B016B">
        <w:rPr>
          <w:sz w:val="26"/>
          <w:szCs w:val="26"/>
        </w:rPr>
        <w:t xml:space="preserve">to Columbia’s </w:t>
      </w:r>
      <w:r w:rsidR="004E1588" w:rsidRPr="004E1588">
        <w:rPr>
          <w:sz w:val="26"/>
          <w:szCs w:val="26"/>
        </w:rPr>
        <w:t>Universal Service Advisory Committee (</w:t>
      </w:r>
      <w:r w:rsidRPr="009B016B">
        <w:rPr>
          <w:sz w:val="26"/>
          <w:szCs w:val="26"/>
        </w:rPr>
        <w:t>USAC</w:t>
      </w:r>
      <w:r w:rsidR="004E1588">
        <w:rPr>
          <w:sz w:val="26"/>
          <w:szCs w:val="26"/>
        </w:rPr>
        <w:t>)</w:t>
      </w:r>
      <w:r w:rsidRPr="009B016B">
        <w:rPr>
          <w:sz w:val="26"/>
          <w:szCs w:val="26"/>
        </w:rPr>
        <w:t xml:space="preserve"> for discussion and identification of potential solutions.</w:t>
      </w:r>
      <w:r>
        <w:rPr>
          <w:sz w:val="26"/>
          <w:szCs w:val="26"/>
        </w:rPr>
        <w:t xml:space="preserve"> </w:t>
      </w:r>
      <w:r w:rsidR="00736083">
        <w:rPr>
          <w:sz w:val="26"/>
          <w:szCs w:val="26"/>
        </w:rPr>
        <w:t xml:space="preserve"> </w:t>
      </w:r>
      <w:r>
        <w:rPr>
          <w:sz w:val="26"/>
          <w:szCs w:val="26"/>
        </w:rPr>
        <w:t xml:space="preserve">R.D. at 72, Joint Petition at </w:t>
      </w:r>
      <w:r w:rsidRPr="009B016B">
        <w:rPr>
          <w:sz w:val="26"/>
          <w:szCs w:val="26"/>
        </w:rPr>
        <w:t>¶ 59.</w:t>
      </w:r>
      <w:r>
        <w:rPr>
          <w:sz w:val="26"/>
          <w:szCs w:val="26"/>
        </w:rPr>
        <w:t xml:space="preserve">  Columbia further agreed </w:t>
      </w:r>
      <w:r w:rsidRPr="009B016B">
        <w:rPr>
          <w:sz w:val="26"/>
          <w:szCs w:val="26"/>
        </w:rPr>
        <w:t>to undertake several initiatives to mitigate the effects of a rate increase upon low-income customers</w:t>
      </w:r>
      <w:r>
        <w:rPr>
          <w:sz w:val="26"/>
          <w:szCs w:val="26"/>
        </w:rPr>
        <w:t xml:space="preserve"> in response to</w:t>
      </w:r>
      <w:r w:rsidRPr="009B016B">
        <w:rPr>
          <w:sz w:val="26"/>
          <w:szCs w:val="26"/>
        </w:rPr>
        <w:t xml:space="preserve"> the OCA’s, CAUSE</w:t>
      </w:r>
      <w:r w:rsidR="00405D36">
        <w:rPr>
          <w:sz w:val="26"/>
          <w:szCs w:val="26"/>
        </w:rPr>
        <w:t>-</w:t>
      </w:r>
      <w:r w:rsidRPr="009B016B">
        <w:rPr>
          <w:sz w:val="26"/>
          <w:szCs w:val="26"/>
        </w:rPr>
        <w:t>PA’s and CAAP’s concern</w:t>
      </w:r>
      <w:r w:rsidR="004E1588">
        <w:rPr>
          <w:sz w:val="26"/>
          <w:szCs w:val="26"/>
        </w:rPr>
        <w:t>s</w:t>
      </w:r>
      <w:r w:rsidRPr="00DE497C">
        <w:rPr>
          <w:sz w:val="26"/>
          <w:szCs w:val="26"/>
        </w:rPr>
        <w:t xml:space="preserve"> </w:t>
      </w:r>
      <w:r>
        <w:rPr>
          <w:sz w:val="26"/>
          <w:szCs w:val="26"/>
        </w:rPr>
        <w:t xml:space="preserve">regarding </w:t>
      </w:r>
      <w:r w:rsidRPr="009B016B">
        <w:rPr>
          <w:sz w:val="26"/>
          <w:szCs w:val="26"/>
        </w:rPr>
        <w:t>the effect</w:t>
      </w:r>
      <w:r w:rsidR="004E1588">
        <w:rPr>
          <w:sz w:val="26"/>
          <w:szCs w:val="26"/>
        </w:rPr>
        <w:t>s</w:t>
      </w:r>
      <w:r w:rsidRPr="009B016B">
        <w:rPr>
          <w:sz w:val="26"/>
          <w:szCs w:val="26"/>
        </w:rPr>
        <w:t xml:space="preserve"> of a rate increase on low-income customers</w:t>
      </w:r>
      <w:r w:rsidR="00736083">
        <w:rPr>
          <w:sz w:val="26"/>
          <w:szCs w:val="26"/>
        </w:rPr>
        <w:t xml:space="preserve">. </w:t>
      </w:r>
      <w:r>
        <w:rPr>
          <w:sz w:val="26"/>
          <w:szCs w:val="26"/>
        </w:rPr>
        <w:t xml:space="preserve"> R.D. at 73.</w:t>
      </w:r>
      <w:r w:rsidRPr="009B016B">
        <w:rPr>
          <w:sz w:val="26"/>
          <w:szCs w:val="26"/>
        </w:rPr>
        <w:t xml:space="preserve"> </w:t>
      </w:r>
    </w:p>
    <w:p w14:paraId="59371115" w14:textId="77777777" w:rsidR="00E42732" w:rsidRPr="009B016B" w:rsidRDefault="00E42732" w:rsidP="002E6D96">
      <w:pPr>
        <w:widowControl/>
        <w:spacing w:line="360" w:lineRule="auto"/>
        <w:ind w:firstLine="1440"/>
        <w:rPr>
          <w:sz w:val="26"/>
          <w:szCs w:val="26"/>
        </w:rPr>
      </w:pPr>
    </w:p>
    <w:p w14:paraId="30974665" w14:textId="73CF2E78" w:rsidR="00E42732" w:rsidRDefault="00E42732" w:rsidP="002E6D96">
      <w:pPr>
        <w:widowControl/>
        <w:spacing w:line="360" w:lineRule="auto"/>
        <w:ind w:firstLine="1440"/>
        <w:rPr>
          <w:sz w:val="26"/>
          <w:szCs w:val="26"/>
        </w:rPr>
      </w:pPr>
      <w:r>
        <w:rPr>
          <w:sz w:val="26"/>
          <w:szCs w:val="26"/>
        </w:rPr>
        <w:t xml:space="preserve">The ALJ concluded that the terms and conditions of the </w:t>
      </w:r>
      <w:r w:rsidR="00DC5FEC">
        <w:rPr>
          <w:sz w:val="26"/>
          <w:szCs w:val="26"/>
        </w:rPr>
        <w:t>Partial Settlement</w:t>
      </w:r>
      <w:r>
        <w:rPr>
          <w:sz w:val="26"/>
          <w:szCs w:val="26"/>
        </w:rPr>
        <w:t xml:space="preserve"> demonstrate the Joint Petitioners’ commitment to policies and practices which serve to support and further the goals of </w:t>
      </w:r>
      <w:r w:rsidRPr="009B016B">
        <w:rPr>
          <w:sz w:val="26"/>
          <w:szCs w:val="26"/>
        </w:rPr>
        <w:t xml:space="preserve">Universal Service and Energy Conservation </w:t>
      </w:r>
      <w:r>
        <w:rPr>
          <w:sz w:val="26"/>
          <w:szCs w:val="26"/>
        </w:rPr>
        <w:t xml:space="preserve">and thereby benefit the public interest. </w:t>
      </w:r>
      <w:r w:rsidR="002B00AF">
        <w:rPr>
          <w:sz w:val="26"/>
          <w:szCs w:val="26"/>
        </w:rPr>
        <w:t xml:space="preserve"> </w:t>
      </w:r>
      <w:r>
        <w:rPr>
          <w:sz w:val="26"/>
          <w:szCs w:val="26"/>
        </w:rPr>
        <w:t>R.D. at 73.</w:t>
      </w:r>
    </w:p>
    <w:p w14:paraId="36745C85" w14:textId="77777777" w:rsidR="00D90B74" w:rsidRPr="00D90B74" w:rsidRDefault="00D90B74" w:rsidP="002E6D96">
      <w:pPr>
        <w:keepNext/>
        <w:keepLines/>
        <w:widowControl/>
        <w:tabs>
          <w:tab w:val="left" w:pos="1440"/>
        </w:tabs>
        <w:spacing w:line="360" w:lineRule="auto"/>
        <w:textAlignment w:val="baseline"/>
        <w:outlineLvl w:val="1"/>
        <w:rPr>
          <w:b/>
          <w:color w:val="000000"/>
          <w:sz w:val="26"/>
          <w:szCs w:val="26"/>
        </w:rPr>
      </w:pPr>
    </w:p>
    <w:p w14:paraId="290E2D44" w14:textId="77777777" w:rsidR="00D90B74" w:rsidRPr="00B80DD8" w:rsidRDefault="00B80DD8" w:rsidP="002E6D96">
      <w:pPr>
        <w:keepNext/>
        <w:keepLines/>
        <w:widowControl/>
        <w:tabs>
          <w:tab w:val="left" w:pos="1440"/>
        </w:tabs>
        <w:spacing w:line="360" w:lineRule="auto"/>
        <w:ind w:left="792"/>
        <w:textAlignment w:val="baseline"/>
        <w:outlineLvl w:val="1"/>
        <w:rPr>
          <w:b/>
          <w:color w:val="000000"/>
          <w:sz w:val="26"/>
          <w:szCs w:val="26"/>
        </w:rPr>
      </w:pPr>
      <w:bookmarkStart w:id="14" w:name="_Toc531076123"/>
      <w:r>
        <w:rPr>
          <w:b/>
          <w:color w:val="000000"/>
          <w:sz w:val="26"/>
          <w:szCs w:val="26"/>
        </w:rPr>
        <w:t>D.</w:t>
      </w:r>
      <w:r>
        <w:rPr>
          <w:b/>
          <w:color w:val="000000"/>
          <w:sz w:val="26"/>
          <w:szCs w:val="26"/>
        </w:rPr>
        <w:tab/>
      </w:r>
      <w:r w:rsidR="00D90B74" w:rsidRPr="00B80DD8">
        <w:rPr>
          <w:b/>
          <w:color w:val="000000"/>
          <w:sz w:val="26"/>
          <w:szCs w:val="26"/>
        </w:rPr>
        <w:t>Natural Gas Supplier Issues</w:t>
      </w:r>
      <w:bookmarkEnd w:id="14"/>
    </w:p>
    <w:p w14:paraId="1FEB401A" w14:textId="77777777" w:rsidR="00D90B74" w:rsidRDefault="00D90B74" w:rsidP="002E6D96">
      <w:pPr>
        <w:pStyle w:val="ListParagraph"/>
        <w:widowControl/>
        <w:rPr>
          <w:b/>
          <w:color w:val="000000"/>
          <w:sz w:val="26"/>
          <w:szCs w:val="26"/>
        </w:rPr>
      </w:pPr>
    </w:p>
    <w:p w14:paraId="1F06FA57" w14:textId="63555101" w:rsidR="005630CE" w:rsidRDefault="005630CE" w:rsidP="002E6D96">
      <w:pPr>
        <w:widowControl/>
        <w:spacing w:line="360" w:lineRule="auto"/>
        <w:ind w:firstLine="1440"/>
        <w:rPr>
          <w:sz w:val="26"/>
          <w:szCs w:val="26"/>
        </w:rPr>
      </w:pPr>
      <w:r w:rsidRPr="00233908">
        <w:rPr>
          <w:sz w:val="26"/>
          <w:szCs w:val="26"/>
        </w:rPr>
        <w:t xml:space="preserve">The </w:t>
      </w:r>
      <w:r w:rsidR="00DC5FEC">
        <w:rPr>
          <w:sz w:val="26"/>
          <w:szCs w:val="26"/>
        </w:rPr>
        <w:t>Partial Settlement</w:t>
      </w:r>
      <w:r>
        <w:rPr>
          <w:sz w:val="26"/>
          <w:szCs w:val="26"/>
        </w:rPr>
        <w:t xml:space="preserve"> provides for resolution of </w:t>
      </w:r>
      <w:r w:rsidRPr="00233908">
        <w:rPr>
          <w:sz w:val="26"/>
          <w:szCs w:val="26"/>
        </w:rPr>
        <w:t>concerns articulated by the NGS Parties, and the Direct Energy Companies</w:t>
      </w:r>
      <w:r>
        <w:rPr>
          <w:sz w:val="26"/>
          <w:szCs w:val="26"/>
        </w:rPr>
        <w:t xml:space="preserve"> which are </w:t>
      </w:r>
      <w:bookmarkStart w:id="15" w:name="_Hlk530555188"/>
      <w:r>
        <w:rPr>
          <w:sz w:val="26"/>
          <w:szCs w:val="26"/>
        </w:rPr>
        <w:t>unique to the natural gas suppliers interfacing with Columbia’s system</w:t>
      </w:r>
      <w:bookmarkEnd w:id="15"/>
      <w:r>
        <w:rPr>
          <w:sz w:val="26"/>
          <w:szCs w:val="26"/>
        </w:rPr>
        <w:t>, which carry</w:t>
      </w:r>
      <w:r w:rsidR="004E1588">
        <w:rPr>
          <w:sz w:val="26"/>
          <w:szCs w:val="26"/>
        </w:rPr>
        <w:t xml:space="preserve"> </w:t>
      </w:r>
      <w:r>
        <w:rPr>
          <w:sz w:val="26"/>
          <w:szCs w:val="26"/>
        </w:rPr>
        <w:t>over from Columbia’s 2016 rate proceeding.</w:t>
      </w:r>
      <w:r w:rsidRPr="00233908">
        <w:rPr>
          <w:sz w:val="26"/>
          <w:szCs w:val="26"/>
        </w:rPr>
        <w:t xml:space="preserve"> </w:t>
      </w:r>
      <w:r>
        <w:rPr>
          <w:sz w:val="26"/>
          <w:szCs w:val="26"/>
        </w:rPr>
        <w:t xml:space="preserve"> The </w:t>
      </w:r>
      <w:r w:rsidRPr="00233908">
        <w:rPr>
          <w:sz w:val="26"/>
          <w:szCs w:val="26"/>
        </w:rPr>
        <w:t xml:space="preserve">primary </w:t>
      </w:r>
      <w:r>
        <w:rPr>
          <w:sz w:val="26"/>
          <w:szCs w:val="26"/>
        </w:rPr>
        <w:t xml:space="preserve">issue raised by </w:t>
      </w:r>
      <w:r w:rsidRPr="00233908">
        <w:rPr>
          <w:sz w:val="26"/>
          <w:szCs w:val="26"/>
        </w:rPr>
        <w:t xml:space="preserve">the NGS Parties and the Direct Energy Companies </w:t>
      </w:r>
      <w:r>
        <w:rPr>
          <w:sz w:val="26"/>
          <w:szCs w:val="26"/>
        </w:rPr>
        <w:t xml:space="preserve">regarded </w:t>
      </w:r>
      <w:r w:rsidRPr="00233908">
        <w:rPr>
          <w:sz w:val="26"/>
          <w:szCs w:val="26"/>
        </w:rPr>
        <w:t>penalties and imbalance charges</w:t>
      </w:r>
      <w:r>
        <w:rPr>
          <w:sz w:val="26"/>
          <w:szCs w:val="26"/>
        </w:rPr>
        <w:t xml:space="preserve"> for noncompliance with</w:t>
      </w:r>
      <w:r w:rsidRPr="00BD1519">
        <w:rPr>
          <w:sz w:val="26"/>
          <w:szCs w:val="26"/>
        </w:rPr>
        <w:t xml:space="preserve"> </w:t>
      </w:r>
      <w:r>
        <w:rPr>
          <w:sz w:val="26"/>
          <w:szCs w:val="26"/>
        </w:rPr>
        <w:t xml:space="preserve">Columbia’s </w:t>
      </w:r>
      <w:r w:rsidRPr="00233908">
        <w:rPr>
          <w:sz w:val="26"/>
          <w:szCs w:val="26"/>
        </w:rPr>
        <w:t>Operational Flow Orders</w:t>
      </w:r>
      <w:r>
        <w:rPr>
          <w:sz w:val="26"/>
          <w:szCs w:val="26"/>
        </w:rPr>
        <w:t xml:space="preserve"> (OFO)</w:t>
      </w:r>
      <w:r w:rsidRPr="00233908">
        <w:rPr>
          <w:sz w:val="26"/>
          <w:szCs w:val="26"/>
        </w:rPr>
        <w:t xml:space="preserve"> and Operational Matching Orders</w:t>
      </w:r>
      <w:r>
        <w:rPr>
          <w:sz w:val="26"/>
          <w:szCs w:val="26"/>
        </w:rPr>
        <w:t xml:space="preserve"> (OMO)</w:t>
      </w:r>
      <w:r w:rsidRPr="00233908">
        <w:rPr>
          <w:sz w:val="26"/>
          <w:szCs w:val="26"/>
        </w:rPr>
        <w:t xml:space="preserve">. </w:t>
      </w:r>
      <w:r>
        <w:rPr>
          <w:sz w:val="26"/>
          <w:szCs w:val="26"/>
        </w:rPr>
        <w:t xml:space="preserve">R.D. at 73, citing, </w:t>
      </w:r>
      <w:r w:rsidRPr="00233908">
        <w:rPr>
          <w:sz w:val="26"/>
          <w:szCs w:val="26"/>
        </w:rPr>
        <w:t>Direct Energy Statement No. 1</w:t>
      </w:r>
      <w:r w:rsidR="00BB0BBE">
        <w:rPr>
          <w:sz w:val="26"/>
          <w:szCs w:val="26"/>
        </w:rPr>
        <w:t xml:space="preserve"> at</w:t>
      </w:r>
      <w:r w:rsidRPr="00233908">
        <w:rPr>
          <w:sz w:val="26"/>
          <w:szCs w:val="26"/>
        </w:rPr>
        <w:t xml:space="preserve"> 56.  OMOs and OFOs impose certain </w:t>
      </w:r>
      <w:r w:rsidRPr="00233908">
        <w:rPr>
          <w:sz w:val="26"/>
          <w:szCs w:val="26"/>
        </w:rPr>
        <w:lastRenderedPageBreak/>
        <w:t xml:space="preserve">requirements and limitations on deliveries to Columbia’s system </w:t>
      </w:r>
      <w:r>
        <w:rPr>
          <w:sz w:val="26"/>
          <w:szCs w:val="26"/>
        </w:rPr>
        <w:t xml:space="preserve">which Columbia asserts are </w:t>
      </w:r>
      <w:r w:rsidRPr="00233908">
        <w:rPr>
          <w:sz w:val="26"/>
          <w:szCs w:val="26"/>
        </w:rPr>
        <w:t xml:space="preserve">necessary </w:t>
      </w:r>
      <w:r>
        <w:rPr>
          <w:sz w:val="26"/>
          <w:szCs w:val="26"/>
        </w:rPr>
        <w:t xml:space="preserve">to </w:t>
      </w:r>
      <w:r w:rsidRPr="00233908">
        <w:rPr>
          <w:sz w:val="26"/>
          <w:szCs w:val="26"/>
        </w:rPr>
        <w:t xml:space="preserve">maintain a balanced system.  </w:t>
      </w:r>
      <w:r>
        <w:rPr>
          <w:sz w:val="26"/>
          <w:szCs w:val="26"/>
        </w:rPr>
        <w:t xml:space="preserve">R.D. at 73, citing, </w:t>
      </w:r>
      <w:r w:rsidRPr="00233908">
        <w:rPr>
          <w:sz w:val="26"/>
          <w:szCs w:val="26"/>
        </w:rPr>
        <w:t>Columbia Statement No.</w:t>
      </w:r>
      <w:r w:rsidR="004E1588">
        <w:rPr>
          <w:sz w:val="26"/>
          <w:szCs w:val="26"/>
        </w:rPr>
        <w:t> </w:t>
      </w:r>
      <w:r w:rsidRPr="00233908">
        <w:rPr>
          <w:sz w:val="26"/>
          <w:szCs w:val="26"/>
        </w:rPr>
        <w:t>16-R, p. 4.</w:t>
      </w:r>
      <w:r>
        <w:rPr>
          <w:sz w:val="26"/>
          <w:szCs w:val="26"/>
        </w:rPr>
        <w:t xml:space="preserve">  </w:t>
      </w:r>
    </w:p>
    <w:p w14:paraId="69BEADBA" w14:textId="77777777" w:rsidR="005630CE" w:rsidRDefault="005630CE" w:rsidP="002E6D96">
      <w:pPr>
        <w:widowControl/>
        <w:spacing w:line="360" w:lineRule="auto"/>
        <w:ind w:firstLine="1440"/>
        <w:rPr>
          <w:sz w:val="26"/>
          <w:szCs w:val="26"/>
        </w:rPr>
      </w:pPr>
    </w:p>
    <w:p w14:paraId="531B9568" w14:textId="77777777" w:rsidR="005630CE" w:rsidRPr="00233908" w:rsidRDefault="005630CE" w:rsidP="002E6D96">
      <w:pPr>
        <w:widowControl/>
        <w:spacing w:line="360" w:lineRule="auto"/>
        <w:ind w:firstLine="1440"/>
        <w:rPr>
          <w:sz w:val="26"/>
          <w:szCs w:val="26"/>
        </w:rPr>
      </w:pPr>
      <w:r>
        <w:rPr>
          <w:sz w:val="26"/>
          <w:szCs w:val="26"/>
        </w:rPr>
        <w:t xml:space="preserve">The ALJ noted, in addition to </w:t>
      </w:r>
      <w:r w:rsidRPr="00233908">
        <w:rPr>
          <w:sz w:val="26"/>
          <w:szCs w:val="26"/>
        </w:rPr>
        <w:t>various changes to Columbia’s tariff rules to reduce penalties and imbalance charges, while continuing to maintain provisions to encourage compliance with Columbia’s delivery requirements</w:t>
      </w:r>
      <w:r>
        <w:rPr>
          <w:sz w:val="26"/>
          <w:szCs w:val="26"/>
        </w:rPr>
        <w:t>, Columbia and the natural gas suppliers reached accord on a plan to engage in a collaborative effort to examine the issues presented by transportation customers and their suppliers, including ongoing communication, operations, fiscal and other concerns, to develop consensus on solutions which may then be implemented by a new Tariff proposal. R.D. at 79-81.</w:t>
      </w:r>
    </w:p>
    <w:p w14:paraId="643F92A4" w14:textId="77777777" w:rsidR="005630CE" w:rsidRDefault="005630CE" w:rsidP="002E6D96">
      <w:pPr>
        <w:widowControl/>
        <w:spacing w:line="360" w:lineRule="auto"/>
        <w:ind w:firstLine="1440"/>
        <w:rPr>
          <w:sz w:val="26"/>
          <w:szCs w:val="26"/>
        </w:rPr>
      </w:pPr>
    </w:p>
    <w:p w14:paraId="75E991F0" w14:textId="417DE564" w:rsidR="005630CE" w:rsidRDefault="005630CE" w:rsidP="002E6D96">
      <w:pPr>
        <w:widowControl/>
        <w:spacing w:line="360" w:lineRule="auto"/>
        <w:ind w:firstLine="1440"/>
        <w:rPr>
          <w:sz w:val="26"/>
          <w:szCs w:val="26"/>
        </w:rPr>
      </w:pPr>
      <w:r>
        <w:rPr>
          <w:sz w:val="26"/>
          <w:szCs w:val="26"/>
        </w:rPr>
        <w:t>The natural gas suppliers’ note that the failure to meet OFO and OMO and the resulting penalties</w:t>
      </w:r>
      <w:r w:rsidR="004E1588">
        <w:rPr>
          <w:sz w:val="26"/>
          <w:szCs w:val="26"/>
        </w:rPr>
        <w:t xml:space="preserve"> </w:t>
      </w:r>
      <w:r>
        <w:rPr>
          <w:sz w:val="26"/>
          <w:szCs w:val="26"/>
        </w:rPr>
        <w:t>was due largely to the lack of communication of customer usage data from Columbia.  A critical component to facilitate communication of that data between Columbia and natural gas suppliers was to be the development of the C&amp;I Network, which was approved to be</w:t>
      </w:r>
      <w:r w:rsidR="004E1588">
        <w:rPr>
          <w:sz w:val="26"/>
          <w:szCs w:val="26"/>
        </w:rPr>
        <w:t xml:space="preserve"> implemented</w:t>
      </w:r>
      <w:r>
        <w:rPr>
          <w:sz w:val="26"/>
          <w:szCs w:val="26"/>
        </w:rPr>
        <w:t xml:space="preserve"> following the Company’s 2016 base rate proceeding.  However, i</w:t>
      </w:r>
      <w:r w:rsidRPr="00233908">
        <w:rPr>
          <w:sz w:val="26"/>
          <w:szCs w:val="26"/>
        </w:rPr>
        <w:t xml:space="preserve">n the </w:t>
      </w:r>
      <w:r>
        <w:rPr>
          <w:sz w:val="26"/>
          <w:szCs w:val="26"/>
        </w:rPr>
        <w:t xml:space="preserve">present </w:t>
      </w:r>
      <w:r w:rsidRPr="00233908">
        <w:rPr>
          <w:sz w:val="26"/>
          <w:szCs w:val="26"/>
        </w:rPr>
        <w:t>Base Rate Filing, Columbia recommended that</w:t>
      </w:r>
      <w:r w:rsidR="002854E5">
        <w:rPr>
          <w:sz w:val="26"/>
          <w:szCs w:val="26"/>
        </w:rPr>
        <w:t xml:space="preserve"> </w:t>
      </w:r>
      <w:r w:rsidRPr="00233908">
        <w:rPr>
          <w:sz w:val="26"/>
          <w:szCs w:val="26"/>
        </w:rPr>
        <w:t xml:space="preserve">due to the level of costs associated with the C&amp;I Network and resulting rate impact on customers receiving the service, </w:t>
      </w:r>
      <w:r>
        <w:rPr>
          <w:sz w:val="26"/>
          <w:szCs w:val="26"/>
        </w:rPr>
        <w:t xml:space="preserve">it was in the interest of all </w:t>
      </w:r>
      <w:r w:rsidR="002854E5">
        <w:rPr>
          <w:sz w:val="26"/>
          <w:szCs w:val="26"/>
        </w:rPr>
        <w:t>P</w:t>
      </w:r>
      <w:r>
        <w:rPr>
          <w:sz w:val="26"/>
          <w:szCs w:val="26"/>
        </w:rPr>
        <w:t xml:space="preserve">arties to explore </w:t>
      </w:r>
      <w:r w:rsidRPr="00233908">
        <w:rPr>
          <w:sz w:val="26"/>
          <w:szCs w:val="26"/>
        </w:rPr>
        <w:t>alternative solutions</w:t>
      </w:r>
      <w:r>
        <w:rPr>
          <w:sz w:val="26"/>
          <w:szCs w:val="26"/>
        </w:rPr>
        <w:t xml:space="preserve"> to issues which the C&amp;I Network intended to address. R.D. at 70, citing, </w:t>
      </w:r>
      <w:r w:rsidRPr="00233908">
        <w:rPr>
          <w:sz w:val="26"/>
          <w:szCs w:val="26"/>
        </w:rPr>
        <w:t>Columbia Statement No. 10</w:t>
      </w:r>
      <w:r w:rsidR="002854E5">
        <w:rPr>
          <w:sz w:val="26"/>
          <w:szCs w:val="26"/>
        </w:rPr>
        <w:t xml:space="preserve"> at </w:t>
      </w:r>
      <w:r w:rsidRPr="00233908">
        <w:rPr>
          <w:sz w:val="26"/>
          <w:szCs w:val="26"/>
        </w:rPr>
        <w:t>26-27.</w:t>
      </w:r>
    </w:p>
    <w:p w14:paraId="1C90A7C4" w14:textId="77777777" w:rsidR="005630CE" w:rsidRDefault="005630CE" w:rsidP="002E6D96">
      <w:pPr>
        <w:widowControl/>
        <w:spacing w:line="360" w:lineRule="auto"/>
        <w:ind w:firstLine="1440"/>
        <w:rPr>
          <w:sz w:val="26"/>
          <w:szCs w:val="26"/>
        </w:rPr>
      </w:pPr>
    </w:p>
    <w:p w14:paraId="7480BC2D" w14:textId="15D6121C" w:rsidR="005630CE" w:rsidRDefault="005630CE" w:rsidP="002E6D96">
      <w:pPr>
        <w:widowControl/>
        <w:spacing w:line="360" w:lineRule="auto"/>
        <w:ind w:firstLine="1440"/>
        <w:rPr>
          <w:sz w:val="26"/>
          <w:szCs w:val="26"/>
        </w:rPr>
      </w:pPr>
      <w:r>
        <w:rPr>
          <w:sz w:val="26"/>
          <w:szCs w:val="26"/>
        </w:rPr>
        <w:t>The ALJ noted, as a factor in encouraging settlement</w:t>
      </w:r>
      <w:r w:rsidRPr="00233908">
        <w:rPr>
          <w:sz w:val="26"/>
          <w:szCs w:val="26"/>
        </w:rPr>
        <w:t>, Columbia has agreed to reduce the penalty multiple for violation of O</w:t>
      </w:r>
      <w:r w:rsidR="003F3B53">
        <w:rPr>
          <w:sz w:val="26"/>
          <w:szCs w:val="26"/>
        </w:rPr>
        <w:t>F</w:t>
      </w:r>
      <w:r w:rsidRPr="00233908">
        <w:rPr>
          <w:sz w:val="26"/>
          <w:szCs w:val="26"/>
        </w:rPr>
        <w:t>O</w:t>
      </w:r>
      <w:r w:rsidR="003F3B53">
        <w:rPr>
          <w:sz w:val="26"/>
          <w:szCs w:val="26"/>
        </w:rPr>
        <w:t>s</w:t>
      </w:r>
      <w:r w:rsidRPr="00233908">
        <w:rPr>
          <w:sz w:val="26"/>
          <w:szCs w:val="26"/>
        </w:rPr>
        <w:t>/O</w:t>
      </w:r>
      <w:r w:rsidR="003F3B53">
        <w:rPr>
          <w:sz w:val="26"/>
          <w:szCs w:val="26"/>
        </w:rPr>
        <w:t>M</w:t>
      </w:r>
      <w:r w:rsidRPr="00233908">
        <w:rPr>
          <w:sz w:val="26"/>
          <w:szCs w:val="26"/>
        </w:rPr>
        <w:t xml:space="preserve">Os.  </w:t>
      </w:r>
      <w:r>
        <w:rPr>
          <w:sz w:val="26"/>
          <w:szCs w:val="26"/>
        </w:rPr>
        <w:t>However, Columbia reserves the right to modify the multiplier i</w:t>
      </w:r>
      <w:r w:rsidRPr="00233908">
        <w:rPr>
          <w:sz w:val="26"/>
          <w:szCs w:val="26"/>
        </w:rPr>
        <w:t>f Columbia experiences substantially higher non-compliance with OFO/OMO requirements following implementation of the lower multiplier</w:t>
      </w:r>
      <w:r>
        <w:rPr>
          <w:sz w:val="26"/>
          <w:szCs w:val="26"/>
        </w:rPr>
        <w:t xml:space="preserve">. </w:t>
      </w:r>
      <w:r w:rsidR="00736083">
        <w:rPr>
          <w:sz w:val="26"/>
          <w:szCs w:val="26"/>
        </w:rPr>
        <w:t xml:space="preserve"> </w:t>
      </w:r>
      <w:r>
        <w:rPr>
          <w:sz w:val="26"/>
          <w:szCs w:val="26"/>
        </w:rPr>
        <w:t xml:space="preserve">R.D. at 81, Joint Petition at </w:t>
      </w:r>
      <w:r w:rsidRPr="00233908">
        <w:rPr>
          <w:sz w:val="26"/>
          <w:szCs w:val="26"/>
        </w:rPr>
        <w:t>¶ 64.</w:t>
      </w:r>
    </w:p>
    <w:p w14:paraId="09C01079" w14:textId="77777777" w:rsidR="005630CE" w:rsidRPr="00233908" w:rsidRDefault="005630CE" w:rsidP="002E6D96">
      <w:pPr>
        <w:widowControl/>
        <w:spacing w:line="360" w:lineRule="auto"/>
        <w:ind w:firstLine="1440"/>
        <w:rPr>
          <w:sz w:val="26"/>
          <w:szCs w:val="26"/>
        </w:rPr>
      </w:pPr>
    </w:p>
    <w:p w14:paraId="2844AAD4" w14:textId="126850AD" w:rsidR="005630CE" w:rsidRPr="00233908" w:rsidRDefault="005630CE" w:rsidP="002E6D96">
      <w:pPr>
        <w:widowControl/>
        <w:spacing w:line="360" w:lineRule="auto"/>
        <w:ind w:firstLine="1440"/>
        <w:rPr>
          <w:sz w:val="26"/>
          <w:szCs w:val="26"/>
        </w:rPr>
      </w:pPr>
      <w:r w:rsidRPr="00233908">
        <w:rPr>
          <w:sz w:val="26"/>
          <w:szCs w:val="26"/>
        </w:rPr>
        <w:lastRenderedPageBreak/>
        <w:t>To resolve the</w:t>
      </w:r>
      <w:r>
        <w:rPr>
          <w:sz w:val="26"/>
          <w:szCs w:val="26"/>
        </w:rPr>
        <w:t xml:space="preserve"> </w:t>
      </w:r>
      <w:r w:rsidRPr="00233908">
        <w:rPr>
          <w:sz w:val="26"/>
          <w:szCs w:val="26"/>
        </w:rPr>
        <w:t>issues</w:t>
      </w:r>
      <w:r>
        <w:rPr>
          <w:sz w:val="26"/>
          <w:szCs w:val="26"/>
        </w:rPr>
        <w:t xml:space="preserve"> associated with OFO/OMO requirements and</w:t>
      </w:r>
      <w:r w:rsidRPr="006305EF">
        <w:t xml:space="preserve"> </w:t>
      </w:r>
      <w:r w:rsidRPr="00F1240A">
        <w:rPr>
          <w:sz w:val="26"/>
          <w:szCs w:val="26"/>
        </w:rPr>
        <w:t xml:space="preserve">other issues </w:t>
      </w:r>
      <w:r w:rsidRPr="006305EF">
        <w:rPr>
          <w:sz w:val="26"/>
          <w:szCs w:val="26"/>
        </w:rPr>
        <w:t>unique to the natural gas suppliers interfacing with Columbia’s system</w:t>
      </w:r>
      <w:r w:rsidRPr="00233908">
        <w:rPr>
          <w:sz w:val="26"/>
          <w:szCs w:val="26"/>
        </w:rPr>
        <w:t xml:space="preserve">, the </w:t>
      </w:r>
      <w:r w:rsidR="00DC5FEC">
        <w:rPr>
          <w:sz w:val="26"/>
          <w:szCs w:val="26"/>
        </w:rPr>
        <w:t>Partial Settlement</w:t>
      </w:r>
      <w:r>
        <w:rPr>
          <w:sz w:val="26"/>
          <w:szCs w:val="26"/>
        </w:rPr>
        <w:t xml:space="preserve"> </w:t>
      </w:r>
      <w:r w:rsidRPr="00233908">
        <w:rPr>
          <w:sz w:val="26"/>
          <w:szCs w:val="26"/>
        </w:rPr>
        <w:t>provides that Columbia shall convene a collaborative (Collaborative-I)</w:t>
      </w:r>
      <w:r>
        <w:rPr>
          <w:sz w:val="26"/>
          <w:szCs w:val="26"/>
        </w:rPr>
        <w:t xml:space="preserve">.  </w:t>
      </w:r>
      <w:r w:rsidRPr="00233908">
        <w:rPr>
          <w:sz w:val="26"/>
          <w:szCs w:val="26"/>
        </w:rPr>
        <w:t>Collaborative</w:t>
      </w:r>
      <w:r>
        <w:rPr>
          <w:sz w:val="26"/>
          <w:szCs w:val="26"/>
        </w:rPr>
        <w:t>-I</w:t>
      </w:r>
      <w:r w:rsidRPr="00233908">
        <w:rPr>
          <w:sz w:val="26"/>
          <w:szCs w:val="26"/>
        </w:rPr>
        <w:t xml:space="preserve"> is designed to provide Columbia and interested parties a forum to discuss the concerns raised in this proceeding related to penalties, as well as other issues transportation customers and suppliers may encounter on Columbia’s system.  </w:t>
      </w:r>
      <w:r>
        <w:rPr>
          <w:sz w:val="26"/>
          <w:szCs w:val="26"/>
        </w:rPr>
        <w:t xml:space="preserve">As the ALJ noted, </w:t>
      </w:r>
      <w:r w:rsidRPr="00233908">
        <w:rPr>
          <w:sz w:val="26"/>
          <w:szCs w:val="26"/>
        </w:rPr>
        <w:t xml:space="preserve">Collaborative-I will also provide interested stakeholders </w:t>
      </w:r>
      <w:r w:rsidR="003F3B53">
        <w:rPr>
          <w:sz w:val="26"/>
          <w:szCs w:val="26"/>
        </w:rPr>
        <w:t xml:space="preserve">with </w:t>
      </w:r>
      <w:r w:rsidRPr="00233908">
        <w:rPr>
          <w:sz w:val="26"/>
          <w:szCs w:val="26"/>
        </w:rPr>
        <w:t xml:space="preserve">an opportunity to </w:t>
      </w:r>
      <w:r>
        <w:rPr>
          <w:sz w:val="26"/>
          <w:szCs w:val="26"/>
        </w:rPr>
        <w:t xml:space="preserve">examine other potentially more cost-effective </w:t>
      </w:r>
      <w:r w:rsidRPr="00233908">
        <w:rPr>
          <w:sz w:val="26"/>
          <w:szCs w:val="26"/>
        </w:rPr>
        <w:t>alternatives to the C&amp;I Network</w:t>
      </w:r>
      <w:r>
        <w:rPr>
          <w:sz w:val="26"/>
          <w:szCs w:val="26"/>
        </w:rPr>
        <w:t xml:space="preserve">. </w:t>
      </w:r>
      <w:r w:rsidR="00736083">
        <w:rPr>
          <w:sz w:val="26"/>
          <w:szCs w:val="26"/>
        </w:rPr>
        <w:t xml:space="preserve"> </w:t>
      </w:r>
      <w:r>
        <w:rPr>
          <w:sz w:val="26"/>
          <w:szCs w:val="26"/>
        </w:rPr>
        <w:t>R.D. at</w:t>
      </w:r>
      <w:r w:rsidR="002854E5">
        <w:rPr>
          <w:sz w:val="26"/>
          <w:szCs w:val="26"/>
        </w:rPr>
        <w:t> </w:t>
      </w:r>
      <w:r>
        <w:rPr>
          <w:sz w:val="26"/>
          <w:szCs w:val="26"/>
        </w:rPr>
        <w:t>79.</w:t>
      </w:r>
      <w:r w:rsidRPr="00233908">
        <w:rPr>
          <w:sz w:val="26"/>
          <w:szCs w:val="26"/>
        </w:rPr>
        <w:t xml:space="preserve">  In addition, the Collaborative-I will </w:t>
      </w:r>
      <w:r>
        <w:rPr>
          <w:sz w:val="26"/>
          <w:szCs w:val="26"/>
        </w:rPr>
        <w:t xml:space="preserve">examine ways to facilitate </w:t>
      </w:r>
      <w:r w:rsidRPr="00233908">
        <w:rPr>
          <w:sz w:val="26"/>
          <w:szCs w:val="26"/>
        </w:rPr>
        <w:t>accura</w:t>
      </w:r>
      <w:r>
        <w:rPr>
          <w:sz w:val="26"/>
          <w:szCs w:val="26"/>
        </w:rPr>
        <w:t xml:space="preserve">te </w:t>
      </w:r>
      <w:r w:rsidRPr="00233908">
        <w:rPr>
          <w:sz w:val="26"/>
          <w:szCs w:val="26"/>
        </w:rPr>
        <w:t>and timel</w:t>
      </w:r>
      <w:r>
        <w:rPr>
          <w:sz w:val="26"/>
          <w:szCs w:val="26"/>
        </w:rPr>
        <w:t xml:space="preserve">y communication </w:t>
      </w:r>
      <w:r w:rsidRPr="00233908">
        <w:rPr>
          <w:sz w:val="26"/>
          <w:szCs w:val="26"/>
        </w:rPr>
        <w:t xml:space="preserve">of customer usage data including installing telemetering or equivalent equipment. </w:t>
      </w:r>
      <w:r w:rsidR="003F3B53">
        <w:rPr>
          <w:sz w:val="26"/>
          <w:szCs w:val="26"/>
        </w:rPr>
        <w:t xml:space="preserve"> </w:t>
      </w:r>
      <w:r>
        <w:rPr>
          <w:sz w:val="26"/>
          <w:szCs w:val="26"/>
        </w:rPr>
        <w:t>R.D.at 79, Joint Petition at</w:t>
      </w:r>
      <w:r w:rsidRPr="00233908">
        <w:rPr>
          <w:sz w:val="26"/>
          <w:szCs w:val="26"/>
        </w:rPr>
        <w:t xml:space="preserve"> ¶ 60.</w:t>
      </w:r>
    </w:p>
    <w:p w14:paraId="6D5A5BAF" w14:textId="77777777" w:rsidR="005630CE" w:rsidRPr="00233908" w:rsidRDefault="005630CE" w:rsidP="002E6D96">
      <w:pPr>
        <w:widowControl/>
        <w:spacing w:line="360" w:lineRule="auto"/>
        <w:ind w:firstLine="1440"/>
        <w:rPr>
          <w:sz w:val="26"/>
          <w:szCs w:val="26"/>
        </w:rPr>
      </w:pPr>
    </w:p>
    <w:p w14:paraId="3E7C2C28" w14:textId="46EBB50B" w:rsidR="005630CE" w:rsidRPr="00233908" w:rsidRDefault="005630CE" w:rsidP="002E6D96">
      <w:pPr>
        <w:widowControl/>
        <w:spacing w:line="360" w:lineRule="auto"/>
        <w:ind w:firstLine="1440"/>
        <w:rPr>
          <w:sz w:val="26"/>
          <w:szCs w:val="26"/>
        </w:rPr>
      </w:pPr>
      <w:r>
        <w:rPr>
          <w:sz w:val="26"/>
          <w:szCs w:val="26"/>
        </w:rPr>
        <w:t>The ALJ also noted that</w:t>
      </w:r>
      <w:r w:rsidR="00C61946">
        <w:rPr>
          <w:sz w:val="26"/>
          <w:szCs w:val="26"/>
        </w:rPr>
        <w:t xml:space="preserve"> the</w:t>
      </w:r>
      <w:r>
        <w:rPr>
          <w:sz w:val="26"/>
          <w:szCs w:val="26"/>
        </w:rPr>
        <w:t xml:space="preserve"> Joint Petitioners established a time frame for the collaborative efforts to yield proposed changes to Columbia’s tariff.  The terms provide that Columbia will file tariff changes within </w:t>
      </w:r>
      <w:r w:rsidRPr="00233908">
        <w:rPr>
          <w:sz w:val="26"/>
          <w:szCs w:val="26"/>
        </w:rPr>
        <w:t xml:space="preserve">150 days of convening Collaborative-I, to implement the solutions which </w:t>
      </w:r>
      <w:r>
        <w:rPr>
          <w:sz w:val="26"/>
          <w:szCs w:val="26"/>
        </w:rPr>
        <w:t>reflect the majority consensus of the participants</w:t>
      </w:r>
      <w:r w:rsidRPr="00233908">
        <w:rPr>
          <w:sz w:val="26"/>
          <w:szCs w:val="26"/>
        </w:rPr>
        <w:t>.</w:t>
      </w:r>
      <w:r w:rsidR="00736083">
        <w:rPr>
          <w:sz w:val="26"/>
          <w:szCs w:val="26"/>
        </w:rPr>
        <w:t xml:space="preserve"> </w:t>
      </w:r>
      <w:r>
        <w:rPr>
          <w:sz w:val="26"/>
          <w:szCs w:val="26"/>
        </w:rPr>
        <w:t xml:space="preserve"> R.D. at 79.</w:t>
      </w:r>
      <w:r w:rsidRPr="00233908">
        <w:rPr>
          <w:sz w:val="26"/>
          <w:szCs w:val="26"/>
        </w:rPr>
        <w:t xml:space="preserve">  </w:t>
      </w:r>
      <w:r>
        <w:rPr>
          <w:sz w:val="26"/>
          <w:szCs w:val="26"/>
        </w:rPr>
        <w:t xml:space="preserve">All </w:t>
      </w:r>
      <w:r w:rsidR="002854E5">
        <w:rPr>
          <w:sz w:val="26"/>
          <w:szCs w:val="26"/>
        </w:rPr>
        <w:t>P</w:t>
      </w:r>
      <w:r>
        <w:rPr>
          <w:sz w:val="26"/>
          <w:szCs w:val="26"/>
        </w:rPr>
        <w:t xml:space="preserve">arties, however, </w:t>
      </w:r>
      <w:r w:rsidRPr="00233908">
        <w:rPr>
          <w:sz w:val="26"/>
          <w:szCs w:val="26"/>
        </w:rPr>
        <w:t xml:space="preserve">retain their </w:t>
      </w:r>
      <w:r>
        <w:rPr>
          <w:sz w:val="26"/>
          <w:szCs w:val="26"/>
        </w:rPr>
        <w:t xml:space="preserve">individual </w:t>
      </w:r>
      <w:r w:rsidRPr="00233908">
        <w:rPr>
          <w:sz w:val="26"/>
          <w:szCs w:val="26"/>
        </w:rPr>
        <w:t xml:space="preserve">rights to support or oppose the tariff filing. </w:t>
      </w:r>
      <w:r>
        <w:rPr>
          <w:sz w:val="26"/>
          <w:szCs w:val="26"/>
        </w:rPr>
        <w:t xml:space="preserve">R.D. at 79, Joint Petition at </w:t>
      </w:r>
      <w:r w:rsidRPr="00233908">
        <w:rPr>
          <w:sz w:val="26"/>
          <w:szCs w:val="26"/>
        </w:rPr>
        <w:t>61.</w:t>
      </w:r>
      <w:r>
        <w:rPr>
          <w:sz w:val="26"/>
          <w:szCs w:val="26"/>
        </w:rPr>
        <w:t xml:space="preserve">  </w:t>
      </w:r>
      <w:r w:rsidRPr="00233908">
        <w:rPr>
          <w:sz w:val="26"/>
          <w:szCs w:val="26"/>
        </w:rPr>
        <w:t xml:space="preserve">The </w:t>
      </w:r>
      <w:r w:rsidR="003857AB">
        <w:rPr>
          <w:sz w:val="26"/>
          <w:szCs w:val="26"/>
        </w:rPr>
        <w:t xml:space="preserve">Partial </w:t>
      </w:r>
      <w:r w:rsidRPr="00233908">
        <w:rPr>
          <w:sz w:val="26"/>
          <w:szCs w:val="26"/>
        </w:rPr>
        <w:t xml:space="preserve">Settlement also addresses what will happen </w:t>
      </w:r>
      <w:r w:rsidR="00130F3A" w:rsidRPr="00233908">
        <w:rPr>
          <w:sz w:val="26"/>
          <w:szCs w:val="26"/>
        </w:rPr>
        <w:t>if</w:t>
      </w:r>
      <w:r w:rsidRPr="00233908">
        <w:rPr>
          <w:sz w:val="26"/>
          <w:szCs w:val="26"/>
        </w:rPr>
        <w:t xml:space="preserve"> Collaborative-I does not result in a tariff filing supported by </w:t>
      </w:r>
      <w:r w:rsidR="00130F3A" w:rsidRPr="00233908">
        <w:rPr>
          <w:sz w:val="26"/>
          <w:szCs w:val="26"/>
        </w:rPr>
        <w:t>a consensus</w:t>
      </w:r>
      <w:r w:rsidRPr="00233908">
        <w:rPr>
          <w:sz w:val="26"/>
          <w:szCs w:val="26"/>
        </w:rPr>
        <w:t xml:space="preserve"> of the participants. </w:t>
      </w:r>
      <w:r w:rsidR="00736083">
        <w:rPr>
          <w:sz w:val="26"/>
          <w:szCs w:val="26"/>
        </w:rPr>
        <w:t xml:space="preserve"> </w:t>
      </w:r>
      <w:r>
        <w:rPr>
          <w:sz w:val="26"/>
          <w:szCs w:val="26"/>
        </w:rPr>
        <w:t xml:space="preserve">R.D. at 79-80, Joint Petition at </w:t>
      </w:r>
      <w:r w:rsidRPr="00233908">
        <w:rPr>
          <w:sz w:val="26"/>
          <w:szCs w:val="26"/>
        </w:rPr>
        <w:t>¶ 62.</w:t>
      </w:r>
    </w:p>
    <w:p w14:paraId="3CB6BD71" w14:textId="77777777" w:rsidR="005630CE" w:rsidRPr="00233908" w:rsidRDefault="005630CE" w:rsidP="002E6D96">
      <w:pPr>
        <w:widowControl/>
        <w:spacing w:line="360" w:lineRule="auto"/>
        <w:ind w:firstLine="1440"/>
        <w:rPr>
          <w:sz w:val="26"/>
          <w:szCs w:val="26"/>
        </w:rPr>
      </w:pPr>
    </w:p>
    <w:p w14:paraId="498E79C2" w14:textId="2154FA29" w:rsidR="005630CE" w:rsidRPr="00233908" w:rsidRDefault="005630CE" w:rsidP="002E6D96">
      <w:pPr>
        <w:widowControl/>
        <w:spacing w:line="360" w:lineRule="auto"/>
        <w:ind w:firstLine="1440"/>
        <w:rPr>
          <w:sz w:val="26"/>
          <w:szCs w:val="26"/>
        </w:rPr>
      </w:pPr>
      <w:r>
        <w:rPr>
          <w:sz w:val="26"/>
          <w:szCs w:val="26"/>
        </w:rPr>
        <w:t xml:space="preserve">Finally, the ALJ noted that the Joint Petitioners planned for ongoing communication to address emerging concerns and facilitate further improvements. Pursuant to the </w:t>
      </w:r>
      <w:r w:rsidR="00DC5FEC">
        <w:rPr>
          <w:sz w:val="26"/>
          <w:szCs w:val="26"/>
        </w:rPr>
        <w:t>Partial Settlement</w:t>
      </w:r>
      <w:r>
        <w:rPr>
          <w:sz w:val="26"/>
          <w:szCs w:val="26"/>
        </w:rPr>
        <w:t xml:space="preserve">, </w:t>
      </w:r>
      <w:r w:rsidRPr="00233908">
        <w:rPr>
          <w:sz w:val="26"/>
          <w:szCs w:val="26"/>
        </w:rPr>
        <w:t>Columbia agrees to continue to hold quarterly Collaborative Meetings (Collaborative-II)</w:t>
      </w:r>
      <w:r>
        <w:rPr>
          <w:sz w:val="26"/>
          <w:szCs w:val="26"/>
        </w:rPr>
        <w:t xml:space="preserve"> subsequent to c</w:t>
      </w:r>
      <w:r w:rsidRPr="00233908">
        <w:rPr>
          <w:sz w:val="26"/>
          <w:szCs w:val="26"/>
        </w:rPr>
        <w:t xml:space="preserve">ompletion of Collaborative-I for a minimum of two years and thereafter as appropriate, to which all </w:t>
      </w:r>
      <w:r w:rsidR="002854E5">
        <w:rPr>
          <w:sz w:val="26"/>
          <w:szCs w:val="26"/>
        </w:rPr>
        <w:t>P</w:t>
      </w:r>
      <w:r w:rsidRPr="00233908">
        <w:rPr>
          <w:sz w:val="26"/>
          <w:szCs w:val="26"/>
        </w:rPr>
        <w:t xml:space="preserve">arties to this proceeding, all interested Suppliers and representatives of interstate pipelines shall be invited. </w:t>
      </w:r>
      <w:r>
        <w:rPr>
          <w:sz w:val="26"/>
          <w:szCs w:val="26"/>
        </w:rPr>
        <w:t xml:space="preserve"> R.D. 80. </w:t>
      </w:r>
      <w:r w:rsidRPr="00233908">
        <w:rPr>
          <w:sz w:val="26"/>
          <w:szCs w:val="26"/>
        </w:rPr>
        <w:t xml:space="preserve"> Columbia </w:t>
      </w:r>
      <w:r>
        <w:rPr>
          <w:sz w:val="26"/>
          <w:szCs w:val="26"/>
        </w:rPr>
        <w:t xml:space="preserve">also agreed to </w:t>
      </w:r>
      <w:r w:rsidRPr="00233908">
        <w:rPr>
          <w:sz w:val="26"/>
          <w:szCs w:val="26"/>
        </w:rPr>
        <w:t xml:space="preserve">notify participants about any changes it is planning to make in GTS or Choice transportation rules.  </w:t>
      </w:r>
      <w:r>
        <w:rPr>
          <w:sz w:val="26"/>
          <w:szCs w:val="26"/>
        </w:rPr>
        <w:t xml:space="preserve">As a means to identify </w:t>
      </w:r>
      <w:r>
        <w:rPr>
          <w:sz w:val="26"/>
          <w:szCs w:val="26"/>
        </w:rPr>
        <w:lastRenderedPageBreak/>
        <w:t xml:space="preserve">emerging concerns with system operations, all participants will be kept informed of meeting results </w:t>
      </w:r>
      <w:r w:rsidRPr="004E0F54">
        <w:rPr>
          <w:i/>
          <w:sz w:val="26"/>
          <w:szCs w:val="26"/>
        </w:rPr>
        <w:t>via</w:t>
      </w:r>
      <w:r>
        <w:rPr>
          <w:sz w:val="26"/>
          <w:szCs w:val="26"/>
        </w:rPr>
        <w:t xml:space="preserve"> reports of meeting minutes and actions items.</w:t>
      </w:r>
      <w:r w:rsidRPr="00233908">
        <w:rPr>
          <w:sz w:val="26"/>
          <w:szCs w:val="26"/>
        </w:rPr>
        <w:t xml:space="preserve"> </w:t>
      </w:r>
      <w:r w:rsidR="003F3B53">
        <w:rPr>
          <w:sz w:val="26"/>
          <w:szCs w:val="26"/>
        </w:rPr>
        <w:t xml:space="preserve"> </w:t>
      </w:r>
      <w:r>
        <w:rPr>
          <w:sz w:val="26"/>
          <w:szCs w:val="26"/>
        </w:rPr>
        <w:t xml:space="preserve">R.D. at 80, Joint Petition at </w:t>
      </w:r>
      <w:r w:rsidRPr="00233908">
        <w:rPr>
          <w:sz w:val="26"/>
          <w:szCs w:val="26"/>
        </w:rPr>
        <w:t>¶ 63.</w:t>
      </w:r>
    </w:p>
    <w:p w14:paraId="79E1DBEB" w14:textId="77777777" w:rsidR="005630CE" w:rsidRDefault="005630CE" w:rsidP="002E6D96">
      <w:pPr>
        <w:pStyle w:val="ListParagraph"/>
        <w:widowControl/>
        <w:rPr>
          <w:b/>
          <w:color w:val="000000"/>
          <w:sz w:val="26"/>
          <w:szCs w:val="26"/>
        </w:rPr>
      </w:pPr>
    </w:p>
    <w:p w14:paraId="68BEBB68" w14:textId="77777777" w:rsidR="00E42732" w:rsidRPr="00D90B74" w:rsidRDefault="00E42732" w:rsidP="002E6D96">
      <w:pPr>
        <w:pStyle w:val="ListParagraph"/>
        <w:widowControl/>
        <w:rPr>
          <w:b/>
          <w:color w:val="000000"/>
          <w:sz w:val="26"/>
          <w:szCs w:val="26"/>
        </w:rPr>
      </w:pPr>
    </w:p>
    <w:p w14:paraId="78287A7E" w14:textId="2C08A7C7" w:rsidR="005630CE" w:rsidRPr="00B80DD8" w:rsidRDefault="00B80DD8" w:rsidP="002E6D96">
      <w:pPr>
        <w:keepNext/>
        <w:keepLines/>
        <w:widowControl/>
        <w:ind w:left="1440" w:hanging="720"/>
        <w:rPr>
          <w:sz w:val="26"/>
          <w:szCs w:val="26"/>
        </w:rPr>
      </w:pPr>
      <w:r>
        <w:rPr>
          <w:b/>
          <w:sz w:val="26"/>
          <w:szCs w:val="26"/>
        </w:rPr>
        <w:t>E.</w:t>
      </w:r>
      <w:r>
        <w:rPr>
          <w:b/>
          <w:sz w:val="26"/>
          <w:szCs w:val="26"/>
        </w:rPr>
        <w:tab/>
      </w:r>
      <w:r w:rsidR="005630CE" w:rsidRPr="00B80DD8">
        <w:rPr>
          <w:b/>
          <w:sz w:val="26"/>
          <w:szCs w:val="26"/>
        </w:rPr>
        <w:t xml:space="preserve">Revenue/Cost </w:t>
      </w:r>
      <w:r w:rsidR="00F1240A">
        <w:rPr>
          <w:b/>
          <w:sz w:val="26"/>
          <w:szCs w:val="26"/>
        </w:rPr>
        <w:t>A</w:t>
      </w:r>
      <w:r w:rsidR="005630CE" w:rsidRPr="00B80DD8">
        <w:rPr>
          <w:b/>
          <w:sz w:val="26"/>
          <w:szCs w:val="26"/>
        </w:rPr>
        <w:t xml:space="preserve">llocation and </w:t>
      </w:r>
      <w:r w:rsidR="00F1240A">
        <w:rPr>
          <w:b/>
          <w:sz w:val="26"/>
          <w:szCs w:val="26"/>
        </w:rPr>
        <w:t>R</w:t>
      </w:r>
      <w:r w:rsidR="005630CE" w:rsidRPr="00B80DD8">
        <w:rPr>
          <w:b/>
          <w:sz w:val="26"/>
          <w:szCs w:val="26"/>
        </w:rPr>
        <w:t xml:space="preserve">ate </w:t>
      </w:r>
      <w:r w:rsidR="00F1240A">
        <w:rPr>
          <w:b/>
          <w:sz w:val="26"/>
          <w:szCs w:val="26"/>
        </w:rPr>
        <w:t>J</w:t>
      </w:r>
      <w:r w:rsidR="005630CE" w:rsidRPr="00B80DD8">
        <w:rPr>
          <w:b/>
          <w:sz w:val="26"/>
          <w:szCs w:val="26"/>
        </w:rPr>
        <w:t>ustification for Flex Rate Customers</w:t>
      </w:r>
    </w:p>
    <w:p w14:paraId="43F01B53" w14:textId="77777777" w:rsidR="005630CE" w:rsidRDefault="005630CE" w:rsidP="002E6D96">
      <w:pPr>
        <w:pStyle w:val="ListParagraph"/>
        <w:keepNext/>
        <w:keepLines/>
        <w:widowControl/>
        <w:tabs>
          <w:tab w:val="left" w:pos="1440"/>
        </w:tabs>
        <w:spacing w:line="360" w:lineRule="auto"/>
        <w:ind w:left="1080"/>
        <w:textAlignment w:val="baseline"/>
        <w:outlineLvl w:val="1"/>
        <w:rPr>
          <w:b/>
          <w:color w:val="000000"/>
          <w:sz w:val="26"/>
          <w:szCs w:val="26"/>
        </w:rPr>
      </w:pPr>
    </w:p>
    <w:p w14:paraId="6D551A30" w14:textId="6319575B" w:rsidR="005630CE" w:rsidRDefault="005630CE" w:rsidP="002E6D96">
      <w:pPr>
        <w:pStyle w:val="BodyTextIndent"/>
        <w:keepNext/>
        <w:keepLines/>
        <w:widowControl/>
      </w:pPr>
      <w:r>
        <w:t xml:space="preserve">The </w:t>
      </w:r>
      <w:r w:rsidR="00DC5FEC">
        <w:t>Partial Settlement</w:t>
      </w:r>
      <w:r>
        <w:t xml:space="preserve"> addresses concerns raised regarding revenue/cost allocation and competitive alternative analysis for the rate justification of flex rate customers. R.D. 82-83.</w:t>
      </w:r>
    </w:p>
    <w:p w14:paraId="74DA97E0" w14:textId="77777777" w:rsidR="005630CE" w:rsidRDefault="005630CE" w:rsidP="002E6D96">
      <w:pPr>
        <w:widowControl/>
        <w:spacing w:line="360" w:lineRule="auto"/>
        <w:ind w:firstLine="1440"/>
        <w:rPr>
          <w:sz w:val="26"/>
          <w:szCs w:val="26"/>
        </w:rPr>
      </w:pPr>
    </w:p>
    <w:p w14:paraId="010150B5" w14:textId="77777777" w:rsidR="005630CE" w:rsidRPr="001E4ADC" w:rsidRDefault="005630CE" w:rsidP="002E6D96">
      <w:pPr>
        <w:widowControl/>
        <w:spacing w:line="360" w:lineRule="auto"/>
        <w:ind w:firstLine="1440"/>
        <w:rPr>
          <w:sz w:val="26"/>
          <w:szCs w:val="26"/>
        </w:rPr>
      </w:pPr>
      <w:r w:rsidRPr="001E4ADC">
        <w:rPr>
          <w:sz w:val="26"/>
          <w:szCs w:val="26"/>
        </w:rPr>
        <w:t>Columbia’s tariff allows it to negotiate flex rates for certain customers who can show that they have a competitive alternative to the Company’s gas supply.</w:t>
      </w:r>
      <w:r>
        <w:rPr>
          <w:sz w:val="26"/>
          <w:szCs w:val="26"/>
        </w:rPr>
        <w:t xml:space="preserve">  As the ALJ noted, </w:t>
      </w:r>
      <w:r w:rsidRPr="001E4ADC">
        <w:rPr>
          <w:sz w:val="26"/>
          <w:szCs w:val="26"/>
        </w:rPr>
        <w:t xml:space="preserve">I&amp;E proposed that Columbia </w:t>
      </w:r>
      <w:r>
        <w:rPr>
          <w:sz w:val="26"/>
          <w:szCs w:val="26"/>
        </w:rPr>
        <w:t xml:space="preserve">should </w:t>
      </w:r>
      <w:r w:rsidR="007A4883">
        <w:rPr>
          <w:sz w:val="26"/>
          <w:szCs w:val="26"/>
        </w:rPr>
        <w:t xml:space="preserve">justify the rate and </w:t>
      </w:r>
      <w:r>
        <w:rPr>
          <w:sz w:val="26"/>
          <w:szCs w:val="26"/>
        </w:rPr>
        <w:t xml:space="preserve">provide a competitive alternative analysis </w:t>
      </w:r>
      <w:r w:rsidRPr="001E4ADC">
        <w:rPr>
          <w:sz w:val="26"/>
          <w:szCs w:val="26"/>
        </w:rPr>
        <w:t>in its next base rate case for seven flex rate customers who had not had their competitive alternatives updated recently.</w:t>
      </w:r>
      <w:r w:rsidR="00736083">
        <w:rPr>
          <w:sz w:val="26"/>
          <w:szCs w:val="26"/>
        </w:rPr>
        <w:t xml:space="preserve"> </w:t>
      </w:r>
      <w:r>
        <w:rPr>
          <w:sz w:val="26"/>
          <w:szCs w:val="26"/>
        </w:rPr>
        <w:t xml:space="preserve"> R.D. at 82.</w:t>
      </w:r>
    </w:p>
    <w:p w14:paraId="2A81EBA0" w14:textId="77777777" w:rsidR="005630CE" w:rsidRPr="001E4ADC" w:rsidRDefault="005630CE" w:rsidP="002E6D96">
      <w:pPr>
        <w:widowControl/>
        <w:spacing w:line="360" w:lineRule="auto"/>
        <w:ind w:firstLine="1440"/>
        <w:rPr>
          <w:sz w:val="26"/>
          <w:szCs w:val="26"/>
        </w:rPr>
      </w:pPr>
    </w:p>
    <w:p w14:paraId="5539119F" w14:textId="77777777" w:rsidR="005630CE" w:rsidRPr="001E4ADC" w:rsidRDefault="005630CE" w:rsidP="002E6D96">
      <w:pPr>
        <w:widowControl/>
        <w:spacing w:line="360" w:lineRule="auto"/>
        <w:ind w:firstLine="1440"/>
        <w:rPr>
          <w:sz w:val="26"/>
          <w:szCs w:val="26"/>
        </w:rPr>
      </w:pPr>
      <w:r>
        <w:rPr>
          <w:sz w:val="26"/>
          <w:szCs w:val="26"/>
        </w:rPr>
        <w:t xml:space="preserve">As a condition of settlement, Columbia agreed to </w:t>
      </w:r>
      <w:r w:rsidRPr="001E4ADC">
        <w:rPr>
          <w:sz w:val="26"/>
          <w:szCs w:val="26"/>
        </w:rPr>
        <w:t xml:space="preserve">make available for review, subject to an appropriate </w:t>
      </w:r>
      <w:r w:rsidR="002F1E32">
        <w:rPr>
          <w:sz w:val="26"/>
          <w:szCs w:val="26"/>
        </w:rPr>
        <w:t xml:space="preserve">updated </w:t>
      </w:r>
      <w:r w:rsidRPr="001E4ADC">
        <w:rPr>
          <w:sz w:val="26"/>
          <w:szCs w:val="26"/>
        </w:rPr>
        <w:t xml:space="preserve">confidentiality agreement, </w:t>
      </w:r>
      <w:r w:rsidR="002F1E32">
        <w:rPr>
          <w:sz w:val="26"/>
          <w:szCs w:val="26"/>
        </w:rPr>
        <w:t>c</w:t>
      </w:r>
      <w:r w:rsidRPr="001E4ADC">
        <w:rPr>
          <w:sz w:val="26"/>
          <w:szCs w:val="26"/>
        </w:rPr>
        <w:t>ompetitive alternative analyses for the s</w:t>
      </w:r>
      <w:r>
        <w:rPr>
          <w:sz w:val="26"/>
          <w:szCs w:val="26"/>
        </w:rPr>
        <w:t xml:space="preserve">even flex-rate customers identified in I&amp;E Statement No. 3, </w:t>
      </w:r>
      <w:r w:rsidRPr="001E4ADC">
        <w:rPr>
          <w:sz w:val="26"/>
          <w:szCs w:val="26"/>
        </w:rPr>
        <w:t>in its next base rate case</w:t>
      </w:r>
      <w:r>
        <w:rPr>
          <w:sz w:val="26"/>
          <w:szCs w:val="26"/>
        </w:rPr>
        <w:t>, and</w:t>
      </w:r>
      <w:r w:rsidRPr="001E4ADC">
        <w:rPr>
          <w:sz w:val="26"/>
          <w:szCs w:val="26"/>
        </w:rPr>
        <w:t xml:space="preserve"> justify the flex rate granted to each customer.</w:t>
      </w:r>
      <w:r w:rsidR="00736083">
        <w:rPr>
          <w:sz w:val="26"/>
          <w:szCs w:val="26"/>
        </w:rPr>
        <w:t xml:space="preserve"> </w:t>
      </w:r>
      <w:r>
        <w:rPr>
          <w:sz w:val="26"/>
          <w:szCs w:val="26"/>
        </w:rPr>
        <w:t xml:space="preserve"> R.D. at </w:t>
      </w:r>
      <w:r w:rsidR="002F1E32">
        <w:rPr>
          <w:sz w:val="26"/>
          <w:szCs w:val="26"/>
        </w:rPr>
        <w:t>85</w:t>
      </w:r>
      <w:r>
        <w:rPr>
          <w:sz w:val="26"/>
          <w:szCs w:val="26"/>
        </w:rPr>
        <w:t xml:space="preserve">, Joint Petition at </w:t>
      </w:r>
      <w:r w:rsidRPr="001E4ADC">
        <w:rPr>
          <w:sz w:val="26"/>
          <w:szCs w:val="26"/>
        </w:rPr>
        <w:t>¶ 45.</w:t>
      </w:r>
    </w:p>
    <w:p w14:paraId="0965E475" w14:textId="77777777" w:rsidR="005630CE" w:rsidRPr="001E4ADC" w:rsidRDefault="005630CE" w:rsidP="002E6D96">
      <w:pPr>
        <w:widowControl/>
        <w:spacing w:line="360" w:lineRule="auto"/>
        <w:ind w:firstLine="1440"/>
        <w:rPr>
          <w:sz w:val="26"/>
          <w:szCs w:val="26"/>
        </w:rPr>
      </w:pPr>
    </w:p>
    <w:p w14:paraId="24FA16A6" w14:textId="513F4E3E" w:rsidR="005630CE" w:rsidRPr="001E4ADC" w:rsidRDefault="005630CE" w:rsidP="002E6D96">
      <w:pPr>
        <w:widowControl/>
        <w:spacing w:line="360" w:lineRule="auto"/>
        <w:ind w:firstLine="1440"/>
        <w:rPr>
          <w:sz w:val="26"/>
          <w:szCs w:val="26"/>
        </w:rPr>
      </w:pPr>
      <w:r>
        <w:rPr>
          <w:sz w:val="26"/>
          <w:szCs w:val="26"/>
        </w:rPr>
        <w:t xml:space="preserve">With respect to revenue/cost allocation, PSU and </w:t>
      </w:r>
      <w:r w:rsidR="00F1240A">
        <w:rPr>
          <w:sz w:val="26"/>
          <w:szCs w:val="26"/>
        </w:rPr>
        <w:t xml:space="preserve">the </w:t>
      </w:r>
      <w:r>
        <w:rPr>
          <w:sz w:val="26"/>
          <w:szCs w:val="26"/>
        </w:rPr>
        <w:t xml:space="preserve">OSBA advocated that the Company segregate flex-rate customers for purposes of revenue and cost of service allocation.  As a condition of settlement, </w:t>
      </w:r>
      <w:r w:rsidRPr="001E4ADC">
        <w:rPr>
          <w:sz w:val="26"/>
          <w:szCs w:val="26"/>
        </w:rPr>
        <w:t xml:space="preserve">Columbia has agreed to segregate flex rate customers into a separate category in each of its cost allocation studies filed in its next base rate proceeding.  </w:t>
      </w:r>
      <w:r w:rsidR="00C61946">
        <w:rPr>
          <w:sz w:val="26"/>
          <w:szCs w:val="26"/>
        </w:rPr>
        <w:t xml:space="preserve">The </w:t>
      </w:r>
      <w:r>
        <w:rPr>
          <w:sz w:val="26"/>
          <w:szCs w:val="26"/>
        </w:rPr>
        <w:t>Joint Petitioners agree, however, that t</w:t>
      </w:r>
      <w:r w:rsidRPr="001E4ADC">
        <w:rPr>
          <w:sz w:val="26"/>
          <w:szCs w:val="26"/>
        </w:rPr>
        <w:t>he Company shall not be required</w:t>
      </w:r>
      <w:r>
        <w:rPr>
          <w:sz w:val="26"/>
          <w:szCs w:val="26"/>
        </w:rPr>
        <w:t xml:space="preserve"> </w:t>
      </w:r>
      <w:r w:rsidRPr="001E4ADC">
        <w:rPr>
          <w:sz w:val="26"/>
          <w:szCs w:val="26"/>
        </w:rPr>
        <w:t xml:space="preserve">to allocate the revenue shortfall from the flex rate customer class to the </w:t>
      </w:r>
      <w:r w:rsidRPr="001E4ADC">
        <w:rPr>
          <w:sz w:val="26"/>
          <w:szCs w:val="26"/>
        </w:rPr>
        <w:lastRenderedPageBreak/>
        <w:t>regular rate classes as part of its cost allocation analysis.</w:t>
      </w:r>
      <w:r w:rsidR="003F3B53">
        <w:rPr>
          <w:sz w:val="26"/>
          <w:szCs w:val="26"/>
        </w:rPr>
        <w:t xml:space="preserve"> </w:t>
      </w:r>
      <w:r w:rsidRPr="001E4ADC">
        <w:rPr>
          <w:sz w:val="26"/>
          <w:szCs w:val="26"/>
        </w:rPr>
        <w:t xml:space="preserve"> </w:t>
      </w:r>
      <w:r>
        <w:rPr>
          <w:sz w:val="26"/>
          <w:szCs w:val="26"/>
        </w:rPr>
        <w:t>R.D. at 83, Joint Petition at</w:t>
      </w:r>
      <w:r w:rsidR="00F1240A">
        <w:rPr>
          <w:sz w:val="26"/>
          <w:szCs w:val="26"/>
        </w:rPr>
        <w:t> </w:t>
      </w:r>
      <w:r w:rsidRPr="001E4ADC">
        <w:rPr>
          <w:sz w:val="26"/>
          <w:szCs w:val="26"/>
        </w:rPr>
        <w:t>¶</w:t>
      </w:r>
      <w:r w:rsidR="00B80DD8">
        <w:rPr>
          <w:sz w:val="26"/>
          <w:szCs w:val="26"/>
        </w:rPr>
        <w:t> </w:t>
      </w:r>
      <w:r w:rsidRPr="001E4ADC">
        <w:rPr>
          <w:sz w:val="26"/>
          <w:szCs w:val="26"/>
        </w:rPr>
        <w:t>46.</w:t>
      </w:r>
    </w:p>
    <w:p w14:paraId="2943B659" w14:textId="77777777" w:rsidR="005630CE" w:rsidRPr="005630CE" w:rsidRDefault="005630CE" w:rsidP="002E6D96">
      <w:pPr>
        <w:pStyle w:val="ListParagraph"/>
        <w:widowControl/>
        <w:tabs>
          <w:tab w:val="left" w:pos="1440"/>
        </w:tabs>
        <w:spacing w:line="360" w:lineRule="auto"/>
        <w:ind w:left="1080"/>
        <w:textAlignment w:val="baseline"/>
        <w:outlineLvl w:val="1"/>
        <w:rPr>
          <w:b/>
          <w:color w:val="000000"/>
          <w:sz w:val="26"/>
          <w:szCs w:val="26"/>
        </w:rPr>
      </w:pPr>
    </w:p>
    <w:p w14:paraId="25B73838" w14:textId="4C455ED5" w:rsidR="00E10351" w:rsidRPr="00B80DD8" w:rsidRDefault="00B80DD8" w:rsidP="002E6D96">
      <w:pPr>
        <w:keepNext/>
        <w:keepLines/>
        <w:widowControl/>
        <w:tabs>
          <w:tab w:val="left" w:pos="1440"/>
        </w:tabs>
        <w:spacing w:line="360" w:lineRule="auto"/>
        <w:ind w:left="792"/>
        <w:textAlignment w:val="baseline"/>
        <w:outlineLvl w:val="1"/>
        <w:rPr>
          <w:b/>
          <w:color w:val="000000"/>
          <w:sz w:val="26"/>
          <w:szCs w:val="26"/>
          <w:highlight w:val="yellow"/>
        </w:rPr>
      </w:pPr>
      <w:bookmarkStart w:id="16" w:name="_Toc531076124"/>
      <w:r>
        <w:rPr>
          <w:b/>
          <w:color w:val="000000"/>
          <w:sz w:val="26"/>
          <w:szCs w:val="26"/>
        </w:rPr>
        <w:t>F.</w:t>
      </w:r>
      <w:r>
        <w:rPr>
          <w:b/>
          <w:color w:val="000000"/>
          <w:sz w:val="26"/>
          <w:szCs w:val="26"/>
        </w:rPr>
        <w:tab/>
      </w:r>
      <w:r w:rsidR="00C34E85" w:rsidRPr="00B80DD8">
        <w:rPr>
          <w:b/>
          <w:color w:val="000000"/>
          <w:sz w:val="26"/>
          <w:szCs w:val="26"/>
        </w:rPr>
        <w:t>D</w:t>
      </w:r>
      <w:r w:rsidR="005E4951" w:rsidRPr="00B80DD8">
        <w:rPr>
          <w:b/>
          <w:color w:val="000000"/>
          <w:sz w:val="26"/>
          <w:szCs w:val="26"/>
        </w:rPr>
        <w:t>isposition of Non</w:t>
      </w:r>
      <w:r w:rsidR="002B0285" w:rsidRPr="00B80DD8">
        <w:rPr>
          <w:b/>
          <w:color w:val="000000"/>
          <w:sz w:val="26"/>
          <w:szCs w:val="26"/>
        </w:rPr>
        <w:t>-Settling Parties</w:t>
      </w:r>
      <w:r w:rsidR="00F1240A">
        <w:rPr>
          <w:b/>
          <w:color w:val="000000"/>
          <w:sz w:val="26"/>
          <w:szCs w:val="26"/>
        </w:rPr>
        <w:t>’</w:t>
      </w:r>
      <w:r w:rsidR="002B0285" w:rsidRPr="00B80DD8">
        <w:rPr>
          <w:b/>
          <w:color w:val="000000"/>
          <w:sz w:val="26"/>
          <w:szCs w:val="26"/>
        </w:rPr>
        <w:t xml:space="preserve"> </w:t>
      </w:r>
      <w:r w:rsidR="005E4951" w:rsidRPr="00B80DD8">
        <w:rPr>
          <w:b/>
          <w:color w:val="000000"/>
          <w:sz w:val="26"/>
          <w:szCs w:val="26"/>
        </w:rPr>
        <w:t>Formal Complaints</w:t>
      </w:r>
      <w:bookmarkEnd w:id="16"/>
    </w:p>
    <w:p w14:paraId="00F4858E" w14:textId="77777777" w:rsidR="00E10351" w:rsidRDefault="00E10351" w:rsidP="002E6D96">
      <w:pPr>
        <w:keepNext/>
        <w:keepLines/>
        <w:widowControl/>
        <w:tabs>
          <w:tab w:val="left" w:pos="1440"/>
        </w:tabs>
        <w:spacing w:line="360" w:lineRule="auto"/>
        <w:textAlignment w:val="baseline"/>
        <w:outlineLvl w:val="1"/>
        <w:rPr>
          <w:b/>
          <w:color w:val="000000"/>
          <w:sz w:val="26"/>
          <w:szCs w:val="26"/>
          <w:highlight w:val="yellow"/>
        </w:rPr>
      </w:pPr>
    </w:p>
    <w:p w14:paraId="3FB43775" w14:textId="1C53E587" w:rsidR="00E10351" w:rsidRDefault="00E10351" w:rsidP="002E6D96">
      <w:pPr>
        <w:widowControl/>
        <w:tabs>
          <w:tab w:val="center" w:pos="720"/>
          <w:tab w:val="center" w:pos="5170"/>
        </w:tabs>
        <w:spacing w:line="360" w:lineRule="auto"/>
        <w:ind w:firstLine="1440"/>
        <w:rPr>
          <w:sz w:val="26"/>
          <w:szCs w:val="26"/>
        </w:rPr>
      </w:pPr>
      <w:r>
        <w:rPr>
          <w:sz w:val="26"/>
          <w:szCs w:val="26"/>
        </w:rPr>
        <w:t xml:space="preserve">The ALJ noted that </w:t>
      </w:r>
      <w:r w:rsidR="00F1240A">
        <w:rPr>
          <w:sz w:val="26"/>
          <w:szCs w:val="26"/>
        </w:rPr>
        <w:t xml:space="preserve">the </w:t>
      </w:r>
      <w:r w:rsidRPr="00E70E3B">
        <w:rPr>
          <w:sz w:val="26"/>
          <w:szCs w:val="26"/>
        </w:rPr>
        <w:t xml:space="preserve">four individual Columbia customers </w:t>
      </w:r>
      <w:r>
        <w:rPr>
          <w:sz w:val="26"/>
          <w:szCs w:val="26"/>
        </w:rPr>
        <w:t>wh</w:t>
      </w:r>
      <w:r w:rsidR="00F1240A">
        <w:rPr>
          <w:sz w:val="26"/>
          <w:szCs w:val="26"/>
        </w:rPr>
        <w:t>o</w:t>
      </w:r>
      <w:r>
        <w:rPr>
          <w:sz w:val="26"/>
          <w:szCs w:val="26"/>
        </w:rPr>
        <w:t xml:space="preserve"> </w:t>
      </w:r>
      <w:r w:rsidRPr="00E70E3B">
        <w:rPr>
          <w:sz w:val="26"/>
          <w:szCs w:val="26"/>
        </w:rPr>
        <w:t xml:space="preserve">filed </w:t>
      </w:r>
      <w:r>
        <w:rPr>
          <w:sz w:val="26"/>
          <w:szCs w:val="26"/>
        </w:rPr>
        <w:t>f</w:t>
      </w:r>
      <w:r w:rsidRPr="00E70E3B">
        <w:rPr>
          <w:sz w:val="26"/>
          <w:szCs w:val="26"/>
        </w:rPr>
        <w:t>ormal complaint</w:t>
      </w:r>
      <w:r>
        <w:rPr>
          <w:sz w:val="26"/>
          <w:szCs w:val="26"/>
        </w:rPr>
        <w:t>s</w:t>
      </w:r>
      <w:r w:rsidR="00F1240A">
        <w:rPr>
          <w:sz w:val="26"/>
          <w:szCs w:val="26"/>
        </w:rPr>
        <w:t xml:space="preserve"> </w:t>
      </w:r>
      <w:r w:rsidR="006870A9">
        <w:rPr>
          <w:sz w:val="26"/>
          <w:szCs w:val="26"/>
        </w:rPr>
        <w:t>–</w:t>
      </w:r>
      <w:r w:rsidR="00F1240A">
        <w:rPr>
          <w:sz w:val="26"/>
          <w:szCs w:val="26"/>
        </w:rPr>
        <w:t xml:space="preserve"> </w:t>
      </w:r>
      <w:r w:rsidRPr="001067E3">
        <w:rPr>
          <w:sz w:val="26"/>
          <w:szCs w:val="26"/>
        </w:rPr>
        <w:t>G. Blair Bauer</w:t>
      </w:r>
      <w:r w:rsidR="00F1240A">
        <w:rPr>
          <w:sz w:val="26"/>
          <w:szCs w:val="26"/>
        </w:rPr>
        <w:t>,</w:t>
      </w:r>
      <w:r w:rsidRPr="001067E3">
        <w:rPr>
          <w:sz w:val="26"/>
          <w:szCs w:val="26"/>
        </w:rPr>
        <w:t xml:space="preserve"> at Docket No. C-2018-3001319; Philip L. Bloch</w:t>
      </w:r>
      <w:r w:rsidR="00F1240A">
        <w:rPr>
          <w:sz w:val="26"/>
          <w:szCs w:val="26"/>
        </w:rPr>
        <w:t>,</w:t>
      </w:r>
      <w:r w:rsidRPr="001067E3">
        <w:rPr>
          <w:sz w:val="26"/>
          <w:szCs w:val="26"/>
        </w:rPr>
        <w:t xml:space="preserve"> at Docket No. C-2018-3001634; Robin A. Harrison</w:t>
      </w:r>
      <w:r w:rsidR="00F1240A">
        <w:rPr>
          <w:sz w:val="26"/>
          <w:szCs w:val="26"/>
        </w:rPr>
        <w:t>,</w:t>
      </w:r>
      <w:r w:rsidRPr="001067E3">
        <w:rPr>
          <w:sz w:val="26"/>
          <w:szCs w:val="26"/>
        </w:rPr>
        <w:t xml:space="preserve"> at Docket No. C-2018-3002595</w:t>
      </w:r>
      <w:r>
        <w:rPr>
          <w:sz w:val="26"/>
          <w:szCs w:val="26"/>
        </w:rPr>
        <w:t xml:space="preserve">; and </w:t>
      </w:r>
      <w:r w:rsidRPr="004957F1">
        <w:rPr>
          <w:sz w:val="26"/>
          <w:szCs w:val="26"/>
        </w:rPr>
        <w:t>Patria Southorn</w:t>
      </w:r>
      <w:r w:rsidR="00F1240A">
        <w:rPr>
          <w:sz w:val="26"/>
          <w:szCs w:val="26"/>
        </w:rPr>
        <w:t>,</w:t>
      </w:r>
      <w:r w:rsidRPr="004957F1">
        <w:rPr>
          <w:sz w:val="26"/>
          <w:szCs w:val="26"/>
        </w:rPr>
        <w:t xml:space="preserve"> at Docket No. C-2018-3000779</w:t>
      </w:r>
      <w:r w:rsidR="00F1240A">
        <w:rPr>
          <w:sz w:val="26"/>
          <w:szCs w:val="26"/>
        </w:rPr>
        <w:t xml:space="preserve"> –</w:t>
      </w:r>
      <w:r>
        <w:rPr>
          <w:sz w:val="26"/>
          <w:szCs w:val="26"/>
        </w:rPr>
        <w:t xml:space="preserve"> </w:t>
      </w:r>
      <w:r w:rsidRPr="00E70E3B">
        <w:rPr>
          <w:sz w:val="26"/>
          <w:szCs w:val="26"/>
        </w:rPr>
        <w:t>did not attend the Prehearing Conference, did not file testimony, and did not otherwise actively participate in th</w:t>
      </w:r>
      <w:r>
        <w:rPr>
          <w:sz w:val="26"/>
          <w:szCs w:val="26"/>
        </w:rPr>
        <w:t>e rate proceeding</w:t>
      </w:r>
      <w:r w:rsidRPr="00E70E3B">
        <w:rPr>
          <w:sz w:val="26"/>
          <w:szCs w:val="26"/>
        </w:rPr>
        <w:t xml:space="preserve">. </w:t>
      </w:r>
      <w:r w:rsidR="003F3B53">
        <w:rPr>
          <w:sz w:val="26"/>
          <w:szCs w:val="26"/>
        </w:rPr>
        <w:t xml:space="preserve"> </w:t>
      </w:r>
      <w:r>
        <w:rPr>
          <w:sz w:val="26"/>
          <w:szCs w:val="26"/>
        </w:rPr>
        <w:t>R.D. at 87-89.</w:t>
      </w:r>
    </w:p>
    <w:p w14:paraId="7FC0570C" w14:textId="77777777" w:rsidR="00E10351" w:rsidRDefault="00E10351" w:rsidP="002E6D96">
      <w:pPr>
        <w:widowControl/>
        <w:tabs>
          <w:tab w:val="center" w:pos="720"/>
          <w:tab w:val="center" w:pos="5170"/>
        </w:tabs>
        <w:spacing w:line="360" w:lineRule="auto"/>
        <w:ind w:firstLine="1440"/>
        <w:rPr>
          <w:sz w:val="26"/>
          <w:szCs w:val="26"/>
        </w:rPr>
      </w:pPr>
    </w:p>
    <w:p w14:paraId="10D860F9" w14:textId="7814C448" w:rsidR="00E10351" w:rsidRDefault="0048497D" w:rsidP="002E6D96">
      <w:pPr>
        <w:widowControl/>
        <w:tabs>
          <w:tab w:val="center" w:pos="720"/>
          <w:tab w:val="center" w:pos="5170"/>
        </w:tabs>
        <w:spacing w:line="360" w:lineRule="auto"/>
        <w:ind w:firstLine="1440"/>
        <w:rPr>
          <w:sz w:val="26"/>
          <w:szCs w:val="26"/>
        </w:rPr>
      </w:pPr>
      <w:r>
        <w:rPr>
          <w:sz w:val="26"/>
          <w:szCs w:val="26"/>
        </w:rPr>
        <w:t xml:space="preserve">As noted, </w:t>
      </w:r>
      <w:r>
        <w:rPr>
          <w:i/>
          <w:sz w:val="26"/>
          <w:szCs w:val="26"/>
        </w:rPr>
        <w:t>supra</w:t>
      </w:r>
      <w:r>
        <w:rPr>
          <w:sz w:val="26"/>
          <w:szCs w:val="26"/>
        </w:rPr>
        <w:t>, t</w:t>
      </w:r>
      <w:r w:rsidR="00E10351">
        <w:rPr>
          <w:sz w:val="26"/>
          <w:szCs w:val="26"/>
        </w:rPr>
        <w:t xml:space="preserve">he inactive </w:t>
      </w:r>
      <w:r w:rsidR="002854E5">
        <w:rPr>
          <w:sz w:val="26"/>
          <w:szCs w:val="26"/>
        </w:rPr>
        <w:t>P</w:t>
      </w:r>
      <w:r w:rsidR="00E10351">
        <w:rPr>
          <w:sz w:val="26"/>
          <w:szCs w:val="26"/>
        </w:rPr>
        <w:t xml:space="preserve">arties were provided </w:t>
      </w:r>
      <w:r w:rsidR="00E10351" w:rsidRPr="006F1218">
        <w:rPr>
          <w:sz w:val="26"/>
          <w:szCs w:val="26"/>
        </w:rPr>
        <w:t xml:space="preserve">a copy of the </w:t>
      </w:r>
      <w:r w:rsidR="00E10351">
        <w:rPr>
          <w:sz w:val="26"/>
          <w:szCs w:val="26"/>
        </w:rPr>
        <w:t xml:space="preserve">Joint Petition for Partial </w:t>
      </w:r>
      <w:r w:rsidR="00E10351" w:rsidRPr="006F1218">
        <w:rPr>
          <w:sz w:val="26"/>
          <w:szCs w:val="26"/>
        </w:rPr>
        <w:t>Settlement on August 31, 2018</w:t>
      </w:r>
      <w:r>
        <w:rPr>
          <w:sz w:val="26"/>
          <w:szCs w:val="26"/>
        </w:rPr>
        <w:t>,</w:t>
      </w:r>
      <w:r w:rsidR="00E10351" w:rsidRPr="006F1218">
        <w:rPr>
          <w:sz w:val="26"/>
          <w:szCs w:val="26"/>
        </w:rPr>
        <w:t xml:space="preserve"> and a written notice from </w:t>
      </w:r>
      <w:r w:rsidR="00E10351">
        <w:rPr>
          <w:sz w:val="26"/>
          <w:szCs w:val="26"/>
        </w:rPr>
        <w:t xml:space="preserve">ALJ Watson </w:t>
      </w:r>
      <w:r w:rsidR="00E10351" w:rsidRPr="006F1218">
        <w:rPr>
          <w:sz w:val="26"/>
          <w:szCs w:val="26"/>
        </w:rPr>
        <w:t xml:space="preserve">on September 4, 2018, which apprised </w:t>
      </w:r>
      <w:r w:rsidR="00E10351">
        <w:rPr>
          <w:sz w:val="26"/>
          <w:szCs w:val="26"/>
        </w:rPr>
        <w:t xml:space="preserve">each Complainant of their </w:t>
      </w:r>
      <w:r w:rsidR="00E10351" w:rsidRPr="006F1218">
        <w:rPr>
          <w:sz w:val="26"/>
          <w:szCs w:val="26"/>
        </w:rPr>
        <w:t xml:space="preserve">opportunity to file objections to the </w:t>
      </w:r>
      <w:r w:rsidR="00E10351">
        <w:rPr>
          <w:sz w:val="26"/>
          <w:szCs w:val="26"/>
        </w:rPr>
        <w:t xml:space="preserve">Joint </w:t>
      </w:r>
      <w:r w:rsidR="00E10351" w:rsidRPr="006F1218">
        <w:rPr>
          <w:sz w:val="26"/>
          <w:szCs w:val="26"/>
        </w:rPr>
        <w:t xml:space="preserve">Petition on or before September 12, 2018.  By providing </w:t>
      </w:r>
      <w:r w:rsidR="00E10351">
        <w:rPr>
          <w:sz w:val="26"/>
          <w:szCs w:val="26"/>
        </w:rPr>
        <w:t xml:space="preserve">each Complainant the </w:t>
      </w:r>
      <w:r w:rsidR="00E10351" w:rsidRPr="006F1218">
        <w:rPr>
          <w:sz w:val="26"/>
          <w:szCs w:val="26"/>
        </w:rPr>
        <w:t xml:space="preserve">opportunity to be heard, </w:t>
      </w:r>
      <w:r w:rsidR="00E10351">
        <w:rPr>
          <w:sz w:val="26"/>
          <w:szCs w:val="26"/>
        </w:rPr>
        <w:t>the Complainants’</w:t>
      </w:r>
      <w:r w:rsidR="00E10351" w:rsidRPr="006F1218">
        <w:rPr>
          <w:sz w:val="26"/>
          <w:szCs w:val="26"/>
        </w:rPr>
        <w:t xml:space="preserve"> due process rights have been fully protected.  </w:t>
      </w:r>
      <w:r w:rsidR="00E10351" w:rsidRPr="006F1218">
        <w:rPr>
          <w:i/>
          <w:sz w:val="26"/>
          <w:szCs w:val="26"/>
        </w:rPr>
        <w:t>Schneider v. Pa. Pub. Util. Comm’n</w:t>
      </w:r>
      <w:r w:rsidR="00E10351" w:rsidRPr="006F1218">
        <w:rPr>
          <w:sz w:val="26"/>
          <w:szCs w:val="26"/>
        </w:rPr>
        <w:t xml:space="preserve">, 83 Pa.Cmwlth. 306, 479 A. 2d 10 (1984).  </w:t>
      </w:r>
      <w:r w:rsidR="00E10351">
        <w:rPr>
          <w:sz w:val="26"/>
          <w:szCs w:val="26"/>
        </w:rPr>
        <w:t xml:space="preserve">Each Complainant </w:t>
      </w:r>
      <w:r>
        <w:rPr>
          <w:sz w:val="26"/>
          <w:szCs w:val="26"/>
        </w:rPr>
        <w:t xml:space="preserve">also </w:t>
      </w:r>
      <w:r w:rsidR="00E10351">
        <w:rPr>
          <w:sz w:val="26"/>
          <w:szCs w:val="26"/>
        </w:rPr>
        <w:t xml:space="preserve">was served with a with a copy of the ALJ Watson’s Recommended Decision issued September </w:t>
      </w:r>
      <w:r w:rsidR="00FD5459">
        <w:rPr>
          <w:sz w:val="26"/>
          <w:szCs w:val="26"/>
        </w:rPr>
        <w:t>2</w:t>
      </w:r>
      <w:r w:rsidR="00E10351">
        <w:rPr>
          <w:sz w:val="26"/>
          <w:szCs w:val="26"/>
        </w:rPr>
        <w:t>8, 2018.</w:t>
      </w:r>
    </w:p>
    <w:p w14:paraId="580CDC70" w14:textId="77777777" w:rsidR="00E10351" w:rsidRDefault="00E10351" w:rsidP="002E6D96">
      <w:pPr>
        <w:widowControl/>
        <w:tabs>
          <w:tab w:val="center" w:pos="720"/>
          <w:tab w:val="center" w:pos="5170"/>
        </w:tabs>
        <w:spacing w:line="360" w:lineRule="auto"/>
        <w:ind w:firstLine="1440"/>
        <w:rPr>
          <w:sz w:val="26"/>
          <w:szCs w:val="26"/>
        </w:rPr>
      </w:pPr>
    </w:p>
    <w:p w14:paraId="0071A66F" w14:textId="77777777" w:rsidR="00E10351" w:rsidRPr="006F1218" w:rsidRDefault="00E10351" w:rsidP="002E6D96">
      <w:pPr>
        <w:widowControl/>
        <w:tabs>
          <w:tab w:val="center" w:pos="720"/>
          <w:tab w:val="center" w:pos="5170"/>
        </w:tabs>
        <w:spacing w:line="360" w:lineRule="auto"/>
        <w:ind w:firstLine="1440"/>
        <w:rPr>
          <w:sz w:val="26"/>
          <w:szCs w:val="26"/>
        </w:rPr>
      </w:pPr>
      <w:r>
        <w:rPr>
          <w:sz w:val="26"/>
          <w:szCs w:val="26"/>
        </w:rPr>
        <w:t xml:space="preserve">Based upon the Complainants’ having been provided notice and opportunity to be heard and the ALJ’s determination to recommend adoption of the terms and conditions of the Joint Petition for Partial Settlement, the ALJ recommended that the </w:t>
      </w:r>
      <w:r w:rsidR="0048497D">
        <w:rPr>
          <w:sz w:val="26"/>
          <w:szCs w:val="26"/>
        </w:rPr>
        <w:t xml:space="preserve">inactive </w:t>
      </w:r>
      <w:r>
        <w:rPr>
          <w:sz w:val="26"/>
          <w:szCs w:val="26"/>
        </w:rPr>
        <w:t xml:space="preserve">Complainants’ formal complaints be </w:t>
      </w:r>
      <w:r w:rsidR="00666187">
        <w:rPr>
          <w:sz w:val="26"/>
          <w:szCs w:val="26"/>
        </w:rPr>
        <w:t>dismissed,</w:t>
      </w:r>
      <w:r>
        <w:rPr>
          <w:sz w:val="26"/>
          <w:szCs w:val="26"/>
        </w:rPr>
        <w:t xml:space="preserve"> and the dockets marked closed.</w:t>
      </w:r>
    </w:p>
    <w:p w14:paraId="230A9976" w14:textId="77777777" w:rsidR="00A142CB" w:rsidRPr="003C351F" w:rsidRDefault="00A142CB" w:rsidP="002E6D96">
      <w:pPr>
        <w:widowControl/>
        <w:spacing w:after="200" w:line="276" w:lineRule="auto"/>
        <w:contextualSpacing/>
        <w:rPr>
          <w:b/>
          <w:sz w:val="26"/>
          <w:szCs w:val="26"/>
        </w:rPr>
      </w:pPr>
    </w:p>
    <w:p w14:paraId="68AE12FE" w14:textId="77777777" w:rsidR="006727EC" w:rsidRPr="00B80DD8" w:rsidRDefault="00B80DD8" w:rsidP="002E6D96">
      <w:pPr>
        <w:keepNext/>
        <w:keepLines/>
        <w:widowControl/>
        <w:spacing w:line="360" w:lineRule="auto"/>
        <w:ind w:left="792"/>
        <w:outlineLvl w:val="1"/>
        <w:rPr>
          <w:b/>
          <w:sz w:val="26"/>
          <w:szCs w:val="26"/>
        </w:rPr>
      </w:pPr>
      <w:bookmarkStart w:id="17" w:name="_Toc531076125"/>
      <w:r>
        <w:rPr>
          <w:b/>
          <w:sz w:val="26"/>
          <w:szCs w:val="26"/>
        </w:rPr>
        <w:lastRenderedPageBreak/>
        <w:t>G.</w:t>
      </w:r>
      <w:r>
        <w:rPr>
          <w:b/>
          <w:sz w:val="26"/>
          <w:szCs w:val="26"/>
        </w:rPr>
        <w:tab/>
      </w:r>
      <w:r w:rsidR="006727EC" w:rsidRPr="00B80DD8">
        <w:rPr>
          <w:b/>
          <w:sz w:val="26"/>
          <w:szCs w:val="26"/>
        </w:rPr>
        <w:t>Disposition</w:t>
      </w:r>
      <w:bookmarkEnd w:id="17"/>
    </w:p>
    <w:p w14:paraId="791B786B" w14:textId="77777777" w:rsidR="006727EC" w:rsidRPr="003C351F" w:rsidRDefault="006727EC" w:rsidP="002E6D96">
      <w:pPr>
        <w:keepNext/>
        <w:keepLines/>
        <w:widowControl/>
        <w:spacing w:line="360" w:lineRule="auto"/>
        <w:ind w:firstLine="1440"/>
        <w:contextualSpacing/>
        <w:rPr>
          <w:sz w:val="26"/>
          <w:szCs w:val="26"/>
        </w:rPr>
      </w:pPr>
    </w:p>
    <w:p w14:paraId="2DE796CF" w14:textId="187093D6" w:rsidR="00D3034C" w:rsidRPr="003C351F" w:rsidRDefault="002F1E32" w:rsidP="002E6D96">
      <w:pPr>
        <w:widowControl/>
        <w:spacing w:line="360" w:lineRule="auto"/>
        <w:ind w:firstLine="1440"/>
        <w:contextualSpacing/>
        <w:rPr>
          <w:sz w:val="26"/>
          <w:szCs w:val="26"/>
        </w:rPr>
      </w:pPr>
      <w:r>
        <w:rPr>
          <w:sz w:val="26"/>
          <w:szCs w:val="26"/>
        </w:rPr>
        <w:t>I</w:t>
      </w:r>
      <w:r w:rsidR="003F3B53">
        <w:rPr>
          <w:sz w:val="26"/>
          <w:szCs w:val="26"/>
        </w:rPr>
        <w:t>t</w:t>
      </w:r>
      <w:r>
        <w:rPr>
          <w:sz w:val="26"/>
          <w:szCs w:val="26"/>
        </w:rPr>
        <w:t xml:space="preserve"> is t</w:t>
      </w:r>
      <w:r w:rsidR="00D3034C" w:rsidRPr="003C351F">
        <w:rPr>
          <w:sz w:val="26"/>
          <w:szCs w:val="26"/>
        </w:rPr>
        <w:t>he policy of the Commission to encourage settlements</w:t>
      </w:r>
      <w:r>
        <w:rPr>
          <w:sz w:val="26"/>
          <w:szCs w:val="26"/>
        </w:rPr>
        <w:t>.</w:t>
      </w:r>
      <w:r w:rsidR="00D3034C" w:rsidRPr="003C351F">
        <w:rPr>
          <w:sz w:val="26"/>
          <w:szCs w:val="26"/>
        </w:rPr>
        <w:t xml:space="preserve"> </w:t>
      </w:r>
      <w:r>
        <w:rPr>
          <w:sz w:val="26"/>
          <w:szCs w:val="26"/>
        </w:rPr>
        <w:t xml:space="preserve"> T</w:t>
      </w:r>
      <w:r w:rsidR="00D3034C" w:rsidRPr="003C351F">
        <w:rPr>
          <w:sz w:val="26"/>
          <w:szCs w:val="26"/>
        </w:rPr>
        <w:t>he Commission has stated that settlement rates are often preferable to those achieved at the conclusion of a fully litigated proceeding.  52 Pa. Code §§ 5.231</w:t>
      </w:r>
      <w:r>
        <w:rPr>
          <w:sz w:val="26"/>
          <w:szCs w:val="26"/>
        </w:rPr>
        <w:t>;</w:t>
      </w:r>
      <w:r w:rsidR="00D3034C" w:rsidRPr="003C351F">
        <w:rPr>
          <w:sz w:val="26"/>
          <w:szCs w:val="26"/>
        </w:rPr>
        <w:t xml:space="preserve"> 69.401.  A full settlement of all the issues in a proceeding eliminates the time, effort and expense that otherwise would have been used in litigating the proceeding, while a partial settlement may significantly reduce the time, effort and expense of litigating a case.  A settlement, whether whole or partial, benefits not only the named parties directly, but, indirectly, all customers of the public utility involved in the case.  </w:t>
      </w:r>
      <w:r w:rsidR="00D3034C" w:rsidRPr="003C351F">
        <w:rPr>
          <w:i/>
          <w:sz w:val="26"/>
          <w:szCs w:val="26"/>
        </w:rPr>
        <w:t xml:space="preserve">Pa. PUC, et al. v. </w:t>
      </w:r>
      <w:r w:rsidR="000E1153">
        <w:rPr>
          <w:i/>
          <w:sz w:val="26"/>
          <w:szCs w:val="26"/>
        </w:rPr>
        <w:t>Columbia Gas</w:t>
      </w:r>
      <w:r w:rsidR="00D3034C" w:rsidRPr="003C351F">
        <w:rPr>
          <w:i/>
          <w:sz w:val="26"/>
          <w:szCs w:val="26"/>
        </w:rPr>
        <w:t xml:space="preserve"> of Pennsylvania, Inc.</w:t>
      </w:r>
      <w:r w:rsidR="00D3034C" w:rsidRPr="003C351F">
        <w:rPr>
          <w:sz w:val="26"/>
          <w:szCs w:val="26"/>
        </w:rPr>
        <w:t xml:space="preserve">, Docket Nos. R-2015-2468056, </w:t>
      </w:r>
      <w:r w:rsidR="00D3034C" w:rsidRPr="003C351F">
        <w:rPr>
          <w:i/>
          <w:sz w:val="26"/>
          <w:szCs w:val="26"/>
        </w:rPr>
        <w:t>et al.</w:t>
      </w:r>
      <w:r w:rsidR="00D3034C" w:rsidRPr="003C351F">
        <w:rPr>
          <w:sz w:val="26"/>
          <w:szCs w:val="26"/>
        </w:rPr>
        <w:t xml:space="preserve"> (Order entered December 3, 2015) at 6-7.</w:t>
      </w:r>
    </w:p>
    <w:p w14:paraId="28915972" w14:textId="77777777" w:rsidR="00D3034C" w:rsidRPr="003C351F" w:rsidRDefault="00D3034C" w:rsidP="002E6D96">
      <w:pPr>
        <w:widowControl/>
        <w:spacing w:line="360" w:lineRule="auto"/>
        <w:ind w:firstLine="1440"/>
        <w:contextualSpacing/>
        <w:rPr>
          <w:sz w:val="26"/>
          <w:szCs w:val="26"/>
        </w:rPr>
      </w:pPr>
    </w:p>
    <w:p w14:paraId="6B212083" w14:textId="3354B9C4" w:rsidR="00D3034C" w:rsidRPr="003C351F" w:rsidRDefault="00D3034C" w:rsidP="002E6D96">
      <w:pPr>
        <w:widowControl/>
        <w:suppressAutoHyphens/>
        <w:spacing w:line="360" w:lineRule="auto"/>
        <w:ind w:firstLine="1440"/>
        <w:contextualSpacing/>
        <w:rPr>
          <w:sz w:val="26"/>
          <w:szCs w:val="26"/>
        </w:rPr>
      </w:pPr>
      <w:r w:rsidRPr="003C351F">
        <w:rPr>
          <w:sz w:val="26"/>
          <w:szCs w:val="26"/>
        </w:rPr>
        <w:t>Rate increase proceedings are expensive to litigate, and the reasonable cost of such litigation is an operating expense recovered in the rates approved by the Commission.</w:t>
      </w:r>
      <w:r w:rsidR="002F1E32">
        <w:rPr>
          <w:sz w:val="26"/>
          <w:szCs w:val="26"/>
        </w:rPr>
        <w:t xml:space="preserve">  </w:t>
      </w:r>
      <w:r w:rsidR="002F1E32" w:rsidRPr="003C351F">
        <w:rPr>
          <w:i/>
          <w:sz w:val="26"/>
          <w:szCs w:val="26"/>
        </w:rPr>
        <w:t xml:space="preserve">Pa. PUC, et al. v. </w:t>
      </w:r>
      <w:r w:rsidR="002F1E32">
        <w:rPr>
          <w:i/>
          <w:sz w:val="26"/>
          <w:szCs w:val="26"/>
        </w:rPr>
        <w:t>Columbia Gas</w:t>
      </w:r>
      <w:r w:rsidR="002F1E32" w:rsidRPr="003C351F">
        <w:rPr>
          <w:i/>
          <w:sz w:val="26"/>
          <w:szCs w:val="26"/>
        </w:rPr>
        <w:t xml:space="preserve"> of Pennsylvania, Inc.</w:t>
      </w:r>
      <w:r w:rsidR="002F1E32">
        <w:rPr>
          <w:sz w:val="26"/>
          <w:szCs w:val="26"/>
        </w:rPr>
        <w:t xml:space="preserve">, </w:t>
      </w:r>
      <w:r w:rsidR="002F1E32">
        <w:rPr>
          <w:i/>
          <w:sz w:val="26"/>
          <w:szCs w:val="26"/>
        </w:rPr>
        <w:t>supra</w:t>
      </w:r>
      <w:r w:rsidR="002F1E32">
        <w:rPr>
          <w:sz w:val="26"/>
          <w:szCs w:val="26"/>
        </w:rPr>
        <w:t>.</w:t>
      </w:r>
      <w:r w:rsidRPr="003C351F">
        <w:rPr>
          <w:sz w:val="26"/>
          <w:szCs w:val="26"/>
        </w:rPr>
        <w:t xml:space="preserve">  Partial or full settlements allow the parties to avoid the substantial costs of preparing and serving testimony and the cross-examination of witnesses in lengthy hearings, the preparation and service of briefs, reply briefs, exceptions and replies to exceptions, together with the briefs and reply briefs necessitated by any appeal of the Commission’s decision, yielding significant expense savings for the company’s customers.  For this and other sound reasons, settlements are encouraged by long-standing Commission policy.  </w:t>
      </w:r>
      <w:r w:rsidRPr="003C351F">
        <w:rPr>
          <w:i/>
          <w:sz w:val="26"/>
          <w:szCs w:val="26"/>
        </w:rPr>
        <w:t>Id.</w:t>
      </w:r>
    </w:p>
    <w:p w14:paraId="70E920F9" w14:textId="77777777" w:rsidR="00D3034C" w:rsidRPr="003C351F" w:rsidRDefault="00D3034C" w:rsidP="002E6D96">
      <w:pPr>
        <w:widowControl/>
        <w:suppressAutoHyphens/>
        <w:spacing w:line="360" w:lineRule="auto"/>
        <w:ind w:firstLine="1440"/>
        <w:contextualSpacing/>
        <w:rPr>
          <w:sz w:val="26"/>
          <w:szCs w:val="26"/>
        </w:rPr>
      </w:pPr>
    </w:p>
    <w:p w14:paraId="3AA2D323" w14:textId="77777777" w:rsidR="00D3034C" w:rsidRPr="003C351F" w:rsidRDefault="00D3034C" w:rsidP="002E6D96">
      <w:pPr>
        <w:widowControl/>
        <w:spacing w:line="360" w:lineRule="auto"/>
        <w:ind w:firstLine="1440"/>
        <w:contextualSpacing/>
        <w:rPr>
          <w:sz w:val="26"/>
          <w:szCs w:val="26"/>
        </w:rPr>
      </w:pPr>
      <w:r w:rsidRPr="003C351F">
        <w:rPr>
          <w:sz w:val="26"/>
          <w:szCs w:val="26"/>
        </w:rPr>
        <w:t xml:space="preserve">Despite the policy favoring settlements, the Commission does not simply rubber stamp settlements without further inquiry.  In order to accept a settlement such as those proposed here, the Commission must determine that the proposed terms and conditions are in the public interest.  </w:t>
      </w:r>
      <w:r w:rsidRPr="003C351F">
        <w:rPr>
          <w:i/>
          <w:sz w:val="26"/>
          <w:szCs w:val="26"/>
        </w:rPr>
        <w:t>Pa. PUC v. York Water Co.</w:t>
      </w:r>
      <w:r w:rsidRPr="003C351F">
        <w:rPr>
          <w:sz w:val="26"/>
          <w:szCs w:val="26"/>
        </w:rPr>
        <w:t>, Docket No. R</w:t>
      </w:r>
      <w:r w:rsidRPr="003C351F">
        <w:rPr>
          <w:sz w:val="26"/>
          <w:szCs w:val="26"/>
        </w:rPr>
        <w:noBreakHyphen/>
        <w:t xml:space="preserve">00049165 (Order entered October 4, 2004); </w:t>
      </w:r>
      <w:r w:rsidRPr="003C351F">
        <w:rPr>
          <w:i/>
          <w:sz w:val="26"/>
          <w:szCs w:val="26"/>
        </w:rPr>
        <w:t>Pa. PUC v. C. S. Water and Sewer Assoc.</w:t>
      </w:r>
      <w:r w:rsidRPr="003C351F">
        <w:rPr>
          <w:sz w:val="26"/>
          <w:szCs w:val="26"/>
        </w:rPr>
        <w:t>, 74 Pa. P.U.C. 767 (1991).</w:t>
      </w:r>
    </w:p>
    <w:p w14:paraId="138AC819" w14:textId="77777777" w:rsidR="003359AD" w:rsidRPr="003C351F" w:rsidRDefault="003359AD" w:rsidP="002E6D96">
      <w:pPr>
        <w:widowControl/>
        <w:spacing w:line="360" w:lineRule="auto"/>
        <w:ind w:firstLine="1440"/>
        <w:contextualSpacing/>
        <w:rPr>
          <w:sz w:val="26"/>
          <w:szCs w:val="26"/>
        </w:rPr>
      </w:pPr>
    </w:p>
    <w:p w14:paraId="4E2B2D84" w14:textId="3859E4CD" w:rsidR="008253E4" w:rsidRDefault="009A7001" w:rsidP="002E6D96">
      <w:pPr>
        <w:widowControl/>
        <w:spacing w:line="360" w:lineRule="auto"/>
        <w:ind w:firstLine="1440"/>
        <w:contextualSpacing/>
        <w:rPr>
          <w:sz w:val="26"/>
          <w:szCs w:val="26"/>
        </w:rPr>
      </w:pPr>
      <w:r w:rsidRPr="003C351F">
        <w:rPr>
          <w:sz w:val="26"/>
          <w:szCs w:val="26"/>
        </w:rPr>
        <w:t xml:space="preserve">The </w:t>
      </w:r>
      <w:r w:rsidR="00DC5FEC">
        <w:rPr>
          <w:sz w:val="26"/>
          <w:szCs w:val="26"/>
        </w:rPr>
        <w:t>Partial Settlement</w:t>
      </w:r>
      <w:r w:rsidRPr="003C351F">
        <w:rPr>
          <w:sz w:val="26"/>
          <w:szCs w:val="26"/>
        </w:rPr>
        <w:t xml:space="preserve"> </w:t>
      </w:r>
      <w:r w:rsidR="00C66F57">
        <w:rPr>
          <w:sz w:val="26"/>
          <w:szCs w:val="26"/>
        </w:rPr>
        <w:t xml:space="preserve">reflects the consensus of the </w:t>
      </w:r>
      <w:r w:rsidR="002854E5">
        <w:rPr>
          <w:sz w:val="26"/>
          <w:szCs w:val="26"/>
        </w:rPr>
        <w:t>active P</w:t>
      </w:r>
      <w:r w:rsidR="00C66F57">
        <w:rPr>
          <w:sz w:val="26"/>
          <w:szCs w:val="26"/>
        </w:rPr>
        <w:t xml:space="preserve">arties that the terms and conditions benefit all </w:t>
      </w:r>
      <w:r w:rsidR="00A122BC">
        <w:rPr>
          <w:sz w:val="26"/>
          <w:szCs w:val="26"/>
        </w:rPr>
        <w:t xml:space="preserve">interested </w:t>
      </w:r>
      <w:r w:rsidR="00C66F57">
        <w:rPr>
          <w:sz w:val="26"/>
          <w:szCs w:val="26"/>
        </w:rPr>
        <w:t>parties</w:t>
      </w:r>
      <w:r w:rsidR="00A122BC">
        <w:rPr>
          <w:sz w:val="26"/>
          <w:szCs w:val="26"/>
        </w:rPr>
        <w:t>, including secur</w:t>
      </w:r>
      <w:r w:rsidR="002854E5">
        <w:rPr>
          <w:sz w:val="26"/>
          <w:szCs w:val="26"/>
        </w:rPr>
        <w:t>ing</w:t>
      </w:r>
      <w:r w:rsidR="00A122BC">
        <w:rPr>
          <w:sz w:val="26"/>
          <w:szCs w:val="26"/>
        </w:rPr>
        <w:t xml:space="preserve"> </w:t>
      </w:r>
      <w:r w:rsidR="00CD2176">
        <w:rPr>
          <w:sz w:val="26"/>
          <w:szCs w:val="26"/>
        </w:rPr>
        <w:t xml:space="preserve">a </w:t>
      </w:r>
      <w:r w:rsidR="00A122BC">
        <w:rPr>
          <w:sz w:val="26"/>
          <w:szCs w:val="26"/>
        </w:rPr>
        <w:t>lower rate</w:t>
      </w:r>
      <w:r w:rsidR="00CD2176">
        <w:rPr>
          <w:sz w:val="26"/>
          <w:szCs w:val="26"/>
        </w:rPr>
        <w:t xml:space="preserve"> increase than </w:t>
      </w:r>
      <w:r w:rsidR="00A122BC">
        <w:rPr>
          <w:sz w:val="26"/>
          <w:szCs w:val="26"/>
        </w:rPr>
        <w:t>m</w:t>
      </w:r>
      <w:r w:rsidR="002854E5">
        <w:rPr>
          <w:sz w:val="26"/>
          <w:szCs w:val="26"/>
        </w:rPr>
        <w:t xml:space="preserve">ight </w:t>
      </w:r>
      <w:r w:rsidR="00A122BC">
        <w:rPr>
          <w:sz w:val="26"/>
          <w:szCs w:val="26"/>
        </w:rPr>
        <w:t xml:space="preserve">have otherwise </w:t>
      </w:r>
      <w:r w:rsidR="00CD2176">
        <w:rPr>
          <w:sz w:val="26"/>
          <w:szCs w:val="26"/>
        </w:rPr>
        <w:t>resulted from protracted litigation.</w:t>
      </w:r>
      <w:r w:rsidR="00C66F57">
        <w:rPr>
          <w:sz w:val="26"/>
          <w:szCs w:val="26"/>
        </w:rPr>
        <w:t xml:space="preserve">  </w:t>
      </w:r>
      <w:r w:rsidR="00A122BC">
        <w:rPr>
          <w:sz w:val="26"/>
          <w:szCs w:val="26"/>
        </w:rPr>
        <w:t xml:space="preserve">The </w:t>
      </w:r>
      <w:r w:rsidR="002854E5">
        <w:rPr>
          <w:sz w:val="26"/>
          <w:szCs w:val="26"/>
        </w:rPr>
        <w:t xml:space="preserve">Partial Settlement </w:t>
      </w:r>
      <w:r w:rsidR="008864F5" w:rsidRPr="003C351F">
        <w:rPr>
          <w:sz w:val="26"/>
          <w:szCs w:val="26"/>
        </w:rPr>
        <w:t xml:space="preserve">resolves </w:t>
      </w:r>
      <w:r w:rsidR="005C7CED">
        <w:rPr>
          <w:sz w:val="26"/>
          <w:szCs w:val="26"/>
        </w:rPr>
        <w:t xml:space="preserve">the </w:t>
      </w:r>
      <w:r w:rsidR="008864F5" w:rsidRPr="003C351F">
        <w:rPr>
          <w:sz w:val="26"/>
          <w:szCs w:val="26"/>
        </w:rPr>
        <w:t xml:space="preserve">issues </w:t>
      </w:r>
      <w:r w:rsidR="00635811" w:rsidRPr="003C351F">
        <w:rPr>
          <w:sz w:val="26"/>
          <w:szCs w:val="26"/>
        </w:rPr>
        <w:t>necessary for the ultimate resolution of the rate</w:t>
      </w:r>
      <w:r w:rsidR="007447EB" w:rsidRPr="003C351F">
        <w:rPr>
          <w:sz w:val="26"/>
          <w:szCs w:val="26"/>
        </w:rPr>
        <w:t xml:space="preserve"> proceeding</w:t>
      </w:r>
      <w:r w:rsidR="008864F5" w:rsidRPr="003C351F">
        <w:rPr>
          <w:sz w:val="26"/>
          <w:szCs w:val="26"/>
        </w:rPr>
        <w:t xml:space="preserve">.  </w:t>
      </w:r>
      <w:r w:rsidR="007447EB" w:rsidRPr="003C351F">
        <w:rPr>
          <w:sz w:val="26"/>
          <w:szCs w:val="26"/>
        </w:rPr>
        <w:t xml:space="preserve">It also removes several potentially contentious issues that would have </w:t>
      </w:r>
      <w:r w:rsidR="001135D8" w:rsidRPr="003C351F">
        <w:rPr>
          <w:sz w:val="26"/>
          <w:szCs w:val="26"/>
        </w:rPr>
        <w:t xml:space="preserve">prolonged or </w:t>
      </w:r>
      <w:r w:rsidR="007447EB" w:rsidRPr="003C351F">
        <w:rPr>
          <w:sz w:val="26"/>
          <w:szCs w:val="26"/>
        </w:rPr>
        <w:t xml:space="preserve">required further litigation or administrative proceedings.  </w:t>
      </w:r>
      <w:r w:rsidR="008864F5" w:rsidRPr="003C351F">
        <w:rPr>
          <w:sz w:val="26"/>
          <w:szCs w:val="26"/>
        </w:rPr>
        <w:t xml:space="preserve">The benefits of approving the </w:t>
      </w:r>
      <w:r w:rsidR="00DC5FEC">
        <w:rPr>
          <w:sz w:val="26"/>
          <w:szCs w:val="26"/>
        </w:rPr>
        <w:t>Partial Settlement</w:t>
      </w:r>
      <w:r w:rsidR="008864F5" w:rsidRPr="003C351F">
        <w:rPr>
          <w:sz w:val="26"/>
          <w:szCs w:val="26"/>
        </w:rPr>
        <w:t xml:space="preserve"> are numerous and will result in savings of time and expenses for all Parties involved by avoiding the necessity of further administrative proceedings, as well as possible appellate court proceedings, conserving precious administrative resources.  Moreover, the </w:t>
      </w:r>
      <w:r w:rsidR="00DC5FEC">
        <w:rPr>
          <w:sz w:val="26"/>
          <w:szCs w:val="26"/>
        </w:rPr>
        <w:t>Partial Settlement</w:t>
      </w:r>
      <w:r w:rsidR="008864F5" w:rsidRPr="003C351F">
        <w:rPr>
          <w:sz w:val="26"/>
          <w:szCs w:val="26"/>
        </w:rPr>
        <w:t xml:space="preserve"> provides regulatory certainty with respect to the disposition of issues which benefits all parties.  </w:t>
      </w:r>
      <w:r w:rsidR="007447EB" w:rsidRPr="003C351F">
        <w:rPr>
          <w:sz w:val="26"/>
          <w:szCs w:val="26"/>
        </w:rPr>
        <w:t>We</w:t>
      </w:r>
      <w:r w:rsidR="008864F5" w:rsidRPr="003C351F">
        <w:rPr>
          <w:sz w:val="26"/>
          <w:szCs w:val="26"/>
        </w:rPr>
        <w:t xml:space="preserve"> agree with the </w:t>
      </w:r>
      <w:r w:rsidR="0057423E">
        <w:rPr>
          <w:sz w:val="26"/>
          <w:szCs w:val="26"/>
        </w:rPr>
        <w:t>ALJ</w:t>
      </w:r>
      <w:r w:rsidR="007447EB" w:rsidRPr="003C351F">
        <w:rPr>
          <w:sz w:val="26"/>
          <w:szCs w:val="26"/>
        </w:rPr>
        <w:t>’</w:t>
      </w:r>
      <w:r w:rsidR="003F3B53">
        <w:rPr>
          <w:sz w:val="26"/>
          <w:szCs w:val="26"/>
        </w:rPr>
        <w:t>s</w:t>
      </w:r>
      <w:r w:rsidR="008864F5" w:rsidRPr="003C351F">
        <w:rPr>
          <w:sz w:val="26"/>
          <w:szCs w:val="26"/>
        </w:rPr>
        <w:t xml:space="preserve"> conclusion</w:t>
      </w:r>
      <w:r w:rsidR="007447EB" w:rsidRPr="003C351F">
        <w:rPr>
          <w:sz w:val="26"/>
          <w:szCs w:val="26"/>
        </w:rPr>
        <w:t>s</w:t>
      </w:r>
      <w:r w:rsidR="008864F5" w:rsidRPr="003C351F">
        <w:rPr>
          <w:sz w:val="26"/>
          <w:szCs w:val="26"/>
        </w:rPr>
        <w:t xml:space="preserve"> that the </w:t>
      </w:r>
      <w:r w:rsidR="007447EB" w:rsidRPr="003C351F">
        <w:rPr>
          <w:sz w:val="26"/>
          <w:szCs w:val="26"/>
        </w:rPr>
        <w:t xml:space="preserve">provisions of the </w:t>
      </w:r>
      <w:r w:rsidR="00DC5FEC">
        <w:rPr>
          <w:sz w:val="26"/>
          <w:szCs w:val="26"/>
        </w:rPr>
        <w:t>Partial Settlement</w:t>
      </w:r>
      <w:r w:rsidR="007447EB" w:rsidRPr="003C351F">
        <w:rPr>
          <w:sz w:val="26"/>
          <w:szCs w:val="26"/>
        </w:rPr>
        <w:t xml:space="preserve"> are </w:t>
      </w:r>
      <w:r w:rsidR="008864F5" w:rsidRPr="003C351F">
        <w:rPr>
          <w:sz w:val="26"/>
          <w:szCs w:val="26"/>
        </w:rPr>
        <w:t>in the public interest.</w:t>
      </w:r>
      <w:r w:rsidR="002F1E32">
        <w:rPr>
          <w:sz w:val="26"/>
          <w:szCs w:val="26"/>
        </w:rPr>
        <w:t xml:space="preserve">  We cite, favorably, the</w:t>
      </w:r>
      <w:r w:rsidR="008253E4">
        <w:rPr>
          <w:sz w:val="26"/>
          <w:szCs w:val="26"/>
        </w:rPr>
        <w:t xml:space="preserve"> essential benefits of the </w:t>
      </w:r>
      <w:r w:rsidR="00DC5FEC">
        <w:rPr>
          <w:sz w:val="26"/>
          <w:szCs w:val="26"/>
        </w:rPr>
        <w:t>Partial Settlement</w:t>
      </w:r>
      <w:r w:rsidR="00205115">
        <w:rPr>
          <w:sz w:val="26"/>
          <w:szCs w:val="26"/>
        </w:rPr>
        <w:t xml:space="preserve"> as set forth by ALJ Watson</w:t>
      </w:r>
      <w:r w:rsidR="008253E4">
        <w:rPr>
          <w:sz w:val="26"/>
          <w:szCs w:val="26"/>
        </w:rPr>
        <w:t>:</w:t>
      </w:r>
    </w:p>
    <w:p w14:paraId="697DF0E6" w14:textId="77777777" w:rsidR="008253E4" w:rsidRDefault="008253E4" w:rsidP="002E6D96">
      <w:pPr>
        <w:widowControl/>
        <w:spacing w:line="360" w:lineRule="auto"/>
        <w:ind w:firstLine="1440"/>
        <w:contextualSpacing/>
        <w:rPr>
          <w:sz w:val="26"/>
          <w:szCs w:val="26"/>
        </w:rPr>
      </w:pPr>
    </w:p>
    <w:p w14:paraId="1F8FA07E" w14:textId="77777777" w:rsidR="008253E4" w:rsidRPr="00386C9D" w:rsidRDefault="008253E4" w:rsidP="002E6D96">
      <w:pPr>
        <w:widowControl/>
        <w:kinsoku w:val="0"/>
        <w:overflowPunct w:val="0"/>
        <w:ind w:left="1440" w:right="1440"/>
        <w:textAlignment w:val="baseline"/>
        <w:rPr>
          <w:sz w:val="26"/>
          <w:szCs w:val="26"/>
        </w:rPr>
      </w:pPr>
      <w:r w:rsidRPr="00386C9D">
        <w:rPr>
          <w:sz w:val="26"/>
          <w:szCs w:val="26"/>
        </w:rPr>
        <w:t xml:space="preserve">The Settlement provides for rates to be designed to produce an increase in operating revenues of $26 million over current base rates based upon the pro forma level of operations for the twelve months ended December 31, 2019. </w:t>
      </w:r>
      <w:r>
        <w:rPr>
          <w:sz w:val="26"/>
          <w:szCs w:val="26"/>
        </w:rPr>
        <w:t xml:space="preserve"> </w:t>
      </w:r>
      <w:r w:rsidRPr="00386C9D">
        <w:rPr>
          <w:sz w:val="26"/>
          <w:szCs w:val="26"/>
        </w:rPr>
        <w:t>(Settlement ¶ 26.) The $26 million increase in tariff rates will go into effect on December 16, 2018, which is the effective date of rates under the Commission’s April 5, 2018 suspension order. (Settlement ¶ 38.) The Settlement increase is approximately 55% of Columbia’s original request of $46.9 million. (Columbia Exhibit 102, Sch. 3, p. 3.) The Settling Parties agree that the $26 million increase, although less than that requested by the Company, will enable the Company to continue to provide safe and reliable service to its customers.</w:t>
      </w:r>
    </w:p>
    <w:p w14:paraId="640CBBB1" w14:textId="77777777" w:rsidR="008253E4" w:rsidRDefault="008253E4" w:rsidP="002E6D96">
      <w:pPr>
        <w:widowControl/>
        <w:kinsoku w:val="0"/>
        <w:overflowPunct w:val="0"/>
        <w:ind w:left="1440" w:right="1440"/>
        <w:textAlignment w:val="baseline"/>
        <w:rPr>
          <w:spacing w:val="-1"/>
          <w:sz w:val="26"/>
          <w:szCs w:val="26"/>
        </w:rPr>
      </w:pPr>
    </w:p>
    <w:p w14:paraId="57895ECC" w14:textId="0590C899" w:rsidR="008253E4" w:rsidRDefault="008253E4" w:rsidP="002E6D96">
      <w:pPr>
        <w:widowControl/>
        <w:kinsoku w:val="0"/>
        <w:overflowPunct w:val="0"/>
        <w:ind w:left="1440" w:right="1440"/>
        <w:textAlignment w:val="baseline"/>
        <w:rPr>
          <w:spacing w:val="-1"/>
          <w:sz w:val="26"/>
          <w:szCs w:val="26"/>
        </w:rPr>
      </w:pPr>
      <w:r w:rsidRPr="00386C9D">
        <w:rPr>
          <w:spacing w:val="-1"/>
          <w:sz w:val="26"/>
          <w:szCs w:val="26"/>
        </w:rPr>
        <w:t>In order to provide ongoing information concerning Columbia’s capital investments, Columbia has agreed that on or before April 1, 2019, it will provide the Commission’s Bureau of Technical Utility Services (TUS), I&amp;E, OCA and OSBA with an update to Columbia Exhibit No. 108, Schedule</w:t>
      </w:r>
      <w:r w:rsidR="001077FB">
        <w:rPr>
          <w:spacing w:val="-1"/>
          <w:sz w:val="26"/>
          <w:szCs w:val="26"/>
        </w:rPr>
        <w:t> </w:t>
      </w:r>
      <w:r w:rsidRPr="00386C9D">
        <w:rPr>
          <w:spacing w:val="-1"/>
          <w:sz w:val="26"/>
          <w:szCs w:val="26"/>
        </w:rPr>
        <w:t xml:space="preserve">1, which will include actual capital expenditures, </w:t>
      </w:r>
      <w:r w:rsidRPr="00386C9D">
        <w:rPr>
          <w:spacing w:val="-1"/>
          <w:sz w:val="26"/>
          <w:szCs w:val="26"/>
        </w:rPr>
        <w:lastRenderedPageBreak/>
        <w:t xml:space="preserve">plant additions, and retirements by month for the twelve months ending December 31, 2018. (Settlement ¶ 36.) On or before April 1, 2020, Columbia will update Exhibit No. 108, Schedule 1 for the twelve months ending December 31, 2019. (Settlement ¶ 36.) </w:t>
      </w:r>
      <w:r w:rsidR="00205115">
        <w:rPr>
          <w:spacing w:val="-1"/>
          <w:sz w:val="26"/>
          <w:szCs w:val="26"/>
        </w:rPr>
        <w:t xml:space="preserve"> </w:t>
      </w:r>
      <w:r w:rsidRPr="00386C9D">
        <w:rPr>
          <w:spacing w:val="-1"/>
          <w:sz w:val="26"/>
          <w:szCs w:val="26"/>
        </w:rPr>
        <w:t xml:space="preserve">Also, as part of the Company’s next base rate proceeding, the Company will prepare a comparison of its actual revenue, expenses and rate base additions for the twelve months ended December 31, 2019. (Settlement ¶ 36.) However, it is recognized by the Joint Petitioners that this </w:t>
      </w:r>
    </w:p>
    <w:p w14:paraId="4C06AEB8" w14:textId="77777777" w:rsidR="008253E4" w:rsidRDefault="008253E4" w:rsidP="002E6D96">
      <w:pPr>
        <w:widowControl/>
        <w:kinsoku w:val="0"/>
        <w:overflowPunct w:val="0"/>
        <w:ind w:left="1440" w:right="1440"/>
        <w:textAlignment w:val="baseline"/>
        <w:rPr>
          <w:spacing w:val="-1"/>
          <w:sz w:val="24"/>
          <w:szCs w:val="24"/>
        </w:rPr>
      </w:pPr>
      <w:r w:rsidRPr="00386C9D">
        <w:rPr>
          <w:spacing w:val="-1"/>
          <w:sz w:val="26"/>
          <w:szCs w:val="26"/>
        </w:rPr>
        <w:t>black box settlement is a compromise of Joint Petitioners’ positions on various issues.</w:t>
      </w:r>
    </w:p>
    <w:p w14:paraId="3769B74A" w14:textId="77777777" w:rsidR="008253E4" w:rsidRPr="00D6148A" w:rsidRDefault="008253E4" w:rsidP="002E6D96">
      <w:pPr>
        <w:widowControl/>
        <w:tabs>
          <w:tab w:val="left" w:pos="720"/>
        </w:tabs>
        <w:kinsoku w:val="0"/>
        <w:overflowPunct w:val="0"/>
        <w:ind w:firstLine="720"/>
        <w:textAlignment w:val="baseline"/>
        <w:rPr>
          <w:spacing w:val="-3"/>
          <w:sz w:val="26"/>
          <w:szCs w:val="26"/>
        </w:rPr>
      </w:pPr>
    </w:p>
    <w:p w14:paraId="6DA961AE" w14:textId="6BAB6E54" w:rsidR="008253E4" w:rsidRPr="00386C9D" w:rsidRDefault="00205115" w:rsidP="002E6D96">
      <w:pPr>
        <w:widowControl/>
        <w:ind w:left="1440" w:right="1440"/>
        <w:jc w:val="center"/>
        <w:rPr>
          <w:sz w:val="26"/>
          <w:szCs w:val="26"/>
        </w:rPr>
      </w:pPr>
      <w:r>
        <w:rPr>
          <w:sz w:val="26"/>
          <w:szCs w:val="26"/>
        </w:rPr>
        <w:t>*  *  *</w:t>
      </w:r>
    </w:p>
    <w:p w14:paraId="16153B36" w14:textId="77777777" w:rsidR="008253E4" w:rsidRPr="00386C9D" w:rsidRDefault="008253E4" w:rsidP="002E6D96">
      <w:pPr>
        <w:widowControl/>
        <w:ind w:left="1440" w:right="1440"/>
        <w:rPr>
          <w:sz w:val="26"/>
          <w:szCs w:val="26"/>
        </w:rPr>
      </w:pPr>
    </w:p>
    <w:p w14:paraId="478D48C7" w14:textId="77777777" w:rsidR="008253E4" w:rsidRDefault="008253E4" w:rsidP="002E6D96">
      <w:pPr>
        <w:widowControl/>
        <w:kinsoku w:val="0"/>
        <w:overflowPunct w:val="0"/>
        <w:ind w:left="1440" w:right="1440"/>
        <w:textAlignment w:val="baseline"/>
        <w:rPr>
          <w:sz w:val="26"/>
          <w:szCs w:val="26"/>
        </w:rPr>
      </w:pPr>
      <w:r w:rsidRPr="00386C9D">
        <w:rPr>
          <w:sz w:val="26"/>
          <w:szCs w:val="26"/>
        </w:rPr>
        <w:t>The Settlement revenue increase of $26 million reflects a reasonable compromise of Joint Petitioners’ positions in this proceeding.</w:t>
      </w:r>
      <w:r w:rsidR="00205115">
        <w:rPr>
          <w:sz w:val="26"/>
          <w:szCs w:val="26"/>
        </w:rPr>
        <w:t xml:space="preserve"> </w:t>
      </w:r>
      <w:r w:rsidRPr="00386C9D">
        <w:rPr>
          <w:sz w:val="26"/>
          <w:szCs w:val="26"/>
        </w:rPr>
        <w:t xml:space="preserve"> Columbia notes that in its rebuttal testimony, it took issue with virtually all of the proposed adjustments advanced by I&amp;E and OCA. </w:t>
      </w:r>
      <w:r w:rsidR="00205115">
        <w:rPr>
          <w:sz w:val="26"/>
          <w:szCs w:val="26"/>
        </w:rPr>
        <w:t xml:space="preserve"> </w:t>
      </w:r>
      <w:r w:rsidRPr="00386C9D">
        <w:rPr>
          <w:sz w:val="26"/>
          <w:szCs w:val="26"/>
        </w:rPr>
        <w:t>The Joint Petitioners, while supporting their revenue requirement positions for litigation purposes, recognized that the Commission likely would have accepted certain adjustments proposed by Joint Petitioners, but would not have accepted all of the adjustments.</w:t>
      </w:r>
    </w:p>
    <w:p w14:paraId="122DE30C" w14:textId="77777777" w:rsidR="00205115" w:rsidRDefault="00205115" w:rsidP="002E6D96">
      <w:pPr>
        <w:widowControl/>
        <w:kinsoku w:val="0"/>
        <w:overflowPunct w:val="0"/>
        <w:ind w:left="1440" w:right="1440"/>
        <w:textAlignment w:val="baseline"/>
        <w:rPr>
          <w:sz w:val="26"/>
          <w:szCs w:val="26"/>
        </w:rPr>
      </w:pPr>
    </w:p>
    <w:p w14:paraId="056BF44B" w14:textId="77777777" w:rsidR="00205115" w:rsidRPr="00386C9D" w:rsidRDefault="00205115" w:rsidP="002E6D96">
      <w:pPr>
        <w:widowControl/>
        <w:kinsoku w:val="0"/>
        <w:overflowPunct w:val="0"/>
        <w:ind w:left="1440" w:right="1440"/>
        <w:textAlignment w:val="baseline"/>
        <w:rPr>
          <w:sz w:val="26"/>
          <w:szCs w:val="26"/>
        </w:rPr>
      </w:pPr>
    </w:p>
    <w:p w14:paraId="198785D0" w14:textId="77777777" w:rsidR="008253E4" w:rsidRDefault="008253E4" w:rsidP="002E6D96">
      <w:pPr>
        <w:widowControl/>
        <w:kinsoku w:val="0"/>
        <w:overflowPunct w:val="0"/>
        <w:spacing w:line="360" w:lineRule="auto"/>
        <w:textAlignment w:val="baseline"/>
        <w:rPr>
          <w:sz w:val="26"/>
          <w:szCs w:val="26"/>
        </w:rPr>
      </w:pPr>
      <w:r>
        <w:rPr>
          <w:sz w:val="26"/>
          <w:szCs w:val="26"/>
        </w:rPr>
        <w:t>R.D. at 42-43.</w:t>
      </w:r>
    </w:p>
    <w:p w14:paraId="7F25489C" w14:textId="77777777" w:rsidR="008253E4" w:rsidRDefault="008253E4" w:rsidP="002E6D96">
      <w:pPr>
        <w:widowControl/>
        <w:kinsoku w:val="0"/>
        <w:overflowPunct w:val="0"/>
        <w:spacing w:line="360" w:lineRule="auto"/>
        <w:textAlignment w:val="baseline"/>
        <w:rPr>
          <w:sz w:val="26"/>
          <w:szCs w:val="26"/>
        </w:rPr>
      </w:pPr>
    </w:p>
    <w:p w14:paraId="545F96E3" w14:textId="77777777" w:rsidR="008253E4" w:rsidRDefault="008253E4" w:rsidP="002E6D96">
      <w:pPr>
        <w:widowControl/>
        <w:spacing w:line="360" w:lineRule="auto"/>
        <w:ind w:firstLine="1440"/>
        <w:contextualSpacing/>
        <w:rPr>
          <w:sz w:val="26"/>
          <w:szCs w:val="26"/>
        </w:rPr>
      </w:pPr>
      <w:r w:rsidRPr="00386C9D">
        <w:rPr>
          <w:sz w:val="26"/>
          <w:szCs w:val="26"/>
        </w:rPr>
        <w:t xml:space="preserve">Under the </w:t>
      </w:r>
      <w:r w:rsidR="003857AB">
        <w:rPr>
          <w:sz w:val="26"/>
          <w:szCs w:val="26"/>
        </w:rPr>
        <w:t xml:space="preserve">Partial </w:t>
      </w:r>
      <w:r w:rsidRPr="00386C9D">
        <w:rPr>
          <w:sz w:val="26"/>
          <w:szCs w:val="26"/>
        </w:rPr>
        <w:t xml:space="preserve">Settlement, with only a few select exceptions set forth in the </w:t>
      </w:r>
      <w:r w:rsidR="003857AB">
        <w:rPr>
          <w:sz w:val="26"/>
          <w:szCs w:val="26"/>
        </w:rPr>
        <w:t xml:space="preserve">Partial </w:t>
      </w:r>
      <w:r w:rsidRPr="00386C9D">
        <w:rPr>
          <w:sz w:val="26"/>
          <w:szCs w:val="26"/>
        </w:rPr>
        <w:t xml:space="preserve">Settlement, the settlement revenue requirement is a </w:t>
      </w:r>
      <w:r w:rsidR="00DF1FE0">
        <w:rPr>
          <w:sz w:val="26"/>
          <w:szCs w:val="26"/>
        </w:rPr>
        <w:t>“Black Box”</w:t>
      </w:r>
      <w:r w:rsidRPr="00386C9D">
        <w:rPr>
          <w:sz w:val="26"/>
          <w:szCs w:val="26"/>
        </w:rPr>
        <w:t xml:space="preserve"> amount. Under a </w:t>
      </w:r>
      <w:r w:rsidR="00DF1FE0">
        <w:rPr>
          <w:sz w:val="26"/>
          <w:szCs w:val="26"/>
        </w:rPr>
        <w:t>“Black Box”</w:t>
      </w:r>
      <w:r w:rsidRPr="00386C9D">
        <w:rPr>
          <w:sz w:val="26"/>
          <w:szCs w:val="26"/>
        </w:rPr>
        <w:t xml:space="preserve"> settlement, parties do not specifically identify revenues, expenses and returns that are allowed or disallowed. </w:t>
      </w:r>
      <w:r w:rsidR="00205115">
        <w:rPr>
          <w:sz w:val="26"/>
          <w:szCs w:val="26"/>
        </w:rPr>
        <w:t xml:space="preserve"> </w:t>
      </w:r>
      <w:r w:rsidRPr="00386C9D">
        <w:rPr>
          <w:sz w:val="26"/>
          <w:szCs w:val="26"/>
        </w:rPr>
        <w:t xml:space="preserve">Columbia asserted that </w:t>
      </w:r>
      <w:r w:rsidR="00DF1FE0">
        <w:rPr>
          <w:sz w:val="26"/>
          <w:szCs w:val="26"/>
        </w:rPr>
        <w:t>“Black Box”</w:t>
      </w:r>
      <w:r w:rsidRPr="00386C9D">
        <w:rPr>
          <w:sz w:val="26"/>
          <w:szCs w:val="26"/>
        </w:rPr>
        <w:t xml:space="preserve"> settlements facilitate agreements, as parties are not required to identify a specific return on equity or identify specific revenues and/or expenses that are allowed or disallowed.</w:t>
      </w:r>
    </w:p>
    <w:p w14:paraId="722C5303" w14:textId="77777777" w:rsidR="002F1E32" w:rsidRDefault="008864F5" w:rsidP="002E6D96">
      <w:pPr>
        <w:widowControl/>
        <w:spacing w:line="360" w:lineRule="auto"/>
        <w:ind w:firstLine="1440"/>
        <w:contextualSpacing/>
        <w:rPr>
          <w:sz w:val="26"/>
          <w:szCs w:val="26"/>
        </w:rPr>
      </w:pPr>
      <w:r w:rsidRPr="003C351F">
        <w:rPr>
          <w:sz w:val="26"/>
          <w:szCs w:val="26"/>
        </w:rPr>
        <w:t xml:space="preserve">  </w:t>
      </w:r>
    </w:p>
    <w:p w14:paraId="5C80DFB8" w14:textId="6C6B54BE" w:rsidR="00666187" w:rsidRDefault="008864F5" w:rsidP="002E6D96">
      <w:pPr>
        <w:widowControl/>
        <w:spacing w:line="360" w:lineRule="auto"/>
        <w:ind w:firstLine="1440"/>
        <w:contextualSpacing/>
        <w:rPr>
          <w:sz w:val="26"/>
          <w:szCs w:val="26"/>
        </w:rPr>
      </w:pPr>
      <w:r w:rsidRPr="003C351F">
        <w:rPr>
          <w:sz w:val="26"/>
          <w:szCs w:val="26"/>
        </w:rPr>
        <w:t xml:space="preserve">Accordingly, we shall adopt the </w:t>
      </w:r>
      <w:r w:rsidR="0057423E">
        <w:rPr>
          <w:sz w:val="26"/>
          <w:szCs w:val="26"/>
        </w:rPr>
        <w:t>ALJ</w:t>
      </w:r>
      <w:r w:rsidR="007447EB" w:rsidRPr="003C351F">
        <w:rPr>
          <w:sz w:val="26"/>
          <w:szCs w:val="26"/>
        </w:rPr>
        <w:t>’</w:t>
      </w:r>
      <w:r w:rsidR="008253E4">
        <w:rPr>
          <w:sz w:val="26"/>
          <w:szCs w:val="26"/>
        </w:rPr>
        <w:t>s</w:t>
      </w:r>
      <w:r w:rsidRPr="003C351F">
        <w:rPr>
          <w:sz w:val="26"/>
          <w:szCs w:val="26"/>
        </w:rPr>
        <w:t xml:space="preserve"> recommendation </w:t>
      </w:r>
      <w:r w:rsidR="00205115">
        <w:rPr>
          <w:sz w:val="26"/>
          <w:szCs w:val="26"/>
        </w:rPr>
        <w:t xml:space="preserve">that grants the Joint Petition and thereby </w:t>
      </w:r>
      <w:r w:rsidR="007447EB" w:rsidRPr="003C351F">
        <w:rPr>
          <w:sz w:val="26"/>
          <w:szCs w:val="26"/>
        </w:rPr>
        <w:t>approv</w:t>
      </w:r>
      <w:r w:rsidR="00205115">
        <w:rPr>
          <w:sz w:val="26"/>
          <w:szCs w:val="26"/>
        </w:rPr>
        <w:t>e</w:t>
      </w:r>
      <w:r w:rsidR="001077FB">
        <w:rPr>
          <w:sz w:val="26"/>
          <w:szCs w:val="26"/>
        </w:rPr>
        <w:t>s</w:t>
      </w:r>
      <w:r w:rsidR="007447EB" w:rsidRPr="003C351F">
        <w:rPr>
          <w:sz w:val="26"/>
          <w:szCs w:val="26"/>
        </w:rPr>
        <w:t xml:space="preserve"> the </w:t>
      </w:r>
      <w:r w:rsidR="00CD2176">
        <w:rPr>
          <w:sz w:val="26"/>
          <w:szCs w:val="26"/>
        </w:rPr>
        <w:t xml:space="preserve">terms and conditions of the Partial </w:t>
      </w:r>
      <w:r w:rsidR="00666187">
        <w:rPr>
          <w:sz w:val="26"/>
          <w:szCs w:val="26"/>
        </w:rPr>
        <w:t>Settlement</w:t>
      </w:r>
      <w:r w:rsidRPr="003C351F">
        <w:rPr>
          <w:sz w:val="26"/>
          <w:szCs w:val="26"/>
        </w:rPr>
        <w:t>, without modification.</w:t>
      </w:r>
      <w:r w:rsidR="001077FB">
        <w:rPr>
          <w:sz w:val="26"/>
          <w:szCs w:val="26"/>
        </w:rPr>
        <w:t xml:space="preserve">  In addition, </w:t>
      </w:r>
      <w:r w:rsidR="00666187">
        <w:rPr>
          <w:sz w:val="26"/>
          <w:szCs w:val="26"/>
        </w:rPr>
        <w:t xml:space="preserve">based upon our adoption of the terms and conditions </w:t>
      </w:r>
      <w:r w:rsidR="00666187">
        <w:rPr>
          <w:sz w:val="26"/>
          <w:szCs w:val="26"/>
        </w:rPr>
        <w:lastRenderedPageBreak/>
        <w:t>of the Partial Settlement</w:t>
      </w:r>
      <w:r w:rsidR="00040DED">
        <w:rPr>
          <w:sz w:val="26"/>
          <w:szCs w:val="26"/>
        </w:rPr>
        <w:t xml:space="preserve">, </w:t>
      </w:r>
      <w:r w:rsidR="00F220AE">
        <w:rPr>
          <w:sz w:val="26"/>
          <w:szCs w:val="26"/>
        </w:rPr>
        <w:t xml:space="preserve">and in view of the fact that the inactive Complainants filed neither </w:t>
      </w:r>
      <w:r w:rsidR="00F220AE" w:rsidRPr="006F1218">
        <w:rPr>
          <w:sz w:val="26"/>
          <w:szCs w:val="26"/>
        </w:rPr>
        <w:t>objection</w:t>
      </w:r>
      <w:r w:rsidR="00F220AE">
        <w:rPr>
          <w:sz w:val="26"/>
          <w:szCs w:val="26"/>
        </w:rPr>
        <w:t>s</w:t>
      </w:r>
      <w:r w:rsidR="00F220AE" w:rsidRPr="006F1218">
        <w:rPr>
          <w:sz w:val="26"/>
          <w:szCs w:val="26"/>
        </w:rPr>
        <w:t xml:space="preserve"> to the </w:t>
      </w:r>
      <w:r w:rsidR="00F220AE">
        <w:rPr>
          <w:sz w:val="26"/>
          <w:szCs w:val="26"/>
        </w:rPr>
        <w:t xml:space="preserve">Joint Petition for Partial Settlement nor exceptions to ALJ Watson’s Recommended Decision, </w:t>
      </w:r>
      <w:r w:rsidR="00040DED">
        <w:rPr>
          <w:sz w:val="26"/>
          <w:szCs w:val="26"/>
        </w:rPr>
        <w:t xml:space="preserve">we </w:t>
      </w:r>
      <w:r w:rsidR="00F220AE">
        <w:rPr>
          <w:sz w:val="26"/>
          <w:szCs w:val="26"/>
        </w:rPr>
        <w:t xml:space="preserve">shall also </w:t>
      </w:r>
      <w:r w:rsidR="00040DED">
        <w:rPr>
          <w:sz w:val="26"/>
          <w:szCs w:val="26"/>
        </w:rPr>
        <w:t xml:space="preserve">adopt the ALJ’s recommendation to </w:t>
      </w:r>
      <w:r w:rsidR="00D67345">
        <w:rPr>
          <w:sz w:val="26"/>
          <w:szCs w:val="26"/>
        </w:rPr>
        <w:t xml:space="preserve">dismiss the Complaints </w:t>
      </w:r>
      <w:r w:rsidR="005D0723">
        <w:rPr>
          <w:sz w:val="26"/>
          <w:szCs w:val="26"/>
        </w:rPr>
        <w:t xml:space="preserve">of </w:t>
      </w:r>
      <w:r w:rsidR="00D67345" w:rsidRPr="001067E3">
        <w:rPr>
          <w:sz w:val="26"/>
          <w:szCs w:val="26"/>
        </w:rPr>
        <w:t>G.</w:t>
      </w:r>
      <w:r w:rsidR="00F220AE">
        <w:rPr>
          <w:sz w:val="26"/>
          <w:szCs w:val="26"/>
        </w:rPr>
        <w:t> </w:t>
      </w:r>
      <w:r w:rsidR="00D67345" w:rsidRPr="001067E3">
        <w:rPr>
          <w:sz w:val="26"/>
          <w:szCs w:val="26"/>
        </w:rPr>
        <w:t>Blair Bauer</w:t>
      </w:r>
      <w:r w:rsidR="00F220AE">
        <w:rPr>
          <w:sz w:val="26"/>
          <w:szCs w:val="26"/>
        </w:rPr>
        <w:t>,</w:t>
      </w:r>
      <w:r w:rsidR="00D67345" w:rsidRPr="001067E3">
        <w:rPr>
          <w:sz w:val="26"/>
          <w:szCs w:val="26"/>
        </w:rPr>
        <w:t xml:space="preserve"> at Docket No. C-2018-3001319</w:t>
      </w:r>
      <w:r w:rsidR="00F220AE">
        <w:rPr>
          <w:sz w:val="26"/>
          <w:szCs w:val="26"/>
        </w:rPr>
        <w:t>;</w:t>
      </w:r>
      <w:r w:rsidR="005D0723">
        <w:rPr>
          <w:sz w:val="26"/>
          <w:szCs w:val="26"/>
        </w:rPr>
        <w:t xml:space="preserve"> </w:t>
      </w:r>
      <w:r w:rsidR="00D67345" w:rsidRPr="001067E3">
        <w:rPr>
          <w:sz w:val="26"/>
          <w:szCs w:val="26"/>
        </w:rPr>
        <w:t>Philip</w:t>
      </w:r>
      <w:r w:rsidR="001077FB">
        <w:rPr>
          <w:sz w:val="26"/>
          <w:szCs w:val="26"/>
        </w:rPr>
        <w:t> </w:t>
      </w:r>
      <w:r w:rsidR="00D67345" w:rsidRPr="001067E3">
        <w:rPr>
          <w:sz w:val="26"/>
          <w:szCs w:val="26"/>
        </w:rPr>
        <w:t>L.</w:t>
      </w:r>
      <w:r w:rsidR="001077FB">
        <w:rPr>
          <w:sz w:val="26"/>
          <w:szCs w:val="26"/>
        </w:rPr>
        <w:t> </w:t>
      </w:r>
      <w:r w:rsidR="00D67345" w:rsidRPr="001067E3">
        <w:rPr>
          <w:sz w:val="26"/>
          <w:szCs w:val="26"/>
        </w:rPr>
        <w:t>Bloch</w:t>
      </w:r>
      <w:r w:rsidR="00F220AE">
        <w:rPr>
          <w:sz w:val="26"/>
          <w:szCs w:val="26"/>
        </w:rPr>
        <w:t>,</w:t>
      </w:r>
      <w:r w:rsidR="00D67345" w:rsidRPr="001067E3">
        <w:rPr>
          <w:sz w:val="26"/>
          <w:szCs w:val="26"/>
        </w:rPr>
        <w:t xml:space="preserve"> at Docket No. C-2018-3001634</w:t>
      </w:r>
      <w:r w:rsidR="00F220AE">
        <w:rPr>
          <w:sz w:val="26"/>
          <w:szCs w:val="26"/>
        </w:rPr>
        <w:t xml:space="preserve">; </w:t>
      </w:r>
      <w:r w:rsidR="00D67345" w:rsidRPr="001067E3">
        <w:rPr>
          <w:sz w:val="26"/>
          <w:szCs w:val="26"/>
        </w:rPr>
        <w:t>Robin A. Harrison</w:t>
      </w:r>
      <w:r w:rsidR="00F220AE">
        <w:rPr>
          <w:sz w:val="26"/>
          <w:szCs w:val="26"/>
        </w:rPr>
        <w:t>,</w:t>
      </w:r>
      <w:r w:rsidR="00D67345" w:rsidRPr="001067E3">
        <w:rPr>
          <w:sz w:val="26"/>
          <w:szCs w:val="26"/>
        </w:rPr>
        <w:t xml:space="preserve"> at Docket No. C</w:t>
      </w:r>
      <w:r w:rsidR="001077FB">
        <w:rPr>
          <w:sz w:val="26"/>
          <w:szCs w:val="26"/>
        </w:rPr>
        <w:noBreakHyphen/>
      </w:r>
      <w:r w:rsidR="00D67345" w:rsidRPr="001067E3">
        <w:rPr>
          <w:sz w:val="26"/>
          <w:szCs w:val="26"/>
        </w:rPr>
        <w:t>2018-3002595</w:t>
      </w:r>
      <w:r w:rsidR="005D0723">
        <w:rPr>
          <w:sz w:val="26"/>
          <w:szCs w:val="26"/>
        </w:rPr>
        <w:t xml:space="preserve">, </w:t>
      </w:r>
      <w:r w:rsidR="00D67345">
        <w:rPr>
          <w:sz w:val="26"/>
          <w:szCs w:val="26"/>
        </w:rPr>
        <w:t xml:space="preserve">and </w:t>
      </w:r>
      <w:r w:rsidR="00D67345" w:rsidRPr="004957F1">
        <w:rPr>
          <w:sz w:val="26"/>
          <w:szCs w:val="26"/>
        </w:rPr>
        <w:t>Patria Southorn</w:t>
      </w:r>
      <w:r w:rsidR="00F220AE">
        <w:rPr>
          <w:sz w:val="26"/>
          <w:szCs w:val="26"/>
        </w:rPr>
        <w:t>,</w:t>
      </w:r>
      <w:r w:rsidR="00D67345" w:rsidRPr="004957F1">
        <w:rPr>
          <w:sz w:val="26"/>
          <w:szCs w:val="26"/>
        </w:rPr>
        <w:t xml:space="preserve"> at Docket No. C-2018-3000779</w:t>
      </w:r>
      <w:r w:rsidR="00D67345">
        <w:rPr>
          <w:sz w:val="26"/>
          <w:szCs w:val="26"/>
        </w:rPr>
        <w:t>, and mark th</w:t>
      </w:r>
      <w:r w:rsidR="00F220AE">
        <w:rPr>
          <w:sz w:val="26"/>
          <w:szCs w:val="26"/>
        </w:rPr>
        <w:t>ose</w:t>
      </w:r>
      <w:r w:rsidR="00D67345">
        <w:rPr>
          <w:sz w:val="26"/>
          <w:szCs w:val="26"/>
        </w:rPr>
        <w:t xml:space="preserve"> dockets closed.</w:t>
      </w:r>
    </w:p>
    <w:p w14:paraId="68E20772" w14:textId="77777777" w:rsidR="002F1E32" w:rsidRDefault="002F1E32" w:rsidP="002E6D96">
      <w:pPr>
        <w:widowControl/>
        <w:spacing w:line="360" w:lineRule="auto"/>
        <w:ind w:firstLine="1440"/>
        <w:contextualSpacing/>
        <w:rPr>
          <w:sz w:val="26"/>
          <w:szCs w:val="26"/>
        </w:rPr>
      </w:pPr>
    </w:p>
    <w:p w14:paraId="42449527" w14:textId="09C4A201" w:rsidR="006F0996" w:rsidRPr="00EC737B" w:rsidRDefault="00123BAF" w:rsidP="00721BDA">
      <w:pPr>
        <w:keepNext/>
        <w:keepLines/>
        <w:widowControl/>
        <w:spacing w:line="360" w:lineRule="auto"/>
        <w:jc w:val="center"/>
        <w:outlineLvl w:val="0"/>
        <w:rPr>
          <w:b/>
          <w:sz w:val="26"/>
          <w:szCs w:val="26"/>
        </w:rPr>
      </w:pPr>
      <w:bookmarkStart w:id="18" w:name="_Toc531076126"/>
      <w:r>
        <w:rPr>
          <w:b/>
          <w:sz w:val="26"/>
          <w:szCs w:val="26"/>
        </w:rPr>
        <w:t>VI</w:t>
      </w:r>
      <w:r w:rsidR="00EC737B">
        <w:rPr>
          <w:b/>
          <w:sz w:val="26"/>
          <w:szCs w:val="26"/>
        </w:rPr>
        <w:t>.</w:t>
      </w:r>
      <w:r w:rsidR="00EC737B">
        <w:rPr>
          <w:b/>
          <w:sz w:val="26"/>
          <w:szCs w:val="26"/>
        </w:rPr>
        <w:tab/>
      </w:r>
      <w:r>
        <w:rPr>
          <w:b/>
          <w:sz w:val="26"/>
          <w:szCs w:val="26"/>
        </w:rPr>
        <w:t xml:space="preserve">Litigated Issue – </w:t>
      </w:r>
      <w:r w:rsidR="00130F3A" w:rsidRPr="00EC737B">
        <w:rPr>
          <w:b/>
          <w:sz w:val="26"/>
          <w:szCs w:val="26"/>
        </w:rPr>
        <w:t>Discrimination</w:t>
      </w:r>
      <w:r w:rsidR="00856250" w:rsidRPr="00EC737B">
        <w:rPr>
          <w:b/>
          <w:sz w:val="26"/>
          <w:szCs w:val="26"/>
        </w:rPr>
        <w:t xml:space="preserve"> in Service Claim</w:t>
      </w:r>
      <w:bookmarkEnd w:id="18"/>
    </w:p>
    <w:p w14:paraId="5C1AD2DB" w14:textId="38C62074" w:rsidR="003A22FB" w:rsidRDefault="003A22FB" w:rsidP="00721BDA">
      <w:pPr>
        <w:pStyle w:val="ListParagraph"/>
        <w:keepNext/>
        <w:keepLines/>
        <w:widowControl/>
        <w:spacing w:line="360" w:lineRule="auto"/>
        <w:ind w:left="0"/>
        <w:rPr>
          <w:color w:val="000000"/>
          <w:sz w:val="26"/>
          <w:szCs w:val="26"/>
        </w:rPr>
      </w:pPr>
    </w:p>
    <w:p w14:paraId="4AE801E9" w14:textId="7CE5BE08" w:rsidR="00305BC5" w:rsidRDefault="00305BC5" w:rsidP="002E6D96">
      <w:pPr>
        <w:widowControl/>
        <w:spacing w:line="360" w:lineRule="auto"/>
        <w:ind w:firstLine="1440"/>
        <w:contextualSpacing/>
        <w:rPr>
          <w:sz w:val="26"/>
          <w:szCs w:val="26"/>
        </w:rPr>
      </w:pPr>
      <w:r w:rsidRPr="00A4298F">
        <w:rPr>
          <w:sz w:val="26"/>
          <w:szCs w:val="26"/>
        </w:rPr>
        <w:t xml:space="preserve">As discussed above, the Joint Petitioners preserved, as a separate matter from the rate proceeding, the claim raised by the NGS Parties that Columbia’s billing practice of providing “on bill” billing for non-commodity goods and services offered by third parties, while denying the NGS Parties’ request </w:t>
      </w:r>
      <w:r>
        <w:rPr>
          <w:sz w:val="26"/>
          <w:szCs w:val="26"/>
        </w:rPr>
        <w:t>for t</w:t>
      </w:r>
      <w:r w:rsidRPr="00A4298F">
        <w:rPr>
          <w:sz w:val="26"/>
          <w:szCs w:val="26"/>
        </w:rPr>
        <w:t xml:space="preserve">he same billing </w:t>
      </w:r>
      <w:r>
        <w:rPr>
          <w:sz w:val="26"/>
          <w:szCs w:val="26"/>
        </w:rPr>
        <w:t>option</w:t>
      </w:r>
      <w:r w:rsidRPr="00A4298F">
        <w:rPr>
          <w:sz w:val="26"/>
          <w:szCs w:val="26"/>
        </w:rPr>
        <w:t>, constitutes discrimination in provision of service violated Section 1502 of the Code. R.D.</w:t>
      </w:r>
      <w:r w:rsidR="00721BDA">
        <w:rPr>
          <w:sz w:val="26"/>
          <w:szCs w:val="26"/>
        </w:rPr>
        <w:t> </w:t>
      </w:r>
      <w:r w:rsidRPr="00A4298F">
        <w:rPr>
          <w:sz w:val="26"/>
          <w:szCs w:val="26"/>
        </w:rPr>
        <w:t xml:space="preserve"> at 14, Joint Stipulation at 19.</w:t>
      </w:r>
    </w:p>
    <w:p w14:paraId="740603C6" w14:textId="77777777" w:rsidR="00305BC5" w:rsidRDefault="00305BC5" w:rsidP="002E6D96">
      <w:pPr>
        <w:pStyle w:val="ListParagraph"/>
        <w:widowControl/>
        <w:spacing w:line="360" w:lineRule="auto"/>
        <w:ind w:left="0"/>
        <w:rPr>
          <w:color w:val="000000"/>
          <w:sz w:val="26"/>
          <w:szCs w:val="26"/>
        </w:rPr>
      </w:pPr>
    </w:p>
    <w:p w14:paraId="607D7AF6" w14:textId="63738013" w:rsidR="002E6E0F" w:rsidRPr="00305BC5" w:rsidRDefault="00123BAF" w:rsidP="002E6D96">
      <w:pPr>
        <w:pStyle w:val="ListParagraph"/>
        <w:widowControl/>
        <w:spacing w:line="360" w:lineRule="auto"/>
        <w:ind w:left="0"/>
        <w:rPr>
          <w:b/>
          <w:color w:val="000000"/>
          <w:sz w:val="26"/>
          <w:szCs w:val="26"/>
        </w:rPr>
      </w:pPr>
      <w:r w:rsidRPr="00305BC5">
        <w:rPr>
          <w:b/>
          <w:color w:val="000000"/>
          <w:sz w:val="26"/>
          <w:szCs w:val="26"/>
        </w:rPr>
        <w:tab/>
        <w:t>A.</w:t>
      </w:r>
      <w:r w:rsidRPr="00305BC5">
        <w:rPr>
          <w:b/>
          <w:color w:val="000000"/>
          <w:sz w:val="26"/>
          <w:szCs w:val="26"/>
        </w:rPr>
        <w:tab/>
      </w:r>
      <w:r w:rsidR="00305BC5" w:rsidRPr="00305BC5">
        <w:rPr>
          <w:b/>
          <w:color w:val="000000"/>
          <w:sz w:val="26"/>
          <w:szCs w:val="26"/>
        </w:rPr>
        <w:t>Background</w:t>
      </w:r>
    </w:p>
    <w:p w14:paraId="4C5A6018" w14:textId="77777777" w:rsidR="002E6E0F" w:rsidRDefault="002E6E0F" w:rsidP="002E6D96">
      <w:pPr>
        <w:pStyle w:val="ListParagraph"/>
        <w:widowControl/>
        <w:spacing w:line="360" w:lineRule="auto"/>
        <w:ind w:left="0"/>
        <w:rPr>
          <w:color w:val="000000"/>
          <w:sz w:val="26"/>
          <w:szCs w:val="26"/>
        </w:rPr>
      </w:pPr>
    </w:p>
    <w:p w14:paraId="2C3794BD" w14:textId="546E4E09" w:rsidR="00305BC5" w:rsidRPr="00A4298F" w:rsidRDefault="00305BC5" w:rsidP="002E6D96">
      <w:pPr>
        <w:widowControl/>
        <w:spacing w:line="360" w:lineRule="auto"/>
        <w:ind w:firstLine="1440"/>
        <w:rPr>
          <w:sz w:val="26"/>
          <w:szCs w:val="26"/>
        </w:rPr>
      </w:pPr>
      <w:r w:rsidRPr="00A4298F">
        <w:rPr>
          <w:sz w:val="26"/>
          <w:szCs w:val="26"/>
        </w:rPr>
        <w:t xml:space="preserve">The question presented arises in the context of the practice known as “on bill” billing.  “On bill” billing is a utility billing practice of including charges for non-commodity goods and services as a separate line item on the utility bill and including those charges with the total amount due shown on the bill. </w:t>
      </w:r>
      <w:r w:rsidR="00721BDA">
        <w:rPr>
          <w:sz w:val="26"/>
          <w:szCs w:val="26"/>
        </w:rPr>
        <w:t xml:space="preserve"> </w:t>
      </w:r>
      <w:r>
        <w:rPr>
          <w:sz w:val="26"/>
          <w:szCs w:val="26"/>
        </w:rPr>
        <w:t>R.D. at 107.</w:t>
      </w:r>
      <w:r w:rsidRPr="00A4298F">
        <w:rPr>
          <w:sz w:val="26"/>
          <w:szCs w:val="26"/>
        </w:rPr>
        <w:t xml:space="preserve">  Typically, “on bill” charges </w:t>
      </w:r>
      <w:r>
        <w:rPr>
          <w:sz w:val="26"/>
          <w:szCs w:val="26"/>
        </w:rPr>
        <w:t xml:space="preserve">may be </w:t>
      </w:r>
      <w:r w:rsidRPr="00A4298F">
        <w:rPr>
          <w:sz w:val="26"/>
          <w:szCs w:val="26"/>
        </w:rPr>
        <w:t xml:space="preserve">for non-commodity goods and services offered by the utility itself.  However, in the present case, the utility issuing the bill, Columbia, provides “on bill” billing for goods and services offered by </w:t>
      </w:r>
      <w:r>
        <w:rPr>
          <w:sz w:val="26"/>
          <w:szCs w:val="26"/>
        </w:rPr>
        <w:t>non</w:t>
      </w:r>
      <w:r w:rsidR="00342003">
        <w:rPr>
          <w:sz w:val="26"/>
          <w:szCs w:val="26"/>
        </w:rPr>
        <w:t>-</w:t>
      </w:r>
      <w:r>
        <w:rPr>
          <w:sz w:val="26"/>
          <w:szCs w:val="26"/>
        </w:rPr>
        <w:t>regulated</w:t>
      </w:r>
      <w:r w:rsidRPr="00A4298F">
        <w:rPr>
          <w:sz w:val="26"/>
          <w:szCs w:val="26"/>
        </w:rPr>
        <w:t xml:space="preserve"> third part</w:t>
      </w:r>
      <w:r>
        <w:rPr>
          <w:sz w:val="26"/>
          <w:szCs w:val="26"/>
        </w:rPr>
        <w:t>ies</w:t>
      </w:r>
      <w:r w:rsidRPr="00A4298F">
        <w:rPr>
          <w:sz w:val="26"/>
          <w:szCs w:val="26"/>
        </w:rPr>
        <w:t>.</w:t>
      </w:r>
      <w:r w:rsidR="00342003">
        <w:rPr>
          <w:sz w:val="26"/>
          <w:szCs w:val="26"/>
        </w:rPr>
        <w:t xml:space="preserve"> </w:t>
      </w:r>
      <w:r>
        <w:rPr>
          <w:sz w:val="26"/>
          <w:szCs w:val="26"/>
        </w:rPr>
        <w:t xml:space="preserve"> R.D. at 106.</w:t>
      </w:r>
    </w:p>
    <w:p w14:paraId="6B51EBB4" w14:textId="77777777" w:rsidR="00305BC5" w:rsidRPr="00A4298F" w:rsidRDefault="00305BC5" w:rsidP="002E6D96">
      <w:pPr>
        <w:widowControl/>
        <w:spacing w:line="360" w:lineRule="auto"/>
        <w:ind w:firstLine="1440"/>
        <w:rPr>
          <w:sz w:val="26"/>
          <w:szCs w:val="26"/>
        </w:rPr>
      </w:pPr>
    </w:p>
    <w:p w14:paraId="40CC3873" w14:textId="45F108A0" w:rsidR="00305BC5" w:rsidRPr="00A4298F" w:rsidRDefault="00342003" w:rsidP="002E6D96">
      <w:pPr>
        <w:widowControl/>
        <w:spacing w:line="360" w:lineRule="auto"/>
        <w:ind w:firstLine="1440"/>
        <w:rPr>
          <w:sz w:val="26"/>
          <w:szCs w:val="26"/>
        </w:rPr>
      </w:pPr>
      <w:r>
        <w:rPr>
          <w:sz w:val="26"/>
          <w:szCs w:val="26"/>
        </w:rPr>
        <w:t xml:space="preserve">Currently, </w:t>
      </w:r>
      <w:r w:rsidR="00305BC5" w:rsidRPr="00A4298F">
        <w:rPr>
          <w:sz w:val="26"/>
          <w:szCs w:val="26"/>
        </w:rPr>
        <w:t xml:space="preserve">Columbia’s two agreements for the provision of “on bill” billing are with Columbia Service Partners, Inc. (CSP) and Nicor Energy Services Company </w:t>
      </w:r>
      <w:r w:rsidR="00305BC5" w:rsidRPr="00A4298F">
        <w:rPr>
          <w:sz w:val="26"/>
          <w:szCs w:val="26"/>
        </w:rPr>
        <w:lastRenderedPageBreak/>
        <w:t xml:space="preserve">(Nicor), both former affiliates of Columbia. </w:t>
      </w:r>
      <w:r>
        <w:rPr>
          <w:sz w:val="26"/>
          <w:szCs w:val="26"/>
        </w:rPr>
        <w:t xml:space="preserve"> </w:t>
      </w:r>
      <w:r w:rsidR="00305BC5" w:rsidRPr="00A4298F">
        <w:rPr>
          <w:i/>
          <w:sz w:val="26"/>
          <w:szCs w:val="26"/>
          <w:u w:color="000000"/>
        </w:rPr>
        <w:t>See</w:t>
      </w:r>
      <w:r w:rsidR="00305BC5" w:rsidRPr="00A4298F">
        <w:rPr>
          <w:i/>
          <w:sz w:val="26"/>
          <w:szCs w:val="26"/>
        </w:rPr>
        <w:t xml:space="preserve"> </w:t>
      </w:r>
      <w:r w:rsidR="00305BC5" w:rsidRPr="00A4298F">
        <w:rPr>
          <w:sz w:val="26"/>
          <w:szCs w:val="26"/>
        </w:rPr>
        <w:t xml:space="preserve">Columbia St. No. 18R at 3-5.  </w:t>
      </w:r>
      <w:r w:rsidR="00B76A57" w:rsidRPr="00A4298F">
        <w:rPr>
          <w:sz w:val="26"/>
          <w:szCs w:val="26"/>
        </w:rPr>
        <w:t>The agreements between Columbia and both CSP and Nicor are legacy agreements established at a time when CSP and Nicor were still Columbia affiliates.  Columbia St. No. 18-R</w:t>
      </w:r>
      <w:r w:rsidR="00B76A57">
        <w:rPr>
          <w:sz w:val="26"/>
          <w:szCs w:val="26"/>
        </w:rPr>
        <w:t xml:space="preserve"> at</w:t>
      </w:r>
      <w:r w:rsidR="00B76A57" w:rsidRPr="00A4298F">
        <w:rPr>
          <w:sz w:val="26"/>
          <w:szCs w:val="26"/>
        </w:rPr>
        <w:t xml:space="preserve"> 3.</w:t>
      </w:r>
      <w:r w:rsidR="00B76A57">
        <w:rPr>
          <w:sz w:val="26"/>
          <w:szCs w:val="26"/>
        </w:rPr>
        <w:t xml:space="preserve">  </w:t>
      </w:r>
      <w:r w:rsidR="00305BC5" w:rsidRPr="00A4298F">
        <w:rPr>
          <w:sz w:val="26"/>
          <w:szCs w:val="26"/>
        </w:rPr>
        <w:t xml:space="preserve">Neither CSP nor Nicor are natural gas suppliers.  </w:t>
      </w:r>
      <w:r w:rsidR="00305BC5" w:rsidRPr="00A4298F">
        <w:rPr>
          <w:i/>
          <w:sz w:val="26"/>
          <w:szCs w:val="26"/>
        </w:rPr>
        <w:t>Id.</w:t>
      </w:r>
      <w:r w:rsidR="00305BC5" w:rsidRPr="00A4298F">
        <w:rPr>
          <w:sz w:val="26"/>
          <w:szCs w:val="26"/>
        </w:rPr>
        <w:t xml:space="preserve"> at 3-4.  The “on bill” billing of third party non-commodity charges are for items such as warranty services covering HVAC systems and gas, water, and/or sewer line protection services.  NGS Parties St. No. 2 at 2.  Columbia does not currently provide “on bill” billing for non-commodity good and services to any third parties other than CSP and Nicor.  Columbia St. No. 18-R at 4-5.  Revenues received by Columbia under the contracts with CSP and Nicor are credited as miscellaneous revenues and reflected in computing revenue requirements.  Columbia M.B. </w:t>
      </w:r>
      <w:r w:rsidR="00305BC5">
        <w:rPr>
          <w:sz w:val="26"/>
          <w:szCs w:val="26"/>
        </w:rPr>
        <w:t xml:space="preserve">at </w:t>
      </w:r>
      <w:r w:rsidR="00305BC5" w:rsidRPr="00A4298F">
        <w:rPr>
          <w:sz w:val="26"/>
          <w:szCs w:val="26"/>
        </w:rPr>
        <w:t>7-8.</w:t>
      </w:r>
    </w:p>
    <w:p w14:paraId="759E6885" w14:textId="4AE4AEA0" w:rsidR="00305BC5" w:rsidRPr="00A4298F" w:rsidRDefault="00305BC5" w:rsidP="002E6D96">
      <w:pPr>
        <w:widowControl/>
        <w:spacing w:line="360" w:lineRule="auto"/>
        <w:ind w:firstLine="1440"/>
        <w:rPr>
          <w:sz w:val="26"/>
          <w:szCs w:val="26"/>
        </w:rPr>
      </w:pPr>
    </w:p>
    <w:p w14:paraId="591CA0DD" w14:textId="57057DBC" w:rsidR="00305BC5" w:rsidRPr="00A4298F" w:rsidRDefault="00305BC5" w:rsidP="002E6D96">
      <w:pPr>
        <w:widowControl/>
        <w:spacing w:line="360" w:lineRule="auto"/>
        <w:ind w:firstLine="1440"/>
        <w:rPr>
          <w:sz w:val="26"/>
          <w:szCs w:val="26"/>
        </w:rPr>
      </w:pPr>
      <w:r w:rsidRPr="00A4298F">
        <w:rPr>
          <w:sz w:val="26"/>
          <w:szCs w:val="26"/>
        </w:rPr>
        <w:t xml:space="preserve">Columbia asserts that it provides “on bill” billing to CSP and Nicor because they each purchased various retail service businesses that a Columbia affiliate previously provided to Columbia customers.  </w:t>
      </w:r>
      <w:r>
        <w:rPr>
          <w:sz w:val="26"/>
          <w:szCs w:val="26"/>
        </w:rPr>
        <w:t xml:space="preserve">Columbia entered into the </w:t>
      </w:r>
      <w:r w:rsidRPr="00A4298F">
        <w:rPr>
          <w:sz w:val="26"/>
          <w:szCs w:val="26"/>
        </w:rPr>
        <w:t xml:space="preserve">billing arrangements with CSP and Nicor </w:t>
      </w:r>
      <w:r>
        <w:rPr>
          <w:sz w:val="26"/>
          <w:szCs w:val="26"/>
        </w:rPr>
        <w:t>f</w:t>
      </w:r>
      <w:r w:rsidRPr="00A4298F">
        <w:rPr>
          <w:sz w:val="26"/>
          <w:szCs w:val="26"/>
        </w:rPr>
        <w:t>or the convenience of Columbia’s customers who wish</w:t>
      </w:r>
      <w:r w:rsidR="00B76A57">
        <w:rPr>
          <w:sz w:val="26"/>
          <w:szCs w:val="26"/>
        </w:rPr>
        <w:t>ed</w:t>
      </w:r>
      <w:r w:rsidRPr="00A4298F">
        <w:rPr>
          <w:sz w:val="26"/>
          <w:szCs w:val="26"/>
        </w:rPr>
        <w:t xml:space="preserve"> to continue purchasing non-commodity products and services from CSP and Nicor </w:t>
      </w:r>
      <w:r w:rsidR="0081080D">
        <w:rPr>
          <w:sz w:val="26"/>
          <w:szCs w:val="26"/>
        </w:rPr>
        <w:t xml:space="preserve">and </w:t>
      </w:r>
      <w:r w:rsidRPr="00A4298F">
        <w:rPr>
          <w:sz w:val="26"/>
          <w:szCs w:val="26"/>
        </w:rPr>
        <w:t xml:space="preserve">to </w:t>
      </w:r>
      <w:r w:rsidR="0081080D">
        <w:rPr>
          <w:sz w:val="26"/>
          <w:szCs w:val="26"/>
        </w:rPr>
        <w:t xml:space="preserve">retain </w:t>
      </w:r>
      <w:r w:rsidRPr="00A4298F">
        <w:rPr>
          <w:sz w:val="26"/>
          <w:szCs w:val="26"/>
        </w:rPr>
        <w:t xml:space="preserve">the ability to have these charges included on the monthly gas bill.  Columbia does not provide </w:t>
      </w:r>
      <w:r w:rsidR="0081080D">
        <w:rPr>
          <w:sz w:val="26"/>
          <w:szCs w:val="26"/>
        </w:rPr>
        <w:t>“</w:t>
      </w:r>
      <w:r w:rsidRPr="00A4298F">
        <w:rPr>
          <w:sz w:val="26"/>
          <w:szCs w:val="26"/>
        </w:rPr>
        <w:t>on bill</w:t>
      </w:r>
      <w:r w:rsidR="0081080D">
        <w:rPr>
          <w:sz w:val="26"/>
          <w:szCs w:val="26"/>
        </w:rPr>
        <w:t>”</w:t>
      </w:r>
      <w:r w:rsidRPr="00A4298F">
        <w:rPr>
          <w:sz w:val="26"/>
          <w:szCs w:val="26"/>
        </w:rPr>
        <w:t xml:space="preserve"> billing for any entity other than CSP and Nicor.</w:t>
      </w:r>
      <w:r>
        <w:rPr>
          <w:sz w:val="26"/>
          <w:szCs w:val="26"/>
        </w:rPr>
        <w:t xml:space="preserve"> </w:t>
      </w:r>
      <w:r w:rsidRPr="00A4298F">
        <w:rPr>
          <w:sz w:val="26"/>
          <w:szCs w:val="26"/>
        </w:rPr>
        <w:t xml:space="preserve">Columbia M.B. </w:t>
      </w:r>
      <w:r>
        <w:rPr>
          <w:sz w:val="26"/>
          <w:szCs w:val="26"/>
        </w:rPr>
        <w:t xml:space="preserve">at </w:t>
      </w:r>
      <w:r w:rsidRPr="00A4298F">
        <w:rPr>
          <w:sz w:val="26"/>
          <w:szCs w:val="26"/>
        </w:rPr>
        <w:t>8-9.</w:t>
      </w:r>
    </w:p>
    <w:p w14:paraId="3A542384" w14:textId="77777777" w:rsidR="00305BC5" w:rsidRPr="00A4298F" w:rsidRDefault="00305BC5" w:rsidP="002E6D96">
      <w:pPr>
        <w:widowControl/>
        <w:spacing w:line="360" w:lineRule="auto"/>
        <w:ind w:firstLine="1440"/>
      </w:pPr>
    </w:p>
    <w:p w14:paraId="48E341A4" w14:textId="646E2A51" w:rsidR="00305BC5" w:rsidRDefault="00305BC5" w:rsidP="002E6D96">
      <w:pPr>
        <w:widowControl/>
        <w:spacing w:line="360" w:lineRule="auto"/>
        <w:ind w:firstLine="1440"/>
        <w:rPr>
          <w:sz w:val="26"/>
          <w:szCs w:val="26"/>
        </w:rPr>
      </w:pPr>
      <w:r w:rsidRPr="00A4298F">
        <w:rPr>
          <w:sz w:val="26"/>
          <w:szCs w:val="26"/>
        </w:rPr>
        <w:t xml:space="preserve">The NGS Parties request that </w:t>
      </w:r>
      <w:r>
        <w:rPr>
          <w:sz w:val="26"/>
          <w:szCs w:val="26"/>
        </w:rPr>
        <w:t xml:space="preserve">the Commission compel </w:t>
      </w:r>
      <w:r w:rsidRPr="00A4298F">
        <w:rPr>
          <w:sz w:val="26"/>
          <w:szCs w:val="26"/>
        </w:rPr>
        <w:t xml:space="preserve">Columbia </w:t>
      </w:r>
      <w:r>
        <w:rPr>
          <w:sz w:val="26"/>
          <w:szCs w:val="26"/>
        </w:rPr>
        <w:t xml:space="preserve">to </w:t>
      </w:r>
      <w:r w:rsidRPr="00A4298F">
        <w:rPr>
          <w:sz w:val="26"/>
          <w:szCs w:val="26"/>
        </w:rPr>
        <w:t xml:space="preserve">offer </w:t>
      </w:r>
      <w:r>
        <w:rPr>
          <w:sz w:val="26"/>
          <w:szCs w:val="26"/>
        </w:rPr>
        <w:t xml:space="preserve">the NGS Parties the same </w:t>
      </w:r>
      <w:r w:rsidRPr="00A4298F">
        <w:rPr>
          <w:sz w:val="26"/>
          <w:szCs w:val="26"/>
        </w:rPr>
        <w:t xml:space="preserve">“on bill” billing </w:t>
      </w:r>
      <w:r>
        <w:rPr>
          <w:sz w:val="26"/>
          <w:szCs w:val="26"/>
        </w:rPr>
        <w:t xml:space="preserve">option for </w:t>
      </w:r>
      <w:r w:rsidRPr="00A4298F">
        <w:rPr>
          <w:sz w:val="26"/>
          <w:szCs w:val="26"/>
        </w:rPr>
        <w:t xml:space="preserve">non-commodity products </w:t>
      </w:r>
      <w:r>
        <w:rPr>
          <w:sz w:val="26"/>
          <w:szCs w:val="26"/>
        </w:rPr>
        <w:t xml:space="preserve">offered by the NGS Parties which Columbia provides for the non-commodity services offered by </w:t>
      </w:r>
      <w:r w:rsidR="00C16767">
        <w:rPr>
          <w:sz w:val="26"/>
          <w:szCs w:val="26"/>
        </w:rPr>
        <w:t>its</w:t>
      </w:r>
      <w:r>
        <w:rPr>
          <w:sz w:val="26"/>
          <w:szCs w:val="26"/>
        </w:rPr>
        <w:t xml:space="preserve"> two former affiliates. NGS Parties M.B. at 4.</w:t>
      </w:r>
    </w:p>
    <w:p w14:paraId="24637C0D" w14:textId="77777777" w:rsidR="00305BC5" w:rsidRDefault="00305BC5" w:rsidP="002E6D96">
      <w:pPr>
        <w:pStyle w:val="ListParagraph"/>
        <w:widowControl/>
        <w:spacing w:line="360" w:lineRule="auto"/>
        <w:ind w:left="0"/>
        <w:rPr>
          <w:b/>
          <w:color w:val="000000"/>
          <w:sz w:val="26"/>
          <w:szCs w:val="26"/>
        </w:rPr>
      </w:pPr>
    </w:p>
    <w:p w14:paraId="0F31A7B5" w14:textId="1207F873" w:rsidR="00305BC5" w:rsidRPr="009E3C0B" w:rsidRDefault="00305BC5" w:rsidP="00C16767">
      <w:pPr>
        <w:pStyle w:val="ListParagraph"/>
        <w:keepNext/>
        <w:keepLines/>
        <w:widowControl/>
        <w:spacing w:line="360" w:lineRule="auto"/>
        <w:ind w:left="1440"/>
        <w:rPr>
          <w:b/>
          <w:sz w:val="26"/>
          <w:szCs w:val="26"/>
        </w:rPr>
      </w:pPr>
      <w:r>
        <w:rPr>
          <w:b/>
          <w:color w:val="000000"/>
          <w:sz w:val="26"/>
          <w:szCs w:val="26"/>
        </w:rPr>
        <w:t>B.</w:t>
      </w:r>
      <w:r>
        <w:rPr>
          <w:b/>
          <w:color w:val="000000"/>
          <w:sz w:val="26"/>
          <w:szCs w:val="26"/>
        </w:rPr>
        <w:tab/>
      </w:r>
      <w:r w:rsidRPr="00A4298F">
        <w:rPr>
          <w:b/>
          <w:sz w:val="26"/>
          <w:szCs w:val="26"/>
        </w:rPr>
        <w:t>Position of Par</w:t>
      </w:r>
      <w:r>
        <w:rPr>
          <w:b/>
          <w:sz w:val="26"/>
          <w:szCs w:val="26"/>
        </w:rPr>
        <w:t>ties</w:t>
      </w:r>
    </w:p>
    <w:p w14:paraId="7EFB7922" w14:textId="77777777" w:rsidR="00305BC5" w:rsidRPr="00A4298F" w:rsidRDefault="00305BC5" w:rsidP="00C16767">
      <w:pPr>
        <w:keepNext/>
        <w:keepLines/>
        <w:widowControl/>
        <w:spacing w:line="360" w:lineRule="auto"/>
        <w:ind w:firstLine="1440"/>
        <w:rPr>
          <w:rFonts w:eastAsia="Arial"/>
          <w:sz w:val="26"/>
          <w:szCs w:val="26"/>
        </w:rPr>
      </w:pPr>
    </w:p>
    <w:p w14:paraId="1062F7E7" w14:textId="71629AED" w:rsidR="00305BC5" w:rsidRPr="00A4298F" w:rsidRDefault="00305BC5" w:rsidP="002E6D96">
      <w:pPr>
        <w:widowControl/>
        <w:spacing w:line="360" w:lineRule="auto"/>
        <w:ind w:firstLine="1440"/>
        <w:rPr>
          <w:sz w:val="26"/>
          <w:szCs w:val="26"/>
        </w:rPr>
      </w:pPr>
      <w:r w:rsidRPr="00A4298F">
        <w:rPr>
          <w:rFonts w:eastAsia="Arial"/>
          <w:sz w:val="26"/>
          <w:szCs w:val="26"/>
        </w:rPr>
        <w:t xml:space="preserve">The NGS </w:t>
      </w:r>
      <w:r>
        <w:rPr>
          <w:rFonts w:eastAsia="Arial"/>
          <w:sz w:val="26"/>
          <w:szCs w:val="26"/>
        </w:rPr>
        <w:t>P</w:t>
      </w:r>
      <w:r w:rsidRPr="00A4298F">
        <w:rPr>
          <w:rFonts w:eastAsia="Arial"/>
          <w:sz w:val="26"/>
          <w:szCs w:val="26"/>
        </w:rPr>
        <w:t>arties</w:t>
      </w:r>
      <w:r>
        <w:rPr>
          <w:rFonts w:eastAsia="Arial"/>
          <w:sz w:val="26"/>
          <w:szCs w:val="26"/>
        </w:rPr>
        <w:t xml:space="preserve"> and Direct Energy </w:t>
      </w:r>
      <w:r w:rsidR="004F698F">
        <w:rPr>
          <w:rFonts w:eastAsia="Arial"/>
          <w:sz w:val="26"/>
          <w:szCs w:val="26"/>
        </w:rPr>
        <w:t xml:space="preserve">Companies </w:t>
      </w:r>
      <w:r w:rsidRPr="00A4298F">
        <w:rPr>
          <w:rFonts w:eastAsia="Arial"/>
          <w:sz w:val="26"/>
          <w:szCs w:val="26"/>
        </w:rPr>
        <w:t xml:space="preserve">maintained </w:t>
      </w:r>
      <w:r>
        <w:rPr>
          <w:rFonts w:eastAsia="Arial"/>
          <w:sz w:val="26"/>
          <w:szCs w:val="26"/>
        </w:rPr>
        <w:t xml:space="preserve">the position that </w:t>
      </w:r>
      <w:r w:rsidRPr="00A4298F">
        <w:rPr>
          <w:rFonts w:eastAsia="Arial"/>
          <w:sz w:val="26"/>
          <w:szCs w:val="26"/>
        </w:rPr>
        <w:t xml:space="preserve">Columbia’s billing practice of providing “on bill” billing for the non-commodity </w:t>
      </w:r>
      <w:r w:rsidRPr="00A4298F">
        <w:rPr>
          <w:rFonts w:eastAsia="Arial"/>
          <w:sz w:val="26"/>
          <w:szCs w:val="26"/>
        </w:rPr>
        <w:lastRenderedPageBreak/>
        <w:t>goods and services offered by third parties, while refusing to provide the same billing service to the NGS Parties, constituted discrimination in provision of service.  The NGS Parties’ explained that because Columbia’s billing practice constitutes provision of “service,” as service is defined under 66 Pa. C. S. §</w:t>
      </w:r>
      <w:r w:rsidR="00C16767">
        <w:rPr>
          <w:rFonts w:eastAsia="Arial"/>
          <w:sz w:val="26"/>
          <w:szCs w:val="26"/>
        </w:rPr>
        <w:t xml:space="preserve"> </w:t>
      </w:r>
      <w:r w:rsidRPr="00A4298F">
        <w:rPr>
          <w:rFonts w:eastAsia="Arial"/>
          <w:sz w:val="26"/>
          <w:szCs w:val="26"/>
        </w:rPr>
        <w:t xml:space="preserve">102, Columbia was obligated to provide billing service in </w:t>
      </w:r>
      <w:r w:rsidR="00C16767">
        <w:rPr>
          <w:rFonts w:eastAsia="Arial"/>
          <w:sz w:val="26"/>
          <w:szCs w:val="26"/>
        </w:rPr>
        <w:t xml:space="preserve">a </w:t>
      </w:r>
      <w:r w:rsidRPr="00A4298F">
        <w:rPr>
          <w:rFonts w:eastAsia="Arial"/>
          <w:sz w:val="26"/>
          <w:szCs w:val="26"/>
        </w:rPr>
        <w:t xml:space="preserve">manner which </w:t>
      </w:r>
      <w:r w:rsidR="00C16767">
        <w:rPr>
          <w:rFonts w:eastAsia="Arial"/>
          <w:sz w:val="26"/>
          <w:szCs w:val="26"/>
        </w:rPr>
        <w:t xml:space="preserve">was not discriminatory </w:t>
      </w:r>
      <w:r w:rsidRPr="00A4298F">
        <w:rPr>
          <w:rFonts w:eastAsia="Arial"/>
          <w:sz w:val="26"/>
          <w:szCs w:val="26"/>
        </w:rPr>
        <w:t xml:space="preserve">pursuant to 1502 of the Code, </w:t>
      </w:r>
      <w:r w:rsidRPr="00A4298F">
        <w:rPr>
          <w:sz w:val="26"/>
          <w:szCs w:val="26"/>
        </w:rPr>
        <w:t>66 Pa.</w:t>
      </w:r>
      <w:r w:rsidR="00C24C3B">
        <w:rPr>
          <w:sz w:val="26"/>
          <w:szCs w:val="26"/>
        </w:rPr>
        <w:t xml:space="preserve"> </w:t>
      </w:r>
      <w:r w:rsidRPr="00A4298F">
        <w:rPr>
          <w:sz w:val="26"/>
          <w:szCs w:val="26"/>
        </w:rPr>
        <w:t xml:space="preserve">C.S. § 1502 (prohibiting discrimination in any </w:t>
      </w:r>
      <w:r w:rsidR="004203B5">
        <w:rPr>
          <w:sz w:val="26"/>
          <w:szCs w:val="26"/>
        </w:rPr>
        <w:t>provision of service</w:t>
      </w:r>
      <w:r w:rsidRPr="00A4298F">
        <w:rPr>
          <w:sz w:val="26"/>
          <w:szCs w:val="26"/>
        </w:rPr>
        <w:t xml:space="preserve"> by a utility). </w:t>
      </w:r>
      <w:r w:rsidR="00C24C3B">
        <w:rPr>
          <w:sz w:val="26"/>
          <w:szCs w:val="26"/>
        </w:rPr>
        <w:t xml:space="preserve"> </w:t>
      </w:r>
      <w:r w:rsidRPr="00A4298F">
        <w:rPr>
          <w:sz w:val="26"/>
          <w:szCs w:val="26"/>
        </w:rPr>
        <w:t xml:space="preserve">NGS </w:t>
      </w:r>
      <w:r>
        <w:rPr>
          <w:sz w:val="26"/>
          <w:szCs w:val="26"/>
        </w:rPr>
        <w:t xml:space="preserve">Parties M.B. </w:t>
      </w:r>
      <w:r w:rsidRPr="00A4298F">
        <w:rPr>
          <w:sz w:val="26"/>
          <w:szCs w:val="26"/>
        </w:rPr>
        <w:t>at 4-7</w:t>
      </w:r>
      <w:r>
        <w:rPr>
          <w:sz w:val="26"/>
          <w:szCs w:val="26"/>
        </w:rPr>
        <w:t xml:space="preserve">; </w:t>
      </w:r>
      <w:r w:rsidRPr="00A4298F">
        <w:rPr>
          <w:sz w:val="26"/>
          <w:szCs w:val="26"/>
        </w:rPr>
        <w:t>Direct Energy M.B.</w:t>
      </w:r>
      <w:r w:rsidR="00C24C3B">
        <w:rPr>
          <w:sz w:val="26"/>
          <w:szCs w:val="26"/>
        </w:rPr>
        <w:t xml:space="preserve"> at</w:t>
      </w:r>
      <w:r w:rsidRPr="00A4298F">
        <w:rPr>
          <w:sz w:val="26"/>
          <w:szCs w:val="26"/>
        </w:rPr>
        <w:t xml:space="preserve"> 6.</w:t>
      </w:r>
    </w:p>
    <w:p w14:paraId="3FCD17C8" w14:textId="77777777" w:rsidR="00305BC5" w:rsidRDefault="00305BC5" w:rsidP="002E6D96">
      <w:pPr>
        <w:widowControl/>
        <w:spacing w:line="360" w:lineRule="auto"/>
        <w:ind w:firstLine="1440"/>
        <w:rPr>
          <w:rFonts w:eastAsia="Arial"/>
          <w:sz w:val="26"/>
          <w:szCs w:val="26"/>
        </w:rPr>
      </w:pPr>
    </w:p>
    <w:p w14:paraId="3A163CB5" w14:textId="5C0040C0" w:rsidR="00305BC5" w:rsidRPr="00A4298F" w:rsidRDefault="00305BC5" w:rsidP="002E6D96">
      <w:pPr>
        <w:widowControl/>
        <w:spacing w:line="360" w:lineRule="auto"/>
        <w:ind w:firstLine="1440"/>
        <w:rPr>
          <w:rFonts w:eastAsia="Arial"/>
          <w:sz w:val="26"/>
          <w:szCs w:val="26"/>
        </w:rPr>
      </w:pPr>
      <w:r w:rsidRPr="00A4298F">
        <w:rPr>
          <w:rFonts w:eastAsia="Arial"/>
          <w:sz w:val="26"/>
          <w:szCs w:val="26"/>
        </w:rPr>
        <w:t xml:space="preserve">The NGS </w:t>
      </w:r>
      <w:r w:rsidR="00C24C3B">
        <w:rPr>
          <w:rFonts w:eastAsia="Arial"/>
          <w:sz w:val="26"/>
          <w:szCs w:val="26"/>
        </w:rPr>
        <w:t>P</w:t>
      </w:r>
      <w:r w:rsidRPr="00A4298F">
        <w:rPr>
          <w:rFonts w:eastAsia="Arial"/>
          <w:sz w:val="26"/>
          <w:szCs w:val="26"/>
        </w:rPr>
        <w:t xml:space="preserve">arties </w:t>
      </w:r>
      <w:r>
        <w:rPr>
          <w:rFonts w:eastAsia="Arial"/>
          <w:sz w:val="26"/>
          <w:szCs w:val="26"/>
        </w:rPr>
        <w:t xml:space="preserve">and Direct Energy </w:t>
      </w:r>
      <w:r w:rsidR="004F698F">
        <w:rPr>
          <w:rFonts w:eastAsia="Arial"/>
          <w:sz w:val="26"/>
          <w:szCs w:val="26"/>
        </w:rPr>
        <w:t xml:space="preserve">Companies </w:t>
      </w:r>
      <w:r w:rsidRPr="00A4298F">
        <w:rPr>
          <w:rFonts w:eastAsia="Arial"/>
          <w:sz w:val="26"/>
          <w:szCs w:val="26"/>
        </w:rPr>
        <w:t>reasoned that because Columbia’s provision of service include</w:t>
      </w:r>
      <w:r w:rsidR="004F698F">
        <w:rPr>
          <w:rFonts w:eastAsia="Arial"/>
          <w:sz w:val="26"/>
          <w:szCs w:val="26"/>
        </w:rPr>
        <w:t>d</w:t>
      </w:r>
      <w:r w:rsidRPr="00A4298F">
        <w:rPr>
          <w:rFonts w:eastAsia="Arial"/>
          <w:sz w:val="26"/>
          <w:szCs w:val="26"/>
        </w:rPr>
        <w:t xml:space="preserve"> “on bill” billing for non-commodity goods and service offered by third parties, Columbia is required to offer the same option of “on bill” billing for non-commodity goods and services offered by the NGS Parties, otherwise, Columbia’s practice is discriminatory.</w:t>
      </w:r>
      <w:r w:rsidRPr="003345F2">
        <w:rPr>
          <w:sz w:val="26"/>
          <w:szCs w:val="26"/>
        </w:rPr>
        <w:t xml:space="preserve"> </w:t>
      </w:r>
      <w:r w:rsidR="004F698F">
        <w:rPr>
          <w:sz w:val="26"/>
          <w:szCs w:val="26"/>
        </w:rPr>
        <w:t xml:space="preserve"> </w:t>
      </w:r>
      <w:r>
        <w:rPr>
          <w:sz w:val="26"/>
          <w:szCs w:val="26"/>
        </w:rPr>
        <w:t xml:space="preserve">NGS Parties M.B. at 4-5; </w:t>
      </w:r>
      <w:r w:rsidRPr="00A4298F">
        <w:rPr>
          <w:sz w:val="26"/>
          <w:szCs w:val="26"/>
        </w:rPr>
        <w:t>Direct Energy M.B</w:t>
      </w:r>
      <w:r w:rsidR="004F698F">
        <w:rPr>
          <w:sz w:val="26"/>
          <w:szCs w:val="26"/>
        </w:rPr>
        <w:t>. at </w:t>
      </w:r>
      <w:r>
        <w:rPr>
          <w:sz w:val="26"/>
          <w:szCs w:val="26"/>
        </w:rPr>
        <w:t>4.</w:t>
      </w:r>
    </w:p>
    <w:p w14:paraId="0223B88F" w14:textId="77777777" w:rsidR="00305BC5" w:rsidRPr="00A4298F" w:rsidRDefault="00305BC5" w:rsidP="002E6D96">
      <w:pPr>
        <w:widowControl/>
        <w:spacing w:line="360" w:lineRule="auto"/>
        <w:ind w:firstLine="1440"/>
        <w:rPr>
          <w:rFonts w:eastAsia="Arial"/>
          <w:sz w:val="26"/>
          <w:szCs w:val="26"/>
        </w:rPr>
      </w:pPr>
    </w:p>
    <w:p w14:paraId="2F6C0065" w14:textId="2466A116" w:rsidR="00305BC5" w:rsidRDefault="00305BC5" w:rsidP="002E6D96">
      <w:pPr>
        <w:widowControl/>
        <w:spacing w:line="360" w:lineRule="auto"/>
        <w:ind w:firstLine="1440"/>
        <w:rPr>
          <w:rFonts w:eastAsia="Arial"/>
          <w:sz w:val="26"/>
          <w:szCs w:val="26"/>
        </w:rPr>
      </w:pPr>
      <w:r w:rsidRPr="00A4298F">
        <w:rPr>
          <w:rFonts w:eastAsia="Arial"/>
          <w:sz w:val="26"/>
          <w:szCs w:val="26"/>
        </w:rPr>
        <w:t xml:space="preserve">The NGS Parties argued that </w:t>
      </w:r>
      <w:r w:rsidR="003D3414">
        <w:rPr>
          <w:rFonts w:eastAsia="Arial"/>
          <w:sz w:val="26"/>
          <w:szCs w:val="26"/>
        </w:rPr>
        <w:t xml:space="preserve">the </w:t>
      </w:r>
      <w:r w:rsidRPr="00A4298F">
        <w:rPr>
          <w:rFonts w:eastAsia="Arial"/>
          <w:sz w:val="26"/>
          <w:szCs w:val="26"/>
        </w:rPr>
        <w:t xml:space="preserve">legislature’s intent that billing be an aspect of the “service” offered by NGDCs such as Columbia, was expressly stated where the </w:t>
      </w:r>
      <w:r w:rsidR="003D3414">
        <w:rPr>
          <w:rFonts w:eastAsia="Arial"/>
          <w:sz w:val="26"/>
          <w:szCs w:val="26"/>
        </w:rPr>
        <w:t>l</w:t>
      </w:r>
      <w:r w:rsidRPr="00A4298F">
        <w:rPr>
          <w:rFonts w:eastAsia="Arial"/>
          <w:sz w:val="26"/>
          <w:szCs w:val="26"/>
        </w:rPr>
        <w:t xml:space="preserve">egislature authorized NGDCs to design, implement, and render billing services on behalf of NGS or other entities, under 66 Pa. C. S. §2205(c) (3).  Further, the NGS Parties noted that the Commonwealth Court has confirmed that utility billing falls within the definition of “service” in Section 102, and, therefore, falls within Commission jurisdiction. </w:t>
      </w:r>
      <w:r w:rsidR="00AD660D">
        <w:rPr>
          <w:rFonts w:eastAsia="Arial"/>
          <w:sz w:val="26"/>
          <w:szCs w:val="26"/>
        </w:rPr>
        <w:t xml:space="preserve"> </w:t>
      </w:r>
      <w:r w:rsidRPr="00A4298F">
        <w:rPr>
          <w:rFonts w:eastAsia="Arial"/>
          <w:i/>
          <w:sz w:val="26"/>
          <w:szCs w:val="26"/>
        </w:rPr>
        <w:t>Aronson v. Pa. PUC</w:t>
      </w:r>
      <w:r w:rsidRPr="00A4298F">
        <w:rPr>
          <w:rFonts w:eastAsia="Arial"/>
          <w:sz w:val="26"/>
          <w:szCs w:val="26"/>
        </w:rPr>
        <w:t>, 740 A.2d 1208 (</w:t>
      </w:r>
      <w:r w:rsidRPr="00A4298F">
        <w:rPr>
          <w:rFonts w:eastAsia="Arial"/>
          <w:i/>
          <w:sz w:val="26"/>
          <w:szCs w:val="26"/>
        </w:rPr>
        <w:t xml:space="preserve">Pa. </w:t>
      </w:r>
      <w:r w:rsidR="00302253" w:rsidRPr="00A4298F">
        <w:rPr>
          <w:rFonts w:eastAsia="Arial"/>
          <w:i/>
          <w:sz w:val="26"/>
          <w:szCs w:val="26"/>
        </w:rPr>
        <w:t>Cmwlth</w:t>
      </w:r>
      <w:r w:rsidRPr="00A4298F">
        <w:rPr>
          <w:rFonts w:eastAsia="Arial"/>
          <w:sz w:val="26"/>
          <w:szCs w:val="26"/>
        </w:rPr>
        <w:t xml:space="preserve">. 1999). </w:t>
      </w:r>
      <w:r w:rsidR="00AD660D">
        <w:rPr>
          <w:rFonts w:eastAsia="Arial"/>
          <w:sz w:val="26"/>
          <w:szCs w:val="26"/>
        </w:rPr>
        <w:t xml:space="preserve"> </w:t>
      </w:r>
      <w:r w:rsidRPr="00A4298F">
        <w:rPr>
          <w:rFonts w:eastAsia="Arial"/>
          <w:sz w:val="26"/>
          <w:szCs w:val="26"/>
        </w:rPr>
        <w:t>NGS Parties</w:t>
      </w:r>
      <w:r>
        <w:rPr>
          <w:rFonts w:eastAsia="Arial"/>
          <w:sz w:val="26"/>
          <w:szCs w:val="26"/>
        </w:rPr>
        <w:t xml:space="preserve"> M.B. </w:t>
      </w:r>
      <w:r w:rsidRPr="00A4298F">
        <w:rPr>
          <w:rFonts w:eastAsia="Arial"/>
          <w:sz w:val="26"/>
          <w:szCs w:val="26"/>
        </w:rPr>
        <w:t>at 5.</w:t>
      </w:r>
    </w:p>
    <w:p w14:paraId="5D57F03E" w14:textId="77777777" w:rsidR="00305BC5" w:rsidRDefault="00305BC5" w:rsidP="002E6D96">
      <w:pPr>
        <w:widowControl/>
        <w:spacing w:line="360" w:lineRule="auto"/>
        <w:ind w:firstLine="1440"/>
        <w:rPr>
          <w:rFonts w:eastAsia="Arial"/>
          <w:sz w:val="26"/>
          <w:szCs w:val="26"/>
        </w:rPr>
      </w:pPr>
    </w:p>
    <w:p w14:paraId="11A86B4B" w14:textId="244E15E6" w:rsidR="00305BC5" w:rsidRPr="00091A56" w:rsidRDefault="00305BC5" w:rsidP="002E6D96">
      <w:pPr>
        <w:widowControl/>
        <w:spacing w:line="360" w:lineRule="auto"/>
        <w:ind w:firstLine="1440"/>
        <w:rPr>
          <w:sz w:val="26"/>
          <w:szCs w:val="26"/>
        </w:rPr>
      </w:pPr>
      <w:r w:rsidRPr="00A4298F">
        <w:rPr>
          <w:rFonts w:eastAsia="Arial"/>
          <w:sz w:val="26"/>
          <w:szCs w:val="26"/>
        </w:rPr>
        <w:t>Therefore, the NGS Parties concluded that Columbia’s billing services are required to comply with both Section</w:t>
      </w:r>
      <w:r w:rsidR="00AD660D">
        <w:rPr>
          <w:rFonts w:eastAsia="Arial"/>
          <w:sz w:val="26"/>
          <w:szCs w:val="26"/>
        </w:rPr>
        <w:t>s</w:t>
      </w:r>
      <w:r w:rsidRPr="00A4298F">
        <w:rPr>
          <w:rFonts w:eastAsia="Arial"/>
          <w:sz w:val="26"/>
          <w:szCs w:val="26"/>
        </w:rPr>
        <w:t xml:space="preserve"> 1502 and 2203 of the Code, prohibiting discrimination and anti-competitive practices. </w:t>
      </w:r>
      <w:r w:rsidR="00AD660D">
        <w:rPr>
          <w:rFonts w:eastAsia="Arial"/>
          <w:sz w:val="26"/>
          <w:szCs w:val="26"/>
        </w:rPr>
        <w:t xml:space="preserve"> </w:t>
      </w:r>
      <w:r w:rsidRPr="00A4298F">
        <w:rPr>
          <w:rFonts w:eastAsia="Arial"/>
          <w:sz w:val="26"/>
          <w:szCs w:val="26"/>
        </w:rPr>
        <w:t>66 Pa. C.S. §§ 1502</w:t>
      </w:r>
      <w:r w:rsidR="00AD660D">
        <w:rPr>
          <w:rFonts w:eastAsia="Arial"/>
          <w:sz w:val="26"/>
          <w:szCs w:val="26"/>
        </w:rPr>
        <w:t xml:space="preserve">, </w:t>
      </w:r>
      <w:r w:rsidRPr="00A4298F">
        <w:rPr>
          <w:rFonts w:eastAsia="Arial"/>
          <w:sz w:val="26"/>
          <w:szCs w:val="26"/>
        </w:rPr>
        <w:t>2203.</w:t>
      </w:r>
      <w:r>
        <w:rPr>
          <w:rFonts w:eastAsia="Arial"/>
          <w:sz w:val="26"/>
          <w:szCs w:val="26"/>
        </w:rPr>
        <w:t xml:space="preserve"> </w:t>
      </w:r>
      <w:r w:rsidR="00AD660D">
        <w:rPr>
          <w:rFonts w:eastAsia="Arial"/>
          <w:sz w:val="26"/>
          <w:szCs w:val="26"/>
        </w:rPr>
        <w:t xml:space="preserve"> </w:t>
      </w:r>
      <w:r w:rsidRPr="00A4298F">
        <w:rPr>
          <w:sz w:val="26"/>
          <w:szCs w:val="26"/>
        </w:rPr>
        <w:t>NGS Parties M.B. at 6.</w:t>
      </w:r>
      <w:r>
        <w:rPr>
          <w:sz w:val="26"/>
          <w:szCs w:val="26"/>
        </w:rPr>
        <w:t xml:space="preserve">  The NGS </w:t>
      </w:r>
      <w:r w:rsidR="00AD660D">
        <w:rPr>
          <w:sz w:val="26"/>
          <w:szCs w:val="26"/>
        </w:rPr>
        <w:t>P</w:t>
      </w:r>
      <w:r>
        <w:rPr>
          <w:sz w:val="26"/>
          <w:szCs w:val="26"/>
        </w:rPr>
        <w:t xml:space="preserve">arties also argued that </w:t>
      </w:r>
      <w:r>
        <w:rPr>
          <w:sz w:val="26"/>
        </w:rPr>
        <w:t>Columbia mistakenly claims that it is not required to provide billing services on a non-discriminatory basis.</w:t>
      </w:r>
      <w:r>
        <w:rPr>
          <w:sz w:val="26"/>
          <w:szCs w:val="26"/>
        </w:rPr>
        <w:t xml:space="preserve"> </w:t>
      </w:r>
      <w:r w:rsidR="00AD660D">
        <w:rPr>
          <w:sz w:val="26"/>
          <w:szCs w:val="26"/>
        </w:rPr>
        <w:t xml:space="preserve"> </w:t>
      </w:r>
      <w:r>
        <w:rPr>
          <w:sz w:val="26"/>
          <w:szCs w:val="26"/>
        </w:rPr>
        <w:t>N</w:t>
      </w:r>
      <w:r w:rsidRPr="00A4298F">
        <w:rPr>
          <w:sz w:val="26"/>
          <w:szCs w:val="26"/>
        </w:rPr>
        <w:t xml:space="preserve">GS Parties </w:t>
      </w:r>
      <w:r>
        <w:rPr>
          <w:sz w:val="26"/>
          <w:szCs w:val="26"/>
        </w:rPr>
        <w:t xml:space="preserve">R.B. </w:t>
      </w:r>
      <w:r w:rsidRPr="00A4298F">
        <w:rPr>
          <w:sz w:val="26"/>
          <w:szCs w:val="26"/>
        </w:rPr>
        <w:t>at</w:t>
      </w:r>
      <w:r w:rsidR="00AD660D">
        <w:rPr>
          <w:sz w:val="26"/>
          <w:szCs w:val="26"/>
        </w:rPr>
        <w:t> </w:t>
      </w:r>
      <w:r>
        <w:rPr>
          <w:sz w:val="26"/>
          <w:szCs w:val="26"/>
        </w:rPr>
        <w:t>1</w:t>
      </w:r>
      <w:r w:rsidR="00AD660D">
        <w:rPr>
          <w:sz w:val="26"/>
          <w:szCs w:val="26"/>
        </w:rPr>
        <w:noBreakHyphen/>
      </w:r>
      <w:r>
        <w:rPr>
          <w:sz w:val="26"/>
          <w:szCs w:val="26"/>
        </w:rPr>
        <w:t xml:space="preserve">2. </w:t>
      </w:r>
      <w:r w:rsidRPr="00A4298F">
        <w:rPr>
          <w:sz w:val="26"/>
          <w:szCs w:val="26"/>
        </w:rPr>
        <w:t xml:space="preserve"> </w:t>
      </w:r>
      <w:r>
        <w:rPr>
          <w:sz w:val="26"/>
          <w:szCs w:val="26"/>
        </w:rPr>
        <w:t xml:space="preserve">Both the NGS Parties and </w:t>
      </w:r>
      <w:r w:rsidR="00AD660D">
        <w:rPr>
          <w:sz w:val="26"/>
          <w:szCs w:val="26"/>
        </w:rPr>
        <w:t xml:space="preserve">the </w:t>
      </w:r>
      <w:r w:rsidRPr="00A4298F">
        <w:rPr>
          <w:sz w:val="26"/>
          <w:szCs w:val="26"/>
        </w:rPr>
        <w:t xml:space="preserve">Direct Energy </w:t>
      </w:r>
      <w:r w:rsidR="00AD660D">
        <w:rPr>
          <w:sz w:val="26"/>
          <w:szCs w:val="26"/>
        </w:rPr>
        <w:t xml:space="preserve">Companies </w:t>
      </w:r>
      <w:r w:rsidRPr="00A4298F">
        <w:rPr>
          <w:sz w:val="26"/>
          <w:szCs w:val="26"/>
        </w:rPr>
        <w:t>submit</w:t>
      </w:r>
      <w:r>
        <w:rPr>
          <w:sz w:val="26"/>
          <w:szCs w:val="26"/>
        </w:rPr>
        <w:t>ted</w:t>
      </w:r>
      <w:r w:rsidRPr="00A4298F">
        <w:rPr>
          <w:sz w:val="26"/>
          <w:szCs w:val="26"/>
        </w:rPr>
        <w:t xml:space="preserve"> that the record </w:t>
      </w:r>
      <w:r w:rsidRPr="00A4298F">
        <w:rPr>
          <w:sz w:val="26"/>
          <w:szCs w:val="26"/>
        </w:rPr>
        <w:lastRenderedPageBreak/>
        <w:t xml:space="preserve">contains substantial evidence to support a finding that Columbia’s current practice of allowing its former affiliates to bill for non-commodity services is discriminatory, in violation of the Code and the Commission’s </w:t>
      </w:r>
      <w:r w:rsidR="00D14C28">
        <w:rPr>
          <w:sz w:val="26"/>
          <w:szCs w:val="26"/>
        </w:rPr>
        <w:t>regulation</w:t>
      </w:r>
      <w:r w:rsidRPr="00A4298F">
        <w:rPr>
          <w:sz w:val="26"/>
          <w:szCs w:val="26"/>
        </w:rPr>
        <w:t>s.</w:t>
      </w:r>
      <w:r>
        <w:rPr>
          <w:sz w:val="26"/>
          <w:szCs w:val="26"/>
        </w:rPr>
        <w:t xml:space="preserve"> NGS Parties M.B. at 6; Direct Energy M.B. at 5.</w:t>
      </w:r>
    </w:p>
    <w:p w14:paraId="0528DDE3" w14:textId="77777777" w:rsidR="00305BC5" w:rsidRPr="00A4298F" w:rsidRDefault="00305BC5" w:rsidP="002E6D96">
      <w:pPr>
        <w:widowControl/>
        <w:spacing w:line="360" w:lineRule="auto"/>
        <w:ind w:firstLine="1440"/>
        <w:rPr>
          <w:rFonts w:eastAsia="Arial"/>
          <w:sz w:val="26"/>
          <w:szCs w:val="26"/>
        </w:rPr>
      </w:pPr>
    </w:p>
    <w:p w14:paraId="0BD50571" w14:textId="00ACE6E1" w:rsidR="00305BC5" w:rsidRDefault="00305BC5" w:rsidP="002E6D96">
      <w:pPr>
        <w:widowControl/>
        <w:spacing w:line="360" w:lineRule="auto"/>
        <w:ind w:firstLine="1440"/>
        <w:rPr>
          <w:rFonts w:eastAsia="Arial"/>
          <w:sz w:val="26"/>
          <w:szCs w:val="26"/>
        </w:rPr>
      </w:pPr>
      <w:r w:rsidRPr="00A4298F">
        <w:rPr>
          <w:rFonts w:eastAsia="Arial"/>
          <w:sz w:val="26"/>
          <w:szCs w:val="26"/>
        </w:rPr>
        <w:t xml:space="preserve">Finally, </w:t>
      </w:r>
      <w:r>
        <w:rPr>
          <w:rFonts w:eastAsia="Arial"/>
          <w:sz w:val="26"/>
          <w:szCs w:val="26"/>
        </w:rPr>
        <w:t xml:space="preserve">both </w:t>
      </w:r>
      <w:r w:rsidRPr="00A4298F">
        <w:rPr>
          <w:rFonts w:eastAsia="Arial"/>
          <w:sz w:val="26"/>
          <w:szCs w:val="26"/>
        </w:rPr>
        <w:t xml:space="preserve">the NGS </w:t>
      </w:r>
      <w:r w:rsidR="00091A56">
        <w:rPr>
          <w:rFonts w:eastAsia="Arial"/>
          <w:sz w:val="26"/>
          <w:szCs w:val="26"/>
        </w:rPr>
        <w:t>P</w:t>
      </w:r>
      <w:r w:rsidRPr="00A4298F">
        <w:rPr>
          <w:rFonts w:eastAsia="Arial"/>
          <w:sz w:val="26"/>
          <w:szCs w:val="26"/>
        </w:rPr>
        <w:t xml:space="preserve">arties </w:t>
      </w:r>
      <w:r>
        <w:rPr>
          <w:rFonts w:eastAsia="Arial"/>
          <w:sz w:val="26"/>
          <w:szCs w:val="26"/>
        </w:rPr>
        <w:t xml:space="preserve">and </w:t>
      </w:r>
      <w:r w:rsidR="00091A56">
        <w:rPr>
          <w:rFonts w:eastAsia="Arial"/>
          <w:sz w:val="26"/>
          <w:szCs w:val="26"/>
        </w:rPr>
        <w:t xml:space="preserve">the </w:t>
      </w:r>
      <w:r>
        <w:rPr>
          <w:rFonts w:eastAsia="Arial"/>
          <w:sz w:val="26"/>
          <w:szCs w:val="26"/>
        </w:rPr>
        <w:t xml:space="preserve">Direct Energy </w:t>
      </w:r>
      <w:r w:rsidR="00091A56">
        <w:rPr>
          <w:rFonts w:eastAsia="Arial"/>
          <w:sz w:val="26"/>
          <w:szCs w:val="26"/>
        </w:rPr>
        <w:t xml:space="preserve">Companies </w:t>
      </w:r>
      <w:r w:rsidRPr="00A4298F">
        <w:rPr>
          <w:rFonts w:eastAsia="Arial"/>
          <w:sz w:val="26"/>
          <w:szCs w:val="26"/>
        </w:rPr>
        <w:t>stressed they did not seek to halt Columbia’s billing practice</w:t>
      </w:r>
      <w:r>
        <w:rPr>
          <w:rFonts w:eastAsia="Arial"/>
          <w:sz w:val="26"/>
          <w:szCs w:val="26"/>
        </w:rPr>
        <w:t xml:space="preserve"> and proposed, rather, </w:t>
      </w:r>
      <w:r w:rsidRPr="00A4298F">
        <w:rPr>
          <w:rFonts w:eastAsia="Arial"/>
          <w:sz w:val="26"/>
          <w:szCs w:val="26"/>
        </w:rPr>
        <w:t xml:space="preserve">that the Commission require Columbia to offer the NGS </w:t>
      </w:r>
      <w:r w:rsidR="00091A56">
        <w:rPr>
          <w:rFonts w:eastAsia="Arial"/>
          <w:sz w:val="26"/>
          <w:szCs w:val="26"/>
        </w:rPr>
        <w:t>P</w:t>
      </w:r>
      <w:r w:rsidRPr="00A4298F">
        <w:rPr>
          <w:rFonts w:eastAsia="Arial"/>
          <w:sz w:val="26"/>
          <w:szCs w:val="26"/>
        </w:rPr>
        <w:t xml:space="preserve">arties the same option for “on bill” billing of non-commodity goods and services offered by the NGS Parties. </w:t>
      </w:r>
      <w:r w:rsidR="00091A56">
        <w:rPr>
          <w:rFonts w:eastAsia="Arial"/>
          <w:sz w:val="26"/>
          <w:szCs w:val="26"/>
        </w:rPr>
        <w:t xml:space="preserve"> </w:t>
      </w:r>
      <w:r w:rsidRPr="00A4298F">
        <w:rPr>
          <w:rFonts w:eastAsia="Arial"/>
          <w:sz w:val="26"/>
          <w:szCs w:val="26"/>
        </w:rPr>
        <w:t>M.B.</w:t>
      </w:r>
      <w:r>
        <w:rPr>
          <w:rFonts w:eastAsia="Arial"/>
          <w:sz w:val="26"/>
          <w:szCs w:val="26"/>
        </w:rPr>
        <w:t xml:space="preserve"> at 6;</w:t>
      </w:r>
      <w:r w:rsidRPr="00A4298F">
        <w:rPr>
          <w:rFonts w:eastAsia="Arial"/>
          <w:sz w:val="26"/>
          <w:szCs w:val="26"/>
        </w:rPr>
        <w:t xml:space="preserve"> NGS Parties at 4.</w:t>
      </w:r>
    </w:p>
    <w:p w14:paraId="063E6778" w14:textId="77777777" w:rsidR="00305BC5" w:rsidRPr="009E3C0B" w:rsidRDefault="00305BC5" w:rsidP="002E6D96">
      <w:pPr>
        <w:widowControl/>
        <w:spacing w:line="360" w:lineRule="auto"/>
        <w:ind w:firstLine="1440"/>
        <w:rPr>
          <w:rFonts w:eastAsia="Arial"/>
          <w:sz w:val="26"/>
          <w:szCs w:val="26"/>
        </w:rPr>
      </w:pPr>
    </w:p>
    <w:p w14:paraId="2314088A" w14:textId="48AC3DA3" w:rsidR="00305BC5" w:rsidRDefault="00305BC5" w:rsidP="002E6D96">
      <w:pPr>
        <w:widowControl/>
        <w:spacing w:line="360" w:lineRule="auto"/>
        <w:ind w:firstLine="1440"/>
        <w:rPr>
          <w:sz w:val="26"/>
          <w:szCs w:val="26"/>
        </w:rPr>
      </w:pPr>
      <w:r w:rsidRPr="00A4298F">
        <w:rPr>
          <w:sz w:val="26"/>
          <w:szCs w:val="26"/>
        </w:rPr>
        <w:t xml:space="preserve">Columbia asserted that </w:t>
      </w:r>
      <w:r>
        <w:rPr>
          <w:sz w:val="26"/>
          <w:szCs w:val="26"/>
        </w:rPr>
        <w:t xml:space="preserve">the Commission lacks jurisdiction to regulate the billing practice and that it possesses </w:t>
      </w:r>
      <w:r w:rsidRPr="00A4298F">
        <w:rPr>
          <w:sz w:val="26"/>
          <w:szCs w:val="26"/>
        </w:rPr>
        <w:t>an unrestricted right to contract with third parties to provide “on bill” billing for non-commodity goods and service</w:t>
      </w:r>
      <w:r w:rsidR="008457E7">
        <w:rPr>
          <w:sz w:val="26"/>
          <w:szCs w:val="26"/>
        </w:rPr>
        <w:t>s</w:t>
      </w:r>
      <w:r w:rsidRPr="00A4298F">
        <w:rPr>
          <w:sz w:val="26"/>
          <w:szCs w:val="26"/>
        </w:rPr>
        <w:t xml:space="preserve"> offered by the third parties. </w:t>
      </w:r>
      <w:r w:rsidR="008457E7">
        <w:rPr>
          <w:sz w:val="26"/>
          <w:szCs w:val="26"/>
        </w:rPr>
        <w:t xml:space="preserve"> </w:t>
      </w:r>
      <w:r>
        <w:rPr>
          <w:sz w:val="26"/>
          <w:szCs w:val="26"/>
        </w:rPr>
        <w:t xml:space="preserve">Columbia </w:t>
      </w:r>
      <w:r w:rsidRPr="00A4298F">
        <w:rPr>
          <w:sz w:val="26"/>
          <w:szCs w:val="26"/>
        </w:rPr>
        <w:t>M.B.</w:t>
      </w:r>
      <w:r>
        <w:rPr>
          <w:sz w:val="26"/>
          <w:szCs w:val="26"/>
        </w:rPr>
        <w:t xml:space="preserve"> at 9. </w:t>
      </w:r>
      <w:r w:rsidRPr="00A4298F">
        <w:rPr>
          <w:sz w:val="26"/>
          <w:szCs w:val="26"/>
        </w:rPr>
        <w:t xml:space="preserve"> </w:t>
      </w:r>
      <w:bookmarkStart w:id="19" w:name="_Hlk531058054"/>
      <w:r w:rsidRPr="009252EF">
        <w:rPr>
          <w:sz w:val="26"/>
          <w:szCs w:val="26"/>
        </w:rPr>
        <w:t>Columbia argue</w:t>
      </w:r>
      <w:r>
        <w:rPr>
          <w:sz w:val="26"/>
          <w:szCs w:val="26"/>
        </w:rPr>
        <w:t>d</w:t>
      </w:r>
      <w:r w:rsidRPr="009252EF">
        <w:rPr>
          <w:sz w:val="26"/>
          <w:szCs w:val="26"/>
        </w:rPr>
        <w:t xml:space="preserve"> that the non-discrimination provisions of Section</w:t>
      </w:r>
      <w:r w:rsidR="008457E7">
        <w:rPr>
          <w:sz w:val="26"/>
          <w:szCs w:val="26"/>
        </w:rPr>
        <w:t>s</w:t>
      </w:r>
      <w:r w:rsidRPr="009252EF">
        <w:rPr>
          <w:sz w:val="26"/>
          <w:szCs w:val="26"/>
        </w:rPr>
        <w:t xml:space="preserve"> 1502 and 2203(4) of the Code, 66 Pa. C.S. </w:t>
      </w:r>
      <w:r w:rsidR="008457E7">
        <w:rPr>
          <w:sz w:val="26"/>
          <w:szCs w:val="26"/>
        </w:rPr>
        <w:t xml:space="preserve">§§ </w:t>
      </w:r>
      <w:r w:rsidRPr="009252EF">
        <w:rPr>
          <w:sz w:val="26"/>
          <w:szCs w:val="26"/>
        </w:rPr>
        <w:t>1502</w:t>
      </w:r>
      <w:r w:rsidR="008457E7">
        <w:rPr>
          <w:sz w:val="26"/>
          <w:szCs w:val="26"/>
        </w:rPr>
        <w:t>,</w:t>
      </w:r>
      <w:r w:rsidRPr="009252EF">
        <w:rPr>
          <w:sz w:val="26"/>
          <w:szCs w:val="26"/>
        </w:rPr>
        <w:t xml:space="preserve"> 2203(4), do not apply to functions that are not utility service based on the Commonwealth Court’s holding in </w:t>
      </w:r>
      <w:r w:rsidRPr="009252EF">
        <w:rPr>
          <w:i/>
          <w:sz w:val="26"/>
          <w:szCs w:val="26"/>
        </w:rPr>
        <w:t>PPL Electric Utilities Corp. v. Pa. PUC</w:t>
      </w:r>
      <w:r w:rsidRPr="009252EF">
        <w:rPr>
          <w:sz w:val="26"/>
          <w:szCs w:val="26"/>
        </w:rPr>
        <w:t>, 912 A.2d 386 (</w:t>
      </w:r>
      <w:r w:rsidRPr="009252EF">
        <w:rPr>
          <w:i/>
          <w:sz w:val="26"/>
          <w:szCs w:val="26"/>
        </w:rPr>
        <w:t>Pa. Cmwlth.</w:t>
      </w:r>
      <w:r w:rsidRPr="009252EF">
        <w:rPr>
          <w:sz w:val="26"/>
          <w:szCs w:val="26"/>
        </w:rPr>
        <w:t xml:space="preserve"> 2006)</w:t>
      </w:r>
      <w:bookmarkEnd w:id="19"/>
      <w:r w:rsidR="00D14C28">
        <w:rPr>
          <w:sz w:val="26"/>
          <w:szCs w:val="26"/>
        </w:rPr>
        <w:t xml:space="preserve"> </w:t>
      </w:r>
      <w:r w:rsidR="00BC40E4">
        <w:rPr>
          <w:sz w:val="26"/>
          <w:szCs w:val="26"/>
        </w:rPr>
        <w:t>(</w:t>
      </w:r>
      <w:r w:rsidR="00BC40E4" w:rsidRPr="00BC40E4">
        <w:rPr>
          <w:i/>
          <w:sz w:val="26"/>
          <w:szCs w:val="26"/>
        </w:rPr>
        <w:t>PPL</w:t>
      </w:r>
      <w:r w:rsidR="00BC40E4">
        <w:rPr>
          <w:sz w:val="26"/>
          <w:szCs w:val="26"/>
        </w:rPr>
        <w:t>)</w:t>
      </w:r>
      <w:r w:rsidR="00D14C28">
        <w:rPr>
          <w:sz w:val="26"/>
          <w:szCs w:val="26"/>
        </w:rPr>
        <w:t xml:space="preserve">. </w:t>
      </w:r>
      <w:r w:rsidR="008457E7">
        <w:rPr>
          <w:sz w:val="26"/>
          <w:szCs w:val="26"/>
        </w:rPr>
        <w:t xml:space="preserve"> </w:t>
      </w:r>
      <w:r>
        <w:rPr>
          <w:sz w:val="26"/>
          <w:szCs w:val="26"/>
        </w:rPr>
        <w:t>Columbia M.B. at 11.</w:t>
      </w:r>
    </w:p>
    <w:p w14:paraId="52985479" w14:textId="77777777" w:rsidR="00305BC5" w:rsidRDefault="00305BC5" w:rsidP="002E6D96">
      <w:pPr>
        <w:widowControl/>
        <w:spacing w:line="360" w:lineRule="auto"/>
        <w:ind w:firstLine="1440"/>
        <w:rPr>
          <w:sz w:val="26"/>
          <w:szCs w:val="26"/>
        </w:rPr>
      </w:pPr>
    </w:p>
    <w:p w14:paraId="38ED8498" w14:textId="3C20927B" w:rsidR="00305BC5" w:rsidRPr="00A4298F" w:rsidRDefault="00305BC5" w:rsidP="002E6D96">
      <w:pPr>
        <w:widowControl/>
        <w:spacing w:line="360" w:lineRule="auto"/>
        <w:ind w:firstLine="1440"/>
        <w:rPr>
          <w:sz w:val="26"/>
          <w:szCs w:val="26"/>
        </w:rPr>
      </w:pPr>
      <w:r w:rsidRPr="00A4298F">
        <w:rPr>
          <w:sz w:val="26"/>
          <w:szCs w:val="26"/>
        </w:rPr>
        <w:t xml:space="preserve">Columbia </w:t>
      </w:r>
      <w:r>
        <w:rPr>
          <w:sz w:val="26"/>
          <w:szCs w:val="26"/>
        </w:rPr>
        <w:t xml:space="preserve">reasoned that the holding in </w:t>
      </w:r>
      <w:r w:rsidRPr="009252EF">
        <w:rPr>
          <w:i/>
          <w:sz w:val="26"/>
          <w:szCs w:val="26"/>
        </w:rPr>
        <w:t xml:space="preserve">PPL Electric Utilities Corp. v. Pa. </w:t>
      </w:r>
      <w:r w:rsidR="00286E8B">
        <w:rPr>
          <w:i/>
          <w:sz w:val="26"/>
          <w:szCs w:val="26"/>
        </w:rPr>
        <w:t xml:space="preserve">PUC, </w:t>
      </w:r>
      <w:r w:rsidRPr="00A4298F">
        <w:rPr>
          <w:sz w:val="26"/>
          <w:szCs w:val="26"/>
        </w:rPr>
        <w:t>required the conclusion that</w:t>
      </w:r>
      <w:r>
        <w:rPr>
          <w:sz w:val="26"/>
          <w:szCs w:val="26"/>
        </w:rPr>
        <w:t xml:space="preserve"> </w:t>
      </w:r>
      <w:r w:rsidRPr="00A4298F">
        <w:rPr>
          <w:sz w:val="26"/>
          <w:szCs w:val="26"/>
        </w:rPr>
        <w:t xml:space="preserve">because the </w:t>
      </w:r>
      <w:r>
        <w:rPr>
          <w:sz w:val="26"/>
          <w:szCs w:val="26"/>
        </w:rPr>
        <w:t xml:space="preserve">“on bill” </w:t>
      </w:r>
      <w:r w:rsidRPr="00A4298F">
        <w:rPr>
          <w:sz w:val="26"/>
          <w:szCs w:val="26"/>
        </w:rPr>
        <w:t xml:space="preserve">billing practice at issue </w:t>
      </w:r>
      <w:r>
        <w:rPr>
          <w:sz w:val="26"/>
          <w:szCs w:val="26"/>
        </w:rPr>
        <w:t xml:space="preserve">pertains to </w:t>
      </w:r>
      <w:r w:rsidRPr="00A4298F">
        <w:rPr>
          <w:sz w:val="26"/>
          <w:szCs w:val="26"/>
        </w:rPr>
        <w:t>non-commodity goods and service</w:t>
      </w:r>
      <w:r>
        <w:rPr>
          <w:sz w:val="26"/>
          <w:szCs w:val="26"/>
        </w:rPr>
        <w:t xml:space="preserve"> which are not utility service</w:t>
      </w:r>
      <w:r w:rsidRPr="00A4298F">
        <w:rPr>
          <w:sz w:val="26"/>
          <w:szCs w:val="26"/>
        </w:rPr>
        <w:t xml:space="preserve">, the Commission has no jurisdiction over the practice. </w:t>
      </w:r>
      <w:r w:rsidR="00D14C28">
        <w:rPr>
          <w:sz w:val="26"/>
          <w:szCs w:val="26"/>
        </w:rPr>
        <w:t xml:space="preserve"> </w:t>
      </w:r>
      <w:r>
        <w:rPr>
          <w:sz w:val="26"/>
          <w:szCs w:val="26"/>
        </w:rPr>
        <w:t>Columbia M.B. at</w:t>
      </w:r>
      <w:r w:rsidRPr="00A4298F">
        <w:rPr>
          <w:sz w:val="26"/>
          <w:szCs w:val="26"/>
        </w:rPr>
        <w:t xml:space="preserve"> 11-13.</w:t>
      </w:r>
    </w:p>
    <w:p w14:paraId="0B047E82" w14:textId="77777777" w:rsidR="00305BC5" w:rsidRPr="00A4298F" w:rsidRDefault="00305BC5" w:rsidP="002E6D96">
      <w:pPr>
        <w:widowControl/>
        <w:spacing w:line="360" w:lineRule="auto"/>
        <w:ind w:firstLine="1440"/>
        <w:rPr>
          <w:sz w:val="26"/>
          <w:szCs w:val="26"/>
        </w:rPr>
      </w:pPr>
    </w:p>
    <w:p w14:paraId="4675F90C" w14:textId="75B7FCB0" w:rsidR="00305BC5" w:rsidRPr="00A4298F" w:rsidRDefault="00305BC5" w:rsidP="002E6D96">
      <w:pPr>
        <w:widowControl/>
        <w:spacing w:line="360" w:lineRule="auto"/>
        <w:ind w:firstLine="1440"/>
        <w:rPr>
          <w:sz w:val="26"/>
          <w:szCs w:val="26"/>
        </w:rPr>
      </w:pPr>
      <w:r w:rsidRPr="00A4298F">
        <w:rPr>
          <w:sz w:val="26"/>
          <w:szCs w:val="26"/>
        </w:rPr>
        <w:t xml:space="preserve">Columbia also reasoned that because neither the Code nor the Commission’s regulations </w:t>
      </w:r>
      <w:r w:rsidRPr="008B2F8B">
        <w:rPr>
          <w:i/>
          <w:sz w:val="26"/>
          <w:szCs w:val="26"/>
        </w:rPr>
        <w:t>expressly</w:t>
      </w:r>
      <w:r w:rsidRPr="00A4298F">
        <w:rPr>
          <w:sz w:val="26"/>
          <w:szCs w:val="26"/>
        </w:rPr>
        <w:t xml:space="preserve"> </w:t>
      </w:r>
      <w:r>
        <w:rPr>
          <w:sz w:val="26"/>
          <w:szCs w:val="26"/>
        </w:rPr>
        <w:t xml:space="preserve">state a requirement that </w:t>
      </w:r>
      <w:r w:rsidRPr="00A4298F">
        <w:rPr>
          <w:sz w:val="26"/>
          <w:szCs w:val="26"/>
        </w:rPr>
        <w:t>Columbia bill for non-commodity products and services</w:t>
      </w:r>
      <w:r>
        <w:rPr>
          <w:sz w:val="26"/>
          <w:szCs w:val="26"/>
        </w:rPr>
        <w:t xml:space="preserve"> provided by third parties</w:t>
      </w:r>
      <w:r w:rsidRPr="00A4298F">
        <w:rPr>
          <w:sz w:val="26"/>
          <w:szCs w:val="26"/>
        </w:rPr>
        <w:t xml:space="preserve">, as requested by the NGS Parties, Columbia is under no obligation to do so. </w:t>
      </w:r>
      <w:r w:rsidR="005D1A72">
        <w:rPr>
          <w:sz w:val="26"/>
          <w:szCs w:val="26"/>
        </w:rPr>
        <w:t xml:space="preserve"> </w:t>
      </w:r>
      <w:r w:rsidRPr="00A4298F">
        <w:rPr>
          <w:sz w:val="26"/>
          <w:szCs w:val="26"/>
        </w:rPr>
        <w:t xml:space="preserve">Columbia M.B. at 9.  As an example, </w:t>
      </w:r>
      <w:r w:rsidRPr="00A4298F">
        <w:rPr>
          <w:sz w:val="26"/>
          <w:szCs w:val="26"/>
        </w:rPr>
        <w:lastRenderedPageBreak/>
        <w:t xml:space="preserve">Columbia </w:t>
      </w:r>
      <w:r>
        <w:rPr>
          <w:sz w:val="26"/>
          <w:szCs w:val="26"/>
        </w:rPr>
        <w:t xml:space="preserve">noted </w:t>
      </w:r>
      <w:r w:rsidR="005D1A72">
        <w:rPr>
          <w:sz w:val="26"/>
          <w:szCs w:val="26"/>
        </w:rPr>
        <w:t xml:space="preserve">that </w:t>
      </w:r>
      <w:r w:rsidRPr="00A4298F">
        <w:rPr>
          <w:sz w:val="26"/>
          <w:szCs w:val="26"/>
        </w:rPr>
        <w:t xml:space="preserve">Commission regulations </w:t>
      </w:r>
      <w:r>
        <w:rPr>
          <w:sz w:val="26"/>
          <w:szCs w:val="26"/>
        </w:rPr>
        <w:t xml:space="preserve">expressly </w:t>
      </w:r>
      <w:r w:rsidRPr="00A4298F">
        <w:rPr>
          <w:sz w:val="26"/>
          <w:szCs w:val="26"/>
        </w:rPr>
        <w:t xml:space="preserve">state </w:t>
      </w:r>
      <w:r w:rsidR="005D1A72">
        <w:rPr>
          <w:sz w:val="26"/>
          <w:szCs w:val="26"/>
        </w:rPr>
        <w:t xml:space="preserve">that </w:t>
      </w:r>
      <w:r w:rsidRPr="00A4298F">
        <w:rPr>
          <w:sz w:val="26"/>
          <w:szCs w:val="26"/>
        </w:rPr>
        <w:t xml:space="preserve">a distribution company’s bill </w:t>
      </w:r>
      <w:r w:rsidRPr="00A4298F">
        <w:rPr>
          <w:i/>
          <w:sz w:val="26"/>
          <w:szCs w:val="26"/>
        </w:rPr>
        <w:t>may</w:t>
      </w:r>
      <w:r w:rsidRPr="00A4298F">
        <w:rPr>
          <w:sz w:val="26"/>
          <w:szCs w:val="26"/>
        </w:rPr>
        <w:t xml:space="preserve"> include charges for non-commodity products and services offered by third </w:t>
      </w:r>
      <w:r w:rsidR="00302253" w:rsidRPr="00A4298F">
        <w:rPr>
          <w:sz w:val="26"/>
          <w:szCs w:val="26"/>
        </w:rPr>
        <w:t>parties</w:t>
      </w:r>
      <w:r w:rsidR="00302253">
        <w:rPr>
          <w:sz w:val="26"/>
          <w:szCs w:val="26"/>
        </w:rPr>
        <w:t xml:space="preserve"> but</w:t>
      </w:r>
      <w:r w:rsidRPr="00A4298F">
        <w:rPr>
          <w:sz w:val="26"/>
          <w:szCs w:val="26"/>
        </w:rPr>
        <w:t xml:space="preserve"> including these charges on the utility bill is not </w:t>
      </w:r>
      <w:r>
        <w:rPr>
          <w:sz w:val="26"/>
          <w:szCs w:val="26"/>
        </w:rPr>
        <w:t xml:space="preserve">expressly </w:t>
      </w:r>
      <w:r w:rsidRPr="00A4298F">
        <w:rPr>
          <w:i/>
          <w:sz w:val="26"/>
          <w:szCs w:val="26"/>
        </w:rPr>
        <w:t xml:space="preserve">required </w:t>
      </w:r>
      <w:r w:rsidRPr="00A4298F">
        <w:rPr>
          <w:sz w:val="26"/>
          <w:szCs w:val="26"/>
        </w:rPr>
        <w:t xml:space="preserve">by regulation. </w:t>
      </w:r>
      <w:r w:rsidR="005D1A72">
        <w:rPr>
          <w:sz w:val="26"/>
          <w:szCs w:val="26"/>
        </w:rPr>
        <w:t xml:space="preserve"> </w:t>
      </w:r>
      <w:r w:rsidR="004B76E9" w:rsidRPr="00A4298F">
        <w:rPr>
          <w:sz w:val="26"/>
          <w:szCs w:val="26"/>
        </w:rPr>
        <w:t>Columbia M.B. at</w:t>
      </w:r>
      <w:r w:rsidR="004B76E9">
        <w:rPr>
          <w:sz w:val="26"/>
          <w:szCs w:val="26"/>
        </w:rPr>
        <w:t xml:space="preserve"> 9, </w:t>
      </w:r>
      <w:r w:rsidR="004B76E9">
        <w:rPr>
          <w:i/>
          <w:sz w:val="26"/>
          <w:szCs w:val="26"/>
        </w:rPr>
        <w:t>ci</w:t>
      </w:r>
      <w:r w:rsidRPr="00A4298F">
        <w:rPr>
          <w:i/>
          <w:sz w:val="26"/>
          <w:szCs w:val="26"/>
        </w:rPr>
        <w:t>ting</w:t>
      </w:r>
      <w:r w:rsidRPr="00A4298F">
        <w:rPr>
          <w:sz w:val="26"/>
          <w:szCs w:val="26"/>
        </w:rPr>
        <w:t xml:space="preserve"> 52 Pa.</w:t>
      </w:r>
      <w:r w:rsidR="005D1A72">
        <w:rPr>
          <w:sz w:val="26"/>
          <w:szCs w:val="26"/>
        </w:rPr>
        <w:t xml:space="preserve"> </w:t>
      </w:r>
      <w:r w:rsidRPr="00A4298F">
        <w:rPr>
          <w:sz w:val="26"/>
          <w:szCs w:val="26"/>
        </w:rPr>
        <w:t>Code § 56.13.</w:t>
      </w:r>
    </w:p>
    <w:p w14:paraId="36E02790" w14:textId="77777777" w:rsidR="00305BC5" w:rsidRPr="00A4298F" w:rsidRDefault="00305BC5" w:rsidP="002E6D96">
      <w:pPr>
        <w:widowControl/>
        <w:spacing w:line="360" w:lineRule="auto"/>
        <w:ind w:firstLine="1440"/>
        <w:rPr>
          <w:sz w:val="26"/>
          <w:szCs w:val="26"/>
        </w:rPr>
      </w:pPr>
    </w:p>
    <w:p w14:paraId="505A8FDC" w14:textId="483CD78C" w:rsidR="00305BC5" w:rsidRPr="00A4298F" w:rsidRDefault="00305BC5" w:rsidP="002E6D96">
      <w:pPr>
        <w:widowControl/>
        <w:spacing w:line="360" w:lineRule="auto"/>
        <w:ind w:firstLine="1440"/>
        <w:rPr>
          <w:sz w:val="26"/>
          <w:szCs w:val="26"/>
        </w:rPr>
      </w:pPr>
      <w:r w:rsidRPr="00A4298F">
        <w:rPr>
          <w:sz w:val="26"/>
          <w:szCs w:val="26"/>
        </w:rPr>
        <w:t xml:space="preserve">Columbia asserted that “on bill” billing for non-commodity services of third parties is limited only by Commission oversight of </w:t>
      </w:r>
      <w:r w:rsidR="004B76E9">
        <w:rPr>
          <w:sz w:val="26"/>
          <w:szCs w:val="26"/>
        </w:rPr>
        <w:t>its</w:t>
      </w:r>
      <w:r w:rsidRPr="00A4298F">
        <w:rPr>
          <w:sz w:val="26"/>
          <w:szCs w:val="26"/>
        </w:rPr>
        <w:t xml:space="preserve"> regulations for billing and prohibition on termination for nonpayment of non-basic charges, as set forth in 52 Pa.</w:t>
      </w:r>
      <w:r w:rsidR="00286E8B">
        <w:rPr>
          <w:sz w:val="26"/>
          <w:szCs w:val="26"/>
        </w:rPr>
        <w:t xml:space="preserve"> </w:t>
      </w:r>
      <w:r w:rsidRPr="00A4298F">
        <w:rPr>
          <w:sz w:val="26"/>
          <w:szCs w:val="26"/>
        </w:rPr>
        <w:t xml:space="preserve">Code §§ 56.13 and 56.83. </w:t>
      </w:r>
      <w:r w:rsidR="004B76E9">
        <w:rPr>
          <w:sz w:val="26"/>
          <w:szCs w:val="26"/>
        </w:rPr>
        <w:t xml:space="preserve"> </w:t>
      </w:r>
      <w:r w:rsidRPr="00A4298F">
        <w:rPr>
          <w:sz w:val="26"/>
          <w:szCs w:val="26"/>
        </w:rPr>
        <w:t xml:space="preserve">Columbia M.B. </w:t>
      </w:r>
      <w:r>
        <w:rPr>
          <w:sz w:val="26"/>
          <w:szCs w:val="26"/>
        </w:rPr>
        <w:t xml:space="preserve">at </w:t>
      </w:r>
      <w:r w:rsidRPr="00A4298F">
        <w:rPr>
          <w:sz w:val="26"/>
          <w:szCs w:val="26"/>
        </w:rPr>
        <w:t>9.</w:t>
      </w:r>
    </w:p>
    <w:p w14:paraId="3D4DCEE0" w14:textId="77777777" w:rsidR="00305BC5" w:rsidRPr="00A4298F" w:rsidRDefault="00305BC5" w:rsidP="002E6D96">
      <w:pPr>
        <w:widowControl/>
        <w:spacing w:line="360" w:lineRule="auto"/>
        <w:ind w:firstLine="1440"/>
        <w:rPr>
          <w:sz w:val="26"/>
          <w:szCs w:val="26"/>
        </w:rPr>
      </w:pPr>
    </w:p>
    <w:p w14:paraId="6D064D0D" w14:textId="6125F9D0" w:rsidR="00305BC5" w:rsidRPr="00A4298F" w:rsidRDefault="00305BC5" w:rsidP="002E6D96">
      <w:pPr>
        <w:widowControl/>
        <w:spacing w:line="360" w:lineRule="auto"/>
        <w:ind w:firstLine="1440"/>
        <w:rPr>
          <w:sz w:val="26"/>
          <w:szCs w:val="26"/>
        </w:rPr>
      </w:pPr>
      <w:r w:rsidRPr="00A4298F">
        <w:rPr>
          <w:sz w:val="26"/>
          <w:szCs w:val="26"/>
        </w:rPr>
        <w:t>Columbia acknowledged it is required to bill for natural gas supply service provided by NGSs in accordance with 66 Pa.C.S. § 2205(c).  However, Columbia argued again that</w:t>
      </w:r>
      <w:r>
        <w:rPr>
          <w:sz w:val="26"/>
          <w:szCs w:val="26"/>
        </w:rPr>
        <w:t xml:space="preserve">, </w:t>
      </w:r>
      <w:r w:rsidRPr="00A4298F">
        <w:rPr>
          <w:sz w:val="26"/>
          <w:szCs w:val="26"/>
        </w:rPr>
        <w:t xml:space="preserve">in the absence of an </w:t>
      </w:r>
      <w:r w:rsidRPr="001105FD">
        <w:rPr>
          <w:i/>
          <w:sz w:val="26"/>
          <w:szCs w:val="26"/>
        </w:rPr>
        <w:t>expressly stated requirement</w:t>
      </w:r>
      <w:r w:rsidRPr="00A4298F">
        <w:rPr>
          <w:sz w:val="26"/>
          <w:szCs w:val="26"/>
        </w:rPr>
        <w:t xml:space="preserve"> to do so, Columbia is not required to bill for non-commodity products and services that NGSs offer. </w:t>
      </w:r>
      <w:r w:rsidR="004B76E9">
        <w:rPr>
          <w:sz w:val="26"/>
          <w:szCs w:val="26"/>
        </w:rPr>
        <w:t xml:space="preserve"> </w:t>
      </w:r>
      <w:r w:rsidRPr="00A4298F">
        <w:rPr>
          <w:sz w:val="26"/>
          <w:szCs w:val="26"/>
        </w:rPr>
        <w:t xml:space="preserve">Columbia M.B. </w:t>
      </w:r>
      <w:r>
        <w:rPr>
          <w:sz w:val="26"/>
          <w:szCs w:val="26"/>
        </w:rPr>
        <w:t xml:space="preserve">at </w:t>
      </w:r>
      <w:r w:rsidRPr="00A4298F">
        <w:rPr>
          <w:sz w:val="26"/>
          <w:szCs w:val="26"/>
        </w:rPr>
        <w:t>9.</w:t>
      </w:r>
    </w:p>
    <w:p w14:paraId="25C6D839" w14:textId="77777777" w:rsidR="00305BC5" w:rsidRPr="00A4298F" w:rsidRDefault="00305BC5" w:rsidP="002E6D96">
      <w:pPr>
        <w:widowControl/>
        <w:spacing w:line="360" w:lineRule="auto"/>
        <w:ind w:firstLine="1440"/>
        <w:rPr>
          <w:sz w:val="26"/>
          <w:szCs w:val="26"/>
        </w:rPr>
      </w:pPr>
    </w:p>
    <w:p w14:paraId="5861B6C8" w14:textId="690DC29B" w:rsidR="00305BC5" w:rsidRDefault="00305BC5" w:rsidP="002E6D96">
      <w:pPr>
        <w:widowControl/>
        <w:spacing w:line="360" w:lineRule="auto"/>
        <w:ind w:firstLine="1440"/>
        <w:rPr>
          <w:sz w:val="26"/>
          <w:szCs w:val="26"/>
        </w:rPr>
      </w:pPr>
      <w:r w:rsidRPr="00A4298F">
        <w:rPr>
          <w:sz w:val="26"/>
          <w:szCs w:val="26"/>
        </w:rPr>
        <w:t>Columbia argue</w:t>
      </w:r>
      <w:r>
        <w:rPr>
          <w:sz w:val="26"/>
          <w:szCs w:val="26"/>
        </w:rPr>
        <w:t>d</w:t>
      </w:r>
      <w:r w:rsidRPr="00A4298F">
        <w:rPr>
          <w:sz w:val="26"/>
          <w:szCs w:val="26"/>
        </w:rPr>
        <w:t xml:space="preserve"> </w:t>
      </w:r>
      <w:r>
        <w:rPr>
          <w:sz w:val="26"/>
          <w:szCs w:val="26"/>
        </w:rPr>
        <w:t xml:space="preserve">that </w:t>
      </w:r>
      <w:r w:rsidRPr="00A4298F">
        <w:rPr>
          <w:sz w:val="26"/>
          <w:szCs w:val="26"/>
        </w:rPr>
        <w:t xml:space="preserve">the NGS Parties’ </w:t>
      </w:r>
      <w:r>
        <w:rPr>
          <w:sz w:val="26"/>
          <w:szCs w:val="26"/>
        </w:rPr>
        <w:t xml:space="preserve">assertion </w:t>
      </w:r>
      <w:r w:rsidRPr="00A4298F">
        <w:rPr>
          <w:sz w:val="26"/>
          <w:szCs w:val="26"/>
        </w:rPr>
        <w:t>that Columbia</w:t>
      </w:r>
      <w:r>
        <w:rPr>
          <w:sz w:val="26"/>
          <w:szCs w:val="26"/>
        </w:rPr>
        <w:t xml:space="preserve">’s billing practice </w:t>
      </w:r>
      <w:r w:rsidRPr="00A4298F">
        <w:rPr>
          <w:sz w:val="26"/>
          <w:szCs w:val="26"/>
        </w:rPr>
        <w:t>violate</w:t>
      </w:r>
      <w:r>
        <w:rPr>
          <w:sz w:val="26"/>
          <w:szCs w:val="26"/>
        </w:rPr>
        <w:t>s</w:t>
      </w:r>
      <w:r w:rsidRPr="00A4298F">
        <w:rPr>
          <w:sz w:val="26"/>
          <w:szCs w:val="26"/>
        </w:rPr>
        <w:t xml:space="preserve"> </w:t>
      </w:r>
      <w:r w:rsidR="005C5262">
        <w:rPr>
          <w:sz w:val="26"/>
          <w:szCs w:val="26"/>
        </w:rPr>
        <w:t>Section</w:t>
      </w:r>
      <w:r w:rsidRPr="00A4298F">
        <w:rPr>
          <w:sz w:val="26"/>
          <w:szCs w:val="26"/>
        </w:rPr>
        <w:t xml:space="preserve"> 2203(4) of the Code is similarly without merit.  </w:t>
      </w:r>
      <w:r w:rsidR="005C5262">
        <w:rPr>
          <w:sz w:val="26"/>
          <w:szCs w:val="26"/>
        </w:rPr>
        <w:t>N</w:t>
      </w:r>
      <w:r w:rsidRPr="00A4298F">
        <w:rPr>
          <w:sz w:val="26"/>
          <w:szCs w:val="26"/>
        </w:rPr>
        <w:t>GS Parties St. No. 2</w:t>
      </w:r>
      <w:r w:rsidR="005C5262">
        <w:rPr>
          <w:sz w:val="26"/>
          <w:szCs w:val="26"/>
        </w:rPr>
        <w:t xml:space="preserve"> at</w:t>
      </w:r>
      <w:r w:rsidRPr="00A4298F">
        <w:rPr>
          <w:sz w:val="26"/>
          <w:szCs w:val="26"/>
        </w:rPr>
        <w:t xml:space="preserve"> 5.  Columbia </w:t>
      </w:r>
      <w:r w:rsidR="005C5262">
        <w:rPr>
          <w:sz w:val="26"/>
          <w:szCs w:val="26"/>
        </w:rPr>
        <w:t xml:space="preserve">asserted </w:t>
      </w:r>
      <w:r w:rsidRPr="00A4298F">
        <w:rPr>
          <w:sz w:val="26"/>
          <w:szCs w:val="26"/>
        </w:rPr>
        <w:t xml:space="preserve">its decision to limit </w:t>
      </w:r>
      <w:r>
        <w:rPr>
          <w:sz w:val="26"/>
          <w:szCs w:val="26"/>
        </w:rPr>
        <w:t>“</w:t>
      </w:r>
      <w:r w:rsidRPr="00A4298F">
        <w:rPr>
          <w:sz w:val="26"/>
          <w:szCs w:val="26"/>
        </w:rPr>
        <w:t>on bill</w:t>
      </w:r>
      <w:r>
        <w:rPr>
          <w:sz w:val="26"/>
          <w:szCs w:val="26"/>
        </w:rPr>
        <w:t>”</w:t>
      </w:r>
      <w:r w:rsidRPr="00A4298F">
        <w:rPr>
          <w:sz w:val="26"/>
          <w:szCs w:val="26"/>
        </w:rPr>
        <w:t xml:space="preserve"> billing for non-commodity products to the two </w:t>
      </w:r>
      <w:r>
        <w:rPr>
          <w:sz w:val="26"/>
          <w:szCs w:val="26"/>
        </w:rPr>
        <w:t xml:space="preserve">former </w:t>
      </w:r>
      <w:r w:rsidRPr="00A4298F">
        <w:rPr>
          <w:sz w:val="26"/>
          <w:szCs w:val="26"/>
        </w:rPr>
        <w:t>affiliate</w:t>
      </w:r>
      <w:r>
        <w:rPr>
          <w:sz w:val="26"/>
          <w:szCs w:val="26"/>
        </w:rPr>
        <w:t>s</w:t>
      </w:r>
      <w:r w:rsidRPr="00A4298F">
        <w:rPr>
          <w:sz w:val="26"/>
          <w:szCs w:val="26"/>
        </w:rPr>
        <w:t xml:space="preserve"> </w:t>
      </w:r>
      <w:r>
        <w:rPr>
          <w:sz w:val="26"/>
          <w:szCs w:val="26"/>
        </w:rPr>
        <w:t xml:space="preserve">is not in </w:t>
      </w:r>
      <w:r w:rsidRPr="00A4298F">
        <w:rPr>
          <w:sz w:val="26"/>
          <w:szCs w:val="26"/>
        </w:rPr>
        <w:t>violat</w:t>
      </w:r>
      <w:r>
        <w:rPr>
          <w:sz w:val="26"/>
          <w:szCs w:val="26"/>
        </w:rPr>
        <w:t xml:space="preserve">ion of </w:t>
      </w:r>
      <w:r w:rsidRPr="00A4298F">
        <w:rPr>
          <w:sz w:val="26"/>
          <w:szCs w:val="26"/>
        </w:rPr>
        <w:t xml:space="preserve">the </w:t>
      </w:r>
      <w:r w:rsidRPr="00A4298F">
        <w:rPr>
          <w:i/>
          <w:sz w:val="26"/>
          <w:szCs w:val="26"/>
        </w:rPr>
        <w:t xml:space="preserve">Natural Gas Choice and Competition Act’s </w:t>
      </w:r>
      <w:r w:rsidRPr="00A4298F">
        <w:rPr>
          <w:sz w:val="26"/>
          <w:szCs w:val="26"/>
        </w:rPr>
        <w:t>non-discrimination provisions.</w:t>
      </w:r>
      <w:r>
        <w:rPr>
          <w:sz w:val="26"/>
          <w:szCs w:val="26"/>
        </w:rPr>
        <w:t xml:space="preserve"> </w:t>
      </w:r>
      <w:r w:rsidR="005C5262">
        <w:rPr>
          <w:sz w:val="26"/>
          <w:szCs w:val="26"/>
        </w:rPr>
        <w:t xml:space="preserve"> </w:t>
      </w:r>
      <w:r>
        <w:rPr>
          <w:sz w:val="26"/>
          <w:szCs w:val="26"/>
        </w:rPr>
        <w:t>Columbia M.B. at 12-13.</w:t>
      </w:r>
    </w:p>
    <w:p w14:paraId="37ADF9B6" w14:textId="77777777" w:rsidR="00305BC5" w:rsidRDefault="00305BC5" w:rsidP="002E6D96">
      <w:pPr>
        <w:widowControl/>
        <w:spacing w:line="360" w:lineRule="auto"/>
        <w:ind w:firstLine="1440"/>
        <w:rPr>
          <w:sz w:val="26"/>
          <w:szCs w:val="26"/>
        </w:rPr>
      </w:pPr>
    </w:p>
    <w:p w14:paraId="285199E7" w14:textId="140D0075" w:rsidR="00305BC5" w:rsidRPr="00A4298F" w:rsidRDefault="00305BC5" w:rsidP="002E6D96">
      <w:pPr>
        <w:widowControl/>
        <w:spacing w:line="360" w:lineRule="auto"/>
        <w:ind w:firstLine="1440"/>
        <w:rPr>
          <w:sz w:val="26"/>
          <w:szCs w:val="26"/>
        </w:rPr>
      </w:pPr>
      <w:r w:rsidRPr="00A4298F">
        <w:rPr>
          <w:sz w:val="26"/>
          <w:szCs w:val="26"/>
        </w:rPr>
        <w:t xml:space="preserve">Columbia </w:t>
      </w:r>
      <w:r>
        <w:rPr>
          <w:sz w:val="26"/>
          <w:szCs w:val="26"/>
        </w:rPr>
        <w:t xml:space="preserve">reasoned that </w:t>
      </w:r>
      <w:r w:rsidRPr="00A4298F">
        <w:rPr>
          <w:sz w:val="26"/>
          <w:szCs w:val="26"/>
        </w:rPr>
        <w:t>different treatment between an NGS</w:t>
      </w:r>
      <w:r w:rsidR="005C5262">
        <w:rPr>
          <w:sz w:val="26"/>
          <w:szCs w:val="26"/>
        </w:rPr>
        <w:t xml:space="preserve"> </w:t>
      </w:r>
      <w:r w:rsidR="00926584">
        <w:rPr>
          <w:sz w:val="26"/>
          <w:szCs w:val="26"/>
        </w:rPr>
        <w:t>entity</w:t>
      </w:r>
      <w:r w:rsidRPr="00A4298F">
        <w:rPr>
          <w:sz w:val="26"/>
          <w:szCs w:val="26"/>
        </w:rPr>
        <w:t xml:space="preserve"> and another non-affiliated entity with respect to non-utility products and services</w:t>
      </w:r>
      <w:r>
        <w:rPr>
          <w:sz w:val="26"/>
          <w:szCs w:val="26"/>
        </w:rPr>
        <w:t xml:space="preserve"> is not prohibited</w:t>
      </w:r>
      <w:r w:rsidRPr="00A4298F">
        <w:rPr>
          <w:sz w:val="26"/>
          <w:szCs w:val="26"/>
        </w:rPr>
        <w:t>.  Columbia assert</w:t>
      </w:r>
      <w:r>
        <w:rPr>
          <w:sz w:val="26"/>
          <w:szCs w:val="26"/>
        </w:rPr>
        <w:t>ed</w:t>
      </w:r>
      <w:r w:rsidR="00926584">
        <w:rPr>
          <w:sz w:val="26"/>
          <w:szCs w:val="26"/>
        </w:rPr>
        <w:t xml:space="preserve"> that</w:t>
      </w:r>
      <w:r>
        <w:rPr>
          <w:sz w:val="26"/>
          <w:szCs w:val="26"/>
        </w:rPr>
        <w:t xml:space="preserve"> because the </w:t>
      </w:r>
      <w:r w:rsidRPr="00A4298F">
        <w:rPr>
          <w:sz w:val="26"/>
          <w:szCs w:val="26"/>
        </w:rPr>
        <w:t xml:space="preserve">two entities authorized to include charges for non-commodity services on Columbia’s bill are not </w:t>
      </w:r>
      <w:r>
        <w:rPr>
          <w:sz w:val="26"/>
          <w:szCs w:val="26"/>
        </w:rPr>
        <w:t>“</w:t>
      </w:r>
      <w:r w:rsidRPr="00A4298F">
        <w:rPr>
          <w:sz w:val="26"/>
          <w:szCs w:val="26"/>
        </w:rPr>
        <w:t>NGSs</w:t>
      </w:r>
      <w:r>
        <w:rPr>
          <w:sz w:val="26"/>
          <w:szCs w:val="26"/>
        </w:rPr>
        <w:t>”</w:t>
      </w:r>
      <w:r w:rsidRPr="00A4298F">
        <w:rPr>
          <w:sz w:val="26"/>
          <w:szCs w:val="26"/>
        </w:rPr>
        <w:t xml:space="preserve"> and do not offer </w:t>
      </w:r>
      <w:r>
        <w:rPr>
          <w:sz w:val="26"/>
          <w:szCs w:val="26"/>
        </w:rPr>
        <w:t>“</w:t>
      </w:r>
      <w:r w:rsidRPr="00A4298F">
        <w:rPr>
          <w:sz w:val="26"/>
          <w:szCs w:val="26"/>
        </w:rPr>
        <w:t>natural gas supply service” as those terms are defined in the Code, 66 Pa.C.S. § 2202</w:t>
      </w:r>
      <w:r>
        <w:rPr>
          <w:sz w:val="26"/>
          <w:szCs w:val="26"/>
        </w:rPr>
        <w:t xml:space="preserve">, </w:t>
      </w:r>
      <w:r w:rsidR="00926584">
        <w:rPr>
          <w:sz w:val="26"/>
          <w:szCs w:val="26"/>
        </w:rPr>
        <w:t>its</w:t>
      </w:r>
      <w:r>
        <w:rPr>
          <w:sz w:val="26"/>
          <w:szCs w:val="26"/>
        </w:rPr>
        <w:t xml:space="preserve"> </w:t>
      </w:r>
      <w:r w:rsidRPr="00A4298F">
        <w:rPr>
          <w:sz w:val="26"/>
          <w:szCs w:val="26"/>
        </w:rPr>
        <w:t xml:space="preserve">decision to limit </w:t>
      </w:r>
      <w:r w:rsidR="00926584">
        <w:rPr>
          <w:sz w:val="26"/>
          <w:szCs w:val="26"/>
        </w:rPr>
        <w:t>“</w:t>
      </w:r>
      <w:r w:rsidRPr="00A4298F">
        <w:rPr>
          <w:sz w:val="26"/>
          <w:szCs w:val="26"/>
        </w:rPr>
        <w:t>on bill</w:t>
      </w:r>
      <w:r w:rsidR="00926584">
        <w:rPr>
          <w:sz w:val="26"/>
          <w:szCs w:val="26"/>
        </w:rPr>
        <w:t>”</w:t>
      </w:r>
      <w:r w:rsidRPr="00A4298F">
        <w:rPr>
          <w:sz w:val="26"/>
          <w:szCs w:val="26"/>
        </w:rPr>
        <w:t xml:space="preserve"> billing </w:t>
      </w:r>
      <w:r w:rsidR="00C76507">
        <w:rPr>
          <w:sz w:val="26"/>
          <w:szCs w:val="26"/>
        </w:rPr>
        <w:t xml:space="preserve">to the two </w:t>
      </w:r>
      <w:r>
        <w:rPr>
          <w:sz w:val="26"/>
          <w:szCs w:val="26"/>
        </w:rPr>
        <w:t xml:space="preserve">former affiliates </w:t>
      </w:r>
      <w:r w:rsidRPr="00A4298F">
        <w:rPr>
          <w:sz w:val="26"/>
          <w:szCs w:val="26"/>
        </w:rPr>
        <w:t xml:space="preserve">does not favor one NGS over </w:t>
      </w:r>
      <w:r w:rsidRPr="00A4298F">
        <w:rPr>
          <w:sz w:val="26"/>
          <w:szCs w:val="26"/>
        </w:rPr>
        <w:lastRenderedPageBreak/>
        <w:t xml:space="preserve">another, does not favor an affiliate over an NGS, and is </w:t>
      </w:r>
      <w:r>
        <w:rPr>
          <w:sz w:val="26"/>
          <w:szCs w:val="26"/>
        </w:rPr>
        <w:t xml:space="preserve">therefore, not </w:t>
      </w:r>
      <w:r w:rsidRPr="00A4298F">
        <w:rPr>
          <w:sz w:val="26"/>
          <w:szCs w:val="26"/>
        </w:rPr>
        <w:t xml:space="preserve">discriminatory pursuant to the </w:t>
      </w:r>
      <w:r w:rsidRPr="00A4298F">
        <w:rPr>
          <w:i/>
          <w:sz w:val="26"/>
          <w:szCs w:val="26"/>
        </w:rPr>
        <w:t>Natural Gas Choice and Competition Act</w:t>
      </w:r>
      <w:r w:rsidRPr="00A4298F">
        <w:rPr>
          <w:sz w:val="26"/>
          <w:szCs w:val="26"/>
        </w:rPr>
        <w:t xml:space="preserve">. </w:t>
      </w:r>
      <w:r w:rsidR="00926584">
        <w:rPr>
          <w:sz w:val="26"/>
          <w:szCs w:val="26"/>
        </w:rPr>
        <w:t xml:space="preserve"> </w:t>
      </w:r>
      <w:r w:rsidRPr="00A4298F">
        <w:rPr>
          <w:sz w:val="26"/>
          <w:szCs w:val="26"/>
        </w:rPr>
        <w:t>Columbia M.B.</w:t>
      </w:r>
      <w:r w:rsidR="00926584">
        <w:rPr>
          <w:sz w:val="26"/>
          <w:szCs w:val="26"/>
        </w:rPr>
        <w:t xml:space="preserve"> at </w:t>
      </w:r>
      <w:r w:rsidRPr="00A4298F">
        <w:rPr>
          <w:sz w:val="26"/>
          <w:szCs w:val="26"/>
        </w:rPr>
        <w:t>12-13.</w:t>
      </w:r>
    </w:p>
    <w:p w14:paraId="5D8A0424" w14:textId="77777777" w:rsidR="00305BC5" w:rsidRPr="00A4298F" w:rsidRDefault="00305BC5" w:rsidP="002E6D96">
      <w:pPr>
        <w:widowControl/>
        <w:spacing w:line="360" w:lineRule="auto"/>
        <w:ind w:firstLine="1440"/>
        <w:rPr>
          <w:sz w:val="26"/>
          <w:szCs w:val="26"/>
        </w:rPr>
      </w:pPr>
    </w:p>
    <w:p w14:paraId="12CDAF06" w14:textId="51B3851C" w:rsidR="00305BC5" w:rsidRPr="00A4298F" w:rsidRDefault="00305BC5" w:rsidP="002E6D96">
      <w:pPr>
        <w:widowControl/>
        <w:spacing w:line="360" w:lineRule="auto"/>
        <w:ind w:firstLine="1440"/>
        <w:rPr>
          <w:sz w:val="26"/>
          <w:szCs w:val="26"/>
        </w:rPr>
      </w:pPr>
      <w:r w:rsidRPr="00A4298F">
        <w:rPr>
          <w:sz w:val="26"/>
          <w:szCs w:val="26"/>
        </w:rPr>
        <w:t>Columbia further assert</w:t>
      </w:r>
      <w:r>
        <w:rPr>
          <w:sz w:val="26"/>
          <w:szCs w:val="26"/>
        </w:rPr>
        <w:t xml:space="preserve">ed that </w:t>
      </w:r>
      <w:r w:rsidRPr="00A4298F">
        <w:rPr>
          <w:sz w:val="26"/>
          <w:szCs w:val="26"/>
        </w:rPr>
        <w:t xml:space="preserve">even if a discrimination standard were applied, discrimination must be unreasonable to constitute a violation of Section 1502.  </w:t>
      </w:r>
      <w:r>
        <w:rPr>
          <w:sz w:val="26"/>
          <w:szCs w:val="26"/>
        </w:rPr>
        <w:t>Columbia argues that because t</w:t>
      </w:r>
      <w:r w:rsidRPr="00A4298F">
        <w:rPr>
          <w:sz w:val="26"/>
          <w:szCs w:val="26"/>
        </w:rPr>
        <w:t>he Commission has held that some level of discrimination is allowable so long as it is not undu</w:t>
      </w:r>
      <w:r w:rsidR="00C76507">
        <w:rPr>
          <w:sz w:val="26"/>
          <w:szCs w:val="26"/>
        </w:rPr>
        <w:t>ly discriminatory</w:t>
      </w:r>
      <w:r>
        <w:rPr>
          <w:sz w:val="26"/>
          <w:szCs w:val="26"/>
        </w:rPr>
        <w:t>, Columbia could discriminate between its former affiliates and the NGS Parties, so long as the basis for the different treatment is reasonable</w:t>
      </w:r>
      <w:r w:rsidR="00C76507">
        <w:rPr>
          <w:sz w:val="26"/>
          <w:szCs w:val="26"/>
        </w:rPr>
        <w:t>.</w:t>
      </w:r>
      <w:r>
        <w:rPr>
          <w:sz w:val="26"/>
          <w:szCs w:val="26"/>
        </w:rPr>
        <w:t xml:space="preserve"> </w:t>
      </w:r>
      <w:r w:rsidR="00C76507">
        <w:rPr>
          <w:sz w:val="26"/>
          <w:szCs w:val="26"/>
        </w:rPr>
        <w:t xml:space="preserve"> </w:t>
      </w:r>
      <w:r w:rsidRPr="00A4298F">
        <w:rPr>
          <w:sz w:val="26"/>
          <w:szCs w:val="26"/>
        </w:rPr>
        <w:t xml:space="preserve">Columbia M.B. </w:t>
      </w:r>
      <w:r>
        <w:rPr>
          <w:sz w:val="26"/>
          <w:szCs w:val="26"/>
        </w:rPr>
        <w:t xml:space="preserve">at </w:t>
      </w:r>
      <w:r w:rsidRPr="00A4298F">
        <w:rPr>
          <w:sz w:val="26"/>
          <w:szCs w:val="26"/>
        </w:rPr>
        <w:t>13.</w:t>
      </w:r>
      <w:r>
        <w:rPr>
          <w:sz w:val="26"/>
          <w:szCs w:val="26"/>
        </w:rPr>
        <w:t xml:space="preserve">, citing, </w:t>
      </w:r>
      <w:r w:rsidRPr="00A4298F">
        <w:rPr>
          <w:i/>
          <w:sz w:val="26"/>
          <w:szCs w:val="26"/>
        </w:rPr>
        <w:t>Pa. Pub. Util. Comm’n v. Nat’l Fuel Gas Distribution Corp.</w:t>
      </w:r>
      <w:r w:rsidRPr="00A4298F">
        <w:rPr>
          <w:sz w:val="26"/>
          <w:szCs w:val="26"/>
        </w:rPr>
        <w:t xml:space="preserve">, 2000 Pa. PUC LEXIS 883, *13 (June 29, 2000) citing </w:t>
      </w:r>
      <w:r w:rsidRPr="00A4298F">
        <w:rPr>
          <w:i/>
          <w:sz w:val="26"/>
          <w:szCs w:val="26"/>
        </w:rPr>
        <w:t>United Natural Gas Co. v. Pa. Pub. Util. Comm’n</w:t>
      </w:r>
      <w:r w:rsidRPr="00A4298F">
        <w:rPr>
          <w:sz w:val="26"/>
          <w:szCs w:val="26"/>
        </w:rPr>
        <w:t>, 22 A.2d 752, 757 (Pa. Super. 1943).</w:t>
      </w:r>
    </w:p>
    <w:p w14:paraId="77C039C4" w14:textId="77777777" w:rsidR="00305BC5" w:rsidRPr="00A4298F" w:rsidRDefault="00305BC5" w:rsidP="002E6D96">
      <w:pPr>
        <w:widowControl/>
        <w:spacing w:line="360" w:lineRule="auto"/>
        <w:ind w:firstLine="1440"/>
        <w:rPr>
          <w:sz w:val="26"/>
          <w:szCs w:val="26"/>
        </w:rPr>
      </w:pPr>
    </w:p>
    <w:p w14:paraId="24750413" w14:textId="1D697838" w:rsidR="00305BC5" w:rsidRPr="00A4298F" w:rsidRDefault="00305BC5" w:rsidP="002E6D96">
      <w:pPr>
        <w:widowControl/>
        <w:spacing w:line="360" w:lineRule="auto"/>
        <w:ind w:firstLine="1440"/>
        <w:rPr>
          <w:sz w:val="26"/>
          <w:szCs w:val="26"/>
        </w:rPr>
      </w:pPr>
      <w:r>
        <w:rPr>
          <w:sz w:val="26"/>
          <w:szCs w:val="26"/>
        </w:rPr>
        <w:t xml:space="preserve">Finally, </w:t>
      </w:r>
      <w:r w:rsidRPr="00A4298F">
        <w:rPr>
          <w:sz w:val="26"/>
          <w:szCs w:val="26"/>
        </w:rPr>
        <w:t>Columbia argue</w:t>
      </w:r>
      <w:r>
        <w:rPr>
          <w:sz w:val="26"/>
          <w:szCs w:val="26"/>
        </w:rPr>
        <w:t xml:space="preserve">d that the factual distinctions between the NGS Parties and its former affiliates justify Columbia’s choice to offer “on bill” billing </w:t>
      </w:r>
      <w:r w:rsidR="005A6861">
        <w:rPr>
          <w:sz w:val="26"/>
          <w:szCs w:val="26"/>
        </w:rPr>
        <w:t xml:space="preserve">exclusively to its </w:t>
      </w:r>
      <w:r>
        <w:rPr>
          <w:sz w:val="26"/>
          <w:szCs w:val="26"/>
        </w:rPr>
        <w:t>former affiliates</w:t>
      </w:r>
      <w:r w:rsidR="005A6861">
        <w:rPr>
          <w:sz w:val="26"/>
          <w:szCs w:val="26"/>
        </w:rPr>
        <w:t>.</w:t>
      </w:r>
      <w:r>
        <w:rPr>
          <w:sz w:val="26"/>
          <w:szCs w:val="26"/>
        </w:rPr>
        <w:t xml:space="preserve"> </w:t>
      </w:r>
      <w:r w:rsidR="005A6861">
        <w:rPr>
          <w:sz w:val="26"/>
          <w:szCs w:val="26"/>
        </w:rPr>
        <w:t xml:space="preserve"> </w:t>
      </w:r>
      <w:r>
        <w:rPr>
          <w:sz w:val="26"/>
          <w:szCs w:val="26"/>
        </w:rPr>
        <w:t xml:space="preserve">Columbia noted its former affiliates are non-NGS entities offering </w:t>
      </w:r>
      <w:r w:rsidRPr="00A4298F">
        <w:rPr>
          <w:sz w:val="26"/>
          <w:szCs w:val="26"/>
        </w:rPr>
        <w:t xml:space="preserve">clearly defined non-commodity services, </w:t>
      </w:r>
      <w:r w:rsidRPr="00AA4FC4">
        <w:rPr>
          <w:i/>
          <w:sz w:val="26"/>
          <w:szCs w:val="26"/>
        </w:rPr>
        <w:t>i.e.</w:t>
      </w:r>
      <w:r w:rsidRPr="00A4298F">
        <w:rPr>
          <w:sz w:val="26"/>
          <w:szCs w:val="26"/>
        </w:rPr>
        <w:t xml:space="preserve"> service plans for customer</w:t>
      </w:r>
      <w:r>
        <w:rPr>
          <w:sz w:val="26"/>
          <w:szCs w:val="26"/>
        </w:rPr>
        <w:t>-</w:t>
      </w:r>
      <w:r w:rsidRPr="00A4298F">
        <w:rPr>
          <w:sz w:val="26"/>
          <w:szCs w:val="26"/>
        </w:rPr>
        <w:t>owned natural gas facilities, pursuant to legacy contracts.  Columbia St. No. 18-R</w:t>
      </w:r>
      <w:r w:rsidR="005A6861">
        <w:rPr>
          <w:sz w:val="26"/>
          <w:szCs w:val="26"/>
        </w:rPr>
        <w:t xml:space="preserve"> at</w:t>
      </w:r>
      <w:r w:rsidRPr="00A4298F">
        <w:rPr>
          <w:sz w:val="26"/>
          <w:szCs w:val="26"/>
        </w:rPr>
        <w:t xml:space="preserve"> 3.  </w:t>
      </w:r>
      <w:r w:rsidR="001279D4">
        <w:rPr>
          <w:sz w:val="26"/>
          <w:szCs w:val="26"/>
        </w:rPr>
        <w:t xml:space="preserve">Conversely, </w:t>
      </w:r>
      <w:r>
        <w:rPr>
          <w:sz w:val="26"/>
          <w:szCs w:val="26"/>
        </w:rPr>
        <w:t xml:space="preserve">the </w:t>
      </w:r>
      <w:r w:rsidRPr="00A4298F">
        <w:rPr>
          <w:sz w:val="26"/>
          <w:szCs w:val="26"/>
        </w:rPr>
        <w:t xml:space="preserve">NGS Parties </w:t>
      </w:r>
      <w:r>
        <w:rPr>
          <w:sz w:val="26"/>
          <w:szCs w:val="26"/>
        </w:rPr>
        <w:t xml:space="preserve">may </w:t>
      </w:r>
      <w:r w:rsidRPr="00A4298F">
        <w:rPr>
          <w:sz w:val="26"/>
          <w:szCs w:val="26"/>
        </w:rPr>
        <w:t xml:space="preserve">market products and services </w:t>
      </w:r>
      <w:r w:rsidR="00F04E3E" w:rsidRPr="00A4298F">
        <w:rPr>
          <w:sz w:val="26"/>
          <w:szCs w:val="26"/>
        </w:rPr>
        <w:t>unrelated to natural gas service</w:t>
      </w:r>
      <w:r w:rsidR="00F04E3E">
        <w:rPr>
          <w:sz w:val="26"/>
          <w:szCs w:val="26"/>
        </w:rPr>
        <w:t xml:space="preserve">, </w:t>
      </w:r>
      <w:r w:rsidR="00F04E3E" w:rsidRPr="00F04E3E">
        <w:rPr>
          <w:i/>
          <w:sz w:val="26"/>
          <w:szCs w:val="26"/>
        </w:rPr>
        <w:t>e.g.</w:t>
      </w:r>
      <w:r w:rsidR="00F04E3E">
        <w:rPr>
          <w:sz w:val="26"/>
          <w:szCs w:val="26"/>
        </w:rPr>
        <w:t xml:space="preserve">, </w:t>
      </w:r>
      <w:r w:rsidRPr="00A4298F">
        <w:rPr>
          <w:sz w:val="26"/>
          <w:szCs w:val="26"/>
        </w:rPr>
        <w:t>products bundled with loyalty rewards and</w:t>
      </w:r>
      <w:r w:rsidR="001279D4">
        <w:rPr>
          <w:sz w:val="26"/>
          <w:szCs w:val="26"/>
        </w:rPr>
        <w:t>/or</w:t>
      </w:r>
      <w:r w:rsidRPr="00A4298F">
        <w:rPr>
          <w:sz w:val="26"/>
          <w:szCs w:val="26"/>
        </w:rPr>
        <w:t xml:space="preserve"> </w:t>
      </w:r>
      <w:r w:rsidR="00F04E3E">
        <w:rPr>
          <w:sz w:val="26"/>
          <w:szCs w:val="26"/>
        </w:rPr>
        <w:t>h</w:t>
      </w:r>
      <w:r w:rsidRPr="00A4298F">
        <w:rPr>
          <w:sz w:val="26"/>
          <w:szCs w:val="26"/>
        </w:rPr>
        <w:t xml:space="preserve">ome protection </w:t>
      </w:r>
      <w:r>
        <w:rPr>
          <w:sz w:val="26"/>
          <w:szCs w:val="26"/>
        </w:rPr>
        <w:t xml:space="preserve">which Columbia alleged may be </w:t>
      </w:r>
      <w:r w:rsidRPr="00A4298F">
        <w:rPr>
          <w:sz w:val="26"/>
          <w:szCs w:val="26"/>
        </w:rPr>
        <w:t xml:space="preserve">detrimental to customers. </w:t>
      </w:r>
      <w:r w:rsidR="00F04E3E">
        <w:rPr>
          <w:sz w:val="26"/>
          <w:szCs w:val="26"/>
        </w:rPr>
        <w:t xml:space="preserve"> </w:t>
      </w:r>
      <w:r w:rsidRPr="00A4298F">
        <w:rPr>
          <w:sz w:val="26"/>
          <w:szCs w:val="26"/>
        </w:rPr>
        <w:t>NGS Parties St. No. 2</w:t>
      </w:r>
      <w:r w:rsidR="00F04E3E">
        <w:rPr>
          <w:sz w:val="26"/>
          <w:szCs w:val="26"/>
        </w:rPr>
        <w:t xml:space="preserve"> at</w:t>
      </w:r>
      <w:r w:rsidRPr="00A4298F">
        <w:rPr>
          <w:sz w:val="26"/>
          <w:szCs w:val="26"/>
        </w:rPr>
        <w:t xml:space="preserve"> 4.  </w:t>
      </w:r>
      <w:r>
        <w:rPr>
          <w:sz w:val="26"/>
          <w:szCs w:val="26"/>
        </w:rPr>
        <w:t>Columbia concluded it was free to choose to limit the provision of “</w:t>
      </w:r>
      <w:r w:rsidRPr="00A4298F">
        <w:rPr>
          <w:sz w:val="26"/>
          <w:szCs w:val="26"/>
        </w:rPr>
        <w:t>on bill</w:t>
      </w:r>
      <w:r>
        <w:rPr>
          <w:sz w:val="26"/>
          <w:szCs w:val="26"/>
        </w:rPr>
        <w:t>”</w:t>
      </w:r>
      <w:r w:rsidRPr="00A4298F">
        <w:rPr>
          <w:sz w:val="26"/>
          <w:szCs w:val="26"/>
        </w:rPr>
        <w:t xml:space="preserve"> billing </w:t>
      </w:r>
      <w:r>
        <w:rPr>
          <w:sz w:val="26"/>
          <w:szCs w:val="26"/>
        </w:rPr>
        <w:t>of non-commodity service to its</w:t>
      </w:r>
      <w:r w:rsidR="00DF5903">
        <w:rPr>
          <w:sz w:val="26"/>
          <w:szCs w:val="26"/>
        </w:rPr>
        <w:t xml:space="preserve"> </w:t>
      </w:r>
      <w:r>
        <w:rPr>
          <w:sz w:val="26"/>
          <w:szCs w:val="26"/>
        </w:rPr>
        <w:t xml:space="preserve">former affiliates, which Columbia argued, </w:t>
      </w:r>
      <w:r w:rsidRPr="00A4298F">
        <w:rPr>
          <w:sz w:val="26"/>
          <w:szCs w:val="26"/>
        </w:rPr>
        <w:t xml:space="preserve">does not rise to the level of unreasonable discrimination. </w:t>
      </w:r>
      <w:r w:rsidR="00DF5903">
        <w:rPr>
          <w:sz w:val="26"/>
          <w:szCs w:val="26"/>
        </w:rPr>
        <w:t xml:space="preserve"> </w:t>
      </w:r>
      <w:r w:rsidRPr="00A4298F">
        <w:rPr>
          <w:sz w:val="26"/>
          <w:szCs w:val="26"/>
        </w:rPr>
        <w:t xml:space="preserve">Columbia M.B. </w:t>
      </w:r>
      <w:r>
        <w:rPr>
          <w:sz w:val="26"/>
          <w:szCs w:val="26"/>
        </w:rPr>
        <w:t>at</w:t>
      </w:r>
      <w:r w:rsidRPr="00A4298F">
        <w:rPr>
          <w:sz w:val="26"/>
          <w:szCs w:val="26"/>
        </w:rPr>
        <w:t xml:space="preserve"> 14.</w:t>
      </w:r>
    </w:p>
    <w:p w14:paraId="382A07B9" w14:textId="77777777" w:rsidR="00305BC5" w:rsidRPr="00A4298F" w:rsidRDefault="00305BC5" w:rsidP="002E6D96">
      <w:pPr>
        <w:widowControl/>
        <w:spacing w:line="360" w:lineRule="auto"/>
        <w:ind w:firstLine="1440"/>
        <w:rPr>
          <w:sz w:val="26"/>
          <w:szCs w:val="26"/>
        </w:rPr>
      </w:pPr>
    </w:p>
    <w:p w14:paraId="3F770E3D" w14:textId="48D09FB8" w:rsidR="00305BC5" w:rsidRDefault="00305BC5" w:rsidP="002E6D96">
      <w:pPr>
        <w:widowControl/>
        <w:spacing w:line="360" w:lineRule="auto"/>
        <w:ind w:firstLine="1440"/>
        <w:rPr>
          <w:sz w:val="26"/>
          <w:szCs w:val="26"/>
        </w:rPr>
      </w:pPr>
      <w:r>
        <w:rPr>
          <w:sz w:val="26"/>
          <w:szCs w:val="26"/>
        </w:rPr>
        <w:t xml:space="preserve">The OCA </w:t>
      </w:r>
      <w:r w:rsidRPr="00A4298F">
        <w:rPr>
          <w:sz w:val="26"/>
          <w:szCs w:val="26"/>
        </w:rPr>
        <w:t xml:space="preserve">raised </w:t>
      </w:r>
      <w:r>
        <w:rPr>
          <w:sz w:val="26"/>
          <w:szCs w:val="26"/>
        </w:rPr>
        <w:t xml:space="preserve">consumer protection concerns regarding Columbia’s present practice of “on bill’ billing for non-commodity services offered by a third party. OCA M.B. at 7-8.  </w:t>
      </w:r>
      <w:r w:rsidR="00DF5903">
        <w:rPr>
          <w:sz w:val="26"/>
          <w:szCs w:val="26"/>
        </w:rPr>
        <w:t xml:space="preserve">The </w:t>
      </w:r>
      <w:r>
        <w:rPr>
          <w:sz w:val="26"/>
          <w:szCs w:val="26"/>
        </w:rPr>
        <w:t xml:space="preserve">OCA suggested that the practice required thorough review to ensure consumer protection concerns are adequately addressed.  </w:t>
      </w:r>
      <w:r w:rsidR="00DF5903">
        <w:rPr>
          <w:sz w:val="26"/>
          <w:szCs w:val="26"/>
        </w:rPr>
        <w:t xml:space="preserve">The </w:t>
      </w:r>
      <w:r>
        <w:rPr>
          <w:sz w:val="26"/>
          <w:szCs w:val="26"/>
        </w:rPr>
        <w:t xml:space="preserve">OCA argued against </w:t>
      </w:r>
      <w:r>
        <w:rPr>
          <w:sz w:val="26"/>
          <w:szCs w:val="26"/>
        </w:rPr>
        <w:lastRenderedPageBreak/>
        <w:t xml:space="preserve">the NGS Parties’ proposal to be permitted to engage in the same billing practice, while not opposing Columbia’s </w:t>
      </w:r>
      <w:r w:rsidRPr="00DF5903">
        <w:rPr>
          <w:i/>
          <w:sz w:val="26"/>
          <w:szCs w:val="26"/>
        </w:rPr>
        <w:t>status quo</w:t>
      </w:r>
      <w:r>
        <w:rPr>
          <w:sz w:val="26"/>
          <w:szCs w:val="26"/>
        </w:rPr>
        <w:t xml:space="preserve">. </w:t>
      </w:r>
      <w:r w:rsidRPr="00A4298F">
        <w:rPr>
          <w:sz w:val="26"/>
          <w:szCs w:val="26"/>
        </w:rPr>
        <w:t>OCA M.B.</w:t>
      </w:r>
      <w:r>
        <w:rPr>
          <w:sz w:val="26"/>
          <w:szCs w:val="26"/>
        </w:rPr>
        <w:t xml:space="preserve"> at </w:t>
      </w:r>
      <w:r w:rsidRPr="00A4298F">
        <w:rPr>
          <w:sz w:val="26"/>
          <w:szCs w:val="26"/>
        </w:rPr>
        <w:t>8-9</w:t>
      </w:r>
      <w:r w:rsidR="00DF5903">
        <w:rPr>
          <w:sz w:val="26"/>
          <w:szCs w:val="26"/>
        </w:rPr>
        <w:t>.</w:t>
      </w:r>
    </w:p>
    <w:p w14:paraId="5569FF51" w14:textId="77777777" w:rsidR="00305BC5" w:rsidRDefault="00305BC5" w:rsidP="002E6D96">
      <w:pPr>
        <w:widowControl/>
        <w:spacing w:line="360" w:lineRule="auto"/>
        <w:ind w:firstLine="1440"/>
        <w:rPr>
          <w:sz w:val="26"/>
          <w:szCs w:val="26"/>
        </w:rPr>
      </w:pPr>
    </w:p>
    <w:p w14:paraId="5E74B95D" w14:textId="7F107261" w:rsidR="00305BC5" w:rsidRDefault="00C17FFA" w:rsidP="002E6D96">
      <w:pPr>
        <w:widowControl/>
        <w:spacing w:line="360" w:lineRule="auto"/>
        <w:ind w:firstLine="1440"/>
        <w:rPr>
          <w:sz w:val="26"/>
          <w:szCs w:val="26"/>
        </w:rPr>
      </w:pPr>
      <w:r>
        <w:rPr>
          <w:sz w:val="26"/>
          <w:szCs w:val="26"/>
        </w:rPr>
        <w:t xml:space="preserve">The </w:t>
      </w:r>
      <w:r w:rsidRPr="00A4298F">
        <w:rPr>
          <w:sz w:val="26"/>
          <w:szCs w:val="26"/>
        </w:rPr>
        <w:t xml:space="preserve">OCA also </w:t>
      </w:r>
      <w:r>
        <w:rPr>
          <w:sz w:val="26"/>
          <w:szCs w:val="26"/>
        </w:rPr>
        <w:t xml:space="preserve">asserted that the record is deficient regarding the actual practice in place by Columbia and </w:t>
      </w:r>
      <w:r w:rsidRPr="00A4298F">
        <w:rPr>
          <w:sz w:val="26"/>
          <w:szCs w:val="26"/>
        </w:rPr>
        <w:t>questioned how the non-commodity services are marketed to Columbia’s customers.  OCA St. No. 5-R</w:t>
      </w:r>
      <w:r>
        <w:rPr>
          <w:sz w:val="26"/>
          <w:szCs w:val="26"/>
        </w:rPr>
        <w:t xml:space="preserve"> at</w:t>
      </w:r>
      <w:r w:rsidRPr="00A4298F">
        <w:rPr>
          <w:sz w:val="26"/>
          <w:szCs w:val="26"/>
        </w:rPr>
        <w:t xml:space="preserve"> 7.</w:t>
      </w:r>
      <w:r>
        <w:rPr>
          <w:sz w:val="26"/>
          <w:szCs w:val="26"/>
        </w:rPr>
        <w:t xml:space="preserve">  </w:t>
      </w:r>
      <w:r w:rsidR="00305BC5">
        <w:rPr>
          <w:sz w:val="26"/>
          <w:szCs w:val="26"/>
        </w:rPr>
        <w:t xml:space="preserve">Finally, </w:t>
      </w:r>
      <w:r w:rsidR="00DF5903">
        <w:rPr>
          <w:sz w:val="26"/>
          <w:szCs w:val="26"/>
        </w:rPr>
        <w:t xml:space="preserve">the </w:t>
      </w:r>
      <w:r w:rsidR="00305BC5" w:rsidRPr="00A4298F">
        <w:rPr>
          <w:sz w:val="26"/>
          <w:szCs w:val="26"/>
        </w:rPr>
        <w:t>OCA questioned whether Columbia has authority to</w:t>
      </w:r>
      <w:r w:rsidR="00586D34">
        <w:rPr>
          <w:sz w:val="26"/>
          <w:szCs w:val="26"/>
        </w:rPr>
        <w:t xml:space="preserve"> provide “on bill”</w:t>
      </w:r>
      <w:r w:rsidR="00305BC5" w:rsidRPr="00A4298F">
        <w:rPr>
          <w:sz w:val="26"/>
          <w:szCs w:val="26"/>
        </w:rPr>
        <w:t xml:space="preserve"> bill</w:t>
      </w:r>
      <w:r w:rsidR="00586D34">
        <w:rPr>
          <w:sz w:val="26"/>
          <w:szCs w:val="26"/>
        </w:rPr>
        <w:t xml:space="preserve">ing </w:t>
      </w:r>
      <w:r w:rsidR="00305BC5" w:rsidRPr="00A4298F">
        <w:rPr>
          <w:sz w:val="26"/>
          <w:szCs w:val="26"/>
        </w:rPr>
        <w:t>since the practice is not reflected in Columbia’s tariff or approved by a Commission order.  OCA St. No. 5-R</w:t>
      </w:r>
      <w:r>
        <w:rPr>
          <w:sz w:val="26"/>
          <w:szCs w:val="26"/>
        </w:rPr>
        <w:t xml:space="preserve"> at</w:t>
      </w:r>
      <w:r w:rsidR="00305BC5" w:rsidRPr="00A4298F">
        <w:rPr>
          <w:sz w:val="26"/>
          <w:szCs w:val="26"/>
        </w:rPr>
        <w:t xml:space="preserve"> 4.</w:t>
      </w:r>
    </w:p>
    <w:p w14:paraId="2A16E220" w14:textId="5796B457" w:rsidR="00305BC5" w:rsidRDefault="00305BC5" w:rsidP="002E6D96">
      <w:pPr>
        <w:pStyle w:val="ListParagraph"/>
        <w:widowControl/>
        <w:spacing w:line="360" w:lineRule="auto"/>
        <w:ind w:left="0"/>
        <w:rPr>
          <w:b/>
          <w:color w:val="000000"/>
          <w:sz w:val="26"/>
          <w:szCs w:val="26"/>
        </w:rPr>
      </w:pPr>
    </w:p>
    <w:p w14:paraId="35385B4E" w14:textId="6126368F" w:rsidR="00305BC5" w:rsidRPr="00A4298F" w:rsidRDefault="00305BC5" w:rsidP="009302AC">
      <w:pPr>
        <w:pStyle w:val="ListParagraph"/>
        <w:keepNext/>
        <w:keepLines/>
        <w:widowControl/>
        <w:spacing w:line="360" w:lineRule="auto"/>
        <w:ind w:left="1440"/>
        <w:rPr>
          <w:b/>
          <w:sz w:val="26"/>
          <w:szCs w:val="26"/>
        </w:rPr>
      </w:pPr>
      <w:r>
        <w:rPr>
          <w:b/>
          <w:color w:val="000000"/>
          <w:sz w:val="26"/>
          <w:szCs w:val="26"/>
        </w:rPr>
        <w:t>C.</w:t>
      </w:r>
      <w:r>
        <w:rPr>
          <w:b/>
          <w:color w:val="000000"/>
          <w:sz w:val="26"/>
          <w:szCs w:val="26"/>
        </w:rPr>
        <w:tab/>
      </w:r>
      <w:r w:rsidRPr="00A4298F">
        <w:rPr>
          <w:b/>
          <w:sz w:val="26"/>
          <w:szCs w:val="26"/>
        </w:rPr>
        <w:t>Recommended Decision</w:t>
      </w:r>
    </w:p>
    <w:p w14:paraId="4E1394AE" w14:textId="77777777" w:rsidR="00305BC5" w:rsidRPr="00A4298F" w:rsidRDefault="00305BC5" w:rsidP="009302AC">
      <w:pPr>
        <w:pStyle w:val="ListParagraph"/>
        <w:keepNext/>
        <w:keepLines/>
        <w:widowControl/>
        <w:spacing w:line="360" w:lineRule="auto"/>
        <w:ind w:left="0" w:firstLine="1440"/>
        <w:rPr>
          <w:b/>
          <w:sz w:val="26"/>
          <w:szCs w:val="26"/>
        </w:rPr>
      </w:pPr>
    </w:p>
    <w:p w14:paraId="603BACC7" w14:textId="1B5B9A56" w:rsidR="00305BC5" w:rsidRPr="00A4298F" w:rsidRDefault="00305BC5" w:rsidP="002E6D96">
      <w:pPr>
        <w:pStyle w:val="ListParagraph"/>
        <w:widowControl/>
        <w:spacing w:line="360" w:lineRule="auto"/>
        <w:ind w:left="0" w:firstLine="1440"/>
        <w:rPr>
          <w:sz w:val="26"/>
          <w:szCs w:val="26"/>
        </w:rPr>
      </w:pPr>
      <w:r w:rsidRPr="00A4298F">
        <w:rPr>
          <w:sz w:val="26"/>
          <w:szCs w:val="26"/>
        </w:rPr>
        <w:t xml:space="preserve">In his Recommended Decision, ALJ Watson made thirty-four Findings of Fact and reached nineteen Conclusions of Law. </w:t>
      </w:r>
      <w:r w:rsidR="009302AC">
        <w:rPr>
          <w:sz w:val="26"/>
          <w:szCs w:val="26"/>
        </w:rPr>
        <w:t xml:space="preserve"> </w:t>
      </w:r>
      <w:r w:rsidRPr="00A4298F">
        <w:rPr>
          <w:sz w:val="26"/>
          <w:szCs w:val="26"/>
        </w:rPr>
        <w:t>R.D. at 9-13; 118-121.  The Findings of Fact and Conclusions of Law are incorporated herein by reference and are adopted without comment unless they are either expressly or by necessary implication rejected or modified by this Opinion and Order.</w:t>
      </w:r>
    </w:p>
    <w:p w14:paraId="6C6038C4" w14:textId="77777777" w:rsidR="00305BC5" w:rsidRPr="00A4298F" w:rsidRDefault="00305BC5" w:rsidP="002E6D96">
      <w:pPr>
        <w:widowControl/>
        <w:spacing w:line="360" w:lineRule="auto"/>
        <w:ind w:firstLine="1440"/>
        <w:rPr>
          <w:b/>
        </w:rPr>
      </w:pPr>
    </w:p>
    <w:p w14:paraId="426E9550" w14:textId="158FCEA8" w:rsidR="00305BC5" w:rsidRPr="00A4298F" w:rsidRDefault="00305BC5" w:rsidP="002E6D96">
      <w:pPr>
        <w:widowControl/>
        <w:spacing w:line="360" w:lineRule="auto"/>
        <w:ind w:firstLine="1440"/>
        <w:rPr>
          <w:sz w:val="26"/>
          <w:szCs w:val="26"/>
        </w:rPr>
      </w:pPr>
      <w:r w:rsidRPr="00A4298F">
        <w:rPr>
          <w:sz w:val="26"/>
          <w:szCs w:val="26"/>
        </w:rPr>
        <w:t xml:space="preserve">The ALJ concluded that </w:t>
      </w:r>
      <w:r w:rsidR="009302AC">
        <w:rPr>
          <w:sz w:val="26"/>
          <w:szCs w:val="26"/>
        </w:rPr>
        <w:t xml:space="preserve">the </w:t>
      </w:r>
      <w:r w:rsidRPr="00A4298F">
        <w:rPr>
          <w:sz w:val="26"/>
          <w:szCs w:val="26"/>
        </w:rPr>
        <w:t xml:space="preserve">NGS Parties failed to carry their burden of proof under </w:t>
      </w:r>
      <w:r w:rsidRPr="004E1550">
        <w:rPr>
          <w:i/>
          <w:sz w:val="26"/>
          <w:szCs w:val="26"/>
        </w:rPr>
        <w:t>Pa. Pub. Util. Comm’n v. Metropolitan Edison Company</w:t>
      </w:r>
      <w:r>
        <w:rPr>
          <w:sz w:val="26"/>
          <w:szCs w:val="26"/>
        </w:rPr>
        <w:t>, Docket No. R</w:t>
      </w:r>
      <w:r w:rsidR="009302AC">
        <w:rPr>
          <w:sz w:val="26"/>
          <w:szCs w:val="26"/>
        </w:rPr>
        <w:noBreakHyphen/>
      </w:r>
      <w:r>
        <w:rPr>
          <w:sz w:val="26"/>
          <w:szCs w:val="26"/>
        </w:rPr>
        <w:t>00061366, 2007</w:t>
      </w:r>
      <w:r w:rsidR="00537C43">
        <w:rPr>
          <w:sz w:val="26"/>
          <w:szCs w:val="26"/>
        </w:rPr>
        <w:t xml:space="preserve"> </w:t>
      </w:r>
      <w:r>
        <w:rPr>
          <w:sz w:val="26"/>
          <w:szCs w:val="26"/>
        </w:rPr>
        <w:t>Pa. PUC LEXIS 5</w:t>
      </w:r>
      <w:r w:rsidR="009302AC">
        <w:rPr>
          <w:sz w:val="26"/>
          <w:szCs w:val="26"/>
        </w:rPr>
        <w:t xml:space="preserve"> </w:t>
      </w:r>
      <w:r>
        <w:rPr>
          <w:sz w:val="26"/>
          <w:szCs w:val="26"/>
        </w:rPr>
        <w:t xml:space="preserve">(January 11, 2007), </w:t>
      </w:r>
      <w:r w:rsidRPr="00A4298F">
        <w:rPr>
          <w:sz w:val="26"/>
          <w:szCs w:val="26"/>
        </w:rPr>
        <w:t>to establish that Columbia’s billing practice violates the Code’s prohibitions on discrimination in provision of service.</w:t>
      </w:r>
      <w:r>
        <w:rPr>
          <w:sz w:val="26"/>
          <w:szCs w:val="26"/>
        </w:rPr>
        <w:t xml:space="preserve"> R.D. at 93, 118.</w:t>
      </w:r>
    </w:p>
    <w:p w14:paraId="2762FD4C" w14:textId="77777777" w:rsidR="00305BC5" w:rsidRPr="00A4298F" w:rsidRDefault="00305BC5" w:rsidP="002E6D96">
      <w:pPr>
        <w:widowControl/>
        <w:spacing w:line="360" w:lineRule="auto"/>
        <w:ind w:firstLine="1440"/>
        <w:rPr>
          <w:sz w:val="26"/>
          <w:szCs w:val="26"/>
        </w:rPr>
      </w:pPr>
    </w:p>
    <w:p w14:paraId="1B9C2148" w14:textId="6146F7B3" w:rsidR="00305BC5" w:rsidRPr="005F7371" w:rsidRDefault="00305BC5" w:rsidP="002E6D96">
      <w:pPr>
        <w:widowControl/>
        <w:spacing w:line="360" w:lineRule="auto"/>
        <w:ind w:firstLine="1440"/>
        <w:rPr>
          <w:rFonts w:eastAsiaTheme="minorHAnsi"/>
          <w:sz w:val="26"/>
          <w:szCs w:val="26"/>
          <w:lang w:val="en"/>
        </w:rPr>
      </w:pPr>
      <w:r w:rsidRPr="00A4298F">
        <w:rPr>
          <w:sz w:val="26"/>
          <w:szCs w:val="26"/>
        </w:rPr>
        <w:t xml:space="preserve">The ALJ applied </w:t>
      </w:r>
      <w:r w:rsidRPr="001B40C0">
        <w:rPr>
          <w:sz w:val="26"/>
          <w:szCs w:val="26"/>
        </w:rPr>
        <w:t xml:space="preserve">the Commonwealth Court’s holding in </w:t>
      </w:r>
      <w:r w:rsidRPr="001B40C0">
        <w:rPr>
          <w:i/>
          <w:sz w:val="26"/>
          <w:szCs w:val="26"/>
        </w:rPr>
        <w:t>PPL Electric Utilities Corp. v. Pa. PUC</w:t>
      </w:r>
      <w:r w:rsidRPr="001B40C0">
        <w:rPr>
          <w:sz w:val="26"/>
          <w:szCs w:val="26"/>
        </w:rPr>
        <w:t>,</w:t>
      </w:r>
      <w:r>
        <w:rPr>
          <w:sz w:val="26"/>
          <w:szCs w:val="26"/>
        </w:rPr>
        <w:t xml:space="preserve"> </w:t>
      </w:r>
      <w:r w:rsidRPr="00A4298F">
        <w:rPr>
          <w:sz w:val="26"/>
          <w:szCs w:val="26"/>
        </w:rPr>
        <w:t xml:space="preserve">to the </w:t>
      </w:r>
      <w:r>
        <w:rPr>
          <w:sz w:val="26"/>
          <w:szCs w:val="26"/>
        </w:rPr>
        <w:t xml:space="preserve">present facts </w:t>
      </w:r>
      <w:r w:rsidRPr="00A4298F">
        <w:rPr>
          <w:sz w:val="26"/>
          <w:szCs w:val="26"/>
        </w:rPr>
        <w:t>and concluded that because the non-commodity services are not utility services, Columbia’s billing for non-commodity services did</w:t>
      </w:r>
      <w:r w:rsidR="00537C43">
        <w:rPr>
          <w:sz w:val="26"/>
          <w:szCs w:val="26"/>
        </w:rPr>
        <w:t xml:space="preserve"> not</w:t>
      </w:r>
      <w:r w:rsidRPr="00A4298F">
        <w:rPr>
          <w:sz w:val="26"/>
          <w:szCs w:val="26"/>
        </w:rPr>
        <w:t xml:space="preserve"> fall under the Commission’s jurisdiction</w:t>
      </w:r>
      <w:r>
        <w:rPr>
          <w:sz w:val="26"/>
          <w:szCs w:val="26"/>
        </w:rPr>
        <w:t xml:space="preserve">.  The ALJ concluded that the </w:t>
      </w:r>
      <w:r w:rsidRPr="001B40C0">
        <w:rPr>
          <w:sz w:val="26"/>
          <w:szCs w:val="26"/>
        </w:rPr>
        <w:t>non-discrimination provisions of Section</w:t>
      </w:r>
      <w:r w:rsidR="00537C43">
        <w:rPr>
          <w:sz w:val="26"/>
          <w:szCs w:val="26"/>
        </w:rPr>
        <w:t>s</w:t>
      </w:r>
      <w:r w:rsidRPr="001B40C0">
        <w:rPr>
          <w:sz w:val="26"/>
          <w:szCs w:val="26"/>
        </w:rPr>
        <w:t xml:space="preserve"> 1502 and 2203(4) of the</w:t>
      </w:r>
      <w:r w:rsidR="00537C43">
        <w:rPr>
          <w:sz w:val="26"/>
          <w:szCs w:val="26"/>
        </w:rPr>
        <w:t xml:space="preserve"> Code</w:t>
      </w:r>
      <w:r w:rsidRPr="001B40C0">
        <w:rPr>
          <w:sz w:val="26"/>
          <w:szCs w:val="26"/>
        </w:rPr>
        <w:t xml:space="preserve"> do not apply to functions that are not utility service</w:t>
      </w:r>
      <w:r>
        <w:rPr>
          <w:sz w:val="26"/>
          <w:szCs w:val="26"/>
        </w:rPr>
        <w:t>.</w:t>
      </w:r>
    </w:p>
    <w:p w14:paraId="4FB5845F" w14:textId="77777777" w:rsidR="00305BC5" w:rsidRPr="00A4298F" w:rsidRDefault="00305BC5" w:rsidP="002E6D96">
      <w:pPr>
        <w:widowControl/>
        <w:spacing w:line="360" w:lineRule="auto"/>
        <w:ind w:firstLine="1440"/>
        <w:rPr>
          <w:sz w:val="26"/>
          <w:szCs w:val="26"/>
        </w:rPr>
      </w:pPr>
    </w:p>
    <w:p w14:paraId="01A419B7" w14:textId="06EE199F" w:rsidR="00305BC5" w:rsidRPr="00A4298F" w:rsidRDefault="00305BC5" w:rsidP="002E6D96">
      <w:pPr>
        <w:widowControl/>
        <w:spacing w:line="360" w:lineRule="auto"/>
        <w:ind w:firstLine="1440"/>
        <w:rPr>
          <w:sz w:val="26"/>
          <w:szCs w:val="26"/>
        </w:rPr>
      </w:pPr>
      <w:r w:rsidRPr="00A4298F">
        <w:rPr>
          <w:sz w:val="26"/>
          <w:szCs w:val="26"/>
        </w:rPr>
        <w:t>The ALJ rejected the position of the NGS Parties tha</w:t>
      </w:r>
      <w:r w:rsidR="004F5CC4">
        <w:rPr>
          <w:sz w:val="26"/>
          <w:szCs w:val="26"/>
        </w:rPr>
        <w:t>t</w:t>
      </w:r>
      <w:r>
        <w:rPr>
          <w:sz w:val="26"/>
          <w:szCs w:val="26"/>
        </w:rPr>
        <w:t xml:space="preserve"> </w:t>
      </w:r>
      <w:r w:rsidRPr="00A4298F">
        <w:rPr>
          <w:sz w:val="26"/>
          <w:szCs w:val="26"/>
        </w:rPr>
        <w:t xml:space="preserve">because billing falls within the definition of </w:t>
      </w:r>
      <w:r>
        <w:rPr>
          <w:sz w:val="26"/>
          <w:szCs w:val="26"/>
        </w:rPr>
        <w:t xml:space="preserve">public utility </w:t>
      </w:r>
      <w:r w:rsidRPr="00A4298F">
        <w:rPr>
          <w:sz w:val="26"/>
          <w:szCs w:val="26"/>
        </w:rPr>
        <w:t>“service”</w:t>
      </w:r>
      <w:r>
        <w:rPr>
          <w:sz w:val="26"/>
          <w:szCs w:val="26"/>
        </w:rPr>
        <w:t xml:space="preserve"> as the term is defined under Section 102 of the Code, </w:t>
      </w:r>
      <w:r w:rsidRPr="00A4298F">
        <w:rPr>
          <w:sz w:val="26"/>
          <w:szCs w:val="26"/>
        </w:rPr>
        <w:t>Columbia’s billing practice is subject to Commission jurisdiction and the Code</w:t>
      </w:r>
      <w:r w:rsidR="004F5CC4">
        <w:rPr>
          <w:sz w:val="26"/>
          <w:szCs w:val="26"/>
        </w:rPr>
        <w:t>’</w:t>
      </w:r>
      <w:r w:rsidRPr="00A4298F">
        <w:rPr>
          <w:sz w:val="26"/>
          <w:szCs w:val="26"/>
        </w:rPr>
        <w:t>s prohibition on discrimination in service.</w:t>
      </w:r>
      <w:r w:rsidR="004F5CC4">
        <w:rPr>
          <w:sz w:val="26"/>
          <w:szCs w:val="26"/>
        </w:rPr>
        <w:t xml:space="preserve"> </w:t>
      </w:r>
      <w:r>
        <w:rPr>
          <w:sz w:val="26"/>
          <w:szCs w:val="26"/>
        </w:rPr>
        <w:t xml:space="preserve"> R.D. at 109-112.</w:t>
      </w:r>
    </w:p>
    <w:p w14:paraId="0F7B35DC" w14:textId="77777777" w:rsidR="00305BC5" w:rsidRPr="00A4298F" w:rsidRDefault="00305BC5" w:rsidP="002E6D96">
      <w:pPr>
        <w:widowControl/>
        <w:spacing w:line="360" w:lineRule="auto"/>
        <w:ind w:firstLine="1440"/>
        <w:rPr>
          <w:sz w:val="26"/>
          <w:szCs w:val="26"/>
        </w:rPr>
      </w:pPr>
    </w:p>
    <w:p w14:paraId="04CDEB21" w14:textId="412B0018" w:rsidR="00305BC5" w:rsidRDefault="00305BC5" w:rsidP="002E6D96">
      <w:pPr>
        <w:widowControl/>
        <w:spacing w:line="360" w:lineRule="auto"/>
        <w:ind w:firstLine="1440"/>
        <w:rPr>
          <w:sz w:val="26"/>
          <w:szCs w:val="26"/>
        </w:rPr>
      </w:pPr>
      <w:r w:rsidRPr="00A4298F">
        <w:rPr>
          <w:sz w:val="26"/>
          <w:szCs w:val="26"/>
        </w:rPr>
        <w:t xml:space="preserve">The ALJ agreed with Columbia that </w:t>
      </w:r>
      <w:r w:rsidR="004203B5">
        <w:rPr>
          <w:sz w:val="26"/>
          <w:szCs w:val="26"/>
        </w:rPr>
        <w:t>its</w:t>
      </w:r>
      <w:r w:rsidRPr="00A4298F">
        <w:rPr>
          <w:sz w:val="26"/>
          <w:szCs w:val="26"/>
        </w:rPr>
        <w:t xml:space="preserve"> billing practice did not discriminate in any manner </w:t>
      </w:r>
      <w:r w:rsidR="00966CB2">
        <w:rPr>
          <w:sz w:val="26"/>
          <w:szCs w:val="26"/>
        </w:rPr>
        <w:t>i</w:t>
      </w:r>
      <w:r w:rsidRPr="00A4298F">
        <w:rPr>
          <w:sz w:val="26"/>
          <w:szCs w:val="26"/>
        </w:rPr>
        <w:t>n provi</w:t>
      </w:r>
      <w:r w:rsidR="00966CB2">
        <w:rPr>
          <w:sz w:val="26"/>
          <w:szCs w:val="26"/>
        </w:rPr>
        <w:t xml:space="preserve">sion of </w:t>
      </w:r>
      <w:r w:rsidRPr="00A4298F">
        <w:rPr>
          <w:sz w:val="26"/>
          <w:szCs w:val="26"/>
        </w:rPr>
        <w:t>service to customers</w:t>
      </w:r>
      <w:r w:rsidR="00966CB2">
        <w:rPr>
          <w:sz w:val="26"/>
          <w:szCs w:val="26"/>
        </w:rPr>
        <w:t xml:space="preserve">, </w:t>
      </w:r>
      <w:r w:rsidRPr="00A4298F">
        <w:rPr>
          <w:sz w:val="26"/>
          <w:szCs w:val="26"/>
        </w:rPr>
        <w:t>to natural gas suppliers</w:t>
      </w:r>
      <w:r w:rsidR="00F165BD">
        <w:rPr>
          <w:sz w:val="26"/>
          <w:szCs w:val="26"/>
        </w:rPr>
        <w:t>,</w:t>
      </w:r>
      <w:r w:rsidRPr="00A4298F">
        <w:rPr>
          <w:sz w:val="26"/>
          <w:szCs w:val="26"/>
        </w:rPr>
        <w:t xml:space="preserve"> and to the NGS Parties. </w:t>
      </w:r>
      <w:r w:rsidR="00966CB2">
        <w:rPr>
          <w:sz w:val="26"/>
          <w:szCs w:val="26"/>
        </w:rPr>
        <w:t xml:space="preserve"> </w:t>
      </w:r>
      <w:r w:rsidRPr="00A4298F">
        <w:rPr>
          <w:sz w:val="26"/>
          <w:szCs w:val="26"/>
        </w:rPr>
        <w:t xml:space="preserve">R.D. at </w:t>
      </w:r>
      <w:r>
        <w:rPr>
          <w:sz w:val="26"/>
          <w:szCs w:val="26"/>
        </w:rPr>
        <w:t>108-114.</w:t>
      </w:r>
    </w:p>
    <w:p w14:paraId="6AC2046D" w14:textId="77777777" w:rsidR="00305BC5" w:rsidRPr="00A4298F" w:rsidRDefault="00305BC5" w:rsidP="002E6D96">
      <w:pPr>
        <w:widowControl/>
        <w:spacing w:line="360" w:lineRule="auto"/>
        <w:ind w:firstLine="1440"/>
        <w:rPr>
          <w:sz w:val="26"/>
          <w:szCs w:val="26"/>
        </w:rPr>
      </w:pPr>
    </w:p>
    <w:p w14:paraId="3030AAF8" w14:textId="29AF775B" w:rsidR="00305BC5" w:rsidRPr="00A4298F" w:rsidRDefault="00305BC5" w:rsidP="002E6D96">
      <w:pPr>
        <w:widowControl/>
        <w:spacing w:line="360" w:lineRule="auto"/>
        <w:ind w:firstLine="1440"/>
        <w:rPr>
          <w:sz w:val="26"/>
          <w:szCs w:val="26"/>
        </w:rPr>
      </w:pPr>
      <w:r w:rsidRPr="00A4298F">
        <w:rPr>
          <w:sz w:val="26"/>
          <w:szCs w:val="26"/>
        </w:rPr>
        <w:t>The ALJ noted the concerns</w:t>
      </w:r>
      <w:r>
        <w:rPr>
          <w:sz w:val="26"/>
          <w:szCs w:val="26"/>
        </w:rPr>
        <w:t xml:space="preserve"> for consumer protection expressed by </w:t>
      </w:r>
      <w:r w:rsidRPr="00A4298F">
        <w:rPr>
          <w:sz w:val="26"/>
          <w:szCs w:val="26"/>
        </w:rPr>
        <w:t xml:space="preserve">both </w:t>
      </w:r>
      <w:r w:rsidR="00405D36">
        <w:rPr>
          <w:sz w:val="26"/>
          <w:szCs w:val="26"/>
        </w:rPr>
        <w:t xml:space="preserve">the </w:t>
      </w:r>
      <w:r w:rsidRPr="00A4298F">
        <w:rPr>
          <w:sz w:val="26"/>
          <w:szCs w:val="26"/>
        </w:rPr>
        <w:t xml:space="preserve">OCA and CAUSE-PA </w:t>
      </w:r>
      <w:r w:rsidR="00311E2C">
        <w:rPr>
          <w:sz w:val="26"/>
          <w:szCs w:val="26"/>
        </w:rPr>
        <w:t>concerning</w:t>
      </w:r>
      <w:r>
        <w:rPr>
          <w:sz w:val="26"/>
          <w:szCs w:val="26"/>
        </w:rPr>
        <w:t xml:space="preserve"> </w:t>
      </w:r>
      <w:r w:rsidRPr="00A4298F">
        <w:rPr>
          <w:sz w:val="26"/>
          <w:szCs w:val="26"/>
        </w:rPr>
        <w:t xml:space="preserve">Columbia’s billing </w:t>
      </w:r>
      <w:r>
        <w:rPr>
          <w:sz w:val="26"/>
          <w:szCs w:val="26"/>
        </w:rPr>
        <w:t>practice regarding</w:t>
      </w:r>
      <w:r w:rsidR="00F165BD">
        <w:rPr>
          <w:sz w:val="26"/>
          <w:szCs w:val="26"/>
        </w:rPr>
        <w:t>:</w:t>
      </w:r>
      <w:r w:rsidRPr="00A4298F">
        <w:rPr>
          <w:sz w:val="26"/>
          <w:szCs w:val="26"/>
        </w:rPr>
        <w:t xml:space="preserve"> the consumer’s ability to distinguish payment obligations for utility charges necessary to prevent termination of utility service from non-commodity charges; consumer confusion </w:t>
      </w:r>
      <w:r>
        <w:rPr>
          <w:sz w:val="26"/>
          <w:szCs w:val="26"/>
        </w:rPr>
        <w:t>caused by “on bill” billing</w:t>
      </w:r>
      <w:r w:rsidRPr="00A4298F">
        <w:rPr>
          <w:sz w:val="26"/>
          <w:szCs w:val="26"/>
        </w:rPr>
        <w:t>; and the protection of confidential customer data.</w:t>
      </w:r>
      <w:r w:rsidR="00311E2C">
        <w:rPr>
          <w:sz w:val="26"/>
          <w:szCs w:val="26"/>
        </w:rPr>
        <w:t xml:space="preserve"> </w:t>
      </w:r>
      <w:r>
        <w:rPr>
          <w:sz w:val="26"/>
          <w:szCs w:val="26"/>
        </w:rPr>
        <w:t xml:space="preserve"> R.D. at 114-117.</w:t>
      </w:r>
      <w:r w:rsidRPr="00A4298F">
        <w:rPr>
          <w:sz w:val="26"/>
          <w:szCs w:val="26"/>
        </w:rPr>
        <w:t xml:space="preserve">  However, the ALJ was satisfied that any consumer protection concerns </w:t>
      </w:r>
      <w:r>
        <w:rPr>
          <w:sz w:val="26"/>
          <w:szCs w:val="26"/>
        </w:rPr>
        <w:t xml:space="preserve">were </w:t>
      </w:r>
      <w:r w:rsidRPr="00A4298F">
        <w:rPr>
          <w:sz w:val="26"/>
          <w:szCs w:val="26"/>
        </w:rPr>
        <w:t xml:space="preserve">mitigated because Columbia’s billing practice adheres to the Commission’s regulations regarding standards and billing practices for residential utility service which includes separate identification of the charges for non-commodity services and prohibition of termination for non-payment of non-commodity charges. </w:t>
      </w:r>
      <w:r w:rsidR="00311E2C">
        <w:rPr>
          <w:sz w:val="26"/>
          <w:szCs w:val="26"/>
        </w:rPr>
        <w:t xml:space="preserve"> </w:t>
      </w:r>
      <w:r w:rsidRPr="00A4298F">
        <w:rPr>
          <w:sz w:val="26"/>
          <w:szCs w:val="26"/>
        </w:rPr>
        <w:t xml:space="preserve">R.D. </w:t>
      </w:r>
      <w:r w:rsidRPr="0088439C">
        <w:rPr>
          <w:sz w:val="26"/>
          <w:szCs w:val="26"/>
        </w:rPr>
        <w:t>at 114-117.</w:t>
      </w:r>
    </w:p>
    <w:p w14:paraId="561BB453" w14:textId="77777777" w:rsidR="00305BC5" w:rsidRPr="00A4298F" w:rsidRDefault="00305BC5" w:rsidP="002E6D96">
      <w:pPr>
        <w:widowControl/>
        <w:spacing w:line="360" w:lineRule="auto"/>
        <w:ind w:firstLine="1440"/>
        <w:rPr>
          <w:sz w:val="26"/>
          <w:szCs w:val="26"/>
        </w:rPr>
      </w:pPr>
    </w:p>
    <w:p w14:paraId="7FE1B1E2" w14:textId="1D439F82" w:rsidR="00305BC5" w:rsidRPr="00A4298F" w:rsidRDefault="00305BC5" w:rsidP="002E6D96">
      <w:pPr>
        <w:widowControl/>
        <w:spacing w:line="360" w:lineRule="auto"/>
        <w:ind w:firstLine="1440"/>
        <w:rPr>
          <w:sz w:val="26"/>
          <w:szCs w:val="26"/>
        </w:rPr>
      </w:pPr>
      <w:r w:rsidRPr="00A4298F">
        <w:rPr>
          <w:sz w:val="26"/>
          <w:szCs w:val="26"/>
        </w:rPr>
        <w:t xml:space="preserve">The ALJ concluded that no evidence was presented to establish that Columbia’s practice of billing for non-commodity services is unlawful and found Columbia should be permitted to continue its practice.  ALJ Watson recommended </w:t>
      </w:r>
      <w:r w:rsidR="00553ED1">
        <w:rPr>
          <w:sz w:val="26"/>
          <w:szCs w:val="26"/>
        </w:rPr>
        <w:t xml:space="preserve">denial of the </w:t>
      </w:r>
      <w:r w:rsidRPr="00A4298F">
        <w:rPr>
          <w:sz w:val="26"/>
          <w:szCs w:val="26"/>
        </w:rPr>
        <w:t xml:space="preserve">NGS Parties’ request </w:t>
      </w:r>
      <w:r w:rsidR="00553ED1">
        <w:rPr>
          <w:sz w:val="26"/>
          <w:szCs w:val="26"/>
        </w:rPr>
        <w:t xml:space="preserve">that </w:t>
      </w:r>
      <w:r w:rsidRPr="00A4298F">
        <w:rPr>
          <w:sz w:val="26"/>
          <w:szCs w:val="26"/>
        </w:rPr>
        <w:t xml:space="preserve">Columbia </w:t>
      </w:r>
      <w:r w:rsidR="00553ED1">
        <w:rPr>
          <w:sz w:val="26"/>
          <w:szCs w:val="26"/>
        </w:rPr>
        <w:t xml:space="preserve">be required </w:t>
      </w:r>
      <w:r w:rsidRPr="00A4298F">
        <w:rPr>
          <w:sz w:val="26"/>
          <w:szCs w:val="26"/>
        </w:rPr>
        <w:t xml:space="preserve">to </w:t>
      </w:r>
      <w:r w:rsidR="00553ED1">
        <w:rPr>
          <w:sz w:val="26"/>
          <w:szCs w:val="26"/>
        </w:rPr>
        <w:t>provide the NGS Parties “on-</w:t>
      </w:r>
      <w:r w:rsidRPr="00A4298F">
        <w:rPr>
          <w:sz w:val="26"/>
          <w:szCs w:val="26"/>
        </w:rPr>
        <w:t>bill</w:t>
      </w:r>
      <w:r w:rsidR="00553ED1">
        <w:rPr>
          <w:sz w:val="26"/>
          <w:szCs w:val="26"/>
        </w:rPr>
        <w:t>”</w:t>
      </w:r>
      <w:r w:rsidRPr="00A4298F">
        <w:rPr>
          <w:sz w:val="26"/>
          <w:szCs w:val="26"/>
        </w:rPr>
        <w:t xml:space="preserve"> </w:t>
      </w:r>
      <w:r w:rsidR="00553ED1">
        <w:rPr>
          <w:sz w:val="26"/>
          <w:szCs w:val="26"/>
        </w:rPr>
        <w:t xml:space="preserve">billing </w:t>
      </w:r>
      <w:r w:rsidRPr="00A4298F">
        <w:rPr>
          <w:sz w:val="26"/>
          <w:szCs w:val="26"/>
        </w:rPr>
        <w:t>for non-commodity products and services provided by the NGS Parties</w:t>
      </w:r>
      <w:r w:rsidR="00553ED1">
        <w:rPr>
          <w:sz w:val="26"/>
          <w:szCs w:val="26"/>
        </w:rPr>
        <w:t>.</w:t>
      </w:r>
      <w:r>
        <w:rPr>
          <w:sz w:val="26"/>
          <w:szCs w:val="26"/>
        </w:rPr>
        <w:t xml:space="preserve">  R.D. at 118.</w:t>
      </w:r>
    </w:p>
    <w:p w14:paraId="1A89EFED" w14:textId="21641BD9" w:rsidR="00305BC5" w:rsidRDefault="00305BC5" w:rsidP="002E6D96">
      <w:pPr>
        <w:pStyle w:val="ListParagraph"/>
        <w:widowControl/>
        <w:spacing w:line="360" w:lineRule="auto"/>
        <w:ind w:left="0"/>
        <w:rPr>
          <w:b/>
          <w:color w:val="000000"/>
          <w:sz w:val="26"/>
          <w:szCs w:val="26"/>
        </w:rPr>
      </w:pPr>
    </w:p>
    <w:p w14:paraId="6E235118" w14:textId="52EBF9A0" w:rsidR="00305BC5" w:rsidRDefault="00305BC5" w:rsidP="002E6D96">
      <w:pPr>
        <w:pStyle w:val="ListParagraph"/>
        <w:keepNext/>
        <w:keepLines/>
        <w:widowControl/>
        <w:spacing w:line="360" w:lineRule="auto"/>
        <w:ind w:left="1440"/>
        <w:rPr>
          <w:b/>
          <w:sz w:val="26"/>
          <w:szCs w:val="26"/>
        </w:rPr>
      </w:pPr>
      <w:r>
        <w:rPr>
          <w:b/>
          <w:color w:val="000000"/>
          <w:sz w:val="26"/>
          <w:szCs w:val="26"/>
        </w:rPr>
        <w:lastRenderedPageBreak/>
        <w:t>D.</w:t>
      </w:r>
      <w:r>
        <w:rPr>
          <w:b/>
          <w:color w:val="000000"/>
          <w:sz w:val="26"/>
          <w:szCs w:val="26"/>
        </w:rPr>
        <w:tab/>
      </w:r>
      <w:r w:rsidRPr="00EB5530">
        <w:rPr>
          <w:b/>
          <w:sz w:val="26"/>
          <w:szCs w:val="26"/>
        </w:rPr>
        <w:t>Exceptions and Replies</w:t>
      </w:r>
    </w:p>
    <w:p w14:paraId="5BEAF74F" w14:textId="77777777" w:rsidR="00305BC5" w:rsidRPr="00EB5530" w:rsidRDefault="00305BC5" w:rsidP="002E6D96">
      <w:pPr>
        <w:pStyle w:val="ListParagraph"/>
        <w:keepNext/>
        <w:keepLines/>
        <w:widowControl/>
        <w:spacing w:line="360" w:lineRule="auto"/>
        <w:ind w:left="0" w:firstLine="1440"/>
        <w:rPr>
          <w:b/>
          <w:sz w:val="26"/>
          <w:szCs w:val="26"/>
        </w:rPr>
      </w:pPr>
    </w:p>
    <w:p w14:paraId="601E79A0" w14:textId="69B2ECDF" w:rsidR="00305BC5" w:rsidRDefault="00305BC5" w:rsidP="002E6D96">
      <w:pPr>
        <w:pStyle w:val="ListParagraph"/>
        <w:widowControl/>
        <w:spacing w:line="360" w:lineRule="auto"/>
        <w:ind w:left="0" w:firstLine="1440"/>
        <w:rPr>
          <w:sz w:val="26"/>
          <w:szCs w:val="26"/>
        </w:rPr>
      </w:pPr>
      <w:r w:rsidRPr="00A4298F">
        <w:rPr>
          <w:sz w:val="26"/>
          <w:szCs w:val="26"/>
        </w:rPr>
        <w:t>In their Exceptions Nos. 1&amp; 2</w:t>
      </w:r>
      <w:r>
        <w:rPr>
          <w:sz w:val="26"/>
          <w:szCs w:val="26"/>
        </w:rPr>
        <w:t xml:space="preserve"> to the ALJ’s Recommended Decision</w:t>
      </w:r>
      <w:r w:rsidRPr="00A4298F">
        <w:rPr>
          <w:sz w:val="26"/>
          <w:szCs w:val="26"/>
        </w:rPr>
        <w:t>, the NGS Parties argue that</w:t>
      </w:r>
      <w:r>
        <w:rPr>
          <w:sz w:val="26"/>
          <w:szCs w:val="26"/>
        </w:rPr>
        <w:t xml:space="preserve">: </w:t>
      </w:r>
      <w:r w:rsidR="0031684E">
        <w:rPr>
          <w:sz w:val="26"/>
          <w:szCs w:val="26"/>
        </w:rPr>
        <w:t>(</w:t>
      </w:r>
      <w:r>
        <w:rPr>
          <w:sz w:val="26"/>
          <w:szCs w:val="26"/>
        </w:rPr>
        <w:t xml:space="preserve">1) the Recommended Decision erroneously concludes that </w:t>
      </w:r>
      <w:r w:rsidR="0031684E">
        <w:rPr>
          <w:sz w:val="26"/>
          <w:szCs w:val="26"/>
        </w:rPr>
        <w:t xml:space="preserve">the prohibitions on discrimination and anti-competitive practices of the Code do not apply </w:t>
      </w:r>
      <w:r>
        <w:rPr>
          <w:sz w:val="26"/>
          <w:szCs w:val="26"/>
        </w:rPr>
        <w:t>because the non-commodity services are not public utility service</w:t>
      </w:r>
      <w:r w:rsidR="0031684E">
        <w:rPr>
          <w:sz w:val="26"/>
          <w:szCs w:val="26"/>
        </w:rPr>
        <w:t>s</w:t>
      </w:r>
      <w:r>
        <w:rPr>
          <w:sz w:val="26"/>
          <w:szCs w:val="26"/>
        </w:rPr>
        <w:t xml:space="preserve">; and </w:t>
      </w:r>
      <w:r w:rsidR="0031684E">
        <w:rPr>
          <w:sz w:val="26"/>
          <w:szCs w:val="26"/>
        </w:rPr>
        <w:t>(</w:t>
      </w:r>
      <w:r>
        <w:rPr>
          <w:sz w:val="26"/>
          <w:szCs w:val="26"/>
        </w:rPr>
        <w:t>2) the Recommended Decision erred i</w:t>
      </w:r>
      <w:r w:rsidR="00AB1EDC">
        <w:rPr>
          <w:sz w:val="26"/>
          <w:szCs w:val="26"/>
        </w:rPr>
        <w:t>n</w:t>
      </w:r>
      <w:r>
        <w:rPr>
          <w:sz w:val="26"/>
          <w:szCs w:val="26"/>
        </w:rPr>
        <w:t xml:space="preserve"> finding that the NGS Parties did not carry their burden of proof. </w:t>
      </w:r>
      <w:r w:rsidR="00AB1EDC">
        <w:rPr>
          <w:sz w:val="26"/>
          <w:szCs w:val="26"/>
        </w:rPr>
        <w:t xml:space="preserve"> </w:t>
      </w:r>
      <w:r>
        <w:rPr>
          <w:sz w:val="26"/>
          <w:szCs w:val="26"/>
        </w:rPr>
        <w:t>NGS Parties Exc. Nos. 1 &amp; 2 at 2,5.</w:t>
      </w:r>
    </w:p>
    <w:p w14:paraId="0C2CC67F" w14:textId="77777777" w:rsidR="00305BC5" w:rsidRDefault="00305BC5" w:rsidP="002E6D96">
      <w:pPr>
        <w:pStyle w:val="ListParagraph"/>
        <w:widowControl/>
        <w:spacing w:line="360" w:lineRule="auto"/>
        <w:ind w:left="0" w:firstLine="1440"/>
        <w:rPr>
          <w:sz w:val="26"/>
          <w:szCs w:val="26"/>
        </w:rPr>
      </w:pPr>
    </w:p>
    <w:p w14:paraId="2CC7A1AC" w14:textId="0FB64A80" w:rsidR="00305BC5" w:rsidRDefault="00305BC5" w:rsidP="002E6D96">
      <w:pPr>
        <w:pStyle w:val="ListParagraph"/>
        <w:widowControl/>
        <w:spacing w:line="360" w:lineRule="auto"/>
        <w:ind w:left="0" w:firstLine="1440"/>
        <w:rPr>
          <w:sz w:val="26"/>
          <w:szCs w:val="26"/>
        </w:rPr>
      </w:pPr>
      <w:r>
        <w:rPr>
          <w:sz w:val="26"/>
          <w:szCs w:val="26"/>
        </w:rPr>
        <w:t xml:space="preserve">The NGS Parties assert that the ALJ’s analysis is fundamentally flawed </w:t>
      </w:r>
      <w:r w:rsidR="00AB1EDC">
        <w:rPr>
          <w:sz w:val="26"/>
          <w:szCs w:val="26"/>
        </w:rPr>
        <w:t xml:space="preserve">because it failed </w:t>
      </w:r>
      <w:r>
        <w:rPr>
          <w:sz w:val="26"/>
          <w:szCs w:val="26"/>
        </w:rPr>
        <w:t xml:space="preserve">to conclude </w:t>
      </w:r>
      <w:r w:rsidR="00AB1EDC">
        <w:rPr>
          <w:sz w:val="26"/>
          <w:szCs w:val="26"/>
        </w:rPr>
        <w:t xml:space="preserve">that </w:t>
      </w:r>
      <w:r>
        <w:rPr>
          <w:sz w:val="26"/>
          <w:szCs w:val="26"/>
        </w:rPr>
        <w:t xml:space="preserve">Columbia’s billing practice constitutes provision of utility service under the Code </w:t>
      </w:r>
      <w:r w:rsidR="007C5DF6">
        <w:rPr>
          <w:sz w:val="26"/>
          <w:szCs w:val="26"/>
        </w:rPr>
        <w:t xml:space="preserve">and thus </w:t>
      </w:r>
      <w:r>
        <w:rPr>
          <w:sz w:val="26"/>
          <w:szCs w:val="26"/>
        </w:rPr>
        <w:t xml:space="preserve">is subject </w:t>
      </w:r>
      <w:r w:rsidR="00AB1EDC">
        <w:rPr>
          <w:sz w:val="26"/>
          <w:szCs w:val="26"/>
        </w:rPr>
        <w:t xml:space="preserve">to </w:t>
      </w:r>
      <w:r>
        <w:rPr>
          <w:sz w:val="26"/>
          <w:szCs w:val="26"/>
        </w:rPr>
        <w:t>the Commission’s jurisdiction, including review for compliance with Sections 1502 and 2203(4)</w:t>
      </w:r>
      <w:r w:rsidR="00AB1EDC">
        <w:rPr>
          <w:sz w:val="26"/>
          <w:szCs w:val="26"/>
        </w:rPr>
        <w:t>.</w:t>
      </w:r>
      <w:r>
        <w:rPr>
          <w:sz w:val="26"/>
          <w:szCs w:val="26"/>
        </w:rPr>
        <w:t xml:space="preserve">  NGS Parties Exc. at 2.  The NGS Parties also assert that the Recommended Decision erred in applying the holding in </w:t>
      </w:r>
      <w:r w:rsidRPr="00110337">
        <w:rPr>
          <w:i/>
          <w:sz w:val="26"/>
          <w:szCs w:val="26"/>
        </w:rPr>
        <w:t>PPL Electric Utilities Corp. v. Pa. PUC</w:t>
      </w:r>
      <w:r>
        <w:rPr>
          <w:i/>
          <w:sz w:val="26"/>
          <w:szCs w:val="26"/>
        </w:rPr>
        <w:t>,</w:t>
      </w:r>
      <w:r>
        <w:rPr>
          <w:sz w:val="26"/>
          <w:szCs w:val="26"/>
        </w:rPr>
        <w:t xml:space="preserve"> to the facts in the present case to conclude that the anti-discrimination provisions of Section 1502 of the Code do not apply where the service complained of is not </w:t>
      </w:r>
      <w:r w:rsidR="0099301D">
        <w:rPr>
          <w:sz w:val="26"/>
          <w:szCs w:val="26"/>
        </w:rPr>
        <w:t xml:space="preserve">a </w:t>
      </w:r>
      <w:r>
        <w:rPr>
          <w:sz w:val="26"/>
          <w:szCs w:val="26"/>
        </w:rPr>
        <w:t xml:space="preserve">public utility service.  The NGS Parties </w:t>
      </w:r>
      <w:r w:rsidR="0099301D">
        <w:rPr>
          <w:sz w:val="26"/>
          <w:szCs w:val="26"/>
        </w:rPr>
        <w:t xml:space="preserve">submit that the </w:t>
      </w:r>
      <w:r>
        <w:rPr>
          <w:sz w:val="26"/>
          <w:szCs w:val="26"/>
        </w:rPr>
        <w:t xml:space="preserve">Recommended Decision conflates the billing service which forms the basis of the discrimination claim with the services being billed, </w:t>
      </w:r>
      <w:r w:rsidRPr="00726F7C">
        <w:rPr>
          <w:i/>
          <w:sz w:val="26"/>
          <w:szCs w:val="26"/>
        </w:rPr>
        <w:t>i.e.</w:t>
      </w:r>
      <w:r>
        <w:rPr>
          <w:sz w:val="26"/>
          <w:szCs w:val="26"/>
        </w:rPr>
        <w:t xml:space="preserve">, the non-commodity service, to conclude under </w:t>
      </w:r>
      <w:r w:rsidRPr="00296EB8">
        <w:rPr>
          <w:i/>
          <w:sz w:val="26"/>
          <w:szCs w:val="26"/>
        </w:rPr>
        <w:t>PPL</w:t>
      </w:r>
      <w:r>
        <w:rPr>
          <w:sz w:val="26"/>
          <w:szCs w:val="26"/>
        </w:rPr>
        <w:t xml:space="preserve"> that the Commission lacks jurisdiction to address a claim based on non-commodity services, which are not utility service</w:t>
      </w:r>
      <w:r w:rsidR="0099301D">
        <w:rPr>
          <w:sz w:val="26"/>
          <w:szCs w:val="26"/>
        </w:rPr>
        <w:t>s</w:t>
      </w:r>
      <w:r>
        <w:rPr>
          <w:sz w:val="26"/>
          <w:szCs w:val="26"/>
        </w:rPr>
        <w:t>. NGS Parties Exc. at 3-5.</w:t>
      </w:r>
    </w:p>
    <w:p w14:paraId="01920B6B" w14:textId="77777777" w:rsidR="00305BC5" w:rsidRDefault="00305BC5" w:rsidP="002E6D96">
      <w:pPr>
        <w:pStyle w:val="ListParagraph"/>
        <w:widowControl/>
        <w:spacing w:line="360" w:lineRule="auto"/>
        <w:ind w:left="0" w:firstLine="1440"/>
        <w:rPr>
          <w:sz w:val="26"/>
          <w:szCs w:val="26"/>
        </w:rPr>
      </w:pPr>
    </w:p>
    <w:p w14:paraId="5ACCC9BB" w14:textId="1056B12E" w:rsidR="00305BC5" w:rsidRDefault="00305BC5" w:rsidP="002E6D96">
      <w:pPr>
        <w:pStyle w:val="ListParagraph"/>
        <w:widowControl/>
        <w:spacing w:line="360" w:lineRule="auto"/>
        <w:ind w:left="0" w:firstLine="1440"/>
        <w:rPr>
          <w:sz w:val="26"/>
          <w:szCs w:val="26"/>
        </w:rPr>
      </w:pPr>
      <w:r w:rsidRPr="00A4298F">
        <w:rPr>
          <w:sz w:val="26"/>
          <w:szCs w:val="26"/>
        </w:rPr>
        <w:t>In its Replies to the Exceptions</w:t>
      </w:r>
      <w:r>
        <w:rPr>
          <w:sz w:val="26"/>
          <w:szCs w:val="26"/>
        </w:rPr>
        <w:t xml:space="preserve">, Columbia submits that the Recommended Decision was properly reasoned and should be adopted by the Commission.  In Reply to the NGS Exception No. 1, Columbia maintains that the ALJ properly applied the holding in </w:t>
      </w:r>
      <w:r w:rsidRPr="00296EB8">
        <w:rPr>
          <w:i/>
          <w:sz w:val="26"/>
          <w:szCs w:val="26"/>
        </w:rPr>
        <w:t>PPL</w:t>
      </w:r>
      <w:r>
        <w:rPr>
          <w:i/>
          <w:sz w:val="26"/>
          <w:szCs w:val="26"/>
        </w:rPr>
        <w:t xml:space="preserve"> </w:t>
      </w:r>
      <w:r w:rsidRPr="00296EB8">
        <w:rPr>
          <w:sz w:val="26"/>
          <w:szCs w:val="26"/>
        </w:rPr>
        <w:t>to preclude</w:t>
      </w:r>
      <w:r>
        <w:rPr>
          <w:i/>
          <w:sz w:val="26"/>
          <w:szCs w:val="26"/>
        </w:rPr>
        <w:t xml:space="preserve"> </w:t>
      </w:r>
      <w:r w:rsidRPr="006F4A79">
        <w:rPr>
          <w:sz w:val="26"/>
          <w:szCs w:val="26"/>
        </w:rPr>
        <w:t xml:space="preserve">application of the Public Utility Codes’ anti-discrimination provisions to Columbia’s practice of “on bill” billing for </w:t>
      </w:r>
      <w:r>
        <w:rPr>
          <w:sz w:val="26"/>
          <w:szCs w:val="26"/>
        </w:rPr>
        <w:t xml:space="preserve">non-commodity </w:t>
      </w:r>
      <w:r w:rsidRPr="006F4A79">
        <w:rPr>
          <w:sz w:val="26"/>
          <w:szCs w:val="26"/>
        </w:rPr>
        <w:t xml:space="preserve">services offered by </w:t>
      </w:r>
      <w:r>
        <w:rPr>
          <w:sz w:val="26"/>
          <w:szCs w:val="26"/>
        </w:rPr>
        <w:t xml:space="preserve">its </w:t>
      </w:r>
      <w:r w:rsidRPr="006F4A79">
        <w:rPr>
          <w:sz w:val="26"/>
          <w:szCs w:val="26"/>
        </w:rPr>
        <w:t>former affiliates.</w:t>
      </w:r>
      <w:r>
        <w:rPr>
          <w:sz w:val="26"/>
          <w:szCs w:val="26"/>
        </w:rPr>
        <w:t xml:space="preserve">  Columbia asserts that the ALJ properly concluded that Columbia’s “on bill” billing does not constitute provision of service. </w:t>
      </w:r>
      <w:r w:rsidR="00751BEA">
        <w:rPr>
          <w:sz w:val="26"/>
          <w:szCs w:val="26"/>
        </w:rPr>
        <w:t xml:space="preserve"> </w:t>
      </w:r>
      <w:r w:rsidRPr="00A4298F">
        <w:rPr>
          <w:sz w:val="26"/>
          <w:szCs w:val="26"/>
        </w:rPr>
        <w:t>Columbia R. Exc. at</w:t>
      </w:r>
      <w:r>
        <w:rPr>
          <w:sz w:val="26"/>
          <w:szCs w:val="26"/>
        </w:rPr>
        <w:t xml:space="preserve"> 1-9.</w:t>
      </w:r>
    </w:p>
    <w:p w14:paraId="7D63FE2C" w14:textId="77777777" w:rsidR="00305BC5" w:rsidRDefault="00305BC5" w:rsidP="002E6D96">
      <w:pPr>
        <w:pStyle w:val="ListParagraph"/>
        <w:widowControl/>
        <w:spacing w:line="360" w:lineRule="auto"/>
        <w:ind w:left="0" w:firstLine="1440"/>
        <w:rPr>
          <w:sz w:val="26"/>
          <w:szCs w:val="26"/>
        </w:rPr>
      </w:pPr>
    </w:p>
    <w:p w14:paraId="001AD13A" w14:textId="32CD2942" w:rsidR="00305BC5" w:rsidRDefault="00305BC5" w:rsidP="002E6D96">
      <w:pPr>
        <w:pStyle w:val="ListParagraph"/>
        <w:widowControl/>
        <w:spacing w:line="360" w:lineRule="auto"/>
        <w:ind w:left="0" w:firstLine="1440"/>
        <w:rPr>
          <w:sz w:val="26"/>
          <w:szCs w:val="26"/>
        </w:rPr>
      </w:pPr>
      <w:r>
        <w:rPr>
          <w:sz w:val="26"/>
          <w:szCs w:val="26"/>
        </w:rPr>
        <w:t xml:space="preserve">In </w:t>
      </w:r>
      <w:r w:rsidR="00751BEA">
        <w:rPr>
          <w:sz w:val="26"/>
          <w:szCs w:val="26"/>
        </w:rPr>
        <w:t xml:space="preserve">its </w:t>
      </w:r>
      <w:r>
        <w:rPr>
          <w:sz w:val="26"/>
          <w:szCs w:val="26"/>
        </w:rPr>
        <w:t xml:space="preserve">Reply to </w:t>
      </w:r>
      <w:r w:rsidR="00751BEA">
        <w:rPr>
          <w:sz w:val="26"/>
          <w:szCs w:val="26"/>
        </w:rPr>
        <w:t xml:space="preserve">the </w:t>
      </w:r>
      <w:r>
        <w:rPr>
          <w:sz w:val="26"/>
          <w:szCs w:val="26"/>
        </w:rPr>
        <w:t>NGS</w:t>
      </w:r>
      <w:r w:rsidR="00751BEA">
        <w:rPr>
          <w:sz w:val="26"/>
          <w:szCs w:val="26"/>
        </w:rPr>
        <w:t xml:space="preserve"> Parties’</w:t>
      </w:r>
      <w:r>
        <w:rPr>
          <w:sz w:val="26"/>
          <w:szCs w:val="26"/>
        </w:rPr>
        <w:t xml:space="preserve"> Exception No. 2, Columbia </w:t>
      </w:r>
      <w:r w:rsidR="004F180A">
        <w:rPr>
          <w:sz w:val="26"/>
          <w:szCs w:val="26"/>
        </w:rPr>
        <w:t>avers</w:t>
      </w:r>
      <w:r>
        <w:rPr>
          <w:sz w:val="26"/>
          <w:szCs w:val="26"/>
        </w:rPr>
        <w:t xml:space="preserve"> that the ALJ correctly concluded that the NGS Parties failed to carry their burden of proof.  Columbia argues that its decision to limit the provision of “on bill” billing for non-commodity services </w:t>
      </w:r>
      <w:r w:rsidR="004F180A">
        <w:rPr>
          <w:sz w:val="26"/>
          <w:szCs w:val="26"/>
        </w:rPr>
        <w:t xml:space="preserve">for its </w:t>
      </w:r>
      <w:r>
        <w:rPr>
          <w:sz w:val="26"/>
          <w:szCs w:val="26"/>
        </w:rPr>
        <w:t xml:space="preserve">former affiliates is not unreasonably discriminatory. </w:t>
      </w:r>
      <w:r w:rsidR="004F180A">
        <w:rPr>
          <w:sz w:val="26"/>
          <w:szCs w:val="26"/>
        </w:rPr>
        <w:t xml:space="preserve"> </w:t>
      </w:r>
      <w:r w:rsidRPr="00A4298F">
        <w:rPr>
          <w:sz w:val="26"/>
          <w:szCs w:val="26"/>
        </w:rPr>
        <w:t>Columbia R. Exc. at</w:t>
      </w:r>
      <w:r>
        <w:rPr>
          <w:sz w:val="26"/>
          <w:szCs w:val="26"/>
        </w:rPr>
        <w:t xml:space="preserve"> 10-13.  Columbia further argues that provisions of the </w:t>
      </w:r>
      <w:r w:rsidR="004F180A">
        <w:rPr>
          <w:sz w:val="26"/>
          <w:szCs w:val="26"/>
        </w:rPr>
        <w:t>C</w:t>
      </w:r>
      <w:r>
        <w:rPr>
          <w:sz w:val="26"/>
          <w:szCs w:val="26"/>
        </w:rPr>
        <w:t>ode</w:t>
      </w:r>
      <w:r w:rsidR="004F180A">
        <w:rPr>
          <w:sz w:val="26"/>
          <w:szCs w:val="26"/>
        </w:rPr>
        <w:t xml:space="preserve"> authorizing </w:t>
      </w:r>
      <w:r>
        <w:rPr>
          <w:sz w:val="26"/>
          <w:szCs w:val="26"/>
        </w:rPr>
        <w:t xml:space="preserve">Columbia to provide “on bill” billing do not contain corresponding language </w:t>
      </w:r>
      <w:r w:rsidR="004F180A">
        <w:rPr>
          <w:sz w:val="26"/>
          <w:szCs w:val="26"/>
        </w:rPr>
        <w:t xml:space="preserve">that </w:t>
      </w:r>
      <w:r>
        <w:rPr>
          <w:sz w:val="26"/>
          <w:szCs w:val="26"/>
        </w:rPr>
        <w:t>requir</w:t>
      </w:r>
      <w:r w:rsidR="004F180A">
        <w:rPr>
          <w:sz w:val="26"/>
          <w:szCs w:val="26"/>
        </w:rPr>
        <w:t>es</w:t>
      </w:r>
      <w:r>
        <w:rPr>
          <w:sz w:val="26"/>
          <w:szCs w:val="26"/>
        </w:rPr>
        <w:t xml:space="preserve"> Columbia to offer the service to any parties.</w:t>
      </w:r>
      <w:r w:rsidRPr="00AB7EDE">
        <w:rPr>
          <w:sz w:val="26"/>
          <w:szCs w:val="26"/>
        </w:rPr>
        <w:t xml:space="preserve"> </w:t>
      </w:r>
      <w:bookmarkStart w:id="20" w:name="_Hlk531080109"/>
      <w:r w:rsidR="0071611F">
        <w:rPr>
          <w:sz w:val="26"/>
          <w:szCs w:val="26"/>
        </w:rPr>
        <w:t xml:space="preserve"> </w:t>
      </w:r>
      <w:r w:rsidRPr="00A4298F">
        <w:rPr>
          <w:sz w:val="26"/>
          <w:szCs w:val="26"/>
        </w:rPr>
        <w:t>Columbia R. Exc. at</w:t>
      </w:r>
      <w:r>
        <w:rPr>
          <w:sz w:val="26"/>
          <w:szCs w:val="26"/>
        </w:rPr>
        <w:t xml:space="preserve"> 11</w:t>
      </w:r>
      <w:bookmarkEnd w:id="20"/>
      <w:r>
        <w:rPr>
          <w:sz w:val="26"/>
          <w:szCs w:val="26"/>
        </w:rPr>
        <w:t xml:space="preserve">.  Columbia asserts that the provision of such service to two parties does </w:t>
      </w:r>
      <w:r w:rsidR="0071611F">
        <w:rPr>
          <w:sz w:val="26"/>
          <w:szCs w:val="26"/>
        </w:rPr>
        <w:t xml:space="preserve">not </w:t>
      </w:r>
      <w:r>
        <w:rPr>
          <w:sz w:val="26"/>
          <w:szCs w:val="26"/>
        </w:rPr>
        <w:t xml:space="preserve">give rise to the obligation to provide the same service to other parties. </w:t>
      </w:r>
      <w:r w:rsidR="0071611F">
        <w:rPr>
          <w:sz w:val="26"/>
          <w:szCs w:val="26"/>
        </w:rPr>
        <w:t xml:space="preserve"> </w:t>
      </w:r>
      <w:r w:rsidRPr="007E7C1C">
        <w:rPr>
          <w:i/>
          <w:sz w:val="26"/>
          <w:szCs w:val="26"/>
        </w:rPr>
        <w:t>Id.</w:t>
      </w:r>
    </w:p>
    <w:p w14:paraId="1FD95FA3" w14:textId="77777777" w:rsidR="00305BC5" w:rsidRDefault="00305BC5" w:rsidP="002E6D96">
      <w:pPr>
        <w:pStyle w:val="ListParagraph"/>
        <w:widowControl/>
        <w:spacing w:line="360" w:lineRule="auto"/>
        <w:ind w:left="0" w:firstLine="1440"/>
        <w:rPr>
          <w:sz w:val="26"/>
          <w:szCs w:val="26"/>
        </w:rPr>
      </w:pPr>
    </w:p>
    <w:p w14:paraId="71B800B2" w14:textId="430EF635" w:rsidR="00305BC5" w:rsidRDefault="00305BC5" w:rsidP="002E6D96">
      <w:pPr>
        <w:pStyle w:val="ListParagraph"/>
        <w:widowControl/>
        <w:spacing w:line="360" w:lineRule="auto"/>
        <w:ind w:left="0" w:firstLine="1440"/>
        <w:rPr>
          <w:sz w:val="26"/>
          <w:szCs w:val="26"/>
        </w:rPr>
      </w:pPr>
      <w:r>
        <w:rPr>
          <w:sz w:val="26"/>
          <w:szCs w:val="26"/>
        </w:rPr>
        <w:t>I</w:t>
      </w:r>
      <w:r w:rsidRPr="00A4298F">
        <w:rPr>
          <w:sz w:val="26"/>
          <w:szCs w:val="26"/>
        </w:rPr>
        <w:t>n its Repl</w:t>
      </w:r>
      <w:r>
        <w:rPr>
          <w:sz w:val="26"/>
          <w:szCs w:val="26"/>
        </w:rPr>
        <w:t xml:space="preserve">y </w:t>
      </w:r>
      <w:r w:rsidRPr="00A4298F">
        <w:rPr>
          <w:sz w:val="26"/>
          <w:szCs w:val="26"/>
        </w:rPr>
        <w:t>to Exception</w:t>
      </w:r>
      <w:r>
        <w:rPr>
          <w:sz w:val="26"/>
          <w:szCs w:val="26"/>
        </w:rPr>
        <w:t xml:space="preserve"> No. 2 of the NGS Parties, the OCA submits that the NGS Parties failed to demonstrate that their proposal</w:t>
      </w:r>
      <w:r w:rsidR="00D17433">
        <w:rPr>
          <w:sz w:val="26"/>
          <w:szCs w:val="26"/>
        </w:rPr>
        <w:t xml:space="preserve"> </w:t>
      </w:r>
      <w:r>
        <w:rPr>
          <w:sz w:val="26"/>
          <w:szCs w:val="26"/>
        </w:rPr>
        <w:t xml:space="preserve">that the Commission compel Columbia to provide the NGS Parties with the same “on bill” billing of non-commodity products and services which Columbia provides </w:t>
      </w:r>
      <w:r w:rsidR="00D17433">
        <w:rPr>
          <w:sz w:val="26"/>
          <w:szCs w:val="26"/>
        </w:rPr>
        <w:t xml:space="preserve">to </w:t>
      </w:r>
      <w:r>
        <w:rPr>
          <w:sz w:val="26"/>
          <w:szCs w:val="26"/>
        </w:rPr>
        <w:t xml:space="preserve">its former affiliates, is a reasonable solution to the serious issues raised by Columbia’s current billing practice. </w:t>
      </w:r>
      <w:bookmarkStart w:id="21" w:name="_Hlk531080768"/>
      <w:r w:rsidR="00D17433">
        <w:rPr>
          <w:sz w:val="26"/>
          <w:szCs w:val="26"/>
        </w:rPr>
        <w:t xml:space="preserve"> </w:t>
      </w:r>
      <w:r>
        <w:rPr>
          <w:sz w:val="26"/>
          <w:szCs w:val="26"/>
        </w:rPr>
        <w:t xml:space="preserve">OCA </w:t>
      </w:r>
      <w:r w:rsidRPr="00A4298F">
        <w:rPr>
          <w:sz w:val="26"/>
          <w:szCs w:val="26"/>
        </w:rPr>
        <w:t xml:space="preserve">R. Exc. at </w:t>
      </w:r>
      <w:r>
        <w:rPr>
          <w:sz w:val="26"/>
          <w:szCs w:val="26"/>
        </w:rPr>
        <w:t>3-6.</w:t>
      </w:r>
      <w:bookmarkEnd w:id="21"/>
      <w:r>
        <w:rPr>
          <w:sz w:val="26"/>
          <w:szCs w:val="26"/>
        </w:rPr>
        <w:t xml:space="preserve">  </w:t>
      </w:r>
      <w:r w:rsidR="00D17433">
        <w:rPr>
          <w:sz w:val="26"/>
          <w:szCs w:val="26"/>
        </w:rPr>
        <w:t xml:space="preserve">The </w:t>
      </w:r>
      <w:r>
        <w:rPr>
          <w:sz w:val="26"/>
          <w:szCs w:val="26"/>
        </w:rPr>
        <w:t>OCA reiterates</w:t>
      </w:r>
      <w:r w:rsidR="00C15E6F">
        <w:rPr>
          <w:sz w:val="26"/>
          <w:szCs w:val="26"/>
        </w:rPr>
        <w:t xml:space="preserve"> its</w:t>
      </w:r>
      <w:r>
        <w:rPr>
          <w:sz w:val="26"/>
          <w:szCs w:val="26"/>
        </w:rPr>
        <w:t xml:space="preserve"> consumer protection concerns raised by “on bill” billing.  </w:t>
      </w:r>
      <w:r w:rsidR="00C15E6F">
        <w:rPr>
          <w:sz w:val="26"/>
          <w:szCs w:val="26"/>
        </w:rPr>
        <w:t xml:space="preserve">The </w:t>
      </w:r>
      <w:r>
        <w:rPr>
          <w:sz w:val="26"/>
          <w:szCs w:val="26"/>
        </w:rPr>
        <w:t xml:space="preserve">OCA submits that in view </w:t>
      </w:r>
      <w:r w:rsidR="00C15E6F">
        <w:rPr>
          <w:sz w:val="26"/>
          <w:szCs w:val="26"/>
        </w:rPr>
        <w:t>o</w:t>
      </w:r>
      <w:r>
        <w:rPr>
          <w:sz w:val="26"/>
          <w:szCs w:val="26"/>
        </w:rPr>
        <w:t xml:space="preserve">f the customer confusion </w:t>
      </w:r>
      <w:r w:rsidR="00C15E6F">
        <w:rPr>
          <w:sz w:val="26"/>
          <w:szCs w:val="26"/>
        </w:rPr>
        <w:t>concer</w:t>
      </w:r>
      <w:r w:rsidR="00243061">
        <w:rPr>
          <w:sz w:val="26"/>
          <w:szCs w:val="26"/>
        </w:rPr>
        <w:t>n</w:t>
      </w:r>
      <w:r w:rsidR="00C15E6F">
        <w:rPr>
          <w:sz w:val="26"/>
          <w:szCs w:val="26"/>
        </w:rPr>
        <w:t xml:space="preserve"> </w:t>
      </w:r>
      <w:r>
        <w:rPr>
          <w:sz w:val="26"/>
          <w:szCs w:val="26"/>
        </w:rPr>
        <w:t>caused by utility bills which include a line item for non-commodity products and service</w:t>
      </w:r>
      <w:r w:rsidR="00C15E6F">
        <w:rPr>
          <w:sz w:val="26"/>
          <w:szCs w:val="26"/>
        </w:rPr>
        <w:t xml:space="preserve">s </w:t>
      </w:r>
      <w:r w:rsidR="00243061">
        <w:rPr>
          <w:sz w:val="26"/>
          <w:szCs w:val="26"/>
        </w:rPr>
        <w:t xml:space="preserve">and include </w:t>
      </w:r>
      <w:r>
        <w:rPr>
          <w:sz w:val="26"/>
          <w:szCs w:val="26"/>
        </w:rPr>
        <w:t>those charges in the balance due on a utility bill, the OCA advocates against granting the NGS Parties’ proposal</w:t>
      </w:r>
      <w:r w:rsidR="00243061">
        <w:rPr>
          <w:sz w:val="26"/>
          <w:szCs w:val="26"/>
        </w:rPr>
        <w:t xml:space="preserve">. </w:t>
      </w:r>
      <w:r>
        <w:rPr>
          <w:sz w:val="26"/>
          <w:szCs w:val="26"/>
        </w:rPr>
        <w:t xml:space="preserve"> OCA </w:t>
      </w:r>
      <w:r w:rsidRPr="00A4298F">
        <w:rPr>
          <w:sz w:val="26"/>
          <w:szCs w:val="26"/>
        </w:rPr>
        <w:t xml:space="preserve">R. Exc. at </w:t>
      </w:r>
      <w:r>
        <w:rPr>
          <w:sz w:val="26"/>
          <w:szCs w:val="26"/>
        </w:rPr>
        <w:t>3-6.</w:t>
      </w:r>
    </w:p>
    <w:p w14:paraId="3AFFAA3F" w14:textId="77777777" w:rsidR="00305BC5" w:rsidRDefault="00305BC5" w:rsidP="002E6D96">
      <w:pPr>
        <w:pStyle w:val="ListParagraph"/>
        <w:widowControl/>
        <w:spacing w:line="360" w:lineRule="auto"/>
        <w:ind w:left="0" w:firstLine="1440"/>
        <w:rPr>
          <w:sz w:val="26"/>
          <w:szCs w:val="26"/>
        </w:rPr>
      </w:pPr>
    </w:p>
    <w:p w14:paraId="7D32F6D8" w14:textId="2092BEE4" w:rsidR="00305BC5" w:rsidRDefault="00305BC5" w:rsidP="002E6D96">
      <w:pPr>
        <w:pStyle w:val="ListParagraph"/>
        <w:widowControl/>
        <w:spacing w:line="360" w:lineRule="auto"/>
        <w:ind w:left="0" w:firstLine="1440"/>
        <w:rPr>
          <w:sz w:val="26"/>
          <w:szCs w:val="26"/>
        </w:rPr>
      </w:pPr>
      <w:r>
        <w:rPr>
          <w:sz w:val="26"/>
          <w:szCs w:val="26"/>
        </w:rPr>
        <w:t>The OCA submits that the record remains questionable regarding the impact of “on bill” billing on consumers.  In particular, the OCA notes that Columbia’s current billing practice is not reflected in any Columbia Tariff or Commission order approving the practice.</w:t>
      </w:r>
      <w:r w:rsidR="00365794">
        <w:rPr>
          <w:sz w:val="26"/>
          <w:szCs w:val="26"/>
        </w:rPr>
        <w:t xml:space="preserve"> </w:t>
      </w:r>
      <w:r>
        <w:rPr>
          <w:sz w:val="26"/>
          <w:szCs w:val="26"/>
        </w:rPr>
        <w:t xml:space="preserve"> OCA </w:t>
      </w:r>
      <w:r w:rsidRPr="00A4298F">
        <w:rPr>
          <w:sz w:val="26"/>
          <w:szCs w:val="26"/>
        </w:rPr>
        <w:t xml:space="preserve">R. Exc. at </w:t>
      </w:r>
      <w:r>
        <w:rPr>
          <w:sz w:val="26"/>
          <w:szCs w:val="26"/>
        </w:rPr>
        <w:t xml:space="preserve">3.  Given the existing concerns regarding Columbia’s present billing practices, the OCA asserts it would compound the problem to authorize the practice for additional parties, as the NGS Parties request. </w:t>
      </w:r>
      <w:r w:rsidR="00365794">
        <w:rPr>
          <w:sz w:val="26"/>
          <w:szCs w:val="26"/>
        </w:rPr>
        <w:t xml:space="preserve"> </w:t>
      </w:r>
      <w:r>
        <w:rPr>
          <w:sz w:val="26"/>
          <w:szCs w:val="26"/>
        </w:rPr>
        <w:t xml:space="preserve">OCA </w:t>
      </w:r>
      <w:r w:rsidRPr="00A4298F">
        <w:rPr>
          <w:sz w:val="26"/>
          <w:szCs w:val="26"/>
        </w:rPr>
        <w:t>R. Exc. at</w:t>
      </w:r>
      <w:r w:rsidR="002E6D96">
        <w:rPr>
          <w:sz w:val="26"/>
          <w:szCs w:val="26"/>
        </w:rPr>
        <w:t> 3</w:t>
      </w:r>
      <w:r>
        <w:rPr>
          <w:sz w:val="26"/>
          <w:szCs w:val="26"/>
        </w:rPr>
        <w:t>.</w:t>
      </w:r>
    </w:p>
    <w:p w14:paraId="3CDD6B4C" w14:textId="77777777" w:rsidR="002E6D96" w:rsidRDefault="002E6D96" w:rsidP="002E6D96">
      <w:pPr>
        <w:pStyle w:val="ListParagraph"/>
        <w:widowControl/>
        <w:spacing w:line="360" w:lineRule="auto"/>
        <w:ind w:left="0"/>
        <w:rPr>
          <w:b/>
          <w:color w:val="000000"/>
          <w:sz w:val="26"/>
          <w:szCs w:val="26"/>
        </w:rPr>
      </w:pPr>
    </w:p>
    <w:p w14:paraId="56362AD0" w14:textId="20D656D2" w:rsidR="002E6D96" w:rsidRDefault="002E6D96" w:rsidP="002E6D96">
      <w:pPr>
        <w:pStyle w:val="ListParagraph"/>
        <w:widowControl/>
        <w:spacing w:line="360" w:lineRule="auto"/>
        <w:ind w:left="0"/>
        <w:rPr>
          <w:b/>
          <w:color w:val="000000"/>
          <w:sz w:val="26"/>
          <w:szCs w:val="26"/>
        </w:rPr>
      </w:pPr>
      <w:r>
        <w:rPr>
          <w:b/>
          <w:color w:val="000000"/>
          <w:sz w:val="26"/>
          <w:szCs w:val="26"/>
        </w:rPr>
        <w:tab/>
        <w:t>E.</w:t>
      </w:r>
      <w:r>
        <w:rPr>
          <w:b/>
          <w:color w:val="000000"/>
          <w:sz w:val="26"/>
          <w:szCs w:val="26"/>
        </w:rPr>
        <w:tab/>
        <w:t>Disposition</w:t>
      </w:r>
    </w:p>
    <w:p w14:paraId="0843F65E" w14:textId="77777777" w:rsidR="002E6D96" w:rsidRDefault="002E6D96" w:rsidP="002E6D96">
      <w:pPr>
        <w:pStyle w:val="ListParagraph"/>
        <w:widowControl/>
        <w:spacing w:line="360" w:lineRule="auto"/>
        <w:ind w:left="0"/>
        <w:rPr>
          <w:b/>
          <w:color w:val="000000"/>
          <w:sz w:val="26"/>
          <w:szCs w:val="26"/>
        </w:rPr>
      </w:pPr>
    </w:p>
    <w:p w14:paraId="6975E2B5" w14:textId="77A29F98" w:rsidR="008C6567" w:rsidRDefault="002E6D96" w:rsidP="002E6D96">
      <w:pPr>
        <w:pStyle w:val="ListParagraph"/>
        <w:widowControl/>
        <w:spacing w:line="360" w:lineRule="auto"/>
        <w:ind w:left="0"/>
        <w:rPr>
          <w:b/>
          <w:color w:val="000000"/>
          <w:sz w:val="26"/>
          <w:szCs w:val="26"/>
        </w:rPr>
      </w:pPr>
      <w:r>
        <w:rPr>
          <w:b/>
          <w:color w:val="000000"/>
          <w:sz w:val="26"/>
          <w:szCs w:val="26"/>
        </w:rPr>
        <w:tab/>
      </w:r>
      <w:r>
        <w:rPr>
          <w:b/>
          <w:color w:val="000000"/>
          <w:sz w:val="26"/>
          <w:szCs w:val="26"/>
        </w:rPr>
        <w:tab/>
        <w:t>1</w:t>
      </w:r>
      <w:r w:rsidR="008C6567" w:rsidRPr="008C6567">
        <w:rPr>
          <w:b/>
          <w:color w:val="000000"/>
          <w:sz w:val="26"/>
          <w:szCs w:val="26"/>
        </w:rPr>
        <w:t>.</w:t>
      </w:r>
      <w:r w:rsidR="008C6567" w:rsidRPr="008C6567">
        <w:rPr>
          <w:b/>
          <w:color w:val="000000"/>
          <w:sz w:val="26"/>
          <w:szCs w:val="26"/>
        </w:rPr>
        <w:tab/>
      </w:r>
      <w:r w:rsidR="00192848" w:rsidRPr="008C6567">
        <w:rPr>
          <w:b/>
          <w:color w:val="000000"/>
          <w:sz w:val="26"/>
          <w:szCs w:val="26"/>
        </w:rPr>
        <w:t>Burden</w:t>
      </w:r>
      <w:r w:rsidR="008C6567" w:rsidRPr="008C6567">
        <w:rPr>
          <w:b/>
          <w:color w:val="000000"/>
          <w:sz w:val="26"/>
          <w:szCs w:val="26"/>
        </w:rPr>
        <w:t xml:space="preserve"> of Proof</w:t>
      </w:r>
    </w:p>
    <w:p w14:paraId="288A8585" w14:textId="77777777" w:rsidR="008A4A68" w:rsidRPr="008C6567" w:rsidRDefault="008A4A68" w:rsidP="002E6D96">
      <w:pPr>
        <w:pStyle w:val="ListParagraph"/>
        <w:widowControl/>
        <w:spacing w:line="360" w:lineRule="auto"/>
        <w:ind w:left="0"/>
        <w:rPr>
          <w:b/>
          <w:color w:val="000000"/>
          <w:sz w:val="26"/>
          <w:szCs w:val="26"/>
        </w:rPr>
      </w:pPr>
    </w:p>
    <w:p w14:paraId="44553C1B" w14:textId="77777777" w:rsidR="008A4A68" w:rsidRDefault="008A4A68" w:rsidP="002E6D96">
      <w:pPr>
        <w:widowControl/>
        <w:spacing w:line="360" w:lineRule="auto"/>
        <w:ind w:firstLine="1440"/>
        <w:rPr>
          <w:sz w:val="26"/>
          <w:szCs w:val="26"/>
        </w:rPr>
      </w:pPr>
      <w:r w:rsidRPr="0053721B">
        <w:rPr>
          <w:rFonts w:eastAsiaTheme="minorHAnsi"/>
          <w:sz w:val="26"/>
          <w:szCs w:val="26"/>
          <w:lang w:val="en"/>
        </w:rPr>
        <w:t xml:space="preserve">Typically, </w:t>
      </w:r>
      <w:r>
        <w:rPr>
          <w:sz w:val="26"/>
          <w:szCs w:val="26"/>
        </w:rPr>
        <w:t>a</w:t>
      </w:r>
      <w:r w:rsidRPr="004E4F73">
        <w:rPr>
          <w:sz w:val="26"/>
          <w:szCs w:val="26"/>
        </w:rPr>
        <w:t xml:space="preserve"> public utility seeking a general rate increase has the burden of proof to establish the justness and reasonableness of every element of the rate increase request.  66 Pa.C.S. </w:t>
      </w:r>
      <w:r w:rsidRPr="0053721B">
        <w:rPr>
          <w:sz w:val="26"/>
          <w:szCs w:val="26"/>
        </w:rPr>
        <w:t xml:space="preserve">§ 315(a); </w:t>
      </w:r>
      <w:r w:rsidRPr="0053721B">
        <w:rPr>
          <w:i/>
          <w:sz w:val="26"/>
          <w:szCs w:val="26"/>
        </w:rPr>
        <w:t>Pa. Pub. Util. Comm’n v. Aqua Pennsylvania, Inc.</w:t>
      </w:r>
      <w:r w:rsidRPr="0053721B">
        <w:rPr>
          <w:sz w:val="26"/>
          <w:szCs w:val="26"/>
        </w:rPr>
        <w:t>, Docket No. R-00038805, 236 PUR 4th 218, 2004 Pa. PUC LEXIS 39 (Order entered August 5, 2004).</w:t>
      </w:r>
    </w:p>
    <w:p w14:paraId="14EFB865" w14:textId="77777777" w:rsidR="008A4A68" w:rsidRPr="0053721B" w:rsidRDefault="008A4A68" w:rsidP="002E6D96">
      <w:pPr>
        <w:widowControl/>
        <w:spacing w:line="360" w:lineRule="auto"/>
        <w:ind w:firstLine="1440"/>
        <w:rPr>
          <w:sz w:val="26"/>
          <w:szCs w:val="26"/>
        </w:rPr>
      </w:pPr>
    </w:p>
    <w:p w14:paraId="4B81B356" w14:textId="0F5D23C6" w:rsidR="008A4A68" w:rsidRDefault="008A4A68" w:rsidP="002E6D96">
      <w:pPr>
        <w:widowControl/>
        <w:spacing w:line="360" w:lineRule="auto"/>
        <w:ind w:firstLine="1440"/>
        <w:rPr>
          <w:sz w:val="26"/>
          <w:szCs w:val="26"/>
        </w:rPr>
      </w:pPr>
      <w:r>
        <w:rPr>
          <w:rFonts w:eastAsiaTheme="minorHAnsi"/>
          <w:sz w:val="26"/>
          <w:szCs w:val="26"/>
          <w:lang w:val="en"/>
        </w:rPr>
        <w:t xml:space="preserve">In the present case, the </w:t>
      </w:r>
      <w:r w:rsidRPr="006426D5">
        <w:rPr>
          <w:rFonts w:eastAsiaTheme="minorHAnsi"/>
          <w:sz w:val="26"/>
          <w:szCs w:val="26"/>
          <w:lang w:val="en"/>
        </w:rPr>
        <w:t xml:space="preserve">ALJ </w:t>
      </w:r>
      <w:r>
        <w:rPr>
          <w:rFonts w:eastAsiaTheme="minorHAnsi"/>
          <w:sz w:val="26"/>
          <w:szCs w:val="26"/>
          <w:lang w:val="en"/>
        </w:rPr>
        <w:t xml:space="preserve">concluded that the burden </w:t>
      </w:r>
      <w:r w:rsidR="00254F25">
        <w:rPr>
          <w:rFonts w:eastAsiaTheme="minorHAnsi"/>
          <w:sz w:val="26"/>
          <w:szCs w:val="26"/>
          <w:lang w:val="en"/>
        </w:rPr>
        <w:t xml:space="preserve">of proof </w:t>
      </w:r>
      <w:r>
        <w:rPr>
          <w:rFonts w:eastAsiaTheme="minorHAnsi"/>
          <w:sz w:val="26"/>
          <w:szCs w:val="26"/>
          <w:lang w:val="en"/>
        </w:rPr>
        <w:t>shifted to the NGS Parties</w:t>
      </w:r>
      <w:r w:rsidR="00254F25">
        <w:rPr>
          <w:rFonts w:eastAsiaTheme="minorHAnsi"/>
          <w:sz w:val="26"/>
          <w:szCs w:val="26"/>
          <w:lang w:val="en"/>
        </w:rPr>
        <w:t xml:space="preserve"> </w:t>
      </w:r>
      <w:r w:rsidR="00AE6D81">
        <w:rPr>
          <w:rFonts w:eastAsiaTheme="minorHAnsi"/>
          <w:sz w:val="26"/>
          <w:szCs w:val="26"/>
          <w:lang w:val="en"/>
        </w:rPr>
        <w:t xml:space="preserve">because they were the proponent of an issue that </w:t>
      </w:r>
      <w:r w:rsidR="00185236">
        <w:rPr>
          <w:sz w:val="26"/>
          <w:szCs w:val="26"/>
        </w:rPr>
        <w:t xml:space="preserve">was not </w:t>
      </w:r>
      <w:r w:rsidR="00185236" w:rsidRPr="003D7E5F">
        <w:rPr>
          <w:sz w:val="26"/>
          <w:szCs w:val="26"/>
        </w:rPr>
        <w:t>included in the companies’ filings</w:t>
      </w:r>
      <w:r w:rsidR="002066AF">
        <w:rPr>
          <w:sz w:val="26"/>
          <w:szCs w:val="26"/>
        </w:rPr>
        <w:t xml:space="preserve">, </w:t>
      </w:r>
      <w:r w:rsidR="002066AF" w:rsidRPr="002066AF">
        <w:rPr>
          <w:i/>
          <w:sz w:val="26"/>
          <w:szCs w:val="26"/>
        </w:rPr>
        <w:t>i.e</w:t>
      </w:r>
      <w:r w:rsidR="002066AF">
        <w:rPr>
          <w:sz w:val="26"/>
          <w:szCs w:val="26"/>
        </w:rPr>
        <w:t>.</w:t>
      </w:r>
      <w:r w:rsidR="00185236">
        <w:rPr>
          <w:sz w:val="26"/>
          <w:szCs w:val="26"/>
        </w:rPr>
        <w:t>,</w:t>
      </w:r>
      <w:r w:rsidR="00254F25" w:rsidRPr="003D7E5F">
        <w:rPr>
          <w:sz w:val="26"/>
          <w:szCs w:val="26"/>
        </w:rPr>
        <w:t xml:space="preserve"> </w:t>
      </w:r>
      <w:r w:rsidR="002066AF">
        <w:rPr>
          <w:sz w:val="26"/>
          <w:szCs w:val="26"/>
        </w:rPr>
        <w:t xml:space="preserve">whether </w:t>
      </w:r>
      <w:r w:rsidR="003557D8">
        <w:rPr>
          <w:sz w:val="26"/>
          <w:szCs w:val="26"/>
        </w:rPr>
        <w:t>Columbia is required to offer “on bill” billing to the NGS Parties</w:t>
      </w:r>
      <w:r w:rsidRPr="003D7E5F">
        <w:rPr>
          <w:sz w:val="26"/>
          <w:szCs w:val="26"/>
        </w:rPr>
        <w:t>.</w:t>
      </w:r>
      <w:r>
        <w:rPr>
          <w:sz w:val="26"/>
          <w:szCs w:val="26"/>
        </w:rPr>
        <w:t xml:space="preserve"> R.D. at 91-93, </w:t>
      </w:r>
      <w:r w:rsidRPr="00303036">
        <w:rPr>
          <w:i/>
          <w:sz w:val="26"/>
          <w:szCs w:val="26"/>
        </w:rPr>
        <w:t>Citing</w:t>
      </w:r>
      <w:r>
        <w:rPr>
          <w:rFonts w:eastAsiaTheme="minorHAnsi"/>
          <w:sz w:val="26"/>
          <w:szCs w:val="26"/>
          <w:lang w:val="en"/>
        </w:rPr>
        <w:t xml:space="preserve">, </w:t>
      </w:r>
      <w:r w:rsidRPr="00D52EF0">
        <w:rPr>
          <w:i/>
          <w:sz w:val="26"/>
          <w:szCs w:val="26"/>
        </w:rPr>
        <w:t xml:space="preserve">Pa. Pub. Util. Comm’n v. </w:t>
      </w:r>
      <w:r w:rsidRPr="00A43FCF">
        <w:rPr>
          <w:i/>
          <w:sz w:val="26"/>
          <w:szCs w:val="26"/>
        </w:rPr>
        <w:t>Metropolitan Edison Company,</w:t>
      </w:r>
      <w:r w:rsidRPr="00A43FCF">
        <w:rPr>
          <w:sz w:val="26"/>
          <w:szCs w:val="26"/>
        </w:rPr>
        <w:t xml:space="preserve"> Docket No. R-00061366, 2007 Pa. PUC LEXIS 5 (January 11, 2007)</w:t>
      </w:r>
      <w:r>
        <w:rPr>
          <w:sz w:val="26"/>
          <w:szCs w:val="26"/>
        </w:rPr>
        <w:t>.</w:t>
      </w:r>
    </w:p>
    <w:p w14:paraId="0C1805A9" w14:textId="66E6EB6D" w:rsidR="005079F6" w:rsidRPr="003C351F" w:rsidRDefault="005079F6" w:rsidP="002E6D96">
      <w:pPr>
        <w:pStyle w:val="ListParagraph"/>
        <w:widowControl/>
        <w:spacing w:line="360" w:lineRule="auto"/>
        <w:ind w:left="0"/>
        <w:jc w:val="center"/>
        <w:rPr>
          <w:color w:val="000000"/>
          <w:sz w:val="26"/>
          <w:szCs w:val="26"/>
        </w:rPr>
      </w:pPr>
    </w:p>
    <w:p w14:paraId="787EDE58" w14:textId="4DA8770D" w:rsidR="008C6567" w:rsidRPr="001F3E32" w:rsidRDefault="002E6D96" w:rsidP="002E6D96">
      <w:pPr>
        <w:pStyle w:val="ListParagraph"/>
        <w:keepNext/>
        <w:keepLines/>
        <w:widowControl/>
        <w:spacing w:line="360" w:lineRule="auto"/>
        <w:ind w:left="0"/>
        <w:rPr>
          <w:b/>
          <w:color w:val="000000"/>
          <w:sz w:val="26"/>
          <w:szCs w:val="26"/>
        </w:rPr>
      </w:pPr>
      <w:r>
        <w:rPr>
          <w:b/>
          <w:color w:val="000000"/>
          <w:sz w:val="26"/>
          <w:szCs w:val="26"/>
        </w:rPr>
        <w:tab/>
      </w:r>
      <w:r w:rsidR="001F3E32">
        <w:rPr>
          <w:b/>
          <w:color w:val="000000"/>
          <w:sz w:val="26"/>
          <w:szCs w:val="26"/>
        </w:rPr>
        <w:tab/>
      </w:r>
      <w:r>
        <w:rPr>
          <w:b/>
          <w:color w:val="000000"/>
          <w:sz w:val="26"/>
          <w:szCs w:val="26"/>
        </w:rPr>
        <w:t>2.</w:t>
      </w:r>
      <w:r w:rsidR="001F3E32">
        <w:rPr>
          <w:b/>
          <w:color w:val="000000"/>
          <w:sz w:val="26"/>
          <w:szCs w:val="26"/>
        </w:rPr>
        <w:tab/>
      </w:r>
      <w:r w:rsidR="008C6567" w:rsidRPr="001F3E32">
        <w:rPr>
          <w:b/>
          <w:color w:val="000000"/>
          <w:sz w:val="26"/>
          <w:szCs w:val="26"/>
        </w:rPr>
        <w:t>Discrimination in Provision of Service</w:t>
      </w:r>
    </w:p>
    <w:p w14:paraId="3624C96F" w14:textId="00C4C7B3" w:rsidR="008C6567" w:rsidRDefault="008C6567" w:rsidP="002E6D96">
      <w:pPr>
        <w:keepNext/>
        <w:keepLines/>
        <w:widowControl/>
        <w:spacing w:line="360" w:lineRule="auto"/>
        <w:rPr>
          <w:rFonts w:eastAsiaTheme="minorHAnsi"/>
          <w:sz w:val="26"/>
          <w:szCs w:val="26"/>
          <w:lang w:val="en"/>
        </w:rPr>
      </w:pPr>
    </w:p>
    <w:p w14:paraId="3C507DB8" w14:textId="4DC46BEE" w:rsidR="008C6567" w:rsidRDefault="008C6567" w:rsidP="002E6D96">
      <w:pPr>
        <w:widowControl/>
        <w:spacing w:line="360" w:lineRule="auto"/>
        <w:ind w:firstLine="1440"/>
        <w:rPr>
          <w:rFonts w:eastAsiaTheme="minorHAnsi"/>
          <w:sz w:val="26"/>
          <w:szCs w:val="26"/>
          <w:lang w:val="en"/>
        </w:rPr>
      </w:pPr>
      <w:r w:rsidRPr="00657ACE">
        <w:rPr>
          <w:rFonts w:eastAsiaTheme="minorHAnsi"/>
          <w:sz w:val="26"/>
          <w:szCs w:val="26"/>
          <w:lang w:val="en"/>
        </w:rPr>
        <w:t xml:space="preserve">The ALJ concluded that the Commission lacks jurisdiction to determine whether the Columbia </w:t>
      </w:r>
      <w:r>
        <w:rPr>
          <w:rFonts w:eastAsiaTheme="minorHAnsi"/>
          <w:sz w:val="26"/>
          <w:szCs w:val="26"/>
          <w:lang w:val="en"/>
        </w:rPr>
        <w:t xml:space="preserve">“on bill” </w:t>
      </w:r>
      <w:r w:rsidRPr="00657ACE">
        <w:rPr>
          <w:rFonts w:eastAsiaTheme="minorHAnsi"/>
          <w:sz w:val="26"/>
          <w:szCs w:val="26"/>
          <w:lang w:val="en"/>
        </w:rPr>
        <w:t xml:space="preserve">billing practice at issue is discriminatory.  </w:t>
      </w:r>
      <w:r w:rsidR="004760C4">
        <w:rPr>
          <w:rFonts w:eastAsiaTheme="minorHAnsi"/>
          <w:sz w:val="26"/>
          <w:szCs w:val="26"/>
          <w:lang w:val="en"/>
        </w:rPr>
        <w:t>As discussed in more detail bel</w:t>
      </w:r>
      <w:r w:rsidR="00C15976">
        <w:rPr>
          <w:rFonts w:eastAsiaTheme="minorHAnsi"/>
          <w:sz w:val="26"/>
          <w:szCs w:val="26"/>
          <w:lang w:val="en"/>
        </w:rPr>
        <w:t>o</w:t>
      </w:r>
      <w:r w:rsidR="004760C4">
        <w:rPr>
          <w:rFonts w:eastAsiaTheme="minorHAnsi"/>
          <w:sz w:val="26"/>
          <w:szCs w:val="26"/>
          <w:lang w:val="en"/>
        </w:rPr>
        <w:t xml:space="preserve">w, we disagree with the ALJ.  </w:t>
      </w:r>
      <w:r w:rsidRPr="00657ACE">
        <w:rPr>
          <w:rFonts w:eastAsiaTheme="minorHAnsi"/>
          <w:sz w:val="26"/>
          <w:szCs w:val="26"/>
          <w:lang w:val="en"/>
        </w:rPr>
        <w:t>We find that Columbia’s billing practice constitutes “service” as the term is defined under Section 102 of the Code</w:t>
      </w:r>
      <w:r>
        <w:rPr>
          <w:rFonts w:eastAsiaTheme="minorHAnsi"/>
          <w:sz w:val="26"/>
          <w:szCs w:val="26"/>
          <w:lang w:val="en"/>
        </w:rPr>
        <w:t>, 66 Pa. C.S. §</w:t>
      </w:r>
      <w:r w:rsidR="009960BB">
        <w:rPr>
          <w:rFonts w:eastAsiaTheme="minorHAnsi"/>
          <w:sz w:val="26"/>
          <w:szCs w:val="26"/>
          <w:lang w:val="en"/>
        </w:rPr>
        <w:t> </w:t>
      </w:r>
      <w:r>
        <w:rPr>
          <w:rFonts w:eastAsiaTheme="minorHAnsi"/>
          <w:sz w:val="26"/>
          <w:szCs w:val="26"/>
          <w:lang w:val="en"/>
        </w:rPr>
        <w:t>102</w:t>
      </w:r>
      <w:r w:rsidRPr="00657ACE">
        <w:rPr>
          <w:rFonts w:eastAsiaTheme="minorHAnsi"/>
          <w:sz w:val="26"/>
          <w:szCs w:val="26"/>
          <w:lang w:val="en"/>
        </w:rPr>
        <w:t xml:space="preserve">, and is subject to the Commission’s jurisdiction </w:t>
      </w:r>
      <w:r>
        <w:rPr>
          <w:rFonts w:eastAsiaTheme="minorHAnsi"/>
          <w:sz w:val="26"/>
          <w:szCs w:val="26"/>
          <w:lang w:val="en"/>
        </w:rPr>
        <w:t xml:space="preserve">to </w:t>
      </w:r>
      <w:r w:rsidRPr="00657ACE">
        <w:rPr>
          <w:rFonts w:eastAsiaTheme="minorHAnsi"/>
          <w:sz w:val="26"/>
          <w:szCs w:val="26"/>
          <w:lang w:val="en"/>
        </w:rPr>
        <w:t>determin</w:t>
      </w:r>
      <w:r>
        <w:rPr>
          <w:rFonts w:eastAsiaTheme="minorHAnsi"/>
          <w:sz w:val="26"/>
          <w:szCs w:val="26"/>
          <w:lang w:val="en"/>
        </w:rPr>
        <w:t>e</w:t>
      </w:r>
      <w:r w:rsidRPr="00657ACE">
        <w:rPr>
          <w:rFonts w:eastAsiaTheme="minorHAnsi"/>
          <w:sz w:val="26"/>
          <w:szCs w:val="26"/>
          <w:lang w:val="en"/>
        </w:rPr>
        <w:t xml:space="preserve"> whether the practice violates Section</w:t>
      </w:r>
      <w:r>
        <w:rPr>
          <w:rFonts w:eastAsiaTheme="minorHAnsi"/>
          <w:sz w:val="26"/>
          <w:szCs w:val="26"/>
          <w:lang w:val="en"/>
        </w:rPr>
        <w:t>s</w:t>
      </w:r>
      <w:r w:rsidRPr="00657ACE">
        <w:rPr>
          <w:rFonts w:eastAsiaTheme="minorHAnsi"/>
          <w:sz w:val="26"/>
          <w:szCs w:val="26"/>
          <w:lang w:val="en"/>
        </w:rPr>
        <w:t xml:space="preserve"> 1502 </w:t>
      </w:r>
      <w:r>
        <w:rPr>
          <w:rFonts w:eastAsiaTheme="minorHAnsi"/>
          <w:sz w:val="26"/>
          <w:szCs w:val="26"/>
          <w:lang w:val="en"/>
        </w:rPr>
        <w:t xml:space="preserve">and 2203(4), 66 Pa. C.S. §§ 1502 and 2203(4) </w:t>
      </w:r>
      <w:r w:rsidRPr="00657ACE">
        <w:rPr>
          <w:rFonts w:eastAsiaTheme="minorHAnsi"/>
          <w:sz w:val="26"/>
          <w:szCs w:val="26"/>
          <w:lang w:val="en"/>
        </w:rPr>
        <w:t>prohibit</w:t>
      </w:r>
      <w:r>
        <w:rPr>
          <w:rFonts w:eastAsiaTheme="minorHAnsi"/>
          <w:sz w:val="26"/>
          <w:szCs w:val="26"/>
          <w:lang w:val="en"/>
        </w:rPr>
        <w:t xml:space="preserve">ing </w:t>
      </w:r>
      <w:r w:rsidRPr="00657ACE">
        <w:rPr>
          <w:rFonts w:eastAsiaTheme="minorHAnsi"/>
          <w:sz w:val="26"/>
          <w:szCs w:val="26"/>
          <w:lang w:val="en"/>
        </w:rPr>
        <w:t xml:space="preserve">discrimination </w:t>
      </w:r>
      <w:r>
        <w:rPr>
          <w:rFonts w:eastAsiaTheme="minorHAnsi"/>
          <w:sz w:val="26"/>
          <w:szCs w:val="26"/>
          <w:lang w:val="en"/>
        </w:rPr>
        <w:t xml:space="preserve">and anti-competitive practices in the provision of </w:t>
      </w:r>
      <w:r w:rsidRPr="00657ACE">
        <w:rPr>
          <w:rFonts w:eastAsiaTheme="minorHAnsi"/>
          <w:sz w:val="26"/>
          <w:szCs w:val="26"/>
          <w:lang w:val="en"/>
        </w:rPr>
        <w:t>service.</w:t>
      </w:r>
      <w:r>
        <w:rPr>
          <w:rFonts w:eastAsiaTheme="minorHAnsi"/>
          <w:sz w:val="26"/>
          <w:szCs w:val="26"/>
          <w:lang w:val="en"/>
        </w:rPr>
        <w:t xml:space="preserve">  </w:t>
      </w:r>
      <w:r w:rsidRPr="00657ACE">
        <w:rPr>
          <w:rFonts w:eastAsiaTheme="minorHAnsi"/>
          <w:sz w:val="26"/>
          <w:szCs w:val="26"/>
          <w:lang w:val="en"/>
        </w:rPr>
        <w:t xml:space="preserve">Further, we </w:t>
      </w:r>
      <w:r>
        <w:rPr>
          <w:rFonts w:eastAsiaTheme="minorHAnsi"/>
          <w:sz w:val="26"/>
          <w:szCs w:val="26"/>
          <w:lang w:val="en"/>
        </w:rPr>
        <w:t>find that</w:t>
      </w:r>
      <w:r w:rsidRPr="00657ACE">
        <w:rPr>
          <w:rFonts w:eastAsiaTheme="minorHAnsi"/>
          <w:sz w:val="26"/>
          <w:szCs w:val="26"/>
          <w:lang w:val="en"/>
        </w:rPr>
        <w:t xml:space="preserve"> Columbia’s </w:t>
      </w:r>
      <w:r>
        <w:rPr>
          <w:rFonts w:eastAsiaTheme="minorHAnsi"/>
          <w:sz w:val="26"/>
          <w:szCs w:val="26"/>
          <w:lang w:val="en"/>
        </w:rPr>
        <w:t>“on bill” b</w:t>
      </w:r>
      <w:r w:rsidRPr="00657ACE">
        <w:rPr>
          <w:rFonts w:eastAsiaTheme="minorHAnsi"/>
          <w:sz w:val="26"/>
          <w:szCs w:val="26"/>
          <w:lang w:val="en"/>
        </w:rPr>
        <w:t>illing</w:t>
      </w:r>
      <w:r>
        <w:rPr>
          <w:rFonts w:eastAsiaTheme="minorHAnsi"/>
          <w:sz w:val="26"/>
          <w:szCs w:val="26"/>
          <w:lang w:val="en"/>
        </w:rPr>
        <w:t xml:space="preserve"> practice </w:t>
      </w:r>
      <w:r w:rsidRPr="00657ACE">
        <w:rPr>
          <w:rFonts w:eastAsiaTheme="minorHAnsi"/>
          <w:sz w:val="26"/>
          <w:szCs w:val="26"/>
          <w:lang w:val="en"/>
        </w:rPr>
        <w:t xml:space="preserve">is </w:t>
      </w:r>
      <w:r>
        <w:rPr>
          <w:rFonts w:eastAsiaTheme="minorHAnsi"/>
          <w:sz w:val="26"/>
          <w:szCs w:val="26"/>
          <w:lang w:val="en"/>
        </w:rPr>
        <w:t xml:space="preserve">unreasonable and </w:t>
      </w:r>
      <w:r w:rsidRPr="00657ACE">
        <w:rPr>
          <w:rFonts w:eastAsiaTheme="minorHAnsi"/>
          <w:sz w:val="26"/>
          <w:szCs w:val="26"/>
          <w:lang w:val="en"/>
        </w:rPr>
        <w:t>discriminatory</w:t>
      </w:r>
      <w:r>
        <w:rPr>
          <w:rFonts w:eastAsiaTheme="minorHAnsi"/>
          <w:sz w:val="26"/>
          <w:szCs w:val="26"/>
          <w:lang w:val="en"/>
        </w:rPr>
        <w:t xml:space="preserve"> in this instance</w:t>
      </w:r>
      <w:r w:rsidRPr="00657ACE">
        <w:rPr>
          <w:rFonts w:eastAsiaTheme="minorHAnsi"/>
          <w:sz w:val="26"/>
          <w:szCs w:val="26"/>
          <w:lang w:val="en"/>
        </w:rPr>
        <w:t>.</w:t>
      </w:r>
    </w:p>
    <w:p w14:paraId="76F3BFE0" w14:textId="77777777" w:rsidR="008C6567" w:rsidRDefault="008C6567" w:rsidP="002E6D96">
      <w:pPr>
        <w:widowControl/>
        <w:spacing w:line="360" w:lineRule="auto"/>
        <w:ind w:firstLine="1440"/>
        <w:rPr>
          <w:rFonts w:eastAsiaTheme="minorHAnsi"/>
          <w:sz w:val="26"/>
          <w:szCs w:val="26"/>
          <w:lang w:val="en"/>
        </w:rPr>
      </w:pPr>
    </w:p>
    <w:p w14:paraId="0014F1E2" w14:textId="3A291F46" w:rsidR="008C6567" w:rsidRDefault="008C6567" w:rsidP="002E6D96">
      <w:pPr>
        <w:widowControl/>
        <w:spacing w:line="360" w:lineRule="auto"/>
        <w:ind w:firstLine="1440"/>
        <w:rPr>
          <w:sz w:val="26"/>
          <w:szCs w:val="26"/>
        </w:rPr>
      </w:pPr>
      <w:r>
        <w:rPr>
          <w:sz w:val="26"/>
          <w:szCs w:val="26"/>
        </w:rPr>
        <w:lastRenderedPageBreak/>
        <w:t>Columbia’s billing practice related to n</w:t>
      </w:r>
      <w:r w:rsidRPr="0014579C">
        <w:rPr>
          <w:sz w:val="26"/>
          <w:szCs w:val="26"/>
        </w:rPr>
        <w:t>on-commodity products and services constitutes a public utility service as th</w:t>
      </w:r>
      <w:r>
        <w:rPr>
          <w:sz w:val="26"/>
          <w:szCs w:val="26"/>
        </w:rPr>
        <w:t xml:space="preserve">e </w:t>
      </w:r>
      <w:r w:rsidRPr="0014579C">
        <w:rPr>
          <w:sz w:val="26"/>
          <w:szCs w:val="26"/>
        </w:rPr>
        <w:t xml:space="preserve">term </w:t>
      </w:r>
      <w:r>
        <w:rPr>
          <w:sz w:val="26"/>
          <w:szCs w:val="26"/>
        </w:rPr>
        <w:t xml:space="preserve">“service” </w:t>
      </w:r>
      <w:r w:rsidRPr="0014579C">
        <w:rPr>
          <w:sz w:val="26"/>
          <w:szCs w:val="26"/>
        </w:rPr>
        <w:t xml:space="preserve">is defined by </w:t>
      </w:r>
      <w:r>
        <w:rPr>
          <w:sz w:val="26"/>
          <w:szCs w:val="26"/>
        </w:rPr>
        <w:t xml:space="preserve">Section 102 of </w:t>
      </w:r>
      <w:r w:rsidRPr="0014579C">
        <w:rPr>
          <w:sz w:val="26"/>
          <w:szCs w:val="26"/>
        </w:rPr>
        <w:t>the Code</w:t>
      </w:r>
      <w:bookmarkStart w:id="22" w:name="_Hlk531088398"/>
      <w:r>
        <w:rPr>
          <w:sz w:val="26"/>
          <w:szCs w:val="26"/>
        </w:rPr>
        <w:t xml:space="preserve">, </w:t>
      </w:r>
      <w:r w:rsidRPr="0014579C">
        <w:rPr>
          <w:sz w:val="26"/>
          <w:szCs w:val="26"/>
        </w:rPr>
        <w:t>66 Pa.C.S. 102</w:t>
      </w:r>
      <w:bookmarkEnd w:id="22"/>
      <w:r>
        <w:rPr>
          <w:sz w:val="26"/>
          <w:szCs w:val="26"/>
        </w:rPr>
        <w:t>, which provides</w:t>
      </w:r>
      <w:r w:rsidRPr="0014579C">
        <w:rPr>
          <w:sz w:val="26"/>
          <w:szCs w:val="26"/>
        </w:rPr>
        <w:t>:</w:t>
      </w:r>
    </w:p>
    <w:p w14:paraId="3E90282B" w14:textId="77777777" w:rsidR="008C6567" w:rsidRPr="0014579C" w:rsidRDefault="008C6567" w:rsidP="002E6D96">
      <w:pPr>
        <w:widowControl/>
        <w:spacing w:line="360" w:lineRule="auto"/>
        <w:ind w:firstLine="1440"/>
        <w:rPr>
          <w:sz w:val="26"/>
          <w:szCs w:val="26"/>
        </w:rPr>
      </w:pPr>
    </w:p>
    <w:p w14:paraId="3B61D4E3" w14:textId="6EE21B4C" w:rsidR="008C6567" w:rsidRPr="0014579C" w:rsidRDefault="00CF208A" w:rsidP="002E6D96">
      <w:pPr>
        <w:widowControl/>
        <w:ind w:left="1440" w:right="2160"/>
        <w:rPr>
          <w:sz w:val="26"/>
          <w:szCs w:val="26"/>
        </w:rPr>
      </w:pPr>
      <w:r>
        <w:rPr>
          <w:sz w:val="26"/>
          <w:szCs w:val="26"/>
        </w:rPr>
        <w:t>‘</w:t>
      </w:r>
      <w:r w:rsidR="008C6567" w:rsidRPr="0014579C">
        <w:rPr>
          <w:sz w:val="26"/>
          <w:szCs w:val="26"/>
        </w:rPr>
        <w:t>Service.</w:t>
      </w:r>
      <w:r>
        <w:rPr>
          <w:sz w:val="26"/>
          <w:szCs w:val="26"/>
        </w:rPr>
        <w:t>’</w:t>
      </w:r>
      <w:r w:rsidR="008C6567" w:rsidRPr="0014579C">
        <w:rPr>
          <w:sz w:val="26"/>
          <w:szCs w:val="26"/>
        </w:rPr>
        <w:t xml:space="preserve"> Used in its broadest and most inclusive sense, includes any and all acts done, rendered, or performed, and any and all things furnished or supplied, and any and all facilities used, furnished, or supplied by public utilities</w:t>
      </w:r>
      <w:r>
        <w:rPr>
          <w:sz w:val="26"/>
          <w:szCs w:val="26"/>
        </w:rPr>
        <w:t xml:space="preserve"> </w:t>
      </w:r>
      <w:r w:rsidR="008C6567" w:rsidRPr="0014579C">
        <w:rPr>
          <w:sz w:val="26"/>
          <w:szCs w:val="26"/>
        </w:rPr>
        <w:t>. . .</w:t>
      </w:r>
    </w:p>
    <w:p w14:paraId="5559FAA5" w14:textId="0373C506" w:rsidR="007D01D5" w:rsidRDefault="007D01D5" w:rsidP="002E6D96">
      <w:pPr>
        <w:widowControl/>
        <w:rPr>
          <w:sz w:val="26"/>
          <w:szCs w:val="26"/>
        </w:rPr>
      </w:pPr>
    </w:p>
    <w:p w14:paraId="0B5A21D1" w14:textId="5E35FB93" w:rsidR="0028247A" w:rsidRDefault="0028247A" w:rsidP="002E6D96">
      <w:pPr>
        <w:widowControl/>
        <w:rPr>
          <w:sz w:val="26"/>
          <w:szCs w:val="26"/>
        </w:rPr>
      </w:pPr>
    </w:p>
    <w:p w14:paraId="5801206D" w14:textId="311A2B1A" w:rsidR="0028247A" w:rsidRDefault="0028247A" w:rsidP="002E6D96">
      <w:pPr>
        <w:widowControl/>
        <w:spacing w:line="360" w:lineRule="auto"/>
        <w:rPr>
          <w:sz w:val="26"/>
          <w:szCs w:val="26"/>
        </w:rPr>
      </w:pPr>
      <w:r w:rsidRPr="0014579C">
        <w:rPr>
          <w:sz w:val="26"/>
          <w:szCs w:val="26"/>
        </w:rPr>
        <w:t xml:space="preserve">66 Pa.C.S. </w:t>
      </w:r>
      <w:r>
        <w:rPr>
          <w:sz w:val="26"/>
          <w:szCs w:val="26"/>
        </w:rPr>
        <w:t xml:space="preserve">§ </w:t>
      </w:r>
      <w:r w:rsidRPr="0014579C">
        <w:rPr>
          <w:sz w:val="26"/>
          <w:szCs w:val="26"/>
        </w:rPr>
        <w:t>102</w:t>
      </w:r>
      <w:r>
        <w:rPr>
          <w:sz w:val="26"/>
          <w:szCs w:val="26"/>
        </w:rPr>
        <w:t>.</w:t>
      </w:r>
    </w:p>
    <w:p w14:paraId="53F45212" w14:textId="77777777" w:rsidR="0028247A" w:rsidRDefault="0028247A" w:rsidP="002E6D96">
      <w:pPr>
        <w:widowControl/>
        <w:spacing w:line="360" w:lineRule="auto"/>
        <w:rPr>
          <w:sz w:val="26"/>
          <w:szCs w:val="26"/>
        </w:rPr>
      </w:pPr>
    </w:p>
    <w:p w14:paraId="7310B6E8" w14:textId="4C61D5E5" w:rsidR="008C6567" w:rsidRPr="0014579C" w:rsidRDefault="008C6567" w:rsidP="002E6D96">
      <w:pPr>
        <w:widowControl/>
        <w:spacing w:line="360" w:lineRule="auto"/>
        <w:ind w:firstLine="1440"/>
        <w:rPr>
          <w:sz w:val="26"/>
          <w:szCs w:val="26"/>
        </w:rPr>
      </w:pPr>
      <w:r>
        <w:rPr>
          <w:sz w:val="26"/>
          <w:szCs w:val="26"/>
        </w:rPr>
        <w:t xml:space="preserve">Similarly, the </w:t>
      </w:r>
      <w:r w:rsidRPr="0014579C">
        <w:rPr>
          <w:sz w:val="26"/>
          <w:szCs w:val="26"/>
        </w:rPr>
        <w:t xml:space="preserve">Commonwealth Court has </w:t>
      </w:r>
      <w:r>
        <w:rPr>
          <w:sz w:val="26"/>
          <w:szCs w:val="26"/>
        </w:rPr>
        <w:t xml:space="preserve">held that </w:t>
      </w:r>
      <w:r w:rsidRPr="0014579C">
        <w:rPr>
          <w:sz w:val="26"/>
          <w:szCs w:val="26"/>
        </w:rPr>
        <w:t xml:space="preserve">billing falls under the definition of service in Section 102, and therefore falls within the jurisdiction of Commission regulation. </w:t>
      </w:r>
      <w:r w:rsidRPr="0014579C">
        <w:rPr>
          <w:i/>
          <w:sz w:val="26"/>
          <w:szCs w:val="26"/>
        </w:rPr>
        <w:t>Aronson v. Pa. PUC</w:t>
      </w:r>
      <w:r w:rsidRPr="0014579C">
        <w:rPr>
          <w:sz w:val="26"/>
          <w:szCs w:val="26"/>
        </w:rPr>
        <w:t>, 740 A.2d 1208 (</w:t>
      </w:r>
      <w:r w:rsidRPr="0014579C">
        <w:rPr>
          <w:i/>
          <w:sz w:val="26"/>
          <w:szCs w:val="26"/>
        </w:rPr>
        <w:t>Pa. Cmwlth.</w:t>
      </w:r>
      <w:r w:rsidRPr="0014579C">
        <w:rPr>
          <w:sz w:val="26"/>
          <w:szCs w:val="26"/>
        </w:rPr>
        <w:t xml:space="preserve"> 1999).</w:t>
      </w:r>
      <w:r>
        <w:rPr>
          <w:sz w:val="26"/>
          <w:szCs w:val="26"/>
        </w:rPr>
        <w:t xml:space="preserve">  Therefore, Columbia’s billing practice </w:t>
      </w:r>
      <w:r w:rsidRPr="0014579C">
        <w:rPr>
          <w:sz w:val="26"/>
          <w:szCs w:val="26"/>
        </w:rPr>
        <w:t xml:space="preserve">is subject to the same </w:t>
      </w:r>
      <w:r>
        <w:rPr>
          <w:sz w:val="26"/>
          <w:szCs w:val="26"/>
        </w:rPr>
        <w:t xml:space="preserve">prohibitions of </w:t>
      </w:r>
      <w:r w:rsidRPr="0014579C">
        <w:rPr>
          <w:sz w:val="26"/>
          <w:szCs w:val="26"/>
        </w:rPr>
        <w:t xml:space="preserve">discriminatory and anti-competitive </w:t>
      </w:r>
      <w:r>
        <w:rPr>
          <w:sz w:val="26"/>
          <w:szCs w:val="26"/>
        </w:rPr>
        <w:t>practice</w:t>
      </w:r>
      <w:r w:rsidRPr="0014579C">
        <w:rPr>
          <w:sz w:val="26"/>
          <w:szCs w:val="26"/>
        </w:rPr>
        <w:t xml:space="preserve"> </w:t>
      </w:r>
      <w:r>
        <w:rPr>
          <w:sz w:val="26"/>
          <w:szCs w:val="26"/>
        </w:rPr>
        <w:t>applicable to the provision of service under Sections 1502 and 2203(4) of the</w:t>
      </w:r>
      <w:r w:rsidR="0028247A">
        <w:rPr>
          <w:sz w:val="26"/>
          <w:szCs w:val="26"/>
        </w:rPr>
        <w:t xml:space="preserve"> </w:t>
      </w:r>
      <w:r>
        <w:rPr>
          <w:sz w:val="26"/>
          <w:szCs w:val="26"/>
        </w:rPr>
        <w:t xml:space="preserve">Code, </w:t>
      </w:r>
      <w:r w:rsidRPr="0014579C">
        <w:rPr>
          <w:sz w:val="26"/>
          <w:szCs w:val="26"/>
        </w:rPr>
        <w:t xml:space="preserve">66 Pa.C.S. </w:t>
      </w:r>
      <w:r>
        <w:rPr>
          <w:sz w:val="26"/>
          <w:szCs w:val="26"/>
        </w:rPr>
        <w:t>§§</w:t>
      </w:r>
      <w:r w:rsidRPr="0014579C">
        <w:rPr>
          <w:sz w:val="26"/>
          <w:szCs w:val="26"/>
        </w:rPr>
        <w:t>1502 and 2203(4).</w:t>
      </w:r>
    </w:p>
    <w:p w14:paraId="6345C8DB" w14:textId="77777777" w:rsidR="008C6567" w:rsidRPr="00657ACE" w:rsidRDefault="008C6567" w:rsidP="002E6D96">
      <w:pPr>
        <w:widowControl/>
        <w:spacing w:line="360" w:lineRule="auto"/>
        <w:ind w:firstLine="1440"/>
        <w:rPr>
          <w:rFonts w:eastAsiaTheme="minorHAnsi"/>
          <w:sz w:val="26"/>
          <w:szCs w:val="26"/>
          <w:lang w:val="en"/>
        </w:rPr>
      </w:pPr>
    </w:p>
    <w:p w14:paraId="07376D07" w14:textId="5F4AF0A2" w:rsidR="008C6567" w:rsidRDefault="008C6567" w:rsidP="002E6D96">
      <w:pPr>
        <w:widowControl/>
        <w:spacing w:line="360" w:lineRule="auto"/>
        <w:ind w:firstLine="1440"/>
        <w:rPr>
          <w:sz w:val="26"/>
          <w:szCs w:val="26"/>
        </w:rPr>
      </w:pPr>
      <w:r w:rsidRPr="003106F4">
        <w:rPr>
          <w:rFonts w:eastAsiaTheme="minorHAnsi"/>
          <w:sz w:val="26"/>
          <w:szCs w:val="26"/>
          <w:lang w:val="en"/>
        </w:rPr>
        <w:t>The ALJ</w:t>
      </w:r>
      <w:r>
        <w:rPr>
          <w:rFonts w:eastAsiaTheme="minorHAnsi"/>
          <w:sz w:val="26"/>
          <w:szCs w:val="26"/>
          <w:lang w:val="en"/>
        </w:rPr>
        <w:t xml:space="preserve"> recommended adoption of Columbia’s position regarding the</w:t>
      </w:r>
      <w:r w:rsidRPr="003106F4">
        <w:rPr>
          <w:rFonts w:eastAsiaTheme="minorHAnsi"/>
          <w:sz w:val="26"/>
          <w:szCs w:val="26"/>
          <w:lang w:val="en"/>
        </w:rPr>
        <w:t xml:space="preserve"> holding in </w:t>
      </w:r>
      <w:r w:rsidRPr="003106F4">
        <w:rPr>
          <w:i/>
          <w:sz w:val="26"/>
          <w:szCs w:val="26"/>
        </w:rPr>
        <w:t>PPL Electric Utilities Corp. v. Pa. P</w:t>
      </w:r>
      <w:r w:rsidR="00286E8B">
        <w:rPr>
          <w:i/>
          <w:sz w:val="26"/>
          <w:szCs w:val="26"/>
        </w:rPr>
        <w:t>UC</w:t>
      </w:r>
      <w:r w:rsidRPr="003106F4">
        <w:rPr>
          <w:sz w:val="26"/>
          <w:szCs w:val="26"/>
        </w:rPr>
        <w:t>,</w:t>
      </w:r>
      <w:r>
        <w:rPr>
          <w:sz w:val="26"/>
          <w:szCs w:val="26"/>
        </w:rPr>
        <w:t xml:space="preserve"> to conclude that “Section 1502 of the Code does not apply to acts by the utility that are not related to utility service.” R.D. at 111-12, 120.  The ALJ reasoned that because the </w:t>
      </w:r>
      <w:r w:rsidRPr="003106F4">
        <w:rPr>
          <w:sz w:val="26"/>
          <w:szCs w:val="26"/>
        </w:rPr>
        <w:t xml:space="preserve">Commonwealth Court determined </w:t>
      </w:r>
      <w:r>
        <w:rPr>
          <w:sz w:val="26"/>
          <w:szCs w:val="26"/>
        </w:rPr>
        <w:t xml:space="preserve">in </w:t>
      </w:r>
      <w:r w:rsidRPr="00AF4402">
        <w:rPr>
          <w:i/>
          <w:sz w:val="26"/>
          <w:szCs w:val="26"/>
        </w:rPr>
        <w:t>PPL</w:t>
      </w:r>
      <w:r>
        <w:rPr>
          <w:sz w:val="26"/>
          <w:szCs w:val="26"/>
        </w:rPr>
        <w:t xml:space="preserve"> </w:t>
      </w:r>
      <w:r w:rsidRPr="003106F4">
        <w:rPr>
          <w:sz w:val="26"/>
          <w:szCs w:val="26"/>
        </w:rPr>
        <w:t>that Section 1502 did not apply to a utility’s conduct in referring its customers to a non-regulated affiliate for tax auditing services because tax auditing was not a public utility service</w:t>
      </w:r>
      <w:r>
        <w:rPr>
          <w:sz w:val="26"/>
          <w:szCs w:val="26"/>
        </w:rPr>
        <w:t>, Columbia’s provision of billing for non-commodity services would likewise be excluded from Commission jurisdiction, since the non-commodity services are also not public utility service</w:t>
      </w:r>
      <w:r w:rsidRPr="003106F4">
        <w:rPr>
          <w:sz w:val="26"/>
          <w:szCs w:val="26"/>
        </w:rPr>
        <w:t>.</w:t>
      </w:r>
      <w:r>
        <w:rPr>
          <w:sz w:val="26"/>
          <w:szCs w:val="26"/>
        </w:rPr>
        <w:t xml:space="preserve">  R.D. at 111-12.</w:t>
      </w:r>
    </w:p>
    <w:p w14:paraId="6202CC91" w14:textId="77777777" w:rsidR="008C6567" w:rsidRDefault="008C6567" w:rsidP="002E6D96">
      <w:pPr>
        <w:widowControl/>
        <w:spacing w:line="360" w:lineRule="auto"/>
        <w:ind w:firstLine="1440"/>
        <w:rPr>
          <w:sz w:val="26"/>
          <w:szCs w:val="26"/>
        </w:rPr>
      </w:pPr>
    </w:p>
    <w:p w14:paraId="206EB204" w14:textId="3BA8E382" w:rsidR="008C6567" w:rsidRPr="00657ACE" w:rsidRDefault="009E418B" w:rsidP="002E6D96">
      <w:pPr>
        <w:widowControl/>
        <w:spacing w:line="360" w:lineRule="auto"/>
        <w:ind w:firstLine="1440"/>
        <w:rPr>
          <w:rFonts w:eastAsiaTheme="minorHAnsi"/>
          <w:sz w:val="26"/>
          <w:szCs w:val="26"/>
          <w:lang w:val="en"/>
        </w:rPr>
      </w:pPr>
      <w:r>
        <w:rPr>
          <w:rFonts w:eastAsiaTheme="minorHAnsi"/>
          <w:sz w:val="26"/>
          <w:szCs w:val="26"/>
          <w:lang w:val="en"/>
        </w:rPr>
        <w:lastRenderedPageBreak/>
        <w:t>T</w:t>
      </w:r>
      <w:r w:rsidR="008C6567">
        <w:rPr>
          <w:rFonts w:eastAsiaTheme="minorHAnsi"/>
          <w:sz w:val="26"/>
          <w:szCs w:val="26"/>
          <w:lang w:val="en"/>
        </w:rPr>
        <w:t xml:space="preserve">he ALJ </w:t>
      </w:r>
      <w:r>
        <w:rPr>
          <w:rFonts w:eastAsiaTheme="minorHAnsi"/>
          <w:sz w:val="26"/>
          <w:szCs w:val="26"/>
          <w:lang w:val="en"/>
        </w:rPr>
        <w:t xml:space="preserve">further </w:t>
      </w:r>
      <w:r w:rsidR="008C6567">
        <w:rPr>
          <w:rFonts w:eastAsiaTheme="minorHAnsi"/>
          <w:sz w:val="26"/>
          <w:szCs w:val="26"/>
          <w:lang w:val="en"/>
        </w:rPr>
        <w:t xml:space="preserve">relied on </w:t>
      </w:r>
      <w:r w:rsidR="008C6567" w:rsidRPr="00E66BBA">
        <w:rPr>
          <w:rFonts w:eastAsiaTheme="minorHAnsi"/>
          <w:i/>
          <w:sz w:val="26"/>
          <w:szCs w:val="26"/>
          <w:lang w:val="en"/>
        </w:rPr>
        <w:t>PPL</w:t>
      </w:r>
      <w:r w:rsidR="008C6567">
        <w:rPr>
          <w:rFonts w:eastAsiaTheme="minorHAnsi"/>
          <w:sz w:val="26"/>
          <w:szCs w:val="26"/>
          <w:lang w:val="en"/>
        </w:rPr>
        <w:t xml:space="preserve"> to conclude that to claim discrimination in provision of service, </w:t>
      </w:r>
      <w:r w:rsidR="00CD076A">
        <w:rPr>
          <w:rFonts w:eastAsiaTheme="minorHAnsi"/>
          <w:sz w:val="26"/>
          <w:szCs w:val="26"/>
          <w:lang w:val="en"/>
        </w:rPr>
        <w:t xml:space="preserve">the </w:t>
      </w:r>
      <w:r w:rsidR="008C6567">
        <w:rPr>
          <w:rFonts w:eastAsiaTheme="minorHAnsi"/>
          <w:sz w:val="26"/>
          <w:szCs w:val="26"/>
          <w:lang w:val="en"/>
        </w:rPr>
        <w:t xml:space="preserve">NGS Parties were </w:t>
      </w:r>
      <w:r w:rsidR="008C6567" w:rsidRPr="00657ACE">
        <w:rPr>
          <w:rFonts w:eastAsiaTheme="minorHAnsi"/>
          <w:sz w:val="26"/>
          <w:szCs w:val="26"/>
          <w:lang w:val="en"/>
        </w:rPr>
        <w:t>requir</w:t>
      </w:r>
      <w:r w:rsidR="008C6567">
        <w:rPr>
          <w:rFonts w:eastAsiaTheme="minorHAnsi"/>
          <w:sz w:val="26"/>
          <w:szCs w:val="26"/>
          <w:lang w:val="en"/>
        </w:rPr>
        <w:t>ed to show that the</w:t>
      </w:r>
      <w:r w:rsidR="00CD076A">
        <w:rPr>
          <w:rFonts w:eastAsiaTheme="minorHAnsi"/>
          <w:sz w:val="26"/>
          <w:szCs w:val="26"/>
          <w:lang w:val="en"/>
        </w:rPr>
        <w:t>y</w:t>
      </w:r>
      <w:r w:rsidR="008C6567">
        <w:rPr>
          <w:rFonts w:eastAsiaTheme="minorHAnsi"/>
          <w:sz w:val="26"/>
          <w:szCs w:val="26"/>
          <w:lang w:val="en"/>
        </w:rPr>
        <w:t xml:space="preserve"> </w:t>
      </w:r>
      <w:r w:rsidR="008C6567" w:rsidRPr="00657ACE">
        <w:rPr>
          <w:rFonts w:eastAsiaTheme="minorHAnsi"/>
          <w:sz w:val="26"/>
          <w:szCs w:val="26"/>
          <w:lang w:val="en"/>
        </w:rPr>
        <w:t xml:space="preserve">were </w:t>
      </w:r>
      <w:r w:rsidR="008C6567">
        <w:rPr>
          <w:rFonts w:eastAsiaTheme="minorHAnsi"/>
          <w:sz w:val="26"/>
          <w:szCs w:val="26"/>
          <w:lang w:val="en"/>
        </w:rPr>
        <w:t>“</w:t>
      </w:r>
      <w:r w:rsidR="008C6567" w:rsidRPr="00657ACE">
        <w:rPr>
          <w:rFonts w:eastAsiaTheme="minorHAnsi"/>
          <w:sz w:val="26"/>
          <w:szCs w:val="26"/>
          <w:lang w:val="en"/>
        </w:rPr>
        <w:t>customer</w:t>
      </w:r>
      <w:r w:rsidR="008C6567">
        <w:rPr>
          <w:rFonts w:eastAsiaTheme="minorHAnsi"/>
          <w:sz w:val="26"/>
          <w:szCs w:val="26"/>
          <w:lang w:val="en"/>
        </w:rPr>
        <w:t>s or ratepayers</w:t>
      </w:r>
      <w:r w:rsidR="008C6567" w:rsidRPr="00657ACE">
        <w:rPr>
          <w:rFonts w:eastAsiaTheme="minorHAnsi"/>
          <w:sz w:val="26"/>
          <w:szCs w:val="26"/>
          <w:lang w:val="en"/>
        </w:rPr>
        <w:t>,</w:t>
      </w:r>
      <w:r w:rsidR="008C6567">
        <w:rPr>
          <w:rFonts w:eastAsiaTheme="minorHAnsi"/>
          <w:sz w:val="26"/>
          <w:szCs w:val="26"/>
          <w:lang w:val="en"/>
        </w:rPr>
        <w:t>”</w:t>
      </w:r>
      <w:r w:rsidR="008C6567" w:rsidRPr="00657ACE">
        <w:rPr>
          <w:rFonts w:eastAsiaTheme="minorHAnsi"/>
          <w:sz w:val="26"/>
          <w:szCs w:val="26"/>
          <w:lang w:val="en"/>
        </w:rPr>
        <w:t xml:space="preserve"> or that </w:t>
      </w:r>
      <w:r w:rsidR="008C6567">
        <w:rPr>
          <w:rFonts w:eastAsiaTheme="minorHAnsi"/>
          <w:sz w:val="26"/>
          <w:szCs w:val="26"/>
          <w:lang w:val="en"/>
        </w:rPr>
        <w:t xml:space="preserve">Columbia’s billing </w:t>
      </w:r>
      <w:r w:rsidR="008C6567" w:rsidRPr="00657ACE">
        <w:rPr>
          <w:rFonts w:eastAsiaTheme="minorHAnsi"/>
          <w:sz w:val="26"/>
          <w:szCs w:val="26"/>
          <w:lang w:val="en"/>
        </w:rPr>
        <w:t>practice discriminated against the NGS as compared to another NGS.</w:t>
      </w:r>
      <w:r w:rsidR="00CD076A">
        <w:rPr>
          <w:rFonts w:eastAsiaTheme="minorHAnsi"/>
          <w:sz w:val="26"/>
          <w:szCs w:val="26"/>
          <w:lang w:val="en"/>
        </w:rPr>
        <w:t xml:space="preserve"> </w:t>
      </w:r>
      <w:r w:rsidR="008C6567">
        <w:rPr>
          <w:rFonts w:eastAsiaTheme="minorHAnsi"/>
          <w:sz w:val="26"/>
          <w:szCs w:val="26"/>
          <w:lang w:val="en"/>
        </w:rPr>
        <w:t xml:space="preserve"> R.D. at 112 and 118.</w:t>
      </w:r>
      <w:r w:rsidR="008C6567" w:rsidRPr="00657ACE">
        <w:rPr>
          <w:rFonts w:eastAsiaTheme="minorHAnsi"/>
          <w:sz w:val="26"/>
          <w:szCs w:val="26"/>
          <w:lang w:val="en"/>
        </w:rPr>
        <w:t xml:space="preserve"> </w:t>
      </w:r>
      <w:r w:rsidR="00CD076A">
        <w:rPr>
          <w:rFonts w:eastAsiaTheme="minorHAnsi"/>
          <w:sz w:val="26"/>
          <w:szCs w:val="26"/>
          <w:lang w:val="en"/>
        </w:rPr>
        <w:t xml:space="preserve"> </w:t>
      </w:r>
      <w:r w:rsidR="008C6567" w:rsidRPr="00657ACE">
        <w:rPr>
          <w:rFonts w:eastAsiaTheme="minorHAnsi"/>
          <w:sz w:val="26"/>
          <w:szCs w:val="26"/>
          <w:lang w:val="en"/>
        </w:rPr>
        <w:t>Finding that the NGS Parties were not utility “customers</w:t>
      </w:r>
      <w:r w:rsidR="008C6567">
        <w:rPr>
          <w:rFonts w:eastAsiaTheme="minorHAnsi"/>
          <w:sz w:val="26"/>
          <w:szCs w:val="26"/>
          <w:lang w:val="en"/>
        </w:rPr>
        <w:t xml:space="preserve"> or ratepayers</w:t>
      </w:r>
      <w:r w:rsidR="008C6567" w:rsidRPr="00657ACE">
        <w:rPr>
          <w:rFonts w:eastAsiaTheme="minorHAnsi"/>
          <w:sz w:val="26"/>
          <w:szCs w:val="26"/>
          <w:lang w:val="en"/>
        </w:rPr>
        <w:t>” and finding that Columbia</w:t>
      </w:r>
      <w:r w:rsidR="008C6567">
        <w:rPr>
          <w:rFonts w:eastAsiaTheme="minorHAnsi"/>
          <w:sz w:val="26"/>
          <w:szCs w:val="26"/>
          <w:lang w:val="en"/>
        </w:rPr>
        <w:t xml:space="preserve">’s billing practice was </w:t>
      </w:r>
      <w:r w:rsidR="008C6567" w:rsidRPr="00657ACE">
        <w:rPr>
          <w:rFonts w:eastAsiaTheme="minorHAnsi"/>
          <w:sz w:val="26"/>
          <w:szCs w:val="26"/>
          <w:lang w:val="en"/>
        </w:rPr>
        <w:t xml:space="preserve">provided </w:t>
      </w:r>
      <w:r w:rsidR="008C6567">
        <w:rPr>
          <w:rFonts w:eastAsiaTheme="minorHAnsi"/>
          <w:sz w:val="26"/>
          <w:szCs w:val="26"/>
          <w:lang w:val="en"/>
        </w:rPr>
        <w:t xml:space="preserve">to a </w:t>
      </w:r>
      <w:r w:rsidR="008C6567" w:rsidRPr="00657ACE">
        <w:rPr>
          <w:rFonts w:eastAsiaTheme="minorHAnsi"/>
          <w:sz w:val="26"/>
          <w:szCs w:val="26"/>
          <w:lang w:val="en"/>
        </w:rPr>
        <w:t>non-NGS party</w:t>
      </w:r>
      <w:r w:rsidR="008C6567">
        <w:rPr>
          <w:rFonts w:eastAsiaTheme="minorHAnsi"/>
          <w:sz w:val="26"/>
          <w:szCs w:val="26"/>
          <w:lang w:val="en"/>
        </w:rPr>
        <w:t>, rather than another NGS</w:t>
      </w:r>
      <w:r w:rsidR="008C6567" w:rsidRPr="00657ACE">
        <w:rPr>
          <w:rFonts w:eastAsiaTheme="minorHAnsi"/>
          <w:sz w:val="26"/>
          <w:szCs w:val="26"/>
          <w:lang w:val="en"/>
        </w:rPr>
        <w:t>, the ALJ concluded</w:t>
      </w:r>
      <w:r w:rsidR="008C6567">
        <w:rPr>
          <w:rFonts w:eastAsiaTheme="minorHAnsi"/>
          <w:sz w:val="26"/>
          <w:szCs w:val="26"/>
          <w:lang w:val="en"/>
        </w:rPr>
        <w:t xml:space="preserve"> that “</w:t>
      </w:r>
      <w:r w:rsidR="00F32762">
        <w:rPr>
          <w:rFonts w:eastAsiaTheme="minorHAnsi"/>
          <w:sz w:val="26"/>
          <w:szCs w:val="26"/>
          <w:lang w:val="en"/>
        </w:rPr>
        <w:t> . . . </w:t>
      </w:r>
      <w:r w:rsidR="008C6567">
        <w:rPr>
          <w:rFonts w:eastAsiaTheme="minorHAnsi"/>
          <w:sz w:val="26"/>
          <w:szCs w:val="26"/>
          <w:lang w:val="en"/>
        </w:rPr>
        <w:t xml:space="preserve">Columbia has not favored one NGS over another.” R.D. at 111 and 118. </w:t>
      </w:r>
      <w:r w:rsidR="008C6567" w:rsidRPr="00657ACE">
        <w:rPr>
          <w:rFonts w:eastAsiaTheme="minorHAnsi"/>
          <w:sz w:val="26"/>
          <w:szCs w:val="26"/>
          <w:lang w:val="en"/>
        </w:rPr>
        <w:t xml:space="preserve"> </w:t>
      </w:r>
      <w:r w:rsidR="008C6567">
        <w:rPr>
          <w:rFonts w:eastAsiaTheme="minorHAnsi"/>
          <w:sz w:val="26"/>
          <w:szCs w:val="26"/>
          <w:lang w:val="en"/>
        </w:rPr>
        <w:t>As a result, the ALJ found that “[n]o evidence was presented to establish that Columbia’s current practice of billing for non-commodity services is unlawful</w:t>
      </w:r>
      <w:r w:rsidR="001B0A95">
        <w:rPr>
          <w:rFonts w:eastAsiaTheme="minorHAnsi"/>
          <w:sz w:val="26"/>
          <w:szCs w:val="26"/>
          <w:lang w:val="en"/>
        </w:rPr>
        <w:t xml:space="preserve"> . . .</w:t>
      </w:r>
      <w:r w:rsidR="008C6567">
        <w:rPr>
          <w:rFonts w:eastAsiaTheme="minorHAnsi"/>
          <w:sz w:val="26"/>
          <w:szCs w:val="26"/>
          <w:lang w:val="en"/>
        </w:rPr>
        <w:t xml:space="preserve"> .” R.D. at 118.</w:t>
      </w:r>
    </w:p>
    <w:p w14:paraId="51B0070A" w14:textId="77777777" w:rsidR="008C6567" w:rsidRPr="00657ACE" w:rsidRDefault="008C6567" w:rsidP="002E6D96">
      <w:pPr>
        <w:widowControl/>
        <w:spacing w:line="360" w:lineRule="auto"/>
        <w:ind w:firstLine="1440"/>
        <w:rPr>
          <w:rFonts w:eastAsiaTheme="minorHAnsi"/>
          <w:sz w:val="26"/>
          <w:szCs w:val="26"/>
          <w:lang w:val="en"/>
        </w:rPr>
      </w:pPr>
    </w:p>
    <w:p w14:paraId="6E24469B" w14:textId="28A4796B" w:rsidR="00491EF3" w:rsidRDefault="008C6567" w:rsidP="002E6D96">
      <w:pPr>
        <w:widowControl/>
        <w:spacing w:line="360" w:lineRule="auto"/>
        <w:ind w:firstLine="1440"/>
        <w:rPr>
          <w:sz w:val="26"/>
          <w:szCs w:val="26"/>
        </w:rPr>
      </w:pPr>
      <w:r>
        <w:rPr>
          <w:sz w:val="26"/>
          <w:szCs w:val="26"/>
        </w:rPr>
        <w:t xml:space="preserve">The ALJ further concluded that Commission jurisdiction with respect to Columbia’s billing practice is limited to statutory and regulatory provisions which expressly address the specific billing practices at issue.  The ALJ concluded that Columbia’s billing practice is </w:t>
      </w:r>
      <w:r w:rsidR="000A693D">
        <w:rPr>
          <w:sz w:val="26"/>
          <w:szCs w:val="26"/>
        </w:rPr>
        <w:t xml:space="preserve">not </w:t>
      </w:r>
      <w:r>
        <w:rPr>
          <w:sz w:val="26"/>
          <w:szCs w:val="26"/>
        </w:rPr>
        <w:t xml:space="preserve">subject </w:t>
      </w:r>
      <w:r w:rsidR="001B0A95">
        <w:rPr>
          <w:sz w:val="26"/>
          <w:szCs w:val="26"/>
        </w:rPr>
        <w:t xml:space="preserve">to </w:t>
      </w:r>
      <w:r>
        <w:rPr>
          <w:sz w:val="26"/>
          <w:szCs w:val="26"/>
        </w:rPr>
        <w:t xml:space="preserve">Commission jurisdiction, </w:t>
      </w:r>
      <w:r w:rsidRPr="00793BCA">
        <w:rPr>
          <w:i/>
          <w:sz w:val="26"/>
          <w:szCs w:val="26"/>
        </w:rPr>
        <w:t>including</w:t>
      </w:r>
      <w:r>
        <w:rPr>
          <w:sz w:val="26"/>
          <w:szCs w:val="26"/>
        </w:rPr>
        <w:t xml:space="preserve"> review under Sections 1502 and 2203(4) of the </w:t>
      </w:r>
      <w:r w:rsidR="00E0674B">
        <w:rPr>
          <w:sz w:val="26"/>
          <w:szCs w:val="26"/>
        </w:rPr>
        <w:t>Code</w:t>
      </w:r>
      <w:r>
        <w:rPr>
          <w:sz w:val="26"/>
          <w:szCs w:val="26"/>
        </w:rPr>
        <w:t xml:space="preserve">.  </w:t>
      </w:r>
      <w:r w:rsidR="000A693D">
        <w:rPr>
          <w:sz w:val="26"/>
          <w:szCs w:val="26"/>
        </w:rPr>
        <w:t>However, t</w:t>
      </w:r>
      <w:r>
        <w:rPr>
          <w:sz w:val="26"/>
          <w:szCs w:val="26"/>
        </w:rPr>
        <w:t xml:space="preserve">he fact that the utility billing in the present case involves non-regulated, non-commodity services provided by </w:t>
      </w:r>
      <w:r w:rsidR="000C064D">
        <w:rPr>
          <w:sz w:val="26"/>
          <w:szCs w:val="26"/>
        </w:rPr>
        <w:t xml:space="preserve">unaffiliated </w:t>
      </w:r>
      <w:r>
        <w:rPr>
          <w:sz w:val="26"/>
          <w:szCs w:val="26"/>
        </w:rPr>
        <w:t xml:space="preserve">third parties </w:t>
      </w:r>
      <w:r w:rsidRPr="00793BCA">
        <w:rPr>
          <w:i/>
          <w:sz w:val="26"/>
          <w:szCs w:val="26"/>
        </w:rPr>
        <w:t>does not</w:t>
      </w:r>
      <w:r>
        <w:rPr>
          <w:sz w:val="26"/>
          <w:szCs w:val="26"/>
        </w:rPr>
        <w:t xml:space="preserve"> </w:t>
      </w:r>
      <w:r w:rsidRPr="00793BCA">
        <w:rPr>
          <w:i/>
          <w:sz w:val="26"/>
          <w:szCs w:val="26"/>
        </w:rPr>
        <w:t>exclude it from Commission jurisdiction</w:t>
      </w:r>
      <w:r>
        <w:rPr>
          <w:sz w:val="26"/>
          <w:szCs w:val="26"/>
        </w:rPr>
        <w:t xml:space="preserve"> in any respect.</w:t>
      </w:r>
      <w:r w:rsidR="00491EF3">
        <w:rPr>
          <w:sz w:val="26"/>
          <w:szCs w:val="26"/>
        </w:rPr>
        <w:t xml:space="preserve">  R.D. at</w:t>
      </w:r>
      <w:r w:rsidR="003B451E">
        <w:rPr>
          <w:sz w:val="26"/>
          <w:szCs w:val="26"/>
        </w:rPr>
        <w:t xml:space="preserve"> </w:t>
      </w:r>
      <w:r w:rsidR="00C06680">
        <w:rPr>
          <w:sz w:val="26"/>
          <w:szCs w:val="26"/>
        </w:rPr>
        <w:t>113-116.</w:t>
      </w:r>
    </w:p>
    <w:p w14:paraId="6100123B" w14:textId="77777777" w:rsidR="008C6567" w:rsidRPr="00A34372" w:rsidRDefault="008C6567" w:rsidP="002E6D96">
      <w:pPr>
        <w:widowControl/>
        <w:spacing w:line="360" w:lineRule="auto"/>
        <w:ind w:firstLine="1440"/>
        <w:rPr>
          <w:rFonts w:eastAsiaTheme="minorHAnsi"/>
          <w:sz w:val="26"/>
          <w:szCs w:val="26"/>
          <w:lang w:val="en"/>
        </w:rPr>
      </w:pPr>
    </w:p>
    <w:p w14:paraId="6C25FFD4" w14:textId="77777777" w:rsidR="004203B5" w:rsidRDefault="008C6567" w:rsidP="002E6D96">
      <w:pPr>
        <w:widowControl/>
        <w:spacing w:line="360" w:lineRule="auto"/>
        <w:ind w:firstLine="1440"/>
        <w:rPr>
          <w:sz w:val="26"/>
          <w:szCs w:val="26"/>
        </w:rPr>
      </w:pPr>
      <w:r>
        <w:rPr>
          <w:sz w:val="26"/>
          <w:szCs w:val="26"/>
        </w:rPr>
        <w:t xml:space="preserve">The ALJ </w:t>
      </w:r>
      <w:r w:rsidR="002C083F">
        <w:rPr>
          <w:sz w:val="26"/>
          <w:szCs w:val="26"/>
        </w:rPr>
        <w:t>interpreted</w:t>
      </w:r>
      <w:r>
        <w:rPr>
          <w:sz w:val="26"/>
          <w:szCs w:val="26"/>
        </w:rPr>
        <w:t xml:space="preserve"> the language of both Section</w:t>
      </w:r>
      <w:r w:rsidR="008F641F">
        <w:rPr>
          <w:sz w:val="26"/>
          <w:szCs w:val="26"/>
        </w:rPr>
        <w:t>s</w:t>
      </w:r>
      <w:r>
        <w:rPr>
          <w:sz w:val="26"/>
          <w:szCs w:val="26"/>
        </w:rPr>
        <w:t xml:space="preserve"> 1502 </w:t>
      </w:r>
      <w:r w:rsidR="008F641F">
        <w:rPr>
          <w:sz w:val="26"/>
          <w:szCs w:val="26"/>
        </w:rPr>
        <w:t xml:space="preserve">and 2203(4) </w:t>
      </w:r>
      <w:r>
        <w:rPr>
          <w:sz w:val="26"/>
          <w:szCs w:val="26"/>
        </w:rPr>
        <w:t xml:space="preserve">of the </w:t>
      </w:r>
      <w:r w:rsidR="0028247A">
        <w:rPr>
          <w:sz w:val="26"/>
          <w:szCs w:val="26"/>
        </w:rPr>
        <w:t>Code</w:t>
      </w:r>
      <w:r>
        <w:rPr>
          <w:sz w:val="26"/>
          <w:szCs w:val="26"/>
        </w:rPr>
        <w:t xml:space="preserve"> to exclude Commission review of Columbia’s billing practice.</w:t>
      </w:r>
      <w:r w:rsidR="002C083F">
        <w:rPr>
          <w:sz w:val="26"/>
          <w:szCs w:val="26"/>
        </w:rPr>
        <w:t xml:space="preserve">  </w:t>
      </w:r>
      <w:r w:rsidR="004203B5">
        <w:rPr>
          <w:sz w:val="26"/>
          <w:szCs w:val="26"/>
        </w:rPr>
        <w:t xml:space="preserve">We disagree with the ALJ’s reasoning and conclusion regarding the claim of discrimination in provision of service. </w:t>
      </w:r>
    </w:p>
    <w:p w14:paraId="590C34F5" w14:textId="77777777" w:rsidR="00DE791B" w:rsidRDefault="00DE791B" w:rsidP="002E6D96">
      <w:pPr>
        <w:widowControl/>
        <w:spacing w:line="360" w:lineRule="auto"/>
        <w:ind w:firstLine="1440"/>
        <w:rPr>
          <w:sz w:val="26"/>
          <w:szCs w:val="26"/>
        </w:rPr>
      </w:pPr>
    </w:p>
    <w:p w14:paraId="4840883A" w14:textId="650DAF55" w:rsidR="008C6567" w:rsidRPr="002C083F" w:rsidRDefault="008C6567" w:rsidP="002E6D96">
      <w:pPr>
        <w:widowControl/>
        <w:spacing w:line="360" w:lineRule="auto"/>
        <w:ind w:firstLine="1440"/>
        <w:rPr>
          <w:sz w:val="26"/>
          <w:szCs w:val="26"/>
          <w:u w:val="single"/>
        </w:rPr>
      </w:pPr>
      <w:r>
        <w:rPr>
          <w:sz w:val="26"/>
          <w:szCs w:val="26"/>
        </w:rPr>
        <w:t>Section 1502 provides:</w:t>
      </w:r>
    </w:p>
    <w:p w14:paraId="6EB6E6B2" w14:textId="77777777" w:rsidR="008C6567" w:rsidRPr="002C083F" w:rsidRDefault="008C6567" w:rsidP="002E6D96">
      <w:pPr>
        <w:widowControl/>
        <w:spacing w:line="360" w:lineRule="auto"/>
        <w:ind w:firstLine="1440"/>
        <w:rPr>
          <w:sz w:val="26"/>
          <w:szCs w:val="26"/>
          <w:u w:val="single"/>
        </w:rPr>
      </w:pPr>
    </w:p>
    <w:p w14:paraId="605BC847" w14:textId="77777777" w:rsidR="00C06680" w:rsidRDefault="008C6567" w:rsidP="002E6D96">
      <w:pPr>
        <w:widowControl/>
        <w:ind w:left="1440" w:right="1440"/>
        <w:rPr>
          <w:sz w:val="26"/>
          <w:szCs w:val="26"/>
        </w:rPr>
      </w:pPr>
      <w:r w:rsidRPr="002C083F">
        <w:rPr>
          <w:sz w:val="26"/>
          <w:szCs w:val="26"/>
          <w:u w:val="single"/>
        </w:rPr>
        <w:t>No</w:t>
      </w:r>
      <w:r w:rsidRPr="001B2C81">
        <w:rPr>
          <w:sz w:val="26"/>
          <w:szCs w:val="26"/>
        </w:rPr>
        <w:t xml:space="preserve"> public utility shall, </w:t>
      </w:r>
      <w:r w:rsidRPr="00881C99">
        <w:rPr>
          <w:i/>
          <w:sz w:val="26"/>
          <w:szCs w:val="26"/>
        </w:rPr>
        <w:t>as to service</w:t>
      </w:r>
      <w:r w:rsidRPr="001B2C81">
        <w:rPr>
          <w:sz w:val="26"/>
          <w:szCs w:val="26"/>
        </w:rPr>
        <w:t xml:space="preserve">, make or </w:t>
      </w:r>
      <w:r w:rsidRPr="00710E2F">
        <w:rPr>
          <w:i/>
          <w:sz w:val="26"/>
          <w:szCs w:val="26"/>
        </w:rPr>
        <w:t>grant any unreasonable preference or advantage</w:t>
      </w:r>
      <w:r>
        <w:rPr>
          <w:i/>
          <w:sz w:val="26"/>
          <w:szCs w:val="26"/>
        </w:rPr>
        <w:t xml:space="preserve"> to any person, corporation, </w:t>
      </w:r>
      <w:r w:rsidRPr="00881C99">
        <w:rPr>
          <w:sz w:val="26"/>
          <w:szCs w:val="26"/>
        </w:rPr>
        <w:t>or municipal corporation,</w:t>
      </w:r>
      <w:r>
        <w:rPr>
          <w:i/>
          <w:sz w:val="26"/>
          <w:szCs w:val="26"/>
        </w:rPr>
        <w:t xml:space="preserve"> or subject any person, corporation </w:t>
      </w:r>
      <w:r w:rsidRPr="00881C99">
        <w:rPr>
          <w:sz w:val="26"/>
          <w:szCs w:val="26"/>
        </w:rPr>
        <w:t>or municipal corporation</w:t>
      </w:r>
      <w:r>
        <w:rPr>
          <w:i/>
          <w:sz w:val="26"/>
          <w:szCs w:val="26"/>
        </w:rPr>
        <w:t xml:space="preserve"> to any unreasonable </w:t>
      </w:r>
      <w:r>
        <w:rPr>
          <w:i/>
          <w:sz w:val="26"/>
          <w:szCs w:val="26"/>
        </w:rPr>
        <w:lastRenderedPageBreak/>
        <w:t xml:space="preserve">disadvantage.  </w:t>
      </w:r>
      <w:r w:rsidRPr="00881C99">
        <w:rPr>
          <w:sz w:val="26"/>
          <w:szCs w:val="26"/>
        </w:rPr>
        <w:t xml:space="preserve">No public utility shall </w:t>
      </w:r>
      <w:r>
        <w:rPr>
          <w:i/>
          <w:sz w:val="26"/>
          <w:szCs w:val="26"/>
        </w:rPr>
        <w:t xml:space="preserve">establish or maintain any </w:t>
      </w:r>
      <w:r w:rsidRPr="00881C99">
        <w:rPr>
          <w:i/>
          <w:sz w:val="26"/>
          <w:szCs w:val="26"/>
        </w:rPr>
        <w:t>unreasonable difference as to service</w:t>
      </w:r>
      <w:r w:rsidRPr="001B2C81">
        <w:rPr>
          <w:sz w:val="26"/>
          <w:szCs w:val="26"/>
        </w:rPr>
        <w:t xml:space="preserve">, either as between </w:t>
      </w:r>
    </w:p>
    <w:p w14:paraId="79BD1B65" w14:textId="624DDE73" w:rsidR="008C6567" w:rsidRDefault="008C6567" w:rsidP="002E6D96">
      <w:pPr>
        <w:keepNext/>
        <w:keepLines/>
        <w:widowControl/>
        <w:ind w:left="1440" w:right="1440"/>
        <w:rPr>
          <w:sz w:val="26"/>
          <w:szCs w:val="26"/>
        </w:rPr>
      </w:pPr>
      <w:r w:rsidRPr="001B2C81">
        <w:rPr>
          <w:sz w:val="26"/>
          <w:szCs w:val="26"/>
        </w:rPr>
        <w:t>localities or as between classes of service</w:t>
      </w:r>
      <w:r>
        <w:rPr>
          <w:sz w:val="26"/>
          <w:szCs w:val="26"/>
        </w:rPr>
        <w:t xml:space="preserve">, but this section does not prohibit the establishment of reasonable classifications of service. </w:t>
      </w:r>
    </w:p>
    <w:p w14:paraId="66D0DEB6" w14:textId="04F49EE2" w:rsidR="008C6567" w:rsidRDefault="008C6567" w:rsidP="002E6D96">
      <w:pPr>
        <w:keepNext/>
        <w:keepLines/>
        <w:widowControl/>
        <w:ind w:firstLine="1440"/>
        <w:rPr>
          <w:sz w:val="26"/>
          <w:szCs w:val="26"/>
        </w:rPr>
      </w:pPr>
    </w:p>
    <w:p w14:paraId="377FED63" w14:textId="77777777" w:rsidR="00C06680" w:rsidRDefault="00C06680" w:rsidP="002E6D96">
      <w:pPr>
        <w:keepNext/>
        <w:keepLines/>
        <w:widowControl/>
        <w:ind w:firstLine="1440"/>
        <w:rPr>
          <w:sz w:val="26"/>
          <w:szCs w:val="26"/>
        </w:rPr>
      </w:pPr>
    </w:p>
    <w:p w14:paraId="0A03B4FC" w14:textId="02592601" w:rsidR="008C6567" w:rsidRDefault="00D10433" w:rsidP="002E6D96">
      <w:pPr>
        <w:widowControl/>
        <w:spacing w:line="360" w:lineRule="auto"/>
        <w:rPr>
          <w:rFonts w:eastAsiaTheme="minorHAnsi"/>
          <w:sz w:val="26"/>
          <w:szCs w:val="26"/>
          <w:lang w:val="en"/>
        </w:rPr>
      </w:pPr>
      <w:hyperlink r:id="rId11">
        <w:r w:rsidR="008C6567" w:rsidRPr="001B2C81">
          <w:rPr>
            <w:sz w:val="26"/>
            <w:szCs w:val="26"/>
          </w:rPr>
          <w:t xml:space="preserve">66 Pa.C.S. </w:t>
        </w:r>
      </w:hyperlink>
      <w:hyperlink r:id="rId12">
        <w:r w:rsidR="008C6567" w:rsidRPr="001B2C81">
          <w:rPr>
            <w:sz w:val="26"/>
            <w:szCs w:val="26"/>
          </w:rPr>
          <w:t xml:space="preserve">§ </w:t>
        </w:r>
      </w:hyperlink>
      <w:hyperlink r:id="rId13">
        <w:r w:rsidR="008C6567" w:rsidRPr="001B2C81">
          <w:rPr>
            <w:sz w:val="26"/>
            <w:szCs w:val="26"/>
          </w:rPr>
          <w:t>1502</w:t>
        </w:r>
        <w:r w:rsidR="00191E1D">
          <w:rPr>
            <w:sz w:val="26"/>
            <w:szCs w:val="26"/>
          </w:rPr>
          <w:t xml:space="preserve"> </w:t>
        </w:r>
        <w:r w:rsidR="008C6567">
          <w:rPr>
            <w:sz w:val="26"/>
            <w:szCs w:val="26"/>
          </w:rPr>
          <w:t>(emphasis added)</w:t>
        </w:r>
        <w:r w:rsidR="008C6567" w:rsidRPr="001B2C81">
          <w:rPr>
            <w:sz w:val="26"/>
            <w:szCs w:val="26"/>
          </w:rPr>
          <w:t>.</w:t>
        </w:r>
      </w:hyperlink>
      <w:r w:rsidR="00191E1D">
        <w:rPr>
          <w:sz w:val="26"/>
          <w:szCs w:val="26"/>
        </w:rPr>
        <w:t xml:space="preserve">  </w:t>
      </w:r>
      <w:r w:rsidR="008C6567">
        <w:rPr>
          <w:sz w:val="26"/>
          <w:szCs w:val="26"/>
        </w:rPr>
        <w:t xml:space="preserve">The language of Section 1502 establishes a broad prohibition on discrimination in the provision of service by prohibiting the unreasonable preference of one party over </w:t>
      </w:r>
      <w:r w:rsidR="008C6567" w:rsidRPr="001E30F5">
        <w:rPr>
          <w:i/>
          <w:sz w:val="26"/>
          <w:szCs w:val="26"/>
        </w:rPr>
        <w:t>any</w:t>
      </w:r>
      <w:r w:rsidR="008C6567">
        <w:rPr>
          <w:sz w:val="26"/>
          <w:szCs w:val="26"/>
        </w:rPr>
        <w:t xml:space="preserve"> other party.  For example, Section 1502 does not require that the discrimination be against the same type of provider, </w:t>
      </w:r>
      <w:r w:rsidR="008C6567" w:rsidRPr="009C2698">
        <w:rPr>
          <w:i/>
          <w:sz w:val="26"/>
          <w:szCs w:val="26"/>
        </w:rPr>
        <w:t>i.e.,</w:t>
      </w:r>
      <w:r w:rsidR="008C6567">
        <w:rPr>
          <w:sz w:val="26"/>
          <w:szCs w:val="26"/>
        </w:rPr>
        <w:t xml:space="preserve"> favoring one NGS over another NGS.  Rather</w:t>
      </w:r>
      <w:r w:rsidR="000A693D">
        <w:rPr>
          <w:sz w:val="26"/>
          <w:szCs w:val="26"/>
        </w:rPr>
        <w:t>,</w:t>
      </w:r>
      <w:r w:rsidR="008C6567">
        <w:rPr>
          <w:sz w:val="26"/>
          <w:szCs w:val="26"/>
        </w:rPr>
        <w:t xml:space="preserve"> discrimination will </w:t>
      </w:r>
      <w:r w:rsidR="000A693D">
        <w:rPr>
          <w:sz w:val="26"/>
          <w:szCs w:val="26"/>
        </w:rPr>
        <w:t xml:space="preserve">be found </w:t>
      </w:r>
      <w:r w:rsidR="008C6567">
        <w:rPr>
          <w:sz w:val="26"/>
          <w:szCs w:val="26"/>
        </w:rPr>
        <w:t>if any unreasonable preference or difference in the treatment of one party versus another is shown in the provision of service.</w:t>
      </w:r>
    </w:p>
    <w:p w14:paraId="4B42DD45" w14:textId="77777777" w:rsidR="008C6567" w:rsidRDefault="008C6567" w:rsidP="002E6D96">
      <w:pPr>
        <w:widowControl/>
        <w:spacing w:line="360" w:lineRule="auto"/>
        <w:ind w:firstLine="1440"/>
        <w:rPr>
          <w:rFonts w:eastAsiaTheme="minorHAnsi"/>
          <w:sz w:val="26"/>
          <w:szCs w:val="26"/>
          <w:lang w:val="en"/>
        </w:rPr>
      </w:pPr>
    </w:p>
    <w:p w14:paraId="5F2F82F8" w14:textId="0B3AC267" w:rsidR="008C6567" w:rsidRDefault="008C6567" w:rsidP="002E6D96">
      <w:pPr>
        <w:widowControl/>
        <w:spacing w:line="360" w:lineRule="auto"/>
        <w:ind w:firstLine="1440"/>
        <w:rPr>
          <w:sz w:val="26"/>
          <w:szCs w:val="26"/>
        </w:rPr>
      </w:pPr>
      <w:r w:rsidRPr="00A4298F">
        <w:rPr>
          <w:sz w:val="26"/>
          <w:szCs w:val="26"/>
        </w:rPr>
        <w:t xml:space="preserve">Section 2203(4) provides: </w:t>
      </w:r>
    </w:p>
    <w:p w14:paraId="00CE6973" w14:textId="77777777" w:rsidR="00191E1D" w:rsidRDefault="00191E1D" w:rsidP="002E6D96">
      <w:pPr>
        <w:widowControl/>
        <w:ind w:left="1440" w:right="1440"/>
        <w:rPr>
          <w:sz w:val="26"/>
          <w:szCs w:val="26"/>
        </w:rPr>
      </w:pPr>
    </w:p>
    <w:p w14:paraId="3CC05B4E" w14:textId="74B413DA" w:rsidR="008C6567" w:rsidRDefault="008C6567" w:rsidP="002E6D96">
      <w:pPr>
        <w:widowControl/>
        <w:ind w:left="1440" w:right="1440"/>
        <w:rPr>
          <w:sz w:val="26"/>
          <w:szCs w:val="26"/>
        </w:rPr>
      </w:pPr>
      <w:r w:rsidRPr="00A4298F">
        <w:rPr>
          <w:sz w:val="26"/>
          <w:szCs w:val="26"/>
        </w:rPr>
        <w:t xml:space="preserve">Consistent with the provisions of section 2204, the Commission shall require that a natural gas distribution company that owns or operates jurisdictional distribution facilities </w:t>
      </w:r>
      <w:r w:rsidRPr="00881C99">
        <w:rPr>
          <w:i/>
          <w:sz w:val="26"/>
          <w:szCs w:val="26"/>
        </w:rPr>
        <w:t>shall provide distribution service to all retail gas customers in its service territory and to all natural gas suppliers,</w:t>
      </w:r>
      <w:r w:rsidRPr="00A4298F">
        <w:rPr>
          <w:sz w:val="26"/>
          <w:szCs w:val="26"/>
        </w:rPr>
        <w:t xml:space="preserve"> affiliated or nonaffiliated, </w:t>
      </w:r>
      <w:r w:rsidRPr="00881C99">
        <w:rPr>
          <w:i/>
          <w:sz w:val="26"/>
          <w:szCs w:val="26"/>
        </w:rPr>
        <w:t>on</w:t>
      </w:r>
      <w:r w:rsidRPr="00A4298F">
        <w:rPr>
          <w:sz w:val="26"/>
          <w:szCs w:val="26"/>
        </w:rPr>
        <w:t xml:space="preserve"> </w:t>
      </w:r>
      <w:r w:rsidRPr="00CB7217">
        <w:rPr>
          <w:i/>
          <w:sz w:val="26"/>
          <w:szCs w:val="26"/>
        </w:rPr>
        <w:t>nondiscriminatory rates, terms of access and other conditions</w:t>
      </w:r>
      <w:r w:rsidRPr="00A4298F">
        <w:rPr>
          <w:sz w:val="26"/>
          <w:szCs w:val="26"/>
        </w:rPr>
        <w:t>.</w:t>
      </w:r>
    </w:p>
    <w:p w14:paraId="3A7B98CD" w14:textId="77777777" w:rsidR="008C6567" w:rsidRDefault="008C6567" w:rsidP="002E6D96">
      <w:pPr>
        <w:widowControl/>
        <w:ind w:firstLine="1440"/>
        <w:rPr>
          <w:sz w:val="26"/>
          <w:szCs w:val="26"/>
        </w:rPr>
      </w:pPr>
    </w:p>
    <w:p w14:paraId="32A1C5AB" w14:textId="77777777" w:rsidR="008C6567" w:rsidRDefault="008C6567" w:rsidP="002E6D96">
      <w:pPr>
        <w:widowControl/>
        <w:ind w:firstLine="1440"/>
        <w:rPr>
          <w:sz w:val="26"/>
          <w:szCs w:val="26"/>
        </w:rPr>
      </w:pPr>
    </w:p>
    <w:p w14:paraId="6CD94297" w14:textId="58C1C44C" w:rsidR="008C6567" w:rsidRDefault="008C6567" w:rsidP="002E6D96">
      <w:pPr>
        <w:widowControl/>
        <w:spacing w:line="360" w:lineRule="auto"/>
        <w:rPr>
          <w:rFonts w:eastAsiaTheme="minorHAnsi"/>
          <w:sz w:val="26"/>
          <w:szCs w:val="26"/>
          <w:lang w:val="en"/>
        </w:rPr>
      </w:pPr>
      <w:r>
        <w:rPr>
          <w:sz w:val="26"/>
          <w:szCs w:val="26"/>
        </w:rPr>
        <w:t>66 Pa. C.S. § 2203(4)</w:t>
      </w:r>
      <w:r w:rsidR="00F749A7">
        <w:rPr>
          <w:sz w:val="26"/>
          <w:szCs w:val="26"/>
        </w:rPr>
        <w:t xml:space="preserve"> </w:t>
      </w:r>
      <w:r>
        <w:rPr>
          <w:sz w:val="26"/>
          <w:szCs w:val="26"/>
        </w:rPr>
        <w:t>(emphasis added).</w:t>
      </w:r>
      <w:r w:rsidR="00F749A7">
        <w:rPr>
          <w:sz w:val="26"/>
          <w:szCs w:val="26"/>
        </w:rPr>
        <w:t xml:space="preserve">  </w:t>
      </w:r>
      <w:r w:rsidRPr="00A4298F">
        <w:rPr>
          <w:sz w:val="26"/>
          <w:szCs w:val="26"/>
        </w:rPr>
        <w:t>Section 2203(4) prohibits a natural gas distribution company from discriminating with respect to natural gas distribution service.</w:t>
      </w:r>
      <w:r>
        <w:rPr>
          <w:rFonts w:eastAsiaTheme="minorHAnsi"/>
          <w:sz w:val="26"/>
          <w:szCs w:val="26"/>
          <w:lang w:val="en"/>
        </w:rPr>
        <w:t xml:space="preserve">  The language of Section 2204’s prohibition on discrimination includes the NGDC’s “terms of access and conditions, and other” circumstances related to provision of that service to customers and N</w:t>
      </w:r>
      <w:r w:rsidR="00F749A7">
        <w:rPr>
          <w:rFonts w:eastAsiaTheme="minorHAnsi"/>
          <w:sz w:val="26"/>
          <w:szCs w:val="26"/>
          <w:lang w:val="en"/>
        </w:rPr>
        <w:t>G</w:t>
      </w:r>
      <w:r>
        <w:rPr>
          <w:rFonts w:eastAsiaTheme="minorHAnsi"/>
          <w:sz w:val="26"/>
          <w:szCs w:val="26"/>
          <w:lang w:val="en"/>
        </w:rPr>
        <w:t xml:space="preserve">Ss. </w:t>
      </w:r>
      <w:r w:rsidR="00F749A7">
        <w:rPr>
          <w:rFonts w:eastAsiaTheme="minorHAnsi"/>
          <w:sz w:val="26"/>
          <w:szCs w:val="26"/>
          <w:lang w:val="en"/>
        </w:rPr>
        <w:t xml:space="preserve"> </w:t>
      </w:r>
      <w:r>
        <w:rPr>
          <w:rFonts w:eastAsiaTheme="minorHAnsi"/>
          <w:sz w:val="26"/>
          <w:szCs w:val="26"/>
          <w:lang w:val="en"/>
        </w:rPr>
        <w:t>Therefore, Section 220</w:t>
      </w:r>
      <w:r w:rsidR="000A693D">
        <w:rPr>
          <w:rFonts w:eastAsiaTheme="minorHAnsi"/>
          <w:sz w:val="26"/>
          <w:szCs w:val="26"/>
          <w:lang w:val="en"/>
        </w:rPr>
        <w:t>3</w:t>
      </w:r>
      <w:r>
        <w:rPr>
          <w:rFonts w:eastAsiaTheme="minorHAnsi"/>
          <w:sz w:val="26"/>
          <w:szCs w:val="26"/>
          <w:lang w:val="en"/>
        </w:rPr>
        <w:t>, like Section 1502, broadly prohibits discrimination in the provision of service.</w:t>
      </w:r>
    </w:p>
    <w:p w14:paraId="65DC9822" w14:textId="77777777" w:rsidR="008C6567" w:rsidRDefault="008C6567" w:rsidP="002E6D96">
      <w:pPr>
        <w:widowControl/>
        <w:spacing w:line="360" w:lineRule="auto"/>
        <w:ind w:firstLine="1440"/>
        <w:rPr>
          <w:rFonts w:eastAsiaTheme="minorHAnsi"/>
          <w:sz w:val="26"/>
          <w:szCs w:val="26"/>
          <w:lang w:val="en"/>
        </w:rPr>
      </w:pPr>
    </w:p>
    <w:p w14:paraId="5AC5452A" w14:textId="4ED28134" w:rsidR="008C6567" w:rsidRDefault="008C6567" w:rsidP="002E6D96">
      <w:pPr>
        <w:widowControl/>
        <w:spacing w:line="360" w:lineRule="auto"/>
        <w:ind w:firstLine="1440"/>
        <w:rPr>
          <w:rFonts w:eastAsiaTheme="minorHAnsi"/>
          <w:sz w:val="26"/>
          <w:szCs w:val="26"/>
          <w:lang w:val="en"/>
        </w:rPr>
      </w:pPr>
      <w:r>
        <w:rPr>
          <w:rFonts w:eastAsiaTheme="minorHAnsi"/>
          <w:sz w:val="26"/>
          <w:szCs w:val="26"/>
          <w:lang w:val="en"/>
        </w:rPr>
        <w:lastRenderedPageBreak/>
        <w:t xml:space="preserve">In the present case, Columbia’s billing practice is a term of its provision of service </w:t>
      </w:r>
      <w:r w:rsidR="00F749A7">
        <w:rPr>
          <w:rFonts w:eastAsiaTheme="minorHAnsi"/>
          <w:sz w:val="26"/>
          <w:szCs w:val="26"/>
          <w:lang w:val="en"/>
        </w:rPr>
        <w:t xml:space="preserve">to </w:t>
      </w:r>
      <w:r>
        <w:rPr>
          <w:rFonts w:eastAsiaTheme="minorHAnsi"/>
          <w:sz w:val="26"/>
          <w:szCs w:val="26"/>
          <w:lang w:val="en"/>
        </w:rPr>
        <w:t xml:space="preserve">the NGS </w:t>
      </w:r>
      <w:r w:rsidR="00AC3E95">
        <w:rPr>
          <w:rFonts w:eastAsiaTheme="minorHAnsi"/>
          <w:sz w:val="26"/>
          <w:szCs w:val="26"/>
          <w:lang w:val="en"/>
        </w:rPr>
        <w:t>P</w:t>
      </w:r>
      <w:r>
        <w:rPr>
          <w:rFonts w:eastAsiaTheme="minorHAnsi"/>
          <w:sz w:val="26"/>
          <w:szCs w:val="26"/>
          <w:lang w:val="en"/>
        </w:rPr>
        <w:t xml:space="preserve">arties.  Therefore, Columbia’s billing practice is subject to Commission jurisdiction and governed by the prohibition on discrimination and anti-competitive practice of both Sections 1502 and 2203(4) of the </w:t>
      </w:r>
      <w:r w:rsidR="0028247A">
        <w:rPr>
          <w:rFonts w:eastAsiaTheme="minorHAnsi"/>
          <w:sz w:val="26"/>
          <w:szCs w:val="26"/>
          <w:lang w:val="en"/>
        </w:rPr>
        <w:t>Code</w:t>
      </w:r>
      <w:r>
        <w:rPr>
          <w:rFonts w:eastAsiaTheme="minorHAnsi"/>
          <w:sz w:val="26"/>
          <w:szCs w:val="26"/>
          <w:lang w:val="en"/>
        </w:rPr>
        <w:t>.</w:t>
      </w:r>
    </w:p>
    <w:p w14:paraId="2D5CC2FD" w14:textId="77777777" w:rsidR="008C6567" w:rsidRDefault="008C6567" w:rsidP="002E6D96">
      <w:pPr>
        <w:widowControl/>
        <w:spacing w:line="360" w:lineRule="auto"/>
        <w:ind w:firstLine="1440"/>
        <w:rPr>
          <w:rFonts w:eastAsiaTheme="minorHAnsi"/>
          <w:sz w:val="26"/>
          <w:szCs w:val="26"/>
          <w:lang w:val="en"/>
        </w:rPr>
      </w:pPr>
    </w:p>
    <w:p w14:paraId="5AB11F8D" w14:textId="6D0F6C8B" w:rsidR="008C6567" w:rsidRPr="00657ACE" w:rsidRDefault="008C6567" w:rsidP="002E6D96">
      <w:pPr>
        <w:widowControl/>
        <w:spacing w:line="360" w:lineRule="auto"/>
        <w:ind w:firstLine="1440"/>
        <w:rPr>
          <w:rFonts w:eastAsiaTheme="minorHAnsi"/>
          <w:sz w:val="26"/>
          <w:szCs w:val="26"/>
          <w:lang w:val="en"/>
        </w:rPr>
      </w:pPr>
      <w:r>
        <w:rPr>
          <w:rFonts w:eastAsiaTheme="minorHAnsi"/>
          <w:sz w:val="26"/>
          <w:szCs w:val="26"/>
          <w:lang w:val="en"/>
        </w:rPr>
        <w:t xml:space="preserve">In this case, </w:t>
      </w:r>
      <w:r w:rsidRPr="00657ACE">
        <w:rPr>
          <w:rFonts w:eastAsiaTheme="minorHAnsi"/>
          <w:sz w:val="26"/>
          <w:szCs w:val="26"/>
          <w:lang w:val="en"/>
        </w:rPr>
        <w:t xml:space="preserve">Columbia provides a billing service which is beneficial enough for a third party to pay for the benefit of receiving it.  Columbia has offered no </w:t>
      </w:r>
      <w:r>
        <w:rPr>
          <w:rFonts w:eastAsiaTheme="minorHAnsi"/>
          <w:sz w:val="26"/>
          <w:szCs w:val="26"/>
          <w:lang w:val="en"/>
        </w:rPr>
        <w:t xml:space="preserve">reasonable </w:t>
      </w:r>
      <w:r w:rsidRPr="00657ACE">
        <w:rPr>
          <w:rFonts w:eastAsiaTheme="minorHAnsi"/>
          <w:sz w:val="26"/>
          <w:szCs w:val="26"/>
          <w:lang w:val="en"/>
        </w:rPr>
        <w:t xml:space="preserve">justification for offering the benefit of the billing service to </w:t>
      </w:r>
      <w:r>
        <w:rPr>
          <w:rFonts w:eastAsiaTheme="minorHAnsi"/>
          <w:sz w:val="26"/>
          <w:szCs w:val="26"/>
          <w:lang w:val="en"/>
        </w:rPr>
        <w:t>certain third parties</w:t>
      </w:r>
      <w:r w:rsidRPr="00657ACE">
        <w:rPr>
          <w:rFonts w:eastAsiaTheme="minorHAnsi"/>
          <w:sz w:val="26"/>
          <w:szCs w:val="26"/>
          <w:lang w:val="en"/>
        </w:rPr>
        <w:t>, while denying the NGS Parties that same billing service.</w:t>
      </w:r>
      <w:r>
        <w:rPr>
          <w:rFonts w:eastAsiaTheme="minorHAnsi"/>
          <w:sz w:val="26"/>
          <w:szCs w:val="26"/>
          <w:lang w:val="en"/>
        </w:rPr>
        <w:t xml:space="preserve">  Therefore, the billing practice at issue discriminates by preferential treatment of the third parties, Columbia’s former affiliates, when Columbia affords the option of “on bill” billing for goods and services offered by </w:t>
      </w:r>
      <w:r w:rsidR="00837C17">
        <w:rPr>
          <w:rFonts w:eastAsiaTheme="minorHAnsi"/>
          <w:sz w:val="26"/>
          <w:szCs w:val="26"/>
          <w:lang w:val="en"/>
        </w:rPr>
        <w:t>former affiliated</w:t>
      </w:r>
      <w:r>
        <w:rPr>
          <w:rFonts w:eastAsiaTheme="minorHAnsi"/>
          <w:sz w:val="26"/>
          <w:szCs w:val="26"/>
          <w:lang w:val="en"/>
        </w:rPr>
        <w:t xml:space="preserve"> third parties but denies the same billing option to the NGS Parties.  We conclude, under the given facts, that Columbia’s billing practice is discriminatory.</w:t>
      </w:r>
    </w:p>
    <w:p w14:paraId="5814548A" w14:textId="77777777" w:rsidR="008C6567" w:rsidRPr="00657ACE" w:rsidRDefault="008C6567" w:rsidP="002E6D96">
      <w:pPr>
        <w:widowControl/>
        <w:spacing w:line="360" w:lineRule="auto"/>
        <w:ind w:firstLine="1440"/>
        <w:rPr>
          <w:rFonts w:eastAsiaTheme="minorHAnsi"/>
          <w:sz w:val="26"/>
          <w:szCs w:val="26"/>
          <w:lang w:val="en"/>
        </w:rPr>
      </w:pPr>
    </w:p>
    <w:p w14:paraId="1EFC16B0" w14:textId="03C3FB59" w:rsidR="008C6567" w:rsidRDefault="008C6567" w:rsidP="002E6D96">
      <w:pPr>
        <w:widowControl/>
        <w:spacing w:line="360" w:lineRule="auto"/>
        <w:ind w:firstLine="1440"/>
        <w:rPr>
          <w:sz w:val="26"/>
          <w:szCs w:val="26"/>
        </w:rPr>
      </w:pPr>
      <w:r w:rsidRPr="00657ACE">
        <w:rPr>
          <w:rFonts w:eastAsiaTheme="minorHAnsi"/>
          <w:sz w:val="26"/>
          <w:szCs w:val="26"/>
          <w:lang w:val="en"/>
        </w:rPr>
        <w:t xml:space="preserve">Columbia’s remaining argument is that </w:t>
      </w:r>
      <w:r w:rsidRPr="00A4298F">
        <w:rPr>
          <w:sz w:val="26"/>
          <w:szCs w:val="26"/>
        </w:rPr>
        <w:t xml:space="preserve">even if </w:t>
      </w:r>
      <w:r>
        <w:rPr>
          <w:sz w:val="26"/>
          <w:szCs w:val="26"/>
        </w:rPr>
        <w:t xml:space="preserve">the </w:t>
      </w:r>
      <w:r w:rsidR="0028247A">
        <w:rPr>
          <w:sz w:val="26"/>
          <w:szCs w:val="26"/>
        </w:rPr>
        <w:t>Code</w:t>
      </w:r>
      <w:r>
        <w:rPr>
          <w:sz w:val="26"/>
          <w:szCs w:val="26"/>
        </w:rPr>
        <w:t xml:space="preserve">’s prohibitions on </w:t>
      </w:r>
      <w:r w:rsidRPr="00A4298F">
        <w:rPr>
          <w:sz w:val="26"/>
          <w:szCs w:val="26"/>
        </w:rPr>
        <w:t xml:space="preserve">discrimination </w:t>
      </w:r>
      <w:r>
        <w:rPr>
          <w:sz w:val="26"/>
          <w:szCs w:val="26"/>
        </w:rPr>
        <w:t xml:space="preserve">are applicable, </w:t>
      </w:r>
      <w:r w:rsidRPr="00A4298F">
        <w:rPr>
          <w:sz w:val="26"/>
          <w:szCs w:val="26"/>
        </w:rPr>
        <w:t>discrimination must be unreasonable to constitute a violation of Section 1502</w:t>
      </w:r>
      <w:r>
        <w:rPr>
          <w:sz w:val="26"/>
          <w:szCs w:val="26"/>
        </w:rPr>
        <w:t xml:space="preserve">, pursuant to </w:t>
      </w:r>
      <w:r w:rsidRPr="00A4298F">
        <w:rPr>
          <w:i/>
          <w:sz w:val="26"/>
          <w:szCs w:val="26"/>
        </w:rPr>
        <w:t>Pa. Pub. Util. Comm’n v. Nat’l Fuel Gas Distribution Corp.</w:t>
      </w:r>
      <w:r w:rsidRPr="00A4298F">
        <w:rPr>
          <w:sz w:val="26"/>
          <w:szCs w:val="26"/>
        </w:rPr>
        <w:t xml:space="preserve">, 2000 Pa. PUC LEXIS 883, *13 (June 29, 2000) citing </w:t>
      </w:r>
      <w:r w:rsidRPr="00A4298F">
        <w:rPr>
          <w:i/>
          <w:sz w:val="26"/>
          <w:szCs w:val="26"/>
        </w:rPr>
        <w:t>United Natural Gas Co. v. Pa. Pub. Util. Comm’n</w:t>
      </w:r>
      <w:r w:rsidRPr="00A4298F">
        <w:rPr>
          <w:sz w:val="26"/>
          <w:szCs w:val="26"/>
        </w:rPr>
        <w:t xml:space="preserve">, 22 A.2d 752, 757 (Pa. Super. 1943). </w:t>
      </w:r>
      <w:r>
        <w:rPr>
          <w:sz w:val="26"/>
          <w:szCs w:val="26"/>
        </w:rPr>
        <w:t xml:space="preserve">R.D. at 121, </w:t>
      </w:r>
      <w:r w:rsidRPr="00A4298F">
        <w:rPr>
          <w:sz w:val="26"/>
          <w:szCs w:val="26"/>
        </w:rPr>
        <w:t xml:space="preserve">Columbia M.B. </w:t>
      </w:r>
      <w:r>
        <w:rPr>
          <w:sz w:val="26"/>
          <w:szCs w:val="26"/>
        </w:rPr>
        <w:t>at</w:t>
      </w:r>
      <w:r w:rsidRPr="00A4298F">
        <w:rPr>
          <w:sz w:val="26"/>
          <w:szCs w:val="26"/>
        </w:rPr>
        <w:t xml:space="preserve"> 13.</w:t>
      </w:r>
      <w:r>
        <w:rPr>
          <w:sz w:val="26"/>
          <w:szCs w:val="26"/>
        </w:rPr>
        <w:t xml:space="preserve">  In certain cases, t</w:t>
      </w:r>
      <w:r w:rsidRPr="00A4298F">
        <w:rPr>
          <w:sz w:val="26"/>
          <w:szCs w:val="26"/>
        </w:rPr>
        <w:t>he Commission has held that some level of discrimination is allowable so long as it is not undue.</w:t>
      </w:r>
      <w:r>
        <w:rPr>
          <w:sz w:val="26"/>
          <w:szCs w:val="26"/>
        </w:rPr>
        <w:t xml:space="preserve">  Discrimination b</w:t>
      </w:r>
      <w:r w:rsidRPr="00A4298F">
        <w:rPr>
          <w:sz w:val="26"/>
          <w:szCs w:val="26"/>
        </w:rPr>
        <w:t>etween classes of customers</w:t>
      </w:r>
      <w:r>
        <w:rPr>
          <w:sz w:val="26"/>
          <w:szCs w:val="26"/>
        </w:rPr>
        <w:t xml:space="preserve"> is permissible</w:t>
      </w:r>
      <w:r w:rsidRPr="00A4298F">
        <w:rPr>
          <w:sz w:val="26"/>
          <w:szCs w:val="26"/>
        </w:rPr>
        <w:t xml:space="preserve">, provided that it </w:t>
      </w:r>
      <w:r>
        <w:rPr>
          <w:sz w:val="26"/>
          <w:szCs w:val="26"/>
        </w:rPr>
        <w:t>is reasonable and based on the facts.</w:t>
      </w:r>
    </w:p>
    <w:p w14:paraId="47FF2EA3" w14:textId="77777777" w:rsidR="008C6567" w:rsidRPr="00657ACE" w:rsidRDefault="008C6567" w:rsidP="002E6D96">
      <w:pPr>
        <w:widowControl/>
        <w:spacing w:line="360" w:lineRule="auto"/>
        <w:ind w:firstLine="1440"/>
        <w:rPr>
          <w:rFonts w:eastAsiaTheme="minorHAnsi"/>
          <w:sz w:val="26"/>
          <w:szCs w:val="26"/>
          <w:lang w:val="en"/>
        </w:rPr>
      </w:pPr>
    </w:p>
    <w:p w14:paraId="23ACEEBF" w14:textId="77777777" w:rsidR="008C6567" w:rsidRPr="00657ACE" w:rsidRDefault="008C6567" w:rsidP="002E6D96">
      <w:pPr>
        <w:widowControl/>
        <w:spacing w:line="360" w:lineRule="auto"/>
        <w:ind w:firstLine="1440"/>
        <w:rPr>
          <w:rFonts w:eastAsiaTheme="minorHAnsi"/>
          <w:sz w:val="26"/>
          <w:szCs w:val="26"/>
          <w:lang w:val="en"/>
        </w:rPr>
      </w:pPr>
      <w:r w:rsidRPr="00657ACE">
        <w:rPr>
          <w:rFonts w:eastAsiaTheme="minorHAnsi"/>
          <w:sz w:val="26"/>
          <w:szCs w:val="26"/>
          <w:lang w:val="en"/>
        </w:rPr>
        <w:t xml:space="preserve">In order for the discrimination to be reasonable in the circumstances, the discrimination between the parties must be based on facts which warrant the distinction, and not simply preferential treatment.  However, all the reasons Columbia gives for providing its former affiliates “on bill” billing service point to a preferential relationship and weigh against any justifiable distinction between Columbia’s former affiliates and the NGS </w:t>
      </w:r>
      <w:r>
        <w:rPr>
          <w:rFonts w:eastAsiaTheme="minorHAnsi"/>
          <w:sz w:val="26"/>
          <w:szCs w:val="26"/>
          <w:lang w:val="en"/>
        </w:rPr>
        <w:t xml:space="preserve">Parties </w:t>
      </w:r>
      <w:r w:rsidRPr="00657ACE">
        <w:rPr>
          <w:rFonts w:eastAsiaTheme="minorHAnsi"/>
          <w:sz w:val="26"/>
          <w:szCs w:val="26"/>
          <w:lang w:val="en"/>
        </w:rPr>
        <w:t>for billing purposes.</w:t>
      </w:r>
    </w:p>
    <w:p w14:paraId="3C4FCC76" w14:textId="77777777" w:rsidR="008C6567" w:rsidRPr="00657ACE" w:rsidRDefault="008C6567" w:rsidP="002E6D96">
      <w:pPr>
        <w:widowControl/>
        <w:spacing w:line="360" w:lineRule="auto"/>
        <w:ind w:firstLine="1440"/>
        <w:rPr>
          <w:rFonts w:eastAsiaTheme="minorHAnsi"/>
          <w:sz w:val="26"/>
          <w:szCs w:val="26"/>
          <w:lang w:val="en"/>
        </w:rPr>
      </w:pPr>
    </w:p>
    <w:p w14:paraId="5C6391BF" w14:textId="4458761E" w:rsidR="008C6567" w:rsidRDefault="008C6567" w:rsidP="002E6D96">
      <w:pPr>
        <w:widowControl/>
        <w:spacing w:line="360" w:lineRule="auto"/>
        <w:ind w:firstLine="1440"/>
        <w:rPr>
          <w:rFonts w:eastAsiaTheme="minorHAnsi"/>
          <w:sz w:val="26"/>
          <w:szCs w:val="26"/>
          <w:lang w:val="en"/>
        </w:rPr>
      </w:pPr>
      <w:r w:rsidRPr="00657ACE">
        <w:rPr>
          <w:rFonts w:eastAsiaTheme="minorHAnsi"/>
          <w:sz w:val="26"/>
          <w:szCs w:val="26"/>
          <w:lang w:val="en"/>
        </w:rPr>
        <w:t xml:space="preserve">The facts show that Columbia’s practice of “on bill” billing for the former affiliates arose as a special business arrangement between Columbia and the two entities at a time when they were affiliated business interests.  For example, while Columbia emphasizes the “arms-length” contract negotiation for the billing service, Columbia also concedes that contracts for billing are “legacy contracts” originally between Columbia and its affiliates, under terms which were mutually beneficial to the affiliated parties at that time. </w:t>
      </w:r>
      <w:r w:rsidR="00DE791B">
        <w:rPr>
          <w:rFonts w:eastAsiaTheme="minorHAnsi"/>
          <w:sz w:val="26"/>
          <w:szCs w:val="26"/>
          <w:lang w:val="en"/>
        </w:rPr>
        <w:t xml:space="preserve"> </w:t>
      </w:r>
      <w:r>
        <w:rPr>
          <w:rFonts w:eastAsiaTheme="minorHAnsi"/>
          <w:sz w:val="26"/>
          <w:szCs w:val="26"/>
          <w:lang w:val="en"/>
        </w:rPr>
        <w:t>R.D. at 106-107.</w:t>
      </w:r>
      <w:r w:rsidRPr="00657ACE">
        <w:rPr>
          <w:rFonts w:eastAsiaTheme="minorHAnsi"/>
          <w:sz w:val="26"/>
          <w:szCs w:val="26"/>
          <w:lang w:val="en"/>
        </w:rPr>
        <w:t xml:space="preserve">  Now that the companies are no longer affiliated, Columbia continues the arrangement to the mutual benefit of both Columbia and the former affiliates, even if negotiated at “arms-length.”</w:t>
      </w:r>
    </w:p>
    <w:p w14:paraId="72DB4624" w14:textId="77777777" w:rsidR="008C6567" w:rsidRDefault="008C6567" w:rsidP="002E6D96">
      <w:pPr>
        <w:widowControl/>
        <w:spacing w:line="360" w:lineRule="auto"/>
        <w:ind w:firstLine="1440"/>
        <w:rPr>
          <w:rFonts w:eastAsiaTheme="minorHAnsi"/>
          <w:sz w:val="26"/>
          <w:szCs w:val="26"/>
          <w:lang w:val="en"/>
        </w:rPr>
      </w:pPr>
    </w:p>
    <w:p w14:paraId="611ED9A6" w14:textId="7D0BE358" w:rsidR="008C6567" w:rsidRDefault="008C6567" w:rsidP="002E6D96">
      <w:pPr>
        <w:widowControl/>
        <w:spacing w:line="360" w:lineRule="auto"/>
        <w:ind w:firstLine="1440"/>
        <w:rPr>
          <w:rFonts w:eastAsiaTheme="minorHAnsi"/>
          <w:sz w:val="26"/>
          <w:szCs w:val="26"/>
          <w:lang w:val="en"/>
        </w:rPr>
      </w:pPr>
      <w:r w:rsidRPr="00657ACE">
        <w:rPr>
          <w:rFonts w:eastAsiaTheme="minorHAnsi"/>
          <w:sz w:val="26"/>
          <w:szCs w:val="26"/>
          <w:lang w:val="en"/>
        </w:rPr>
        <w:t>Columbia has stated it derives a dual benefit of convenience for its customers who wish to purchase the third-part</w:t>
      </w:r>
      <w:r>
        <w:rPr>
          <w:rFonts w:eastAsiaTheme="minorHAnsi"/>
          <w:sz w:val="26"/>
          <w:szCs w:val="26"/>
          <w:lang w:val="en"/>
        </w:rPr>
        <w:t>ies</w:t>
      </w:r>
      <w:r w:rsidRPr="00657ACE">
        <w:rPr>
          <w:rFonts w:eastAsiaTheme="minorHAnsi"/>
          <w:sz w:val="26"/>
          <w:szCs w:val="26"/>
          <w:lang w:val="en"/>
        </w:rPr>
        <w:t>’</w:t>
      </w:r>
      <w:r>
        <w:rPr>
          <w:rFonts w:eastAsiaTheme="minorHAnsi"/>
          <w:sz w:val="26"/>
          <w:szCs w:val="26"/>
          <w:lang w:val="en"/>
        </w:rPr>
        <w:t xml:space="preserve"> </w:t>
      </w:r>
      <w:r w:rsidRPr="00657ACE">
        <w:rPr>
          <w:rFonts w:eastAsiaTheme="minorHAnsi"/>
          <w:sz w:val="26"/>
          <w:szCs w:val="26"/>
          <w:lang w:val="en"/>
        </w:rPr>
        <w:t xml:space="preserve">services, and Columbia receives revenue </w:t>
      </w:r>
      <w:r w:rsidRPr="00657ACE">
        <w:rPr>
          <w:rFonts w:eastAsiaTheme="minorHAnsi"/>
          <w:i/>
          <w:sz w:val="26"/>
          <w:szCs w:val="26"/>
          <w:lang w:val="en"/>
        </w:rPr>
        <w:t xml:space="preserve">via </w:t>
      </w:r>
      <w:r w:rsidRPr="00657ACE">
        <w:rPr>
          <w:rFonts w:eastAsiaTheme="minorHAnsi"/>
          <w:sz w:val="26"/>
          <w:szCs w:val="26"/>
          <w:lang w:val="en"/>
        </w:rPr>
        <w:t xml:space="preserve">compensation received from the former affiliates for provision of the “on bill” billing service. </w:t>
      </w:r>
      <w:r w:rsidR="00FE3A83">
        <w:rPr>
          <w:rFonts w:eastAsiaTheme="minorHAnsi"/>
          <w:sz w:val="26"/>
          <w:szCs w:val="26"/>
          <w:lang w:val="en"/>
        </w:rPr>
        <w:t xml:space="preserve"> </w:t>
      </w:r>
      <w:r>
        <w:rPr>
          <w:rFonts w:eastAsiaTheme="minorHAnsi"/>
          <w:sz w:val="26"/>
          <w:szCs w:val="26"/>
          <w:lang w:val="en"/>
        </w:rPr>
        <w:t xml:space="preserve">R.D. at 107. </w:t>
      </w:r>
      <w:r w:rsidRPr="00657ACE">
        <w:rPr>
          <w:rFonts w:eastAsiaTheme="minorHAnsi"/>
          <w:sz w:val="26"/>
          <w:szCs w:val="26"/>
          <w:lang w:val="en"/>
        </w:rPr>
        <w:t xml:space="preserve"> The former affiliates pay what the parties agree to be a reasonable fee for the value of “on bill” billing service Columbia provides, which the former affiliates find beneficial to their own business interests. </w:t>
      </w:r>
      <w:r>
        <w:rPr>
          <w:rFonts w:eastAsiaTheme="minorHAnsi"/>
          <w:sz w:val="26"/>
          <w:szCs w:val="26"/>
          <w:lang w:val="en"/>
        </w:rPr>
        <w:t>R.D. at 107.</w:t>
      </w:r>
    </w:p>
    <w:p w14:paraId="779097D5" w14:textId="77777777" w:rsidR="008C6567" w:rsidRPr="00657ACE" w:rsidRDefault="008C6567" w:rsidP="002E6D96">
      <w:pPr>
        <w:widowControl/>
        <w:spacing w:line="360" w:lineRule="auto"/>
        <w:ind w:firstLine="1440"/>
        <w:rPr>
          <w:rFonts w:eastAsiaTheme="minorHAnsi"/>
          <w:sz w:val="26"/>
          <w:szCs w:val="26"/>
          <w:lang w:val="en"/>
        </w:rPr>
      </w:pPr>
    </w:p>
    <w:p w14:paraId="011DC11E" w14:textId="0560CA9D" w:rsidR="008C6567" w:rsidRPr="00657ACE" w:rsidRDefault="008C6567" w:rsidP="002E6D96">
      <w:pPr>
        <w:widowControl/>
        <w:spacing w:line="360" w:lineRule="auto"/>
        <w:ind w:firstLine="1440"/>
        <w:rPr>
          <w:rFonts w:eastAsiaTheme="minorHAnsi"/>
          <w:sz w:val="26"/>
          <w:szCs w:val="26"/>
          <w:lang w:val="en"/>
        </w:rPr>
      </w:pPr>
      <w:r>
        <w:rPr>
          <w:rFonts w:eastAsiaTheme="minorHAnsi"/>
          <w:sz w:val="26"/>
          <w:szCs w:val="26"/>
          <w:lang w:val="en"/>
        </w:rPr>
        <w:t xml:space="preserve">Columbia’s own assertion that “on bill” billing would imply Columbia’s endorsement of the NGS Parties goods and services, arguably establishes Columbia’s present practice is preferential treatment for its former affiliates. </w:t>
      </w:r>
      <w:r w:rsidRPr="00DE791B">
        <w:rPr>
          <w:rFonts w:eastAsiaTheme="minorHAnsi"/>
          <w:i/>
          <w:sz w:val="26"/>
          <w:szCs w:val="26"/>
          <w:lang w:val="en"/>
        </w:rPr>
        <w:t>See,</w:t>
      </w:r>
      <w:r>
        <w:rPr>
          <w:rFonts w:eastAsiaTheme="minorHAnsi"/>
          <w:sz w:val="26"/>
          <w:szCs w:val="26"/>
          <w:lang w:val="en"/>
        </w:rPr>
        <w:t xml:space="preserve"> R.D. at 97, Columbia M.B. at 15.  </w:t>
      </w:r>
      <w:r w:rsidRPr="00657ACE">
        <w:rPr>
          <w:rFonts w:eastAsiaTheme="minorHAnsi"/>
          <w:sz w:val="26"/>
          <w:szCs w:val="26"/>
          <w:lang w:val="en"/>
        </w:rPr>
        <w:t xml:space="preserve">An </w:t>
      </w:r>
      <w:r>
        <w:rPr>
          <w:rFonts w:eastAsiaTheme="minorHAnsi"/>
          <w:sz w:val="26"/>
          <w:szCs w:val="26"/>
          <w:lang w:val="en"/>
        </w:rPr>
        <w:t xml:space="preserve">endorsement granted by </w:t>
      </w:r>
      <w:r w:rsidRPr="00657ACE">
        <w:rPr>
          <w:rFonts w:eastAsiaTheme="minorHAnsi"/>
          <w:sz w:val="26"/>
          <w:szCs w:val="26"/>
          <w:lang w:val="en"/>
        </w:rPr>
        <w:t>Columbia</w:t>
      </w:r>
      <w:r>
        <w:rPr>
          <w:rFonts w:eastAsiaTheme="minorHAnsi"/>
          <w:sz w:val="26"/>
          <w:szCs w:val="26"/>
          <w:lang w:val="en"/>
        </w:rPr>
        <w:t xml:space="preserve"> of the former </w:t>
      </w:r>
      <w:r w:rsidRPr="00657ACE">
        <w:rPr>
          <w:rFonts w:eastAsiaTheme="minorHAnsi"/>
          <w:sz w:val="26"/>
          <w:szCs w:val="26"/>
          <w:lang w:val="en"/>
        </w:rPr>
        <w:t>affiliates’ services</w:t>
      </w:r>
      <w:r>
        <w:rPr>
          <w:rFonts w:eastAsiaTheme="minorHAnsi"/>
          <w:sz w:val="26"/>
          <w:szCs w:val="26"/>
          <w:lang w:val="en"/>
        </w:rPr>
        <w:t xml:space="preserve"> is a clear benefit</w:t>
      </w:r>
      <w:r w:rsidRPr="00657ACE">
        <w:rPr>
          <w:rFonts w:eastAsiaTheme="minorHAnsi"/>
          <w:sz w:val="26"/>
          <w:szCs w:val="26"/>
          <w:lang w:val="en"/>
        </w:rPr>
        <w:t xml:space="preserve">, </w:t>
      </w:r>
      <w:r w:rsidRPr="00657ACE">
        <w:rPr>
          <w:rFonts w:eastAsiaTheme="minorHAnsi"/>
          <w:i/>
          <w:sz w:val="26"/>
          <w:szCs w:val="26"/>
          <w:lang w:val="en"/>
        </w:rPr>
        <w:t>i.e</w:t>
      </w:r>
      <w:r w:rsidRPr="00657ACE">
        <w:rPr>
          <w:rFonts w:eastAsiaTheme="minorHAnsi"/>
          <w:sz w:val="26"/>
          <w:szCs w:val="26"/>
          <w:lang w:val="en"/>
        </w:rPr>
        <w:t xml:space="preserve">., the benefit of the association in the consumer’s mind of Columbia with the former affiliates’ service, by inclusion on Columbia’s utility bill.  For example, Columbia expressly argues that inclusion of NGS goods and services on Columbia’s bill would be “forcing Columbia to associate with products and services against its will.” </w:t>
      </w:r>
      <w:r w:rsidR="00DE791B">
        <w:rPr>
          <w:rFonts w:eastAsiaTheme="minorHAnsi"/>
          <w:sz w:val="26"/>
          <w:szCs w:val="26"/>
          <w:lang w:val="en"/>
        </w:rPr>
        <w:t xml:space="preserve"> </w:t>
      </w:r>
      <w:r w:rsidRPr="00657ACE">
        <w:rPr>
          <w:rFonts w:eastAsiaTheme="minorHAnsi"/>
          <w:sz w:val="26"/>
          <w:szCs w:val="26"/>
          <w:lang w:val="en"/>
        </w:rPr>
        <w:t xml:space="preserve">Columbia MB at 6 and 15.  If requiring inclusion of a third party’s products and services on Columbia’s bill equals forcing Columbia’s association with those products and services, then Columbia concedes that inclusion of its former </w:t>
      </w:r>
      <w:r w:rsidRPr="00657ACE">
        <w:rPr>
          <w:rFonts w:eastAsiaTheme="minorHAnsi"/>
          <w:sz w:val="26"/>
          <w:szCs w:val="26"/>
          <w:lang w:val="en"/>
        </w:rPr>
        <w:lastRenderedPageBreak/>
        <w:t>affiliates’ services on Columbia’s utility bill equals “Columbia’s association with those services.”</w:t>
      </w:r>
      <w:r>
        <w:rPr>
          <w:rFonts w:eastAsiaTheme="minorHAnsi"/>
          <w:sz w:val="26"/>
          <w:szCs w:val="26"/>
          <w:lang w:val="en"/>
        </w:rPr>
        <w:t xml:space="preserve">  Arguably, Columbia concedes its billing practice constitutes preferential treatment of the former affiliates.</w:t>
      </w:r>
    </w:p>
    <w:p w14:paraId="6D863D64" w14:textId="77777777" w:rsidR="008C6567" w:rsidRPr="00657ACE" w:rsidRDefault="008C6567" w:rsidP="002E6D96">
      <w:pPr>
        <w:widowControl/>
        <w:spacing w:line="360" w:lineRule="auto"/>
        <w:ind w:firstLine="1440"/>
        <w:rPr>
          <w:rFonts w:eastAsiaTheme="minorHAnsi"/>
          <w:sz w:val="26"/>
          <w:szCs w:val="26"/>
          <w:lang w:val="en"/>
        </w:rPr>
      </w:pPr>
    </w:p>
    <w:p w14:paraId="51EE0696" w14:textId="4656A623" w:rsidR="008C6567" w:rsidRPr="00657ACE" w:rsidRDefault="008C6567" w:rsidP="002E6D96">
      <w:pPr>
        <w:widowControl/>
        <w:spacing w:line="360" w:lineRule="auto"/>
        <w:ind w:firstLine="1440"/>
        <w:rPr>
          <w:rFonts w:eastAsiaTheme="minorHAnsi"/>
          <w:sz w:val="26"/>
          <w:szCs w:val="26"/>
          <w:lang w:val="en"/>
        </w:rPr>
      </w:pPr>
      <w:r w:rsidRPr="00657ACE">
        <w:rPr>
          <w:rFonts w:eastAsiaTheme="minorHAnsi"/>
          <w:sz w:val="26"/>
          <w:szCs w:val="26"/>
          <w:lang w:val="en"/>
        </w:rPr>
        <w:t xml:space="preserve">Further, a third party’s ability to have its products and services associated with the Columbia “brand” in the Commonwealth is arguably a business advantage, </w:t>
      </w:r>
      <w:r w:rsidRPr="00C322AC">
        <w:rPr>
          <w:rFonts w:eastAsiaTheme="minorHAnsi"/>
          <w:sz w:val="26"/>
          <w:szCs w:val="26"/>
          <w:lang w:val="en"/>
        </w:rPr>
        <w:t xml:space="preserve">albeit </w:t>
      </w:r>
      <w:r w:rsidRPr="00657ACE">
        <w:rPr>
          <w:rFonts w:eastAsiaTheme="minorHAnsi"/>
          <w:sz w:val="26"/>
          <w:szCs w:val="26"/>
          <w:lang w:val="en"/>
        </w:rPr>
        <w:t xml:space="preserve">an intangible one.  Columbia occupies the uniquely powerful market position of one of the most recognized utility names in the Commonwealth, serving hundreds of thousands of consumers, spanning </w:t>
      </w:r>
      <w:r w:rsidR="00B40D2C">
        <w:rPr>
          <w:rFonts w:eastAsiaTheme="minorHAnsi"/>
          <w:sz w:val="26"/>
          <w:szCs w:val="26"/>
          <w:lang w:val="en"/>
        </w:rPr>
        <w:t>twenty-six</w:t>
      </w:r>
      <w:r w:rsidRPr="00657ACE">
        <w:rPr>
          <w:rFonts w:eastAsiaTheme="minorHAnsi"/>
          <w:sz w:val="26"/>
          <w:szCs w:val="26"/>
          <w:lang w:val="en"/>
        </w:rPr>
        <w:t xml:space="preserve"> counties, with a history dating back to the Company’s founding in the Commonwealth in 1885.  Columbia’s implied endorsement by </w:t>
      </w:r>
      <w:r>
        <w:rPr>
          <w:rFonts w:eastAsiaTheme="minorHAnsi"/>
          <w:sz w:val="26"/>
          <w:szCs w:val="26"/>
          <w:lang w:val="en"/>
        </w:rPr>
        <w:t xml:space="preserve">its current </w:t>
      </w:r>
      <w:r w:rsidRPr="00657ACE">
        <w:rPr>
          <w:rFonts w:eastAsiaTheme="minorHAnsi"/>
          <w:sz w:val="26"/>
          <w:szCs w:val="26"/>
          <w:lang w:val="en"/>
        </w:rPr>
        <w:t xml:space="preserve">“on bill” billing </w:t>
      </w:r>
      <w:r>
        <w:rPr>
          <w:rFonts w:eastAsiaTheme="minorHAnsi"/>
          <w:sz w:val="26"/>
          <w:szCs w:val="26"/>
          <w:lang w:val="en"/>
        </w:rPr>
        <w:t>policy</w:t>
      </w:r>
      <w:r w:rsidRPr="00657ACE">
        <w:rPr>
          <w:rFonts w:eastAsiaTheme="minorHAnsi"/>
          <w:sz w:val="26"/>
          <w:szCs w:val="26"/>
          <w:lang w:val="en"/>
        </w:rPr>
        <w:t xml:space="preserve"> is, itself, a business benefit </w:t>
      </w:r>
      <w:r>
        <w:rPr>
          <w:rFonts w:eastAsiaTheme="minorHAnsi"/>
          <w:sz w:val="26"/>
          <w:szCs w:val="26"/>
          <w:lang w:val="en"/>
        </w:rPr>
        <w:t xml:space="preserve">Columbia </w:t>
      </w:r>
      <w:r w:rsidRPr="00657ACE">
        <w:rPr>
          <w:rFonts w:eastAsiaTheme="minorHAnsi"/>
          <w:sz w:val="26"/>
          <w:szCs w:val="26"/>
          <w:lang w:val="en"/>
        </w:rPr>
        <w:t xml:space="preserve">presently bestows only to </w:t>
      </w:r>
      <w:r>
        <w:rPr>
          <w:rFonts w:eastAsiaTheme="minorHAnsi"/>
          <w:sz w:val="26"/>
          <w:szCs w:val="26"/>
          <w:lang w:val="en"/>
        </w:rPr>
        <w:t xml:space="preserve">two </w:t>
      </w:r>
      <w:r w:rsidRPr="00657ACE">
        <w:rPr>
          <w:rFonts w:eastAsiaTheme="minorHAnsi"/>
          <w:sz w:val="26"/>
          <w:szCs w:val="26"/>
          <w:lang w:val="en"/>
        </w:rPr>
        <w:t>former affiliates.</w:t>
      </w:r>
    </w:p>
    <w:p w14:paraId="337F8508" w14:textId="77777777" w:rsidR="008C6567" w:rsidRDefault="008C6567" w:rsidP="002E6D96">
      <w:pPr>
        <w:widowControl/>
        <w:spacing w:line="360" w:lineRule="auto"/>
        <w:rPr>
          <w:rFonts w:eastAsiaTheme="minorHAnsi"/>
          <w:sz w:val="26"/>
          <w:szCs w:val="26"/>
          <w:lang w:val="en"/>
        </w:rPr>
      </w:pPr>
    </w:p>
    <w:p w14:paraId="6ED0C49A" w14:textId="144D2052" w:rsidR="008C6567" w:rsidRDefault="008C6567" w:rsidP="002E6D96">
      <w:pPr>
        <w:widowControl/>
        <w:spacing w:line="360" w:lineRule="auto"/>
        <w:ind w:firstLine="1440"/>
        <w:rPr>
          <w:sz w:val="26"/>
          <w:szCs w:val="26"/>
        </w:rPr>
      </w:pPr>
      <w:r>
        <w:rPr>
          <w:rFonts w:eastAsiaTheme="minorHAnsi"/>
          <w:sz w:val="26"/>
          <w:szCs w:val="26"/>
          <w:lang w:val="en"/>
        </w:rPr>
        <w:t xml:space="preserve">We find that Columbia’s billing practice, as presently implemented, is discriminatory, unreasonable and not justified in the given circumstances.  Therefore, we conclude that Columbia’s billing practice, as implemented, violates the prohibition on discrimination in provision of service under both Sections 1502 and 2204 of the </w:t>
      </w:r>
      <w:r w:rsidR="0028247A">
        <w:rPr>
          <w:rFonts w:eastAsiaTheme="minorHAnsi"/>
          <w:sz w:val="26"/>
          <w:szCs w:val="26"/>
          <w:lang w:val="en"/>
        </w:rPr>
        <w:t>Code</w:t>
      </w:r>
      <w:r>
        <w:rPr>
          <w:rFonts w:eastAsiaTheme="minorHAnsi"/>
          <w:sz w:val="26"/>
          <w:szCs w:val="26"/>
          <w:lang w:val="en"/>
        </w:rPr>
        <w:t>.</w:t>
      </w:r>
      <w:r w:rsidR="00CC0093">
        <w:rPr>
          <w:rFonts w:eastAsiaTheme="minorHAnsi"/>
          <w:sz w:val="26"/>
          <w:szCs w:val="26"/>
          <w:lang w:val="en"/>
        </w:rPr>
        <w:t xml:space="preserve">  </w:t>
      </w:r>
      <w:r w:rsidR="00CC0093">
        <w:rPr>
          <w:sz w:val="26"/>
          <w:szCs w:val="26"/>
        </w:rPr>
        <w:t xml:space="preserve">Notwithstanding this determination, </w:t>
      </w:r>
      <w:r w:rsidRPr="00A4298F">
        <w:rPr>
          <w:sz w:val="26"/>
          <w:szCs w:val="26"/>
        </w:rPr>
        <w:t xml:space="preserve">we </w:t>
      </w:r>
      <w:r>
        <w:rPr>
          <w:sz w:val="26"/>
          <w:szCs w:val="26"/>
        </w:rPr>
        <w:t xml:space="preserve">agree with the OCA’s Reply Exception that </w:t>
      </w:r>
      <w:r w:rsidR="0009582B">
        <w:rPr>
          <w:sz w:val="26"/>
          <w:szCs w:val="26"/>
        </w:rPr>
        <w:t xml:space="preserve">it would not be a reasonable solution in these circumstances </w:t>
      </w:r>
      <w:r w:rsidR="00F8729F">
        <w:rPr>
          <w:sz w:val="26"/>
          <w:szCs w:val="26"/>
        </w:rPr>
        <w:t xml:space="preserve">for </w:t>
      </w:r>
      <w:r>
        <w:rPr>
          <w:sz w:val="26"/>
          <w:szCs w:val="26"/>
        </w:rPr>
        <w:t xml:space="preserve">the Commission </w:t>
      </w:r>
      <w:r w:rsidR="00F8729F">
        <w:rPr>
          <w:sz w:val="26"/>
          <w:szCs w:val="26"/>
        </w:rPr>
        <w:t xml:space="preserve">to </w:t>
      </w:r>
      <w:r>
        <w:rPr>
          <w:sz w:val="26"/>
          <w:szCs w:val="26"/>
        </w:rPr>
        <w:t xml:space="preserve">compel </w:t>
      </w:r>
      <w:r w:rsidRPr="00A4298F">
        <w:rPr>
          <w:sz w:val="26"/>
          <w:szCs w:val="26"/>
        </w:rPr>
        <w:t>Colu</w:t>
      </w:r>
      <w:r>
        <w:rPr>
          <w:sz w:val="26"/>
          <w:szCs w:val="26"/>
        </w:rPr>
        <w:t xml:space="preserve">mbia </w:t>
      </w:r>
      <w:r w:rsidRPr="00A4298F">
        <w:rPr>
          <w:sz w:val="26"/>
          <w:szCs w:val="26"/>
        </w:rPr>
        <w:t xml:space="preserve">to provide </w:t>
      </w:r>
      <w:r w:rsidR="0009582B">
        <w:rPr>
          <w:sz w:val="26"/>
          <w:szCs w:val="26"/>
        </w:rPr>
        <w:t xml:space="preserve">the </w:t>
      </w:r>
      <w:r w:rsidRPr="00A4298F">
        <w:rPr>
          <w:sz w:val="26"/>
          <w:szCs w:val="26"/>
        </w:rPr>
        <w:t xml:space="preserve">NGS </w:t>
      </w:r>
      <w:r w:rsidR="0009582B">
        <w:rPr>
          <w:sz w:val="26"/>
          <w:szCs w:val="26"/>
        </w:rPr>
        <w:t>P</w:t>
      </w:r>
      <w:r w:rsidRPr="00A4298F">
        <w:rPr>
          <w:sz w:val="26"/>
          <w:szCs w:val="26"/>
        </w:rPr>
        <w:t>arties “on bill” billing service for non-commodity goods and services offered by the NGS Parties</w:t>
      </w:r>
      <w:r w:rsidR="0009582B">
        <w:rPr>
          <w:sz w:val="26"/>
          <w:szCs w:val="26"/>
        </w:rPr>
        <w:t>.</w:t>
      </w:r>
      <w:r>
        <w:rPr>
          <w:sz w:val="26"/>
          <w:szCs w:val="26"/>
        </w:rPr>
        <w:t xml:space="preserve">  </w:t>
      </w:r>
      <w:r w:rsidR="00F8729F">
        <w:rPr>
          <w:sz w:val="26"/>
          <w:szCs w:val="26"/>
        </w:rPr>
        <w:t xml:space="preserve">  Columbia must comply with Section 1502 of the Code and provide its “on bill” billing policy in a way that is nondiscriminatory.  In other words, Columbia must either provide such a service to all entities that provide such non-basic services or must discontinue the “on bill” billing policy.  Columbia may not continue to provide this ability to only the two entities referenced in this case.  Should Columbia provide the service to all entities providing non-basic services, we recognize the potential need for reasonable limitations, such as a requirement that the entit</w:t>
      </w:r>
      <w:r w:rsidR="0038468B">
        <w:rPr>
          <w:sz w:val="26"/>
          <w:szCs w:val="26"/>
        </w:rPr>
        <w:t>ies</w:t>
      </w:r>
      <w:r w:rsidR="00F8729F">
        <w:rPr>
          <w:sz w:val="26"/>
          <w:szCs w:val="26"/>
        </w:rPr>
        <w:t xml:space="preserve"> be able to provide information to Columbia in a manner that conforms to Columbia’s billing practices</w:t>
      </w:r>
      <w:r w:rsidR="0003326C">
        <w:rPr>
          <w:sz w:val="26"/>
          <w:szCs w:val="26"/>
        </w:rPr>
        <w:t>, spacing</w:t>
      </w:r>
      <w:r w:rsidR="00F8729F">
        <w:rPr>
          <w:sz w:val="26"/>
          <w:szCs w:val="26"/>
        </w:rPr>
        <w:t xml:space="preserve"> and technologies.  As such, we shall require Columbia to report to this </w:t>
      </w:r>
      <w:r w:rsidR="00F8729F">
        <w:rPr>
          <w:sz w:val="26"/>
          <w:szCs w:val="26"/>
        </w:rPr>
        <w:lastRenderedPageBreak/>
        <w:t>Commission’s Bureau of Technical Utilit</w:t>
      </w:r>
      <w:r w:rsidR="002628F3">
        <w:rPr>
          <w:sz w:val="26"/>
          <w:szCs w:val="26"/>
        </w:rPr>
        <w:t>y</w:t>
      </w:r>
      <w:r w:rsidR="00F8729F">
        <w:rPr>
          <w:sz w:val="26"/>
          <w:szCs w:val="26"/>
        </w:rPr>
        <w:t xml:space="preserve"> Services, within 60 days of the entry day of this Opinion and Order, its methodology for coming into compliance with Section 1502 of the Code. </w:t>
      </w:r>
      <w:r w:rsidR="0003326C">
        <w:rPr>
          <w:sz w:val="26"/>
          <w:szCs w:val="26"/>
        </w:rPr>
        <w:t xml:space="preserve"> We reiterate the requirements of 52 Pa. Code § 56.83(3) which directs that a customer’s service may not be terminated for nonpayment of such </w:t>
      </w:r>
      <w:proofErr w:type="spellStart"/>
      <w:r w:rsidR="0003326C">
        <w:rPr>
          <w:sz w:val="26"/>
          <w:szCs w:val="26"/>
        </w:rPr>
        <w:t>nonbasic</w:t>
      </w:r>
      <w:proofErr w:type="spellEnd"/>
      <w:r w:rsidR="0003326C">
        <w:rPr>
          <w:sz w:val="26"/>
          <w:szCs w:val="26"/>
        </w:rPr>
        <w:t xml:space="preserve"> charges.</w:t>
      </w:r>
    </w:p>
    <w:p w14:paraId="6611CC64" w14:textId="77777777" w:rsidR="00A333DE" w:rsidRPr="00657ACE" w:rsidRDefault="00A333DE" w:rsidP="002E6D96">
      <w:pPr>
        <w:widowControl/>
        <w:spacing w:line="360" w:lineRule="auto"/>
        <w:ind w:firstLine="1440"/>
        <w:rPr>
          <w:rFonts w:eastAsiaTheme="minorHAnsi"/>
          <w:sz w:val="26"/>
          <w:szCs w:val="26"/>
          <w:lang w:val="en"/>
        </w:rPr>
      </w:pPr>
    </w:p>
    <w:p w14:paraId="139A4A3D" w14:textId="374911EC" w:rsidR="00092B99" w:rsidRPr="002F54C4" w:rsidRDefault="002F54C4" w:rsidP="002E6D96">
      <w:pPr>
        <w:keepNext/>
        <w:keepLines/>
        <w:widowControl/>
        <w:spacing w:line="360" w:lineRule="auto"/>
        <w:jc w:val="center"/>
        <w:textAlignment w:val="baseline"/>
        <w:outlineLvl w:val="0"/>
        <w:rPr>
          <w:b/>
          <w:color w:val="000000"/>
          <w:sz w:val="26"/>
          <w:szCs w:val="26"/>
        </w:rPr>
      </w:pPr>
      <w:bookmarkStart w:id="23" w:name="_Toc531076127"/>
      <w:r>
        <w:rPr>
          <w:b/>
          <w:color w:val="000000"/>
          <w:sz w:val="26"/>
          <w:szCs w:val="26"/>
        </w:rPr>
        <w:t>V.</w:t>
      </w:r>
      <w:r>
        <w:rPr>
          <w:b/>
          <w:color w:val="000000"/>
          <w:sz w:val="26"/>
          <w:szCs w:val="26"/>
        </w:rPr>
        <w:tab/>
      </w:r>
      <w:r w:rsidR="00092B99" w:rsidRPr="002F54C4">
        <w:rPr>
          <w:b/>
          <w:color w:val="000000"/>
          <w:sz w:val="26"/>
          <w:szCs w:val="26"/>
        </w:rPr>
        <w:t>Conclusion</w:t>
      </w:r>
      <w:bookmarkEnd w:id="23"/>
    </w:p>
    <w:p w14:paraId="211EB298" w14:textId="77777777" w:rsidR="00092B99" w:rsidRPr="003C351F" w:rsidRDefault="00092B99" w:rsidP="002E6D96">
      <w:pPr>
        <w:pStyle w:val="ListParagraph"/>
        <w:keepNext/>
        <w:keepLines/>
        <w:widowControl/>
        <w:spacing w:line="360" w:lineRule="auto"/>
        <w:ind w:left="0"/>
        <w:textAlignment w:val="baseline"/>
        <w:rPr>
          <w:b/>
          <w:color w:val="000000"/>
          <w:sz w:val="26"/>
          <w:szCs w:val="26"/>
        </w:rPr>
      </w:pPr>
    </w:p>
    <w:p w14:paraId="31B6400B" w14:textId="5F3AF1DA" w:rsidR="00092B99" w:rsidRPr="00757CC0" w:rsidRDefault="00FC20D7" w:rsidP="002E6D96">
      <w:pPr>
        <w:pStyle w:val="ListParagraph"/>
        <w:widowControl/>
        <w:spacing w:line="360" w:lineRule="auto"/>
        <w:ind w:left="0"/>
        <w:textAlignment w:val="baseline"/>
        <w:rPr>
          <w:sz w:val="26"/>
          <w:szCs w:val="26"/>
        </w:rPr>
      </w:pPr>
      <w:r w:rsidRPr="003C351F">
        <w:rPr>
          <w:color w:val="000000"/>
          <w:sz w:val="26"/>
          <w:szCs w:val="26"/>
        </w:rPr>
        <w:tab/>
      </w:r>
      <w:r w:rsidRPr="003C351F">
        <w:rPr>
          <w:color w:val="000000"/>
          <w:sz w:val="26"/>
          <w:szCs w:val="26"/>
        </w:rPr>
        <w:tab/>
        <w:t xml:space="preserve">We have reviewed the record as developed in this proceeding, including the </w:t>
      </w:r>
      <w:r w:rsidR="0057423E">
        <w:rPr>
          <w:color w:val="000000"/>
          <w:sz w:val="26"/>
          <w:szCs w:val="26"/>
        </w:rPr>
        <w:t>ALJ</w:t>
      </w:r>
      <w:r w:rsidRPr="003C351F">
        <w:rPr>
          <w:color w:val="000000"/>
          <w:sz w:val="26"/>
          <w:szCs w:val="26"/>
        </w:rPr>
        <w:t>’</w:t>
      </w:r>
      <w:r w:rsidR="000E4112">
        <w:rPr>
          <w:color w:val="000000"/>
          <w:sz w:val="26"/>
          <w:szCs w:val="26"/>
        </w:rPr>
        <w:t>s</w:t>
      </w:r>
      <w:r w:rsidRPr="003C351F">
        <w:rPr>
          <w:color w:val="000000"/>
          <w:sz w:val="26"/>
          <w:szCs w:val="26"/>
        </w:rPr>
        <w:t xml:space="preserve"> Recommended Decision</w:t>
      </w:r>
      <w:r w:rsidR="00DE791B">
        <w:rPr>
          <w:color w:val="000000"/>
          <w:sz w:val="26"/>
          <w:szCs w:val="26"/>
        </w:rPr>
        <w:t xml:space="preserve">, </w:t>
      </w:r>
      <w:r w:rsidRPr="003C351F">
        <w:rPr>
          <w:color w:val="000000"/>
          <w:sz w:val="26"/>
          <w:szCs w:val="26"/>
        </w:rPr>
        <w:t>the Exceptions and Replies filed thereto.  Based upon our review, evaluation and analysis of the record evidence, we</w:t>
      </w:r>
      <w:r w:rsidRPr="003C351F">
        <w:rPr>
          <w:sz w:val="26"/>
          <w:szCs w:val="26"/>
        </w:rPr>
        <w:t xml:space="preserve"> shall </w:t>
      </w:r>
      <w:r w:rsidR="00757CC0" w:rsidRPr="003C351F">
        <w:rPr>
          <w:sz w:val="26"/>
          <w:szCs w:val="26"/>
        </w:rPr>
        <w:t xml:space="preserve">grant, in part, and deny, in part, the Exceptions filed by </w:t>
      </w:r>
      <w:r w:rsidR="00757CC0">
        <w:rPr>
          <w:sz w:val="26"/>
          <w:szCs w:val="26"/>
        </w:rPr>
        <w:t>the NGS Parties,</w:t>
      </w:r>
      <w:r w:rsidR="00757CC0" w:rsidRPr="003C351F">
        <w:rPr>
          <w:sz w:val="26"/>
          <w:szCs w:val="26"/>
        </w:rPr>
        <w:t xml:space="preserve"> </w:t>
      </w:r>
      <w:r w:rsidR="00757CC0">
        <w:rPr>
          <w:sz w:val="26"/>
          <w:szCs w:val="26"/>
        </w:rPr>
        <w:t xml:space="preserve">and </w:t>
      </w:r>
      <w:r w:rsidRPr="003C351F">
        <w:rPr>
          <w:sz w:val="26"/>
          <w:szCs w:val="26"/>
        </w:rPr>
        <w:t xml:space="preserve">adopt the </w:t>
      </w:r>
      <w:r w:rsidR="00757CC0">
        <w:rPr>
          <w:sz w:val="26"/>
          <w:szCs w:val="26"/>
        </w:rPr>
        <w:t xml:space="preserve">ALJ’s </w:t>
      </w:r>
      <w:r w:rsidR="004A752B">
        <w:rPr>
          <w:sz w:val="26"/>
          <w:szCs w:val="26"/>
        </w:rPr>
        <w:t xml:space="preserve">Recommended Decision </w:t>
      </w:r>
      <w:r w:rsidRPr="003C351F">
        <w:rPr>
          <w:sz w:val="26"/>
          <w:szCs w:val="26"/>
        </w:rPr>
        <w:t xml:space="preserve">as modified, consistent with this Opinion and Order; </w:t>
      </w:r>
      <w:r w:rsidRPr="003C351F">
        <w:rPr>
          <w:b/>
          <w:sz w:val="26"/>
          <w:szCs w:val="26"/>
        </w:rPr>
        <w:t>THEREFORE,</w:t>
      </w:r>
    </w:p>
    <w:p w14:paraId="37C3C322" w14:textId="77777777" w:rsidR="006B393A" w:rsidRDefault="006B393A" w:rsidP="002E6D96">
      <w:pPr>
        <w:widowControl/>
        <w:spacing w:after="200" w:line="360" w:lineRule="auto"/>
        <w:ind w:firstLine="1440"/>
        <w:contextualSpacing/>
        <w:rPr>
          <w:rFonts w:eastAsiaTheme="minorHAnsi"/>
          <w:b/>
          <w:sz w:val="26"/>
          <w:szCs w:val="26"/>
        </w:rPr>
      </w:pPr>
    </w:p>
    <w:p w14:paraId="65EB5D16" w14:textId="77777777" w:rsidR="00F65911" w:rsidRDefault="006B393A" w:rsidP="002E6D96">
      <w:pPr>
        <w:widowControl/>
        <w:spacing w:after="200" w:line="360" w:lineRule="auto"/>
        <w:ind w:firstLine="1440"/>
        <w:contextualSpacing/>
        <w:rPr>
          <w:rFonts w:eastAsiaTheme="minorHAnsi"/>
          <w:b/>
          <w:sz w:val="26"/>
          <w:szCs w:val="26"/>
        </w:rPr>
      </w:pPr>
      <w:r w:rsidRPr="003C351F">
        <w:rPr>
          <w:rFonts w:eastAsiaTheme="minorHAnsi"/>
          <w:b/>
          <w:sz w:val="26"/>
          <w:szCs w:val="26"/>
        </w:rPr>
        <w:t>IT IS ORDERED:</w:t>
      </w:r>
    </w:p>
    <w:p w14:paraId="115EF3C8" w14:textId="6397890D" w:rsidR="00F65911" w:rsidRDefault="00F65911" w:rsidP="002E6D96">
      <w:pPr>
        <w:widowControl/>
        <w:spacing w:after="200" w:line="360" w:lineRule="auto"/>
        <w:ind w:firstLine="1440"/>
        <w:contextualSpacing/>
        <w:rPr>
          <w:rFonts w:eastAsiaTheme="minorHAnsi"/>
          <w:sz w:val="26"/>
          <w:szCs w:val="26"/>
        </w:rPr>
      </w:pPr>
    </w:p>
    <w:p w14:paraId="4771AC50" w14:textId="24007C27" w:rsidR="004A752B" w:rsidRDefault="004A752B" w:rsidP="002E6D96">
      <w:pPr>
        <w:widowControl/>
        <w:spacing w:after="200" w:line="360" w:lineRule="auto"/>
        <w:ind w:firstLine="1440"/>
        <w:contextualSpacing/>
        <w:rPr>
          <w:rFonts w:eastAsia="Calibri"/>
          <w:sz w:val="26"/>
          <w:szCs w:val="26"/>
        </w:rPr>
      </w:pPr>
      <w:r>
        <w:rPr>
          <w:rFonts w:eastAsiaTheme="minorHAnsi"/>
          <w:sz w:val="26"/>
          <w:szCs w:val="26"/>
        </w:rPr>
        <w:t>1.</w:t>
      </w:r>
      <w:r>
        <w:rPr>
          <w:rFonts w:eastAsiaTheme="minorHAnsi"/>
          <w:sz w:val="26"/>
          <w:szCs w:val="26"/>
        </w:rPr>
        <w:tab/>
        <w:t xml:space="preserve">That the </w:t>
      </w:r>
      <w:r w:rsidR="009720FF">
        <w:rPr>
          <w:rFonts w:eastAsiaTheme="minorHAnsi"/>
          <w:sz w:val="26"/>
          <w:szCs w:val="26"/>
        </w:rPr>
        <w:t xml:space="preserve">Joint </w:t>
      </w:r>
      <w:r>
        <w:rPr>
          <w:rFonts w:eastAsiaTheme="minorHAnsi"/>
          <w:sz w:val="26"/>
          <w:szCs w:val="26"/>
        </w:rPr>
        <w:t xml:space="preserve">Exceptions filed </w:t>
      </w:r>
      <w:r w:rsidR="009720FF">
        <w:rPr>
          <w:rFonts w:eastAsiaTheme="minorHAnsi"/>
          <w:sz w:val="26"/>
          <w:szCs w:val="26"/>
        </w:rPr>
        <w:t>o</w:t>
      </w:r>
      <w:r w:rsidR="009720FF">
        <w:rPr>
          <w:rFonts w:eastAsia="Calibri"/>
          <w:sz w:val="26"/>
          <w:szCs w:val="26"/>
        </w:rPr>
        <w:t xml:space="preserve">n October 15, 2018, by </w:t>
      </w:r>
      <w:r w:rsidR="009720FF">
        <w:rPr>
          <w:sz w:val="26"/>
          <w:szCs w:val="26"/>
        </w:rPr>
        <w:t>Shipley Choice, LLC, Dominion Retail, Inc., and Interstate Gas Supply, Inc.</w:t>
      </w:r>
      <w:r w:rsidR="00913E44">
        <w:rPr>
          <w:sz w:val="26"/>
          <w:szCs w:val="26"/>
        </w:rPr>
        <w:t>,</w:t>
      </w:r>
      <w:r w:rsidR="009720FF">
        <w:rPr>
          <w:sz w:val="26"/>
          <w:szCs w:val="26"/>
        </w:rPr>
        <w:t xml:space="preserve"> </w:t>
      </w:r>
      <w:r w:rsidR="009720FF">
        <w:rPr>
          <w:rFonts w:eastAsia="Calibri"/>
          <w:sz w:val="26"/>
          <w:szCs w:val="26"/>
        </w:rPr>
        <w:t xml:space="preserve">to </w:t>
      </w:r>
      <w:r w:rsidR="009720FF" w:rsidRPr="003C351F">
        <w:rPr>
          <w:rFonts w:eastAsia="Calibri"/>
          <w:sz w:val="26"/>
          <w:szCs w:val="26"/>
        </w:rPr>
        <w:t xml:space="preserve">the Recommended Decision of Administrative Law Judge </w:t>
      </w:r>
      <w:r w:rsidR="009720FF">
        <w:rPr>
          <w:rFonts w:eastAsia="Calibri"/>
          <w:sz w:val="26"/>
          <w:szCs w:val="26"/>
        </w:rPr>
        <w:t>Jeffrey A. Watson</w:t>
      </w:r>
      <w:r w:rsidR="009720FF" w:rsidRPr="003C351F">
        <w:rPr>
          <w:rFonts w:eastAsia="Calibri"/>
          <w:sz w:val="26"/>
          <w:szCs w:val="26"/>
        </w:rPr>
        <w:t xml:space="preserve">, </w:t>
      </w:r>
      <w:r w:rsidR="00913E44">
        <w:rPr>
          <w:rFonts w:eastAsia="Calibri"/>
          <w:sz w:val="26"/>
          <w:szCs w:val="26"/>
        </w:rPr>
        <w:t xml:space="preserve">that was </w:t>
      </w:r>
      <w:r w:rsidR="009720FF">
        <w:rPr>
          <w:rFonts w:eastAsia="Calibri"/>
          <w:sz w:val="26"/>
          <w:szCs w:val="26"/>
        </w:rPr>
        <w:t>served</w:t>
      </w:r>
      <w:r w:rsidR="009720FF" w:rsidRPr="003C351F">
        <w:rPr>
          <w:rFonts w:eastAsia="Calibri"/>
          <w:sz w:val="26"/>
          <w:szCs w:val="26"/>
        </w:rPr>
        <w:t xml:space="preserve"> on </w:t>
      </w:r>
      <w:r w:rsidR="009720FF">
        <w:rPr>
          <w:rFonts w:eastAsia="Calibri"/>
          <w:sz w:val="26"/>
          <w:szCs w:val="26"/>
        </w:rPr>
        <w:t>September 28, 2018</w:t>
      </w:r>
      <w:r w:rsidR="00913E44">
        <w:rPr>
          <w:rFonts w:eastAsia="Calibri"/>
          <w:sz w:val="26"/>
          <w:szCs w:val="26"/>
        </w:rPr>
        <w:t>, are granted, in part, and denied, in part, consistent with this Opinion and Order.</w:t>
      </w:r>
    </w:p>
    <w:p w14:paraId="41A79C4A" w14:textId="56239E98" w:rsidR="00913E44" w:rsidRDefault="00913E44" w:rsidP="002E6D96">
      <w:pPr>
        <w:widowControl/>
        <w:spacing w:after="200" w:line="360" w:lineRule="auto"/>
        <w:ind w:firstLine="1440"/>
        <w:contextualSpacing/>
        <w:rPr>
          <w:rFonts w:eastAsia="Calibri"/>
          <w:sz w:val="26"/>
          <w:szCs w:val="26"/>
        </w:rPr>
      </w:pPr>
    </w:p>
    <w:p w14:paraId="28E514C2" w14:textId="1ABBF9DE" w:rsidR="00913E44" w:rsidRDefault="00913E44" w:rsidP="002E6D96">
      <w:pPr>
        <w:widowControl/>
        <w:spacing w:after="200" w:line="360" w:lineRule="auto"/>
        <w:ind w:firstLine="1440"/>
        <w:contextualSpacing/>
        <w:rPr>
          <w:rFonts w:eastAsiaTheme="minorHAnsi"/>
          <w:sz w:val="26"/>
          <w:szCs w:val="26"/>
        </w:rPr>
      </w:pPr>
      <w:r>
        <w:rPr>
          <w:rFonts w:eastAsiaTheme="minorHAnsi"/>
          <w:sz w:val="26"/>
          <w:szCs w:val="26"/>
        </w:rPr>
        <w:t>2.</w:t>
      </w:r>
      <w:r>
        <w:rPr>
          <w:rFonts w:eastAsiaTheme="minorHAnsi"/>
          <w:sz w:val="26"/>
          <w:szCs w:val="26"/>
        </w:rPr>
        <w:tab/>
        <w:t xml:space="preserve">That the Recommended Decision of </w:t>
      </w:r>
      <w:r w:rsidRPr="003C351F">
        <w:rPr>
          <w:rFonts w:eastAsia="Calibri"/>
          <w:sz w:val="26"/>
          <w:szCs w:val="26"/>
        </w:rPr>
        <w:t xml:space="preserve">Administrative Law Judge </w:t>
      </w:r>
      <w:r>
        <w:rPr>
          <w:rFonts w:eastAsia="Calibri"/>
          <w:sz w:val="26"/>
          <w:szCs w:val="26"/>
        </w:rPr>
        <w:t>Jeffrey A. Watson</w:t>
      </w:r>
      <w:r w:rsidRPr="003C351F">
        <w:rPr>
          <w:rFonts w:eastAsia="Calibri"/>
          <w:sz w:val="26"/>
          <w:szCs w:val="26"/>
        </w:rPr>
        <w:t xml:space="preserve">, </w:t>
      </w:r>
      <w:r>
        <w:rPr>
          <w:rFonts w:eastAsia="Calibri"/>
          <w:sz w:val="26"/>
          <w:szCs w:val="26"/>
        </w:rPr>
        <w:t xml:space="preserve">that was </w:t>
      </w:r>
      <w:r w:rsidR="0024130E">
        <w:rPr>
          <w:rFonts w:eastAsia="Calibri"/>
          <w:sz w:val="26"/>
          <w:szCs w:val="26"/>
        </w:rPr>
        <w:t>issued</w:t>
      </w:r>
      <w:r w:rsidRPr="003C351F">
        <w:rPr>
          <w:rFonts w:eastAsia="Calibri"/>
          <w:sz w:val="26"/>
          <w:szCs w:val="26"/>
        </w:rPr>
        <w:t xml:space="preserve"> on </w:t>
      </w:r>
      <w:r>
        <w:rPr>
          <w:rFonts w:eastAsia="Calibri"/>
          <w:sz w:val="26"/>
          <w:szCs w:val="26"/>
        </w:rPr>
        <w:t xml:space="preserve">September 28, 2018, is </w:t>
      </w:r>
      <w:r w:rsidR="005220EF">
        <w:rPr>
          <w:rFonts w:eastAsia="Calibri"/>
          <w:sz w:val="26"/>
          <w:szCs w:val="26"/>
        </w:rPr>
        <w:t xml:space="preserve">adopted as </w:t>
      </w:r>
      <w:r>
        <w:rPr>
          <w:rFonts w:eastAsia="Calibri"/>
          <w:sz w:val="26"/>
          <w:szCs w:val="26"/>
        </w:rPr>
        <w:t>modified, consistent with this Opinion and Order.</w:t>
      </w:r>
    </w:p>
    <w:p w14:paraId="7918D1E6" w14:textId="77777777" w:rsidR="004A752B" w:rsidRDefault="004A752B" w:rsidP="002E6D96">
      <w:pPr>
        <w:widowControl/>
        <w:spacing w:after="200" w:line="360" w:lineRule="auto"/>
        <w:ind w:firstLine="1440"/>
        <w:contextualSpacing/>
        <w:rPr>
          <w:rFonts w:eastAsiaTheme="minorHAnsi"/>
          <w:sz w:val="26"/>
          <w:szCs w:val="26"/>
        </w:rPr>
      </w:pPr>
    </w:p>
    <w:p w14:paraId="02BAEA85" w14:textId="504A77F5" w:rsidR="00F65911" w:rsidRDefault="005220EF" w:rsidP="002E6D96">
      <w:pPr>
        <w:widowControl/>
        <w:spacing w:after="200" w:line="360" w:lineRule="auto"/>
        <w:ind w:firstLine="1440"/>
        <w:contextualSpacing/>
        <w:rPr>
          <w:rFonts w:eastAsiaTheme="minorHAnsi"/>
          <w:sz w:val="26"/>
          <w:szCs w:val="26"/>
        </w:rPr>
      </w:pPr>
      <w:r>
        <w:rPr>
          <w:rFonts w:eastAsiaTheme="minorHAnsi"/>
          <w:sz w:val="26"/>
          <w:szCs w:val="26"/>
        </w:rPr>
        <w:t>3</w:t>
      </w:r>
      <w:r w:rsidR="00F65911" w:rsidRPr="00F65911">
        <w:rPr>
          <w:rFonts w:eastAsiaTheme="minorHAnsi"/>
          <w:sz w:val="26"/>
          <w:szCs w:val="26"/>
        </w:rPr>
        <w:t>.</w:t>
      </w:r>
      <w:r w:rsidR="00F65911" w:rsidRPr="00F65911">
        <w:rPr>
          <w:rFonts w:eastAsiaTheme="minorHAnsi"/>
          <w:sz w:val="26"/>
          <w:szCs w:val="26"/>
        </w:rPr>
        <w:tab/>
        <w:t xml:space="preserve">That the </w:t>
      </w:r>
      <w:r w:rsidR="002016D6">
        <w:rPr>
          <w:rFonts w:eastAsiaTheme="minorHAnsi"/>
          <w:sz w:val="26"/>
          <w:szCs w:val="26"/>
        </w:rPr>
        <w:t xml:space="preserve">Joint Petition for Partial Settlement </w:t>
      </w:r>
      <w:r w:rsidR="00027387">
        <w:rPr>
          <w:rFonts w:eastAsiaTheme="minorHAnsi"/>
          <w:sz w:val="26"/>
          <w:szCs w:val="26"/>
        </w:rPr>
        <w:t xml:space="preserve">filed </w:t>
      </w:r>
      <w:r w:rsidR="00BD5F6F">
        <w:rPr>
          <w:rFonts w:eastAsiaTheme="minorHAnsi"/>
          <w:sz w:val="26"/>
          <w:szCs w:val="26"/>
        </w:rPr>
        <w:t xml:space="preserve">on </w:t>
      </w:r>
      <w:r w:rsidR="00BD5F6F" w:rsidRPr="001067E3">
        <w:rPr>
          <w:sz w:val="26"/>
          <w:szCs w:val="26"/>
        </w:rPr>
        <w:t>August</w:t>
      </w:r>
      <w:r w:rsidR="00BD5F6F">
        <w:rPr>
          <w:sz w:val="26"/>
          <w:szCs w:val="26"/>
        </w:rPr>
        <w:t> </w:t>
      </w:r>
      <w:r w:rsidR="00BD5F6F" w:rsidRPr="001067E3">
        <w:rPr>
          <w:sz w:val="26"/>
          <w:szCs w:val="26"/>
        </w:rPr>
        <w:t xml:space="preserve">31, 2018, the </w:t>
      </w:r>
      <w:r w:rsidR="00027387">
        <w:rPr>
          <w:rFonts w:eastAsiaTheme="minorHAnsi"/>
          <w:sz w:val="26"/>
          <w:szCs w:val="26"/>
        </w:rPr>
        <w:t xml:space="preserve">by </w:t>
      </w:r>
      <w:r w:rsidR="00F65911" w:rsidRPr="00F65911">
        <w:rPr>
          <w:rFonts w:eastAsiaTheme="minorHAnsi"/>
          <w:sz w:val="26"/>
          <w:szCs w:val="26"/>
        </w:rPr>
        <w:t xml:space="preserve">the Bureau of Investigation and Enforcement, the Office of Consumer Advocate, the Office of Small Business Advocate, Columbia Industrial Intervenors, Dominion Retail, Inc., Shipley Choice, LLC, Interstate Gas Supply, Inc., Direct Energy </w:t>
      </w:r>
      <w:r w:rsidR="00F65911" w:rsidRPr="00F65911">
        <w:rPr>
          <w:rFonts w:eastAsiaTheme="minorHAnsi"/>
          <w:sz w:val="26"/>
          <w:szCs w:val="26"/>
        </w:rPr>
        <w:lastRenderedPageBreak/>
        <w:t>Business, LLC, Direct Energy Services, LLC, Direct Energy Business Marketing, LLC, Coalition for Affordable Utility Services and Energy Efficiency in Pennsylvania, Community Action Association of Pennsylvania, Pennsylvania State University, and Columbia Gas of Pennsylvania, Inc., in the above-captioned case</w:t>
      </w:r>
      <w:r w:rsidR="00BD5F6F">
        <w:rPr>
          <w:rFonts w:eastAsiaTheme="minorHAnsi"/>
          <w:sz w:val="26"/>
          <w:szCs w:val="26"/>
        </w:rPr>
        <w:t xml:space="preserve">, is granted, and the terms and conditions of </w:t>
      </w:r>
      <w:r w:rsidR="00B76008">
        <w:rPr>
          <w:rFonts w:eastAsiaTheme="minorHAnsi"/>
          <w:sz w:val="26"/>
          <w:szCs w:val="26"/>
        </w:rPr>
        <w:t xml:space="preserve">the </w:t>
      </w:r>
      <w:r w:rsidR="00BD5F6F">
        <w:rPr>
          <w:rFonts w:eastAsiaTheme="minorHAnsi"/>
          <w:sz w:val="26"/>
          <w:szCs w:val="26"/>
        </w:rPr>
        <w:t>Partial Settlement</w:t>
      </w:r>
      <w:r w:rsidR="00F65911" w:rsidRPr="00F65911">
        <w:rPr>
          <w:rFonts w:eastAsiaTheme="minorHAnsi"/>
          <w:sz w:val="26"/>
          <w:szCs w:val="26"/>
        </w:rPr>
        <w:t xml:space="preserve"> </w:t>
      </w:r>
      <w:r w:rsidR="006D65EF">
        <w:rPr>
          <w:rFonts w:eastAsiaTheme="minorHAnsi"/>
          <w:sz w:val="26"/>
          <w:szCs w:val="26"/>
        </w:rPr>
        <w:t>are</w:t>
      </w:r>
      <w:r w:rsidR="00F65911" w:rsidRPr="00F65911">
        <w:rPr>
          <w:rFonts w:eastAsiaTheme="minorHAnsi"/>
          <w:sz w:val="26"/>
          <w:szCs w:val="26"/>
        </w:rPr>
        <w:t xml:space="preserve"> hereby approved and adopted</w:t>
      </w:r>
      <w:r w:rsidR="00C34E85">
        <w:rPr>
          <w:rFonts w:eastAsiaTheme="minorHAnsi"/>
          <w:sz w:val="26"/>
          <w:szCs w:val="26"/>
        </w:rPr>
        <w:t>, without modification.</w:t>
      </w:r>
    </w:p>
    <w:p w14:paraId="005F8FAE" w14:textId="77777777" w:rsidR="005220EF" w:rsidRDefault="005220EF" w:rsidP="002E6D96">
      <w:pPr>
        <w:widowControl/>
        <w:spacing w:after="200" w:line="360" w:lineRule="auto"/>
        <w:ind w:firstLine="1440"/>
        <w:contextualSpacing/>
        <w:rPr>
          <w:rFonts w:eastAsiaTheme="minorHAnsi"/>
          <w:b/>
          <w:sz w:val="26"/>
          <w:szCs w:val="26"/>
        </w:rPr>
      </w:pPr>
    </w:p>
    <w:p w14:paraId="06D9FB26" w14:textId="5A7EA59C" w:rsidR="00F65911" w:rsidRDefault="005220EF" w:rsidP="002E6D96">
      <w:pPr>
        <w:widowControl/>
        <w:spacing w:after="200" w:line="360" w:lineRule="auto"/>
        <w:ind w:firstLine="1440"/>
        <w:contextualSpacing/>
        <w:rPr>
          <w:rFonts w:eastAsiaTheme="minorHAnsi"/>
          <w:b/>
          <w:sz w:val="26"/>
          <w:szCs w:val="26"/>
        </w:rPr>
      </w:pPr>
      <w:r>
        <w:rPr>
          <w:rFonts w:eastAsiaTheme="minorHAnsi"/>
          <w:sz w:val="26"/>
          <w:szCs w:val="26"/>
        </w:rPr>
        <w:t>4</w:t>
      </w:r>
      <w:r w:rsidR="00F65911" w:rsidRPr="00F65911">
        <w:rPr>
          <w:rFonts w:eastAsiaTheme="minorHAnsi"/>
          <w:sz w:val="26"/>
          <w:szCs w:val="26"/>
        </w:rPr>
        <w:t>.</w:t>
      </w:r>
      <w:r w:rsidR="00F65911" w:rsidRPr="00F65911">
        <w:rPr>
          <w:rFonts w:eastAsiaTheme="minorHAnsi"/>
          <w:sz w:val="26"/>
          <w:szCs w:val="26"/>
        </w:rPr>
        <w:tab/>
        <w:t>That Columbia Gas of Pennsylvania, Inc.</w:t>
      </w:r>
      <w:r w:rsidR="00270CDE">
        <w:rPr>
          <w:rFonts w:eastAsiaTheme="minorHAnsi"/>
          <w:sz w:val="26"/>
          <w:szCs w:val="26"/>
        </w:rPr>
        <w:t>,</w:t>
      </w:r>
      <w:r w:rsidR="00F65911" w:rsidRPr="00F65911">
        <w:rPr>
          <w:rFonts w:eastAsiaTheme="minorHAnsi"/>
          <w:sz w:val="26"/>
          <w:szCs w:val="26"/>
        </w:rPr>
        <w:t xml:space="preserve"> shall file tariff supplements, to become effective for service rendered on and after December 16, 2018, on at least one-day’s notice to the Commission, consistent with the terms and conditions of the Partial Settlement.</w:t>
      </w:r>
    </w:p>
    <w:p w14:paraId="73849AF2" w14:textId="77777777" w:rsidR="00F65911" w:rsidRDefault="00F65911" w:rsidP="002E6D96">
      <w:pPr>
        <w:widowControl/>
        <w:spacing w:after="200" w:line="360" w:lineRule="auto"/>
        <w:ind w:firstLine="1440"/>
        <w:contextualSpacing/>
        <w:rPr>
          <w:rFonts w:eastAsiaTheme="minorHAnsi"/>
          <w:sz w:val="26"/>
          <w:szCs w:val="26"/>
        </w:rPr>
      </w:pPr>
    </w:p>
    <w:p w14:paraId="41393451" w14:textId="414FB137" w:rsidR="00F65911" w:rsidRDefault="005220EF" w:rsidP="002E6D96">
      <w:pPr>
        <w:widowControl/>
        <w:spacing w:after="200" w:line="360" w:lineRule="auto"/>
        <w:ind w:firstLine="1440"/>
        <w:contextualSpacing/>
        <w:rPr>
          <w:rFonts w:eastAsiaTheme="minorHAnsi"/>
          <w:b/>
          <w:sz w:val="26"/>
          <w:szCs w:val="26"/>
        </w:rPr>
      </w:pPr>
      <w:r>
        <w:rPr>
          <w:rFonts w:eastAsiaTheme="minorHAnsi"/>
          <w:sz w:val="26"/>
          <w:szCs w:val="26"/>
        </w:rPr>
        <w:t>5</w:t>
      </w:r>
      <w:r w:rsidR="00F65911" w:rsidRPr="00F65911">
        <w:rPr>
          <w:rFonts w:eastAsiaTheme="minorHAnsi"/>
          <w:sz w:val="26"/>
          <w:szCs w:val="26"/>
        </w:rPr>
        <w:t>.</w:t>
      </w:r>
      <w:r w:rsidR="00F65911" w:rsidRPr="00F65911">
        <w:rPr>
          <w:rFonts w:eastAsiaTheme="minorHAnsi"/>
          <w:sz w:val="26"/>
          <w:szCs w:val="26"/>
        </w:rPr>
        <w:tab/>
        <w:t xml:space="preserve">That </w:t>
      </w:r>
      <w:r w:rsidR="00486202" w:rsidRPr="00F65911">
        <w:rPr>
          <w:rFonts w:eastAsiaTheme="minorHAnsi"/>
          <w:sz w:val="26"/>
          <w:szCs w:val="26"/>
        </w:rPr>
        <w:t>Columbia Gas of Pennsylvania, Inc.,</w:t>
      </w:r>
      <w:r w:rsidR="00486202">
        <w:rPr>
          <w:rFonts w:eastAsiaTheme="minorHAnsi"/>
          <w:sz w:val="26"/>
          <w:szCs w:val="26"/>
        </w:rPr>
        <w:t xml:space="preserve"> </w:t>
      </w:r>
      <w:r w:rsidR="00F65911" w:rsidRPr="00F65911">
        <w:rPr>
          <w:rFonts w:eastAsiaTheme="minorHAnsi"/>
          <w:sz w:val="26"/>
          <w:szCs w:val="26"/>
        </w:rPr>
        <w:t xml:space="preserve">the Bureau of Investigation and Enforcement, the Office of Consumer Advocate, the Office of Small Business Advocate, Columbia Industrial Intervenors, Dominion Retail, Inc., Shipley Choice, LLC, Interstate Gas Supply, Inc., Direct Energy Business, LLC, Direct Energy Services, LLC, Direct Energy Business Marketing, LLC, Coalition for Affordable Utility Services and Energy Efficiency in Pennsylvania, Community Action Association of Pennsylvania, </w:t>
      </w:r>
      <w:r w:rsidR="00486202">
        <w:rPr>
          <w:rFonts w:eastAsiaTheme="minorHAnsi"/>
          <w:sz w:val="26"/>
          <w:szCs w:val="26"/>
        </w:rPr>
        <w:t xml:space="preserve">and </w:t>
      </w:r>
      <w:r w:rsidR="00F65911" w:rsidRPr="00F65911">
        <w:rPr>
          <w:rFonts w:eastAsiaTheme="minorHAnsi"/>
          <w:sz w:val="26"/>
          <w:szCs w:val="26"/>
        </w:rPr>
        <w:t>Pennsylvania State University shall comply with the terms and conditions</w:t>
      </w:r>
      <w:r w:rsidR="006D65EF">
        <w:rPr>
          <w:rFonts w:eastAsiaTheme="minorHAnsi"/>
          <w:sz w:val="26"/>
          <w:szCs w:val="26"/>
        </w:rPr>
        <w:t xml:space="preserve"> of the Partial </w:t>
      </w:r>
      <w:r w:rsidR="00486202">
        <w:rPr>
          <w:rFonts w:eastAsiaTheme="minorHAnsi"/>
          <w:sz w:val="26"/>
          <w:szCs w:val="26"/>
        </w:rPr>
        <w:t>Settlement</w:t>
      </w:r>
      <w:r w:rsidR="006D65EF">
        <w:rPr>
          <w:rFonts w:eastAsiaTheme="minorHAnsi"/>
          <w:sz w:val="26"/>
          <w:szCs w:val="26"/>
        </w:rPr>
        <w:t xml:space="preserve"> </w:t>
      </w:r>
      <w:r w:rsidR="00F65911" w:rsidRPr="00F65911">
        <w:rPr>
          <w:rFonts w:eastAsiaTheme="minorHAnsi"/>
          <w:sz w:val="26"/>
          <w:szCs w:val="26"/>
        </w:rPr>
        <w:t>submitted in this proceeding as though each term and condition stated therein had been subject of an individual ordering paragraph.</w:t>
      </w:r>
    </w:p>
    <w:p w14:paraId="4A98F1C0" w14:textId="77777777" w:rsidR="00F65911" w:rsidRDefault="00F65911" w:rsidP="002E6D96">
      <w:pPr>
        <w:widowControl/>
        <w:spacing w:after="200" w:line="360" w:lineRule="auto"/>
        <w:ind w:firstLine="1440"/>
        <w:contextualSpacing/>
        <w:rPr>
          <w:rFonts w:eastAsiaTheme="minorHAnsi"/>
          <w:sz w:val="26"/>
          <w:szCs w:val="26"/>
        </w:rPr>
      </w:pPr>
    </w:p>
    <w:p w14:paraId="687F22EC" w14:textId="407B9295" w:rsidR="005079F6" w:rsidRDefault="005220EF" w:rsidP="002E6D96">
      <w:pPr>
        <w:widowControl/>
        <w:spacing w:after="200" w:line="360" w:lineRule="auto"/>
        <w:ind w:firstLine="1440"/>
        <w:contextualSpacing/>
        <w:rPr>
          <w:rFonts w:eastAsiaTheme="minorHAnsi"/>
          <w:b/>
          <w:sz w:val="26"/>
          <w:szCs w:val="26"/>
        </w:rPr>
      </w:pPr>
      <w:r>
        <w:rPr>
          <w:rFonts w:eastAsiaTheme="minorHAnsi"/>
          <w:sz w:val="26"/>
          <w:szCs w:val="26"/>
        </w:rPr>
        <w:t>6</w:t>
      </w:r>
      <w:r w:rsidR="00F65911" w:rsidRPr="00F65911">
        <w:rPr>
          <w:rFonts w:eastAsiaTheme="minorHAnsi"/>
          <w:sz w:val="26"/>
          <w:szCs w:val="26"/>
        </w:rPr>
        <w:t>.</w:t>
      </w:r>
      <w:r w:rsidR="00F65911" w:rsidRPr="00F65911">
        <w:rPr>
          <w:rFonts w:eastAsiaTheme="minorHAnsi"/>
          <w:sz w:val="26"/>
          <w:szCs w:val="26"/>
        </w:rPr>
        <w:tab/>
        <w:t xml:space="preserve">That upon Columbia Gas of Pennsylvania, Inc.’s filing of tariff supplements acceptable to </w:t>
      </w:r>
      <w:r w:rsidR="001E2AD7">
        <w:rPr>
          <w:rFonts w:eastAsiaTheme="minorHAnsi"/>
          <w:sz w:val="26"/>
          <w:szCs w:val="26"/>
        </w:rPr>
        <w:t xml:space="preserve">the </w:t>
      </w:r>
      <w:r w:rsidR="00F65911" w:rsidRPr="00F65911">
        <w:rPr>
          <w:rFonts w:eastAsiaTheme="minorHAnsi"/>
          <w:sz w:val="26"/>
          <w:szCs w:val="26"/>
        </w:rPr>
        <w:t xml:space="preserve">Commission as conforming with this Opinion and Order and terms </w:t>
      </w:r>
      <w:r w:rsidR="00865F1D">
        <w:rPr>
          <w:rFonts w:eastAsiaTheme="minorHAnsi"/>
          <w:sz w:val="26"/>
          <w:szCs w:val="26"/>
        </w:rPr>
        <w:t xml:space="preserve">and conditions </w:t>
      </w:r>
      <w:r w:rsidR="00F65911" w:rsidRPr="00F65911">
        <w:rPr>
          <w:rFonts w:eastAsiaTheme="minorHAnsi"/>
          <w:sz w:val="26"/>
          <w:szCs w:val="26"/>
        </w:rPr>
        <w:t>of the Partial Settlement adopted herein, the rates established therein shall become effective for service rendered on and after December 16, 2018.</w:t>
      </w:r>
    </w:p>
    <w:p w14:paraId="706B9F35" w14:textId="77777777" w:rsidR="005079F6" w:rsidRDefault="005079F6" w:rsidP="002E6D96">
      <w:pPr>
        <w:widowControl/>
        <w:spacing w:after="200" w:line="360" w:lineRule="auto"/>
        <w:ind w:firstLine="1440"/>
        <w:contextualSpacing/>
        <w:rPr>
          <w:rFonts w:eastAsiaTheme="minorHAnsi"/>
          <w:sz w:val="26"/>
          <w:szCs w:val="26"/>
        </w:rPr>
      </w:pPr>
    </w:p>
    <w:p w14:paraId="6BC7AE89" w14:textId="76CAD58B" w:rsidR="005079F6" w:rsidRDefault="005220EF" w:rsidP="002E6D96">
      <w:pPr>
        <w:widowControl/>
        <w:spacing w:after="200" w:line="360" w:lineRule="auto"/>
        <w:ind w:firstLine="1440"/>
        <w:contextualSpacing/>
        <w:rPr>
          <w:rFonts w:eastAsiaTheme="minorHAnsi"/>
          <w:sz w:val="26"/>
          <w:szCs w:val="26"/>
        </w:rPr>
      </w:pPr>
      <w:r>
        <w:rPr>
          <w:rFonts w:eastAsiaTheme="minorHAnsi"/>
          <w:sz w:val="26"/>
          <w:szCs w:val="26"/>
        </w:rPr>
        <w:lastRenderedPageBreak/>
        <w:t>7</w:t>
      </w:r>
      <w:r w:rsidR="00F65911" w:rsidRPr="00F65911">
        <w:rPr>
          <w:rFonts w:eastAsiaTheme="minorHAnsi"/>
          <w:sz w:val="26"/>
          <w:szCs w:val="26"/>
        </w:rPr>
        <w:t>.</w:t>
      </w:r>
      <w:r w:rsidR="00F65911" w:rsidRPr="00F65911">
        <w:rPr>
          <w:rFonts w:eastAsiaTheme="minorHAnsi"/>
          <w:sz w:val="26"/>
          <w:szCs w:val="26"/>
        </w:rPr>
        <w:tab/>
        <w:t xml:space="preserve">That the </w:t>
      </w:r>
      <w:r w:rsidR="0026111B">
        <w:rPr>
          <w:rFonts w:eastAsiaTheme="minorHAnsi"/>
          <w:sz w:val="26"/>
          <w:szCs w:val="26"/>
        </w:rPr>
        <w:t>Formal C</w:t>
      </w:r>
      <w:r w:rsidR="00F65911" w:rsidRPr="00F65911">
        <w:rPr>
          <w:rFonts w:eastAsiaTheme="minorHAnsi"/>
          <w:sz w:val="26"/>
          <w:szCs w:val="26"/>
        </w:rPr>
        <w:t>omplaint filed by the Office of Small Business Advocate in this proceeding</w:t>
      </w:r>
      <w:r w:rsidR="0026111B">
        <w:rPr>
          <w:rFonts w:eastAsiaTheme="minorHAnsi"/>
          <w:sz w:val="26"/>
          <w:szCs w:val="26"/>
        </w:rPr>
        <w:t>,</w:t>
      </w:r>
      <w:r w:rsidR="00F65911" w:rsidRPr="00F65911">
        <w:rPr>
          <w:rFonts w:eastAsiaTheme="minorHAnsi"/>
          <w:sz w:val="26"/>
          <w:szCs w:val="26"/>
        </w:rPr>
        <w:t xml:space="preserve"> at Docket No. C-2018-3000773</w:t>
      </w:r>
      <w:r w:rsidR="0026111B">
        <w:rPr>
          <w:rFonts w:eastAsiaTheme="minorHAnsi"/>
          <w:sz w:val="26"/>
          <w:szCs w:val="26"/>
        </w:rPr>
        <w:t>,</w:t>
      </w:r>
      <w:r w:rsidR="00F65911" w:rsidRPr="00F65911">
        <w:rPr>
          <w:rFonts w:eastAsiaTheme="minorHAnsi"/>
          <w:sz w:val="26"/>
          <w:szCs w:val="26"/>
        </w:rPr>
        <w:t xml:space="preserve"> be deemed satisfied and marked closed.</w:t>
      </w:r>
    </w:p>
    <w:p w14:paraId="667FA864" w14:textId="77777777" w:rsidR="003F3B53" w:rsidRDefault="003F3B53" w:rsidP="002E6D96">
      <w:pPr>
        <w:widowControl/>
        <w:spacing w:after="200" w:line="360" w:lineRule="auto"/>
        <w:ind w:firstLine="1440"/>
        <w:contextualSpacing/>
        <w:rPr>
          <w:rFonts w:eastAsiaTheme="minorHAnsi"/>
          <w:b/>
          <w:sz w:val="26"/>
          <w:szCs w:val="26"/>
        </w:rPr>
      </w:pPr>
    </w:p>
    <w:p w14:paraId="4A6BF073" w14:textId="68DC8342" w:rsidR="005079F6" w:rsidRDefault="005220EF" w:rsidP="002E6D96">
      <w:pPr>
        <w:widowControl/>
        <w:spacing w:after="200" w:line="360" w:lineRule="auto"/>
        <w:ind w:firstLine="1440"/>
        <w:contextualSpacing/>
        <w:rPr>
          <w:rFonts w:eastAsiaTheme="minorHAnsi"/>
          <w:b/>
          <w:sz w:val="26"/>
          <w:szCs w:val="26"/>
        </w:rPr>
      </w:pPr>
      <w:r>
        <w:rPr>
          <w:rFonts w:eastAsiaTheme="minorHAnsi"/>
          <w:sz w:val="26"/>
          <w:szCs w:val="26"/>
        </w:rPr>
        <w:t>8</w:t>
      </w:r>
      <w:r w:rsidR="00F65911" w:rsidRPr="00F65911">
        <w:rPr>
          <w:rFonts w:eastAsiaTheme="minorHAnsi"/>
          <w:sz w:val="26"/>
          <w:szCs w:val="26"/>
        </w:rPr>
        <w:t>.</w:t>
      </w:r>
      <w:r w:rsidR="00F65911" w:rsidRPr="00F65911">
        <w:rPr>
          <w:rFonts w:eastAsiaTheme="minorHAnsi"/>
          <w:sz w:val="26"/>
          <w:szCs w:val="26"/>
        </w:rPr>
        <w:tab/>
        <w:t xml:space="preserve">That the </w:t>
      </w:r>
      <w:r w:rsidR="0026111B">
        <w:rPr>
          <w:rFonts w:eastAsiaTheme="minorHAnsi"/>
          <w:sz w:val="26"/>
          <w:szCs w:val="26"/>
        </w:rPr>
        <w:t>Formal C</w:t>
      </w:r>
      <w:r w:rsidR="00F65911" w:rsidRPr="00F65911">
        <w:rPr>
          <w:rFonts w:eastAsiaTheme="minorHAnsi"/>
          <w:sz w:val="26"/>
          <w:szCs w:val="26"/>
        </w:rPr>
        <w:t>omplaint filed by the Office of Consumer Advocate in this proceeding</w:t>
      </w:r>
      <w:r w:rsidR="0026111B">
        <w:rPr>
          <w:rFonts w:eastAsiaTheme="minorHAnsi"/>
          <w:sz w:val="26"/>
          <w:szCs w:val="26"/>
        </w:rPr>
        <w:t>,</w:t>
      </w:r>
      <w:r w:rsidR="00F65911" w:rsidRPr="00F65911">
        <w:rPr>
          <w:rFonts w:eastAsiaTheme="minorHAnsi"/>
          <w:sz w:val="26"/>
          <w:szCs w:val="26"/>
        </w:rPr>
        <w:t xml:space="preserve"> at Docket No. C-2018-3000582</w:t>
      </w:r>
      <w:r w:rsidR="0026111B">
        <w:rPr>
          <w:rFonts w:eastAsiaTheme="minorHAnsi"/>
          <w:sz w:val="26"/>
          <w:szCs w:val="26"/>
        </w:rPr>
        <w:t>,</w:t>
      </w:r>
      <w:r w:rsidR="00F65911" w:rsidRPr="00F65911">
        <w:rPr>
          <w:rFonts w:eastAsiaTheme="minorHAnsi"/>
          <w:sz w:val="26"/>
          <w:szCs w:val="26"/>
        </w:rPr>
        <w:t xml:space="preserve"> be deemed satisfied and marked closed.</w:t>
      </w:r>
    </w:p>
    <w:p w14:paraId="29F449BD" w14:textId="77777777" w:rsidR="005079F6" w:rsidRDefault="005079F6" w:rsidP="002E6D96">
      <w:pPr>
        <w:widowControl/>
        <w:spacing w:after="200" w:line="360" w:lineRule="auto"/>
        <w:ind w:firstLine="1440"/>
        <w:contextualSpacing/>
        <w:rPr>
          <w:rFonts w:eastAsiaTheme="minorHAnsi"/>
          <w:sz w:val="26"/>
          <w:szCs w:val="26"/>
        </w:rPr>
      </w:pPr>
    </w:p>
    <w:p w14:paraId="1BBDA8F6" w14:textId="35251BC2" w:rsidR="005079F6" w:rsidRDefault="005220EF" w:rsidP="002E6D96">
      <w:pPr>
        <w:widowControl/>
        <w:spacing w:after="200" w:line="360" w:lineRule="auto"/>
        <w:ind w:firstLine="1440"/>
        <w:contextualSpacing/>
        <w:rPr>
          <w:rFonts w:eastAsiaTheme="minorHAnsi"/>
          <w:b/>
          <w:sz w:val="26"/>
          <w:szCs w:val="26"/>
        </w:rPr>
      </w:pPr>
      <w:r>
        <w:rPr>
          <w:rFonts w:eastAsiaTheme="minorHAnsi"/>
          <w:sz w:val="26"/>
          <w:szCs w:val="26"/>
        </w:rPr>
        <w:t>9</w:t>
      </w:r>
      <w:r w:rsidR="00F65911" w:rsidRPr="00F65911">
        <w:rPr>
          <w:rFonts w:eastAsiaTheme="minorHAnsi"/>
          <w:sz w:val="26"/>
          <w:szCs w:val="26"/>
        </w:rPr>
        <w:t>.</w:t>
      </w:r>
      <w:r w:rsidR="00F65911" w:rsidRPr="00F65911">
        <w:rPr>
          <w:rFonts w:eastAsiaTheme="minorHAnsi"/>
          <w:sz w:val="26"/>
          <w:szCs w:val="26"/>
        </w:rPr>
        <w:tab/>
        <w:t xml:space="preserve">That the </w:t>
      </w:r>
      <w:r w:rsidR="0026111B">
        <w:rPr>
          <w:rFonts w:eastAsiaTheme="minorHAnsi"/>
          <w:sz w:val="26"/>
          <w:szCs w:val="26"/>
        </w:rPr>
        <w:t>Formal C</w:t>
      </w:r>
      <w:r w:rsidR="00F65911" w:rsidRPr="00F65911">
        <w:rPr>
          <w:rFonts w:eastAsiaTheme="minorHAnsi"/>
          <w:sz w:val="26"/>
          <w:szCs w:val="26"/>
        </w:rPr>
        <w:t>omplaint filed by Patricia Southorn</w:t>
      </w:r>
      <w:r w:rsidR="00FA3134">
        <w:rPr>
          <w:rFonts w:eastAsiaTheme="minorHAnsi"/>
          <w:sz w:val="26"/>
          <w:szCs w:val="26"/>
        </w:rPr>
        <w:t xml:space="preserve"> in this proceeding,</w:t>
      </w:r>
      <w:r w:rsidR="00F65911" w:rsidRPr="00F65911">
        <w:rPr>
          <w:rFonts w:eastAsiaTheme="minorHAnsi"/>
          <w:sz w:val="26"/>
          <w:szCs w:val="26"/>
        </w:rPr>
        <w:t xml:space="preserve"> at Docket No. C</w:t>
      </w:r>
      <w:r w:rsidR="007C5919">
        <w:rPr>
          <w:rFonts w:eastAsiaTheme="minorHAnsi"/>
          <w:sz w:val="26"/>
          <w:szCs w:val="26"/>
        </w:rPr>
        <w:t>-</w:t>
      </w:r>
      <w:r w:rsidR="00F65911" w:rsidRPr="00F65911">
        <w:rPr>
          <w:rFonts w:eastAsiaTheme="minorHAnsi"/>
          <w:sz w:val="26"/>
          <w:szCs w:val="26"/>
        </w:rPr>
        <w:t>2018</w:t>
      </w:r>
      <w:r w:rsidR="007C5919">
        <w:rPr>
          <w:rFonts w:eastAsiaTheme="minorHAnsi"/>
          <w:sz w:val="26"/>
          <w:szCs w:val="26"/>
        </w:rPr>
        <w:t>-</w:t>
      </w:r>
      <w:r w:rsidR="00F65911" w:rsidRPr="00F65911">
        <w:rPr>
          <w:rFonts w:eastAsiaTheme="minorHAnsi"/>
          <w:sz w:val="26"/>
          <w:szCs w:val="26"/>
        </w:rPr>
        <w:t>3000779</w:t>
      </w:r>
      <w:r w:rsidR="00FA3134">
        <w:rPr>
          <w:rFonts w:eastAsiaTheme="minorHAnsi"/>
          <w:sz w:val="26"/>
          <w:szCs w:val="26"/>
        </w:rPr>
        <w:t>,</w:t>
      </w:r>
      <w:r w:rsidR="00F65911" w:rsidRPr="00F65911">
        <w:rPr>
          <w:rFonts w:eastAsiaTheme="minorHAnsi"/>
          <w:sz w:val="26"/>
          <w:szCs w:val="26"/>
        </w:rPr>
        <w:t xml:space="preserve"> be dismissed and the docket marked closed.</w:t>
      </w:r>
    </w:p>
    <w:p w14:paraId="56079BEA" w14:textId="77777777" w:rsidR="005079F6" w:rsidRDefault="005079F6" w:rsidP="002E6D96">
      <w:pPr>
        <w:widowControl/>
        <w:spacing w:after="200" w:line="360" w:lineRule="auto"/>
        <w:ind w:firstLine="1440"/>
        <w:contextualSpacing/>
        <w:rPr>
          <w:rFonts w:eastAsiaTheme="minorHAnsi"/>
          <w:sz w:val="26"/>
          <w:szCs w:val="26"/>
        </w:rPr>
      </w:pPr>
    </w:p>
    <w:p w14:paraId="16159E3A" w14:textId="5663E239" w:rsidR="00B66101" w:rsidRDefault="005220EF" w:rsidP="002E6D96">
      <w:pPr>
        <w:widowControl/>
        <w:spacing w:after="200" w:line="360" w:lineRule="auto"/>
        <w:ind w:firstLine="1440"/>
        <w:contextualSpacing/>
        <w:rPr>
          <w:rFonts w:eastAsiaTheme="minorHAnsi"/>
          <w:sz w:val="26"/>
          <w:szCs w:val="26"/>
        </w:rPr>
      </w:pPr>
      <w:r>
        <w:rPr>
          <w:rFonts w:eastAsiaTheme="minorHAnsi"/>
          <w:sz w:val="26"/>
          <w:szCs w:val="26"/>
        </w:rPr>
        <w:t>10</w:t>
      </w:r>
      <w:r w:rsidR="00F65911" w:rsidRPr="00F65911">
        <w:rPr>
          <w:rFonts w:eastAsiaTheme="minorHAnsi"/>
          <w:sz w:val="26"/>
          <w:szCs w:val="26"/>
        </w:rPr>
        <w:t>.</w:t>
      </w:r>
      <w:r w:rsidR="00F65911" w:rsidRPr="00F65911">
        <w:rPr>
          <w:rFonts w:eastAsiaTheme="minorHAnsi"/>
          <w:sz w:val="26"/>
          <w:szCs w:val="26"/>
        </w:rPr>
        <w:tab/>
        <w:t xml:space="preserve">That the </w:t>
      </w:r>
      <w:r w:rsidR="00FA3134">
        <w:rPr>
          <w:rFonts w:eastAsiaTheme="minorHAnsi"/>
          <w:sz w:val="26"/>
          <w:szCs w:val="26"/>
        </w:rPr>
        <w:t>Formal C</w:t>
      </w:r>
      <w:r w:rsidR="00F65911" w:rsidRPr="00F65911">
        <w:rPr>
          <w:rFonts w:eastAsiaTheme="minorHAnsi"/>
          <w:sz w:val="26"/>
          <w:szCs w:val="26"/>
        </w:rPr>
        <w:t>omplaint filed by G. Blair Bauer</w:t>
      </w:r>
      <w:r w:rsidR="00FA3134">
        <w:rPr>
          <w:rFonts w:eastAsiaTheme="minorHAnsi"/>
          <w:sz w:val="26"/>
          <w:szCs w:val="26"/>
        </w:rPr>
        <w:t>,</w:t>
      </w:r>
      <w:r w:rsidR="00F65911" w:rsidRPr="00F65911">
        <w:rPr>
          <w:rFonts w:eastAsiaTheme="minorHAnsi"/>
          <w:sz w:val="26"/>
          <w:szCs w:val="26"/>
        </w:rPr>
        <w:t xml:space="preserve"> at Docket No.</w:t>
      </w:r>
    </w:p>
    <w:p w14:paraId="7CF542D6" w14:textId="687CC0B9" w:rsidR="005079F6" w:rsidRPr="00B66101" w:rsidRDefault="00F65911" w:rsidP="00B66101">
      <w:pPr>
        <w:widowControl/>
        <w:spacing w:after="200" w:line="360" w:lineRule="auto"/>
        <w:contextualSpacing/>
        <w:rPr>
          <w:rFonts w:eastAsiaTheme="minorHAnsi"/>
          <w:sz w:val="26"/>
          <w:szCs w:val="26"/>
        </w:rPr>
      </w:pPr>
      <w:r w:rsidRPr="00F65911">
        <w:rPr>
          <w:rFonts w:eastAsiaTheme="minorHAnsi"/>
          <w:sz w:val="26"/>
          <w:szCs w:val="26"/>
        </w:rPr>
        <w:t>C-2018-3001319</w:t>
      </w:r>
      <w:r w:rsidR="00FA3134">
        <w:rPr>
          <w:rFonts w:eastAsiaTheme="minorHAnsi"/>
          <w:sz w:val="26"/>
          <w:szCs w:val="26"/>
        </w:rPr>
        <w:t>,</w:t>
      </w:r>
      <w:r w:rsidRPr="00F65911">
        <w:rPr>
          <w:rFonts w:eastAsiaTheme="minorHAnsi"/>
          <w:sz w:val="26"/>
          <w:szCs w:val="26"/>
        </w:rPr>
        <w:t xml:space="preserve"> be dismissed and the docket marked closed.</w:t>
      </w:r>
    </w:p>
    <w:p w14:paraId="6811FBFC" w14:textId="77777777" w:rsidR="005079F6" w:rsidRDefault="005079F6" w:rsidP="002E6D96">
      <w:pPr>
        <w:widowControl/>
        <w:spacing w:after="200" w:line="360" w:lineRule="auto"/>
        <w:ind w:firstLine="1440"/>
        <w:contextualSpacing/>
        <w:rPr>
          <w:rFonts w:eastAsiaTheme="minorHAnsi"/>
          <w:sz w:val="26"/>
          <w:szCs w:val="26"/>
        </w:rPr>
      </w:pPr>
    </w:p>
    <w:p w14:paraId="14FCD049" w14:textId="50EA85AA" w:rsidR="005079F6" w:rsidRDefault="005220EF" w:rsidP="002E6D96">
      <w:pPr>
        <w:widowControl/>
        <w:spacing w:after="200" w:line="360" w:lineRule="auto"/>
        <w:ind w:firstLine="1440"/>
        <w:contextualSpacing/>
        <w:rPr>
          <w:rFonts w:eastAsiaTheme="minorHAnsi"/>
          <w:b/>
          <w:sz w:val="26"/>
          <w:szCs w:val="26"/>
        </w:rPr>
      </w:pPr>
      <w:r>
        <w:rPr>
          <w:rFonts w:eastAsiaTheme="minorHAnsi"/>
          <w:sz w:val="26"/>
          <w:szCs w:val="26"/>
        </w:rPr>
        <w:t>11</w:t>
      </w:r>
      <w:r w:rsidR="00F65911" w:rsidRPr="00F65911">
        <w:rPr>
          <w:rFonts w:eastAsiaTheme="minorHAnsi"/>
          <w:sz w:val="26"/>
          <w:szCs w:val="26"/>
        </w:rPr>
        <w:t>.</w:t>
      </w:r>
      <w:r w:rsidR="00F65911" w:rsidRPr="00F65911">
        <w:rPr>
          <w:rFonts w:eastAsiaTheme="minorHAnsi"/>
          <w:sz w:val="26"/>
          <w:szCs w:val="26"/>
        </w:rPr>
        <w:tab/>
        <w:t xml:space="preserve">That the </w:t>
      </w:r>
      <w:r w:rsidR="00FA3134">
        <w:rPr>
          <w:rFonts w:eastAsiaTheme="minorHAnsi"/>
          <w:sz w:val="26"/>
          <w:szCs w:val="26"/>
        </w:rPr>
        <w:t>Formal C</w:t>
      </w:r>
      <w:r w:rsidR="00F65911" w:rsidRPr="00F65911">
        <w:rPr>
          <w:rFonts w:eastAsiaTheme="minorHAnsi"/>
          <w:sz w:val="26"/>
          <w:szCs w:val="26"/>
        </w:rPr>
        <w:t>omplaint filed by Philip L. Bloch</w:t>
      </w:r>
      <w:r w:rsidR="00BD16A3">
        <w:rPr>
          <w:rFonts w:eastAsiaTheme="minorHAnsi"/>
          <w:sz w:val="26"/>
          <w:szCs w:val="26"/>
        </w:rPr>
        <w:t>,</w:t>
      </w:r>
      <w:r w:rsidR="00F65911" w:rsidRPr="00F65911">
        <w:rPr>
          <w:rFonts w:eastAsiaTheme="minorHAnsi"/>
          <w:sz w:val="26"/>
          <w:szCs w:val="26"/>
        </w:rPr>
        <w:t xml:space="preserve"> at Docket No. C-2018-3001634</w:t>
      </w:r>
      <w:r w:rsidR="00BD16A3">
        <w:rPr>
          <w:rFonts w:eastAsiaTheme="minorHAnsi"/>
          <w:sz w:val="26"/>
          <w:szCs w:val="26"/>
        </w:rPr>
        <w:t>,</w:t>
      </w:r>
      <w:r w:rsidR="00F65911" w:rsidRPr="00F65911">
        <w:rPr>
          <w:rFonts w:eastAsiaTheme="minorHAnsi"/>
          <w:sz w:val="26"/>
          <w:szCs w:val="26"/>
        </w:rPr>
        <w:t xml:space="preserve"> be dismissed and the docket marked closed.</w:t>
      </w:r>
    </w:p>
    <w:p w14:paraId="41CF3CE9" w14:textId="77777777" w:rsidR="005079F6" w:rsidRDefault="005079F6" w:rsidP="002E6D96">
      <w:pPr>
        <w:widowControl/>
        <w:spacing w:after="200" w:line="360" w:lineRule="auto"/>
        <w:ind w:firstLine="1440"/>
        <w:contextualSpacing/>
        <w:rPr>
          <w:rFonts w:eastAsiaTheme="minorHAnsi"/>
          <w:sz w:val="26"/>
          <w:szCs w:val="26"/>
        </w:rPr>
      </w:pPr>
    </w:p>
    <w:p w14:paraId="46609FEB" w14:textId="41E383BE" w:rsidR="005079F6" w:rsidRDefault="00F65911" w:rsidP="002E6D96">
      <w:pPr>
        <w:widowControl/>
        <w:spacing w:after="200" w:line="360" w:lineRule="auto"/>
        <w:ind w:firstLine="1440"/>
        <w:contextualSpacing/>
        <w:rPr>
          <w:rFonts w:eastAsiaTheme="minorHAnsi"/>
          <w:sz w:val="26"/>
          <w:szCs w:val="26"/>
        </w:rPr>
      </w:pPr>
      <w:r w:rsidRPr="00F65911">
        <w:rPr>
          <w:rFonts w:eastAsiaTheme="minorHAnsi"/>
          <w:sz w:val="26"/>
          <w:szCs w:val="26"/>
        </w:rPr>
        <w:t>1</w:t>
      </w:r>
      <w:r w:rsidR="005220EF">
        <w:rPr>
          <w:rFonts w:eastAsiaTheme="minorHAnsi"/>
          <w:sz w:val="26"/>
          <w:szCs w:val="26"/>
        </w:rPr>
        <w:t>2</w:t>
      </w:r>
      <w:r w:rsidRPr="00F65911">
        <w:rPr>
          <w:rFonts w:eastAsiaTheme="minorHAnsi"/>
          <w:sz w:val="26"/>
          <w:szCs w:val="26"/>
        </w:rPr>
        <w:t>.</w:t>
      </w:r>
      <w:r w:rsidRPr="00F65911">
        <w:rPr>
          <w:rFonts w:eastAsiaTheme="minorHAnsi"/>
          <w:sz w:val="26"/>
          <w:szCs w:val="26"/>
        </w:rPr>
        <w:tab/>
        <w:t xml:space="preserve">That the </w:t>
      </w:r>
      <w:r w:rsidR="006910B9">
        <w:rPr>
          <w:rFonts w:eastAsiaTheme="minorHAnsi"/>
          <w:sz w:val="26"/>
          <w:szCs w:val="26"/>
        </w:rPr>
        <w:t>Formal C</w:t>
      </w:r>
      <w:r w:rsidRPr="00F65911">
        <w:rPr>
          <w:rFonts w:eastAsiaTheme="minorHAnsi"/>
          <w:sz w:val="26"/>
          <w:szCs w:val="26"/>
        </w:rPr>
        <w:t>omplaint filed by Robin A. Harrison</w:t>
      </w:r>
      <w:r w:rsidR="00BD16A3">
        <w:rPr>
          <w:rFonts w:eastAsiaTheme="minorHAnsi"/>
          <w:sz w:val="26"/>
          <w:szCs w:val="26"/>
        </w:rPr>
        <w:t>,</w:t>
      </w:r>
      <w:r w:rsidRPr="00F65911">
        <w:rPr>
          <w:rFonts w:eastAsiaTheme="minorHAnsi"/>
          <w:sz w:val="26"/>
          <w:szCs w:val="26"/>
        </w:rPr>
        <w:t xml:space="preserve"> at Docket No. C</w:t>
      </w:r>
      <w:r w:rsidR="00BD16A3">
        <w:rPr>
          <w:rFonts w:eastAsiaTheme="minorHAnsi"/>
          <w:sz w:val="26"/>
          <w:szCs w:val="26"/>
        </w:rPr>
        <w:noBreakHyphen/>
      </w:r>
      <w:r w:rsidRPr="00F65911">
        <w:rPr>
          <w:rFonts w:eastAsiaTheme="minorHAnsi"/>
          <w:sz w:val="26"/>
          <w:szCs w:val="26"/>
        </w:rPr>
        <w:t>2018-3002595</w:t>
      </w:r>
      <w:r w:rsidR="00BD16A3">
        <w:rPr>
          <w:rFonts w:eastAsiaTheme="minorHAnsi"/>
          <w:sz w:val="26"/>
          <w:szCs w:val="26"/>
        </w:rPr>
        <w:t>,</w:t>
      </w:r>
      <w:r w:rsidRPr="00F65911">
        <w:rPr>
          <w:rFonts w:eastAsiaTheme="minorHAnsi"/>
          <w:sz w:val="26"/>
          <w:szCs w:val="26"/>
        </w:rPr>
        <w:t xml:space="preserve"> be dismissed and the docket marked closed.</w:t>
      </w:r>
    </w:p>
    <w:p w14:paraId="03E3DC15" w14:textId="77777777" w:rsidR="002863AE" w:rsidRDefault="002863AE" w:rsidP="002E6D96">
      <w:pPr>
        <w:widowControl/>
        <w:spacing w:after="200" w:line="360" w:lineRule="auto"/>
        <w:ind w:firstLine="1440"/>
        <w:contextualSpacing/>
        <w:rPr>
          <w:rFonts w:eastAsiaTheme="minorHAnsi"/>
          <w:b/>
          <w:sz w:val="26"/>
          <w:szCs w:val="26"/>
        </w:rPr>
      </w:pPr>
    </w:p>
    <w:p w14:paraId="577EBFB5" w14:textId="0AC6FFB2" w:rsidR="005079F6" w:rsidRDefault="00F65911" w:rsidP="002E6D96">
      <w:pPr>
        <w:keepNext/>
        <w:keepLines/>
        <w:widowControl/>
        <w:spacing w:after="200" w:line="360" w:lineRule="auto"/>
        <w:ind w:firstLine="1440"/>
        <w:contextualSpacing/>
        <w:rPr>
          <w:rFonts w:eastAsiaTheme="minorHAnsi"/>
          <w:b/>
          <w:sz w:val="26"/>
          <w:szCs w:val="26"/>
        </w:rPr>
      </w:pPr>
      <w:r w:rsidRPr="00F65911">
        <w:rPr>
          <w:rFonts w:eastAsiaTheme="minorHAnsi"/>
          <w:sz w:val="26"/>
          <w:szCs w:val="26"/>
        </w:rPr>
        <w:t>1</w:t>
      </w:r>
      <w:r w:rsidR="005220EF">
        <w:rPr>
          <w:rFonts w:eastAsiaTheme="minorHAnsi"/>
          <w:sz w:val="26"/>
          <w:szCs w:val="26"/>
        </w:rPr>
        <w:t>3</w:t>
      </w:r>
      <w:r w:rsidRPr="00F65911">
        <w:rPr>
          <w:rFonts w:eastAsiaTheme="minorHAnsi"/>
          <w:sz w:val="26"/>
          <w:szCs w:val="26"/>
        </w:rPr>
        <w:t>.</w:t>
      </w:r>
      <w:r w:rsidRPr="00F65911">
        <w:rPr>
          <w:rFonts w:eastAsiaTheme="minorHAnsi"/>
          <w:sz w:val="26"/>
          <w:szCs w:val="26"/>
        </w:rPr>
        <w:tab/>
        <w:t xml:space="preserve">That the </w:t>
      </w:r>
      <w:r w:rsidR="006910B9">
        <w:rPr>
          <w:rFonts w:eastAsiaTheme="minorHAnsi"/>
          <w:sz w:val="26"/>
          <w:szCs w:val="26"/>
        </w:rPr>
        <w:t>Formal C</w:t>
      </w:r>
      <w:r w:rsidRPr="00F65911">
        <w:rPr>
          <w:rFonts w:eastAsiaTheme="minorHAnsi"/>
          <w:sz w:val="26"/>
          <w:szCs w:val="26"/>
        </w:rPr>
        <w:t xml:space="preserve">omplaint filed by </w:t>
      </w:r>
      <w:r w:rsidR="00BD16A3">
        <w:rPr>
          <w:rFonts w:eastAsiaTheme="minorHAnsi"/>
          <w:sz w:val="26"/>
          <w:szCs w:val="26"/>
        </w:rPr>
        <w:t xml:space="preserve">the </w:t>
      </w:r>
      <w:r w:rsidRPr="00F65911">
        <w:rPr>
          <w:rFonts w:eastAsiaTheme="minorHAnsi"/>
          <w:sz w:val="26"/>
          <w:szCs w:val="26"/>
        </w:rPr>
        <w:t>Columbia Industrial Intervenors</w:t>
      </w:r>
      <w:r w:rsidR="00BD16A3">
        <w:rPr>
          <w:rFonts w:eastAsiaTheme="minorHAnsi"/>
          <w:sz w:val="26"/>
          <w:szCs w:val="26"/>
        </w:rPr>
        <w:t>,</w:t>
      </w:r>
      <w:r w:rsidRPr="00F65911">
        <w:rPr>
          <w:rFonts w:eastAsiaTheme="minorHAnsi"/>
          <w:sz w:val="26"/>
          <w:szCs w:val="26"/>
        </w:rPr>
        <w:t xml:space="preserve"> at Docket No. C-2018-3001047</w:t>
      </w:r>
      <w:r w:rsidR="00BD16A3">
        <w:rPr>
          <w:rFonts w:eastAsiaTheme="minorHAnsi"/>
          <w:sz w:val="26"/>
          <w:szCs w:val="26"/>
        </w:rPr>
        <w:t>,</w:t>
      </w:r>
      <w:r w:rsidRPr="00F65911">
        <w:rPr>
          <w:rFonts w:eastAsiaTheme="minorHAnsi"/>
          <w:sz w:val="26"/>
          <w:szCs w:val="26"/>
        </w:rPr>
        <w:t xml:space="preserve"> be deemed satisfied and marked closed.</w:t>
      </w:r>
    </w:p>
    <w:p w14:paraId="348D77CB" w14:textId="77777777" w:rsidR="005079F6" w:rsidRDefault="005079F6" w:rsidP="002E6D96">
      <w:pPr>
        <w:keepNext/>
        <w:keepLines/>
        <w:widowControl/>
        <w:spacing w:after="200" w:line="360" w:lineRule="auto"/>
        <w:ind w:firstLine="1440"/>
        <w:contextualSpacing/>
        <w:rPr>
          <w:rFonts w:eastAsiaTheme="minorHAnsi"/>
          <w:sz w:val="26"/>
          <w:szCs w:val="26"/>
        </w:rPr>
      </w:pPr>
    </w:p>
    <w:p w14:paraId="323975F2" w14:textId="71947416" w:rsidR="005079F6" w:rsidRDefault="00F65911" w:rsidP="002E6D96">
      <w:pPr>
        <w:widowControl/>
        <w:spacing w:after="200" w:line="360" w:lineRule="auto"/>
        <w:ind w:firstLine="1440"/>
        <w:contextualSpacing/>
        <w:rPr>
          <w:rFonts w:eastAsiaTheme="minorHAnsi"/>
          <w:b/>
          <w:sz w:val="26"/>
          <w:szCs w:val="26"/>
        </w:rPr>
      </w:pPr>
      <w:r w:rsidRPr="00F65911">
        <w:rPr>
          <w:rFonts w:eastAsiaTheme="minorHAnsi"/>
          <w:sz w:val="26"/>
          <w:szCs w:val="26"/>
        </w:rPr>
        <w:t>1</w:t>
      </w:r>
      <w:r w:rsidR="005220EF">
        <w:rPr>
          <w:rFonts w:eastAsiaTheme="minorHAnsi"/>
          <w:sz w:val="26"/>
          <w:szCs w:val="26"/>
        </w:rPr>
        <w:t>4</w:t>
      </w:r>
      <w:r w:rsidRPr="00F65911">
        <w:rPr>
          <w:rFonts w:eastAsiaTheme="minorHAnsi"/>
          <w:sz w:val="26"/>
          <w:szCs w:val="26"/>
        </w:rPr>
        <w:t>.</w:t>
      </w:r>
      <w:r w:rsidRPr="00F65911">
        <w:rPr>
          <w:rFonts w:eastAsiaTheme="minorHAnsi"/>
          <w:sz w:val="26"/>
          <w:szCs w:val="26"/>
        </w:rPr>
        <w:tab/>
        <w:t xml:space="preserve">That the </w:t>
      </w:r>
      <w:r w:rsidR="006910B9">
        <w:rPr>
          <w:rFonts w:eastAsiaTheme="minorHAnsi"/>
          <w:sz w:val="26"/>
          <w:szCs w:val="26"/>
        </w:rPr>
        <w:t>Formal C</w:t>
      </w:r>
      <w:r w:rsidRPr="00F65911">
        <w:rPr>
          <w:rFonts w:eastAsiaTheme="minorHAnsi"/>
          <w:sz w:val="26"/>
          <w:szCs w:val="26"/>
        </w:rPr>
        <w:t>omplaint filed by Pennsylvania State University</w:t>
      </w:r>
      <w:r w:rsidR="00BD16A3">
        <w:rPr>
          <w:rFonts w:eastAsiaTheme="minorHAnsi"/>
          <w:sz w:val="26"/>
          <w:szCs w:val="26"/>
        </w:rPr>
        <w:t>,</w:t>
      </w:r>
      <w:r w:rsidRPr="00F65911">
        <w:rPr>
          <w:rFonts w:eastAsiaTheme="minorHAnsi"/>
          <w:sz w:val="26"/>
          <w:szCs w:val="26"/>
        </w:rPr>
        <w:t xml:space="preserve"> at Docket No. C-2018-3001034</w:t>
      </w:r>
      <w:r w:rsidR="006910B9">
        <w:rPr>
          <w:rFonts w:eastAsiaTheme="minorHAnsi"/>
          <w:sz w:val="26"/>
          <w:szCs w:val="26"/>
        </w:rPr>
        <w:t>,</w:t>
      </w:r>
      <w:r w:rsidRPr="00F65911">
        <w:rPr>
          <w:rFonts w:eastAsiaTheme="minorHAnsi"/>
          <w:sz w:val="26"/>
          <w:szCs w:val="26"/>
        </w:rPr>
        <w:t xml:space="preserve"> be deemed satisfied and marked closed.</w:t>
      </w:r>
    </w:p>
    <w:p w14:paraId="616E9E87" w14:textId="77777777" w:rsidR="005079F6" w:rsidRDefault="005079F6" w:rsidP="002E6D96">
      <w:pPr>
        <w:widowControl/>
        <w:spacing w:after="200" w:line="360" w:lineRule="auto"/>
        <w:ind w:firstLine="1440"/>
        <w:contextualSpacing/>
        <w:rPr>
          <w:rFonts w:eastAsiaTheme="minorHAnsi"/>
          <w:sz w:val="26"/>
          <w:szCs w:val="26"/>
        </w:rPr>
      </w:pPr>
    </w:p>
    <w:p w14:paraId="048B2CEA" w14:textId="3681CE7F" w:rsidR="005079F6" w:rsidRDefault="002863AE" w:rsidP="002E6D96">
      <w:pPr>
        <w:widowControl/>
        <w:spacing w:after="200" w:line="360" w:lineRule="auto"/>
        <w:ind w:firstLine="1440"/>
        <w:contextualSpacing/>
        <w:rPr>
          <w:rFonts w:eastAsiaTheme="minorHAnsi"/>
          <w:sz w:val="26"/>
          <w:szCs w:val="26"/>
        </w:rPr>
      </w:pPr>
      <w:r>
        <w:rPr>
          <w:rFonts w:eastAsiaTheme="minorHAnsi"/>
          <w:sz w:val="26"/>
          <w:szCs w:val="26"/>
        </w:rPr>
        <w:t>1</w:t>
      </w:r>
      <w:r w:rsidR="007E4E55">
        <w:rPr>
          <w:rFonts w:eastAsiaTheme="minorHAnsi"/>
          <w:sz w:val="26"/>
          <w:szCs w:val="26"/>
        </w:rPr>
        <w:t>5</w:t>
      </w:r>
      <w:r>
        <w:rPr>
          <w:rFonts w:eastAsiaTheme="minorHAnsi"/>
          <w:sz w:val="26"/>
          <w:szCs w:val="26"/>
        </w:rPr>
        <w:t>.</w:t>
      </w:r>
      <w:r>
        <w:rPr>
          <w:rFonts w:eastAsiaTheme="minorHAnsi"/>
          <w:sz w:val="26"/>
          <w:szCs w:val="26"/>
        </w:rPr>
        <w:tab/>
      </w:r>
      <w:r w:rsidR="00F65911" w:rsidRPr="00F65911">
        <w:rPr>
          <w:rFonts w:eastAsiaTheme="minorHAnsi"/>
          <w:sz w:val="26"/>
          <w:szCs w:val="26"/>
        </w:rPr>
        <w:t>That Columbia Gas of Pennsylvania, Inc.</w:t>
      </w:r>
      <w:r w:rsidR="00374016">
        <w:rPr>
          <w:rFonts w:eastAsiaTheme="minorHAnsi"/>
          <w:sz w:val="26"/>
          <w:szCs w:val="26"/>
        </w:rPr>
        <w:t>’s</w:t>
      </w:r>
      <w:r w:rsidR="00C956E2">
        <w:rPr>
          <w:rFonts w:eastAsiaTheme="minorHAnsi"/>
          <w:sz w:val="26"/>
          <w:szCs w:val="26"/>
        </w:rPr>
        <w:t xml:space="preserve"> billing </w:t>
      </w:r>
      <w:r w:rsidR="00374016">
        <w:rPr>
          <w:rFonts w:eastAsiaTheme="minorHAnsi"/>
          <w:sz w:val="26"/>
          <w:szCs w:val="26"/>
        </w:rPr>
        <w:t xml:space="preserve">practice of </w:t>
      </w:r>
      <w:r w:rsidR="00F65911" w:rsidRPr="00F65911">
        <w:rPr>
          <w:rFonts w:eastAsiaTheme="minorHAnsi"/>
          <w:sz w:val="26"/>
          <w:szCs w:val="26"/>
        </w:rPr>
        <w:t>offering separate line item billing for the non-commodity service provided by third parties</w:t>
      </w:r>
      <w:r w:rsidR="00374016">
        <w:rPr>
          <w:rFonts w:eastAsiaTheme="minorHAnsi"/>
          <w:sz w:val="26"/>
          <w:szCs w:val="26"/>
        </w:rPr>
        <w:t xml:space="preserve"> is subject to </w:t>
      </w:r>
      <w:r w:rsidR="005D39C4">
        <w:rPr>
          <w:rFonts w:eastAsiaTheme="minorHAnsi"/>
          <w:sz w:val="26"/>
          <w:szCs w:val="26"/>
        </w:rPr>
        <w:t>Commission</w:t>
      </w:r>
      <w:r w:rsidR="00374016">
        <w:rPr>
          <w:rFonts w:eastAsiaTheme="minorHAnsi"/>
          <w:sz w:val="26"/>
          <w:szCs w:val="26"/>
        </w:rPr>
        <w:t xml:space="preserve"> jurisdiction </w:t>
      </w:r>
      <w:r w:rsidR="00C956E2">
        <w:rPr>
          <w:rFonts w:eastAsiaTheme="minorHAnsi"/>
          <w:sz w:val="26"/>
          <w:szCs w:val="26"/>
        </w:rPr>
        <w:t xml:space="preserve">of provision of service and such practice </w:t>
      </w:r>
      <w:r w:rsidR="00C956E2">
        <w:rPr>
          <w:rFonts w:eastAsiaTheme="minorHAnsi"/>
          <w:sz w:val="26"/>
          <w:szCs w:val="26"/>
        </w:rPr>
        <w:lastRenderedPageBreak/>
        <w:t xml:space="preserve">must comply </w:t>
      </w:r>
      <w:r w:rsidR="004A3ED1">
        <w:rPr>
          <w:rFonts w:eastAsiaTheme="minorHAnsi"/>
          <w:sz w:val="26"/>
          <w:szCs w:val="26"/>
        </w:rPr>
        <w:t xml:space="preserve">with </w:t>
      </w:r>
      <w:r w:rsidR="00374016">
        <w:rPr>
          <w:rFonts w:eastAsiaTheme="minorHAnsi"/>
          <w:sz w:val="26"/>
          <w:szCs w:val="26"/>
        </w:rPr>
        <w:t>Section</w:t>
      </w:r>
      <w:r w:rsidR="00B76008">
        <w:rPr>
          <w:rFonts w:eastAsiaTheme="minorHAnsi"/>
          <w:sz w:val="26"/>
          <w:szCs w:val="26"/>
        </w:rPr>
        <w:t>s</w:t>
      </w:r>
      <w:r w:rsidR="00374016">
        <w:rPr>
          <w:rFonts w:eastAsiaTheme="minorHAnsi"/>
          <w:sz w:val="26"/>
          <w:szCs w:val="26"/>
        </w:rPr>
        <w:t xml:space="preserve"> 1502 </w:t>
      </w:r>
      <w:r w:rsidR="00B76008">
        <w:rPr>
          <w:rFonts w:eastAsiaTheme="minorHAnsi"/>
          <w:sz w:val="26"/>
          <w:szCs w:val="26"/>
        </w:rPr>
        <w:t xml:space="preserve">and 2203(4) </w:t>
      </w:r>
      <w:r w:rsidR="00374016">
        <w:rPr>
          <w:rFonts w:eastAsiaTheme="minorHAnsi"/>
          <w:sz w:val="26"/>
          <w:szCs w:val="26"/>
        </w:rPr>
        <w:t xml:space="preserve">of the </w:t>
      </w:r>
      <w:r w:rsidR="00B76008">
        <w:rPr>
          <w:rFonts w:eastAsiaTheme="minorHAnsi"/>
          <w:sz w:val="26"/>
          <w:szCs w:val="26"/>
        </w:rPr>
        <w:t xml:space="preserve">Public Utility </w:t>
      </w:r>
      <w:r w:rsidR="0028247A">
        <w:rPr>
          <w:rFonts w:eastAsiaTheme="minorHAnsi"/>
          <w:sz w:val="26"/>
          <w:szCs w:val="26"/>
        </w:rPr>
        <w:t>Code</w:t>
      </w:r>
      <w:r w:rsidR="00B76008">
        <w:rPr>
          <w:rFonts w:eastAsiaTheme="minorHAnsi"/>
          <w:sz w:val="26"/>
          <w:szCs w:val="26"/>
        </w:rPr>
        <w:t>, 66 Pa. C.S. §§ 1502, 2203(4).</w:t>
      </w:r>
    </w:p>
    <w:p w14:paraId="2CDBC205" w14:textId="05AEF22B" w:rsidR="00E92657" w:rsidRDefault="00E92657" w:rsidP="002E6D96">
      <w:pPr>
        <w:widowControl/>
        <w:spacing w:after="200" w:line="360" w:lineRule="auto"/>
        <w:ind w:firstLine="1440"/>
        <w:contextualSpacing/>
        <w:rPr>
          <w:rFonts w:eastAsiaTheme="minorHAnsi"/>
          <w:b/>
          <w:sz w:val="26"/>
          <w:szCs w:val="26"/>
        </w:rPr>
      </w:pPr>
    </w:p>
    <w:p w14:paraId="238CFF84" w14:textId="7E0E8B10" w:rsidR="00E92657" w:rsidRPr="00E92657" w:rsidRDefault="00E92657" w:rsidP="002E6D96">
      <w:pPr>
        <w:widowControl/>
        <w:spacing w:after="200" w:line="360" w:lineRule="auto"/>
        <w:ind w:firstLine="1440"/>
        <w:contextualSpacing/>
        <w:rPr>
          <w:rFonts w:eastAsiaTheme="minorHAnsi"/>
          <w:sz w:val="26"/>
          <w:szCs w:val="26"/>
        </w:rPr>
      </w:pPr>
      <w:r>
        <w:rPr>
          <w:rFonts w:eastAsiaTheme="minorHAnsi"/>
          <w:sz w:val="26"/>
          <w:szCs w:val="26"/>
        </w:rPr>
        <w:t>16.</w:t>
      </w:r>
      <w:r>
        <w:rPr>
          <w:rFonts w:eastAsiaTheme="minorHAnsi"/>
          <w:sz w:val="26"/>
          <w:szCs w:val="26"/>
        </w:rPr>
        <w:tab/>
        <w:t>That Columbia Gas of Pennsylvania, Inc. submit to this Commission’s Bureau of Technical Utilit</w:t>
      </w:r>
      <w:r w:rsidR="002628F3">
        <w:rPr>
          <w:rFonts w:eastAsiaTheme="minorHAnsi"/>
          <w:sz w:val="26"/>
          <w:szCs w:val="26"/>
        </w:rPr>
        <w:t>y</w:t>
      </w:r>
      <w:r>
        <w:rPr>
          <w:rFonts w:eastAsiaTheme="minorHAnsi"/>
          <w:sz w:val="26"/>
          <w:szCs w:val="26"/>
        </w:rPr>
        <w:t xml:space="preserve"> Services, within 60 days of the entry date of this Opinion and Order, a report detailing its compliance with Sections 1502 and 2203(</w:t>
      </w:r>
      <w:r w:rsidR="00263DB7">
        <w:rPr>
          <w:rFonts w:eastAsiaTheme="minorHAnsi"/>
          <w:sz w:val="26"/>
          <w:szCs w:val="26"/>
        </w:rPr>
        <w:t>4</w:t>
      </w:r>
      <w:r>
        <w:rPr>
          <w:rFonts w:eastAsiaTheme="minorHAnsi"/>
          <w:sz w:val="26"/>
          <w:szCs w:val="26"/>
        </w:rPr>
        <w:t>) of the Public Utility Code, 66 Pa. C.S. §§ 1502, 2203(4).</w:t>
      </w:r>
    </w:p>
    <w:p w14:paraId="6A46CAF9" w14:textId="77777777" w:rsidR="005079F6" w:rsidRDefault="005079F6" w:rsidP="002E6D96">
      <w:pPr>
        <w:widowControl/>
        <w:spacing w:after="200" w:line="360" w:lineRule="auto"/>
        <w:ind w:firstLine="1440"/>
        <w:contextualSpacing/>
        <w:rPr>
          <w:rFonts w:eastAsiaTheme="minorHAnsi"/>
          <w:sz w:val="26"/>
          <w:szCs w:val="26"/>
        </w:rPr>
      </w:pPr>
    </w:p>
    <w:p w14:paraId="47E555C6" w14:textId="6DDDAD5F" w:rsidR="005128D3" w:rsidRDefault="00F65911" w:rsidP="002E6D96">
      <w:pPr>
        <w:widowControl/>
        <w:spacing w:after="200" w:line="360" w:lineRule="auto"/>
        <w:ind w:firstLine="1440"/>
        <w:contextualSpacing/>
        <w:rPr>
          <w:rFonts w:eastAsiaTheme="minorHAnsi"/>
          <w:sz w:val="26"/>
          <w:szCs w:val="26"/>
        </w:rPr>
      </w:pPr>
      <w:r w:rsidRPr="00F65911">
        <w:rPr>
          <w:rFonts w:eastAsiaTheme="minorHAnsi"/>
          <w:sz w:val="26"/>
          <w:szCs w:val="26"/>
        </w:rPr>
        <w:t>1</w:t>
      </w:r>
      <w:r w:rsidR="0038468B">
        <w:rPr>
          <w:rFonts w:eastAsiaTheme="minorHAnsi"/>
          <w:sz w:val="26"/>
          <w:szCs w:val="26"/>
        </w:rPr>
        <w:t>7</w:t>
      </w:r>
      <w:r w:rsidRPr="00F65911">
        <w:rPr>
          <w:rFonts w:eastAsiaTheme="minorHAnsi"/>
          <w:sz w:val="26"/>
          <w:szCs w:val="26"/>
        </w:rPr>
        <w:t>.</w:t>
      </w:r>
      <w:r w:rsidRPr="00F65911">
        <w:rPr>
          <w:rFonts w:eastAsiaTheme="minorHAnsi"/>
          <w:sz w:val="26"/>
          <w:szCs w:val="26"/>
        </w:rPr>
        <w:tab/>
        <w:t xml:space="preserve">That upon acceptance and approval by the Commission of the tariff supplement and supporting data filed by Columbia Gas of Pennsylvania, Inc. as being consistent with this Opinion and Order and the terms </w:t>
      </w:r>
      <w:r w:rsidR="00D416F6">
        <w:rPr>
          <w:rFonts w:eastAsiaTheme="minorHAnsi"/>
          <w:sz w:val="26"/>
          <w:szCs w:val="26"/>
        </w:rPr>
        <w:t xml:space="preserve">and conditions </w:t>
      </w:r>
      <w:r w:rsidRPr="00F65911">
        <w:rPr>
          <w:rFonts w:eastAsiaTheme="minorHAnsi"/>
          <w:sz w:val="26"/>
          <w:szCs w:val="26"/>
        </w:rPr>
        <w:t xml:space="preserve">of the Joint Petition </w:t>
      </w:r>
    </w:p>
    <w:p w14:paraId="38E5949D" w14:textId="56F674A2" w:rsidR="0073019C" w:rsidRPr="005079F6" w:rsidRDefault="00F65911" w:rsidP="002E6D96">
      <w:pPr>
        <w:keepNext/>
        <w:keepLines/>
        <w:widowControl/>
        <w:spacing w:after="200" w:line="360" w:lineRule="auto"/>
        <w:contextualSpacing/>
        <w:rPr>
          <w:rFonts w:eastAsiaTheme="minorHAnsi"/>
          <w:b/>
          <w:sz w:val="26"/>
          <w:szCs w:val="26"/>
        </w:rPr>
      </w:pPr>
      <w:r w:rsidRPr="00F65911">
        <w:rPr>
          <w:rFonts w:eastAsiaTheme="minorHAnsi"/>
          <w:sz w:val="26"/>
          <w:szCs w:val="26"/>
        </w:rPr>
        <w:t>for Partial Settlement adopted herein, the inquiry and investigation at Docket No. R</w:t>
      </w:r>
      <w:r w:rsidR="006A702F">
        <w:rPr>
          <w:rFonts w:eastAsiaTheme="minorHAnsi"/>
          <w:sz w:val="26"/>
          <w:szCs w:val="26"/>
        </w:rPr>
        <w:noBreakHyphen/>
      </w:r>
      <w:r w:rsidRPr="00F65911">
        <w:rPr>
          <w:rFonts w:eastAsiaTheme="minorHAnsi"/>
          <w:sz w:val="26"/>
          <w:szCs w:val="26"/>
        </w:rPr>
        <w:t>2018-2647577 shall be terminated and the docket marked closed.</w:t>
      </w:r>
    </w:p>
    <w:p w14:paraId="5A8322ED" w14:textId="4C0AE9BB" w:rsidR="006B393A" w:rsidRPr="003C351F" w:rsidRDefault="006B393A" w:rsidP="002E6D96">
      <w:pPr>
        <w:keepNext/>
        <w:keepLines/>
        <w:widowControl/>
        <w:spacing w:after="200" w:line="360" w:lineRule="auto"/>
        <w:ind w:firstLine="1440"/>
        <w:contextualSpacing/>
        <w:rPr>
          <w:rFonts w:eastAsiaTheme="minorHAnsi"/>
          <w:sz w:val="26"/>
          <w:szCs w:val="26"/>
        </w:rPr>
      </w:pPr>
    </w:p>
    <w:p w14:paraId="73DFBA68" w14:textId="59B57FFA" w:rsidR="006B393A" w:rsidRPr="003C351F" w:rsidRDefault="00E96131" w:rsidP="002E6D96">
      <w:pPr>
        <w:keepNext/>
        <w:keepLines/>
        <w:widowControl/>
        <w:tabs>
          <w:tab w:val="left" w:pos="-720"/>
        </w:tabs>
        <w:suppressAutoHyphens/>
        <w:contextualSpacing/>
        <w:rPr>
          <w:sz w:val="26"/>
          <w:szCs w:val="26"/>
        </w:rPr>
      </w:pPr>
      <w:r>
        <w:rPr>
          <w:noProof/>
        </w:rPr>
        <w:drawing>
          <wp:anchor distT="0" distB="0" distL="114300" distR="114300" simplePos="0" relativeHeight="251659264" behindDoc="1" locked="0" layoutInCell="1" allowOverlap="1" wp14:anchorId="381C09CA" wp14:editId="6F4A046F">
            <wp:simplePos x="0" y="0"/>
            <wp:positionH relativeFrom="column">
              <wp:posOffset>3171825</wp:posOffset>
            </wp:positionH>
            <wp:positionV relativeFrom="paragraph">
              <wp:posOffset>134620</wp:posOffset>
            </wp:positionV>
            <wp:extent cx="2200275" cy="8382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027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93A" w:rsidRPr="003C351F">
        <w:rPr>
          <w:sz w:val="26"/>
          <w:szCs w:val="26"/>
        </w:rPr>
        <w:tab/>
      </w:r>
      <w:r w:rsidR="006B393A" w:rsidRPr="003C351F">
        <w:rPr>
          <w:sz w:val="26"/>
          <w:szCs w:val="26"/>
        </w:rPr>
        <w:tab/>
      </w:r>
      <w:r w:rsidR="006B393A" w:rsidRPr="003C351F">
        <w:rPr>
          <w:sz w:val="26"/>
          <w:szCs w:val="26"/>
        </w:rPr>
        <w:tab/>
      </w:r>
      <w:r w:rsidR="006B393A" w:rsidRPr="003C351F">
        <w:rPr>
          <w:sz w:val="26"/>
          <w:szCs w:val="26"/>
        </w:rPr>
        <w:tab/>
      </w:r>
      <w:r w:rsidR="006B393A" w:rsidRPr="003C351F">
        <w:rPr>
          <w:sz w:val="26"/>
          <w:szCs w:val="26"/>
        </w:rPr>
        <w:tab/>
      </w:r>
      <w:r w:rsidR="006B393A" w:rsidRPr="003C351F">
        <w:rPr>
          <w:sz w:val="26"/>
          <w:szCs w:val="26"/>
        </w:rPr>
        <w:tab/>
      </w:r>
      <w:r w:rsidR="006B393A" w:rsidRPr="003C351F">
        <w:rPr>
          <w:sz w:val="26"/>
          <w:szCs w:val="26"/>
        </w:rPr>
        <w:tab/>
      </w:r>
      <w:r w:rsidR="006B393A" w:rsidRPr="003C351F">
        <w:rPr>
          <w:b/>
          <w:sz w:val="26"/>
          <w:szCs w:val="26"/>
        </w:rPr>
        <w:t>BY THE COMMISSION,</w:t>
      </w:r>
    </w:p>
    <w:p w14:paraId="68FF1F97" w14:textId="77777777" w:rsidR="006B393A" w:rsidRPr="003C351F" w:rsidRDefault="006B393A" w:rsidP="002E6D96">
      <w:pPr>
        <w:keepNext/>
        <w:keepLines/>
        <w:widowControl/>
        <w:tabs>
          <w:tab w:val="left" w:pos="-720"/>
        </w:tabs>
        <w:suppressAutoHyphens/>
        <w:contextualSpacing/>
        <w:rPr>
          <w:sz w:val="26"/>
          <w:szCs w:val="26"/>
        </w:rPr>
      </w:pPr>
    </w:p>
    <w:p w14:paraId="28E889DA" w14:textId="77777777" w:rsidR="006B393A" w:rsidRPr="003C351F" w:rsidRDefault="006B393A" w:rsidP="002E6D96">
      <w:pPr>
        <w:keepNext/>
        <w:keepLines/>
        <w:widowControl/>
        <w:tabs>
          <w:tab w:val="left" w:pos="-720"/>
        </w:tabs>
        <w:suppressAutoHyphens/>
        <w:contextualSpacing/>
        <w:rPr>
          <w:sz w:val="26"/>
          <w:szCs w:val="26"/>
        </w:rPr>
      </w:pPr>
    </w:p>
    <w:p w14:paraId="7BFD36B3" w14:textId="77777777" w:rsidR="006B393A" w:rsidRPr="003C351F" w:rsidRDefault="006B393A" w:rsidP="002E6D96">
      <w:pPr>
        <w:keepNext/>
        <w:keepLines/>
        <w:widowControl/>
        <w:tabs>
          <w:tab w:val="left" w:pos="-720"/>
        </w:tabs>
        <w:suppressAutoHyphens/>
        <w:contextualSpacing/>
        <w:rPr>
          <w:sz w:val="26"/>
          <w:szCs w:val="26"/>
        </w:rPr>
      </w:pPr>
    </w:p>
    <w:p w14:paraId="3C286E4F" w14:textId="77777777" w:rsidR="006B393A" w:rsidRPr="003C351F" w:rsidRDefault="006B393A" w:rsidP="002E6D96">
      <w:pPr>
        <w:keepNext/>
        <w:keepLines/>
        <w:widowControl/>
        <w:tabs>
          <w:tab w:val="left" w:pos="-720"/>
        </w:tabs>
        <w:suppressAutoHyphens/>
        <w:contextualSpacing/>
        <w:rPr>
          <w:sz w:val="26"/>
          <w:szCs w:val="26"/>
        </w:rPr>
      </w:pPr>
    </w:p>
    <w:p w14:paraId="761C9B25" w14:textId="77777777" w:rsidR="006B393A" w:rsidRPr="003C351F" w:rsidRDefault="006B393A" w:rsidP="002E6D96">
      <w:pPr>
        <w:keepNext/>
        <w:keepLines/>
        <w:widowControl/>
        <w:tabs>
          <w:tab w:val="left" w:pos="-720"/>
        </w:tabs>
        <w:suppressAutoHyphens/>
        <w:contextualSpacing/>
        <w:rPr>
          <w:sz w:val="26"/>
          <w:szCs w:val="26"/>
        </w:rPr>
      </w:pPr>
      <w:r w:rsidRPr="003C351F">
        <w:rPr>
          <w:sz w:val="26"/>
          <w:szCs w:val="26"/>
        </w:rPr>
        <w:tab/>
      </w:r>
      <w:r w:rsidRPr="003C351F">
        <w:rPr>
          <w:sz w:val="26"/>
          <w:szCs w:val="26"/>
        </w:rPr>
        <w:tab/>
      </w:r>
      <w:r w:rsidRPr="003C351F">
        <w:rPr>
          <w:sz w:val="26"/>
          <w:szCs w:val="26"/>
        </w:rPr>
        <w:tab/>
      </w:r>
      <w:r w:rsidRPr="003C351F">
        <w:rPr>
          <w:sz w:val="26"/>
          <w:szCs w:val="26"/>
        </w:rPr>
        <w:tab/>
      </w:r>
      <w:r w:rsidRPr="003C351F">
        <w:rPr>
          <w:sz w:val="26"/>
          <w:szCs w:val="26"/>
        </w:rPr>
        <w:tab/>
      </w:r>
      <w:r w:rsidRPr="003C351F">
        <w:rPr>
          <w:sz w:val="26"/>
          <w:szCs w:val="26"/>
        </w:rPr>
        <w:tab/>
      </w:r>
      <w:r w:rsidRPr="003C351F">
        <w:rPr>
          <w:sz w:val="26"/>
          <w:szCs w:val="26"/>
        </w:rPr>
        <w:tab/>
        <w:t>Rosemary Chiavetta</w:t>
      </w:r>
    </w:p>
    <w:p w14:paraId="4278E176" w14:textId="77777777" w:rsidR="006B393A" w:rsidRPr="003C351F" w:rsidRDefault="006B393A" w:rsidP="002E6D96">
      <w:pPr>
        <w:keepNext/>
        <w:keepLines/>
        <w:widowControl/>
        <w:tabs>
          <w:tab w:val="left" w:pos="-720"/>
        </w:tabs>
        <w:suppressAutoHyphens/>
        <w:contextualSpacing/>
        <w:rPr>
          <w:sz w:val="26"/>
          <w:szCs w:val="26"/>
        </w:rPr>
      </w:pPr>
      <w:r w:rsidRPr="003C351F">
        <w:rPr>
          <w:sz w:val="26"/>
          <w:szCs w:val="26"/>
        </w:rPr>
        <w:tab/>
      </w:r>
      <w:r w:rsidRPr="003C351F">
        <w:rPr>
          <w:sz w:val="26"/>
          <w:szCs w:val="26"/>
        </w:rPr>
        <w:tab/>
      </w:r>
      <w:r w:rsidRPr="003C351F">
        <w:rPr>
          <w:sz w:val="26"/>
          <w:szCs w:val="26"/>
        </w:rPr>
        <w:tab/>
      </w:r>
      <w:r w:rsidRPr="003C351F">
        <w:rPr>
          <w:sz w:val="26"/>
          <w:szCs w:val="26"/>
        </w:rPr>
        <w:tab/>
      </w:r>
      <w:r w:rsidRPr="003C351F">
        <w:rPr>
          <w:sz w:val="26"/>
          <w:szCs w:val="26"/>
        </w:rPr>
        <w:tab/>
      </w:r>
      <w:r w:rsidRPr="003C351F">
        <w:rPr>
          <w:sz w:val="26"/>
          <w:szCs w:val="26"/>
        </w:rPr>
        <w:tab/>
      </w:r>
      <w:r w:rsidRPr="003C351F">
        <w:rPr>
          <w:sz w:val="26"/>
          <w:szCs w:val="26"/>
        </w:rPr>
        <w:tab/>
        <w:t>Secretary</w:t>
      </w:r>
    </w:p>
    <w:p w14:paraId="326E51FF" w14:textId="77777777" w:rsidR="006B393A" w:rsidRPr="003C351F" w:rsidRDefault="006B393A" w:rsidP="002E6D96">
      <w:pPr>
        <w:keepNext/>
        <w:keepLines/>
        <w:widowControl/>
        <w:tabs>
          <w:tab w:val="left" w:pos="-720"/>
        </w:tabs>
        <w:suppressAutoHyphens/>
        <w:contextualSpacing/>
        <w:rPr>
          <w:sz w:val="26"/>
          <w:szCs w:val="26"/>
        </w:rPr>
      </w:pPr>
    </w:p>
    <w:p w14:paraId="4D4C6D37" w14:textId="77777777" w:rsidR="006B393A" w:rsidRPr="003C351F" w:rsidRDefault="006B393A" w:rsidP="002E6D96">
      <w:pPr>
        <w:keepNext/>
        <w:keepLines/>
        <w:widowControl/>
        <w:tabs>
          <w:tab w:val="left" w:pos="-720"/>
        </w:tabs>
        <w:suppressAutoHyphens/>
        <w:contextualSpacing/>
        <w:rPr>
          <w:sz w:val="26"/>
          <w:szCs w:val="26"/>
        </w:rPr>
      </w:pPr>
      <w:r w:rsidRPr="003C351F">
        <w:rPr>
          <w:sz w:val="26"/>
          <w:szCs w:val="26"/>
        </w:rPr>
        <w:t>(SEAL)</w:t>
      </w:r>
    </w:p>
    <w:p w14:paraId="0806BF0F" w14:textId="77777777" w:rsidR="006B393A" w:rsidRPr="003C351F" w:rsidRDefault="006B393A" w:rsidP="002E6D96">
      <w:pPr>
        <w:keepNext/>
        <w:keepLines/>
        <w:widowControl/>
        <w:tabs>
          <w:tab w:val="left" w:pos="-720"/>
        </w:tabs>
        <w:suppressAutoHyphens/>
        <w:contextualSpacing/>
        <w:rPr>
          <w:sz w:val="26"/>
          <w:szCs w:val="26"/>
        </w:rPr>
      </w:pPr>
    </w:p>
    <w:p w14:paraId="05DC6165" w14:textId="77777777" w:rsidR="006B393A" w:rsidRPr="003C351F" w:rsidRDefault="006B393A" w:rsidP="002E6D96">
      <w:pPr>
        <w:keepNext/>
        <w:keepLines/>
        <w:widowControl/>
        <w:tabs>
          <w:tab w:val="left" w:pos="-720"/>
        </w:tabs>
        <w:suppressAutoHyphens/>
        <w:contextualSpacing/>
        <w:rPr>
          <w:sz w:val="26"/>
          <w:szCs w:val="26"/>
        </w:rPr>
      </w:pPr>
      <w:r w:rsidRPr="003C351F">
        <w:rPr>
          <w:sz w:val="26"/>
          <w:szCs w:val="26"/>
        </w:rPr>
        <w:t xml:space="preserve">ORDER ADOPTED:  </w:t>
      </w:r>
      <w:r w:rsidR="005C0ACE">
        <w:rPr>
          <w:sz w:val="26"/>
          <w:szCs w:val="26"/>
        </w:rPr>
        <w:t>December 6</w:t>
      </w:r>
      <w:r w:rsidRPr="003C351F">
        <w:rPr>
          <w:sz w:val="26"/>
          <w:szCs w:val="26"/>
        </w:rPr>
        <w:t>, 2018</w:t>
      </w:r>
    </w:p>
    <w:p w14:paraId="729102FB" w14:textId="77777777" w:rsidR="006B393A" w:rsidRPr="003C351F" w:rsidRDefault="006B393A" w:rsidP="002E6D96">
      <w:pPr>
        <w:keepNext/>
        <w:keepLines/>
        <w:widowControl/>
        <w:tabs>
          <w:tab w:val="left" w:pos="-720"/>
        </w:tabs>
        <w:suppressAutoHyphens/>
        <w:contextualSpacing/>
        <w:rPr>
          <w:sz w:val="26"/>
          <w:szCs w:val="26"/>
        </w:rPr>
      </w:pPr>
    </w:p>
    <w:p w14:paraId="402C463A" w14:textId="2AA49AEE" w:rsidR="006B393A" w:rsidRPr="003C351F" w:rsidRDefault="006B393A" w:rsidP="002E6D96">
      <w:pPr>
        <w:keepNext/>
        <w:keepLines/>
        <w:widowControl/>
        <w:tabs>
          <w:tab w:val="left" w:pos="-720"/>
        </w:tabs>
        <w:suppressAutoHyphens/>
        <w:contextualSpacing/>
        <w:rPr>
          <w:b/>
          <w:sz w:val="26"/>
          <w:szCs w:val="26"/>
        </w:rPr>
      </w:pPr>
      <w:r w:rsidRPr="003C351F">
        <w:rPr>
          <w:sz w:val="26"/>
          <w:szCs w:val="26"/>
        </w:rPr>
        <w:t xml:space="preserve">ORDER ENTERED:  </w:t>
      </w:r>
      <w:r w:rsidR="00E96131">
        <w:rPr>
          <w:sz w:val="26"/>
          <w:szCs w:val="26"/>
        </w:rPr>
        <w:t>December 6, 2018</w:t>
      </w:r>
      <w:bookmarkStart w:id="24" w:name="_GoBack"/>
      <w:bookmarkEnd w:id="24"/>
    </w:p>
    <w:p w14:paraId="7D8F0066" w14:textId="77777777" w:rsidR="006B393A" w:rsidRPr="003C351F" w:rsidRDefault="006B393A" w:rsidP="002E6D96">
      <w:pPr>
        <w:widowControl/>
        <w:spacing w:after="200" w:line="360" w:lineRule="auto"/>
        <w:ind w:firstLine="1440"/>
        <w:contextualSpacing/>
        <w:rPr>
          <w:rFonts w:eastAsiaTheme="minorHAnsi"/>
          <w:sz w:val="26"/>
          <w:szCs w:val="26"/>
        </w:rPr>
      </w:pPr>
    </w:p>
    <w:p w14:paraId="720F4762" w14:textId="77777777" w:rsidR="00C40EA8" w:rsidRPr="003C351F" w:rsidRDefault="00C40EA8" w:rsidP="002E6D96">
      <w:pPr>
        <w:widowControl/>
        <w:spacing w:after="200" w:line="276" w:lineRule="auto"/>
        <w:rPr>
          <w:rFonts w:eastAsiaTheme="minorHAnsi"/>
          <w:sz w:val="26"/>
          <w:szCs w:val="26"/>
        </w:rPr>
        <w:sectPr w:rsidR="00C40EA8" w:rsidRPr="003C351F" w:rsidSect="00EB475D">
          <w:footerReference w:type="default" r:id="rId15"/>
          <w:pgSz w:w="12240" w:h="15840"/>
          <w:pgMar w:top="1440" w:right="1440" w:bottom="1440" w:left="1440" w:header="720" w:footer="720" w:gutter="0"/>
          <w:pgNumType w:start="1"/>
          <w:cols w:space="720"/>
          <w:titlePg/>
          <w:docGrid w:linePitch="360"/>
        </w:sectPr>
      </w:pPr>
    </w:p>
    <w:p w14:paraId="09D46DF6" w14:textId="3643997B" w:rsidR="00172027" w:rsidRPr="003C351F" w:rsidRDefault="00172027" w:rsidP="002E6D96">
      <w:pPr>
        <w:widowControl/>
        <w:spacing w:after="200" w:line="276" w:lineRule="auto"/>
        <w:contextualSpacing/>
        <w:jc w:val="center"/>
        <w:rPr>
          <w:rFonts w:eastAsiaTheme="minorHAnsi"/>
          <w:b/>
          <w:sz w:val="26"/>
          <w:szCs w:val="26"/>
        </w:rPr>
      </w:pPr>
      <w:r w:rsidRPr="003C351F">
        <w:rPr>
          <w:rFonts w:eastAsiaTheme="minorHAnsi"/>
          <w:b/>
          <w:sz w:val="26"/>
          <w:szCs w:val="26"/>
        </w:rPr>
        <w:lastRenderedPageBreak/>
        <w:t>Pennsylvania Public Utility Commission</w:t>
      </w:r>
      <w:r w:rsidR="009075AC">
        <w:rPr>
          <w:rFonts w:eastAsiaTheme="minorHAnsi"/>
          <w:b/>
          <w:sz w:val="26"/>
          <w:szCs w:val="26"/>
        </w:rPr>
        <w:t xml:space="preserve">, </w:t>
      </w:r>
      <w:r w:rsidR="009075AC" w:rsidRPr="008A390F">
        <w:rPr>
          <w:rFonts w:eastAsiaTheme="minorHAnsi"/>
          <w:b/>
          <w:i/>
          <w:sz w:val="26"/>
          <w:szCs w:val="26"/>
        </w:rPr>
        <w:t>et al</w:t>
      </w:r>
      <w:r w:rsidR="009075AC">
        <w:rPr>
          <w:rFonts w:eastAsiaTheme="minorHAnsi"/>
          <w:b/>
          <w:sz w:val="26"/>
          <w:szCs w:val="26"/>
        </w:rPr>
        <w:t xml:space="preserve">., </w:t>
      </w:r>
    </w:p>
    <w:p w14:paraId="358B3023" w14:textId="77777777" w:rsidR="00172027" w:rsidRPr="003C351F" w:rsidRDefault="00172027" w:rsidP="002E6D96">
      <w:pPr>
        <w:widowControl/>
        <w:spacing w:after="200" w:line="276" w:lineRule="auto"/>
        <w:contextualSpacing/>
        <w:jc w:val="center"/>
        <w:rPr>
          <w:rFonts w:eastAsiaTheme="minorHAnsi"/>
          <w:b/>
          <w:sz w:val="26"/>
          <w:szCs w:val="26"/>
        </w:rPr>
      </w:pPr>
    </w:p>
    <w:p w14:paraId="37C28A47" w14:textId="77777777" w:rsidR="00172027" w:rsidRPr="003C351F" w:rsidRDefault="00172027" w:rsidP="002E6D96">
      <w:pPr>
        <w:widowControl/>
        <w:spacing w:after="200" w:line="276" w:lineRule="auto"/>
        <w:contextualSpacing/>
        <w:jc w:val="center"/>
        <w:rPr>
          <w:rFonts w:eastAsiaTheme="minorHAnsi"/>
          <w:b/>
          <w:sz w:val="26"/>
          <w:szCs w:val="26"/>
        </w:rPr>
      </w:pPr>
    </w:p>
    <w:p w14:paraId="3D3F9E49" w14:textId="77777777" w:rsidR="00172027" w:rsidRPr="003C351F" w:rsidRDefault="00172027" w:rsidP="002E6D96">
      <w:pPr>
        <w:widowControl/>
        <w:spacing w:after="200" w:line="276" w:lineRule="auto"/>
        <w:contextualSpacing/>
        <w:jc w:val="center"/>
        <w:rPr>
          <w:rFonts w:eastAsiaTheme="minorHAnsi"/>
          <w:b/>
          <w:sz w:val="26"/>
          <w:szCs w:val="26"/>
        </w:rPr>
      </w:pPr>
      <w:r w:rsidRPr="003C351F">
        <w:rPr>
          <w:rFonts w:eastAsiaTheme="minorHAnsi"/>
          <w:b/>
          <w:sz w:val="26"/>
          <w:szCs w:val="26"/>
        </w:rPr>
        <w:t>v.</w:t>
      </w:r>
    </w:p>
    <w:p w14:paraId="4CA81DDA" w14:textId="77777777" w:rsidR="00172027" w:rsidRPr="003C351F" w:rsidRDefault="00172027" w:rsidP="002E6D96">
      <w:pPr>
        <w:widowControl/>
        <w:spacing w:after="200" w:line="276" w:lineRule="auto"/>
        <w:contextualSpacing/>
        <w:jc w:val="center"/>
        <w:rPr>
          <w:rFonts w:eastAsiaTheme="minorHAnsi"/>
          <w:b/>
          <w:sz w:val="26"/>
          <w:szCs w:val="26"/>
        </w:rPr>
      </w:pPr>
    </w:p>
    <w:p w14:paraId="688E0B09" w14:textId="77777777" w:rsidR="00172027" w:rsidRPr="003C351F" w:rsidRDefault="00172027" w:rsidP="002E6D96">
      <w:pPr>
        <w:widowControl/>
        <w:spacing w:after="200" w:line="276" w:lineRule="auto"/>
        <w:contextualSpacing/>
        <w:jc w:val="center"/>
        <w:rPr>
          <w:rFonts w:eastAsiaTheme="minorHAnsi"/>
          <w:b/>
          <w:sz w:val="26"/>
          <w:szCs w:val="26"/>
        </w:rPr>
      </w:pPr>
    </w:p>
    <w:p w14:paraId="2C4A461E" w14:textId="0B557C40" w:rsidR="00172027" w:rsidRPr="003C351F" w:rsidRDefault="000E1153" w:rsidP="002E6D96">
      <w:pPr>
        <w:widowControl/>
        <w:spacing w:after="200" w:line="276" w:lineRule="auto"/>
        <w:contextualSpacing/>
        <w:jc w:val="center"/>
        <w:rPr>
          <w:rFonts w:eastAsiaTheme="minorHAnsi"/>
          <w:b/>
          <w:sz w:val="26"/>
          <w:szCs w:val="26"/>
        </w:rPr>
      </w:pPr>
      <w:r>
        <w:rPr>
          <w:rFonts w:eastAsiaTheme="minorHAnsi"/>
          <w:b/>
          <w:sz w:val="26"/>
          <w:szCs w:val="26"/>
        </w:rPr>
        <w:t>C</w:t>
      </w:r>
      <w:r w:rsidR="005A45B5">
        <w:rPr>
          <w:rFonts w:eastAsiaTheme="minorHAnsi"/>
          <w:b/>
          <w:sz w:val="26"/>
          <w:szCs w:val="26"/>
        </w:rPr>
        <w:t>olumbia Gas of Pennsylvania, Inc.</w:t>
      </w:r>
    </w:p>
    <w:p w14:paraId="7822E050" w14:textId="77777777" w:rsidR="000E53A2" w:rsidRDefault="00172027" w:rsidP="000E53A2">
      <w:pPr>
        <w:widowControl/>
        <w:spacing w:after="200" w:line="276" w:lineRule="auto"/>
        <w:contextualSpacing/>
        <w:jc w:val="center"/>
        <w:rPr>
          <w:rFonts w:eastAsiaTheme="minorHAnsi"/>
          <w:b/>
          <w:sz w:val="26"/>
          <w:szCs w:val="26"/>
        </w:rPr>
      </w:pPr>
      <w:r w:rsidRPr="003C351F">
        <w:rPr>
          <w:rFonts w:eastAsiaTheme="minorHAnsi"/>
          <w:b/>
          <w:sz w:val="26"/>
          <w:szCs w:val="26"/>
        </w:rPr>
        <w:t>Docket No. R-201</w:t>
      </w:r>
      <w:r w:rsidR="005A45B5">
        <w:rPr>
          <w:rFonts w:eastAsiaTheme="minorHAnsi"/>
          <w:b/>
          <w:sz w:val="26"/>
          <w:szCs w:val="26"/>
        </w:rPr>
        <w:t>8</w:t>
      </w:r>
      <w:r w:rsidRPr="003C351F">
        <w:rPr>
          <w:rFonts w:eastAsiaTheme="minorHAnsi"/>
          <w:b/>
          <w:sz w:val="26"/>
          <w:szCs w:val="26"/>
        </w:rPr>
        <w:t>-264</w:t>
      </w:r>
      <w:r w:rsidR="005A45B5">
        <w:rPr>
          <w:rFonts w:eastAsiaTheme="minorHAnsi"/>
          <w:b/>
          <w:sz w:val="26"/>
          <w:szCs w:val="26"/>
        </w:rPr>
        <w:t>7577</w:t>
      </w:r>
    </w:p>
    <w:p w14:paraId="5B808B31" w14:textId="77777777" w:rsidR="000E53A2" w:rsidRDefault="000E53A2" w:rsidP="000E53A2">
      <w:pPr>
        <w:widowControl/>
        <w:spacing w:after="200" w:line="276" w:lineRule="auto"/>
        <w:contextualSpacing/>
        <w:jc w:val="center"/>
        <w:rPr>
          <w:sz w:val="26"/>
          <w:szCs w:val="26"/>
        </w:rPr>
      </w:pPr>
    </w:p>
    <w:p w14:paraId="6C98FBBF" w14:textId="77777777" w:rsidR="00E12C28" w:rsidRDefault="000E53A2" w:rsidP="00E12C28">
      <w:pPr>
        <w:widowControl/>
        <w:spacing w:after="200" w:line="276" w:lineRule="auto"/>
        <w:ind w:left="1440" w:right="1440"/>
        <w:contextualSpacing/>
        <w:jc w:val="center"/>
        <w:rPr>
          <w:sz w:val="26"/>
          <w:szCs w:val="26"/>
        </w:rPr>
      </w:pPr>
      <w:r w:rsidRPr="00E12C28">
        <w:rPr>
          <w:b/>
          <w:sz w:val="26"/>
          <w:szCs w:val="26"/>
        </w:rPr>
        <w:t>Appendix A</w:t>
      </w:r>
      <w:r>
        <w:rPr>
          <w:sz w:val="26"/>
          <w:szCs w:val="26"/>
        </w:rPr>
        <w:t>:</w:t>
      </w:r>
    </w:p>
    <w:p w14:paraId="70048684" w14:textId="3495A99F" w:rsidR="00E12C28" w:rsidRDefault="000E53A2" w:rsidP="00E12C28">
      <w:pPr>
        <w:widowControl/>
        <w:spacing w:after="200" w:line="276" w:lineRule="auto"/>
        <w:ind w:left="1440" w:right="1440"/>
        <w:contextualSpacing/>
        <w:jc w:val="center"/>
        <w:rPr>
          <w:sz w:val="26"/>
          <w:szCs w:val="26"/>
        </w:rPr>
      </w:pPr>
      <w:r>
        <w:rPr>
          <w:sz w:val="26"/>
          <w:szCs w:val="26"/>
        </w:rPr>
        <w:t>Increase by Rate Class for the</w:t>
      </w:r>
    </w:p>
    <w:p w14:paraId="03D93868" w14:textId="3D3CE3D1" w:rsidR="000E53A2" w:rsidRDefault="000E53A2" w:rsidP="00E12C28">
      <w:pPr>
        <w:widowControl/>
        <w:spacing w:after="200" w:line="276" w:lineRule="auto"/>
        <w:ind w:left="1440" w:right="1440"/>
        <w:contextualSpacing/>
        <w:jc w:val="center"/>
        <w:rPr>
          <w:sz w:val="26"/>
          <w:szCs w:val="26"/>
        </w:rPr>
      </w:pPr>
      <w:proofErr w:type="gramStart"/>
      <w:r>
        <w:rPr>
          <w:sz w:val="26"/>
          <w:szCs w:val="26"/>
        </w:rPr>
        <w:t>12 month</w:t>
      </w:r>
      <w:proofErr w:type="gramEnd"/>
      <w:r>
        <w:rPr>
          <w:sz w:val="26"/>
          <w:szCs w:val="26"/>
        </w:rPr>
        <w:t xml:space="preserve"> period ending December </w:t>
      </w:r>
      <w:r w:rsidR="00E12C28">
        <w:rPr>
          <w:sz w:val="26"/>
          <w:szCs w:val="26"/>
        </w:rPr>
        <w:t>3</w:t>
      </w:r>
      <w:r>
        <w:rPr>
          <w:sz w:val="26"/>
          <w:szCs w:val="26"/>
        </w:rPr>
        <w:t>1, 2019</w:t>
      </w:r>
    </w:p>
    <w:p w14:paraId="50DDDF50" w14:textId="77777777" w:rsidR="00E12C28" w:rsidRPr="000E53A2" w:rsidRDefault="00E12C28" w:rsidP="00E12C28">
      <w:pPr>
        <w:widowControl/>
        <w:spacing w:after="200" w:line="276" w:lineRule="auto"/>
        <w:ind w:left="1440" w:right="1440"/>
        <w:contextualSpacing/>
        <w:jc w:val="center"/>
        <w:rPr>
          <w:rFonts w:eastAsiaTheme="minorHAnsi"/>
          <w:b/>
          <w:sz w:val="26"/>
          <w:szCs w:val="26"/>
        </w:rPr>
      </w:pPr>
    </w:p>
    <w:p w14:paraId="507F3306" w14:textId="77777777" w:rsidR="00E12C28" w:rsidRDefault="000E53A2" w:rsidP="00E12C28">
      <w:pPr>
        <w:widowControl/>
        <w:spacing w:after="200" w:line="360" w:lineRule="auto"/>
        <w:ind w:left="1440" w:right="1440"/>
        <w:contextualSpacing/>
        <w:jc w:val="center"/>
        <w:rPr>
          <w:sz w:val="26"/>
          <w:szCs w:val="26"/>
        </w:rPr>
      </w:pPr>
      <w:r w:rsidRPr="00E12C28">
        <w:rPr>
          <w:b/>
          <w:sz w:val="26"/>
          <w:szCs w:val="26"/>
        </w:rPr>
        <w:t>Appendix B</w:t>
      </w:r>
      <w:r w:rsidR="00E12C28">
        <w:rPr>
          <w:sz w:val="26"/>
          <w:szCs w:val="26"/>
        </w:rPr>
        <w:t>:</w:t>
      </w:r>
    </w:p>
    <w:p w14:paraId="6192BE9B" w14:textId="77777777" w:rsidR="00E12C28" w:rsidRDefault="000E53A2" w:rsidP="00E12C28">
      <w:pPr>
        <w:widowControl/>
        <w:spacing w:after="200" w:line="360" w:lineRule="auto"/>
        <w:ind w:left="1440" w:right="1440"/>
        <w:contextualSpacing/>
        <w:jc w:val="center"/>
        <w:rPr>
          <w:sz w:val="26"/>
          <w:szCs w:val="26"/>
        </w:rPr>
      </w:pPr>
      <w:r>
        <w:rPr>
          <w:sz w:val="26"/>
          <w:szCs w:val="26"/>
        </w:rPr>
        <w:t xml:space="preserve">Allocation of Proposed Annual Revenues by Rate Schedule Based on Revenue Requirement for the </w:t>
      </w:r>
    </w:p>
    <w:p w14:paraId="562AFD72" w14:textId="6EE020A8" w:rsidR="005A45B5" w:rsidRPr="000E53A2" w:rsidRDefault="000E53A2" w:rsidP="00E12C28">
      <w:pPr>
        <w:widowControl/>
        <w:spacing w:after="200" w:line="360" w:lineRule="auto"/>
        <w:ind w:left="1440" w:right="1440"/>
        <w:contextualSpacing/>
        <w:jc w:val="center"/>
        <w:rPr>
          <w:sz w:val="26"/>
          <w:szCs w:val="26"/>
        </w:rPr>
      </w:pPr>
      <w:proofErr w:type="gramStart"/>
      <w:r>
        <w:rPr>
          <w:sz w:val="26"/>
          <w:szCs w:val="26"/>
        </w:rPr>
        <w:t>12 month</w:t>
      </w:r>
      <w:proofErr w:type="gramEnd"/>
      <w:r>
        <w:rPr>
          <w:sz w:val="26"/>
          <w:szCs w:val="26"/>
        </w:rPr>
        <w:t xml:space="preserve"> period ending December </w:t>
      </w:r>
      <w:r w:rsidR="00E12C28">
        <w:rPr>
          <w:sz w:val="26"/>
          <w:szCs w:val="26"/>
        </w:rPr>
        <w:t>3</w:t>
      </w:r>
      <w:r>
        <w:rPr>
          <w:sz w:val="26"/>
          <w:szCs w:val="26"/>
        </w:rPr>
        <w:t>1, 2019</w:t>
      </w:r>
    </w:p>
    <w:p w14:paraId="556901AA" w14:textId="77777777" w:rsidR="00172027" w:rsidRPr="003C351F" w:rsidRDefault="00172027" w:rsidP="00E12C28">
      <w:pPr>
        <w:widowControl/>
        <w:spacing w:after="200" w:line="276" w:lineRule="auto"/>
        <w:ind w:left="1440" w:right="1440"/>
        <w:contextualSpacing/>
        <w:jc w:val="center"/>
        <w:rPr>
          <w:rFonts w:eastAsiaTheme="minorHAnsi"/>
          <w:sz w:val="26"/>
          <w:szCs w:val="26"/>
        </w:rPr>
      </w:pPr>
    </w:p>
    <w:p w14:paraId="3871BC49" w14:textId="77777777" w:rsidR="00172027" w:rsidRPr="003C351F" w:rsidRDefault="00172027" w:rsidP="002E6D96">
      <w:pPr>
        <w:widowControl/>
        <w:spacing w:after="200" w:line="276" w:lineRule="auto"/>
        <w:contextualSpacing/>
        <w:jc w:val="center"/>
        <w:rPr>
          <w:rFonts w:eastAsiaTheme="minorHAnsi"/>
          <w:sz w:val="26"/>
          <w:szCs w:val="26"/>
        </w:rPr>
      </w:pPr>
    </w:p>
    <w:p w14:paraId="6CBE97C1" w14:textId="099C5743" w:rsidR="00172027" w:rsidRDefault="00172027" w:rsidP="002E6D96">
      <w:pPr>
        <w:widowControl/>
        <w:spacing w:after="200" w:line="276" w:lineRule="auto"/>
        <w:ind w:firstLine="2160"/>
        <w:contextualSpacing/>
        <w:rPr>
          <w:rFonts w:eastAsiaTheme="minorHAnsi"/>
          <w:b/>
          <w:sz w:val="26"/>
          <w:szCs w:val="26"/>
        </w:rPr>
      </w:pPr>
    </w:p>
    <w:p w14:paraId="4DCC51EC" w14:textId="77777777" w:rsidR="0074706B" w:rsidRPr="003C351F" w:rsidRDefault="0074706B" w:rsidP="002E6D96">
      <w:pPr>
        <w:widowControl/>
        <w:spacing w:after="200" w:line="276" w:lineRule="auto"/>
        <w:ind w:firstLine="2160"/>
        <w:contextualSpacing/>
        <w:rPr>
          <w:rFonts w:eastAsiaTheme="minorHAnsi"/>
          <w:b/>
          <w:sz w:val="26"/>
          <w:szCs w:val="26"/>
        </w:rPr>
      </w:pPr>
    </w:p>
    <w:p w14:paraId="66D0B21C" w14:textId="77777777" w:rsidR="00172027" w:rsidRPr="003C351F" w:rsidRDefault="00172027" w:rsidP="002E6D96">
      <w:pPr>
        <w:widowControl/>
        <w:spacing w:after="200" w:line="276" w:lineRule="auto"/>
        <w:contextualSpacing/>
        <w:rPr>
          <w:rFonts w:eastAsiaTheme="minorHAnsi"/>
          <w:b/>
          <w:sz w:val="26"/>
          <w:szCs w:val="26"/>
        </w:rPr>
        <w:sectPr w:rsidR="00172027" w:rsidRPr="003C351F" w:rsidSect="00EB475D">
          <w:pgSz w:w="12240" w:h="15840"/>
          <w:pgMar w:top="1440" w:right="1440" w:bottom="1440" w:left="1440" w:header="720" w:footer="720" w:gutter="0"/>
          <w:pgNumType w:start="1"/>
          <w:cols w:space="720"/>
          <w:titlePg/>
          <w:docGrid w:linePitch="360"/>
        </w:sectPr>
      </w:pPr>
    </w:p>
    <w:p w14:paraId="6F4DC4B2" w14:textId="66DF9697" w:rsidR="00CA22D9" w:rsidRPr="003C351F" w:rsidRDefault="0074706B" w:rsidP="002E6D96">
      <w:pPr>
        <w:widowControl/>
        <w:spacing w:after="200" w:line="276" w:lineRule="auto"/>
        <w:contextualSpacing/>
        <w:jc w:val="center"/>
        <w:rPr>
          <w:rFonts w:eastAsiaTheme="minorHAnsi"/>
          <w:b/>
          <w:sz w:val="26"/>
          <w:szCs w:val="26"/>
        </w:rPr>
        <w:sectPr w:rsidR="00CA22D9" w:rsidRPr="003C351F" w:rsidSect="00C40EA8">
          <w:footerReference w:type="default" r:id="rId16"/>
          <w:footerReference w:type="first" r:id="rId17"/>
          <w:pgSz w:w="15840" w:h="12240" w:orient="landscape"/>
          <w:pgMar w:top="1440" w:right="1440" w:bottom="1440" w:left="1440" w:header="720" w:footer="720" w:gutter="0"/>
          <w:cols w:space="720"/>
          <w:titlePg/>
          <w:docGrid w:linePitch="360"/>
        </w:sectPr>
      </w:pPr>
      <w:r>
        <w:rPr>
          <w:rFonts w:eastAsiaTheme="minorHAnsi"/>
          <w:b/>
          <w:noProof/>
          <w:sz w:val="26"/>
          <w:szCs w:val="26"/>
        </w:rPr>
        <w:lastRenderedPageBreak/>
        <w:drawing>
          <wp:inline distT="0" distB="0" distL="0" distR="0" wp14:anchorId="32F14925" wp14:editId="4355C087">
            <wp:extent cx="4592955"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endix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92955" cy="5943600"/>
                    </a:xfrm>
                    <a:prstGeom prst="rect">
                      <a:avLst/>
                    </a:prstGeom>
                  </pic:spPr>
                </pic:pic>
              </a:graphicData>
            </a:graphic>
          </wp:inline>
        </w:drawing>
      </w:r>
      <w:r>
        <w:rPr>
          <w:rFonts w:eastAsiaTheme="minorHAnsi"/>
          <w:b/>
          <w:noProof/>
          <w:sz w:val="26"/>
          <w:szCs w:val="26"/>
        </w:rPr>
        <w:lastRenderedPageBreak/>
        <w:drawing>
          <wp:inline distT="0" distB="0" distL="0" distR="0" wp14:anchorId="33CA28A0" wp14:editId="138F8F87">
            <wp:extent cx="6413605" cy="6933565"/>
            <wp:effectExtent l="6667" t="0" r="0" b="0"/>
            <wp:docPr id="3" name="Picture 3"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endix_2.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6448215" cy="6970980"/>
                    </a:xfrm>
                    <a:prstGeom prst="rect">
                      <a:avLst/>
                    </a:prstGeom>
                  </pic:spPr>
                </pic:pic>
              </a:graphicData>
            </a:graphic>
          </wp:inline>
        </w:drawing>
      </w:r>
      <w:r>
        <w:rPr>
          <w:rFonts w:eastAsiaTheme="minorHAnsi"/>
          <w:b/>
          <w:noProof/>
          <w:sz w:val="26"/>
          <w:szCs w:val="26"/>
        </w:rPr>
        <w:lastRenderedPageBreak/>
        <w:drawing>
          <wp:inline distT="0" distB="0" distL="0" distR="0" wp14:anchorId="6C3C355C" wp14:editId="7C8F370E">
            <wp:extent cx="4592955" cy="63754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pendix_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92955" cy="6375400"/>
                    </a:xfrm>
                    <a:prstGeom prst="rect">
                      <a:avLst/>
                    </a:prstGeom>
                  </pic:spPr>
                </pic:pic>
              </a:graphicData>
            </a:graphic>
          </wp:inline>
        </w:drawing>
      </w:r>
      <w:r>
        <w:rPr>
          <w:rFonts w:eastAsiaTheme="minorHAnsi"/>
          <w:b/>
          <w:noProof/>
          <w:sz w:val="26"/>
          <w:szCs w:val="26"/>
        </w:rPr>
        <w:lastRenderedPageBreak/>
        <w:drawing>
          <wp:inline distT="0" distB="0" distL="0" distR="0" wp14:anchorId="2207A1B0" wp14:editId="05F055B7">
            <wp:extent cx="6482603" cy="6729813"/>
            <wp:effectExtent l="0" t="9525" r="444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endix_4.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6500717" cy="6748618"/>
                    </a:xfrm>
                    <a:prstGeom prst="rect">
                      <a:avLst/>
                    </a:prstGeom>
                  </pic:spPr>
                </pic:pic>
              </a:graphicData>
            </a:graphic>
          </wp:inline>
        </w:drawing>
      </w:r>
      <w:r>
        <w:rPr>
          <w:rFonts w:eastAsiaTheme="minorHAnsi"/>
          <w:b/>
          <w:noProof/>
          <w:sz w:val="26"/>
          <w:szCs w:val="26"/>
        </w:rPr>
        <w:lastRenderedPageBreak/>
        <w:drawing>
          <wp:inline distT="0" distB="0" distL="0" distR="0" wp14:anchorId="1C220F17" wp14:editId="6705BE9C">
            <wp:extent cx="6250209" cy="8088201"/>
            <wp:effectExtent l="0" t="4763" r="0" b="0"/>
            <wp:docPr id="12" name="Picture 1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ppendix_5.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6263081" cy="8104858"/>
                    </a:xfrm>
                    <a:prstGeom prst="rect">
                      <a:avLst/>
                    </a:prstGeom>
                  </pic:spPr>
                </pic:pic>
              </a:graphicData>
            </a:graphic>
          </wp:inline>
        </w:drawing>
      </w:r>
      <w:r>
        <w:rPr>
          <w:rFonts w:eastAsiaTheme="minorHAnsi"/>
          <w:b/>
          <w:noProof/>
          <w:sz w:val="26"/>
          <w:szCs w:val="26"/>
        </w:rPr>
        <w:lastRenderedPageBreak/>
        <w:drawing>
          <wp:inline distT="0" distB="0" distL="0" distR="0" wp14:anchorId="1529E0E9" wp14:editId="59E1DB22">
            <wp:extent cx="6366830" cy="8239116"/>
            <wp:effectExtent l="0" t="254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ppendix_6.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6373150" cy="8247294"/>
                    </a:xfrm>
                    <a:prstGeom prst="rect">
                      <a:avLst/>
                    </a:prstGeom>
                  </pic:spPr>
                </pic:pic>
              </a:graphicData>
            </a:graphic>
          </wp:inline>
        </w:drawing>
      </w:r>
      <w:r>
        <w:rPr>
          <w:rFonts w:eastAsiaTheme="minorHAnsi"/>
          <w:b/>
          <w:noProof/>
          <w:sz w:val="26"/>
          <w:szCs w:val="26"/>
        </w:rPr>
        <w:lastRenderedPageBreak/>
        <w:drawing>
          <wp:inline distT="0" distB="0" distL="0" distR="0" wp14:anchorId="4C350428" wp14:editId="22E38A4D">
            <wp:extent cx="6398580" cy="8280203"/>
            <wp:effectExtent l="0" t="7303"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ppendix_7.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6406126" cy="8289969"/>
                    </a:xfrm>
                    <a:prstGeom prst="rect">
                      <a:avLst/>
                    </a:prstGeom>
                  </pic:spPr>
                </pic:pic>
              </a:graphicData>
            </a:graphic>
          </wp:inline>
        </w:drawing>
      </w:r>
      <w:r>
        <w:rPr>
          <w:rFonts w:eastAsiaTheme="minorHAnsi"/>
          <w:b/>
          <w:noProof/>
          <w:sz w:val="26"/>
          <w:szCs w:val="26"/>
        </w:rPr>
        <w:lastRenderedPageBreak/>
        <w:drawing>
          <wp:inline distT="0" distB="0" distL="0" distR="0" wp14:anchorId="12EA0388" wp14:editId="6C6C344E">
            <wp:extent cx="6350139" cy="821751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ppendix_8.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6353974" cy="8222480"/>
                    </a:xfrm>
                    <a:prstGeom prst="rect">
                      <a:avLst/>
                    </a:prstGeom>
                  </pic:spPr>
                </pic:pic>
              </a:graphicData>
            </a:graphic>
          </wp:inline>
        </w:drawing>
      </w:r>
      <w:r>
        <w:rPr>
          <w:rFonts w:eastAsiaTheme="minorHAnsi"/>
          <w:b/>
          <w:noProof/>
          <w:sz w:val="26"/>
          <w:szCs w:val="26"/>
        </w:rPr>
        <w:lastRenderedPageBreak/>
        <w:drawing>
          <wp:inline distT="0" distB="0" distL="0" distR="0" wp14:anchorId="54A58F99" wp14:editId="7F0E6636">
            <wp:extent cx="6246180" cy="8082987"/>
            <wp:effectExtent l="0" t="4128"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ppendix_9.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6248098" cy="8085469"/>
                    </a:xfrm>
                    <a:prstGeom prst="rect">
                      <a:avLst/>
                    </a:prstGeom>
                  </pic:spPr>
                </pic:pic>
              </a:graphicData>
            </a:graphic>
          </wp:inline>
        </w:drawing>
      </w:r>
      <w:r>
        <w:rPr>
          <w:rFonts w:eastAsiaTheme="minorHAnsi"/>
          <w:b/>
          <w:noProof/>
          <w:sz w:val="26"/>
          <w:szCs w:val="26"/>
        </w:rPr>
        <w:lastRenderedPageBreak/>
        <w:drawing>
          <wp:inline distT="0" distB="0" distL="0" distR="0" wp14:anchorId="7608B7F3" wp14:editId="7CFE7983">
            <wp:extent cx="6555410" cy="8483151"/>
            <wp:effectExtent l="7620" t="0" r="571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ppendix_10.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6560197" cy="8489346"/>
                    </a:xfrm>
                    <a:prstGeom prst="rect">
                      <a:avLst/>
                    </a:prstGeom>
                  </pic:spPr>
                </pic:pic>
              </a:graphicData>
            </a:graphic>
          </wp:inline>
        </w:drawing>
      </w:r>
      <w:r>
        <w:rPr>
          <w:rFonts w:eastAsiaTheme="minorHAnsi"/>
          <w:b/>
          <w:noProof/>
          <w:sz w:val="26"/>
          <w:szCs w:val="26"/>
        </w:rPr>
        <w:lastRenderedPageBreak/>
        <w:drawing>
          <wp:inline distT="0" distB="0" distL="0" distR="0" wp14:anchorId="6C4C7D8C" wp14:editId="4DBE4FD8">
            <wp:extent cx="6398580" cy="8280203"/>
            <wp:effectExtent l="0" t="7303"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ppendix_11.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6401827" cy="8284405"/>
                    </a:xfrm>
                    <a:prstGeom prst="rect">
                      <a:avLst/>
                    </a:prstGeom>
                  </pic:spPr>
                </pic:pic>
              </a:graphicData>
            </a:graphic>
          </wp:inline>
        </w:drawing>
      </w:r>
      <w:r>
        <w:rPr>
          <w:rFonts w:eastAsiaTheme="minorHAnsi"/>
          <w:b/>
          <w:noProof/>
          <w:sz w:val="26"/>
          <w:szCs w:val="26"/>
        </w:rPr>
        <w:lastRenderedPageBreak/>
        <w:drawing>
          <wp:inline distT="0" distB="0" distL="0" distR="0" wp14:anchorId="454109DD" wp14:editId="11F1ED61">
            <wp:extent cx="6499542" cy="8410854"/>
            <wp:effectExtent l="0" t="3175"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ppendix_12.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6506603" cy="8419992"/>
                    </a:xfrm>
                    <a:prstGeom prst="rect">
                      <a:avLst/>
                    </a:prstGeom>
                  </pic:spPr>
                </pic:pic>
              </a:graphicData>
            </a:graphic>
          </wp:inline>
        </w:drawing>
      </w:r>
      <w:r>
        <w:rPr>
          <w:rFonts w:eastAsiaTheme="minorHAnsi"/>
          <w:b/>
          <w:noProof/>
          <w:sz w:val="26"/>
          <w:szCs w:val="26"/>
        </w:rPr>
        <w:lastRenderedPageBreak/>
        <w:drawing>
          <wp:inline distT="0" distB="0" distL="0" distR="0" wp14:anchorId="2AA10CC7" wp14:editId="20CAADD1">
            <wp:extent cx="6290630" cy="8140508"/>
            <wp:effectExtent l="8572" t="0" r="4763" b="4762"/>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ppendix_13.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6294821" cy="8145931"/>
                    </a:xfrm>
                    <a:prstGeom prst="rect">
                      <a:avLst/>
                    </a:prstGeom>
                  </pic:spPr>
                </pic:pic>
              </a:graphicData>
            </a:graphic>
          </wp:inline>
        </w:drawing>
      </w:r>
    </w:p>
    <w:p w14:paraId="44A5133C" w14:textId="52E9038F" w:rsidR="00FC20D7" w:rsidRPr="003C351F" w:rsidRDefault="00FC20D7" w:rsidP="009301B7">
      <w:pPr>
        <w:widowControl/>
        <w:spacing w:after="200" w:line="276" w:lineRule="auto"/>
        <w:contextualSpacing/>
        <w:jc w:val="center"/>
        <w:rPr>
          <w:color w:val="000000"/>
          <w:sz w:val="26"/>
          <w:szCs w:val="26"/>
        </w:rPr>
      </w:pPr>
    </w:p>
    <w:sectPr w:rsidR="00FC20D7" w:rsidRPr="003C351F" w:rsidSect="009301B7">
      <w:footerReference w:type="default" r:id="rId31"/>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E70C69" w14:textId="77777777" w:rsidR="00D10433" w:rsidRDefault="00D10433" w:rsidP="00802EFC">
      <w:r>
        <w:separator/>
      </w:r>
    </w:p>
  </w:endnote>
  <w:endnote w:type="continuationSeparator" w:id="0">
    <w:p w14:paraId="57D8062C" w14:textId="77777777" w:rsidR="00D10433" w:rsidRDefault="00D10433" w:rsidP="00802EFC">
      <w:r>
        <w:continuationSeparator/>
      </w:r>
    </w:p>
  </w:endnote>
  <w:endnote w:type="continuationNotice" w:id="1">
    <w:p w14:paraId="4232BD27" w14:textId="77777777" w:rsidR="00D10433" w:rsidRDefault="00D104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6"/>
        <w:szCs w:val="26"/>
      </w:rPr>
      <w:id w:val="184022632"/>
      <w:docPartObj>
        <w:docPartGallery w:val="Page Numbers (Bottom of Page)"/>
        <w:docPartUnique/>
      </w:docPartObj>
    </w:sdtPr>
    <w:sdtEndPr>
      <w:rPr>
        <w:noProof/>
      </w:rPr>
    </w:sdtEndPr>
    <w:sdtContent>
      <w:p w14:paraId="4951CA89" w14:textId="77777777" w:rsidR="0045418B" w:rsidRPr="00276890" w:rsidRDefault="0045418B">
        <w:pPr>
          <w:pStyle w:val="Footer"/>
          <w:jc w:val="center"/>
          <w:rPr>
            <w:sz w:val="26"/>
            <w:szCs w:val="26"/>
          </w:rPr>
        </w:pPr>
        <w:r w:rsidRPr="00276890">
          <w:rPr>
            <w:sz w:val="26"/>
            <w:szCs w:val="26"/>
          </w:rPr>
          <w:fldChar w:fldCharType="begin"/>
        </w:r>
        <w:r w:rsidRPr="00276890">
          <w:rPr>
            <w:sz w:val="26"/>
            <w:szCs w:val="26"/>
          </w:rPr>
          <w:instrText xml:space="preserve"> PAGE   \* MERGEFORMAT </w:instrText>
        </w:r>
        <w:r w:rsidRPr="00276890">
          <w:rPr>
            <w:sz w:val="26"/>
            <w:szCs w:val="26"/>
          </w:rPr>
          <w:fldChar w:fldCharType="separate"/>
        </w:r>
        <w:r w:rsidRPr="00276890">
          <w:rPr>
            <w:noProof/>
            <w:sz w:val="26"/>
            <w:szCs w:val="26"/>
          </w:rPr>
          <w:t>2</w:t>
        </w:r>
        <w:r w:rsidRPr="00276890">
          <w:rPr>
            <w:noProof/>
            <w:sz w:val="26"/>
            <w:szCs w:val="26"/>
          </w:rPr>
          <w:fldChar w:fldCharType="end"/>
        </w:r>
      </w:p>
    </w:sdtContent>
  </w:sdt>
  <w:p w14:paraId="61D3CB53" w14:textId="77777777" w:rsidR="0045418B" w:rsidRDefault="004541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6"/>
        <w:szCs w:val="26"/>
      </w:rPr>
      <w:id w:val="1375038563"/>
      <w:docPartObj>
        <w:docPartGallery w:val="Page Numbers (Bottom of Page)"/>
        <w:docPartUnique/>
      </w:docPartObj>
    </w:sdtPr>
    <w:sdtEndPr>
      <w:rPr>
        <w:noProof/>
      </w:rPr>
    </w:sdtEndPr>
    <w:sdtContent>
      <w:p w14:paraId="583BE918" w14:textId="77777777" w:rsidR="0045418B" w:rsidRPr="00276890" w:rsidRDefault="0045418B">
        <w:pPr>
          <w:pStyle w:val="Footer"/>
          <w:jc w:val="center"/>
          <w:rPr>
            <w:sz w:val="26"/>
            <w:szCs w:val="26"/>
          </w:rPr>
        </w:pPr>
        <w:r w:rsidRPr="00276890">
          <w:rPr>
            <w:sz w:val="26"/>
            <w:szCs w:val="26"/>
          </w:rPr>
          <w:fldChar w:fldCharType="begin"/>
        </w:r>
        <w:r w:rsidRPr="00276890">
          <w:rPr>
            <w:sz w:val="26"/>
            <w:szCs w:val="26"/>
          </w:rPr>
          <w:instrText xml:space="preserve"> PAGE   \* MERGEFORMAT </w:instrText>
        </w:r>
        <w:r w:rsidRPr="00276890">
          <w:rPr>
            <w:sz w:val="26"/>
            <w:szCs w:val="26"/>
          </w:rPr>
          <w:fldChar w:fldCharType="separate"/>
        </w:r>
        <w:r w:rsidRPr="00276890">
          <w:rPr>
            <w:noProof/>
            <w:sz w:val="26"/>
            <w:szCs w:val="26"/>
          </w:rPr>
          <w:t>2</w:t>
        </w:r>
        <w:r w:rsidRPr="00276890">
          <w:rPr>
            <w:noProof/>
            <w:sz w:val="26"/>
            <w:szCs w:val="26"/>
          </w:rPr>
          <w:fldChar w:fldCharType="end"/>
        </w:r>
      </w:p>
    </w:sdtContent>
  </w:sdt>
  <w:p w14:paraId="0D6A3289" w14:textId="77777777" w:rsidR="0045418B" w:rsidRDefault="004541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6"/>
        <w:szCs w:val="26"/>
      </w:rPr>
      <w:id w:val="1639293628"/>
      <w:docPartObj>
        <w:docPartGallery w:val="Page Numbers (Bottom of Page)"/>
        <w:docPartUnique/>
      </w:docPartObj>
    </w:sdtPr>
    <w:sdtEndPr>
      <w:rPr>
        <w:noProof/>
      </w:rPr>
    </w:sdtEndPr>
    <w:sdtContent>
      <w:p w14:paraId="233B87CB" w14:textId="77777777" w:rsidR="0045418B" w:rsidRPr="00276890" w:rsidRDefault="0045418B">
        <w:pPr>
          <w:pStyle w:val="Footer"/>
          <w:jc w:val="center"/>
          <w:rPr>
            <w:sz w:val="26"/>
            <w:szCs w:val="26"/>
          </w:rPr>
        </w:pPr>
        <w:r w:rsidRPr="00276890">
          <w:rPr>
            <w:sz w:val="26"/>
            <w:szCs w:val="26"/>
          </w:rPr>
          <w:fldChar w:fldCharType="begin"/>
        </w:r>
        <w:r w:rsidRPr="00276890">
          <w:rPr>
            <w:sz w:val="26"/>
            <w:szCs w:val="26"/>
          </w:rPr>
          <w:instrText xml:space="preserve"> PAGE   \* MERGEFORMAT </w:instrText>
        </w:r>
        <w:r w:rsidRPr="00276890">
          <w:rPr>
            <w:sz w:val="26"/>
            <w:szCs w:val="26"/>
          </w:rPr>
          <w:fldChar w:fldCharType="separate"/>
        </w:r>
        <w:r w:rsidRPr="00276890">
          <w:rPr>
            <w:noProof/>
            <w:sz w:val="26"/>
            <w:szCs w:val="26"/>
          </w:rPr>
          <w:t>2</w:t>
        </w:r>
        <w:r w:rsidRPr="00276890">
          <w:rPr>
            <w:noProof/>
            <w:sz w:val="26"/>
            <w:szCs w:val="26"/>
          </w:rPr>
          <w:fldChar w:fldCharType="end"/>
        </w:r>
      </w:p>
    </w:sdtContent>
  </w:sdt>
  <w:p w14:paraId="3DD53264" w14:textId="77777777" w:rsidR="0045418B" w:rsidRDefault="0045418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0DEB6" w14:textId="77777777" w:rsidR="0045418B" w:rsidRDefault="0045418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893294"/>
      <w:docPartObj>
        <w:docPartGallery w:val="Page Numbers (Bottom of Page)"/>
        <w:docPartUnique/>
      </w:docPartObj>
    </w:sdtPr>
    <w:sdtEndPr>
      <w:rPr>
        <w:noProof/>
      </w:rPr>
    </w:sdtEndPr>
    <w:sdtContent>
      <w:p w14:paraId="6D746973" w14:textId="77777777" w:rsidR="0045418B" w:rsidRDefault="0045418B" w:rsidP="007870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127C0F" w14:textId="77777777" w:rsidR="00D10433" w:rsidRDefault="00D10433" w:rsidP="00802EFC">
      <w:r>
        <w:separator/>
      </w:r>
    </w:p>
  </w:footnote>
  <w:footnote w:type="continuationSeparator" w:id="0">
    <w:p w14:paraId="118FCB97" w14:textId="77777777" w:rsidR="00D10433" w:rsidRDefault="00D10433" w:rsidP="00802EFC">
      <w:r>
        <w:continuationSeparator/>
      </w:r>
    </w:p>
  </w:footnote>
  <w:footnote w:type="continuationNotice" w:id="1">
    <w:p w14:paraId="1F659BF2" w14:textId="77777777" w:rsidR="00D10433" w:rsidRDefault="00D10433"/>
  </w:footnote>
  <w:footnote w:id="2">
    <w:p w14:paraId="67A3BB92" w14:textId="77777777" w:rsidR="0045418B" w:rsidRPr="00B471BC" w:rsidRDefault="0045418B" w:rsidP="00B471BC">
      <w:pPr>
        <w:pStyle w:val="FootnoteText"/>
        <w:spacing w:after="120"/>
        <w:rPr>
          <w:sz w:val="26"/>
          <w:szCs w:val="26"/>
        </w:rPr>
      </w:pPr>
      <w:r w:rsidRPr="00B471BC">
        <w:rPr>
          <w:sz w:val="26"/>
          <w:szCs w:val="26"/>
        </w:rPr>
        <w:tab/>
      </w:r>
      <w:r w:rsidRPr="00B471BC">
        <w:rPr>
          <w:rStyle w:val="FootnoteReference"/>
          <w:sz w:val="26"/>
          <w:szCs w:val="26"/>
        </w:rPr>
        <w:footnoteRef/>
      </w:r>
      <w:r w:rsidRPr="00B471BC">
        <w:rPr>
          <w:sz w:val="26"/>
          <w:szCs w:val="26"/>
        </w:rPr>
        <w:tab/>
        <w:t>The Joint Petitioners who proposed the Partial Settlement involve all active Parties in the proceeding as follows: the Commission’s Bureau of Investigation and Enforcement (I&amp;E), the OCA, the Office of Small Business Advocate (OSBA), Columbia Industrial Intervenors (CII), the NGS Parties, Direct Energy Business, LLC, Direct Energy Services, LLC, and Direct Energy Business Marketing, LLC (herein collectively referred to as the Direct Energy Companies), the Coalition for Affordable Utility Service and Energy Efficiency in Pennsylvania (CAUSE-PA), the Community Action Association of Pennsylvania (CAAP), Penn State University (PSU) and Columbia (hereinafter collectively referred to as the Joint Petitioners).</w:t>
      </w:r>
    </w:p>
  </w:footnote>
  <w:footnote w:id="3">
    <w:p w14:paraId="0F5FAC21" w14:textId="6E813C31" w:rsidR="0045418B" w:rsidRPr="00B471BC" w:rsidRDefault="0045418B" w:rsidP="00B471BC">
      <w:pPr>
        <w:pStyle w:val="FootnoteText"/>
        <w:spacing w:after="120"/>
        <w:ind w:firstLine="720"/>
        <w:rPr>
          <w:sz w:val="26"/>
        </w:rPr>
      </w:pPr>
      <w:r w:rsidRPr="00B471BC">
        <w:rPr>
          <w:rStyle w:val="FootnoteReference"/>
          <w:sz w:val="26"/>
        </w:rPr>
        <w:footnoteRef/>
      </w:r>
      <w:r w:rsidRPr="00B471BC">
        <w:rPr>
          <w:sz w:val="26"/>
        </w:rPr>
        <w:tab/>
      </w:r>
      <w:r w:rsidRPr="00B471BC">
        <w:rPr>
          <w:i/>
          <w:sz w:val="26"/>
          <w:szCs w:val="26"/>
        </w:rPr>
        <w:t xml:space="preserve">See also, Tax Cuts and Jobs Act of 2017 </w:t>
      </w:r>
      <w:r w:rsidRPr="00B471BC">
        <w:rPr>
          <w:i/>
          <w:iCs/>
          <w:spacing w:val="-3"/>
          <w:sz w:val="26"/>
          <w:szCs w:val="26"/>
        </w:rPr>
        <w:t>Temporary Rates Order</w:t>
      </w:r>
      <w:r w:rsidRPr="00B471BC">
        <w:rPr>
          <w:spacing w:val="-3"/>
          <w:sz w:val="26"/>
          <w:szCs w:val="26"/>
        </w:rPr>
        <w:t>, Docket No. M-2018-2641242, at 15 (Order entered May 17, 2018).</w:t>
      </w:r>
    </w:p>
  </w:footnote>
  <w:footnote w:id="4">
    <w:p w14:paraId="645B2A87" w14:textId="33C564FB" w:rsidR="0045418B" w:rsidRPr="00B471BC" w:rsidRDefault="0045418B" w:rsidP="00B471BC">
      <w:pPr>
        <w:pStyle w:val="footnotedescription"/>
        <w:spacing w:after="120" w:line="246" w:lineRule="auto"/>
        <w:rPr>
          <w:sz w:val="26"/>
          <w:szCs w:val="26"/>
        </w:rPr>
      </w:pPr>
      <w:r w:rsidRPr="00B471BC">
        <w:rPr>
          <w:sz w:val="26"/>
          <w:szCs w:val="26"/>
        </w:rPr>
        <w:tab/>
      </w:r>
      <w:r w:rsidRPr="00B471BC">
        <w:rPr>
          <w:rStyle w:val="footnotemark"/>
          <w:sz w:val="26"/>
          <w:szCs w:val="26"/>
        </w:rPr>
        <w:footnoteRef/>
      </w:r>
      <w:r w:rsidRPr="00B471BC">
        <w:rPr>
          <w:sz w:val="26"/>
        </w:rPr>
        <w:tab/>
      </w:r>
      <w:bookmarkStart w:id="7" w:name="_Hlk530558344"/>
      <w:bookmarkStart w:id="8" w:name="_Hlk531057664"/>
      <w:r w:rsidRPr="00B471BC">
        <w:rPr>
          <w:sz w:val="26"/>
          <w:szCs w:val="26"/>
        </w:rPr>
        <w:t>The four individual Columbia customers who had filed formal complaints – G. Blair Bauer, at Docket No. C-2018-3001319; Philip L. Bloch, at Docket No. C-2018-3001634; Robin A. Harrison, at Docket No. C-2018-3002595; and Patricia Southorn, at Docket No. C-2018-3000779 – did not attend the Prehearing Conference, did not file testimony, and did not otherwise actively participate in the rate proceeding.  These four inactive Parties were provided notice and opportunity to be heard; however, they declined to participate.  As indicated on the Certificate of Service, Columbia served a copy of the proposed Settlement on the four inactive Complainants.</w:t>
      </w:r>
      <w:bookmarkEnd w:id="7"/>
    </w:p>
    <w:bookmarkEnd w:id="8"/>
  </w:footnote>
  <w:footnote w:id="5">
    <w:p w14:paraId="187B7442" w14:textId="77777777" w:rsidR="0045418B" w:rsidRPr="00B471BC" w:rsidRDefault="0045418B" w:rsidP="00B471BC">
      <w:pPr>
        <w:pStyle w:val="FootnoteText"/>
        <w:keepNext/>
        <w:keepLines/>
        <w:widowControl/>
        <w:spacing w:after="120"/>
        <w:rPr>
          <w:sz w:val="26"/>
          <w:szCs w:val="26"/>
        </w:rPr>
      </w:pPr>
      <w:r w:rsidRPr="00B471BC">
        <w:rPr>
          <w:sz w:val="26"/>
          <w:szCs w:val="26"/>
        </w:rPr>
        <w:tab/>
      </w:r>
      <w:r w:rsidRPr="00B471BC">
        <w:rPr>
          <w:rStyle w:val="FootnoteReference"/>
          <w:sz w:val="26"/>
          <w:szCs w:val="26"/>
        </w:rPr>
        <w:footnoteRef/>
      </w:r>
      <w:r w:rsidRPr="00B471BC">
        <w:rPr>
          <w:sz w:val="26"/>
          <w:szCs w:val="26"/>
        </w:rPr>
        <w:tab/>
        <w:t xml:space="preserve">1 Pa. C.S. § 1922(1), </w:t>
      </w:r>
      <w:r w:rsidRPr="00B471BC">
        <w:rPr>
          <w:i/>
          <w:sz w:val="26"/>
          <w:szCs w:val="26"/>
        </w:rPr>
        <w:t>PA Financial Responsibility Assigned Claims Plan v. English</w:t>
      </w:r>
      <w:r w:rsidRPr="00B471BC">
        <w:rPr>
          <w:sz w:val="26"/>
          <w:szCs w:val="26"/>
        </w:rPr>
        <w:t>, 541 Pa. 424, 430-431, 64 A.2d 84, 87 (1995).</w:t>
      </w:r>
    </w:p>
  </w:footnote>
  <w:footnote w:id="6">
    <w:p w14:paraId="5327BB14" w14:textId="4E26EB0E" w:rsidR="0045418B" w:rsidRPr="00B471BC" w:rsidRDefault="0045418B" w:rsidP="00B471BC">
      <w:pPr>
        <w:pStyle w:val="FootnoteText"/>
        <w:keepNext/>
        <w:keepLines/>
        <w:widowControl/>
        <w:spacing w:after="120"/>
        <w:rPr>
          <w:sz w:val="26"/>
          <w:szCs w:val="26"/>
        </w:rPr>
      </w:pPr>
      <w:r w:rsidRPr="00B471BC">
        <w:rPr>
          <w:sz w:val="26"/>
          <w:szCs w:val="26"/>
        </w:rPr>
        <w:tab/>
      </w:r>
      <w:r w:rsidRPr="00B471BC">
        <w:rPr>
          <w:sz w:val="26"/>
        </w:rPr>
        <w:footnoteRef/>
      </w:r>
      <w:r w:rsidRPr="00B471BC">
        <w:rPr>
          <w:sz w:val="26"/>
        </w:rPr>
        <w:tab/>
      </w:r>
      <w:r w:rsidRPr="00B471BC">
        <w:rPr>
          <w:sz w:val="26"/>
          <w:szCs w:val="26"/>
        </w:rPr>
        <w:t>OSBA Statement in Support at 8.</w:t>
      </w:r>
    </w:p>
  </w:footnote>
  <w:footnote w:id="7">
    <w:p w14:paraId="3640C376" w14:textId="77777777" w:rsidR="0045418B" w:rsidRPr="00B471BC" w:rsidRDefault="0045418B" w:rsidP="00B471BC">
      <w:pPr>
        <w:pStyle w:val="FootnoteText"/>
        <w:spacing w:after="120"/>
        <w:rPr>
          <w:sz w:val="26"/>
          <w:szCs w:val="26"/>
        </w:rPr>
      </w:pPr>
      <w:r w:rsidRPr="00B471BC">
        <w:rPr>
          <w:sz w:val="26"/>
          <w:szCs w:val="26"/>
        </w:rPr>
        <w:tab/>
      </w:r>
      <w:r w:rsidRPr="00B471BC">
        <w:rPr>
          <w:rStyle w:val="FootnoteReference"/>
          <w:sz w:val="26"/>
          <w:szCs w:val="26"/>
        </w:rPr>
        <w:footnoteRef/>
      </w:r>
      <w:r w:rsidRPr="00B471BC">
        <w:rPr>
          <w:sz w:val="26"/>
          <w:szCs w:val="26"/>
        </w:rPr>
        <w:tab/>
        <w:t>A 3% deadband means that a billing adjustment will only occur if the variation of actual heating degree days is lower than 97% or higher than 103% of the normal heating degree days for an individual billing cycle.</w:t>
      </w:r>
    </w:p>
  </w:footnote>
  <w:footnote w:id="8">
    <w:p w14:paraId="6D974D7F" w14:textId="12A21413" w:rsidR="0045418B" w:rsidRPr="00B471BC" w:rsidRDefault="0045418B" w:rsidP="00B471BC">
      <w:pPr>
        <w:pStyle w:val="FootnoteText"/>
        <w:keepNext/>
        <w:keepLines/>
        <w:widowControl/>
        <w:spacing w:after="120"/>
        <w:rPr>
          <w:sz w:val="26"/>
        </w:rPr>
      </w:pPr>
      <w:r w:rsidRPr="00B471BC">
        <w:rPr>
          <w:sz w:val="26"/>
          <w:szCs w:val="26"/>
        </w:rPr>
        <w:tab/>
      </w:r>
      <w:r w:rsidRPr="00B471BC">
        <w:rPr>
          <w:sz w:val="26"/>
        </w:rPr>
        <w:footnoteRef/>
      </w:r>
      <w:r w:rsidRPr="00B471BC">
        <w:rPr>
          <w:sz w:val="26"/>
          <w:szCs w:val="26"/>
        </w:rPr>
        <w:tab/>
      </w:r>
      <w:r w:rsidRPr="00B471BC">
        <w:rPr>
          <w:i/>
          <w:sz w:val="26"/>
        </w:rPr>
        <w:t>Petition of Columbia Gas of Pennsylvania, Inc. For Approval to use Penalty Credit and Refund Proceeds for its Residential Hardship Fund</w:t>
      </w:r>
      <w:r w:rsidRPr="00B471BC">
        <w:rPr>
          <w:sz w:val="26"/>
        </w:rPr>
        <w:t>, Docket No. P</w:t>
      </w:r>
      <w:r w:rsidRPr="00B471BC">
        <w:rPr>
          <w:sz w:val="26"/>
          <w:szCs w:val="26"/>
        </w:rPr>
        <w:noBreakHyphen/>
      </w:r>
      <w:r w:rsidRPr="00B471BC">
        <w:rPr>
          <w:sz w:val="26"/>
        </w:rPr>
        <w:t>2018-3000160 (Order entered June 14,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B7A45"/>
    <w:multiLevelType w:val="hybridMultilevel"/>
    <w:tmpl w:val="1108A3AA"/>
    <w:lvl w:ilvl="0" w:tplc="6B981DF8">
      <w:start w:val="1"/>
      <w:numFmt w:val="decimal"/>
      <w:lvlText w:val="%1."/>
      <w:lvlJc w:val="left"/>
      <w:pPr>
        <w:ind w:left="153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6D08DA"/>
    <w:multiLevelType w:val="hybridMultilevel"/>
    <w:tmpl w:val="9132B0DC"/>
    <w:lvl w:ilvl="0" w:tplc="45C28568">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131001A0"/>
    <w:multiLevelType w:val="hybridMultilevel"/>
    <w:tmpl w:val="7F5EB4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5E334A"/>
    <w:multiLevelType w:val="hybridMultilevel"/>
    <w:tmpl w:val="B160255A"/>
    <w:lvl w:ilvl="0" w:tplc="0D8AD16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D0A50C8"/>
    <w:multiLevelType w:val="hybridMultilevel"/>
    <w:tmpl w:val="9530E838"/>
    <w:lvl w:ilvl="0" w:tplc="6CB01DDC">
      <w:start w:val="52"/>
      <w:numFmt w:val="decimal"/>
      <w:lvlText w:val="%1."/>
      <w:lvlJc w:val="left"/>
      <w:pPr>
        <w:ind w:left="1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04BCE8">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AEA1D2">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74EBB0">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C2BDAA">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1EF988">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A4E7E6">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5CE920">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36F122">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D5C7B33"/>
    <w:multiLevelType w:val="hybridMultilevel"/>
    <w:tmpl w:val="FBFC94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8172B8"/>
    <w:multiLevelType w:val="hybridMultilevel"/>
    <w:tmpl w:val="4B845404"/>
    <w:lvl w:ilvl="0" w:tplc="DC763C1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68200ED"/>
    <w:multiLevelType w:val="hybridMultilevel"/>
    <w:tmpl w:val="C1C08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515B48"/>
    <w:multiLevelType w:val="hybridMultilevel"/>
    <w:tmpl w:val="3A3ED2FC"/>
    <w:lvl w:ilvl="0" w:tplc="553AE1FC">
      <w:start w:val="9"/>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8B974AB"/>
    <w:multiLevelType w:val="hybridMultilevel"/>
    <w:tmpl w:val="0EBEE848"/>
    <w:lvl w:ilvl="0" w:tplc="54E08060">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B78660F"/>
    <w:multiLevelType w:val="hybridMultilevel"/>
    <w:tmpl w:val="028AA580"/>
    <w:lvl w:ilvl="0" w:tplc="04090015">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15:restartNumberingAfterBreak="0">
    <w:nsid w:val="30BE24A8"/>
    <w:multiLevelType w:val="hybridMultilevel"/>
    <w:tmpl w:val="E6E44C46"/>
    <w:lvl w:ilvl="0" w:tplc="0409000F">
      <w:start w:val="1"/>
      <w:numFmt w:val="decimal"/>
      <w:lvlText w:val="%1."/>
      <w:lvlJc w:val="left"/>
      <w:pPr>
        <w:ind w:left="1980" w:hanging="360"/>
      </w:pPr>
      <w:rPr>
        <w:rFonts w:hint="default"/>
      </w:rPr>
    </w:lvl>
    <w:lvl w:ilvl="1" w:tplc="04090019" w:tentative="1">
      <w:start w:val="1"/>
      <w:numFmt w:val="lowerLetter"/>
      <w:lvlText w:val="%2."/>
      <w:lvlJc w:val="left"/>
      <w:pPr>
        <w:ind w:left="8280" w:hanging="360"/>
      </w:pPr>
    </w:lvl>
    <w:lvl w:ilvl="2" w:tplc="0409001B" w:tentative="1">
      <w:start w:val="1"/>
      <w:numFmt w:val="lowerRoman"/>
      <w:lvlText w:val="%3."/>
      <w:lvlJc w:val="right"/>
      <w:pPr>
        <w:ind w:left="9000" w:hanging="180"/>
      </w:pPr>
    </w:lvl>
    <w:lvl w:ilvl="3" w:tplc="0409000F" w:tentative="1">
      <w:start w:val="1"/>
      <w:numFmt w:val="decimal"/>
      <w:lvlText w:val="%4."/>
      <w:lvlJc w:val="left"/>
      <w:pPr>
        <w:ind w:left="9720" w:hanging="360"/>
      </w:pPr>
    </w:lvl>
    <w:lvl w:ilvl="4" w:tplc="04090019" w:tentative="1">
      <w:start w:val="1"/>
      <w:numFmt w:val="lowerLetter"/>
      <w:lvlText w:val="%5."/>
      <w:lvlJc w:val="left"/>
      <w:pPr>
        <w:ind w:left="10440" w:hanging="360"/>
      </w:pPr>
    </w:lvl>
    <w:lvl w:ilvl="5" w:tplc="0409001B" w:tentative="1">
      <w:start w:val="1"/>
      <w:numFmt w:val="lowerRoman"/>
      <w:lvlText w:val="%6."/>
      <w:lvlJc w:val="right"/>
      <w:pPr>
        <w:ind w:left="11160" w:hanging="180"/>
      </w:pPr>
    </w:lvl>
    <w:lvl w:ilvl="6" w:tplc="0409000F" w:tentative="1">
      <w:start w:val="1"/>
      <w:numFmt w:val="decimal"/>
      <w:lvlText w:val="%7."/>
      <w:lvlJc w:val="left"/>
      <w:pPr>
        <w:ind w:left="11880" w:hanging="360"/>
      </w:pPr>
    </w:lvl>
    <w:lvl w:ilvl="7" w:tplc="04090019" w:tentative="1">
      <w:start w:val="1"/>
      <w:numFmt w:val="lowerLetter"/>
      <w:lvlText w:val="%8."/>
      <w:lvlJc w:val="left"/>
      <w:pPr>
        <w:ind w:left="12600" w:hanging="360"/>
      </w:pPr>
    </w:lvl>
    <w:lvl w:ilvl="8" w:tplc="0409001B" w:tentative="1">
      <w:start w:val="1"/>
      <w:numFmt w:val="lowerRoman"/>
      <w:lvlText w:val="%9."/>
      <w:lvlJc w:val="right"/>
      <w:pPr>
        <w:ind w:left="13320" w:hanging="180"/>
      </w:pPr>
    </w:lvl>
  </w:abstractNum>
  <w:abstractNum w:abstractNumId="12" w15:restartNumberingAfterBreak="0">
    <w:nsid w:val="31926EB5"/>
    <w:multiLevelType w:val="hybridMultilevel"/>
    <w:tmpl w:val="E35CDFC6"/>
    <w:lvl w:ilvl="0" w:tplc="70D6435E">
      <w:start w:val="1"/>
      <w:numFmt w:val="upperRoman"/>
      <w:pStyle w:val="Heading1"/>
      <w:lvlText w:val="%1."/>
      <w:lvlJc w:val="left"/>
      <w:pPr>
        <w:ind w:left="108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A241F"/>
    <w:multiLevelType w:val="hybridMultilevel"/>
    <w:tmpl w:val="9B1623EC"/>
    <w:lvl w:ilvl="0" w:tplc="4866D10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388C0C4D"/>
    <w:multiLevelType w:val="hybridMultilevel"/>
    <w:tmpl w:val="24042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B700C4"/>
    <w:multiLevelType w:val="hybridMultilevel"/>
    <w:tmpl w:val="1B3654A6"/>
    <w:lvl w:ilvl="0" w:tplc="4866D10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3DD14250"/>
    <w:multiLevelType w:val="hybridMultilevel"/>
    <w:tmpl w:val="9FAAA360"/>
    <w:lvl w:ilvl="0" w:tplc="4866D10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442A32DF"/>
    <w:multiLevelType w:val="hybridMultilevel"/>
    <w:tmpl w:val="7E4ED572"/>
    <w:lvl w:ilvl="0" w:tplc="8526A190">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48ED01F4"/>
    <w:multiLevelType w:val="hybridMultilevel"/>
    <w:tmpl w:val="C5D4E016"/>
    <w:lvl w:ilvl="0" w:tplc="CA5813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C4F3D34"/>
    <w:multiLevelType w:val="hybridMultilevel"/>
    <w:tmpl w:val="D398F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785AD9"/>
    <w:multiLevelType w:val="hybridMultilevel"/>
    <w:tmpl w:val="18F25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372A90"/>
    <w:multiLevelType w:val="hybridMultilevel"/>
    <w:tmpl w:val="0E32F860"/>
    <w:lvl w:ilvl="0" w:tplc="4866D10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55821641"/>
    <w:multiLevelType w:val="hybridMultilevel"/>
    <w:tmpl w:val="DBEC9468"/>
    <w:lvl w:ilvl="0" w:tplc="79542F24">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5B7D19D0"/>
    <w:multiLevelType w:val="hybridMultilevel"/>
    <w:tmpl w:val="5BCAAEA0"/>
    <w:lvl w:ilvl="0" w:tplc="BB46EEE2">
      <w:start w:val="1"/>
      <w:numFmt w:val="upperLetter"/>
      <w:lvlText w:val="%1."/>
      <w:lvlJc w:val="left"/>
      <w:pPr>
        <w:ind w:left="1152" w:hanging="360"/>
      </w:pPr>
      <w:rPr>
        <w:rFonts w:hint="default"/>
        <w:b/>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4" w15:restartNumberingAfterBreak="0">
    <w:nsid w:val="64C653CD"/>
    <w:multiLevelType w:val="hybridMultilevel"/>
    <w:tmpl w:val="E67CB952"/>
    <w:lvl w:ilvl="0" w:tplc="74460818">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6B1B47B0"/>
    <w:multiLevelType w:val="hybridMultilevel"/>
    <w:tmpl w:val="804207D0"/>
    <w:lvl w:ilvl="0" w:tplc="BA143F36">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6E213370"/>
    <w:multiLevelType w:val="hybridMultilevel"/>
    <w:tmpl w:val="3FD06010"/>
    <w:lvl w:ilvl="0" w:tplc="5E5C58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4D152C1"/>
    <w:multiLevelType w:val="hybridMultilevel"/>
    <w:tmpl w:val="065A2560"/>
    <w:lvl w:ilvl="0" w:tplc="10CEF51E">
      <w:start w:val="1"/>
      <w:numFmt w:val="lowerLetter"/>
      <w:lvlText w:val="%1."/>
      <w:lvlJc w:val="left"/>
      <w:pPr>
        <w:ind w:left="1397" w:hanging="360"/>
      </w:pPr>
      <w:rPr>
        <w:rFonts w:hint="default"/>
      </w:rPr>
    </w:lvl>
    <w:lvl w:ilvl="1" w:tplc="04090019" w:tentative="1">
      <w:start w:val="1"/>
      <w:numFmt w:val="lowerLetter"/>
      <w:lvlText w:val="%2."/>
      <w:lvlJc w:val="left"/>
      <w:pPr>
        <w:ind w:left="2117" w:hanging="360"/>
      </w:pPr>
    </w:lvl>
    <w:lvl w:ilvl="2" w:tplc="0409001B" w:tentative="1">
      <w:start w:val="1"/>
      <w:numFmt w:val="lowerRoman"/>
      <w:lvlText w:val="%3."/>
      <w:lvlJc w:val="right"/>
      <w:pPr>
        <w:ind w:left="2837" w:hanging="180"/>
      </w:pPr>
    </w:lvl>
    <w:lvl w:ilvl="3" w:tplc="0409000F" w:tentative="1">
      <w:start w:val="1"/>
      <w:numFmt w:val="decimal"/>
      <w:lvlText w:val="%4."/>
      <w:lvlJc w:val="left"/>
      <w:pPr>
        <w:ind w:left="3557" w:hanging="360"/>
      </w:pPr>
    </w:lvl>
    <w:lvl w:ilvl="4" w:tplc="04090019" w:tentative="1">
      <w:start w:val="1"/>
      <w:numFmt w:val="lowerLetter"/>
      <w:lvlText w:val="%5."/>
      <w:lvlJc w:val="left"/>
      <w:pPr>
        <w:ind w:left="4277" w:hanging="360"/>
      </w:pPr>
    </w:lvl>
    <w:lvl w:ilvl="5" w:tplc="0409001B" w:tentative="1">
      <w:start w:val="1"/>
      <w:numFmt w:val="lowerRoman"/>
      <w:lvlText w:val="%6."/>
      <w:lvlJc w:val="right"/>
      <w:pPr>
        <w:ind w:left="4997" w:hanging="180"/>
      </w:pPr>
    </w:lvl>
    <w:lvl w:ilvl="6" w:tplc="0409000F" w:tentative="1">
      <w:start w:val="1"/>
      <w:numFmt w:val="decimal"/>
      <w:lvlText w:val="%7."/>
      <w:lvlJc w:val="left"/>
      <w:pPr>
        <w:ind w:left="5717" w:hanging="360"/>
      </w:pPr>
    </w:lvl>
    <w:lvl w:ilvl="7" w:tplc="04090019" w:tentative="1">
      <w:start w:val="1"/>
      <w:numFmt w:val="lowerLetter"/>
      <w:lvlText w:val="%8."/>
      <w:lvlJc w:val="left"/>
      <w:pPr>
        <w:ind w:left="6437" w:hanging="360"/>
      </w:pPr>
    </w:lvl>
    <w:lvl w:ilvl="8" w:tplc="0409001B" w:tentative="1">
      <w:start w:val="1"/>
      <w:numFmt w:val="lowerRoman"/>
      <w:lvlText w:val="%9."/>
      <w:lvlJc w:val="right"/>
      <w:pPr>
        <w:ind w:left="7157" w:hanging="180"/>
      </w:pPr>
    </w:lvl>
  </w:abstractNum>
  <w:abstractNum w:abstractNumId="28" w15:restartNumberingAfterBreak="0">
    <w:nsid w:val="76BC4978"/>
    <w:multiLevelType w:val="hybridMultilevel"/>
    <w:tmpl w:val="541E5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850C60"/>
    <w:multiLevelType w:val="hybridMultilevel"/>
    <w:tmpl w:val="855806AC"/>
    <w:lvl w:ilvl="0" w:tplc="0082E92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7E957E40"/>
    <w:multiLevelType w:val="hybridMultilevel"/>
    <w:tmpl w:val="B0CADDDE"/>
    <w:lvl w:ilvl="0" w:tplc="4F20CD1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7F023CF3"/>
    <w:multiLevelType w:val="hybridMultilevel"/>
    <w:tmpl w:val="C3A4F102"/>
    <w:lvl w:ilvl="0" w:tplc="9A7ACA32">
      <w:start w:val="1"/>
      <w:numFmt w:val="upperRoman"/>
      <w:lvlText w:val="%1."/>
      <w:lvlJc w:val="left"/>
      <w:pPr>
        <w:ind w:left="297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abstractNumId w:val="12"/>
  </w:num>
  <w:num w:numId="2">
    <w:abstractNumId w:val="31"/>
  </w:num>
  <w:num w:numId="3">
    <w:abstractNumId w:val="23"/>
  </w:num>
  <w:num w:numId="4">
    <w:abstractNumId w:val="2"/>
  </w:num>
  <w:num w:numId="5">
    <w:abstractNumId w:val="0"/>
  </w:num>
  <w:num w:numId="6">
    <w:abstractNumId w:val="3"/>
  </w:num>
  <w:num w:numId="7">
    <w:abstractNumId w:val="26"/>
  </w:num>
  <w:num w:numId="8">
    <w:abstractNumId w:val="14"/>
  </w:num>
  <w:num w:numId="9">
    <w:abstractNumId w:val="18"/>
  </w:num>
  <w:num w:numId="10">
    <w:abstractNumId w:val="19"/>
  </w:num>
  <w:num w:numId="11">
    <w:abstractNumId w:val="20"/>
  </w:num>
  <w:num w:numId="12">
    <w:abstractNumId w:val="7"/>
  </w:num>
  <w:num w:numId="13">
    <w:abstractNumId w:val="5"/>
  </w:num>
  <w:num w:numId="14">
    <w:abstractNumId w:val="28"/>
  </w:num>
  <w:num w:numId="15">
    <w:abstractNumId w:val="8"/>
  </w:num>
  <w:num w:numId="16">
    <w:abstractNumId w:val="11"/>
  </w:num>
  <w:num w:numId="17">
    <w:abstractNumId w:val="9"/>
  </w:num>
  <w:num w:numId="18">
    <w:abstractNumId w:val="6"/>
  </w:num>
  <w:num w:numId="19">
    <w:abstractNumId w:val="16"/>
  </w:num>
  <w:num w:numId="20">
    <w:abstractNumId w:val="13"/>
  </w:num>
  <w:num w:numId="21">
    <w:abstractNumId w:val="15"/>
  </w:num>
  <w:num w:numId="22">
    <w:abstractNumId w:val="30"/>
  </w:num>
  <w:num w:numId="23">
    <w:abstractNumId w:val="21"/>
  </w:num>
  <w:num w:numId="24">
    <w:abstractNumId w:val="17"/>
  </w:num>
  <w:num w:numId="25">
    <w:abstractNumId w:val="25"/>
  </w:num>
  <w:num w:numId="26">
    <w:abstractNumId w:val="24"/>
  </w:num>
  <w:num w:numId="27">
    <w:abstractNumId w:val="1"/>
  </w:num>
  <w:num w:numId="28">
    <w:abstractNumId w:val="22"/>
  </w:num>
  <w:num w:numId="29">
    <w:abstractNumId w:val="27"/>
  </w:num>
  <w:num w:numId="30">
    <w:abstractNumId w:val="10"/>
  </w:num>
  <w:num w:numId="31">
    <w:abstractNumId w:val="4"/>
  </w:num>
  <w:num w:numId="32">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185"/>
    <w:rsid w:val="00001A88"/>
    <w:rsid w:val="000039C1"/>
    <w:rsid w:val="00004711"/>
    <w:rsid w:val="00010B43"/>
    <w:rsid w:val="00016708"/>
    <w:rsid w:val="00016EAC"/>
    <w:rsid w:val="0002239F"/>
    <w:rsid w:val="00022B3F"/>
    <w:rsid w:val="00023F5E"/>
    <w:rsid w:val="000252DD"/>
    <w:rsid w:val="00026373"/>
    <w:rsid w:val="00027387"/>
    <w:rsid w:val="00027389"/>
    <w:rsid w:val="000305C8"/>
    <w:rsid w:val="0003326C"/>
    <w:rsid w:val="00033B76"/>
    <w:rsid w:val="00034759"/>
    <w:rsid w:val="00034E85"/>
    <w:rsid w:val="000362A3"/>
    <w:rsid w:val="00040DED"/>
    <w:rsid w:val="00042B99"/>
    <w:rsid w:val="00042FE7"/>
    <w:rsid w:val="000507CB"/>
    <w:rsid w:val="000542FF"/>
    <w:rsid w:val="00057788"/>
    <w:rsid w:val="000579A3"/>
    <w:rsid w:val="00063457"/>
    <w:rsid w:val="00065276"/>
    <w:rsid w:val="00065517"/>
    <w:rsid w:val="000671A7"/>
    <w:rsid w:val="0007037D"/>
    <w:rsid w:val="000737A7"/>
    <w:rsid w:val="00074156"/>
    <w:rsid w:val="00077D80"/>
    <w:rsid w:val="000803B8"/>
    <w:rsid w:val="00080653"/>
    <w:rsid w:val="0008264E"/>
    <w:rsid w:val="00084CF2"/>
    <w:rsid w:val="00087925"/>
    <w:rsid w:val="00091450"/>
    <w:rsid w:val="00091A56"/>
    <w:rsid w:val="0009298D"/>
    <w:rsid w:val="00092B99"/>
    <w:rsid w:val="0009582B"/>
    <w:rsid w:val="000A18C8"/>
    <w:rsid w:val="000A25E2"/>
    <w:rsid w:val="000A262A"/>
    <w:rsid w:val="000A34C1"/>
    <w:rsid w:val="000A4980"/>
    <w:rsid w:val="000A5FD0"/>
    <w:rsid w:val="000A637C"/>
    <w:rsid w:val="000A693D"/>
    <w:rsid w:val="000B0264"/>
    <w:rsid w:val="000B5D2A"/>
    <w:rsid w:val="000B6B38"/>
    <w:rsid w:val="000C064D"/>
    <w:rsid w:val="000C5EE2"/>
    <w:rsid w:val="000D0279"/>
    <w:rsid w:val="000D14CD"/>
    <w:rsid w:val="000D6054"/>
    <w:rsid w:val="000D6C5E"/>
    <w:rsid w:val="000D7C90"/>
    <w:rsid w:val="000E1153"/>
    <w:rsid w:val="000E151D"/>
    <w:rsid w:val="000E1B00"/>
    <w:rsid w:val="000E4112"/>
    <w:rsid w:val="000E53A2"/>
    <w:rsid w:val="000E5DE8"/>
    <w:rsid w:val="000F3511"/>
    <w:rsid w:val="000F7395"/>
    <w:rsid w:val="00100560"/>
    <w:rsid w:val="00101610"/>
    <w:rsid w:val="0010215E"/>
    <w:rsid w:val="001021F9"/>
    <w:rsid w:val="00104BAB"/>
    <w:rsid w:val="001077FB"/>
    <w:rsid w:val="001132DB"/>
    <w:rsid w:val="001135D8"/>
    <w:rsid w:val="00113E69"/>
    <w:rsid w:val="00114D9F"/>
    <w:rsid w:val="00116164"/>
    <w:rsid w:val="00123BAF"/>
    <w:rsid w:val="00124ED5"/>
    <w:rsid w:val="001257CF"/>
    <w:rsid w:val="001279D4"/>
    <w:rsid w:val="00127F55"/>
    <w:rsid w:val="001303BD"/>
    <w:rsid w:val="00130F3A"/>
    <w:rsid w:val="001317B8"/>
    <w:rsid w:val="001379AC"/>
    <w:rsid w:val="00142FD9"/>
    <w:rsid w:val="00145201"/>
    <w:rsid w:val="00145970"/>
    <w:rsid w:val="00146BD7"/>
    <w:rsid w:val="00151A03"/>
    <w:rsid w:val="00161E59"/>
    <w:rsid w:val="00162094"/>
    <w:rsid w:val="00162BDA"/>
    <w:rsid w:val="00163033"/>
    <w:rsid w:val="00170A0E"/>
    <w:rsid w:val="001713C6"/>
    <w:rsid w:val="00172027"/>
    <w:rsid w:val="00173277"/>
    <w:rsid w:val="00173AF0"/>
    <w:rsid w:val="001809BA"/>
    <w:rsid w:val="00180AAF"/>
    <w:rsid w:val="00182E47"/>
    <w:rsid w:val="00183629"/>
    <w:rsid w:val="00185236"/>
    <w:rsid w:val="00185ED5"/>
    <w:rsid w:val="00191E1D"/>
    <w:rsid w:val="00191E81"/>
    <w:rsid w:val="00192848"/>
    <w:rsid w:val="00196A6E"/>
    <w:rsid w:val="00197ED3"/>
    <w:rsid w:val="001A1548"/>
    <w:rsid w:val="001A1F45"/>
    <w:rsid w:val="001A37A6"/>
    <w:rsid w:val="001A4856"/>
    <w:rsid w:val="001A4DEE"/>
    <w:rsid w:val="001A4F9A"/>
    <w:rsid w:val="001A52AB"/>
    <w:rsid w:val="001A5339"/>
    <w:rsid w:val="001A71E2"/>
    <w:rsid w:val="001B0A95"/>
    <w:rsid w:val="001B2660"/>
    <w:rsid w:val="001B4189"/>
    <w:rsid w:val="001B5007"/>
    <w:rsid w:val="001B7710"/>
    <w:rsid w:val="001C2BF8"/>
    <w:rsid w:val="001C3D07"/>
    <w:rsid w:val="001C54C1"/>
    <w:rsid w:val="001C7DEB"/>
    <w:rsid w:val="001D2C6B"/>
    <w:rsid w:val="001D34C2"/>
    <w:rsid w:val="001D51C9"/>
    <w:rsid w:val="001D61AC"/>
    <w:rsid w:val="001D6C02"/>
    <w:rsid w:val="001E2AD7"/>
    <w:rsid w:val="001E3B02"/>
    <w:rsid w:val="001F1630"/>
    <w:rsid w:val="001F392D"/>
    <w:rsid w:val="001F3E32"/>
    <w:rsid w:val="001F60BF"/>
    <w:rsid w:val="002016D6"/>
    <w:rsid w:val="002016E9"/>
    <w:rsid w:val="002038B9"/>
    <w:rsid w:val="00205053"/>
    <w:rsid w:val="00205115"/>
    <w:rsid w:val="00205320"/>
    <w:rsid w:val="002055F2"/>
    <w:rsid w:val="002066AF"/>
    <w:rsid w:val="002104AB"/>
    <w:rsid w:val="002108EB"/>
    <w:rsid w:val="00214AB8"/>
    <w:rsid w:val="00220196"/>
    <w:rsid w:val="00220924"/>
    <w:rsid w:val="00221267"/>
    <w:rsid w:val="00227E5F"/>
    <w:rsid w:val="002311C2"/>
    <w:rsid w:val="00232503"/>
    <w:rsid w:val="0023368F"/>
    <w:rsid w:val="00234CCB"/>
    <w:rsid w:val="00236D3F"/>
    <w:rsid w:val="00237B0B"/>
    <w:rsid w:val="002403E0"/>
    <w:rsid w:val="002411AF"/>
    <w:rsid w:val="0024130E"/>
    <w:rsid w:val="00241739"/>
    <w:rsid w:val="00243061"/>
    <w:rsid w:val="00243E5B"/>
    <w:rsid w:val="00244FAA"/>
    <w:rsid w:val="00254F25"/>
    <w:rsid w:val="0025530A"/>
    <w:rsid w:val="0026111B"/>
    <w:rsid w:val="0026262A"/>
    <w:rsid w:val="002628F3"/>
    <w:rsid w:val="00263DB7"/>
    <w:rsid w:val="00264818"/>
    <w:rsid w:val="00265F33"/>
    <w:rsid w:val="0026630F"/>
    <w:rsid w:val="00270CDE"/>
    <w:rsid w:val="00271BC1"/>
    <w:rsid w:val="00276890"/>
    <w:rsid w:val="002800E1"/>
    <w:rsid w:val="0028247A"/>
    <w:rsid w:val="002836EF"/>
    <w:rsid w:val="0028488F"/>
    <w:rsid w:val="002854E5"/>
    <w:rsid w:val="00286226"/>
    <w:rsid w:val="002863AE"/>
    <w:rsid w:val="00286E8B"/>
    <w:rsid w:val="002875D3"/>
    <w:rsid w:val="00287B22"/>
    <w:rsid w:val="00287F4B"/>
    <w:rsid w:val="00290CEF"/>
    <w:rsid w:val="00292855"/>
    <w:rsid w:val="00293773"/>
    <w:rsid w:val="002941A5"/>
    <w:rsid w:val="002947B8"/>
    <w:rsid w:val="00294AE5"/>
    <w:rsid w:val="0029594C"/>
    <w:rsid w:val="00295996"/>
    <w:rsid w:val="002A1A1E"/>
    <w:rsid w:val="002A2717"/>
    <w:rsid w:val="002A62A3"/>
    <w:rsid w:val="002A68B2"/>
    <w:rsid w:val="002B00AF"/>
    <w:rsid w:val="002B0285"/>
    <w:rsid w:val="002B1AF3"/>
    <w:rsid w:val="002B1D7C"/>
    <w:rsid w:val="002B3A0F"/>
    <w:rsid w:val="002B70A9"/>
    <w:rsid w:val="002C083F"/>
    <w:rsid w:val="002C4611"/>
    <w:rsid w:val="002C7C33"/>
    <w:rsid w:val="002C7DA4"/>
    <w:rsid w:val="002D1C27"/>
    <w:rsid w:val="002D2DCD"/>
    <w:rsid w:val="002D3B94"/>
    <w:rsid w:val="002D6C5B"/>
    <w:rsid w:val="002E04BB"/>
    <w:rsid w:val="002E0ACE"/>
    <w:rsid w:val="002E1B98"/>
    <w:rsid w:val="002E1C0C"/>
    <w:rsid w:val="002E26D3"/>
    <w:rsid w:val="002E3333"/>
    <w:rsid w:val="002E6D96"/>
    <w:rsid w:val="002E6E0F"/>
    <w:rsid w:val="002F1E32"/>
    <w:rsid w:val="002F5305"/>
    <w:rsid w:val="002F54C4"/>
    <w:rsid w:val="002F5C36"/>
    <w:rsid w:val="002F685E"/>
    <w:rsid w:val="00302253"/>
    <w:rsid w:val="00303292"/>
    <w:rsid w:val="003046DC"/>
    <w:rsid w:val="00304C48"/>
    <w:rsid w:val="00305BC5"/>
    <w:rsid w:val="003060CD"/>
    <w:rsid w:val="0031046C"/>
    <w:rsid w:val="003115AA"/>
    <w:rsid w:val="00311E2C"/>
    <w:rsid w:val="00312372"/>
    <w:rsid w:val="0031416C"/>
    <w:rsid w:val="00314E26"/>
    <w:rsid w:val="0031516E"/>
    <w:rsid w:val="0031684E"/>
    <w:rsid w:val="00316A5E"/>
    <w:rsid w:val="00321644"/>
    <w:rsid w:val="00321799"/>
    <w:rsid w:val="00321923"/>
    <w:rsid w:val="00323666"/>
    <w:rsid w:val="003249CB"/>
    <w:rsid w:val="00325B1A"/>
    <w:rsid w:val="00330E6C"/>
    <w:rsid w:val="00332EBA"/>
    <w:rsid w:val="003331CB"/>
    <w:rsid w:val="00333E8A"/>
    <w:rsid w:val="003359AD"/>
    <w:rsid w:val="0034035D"/>
    <w:rsid w:val="003419AF"/>
    <w:rsid w:val="00342003"/>
    <w:rsid w:val="00345ADD"/>
    <w:rsid w:val="00345D61"/>
    <w:rsid w:val="00347B1D"/>
    <w:rsid w:val="003555A9"/>
    <w:rsid w:val="003557D8"/>
    <w:rsid w:val="00363135"/>
    <w:rsid w:val="00363DBB"/>
    <w:rsid w:val="003647E6"/>
    <w:rsid w:val="003656B4"/>
    <w:rsid w:val="00365794"/>
    <w:rsid w:val="0037199C"/>
    <w:rsid w:val="00372C14"/>
    <w:rsid w:val="00374016"/>
    <w:rsid w:val="00380DB5"/>
    <w:rsid w:val="0038468B"/>
    <w:rsid w:val="00384E91"/>
    <w:rsid w:val="003857AB"/>
    <w:rsid w:val="0038659C"/>
    <w:rsid w:val="00387A38"/>
    <w:rsid w:val="00387D62"/>
    <w:rsid w:val="00393153"/>
    <w:rsid w:val="0039358F"/>
    <w:rsid w:val="00393923"/>
    <w:rsid w:val="003948D2"/>
    <w:rsid w:val="0039493D"/>
    <w:rsid w:val="00394E86"/>
    <w:rsid w:val="003959A5"/>
    <w:rsid w:val="003A22FB"/>
    <w:rsid w:val="003A58F6"/>
    <w:rsid w:val="003B451E"/>
    <w:rsid w:val="003B4634"/>
    <w:rsid w:val="003C0497"/>
    <w:rsid w:val="003C0C20"/>
    <w:rsid w:val="003C351F"/>
    <w:rsid w:val="003C42A9"/>
    <w:rsid w:val="003C717A"/>
    <w:rsid w:val="003D002A"/>
    <w:rsid w:val="003D3414"/>
    <w:rsid w:val="003D3840"/>
    <w:rsid w:val="003D4A93"/>
    <w:rsid w:val="003D74FD"/>
    <w:rsid w:val="003E30A6"/>
    <w:rsid w:val="003E55DC"/>
    <w:rsid w:val="003E64A7"/>
    <w:rsid w:val="003E7B15"/>
    <w:rsid w:val="003F3B53"/>
    <w:rsid w:val="003F4906"/>
    <w:rsid w:val="003F4D2F"/>
    <w:rsid w:val="003F55D7"/>
    <w:rsid w:val="003F6909"/>
    <w:rsid w:val="003F7CCC"/>
    <w:rsid w:val="00404BC3"/>
    <w:rsid w:val="00405D36"/>
    <w:rsid w:val="00405E44"/>
    <w:rsid w:val="00412655"/>
    <w:rsid w:val="0041279F"/>
    <w:rsid w:val="00413100"/>
    <w:rsid w:val="00413168"/>
    <w:rsid w:val="00414E90"/>
    <w:rsid w:val="00415AFC"/>
    <w:rsid w:val="00416043"/>
    <w:rsid w:val="0041712B"/>
    <w:rsid w:val="004203B5"/>
    <w:rsid w:val="0042294B"/>
    <w:rsid w:val="00423E9C"/>
    <w:rsid w:val="00432A61"/>
    <w:rsid w:val="004338E9"/>
    <w:rsid w:val="00436D11"/>
    <w:rsid w:val="00443F93"/>
    <w:rsid w:val="004517C2"/>
    <w:rsid w:val="0045418B"/>
    <w:rsid w:val="004555ED"/>
    <w:rsid w:val="004617F5"/>
    <w:rsid w:val="004618C1"/>
    <w:rsid w:val="00461B88"/>
    <w:rsid w:val="00464542"/>
    <w:rsid w:val="00464BE0"/>
    <w:rsid w:val="00465B0D"/>
    <w:rsid w:val="00467202"/>
    <w:rsid w:val="00470345"/>
    <w:rsid w:val="004716E8"/>
    <w:rsid w:val="00474EB0"/>
    <w:rsid w:val="00474F6D"/>
    <w:rsid w:val="0047530C"/>
    <w:rsid w:val="004760C4"/>
    <w:rsid w:val="00476BAC"/>
    <w:rsid w:val="00477667"/>
    <w:rsid w:val="0047782D"/>
    <w:rsid w:val="0047799E"/>
    <w:rsid w:val="0048497D"/>
    <w:rsid w:val="00486202"/>
    <w:rsid w:val="004913BF"/>
    <w:rsid w:val="00491EF3"/>
    <w:rsid w:val="0049237A"/>
    <w:rsid w:val="004926F1"/>
    <w:rsid w:val="004957F1"/>
    <w:rsid w:val="004970EE"/>
    <w:rsid w:val="00497A05"/>
    <w:rsid w:val="004A1F12"/>
    <w:rsid w:val="004A216D"/>
    <w:rsid w:val="004A3759"/>
    <w:rsid w:val="004A3ED1"/>
    <w:rsid w:val="004A4195"/>
    <w:rsid w:val="004A43D7"/>
    <w:rsid w:val="004A745C"/>
    <w:rsid w:val="004A752B"/>
    <w:rsid w:val="004A7534"/>
    <w:rsid w:val="004A77F1"/>
    <w:rsid w:val="004B1373"/>
    <w:rsid w:val="004B3159"/>
    <w:rsid w:val="004B5B95"/>
    <w:rsid w:val="004B6333"/>
    <w:rsid w:val="004B76E9"/>
    <w:rsid w:val="004C09CA"/>
    <w:rsid w:val="004C3036"/>
    <w:rsid w:val="004C59DB"/>
    <w:rsid w:val="004C7583"/>
    <w:rsid w:val="004D2945"/>
    <w:rsid w:val="004D749F"/>
    <w:rsid w:val="004E1588"/>
    <w:rsid w:val="004E3A0B"/>
    <w:rsid w:val="004E3EF0"/>
    <w:rsid w:val="004E49B4"/>
    <w:rsid w:val="004F0AEB"/>
    <w:rsid w:val="004F0BC2"/>
    <w:rsid w:val="004F180A"/>
    <w:rsid w:val="004F32E9"/>
    <w:rsid w:val="004F3CF4"/>
    <w:rsid w:val="004F43D8"/>
    <w:rsid w:val="004F4787"/>
    <w:rsid w:val="004F51B0"/>
    <w:rsid w:val="004F54F9"/>
    <w:rsid w:val="004F5CC4"/>
    <w:rsid w:val="004F65B8"/>
    <w:rsid w:val="004F698F"/>
    <w:rsid w:val="0050045B"/>
    <w:rsid w:val="0050102B"/>
    <w:rsid w:val="0050169C"/>
    <w:rsid w:val="00501C86"/>
    <w:rsid w:val="005046BA"/>
    <w:rsid w:val="00505338"/>
    <w:rsid w:val="005079F6"/>
    <w:rsid w:val="005124FE"/>
    <w:rsid w:val="005128D3"/>
    <w:rsid w:val="0051425D"/>
    <w:rsid w:val="00520965"/>
    <w:rsid w:val="0052106D"/>
    <w:rsid w:val="005220EF"/>
    <w:rsid w:val="00525108"/>
    <w:rsid w:val="005259B0"/>
    <w:rsid w:val="00531187"/>
    <w:rsid w:val="00531F16"/>
    <w:rsid w:val="00532DB1"/>
    <w:rsid w:val="00537C43"/>
    <w:rsid w:val="005414CF"/>
    <w:rsid w:val="00542806"/>
    <w:rsid w:val="00544E9B"/>
    <w:rsid w:val="005471BE"/>
    <w:rsid w:val="00547F76"/>
    <w:rsid w:val="00552036"/>
    <w:rsid w:val="00553ED1"/>
    <w:rsid w:val="005554E0"/>
    <w:rsid w:val="005575FE"/>
    <w:rsid w:val="00557600"/>
    <w:rsid w:val="00560986"/>
    <w:rsid w:val="00562E36"/>
    <w:rsid w:val="005630CE"/>
    <w:rsid w:val="0056370D"/>
    <w:rsid w:val="00567E6A"/>
    <w:rsid w:val="00570753"/>
    <w:rsid w:val="005715BA"/>
    <w:rsid w:val="005717AA"/>
    <w:rsid w:val="0057423E"/>
    <w:rsid w:val="00574381"/>
    <w:rsid w:val="00575D11"/>
    <w:rsid w:val="005763B6"/>
    <w:rsid w:val="00584ECB"/>
    <w:rsid w:val="00585124"/>
    <w:rsid w:val="00586D34"/>
    <w:rsid w:val="0058736B"/>
    <w:rsid w:val="005965C0"/>
    <w:rsid w:val="005A31E2"/>
    <w:rsid w:val="005A45B5"/>
    <w:rsid w:val="005A6861"/>
    <w:rsid w:val="005B5EB3"/>
    <w:rsid w:val="005B622D"/>
    <w:rsid w:val="005B6480"/>
    <w:rsid w:val="005B7ED5"/>
    <w:rsid w:val="005C02C6"/>
    <w:rsid w:val="005C0ACE"/>
    <w:rsid w:val="005C1CAD"/>
    <w:rsid w:val="005C3695"/>
    <w:rsid w:val="005C5262"/>
    <w:rsid w:val="005C6A18"/>
    <w:rsid w:val="005C7CED"/>
    <w:rsid w:val="005D0723"/>
    <w:rsid w:val="005D1A72"/>
    <w:rsid w:val="005D3499"/>
    <w:rsid w:val="005D39C4"/>
    <w:rsid w:val="005D40A2"/>
    <w:rsid w:val="005D6038"/>
    <w:rsid w:val="005D606A"/>
    <w:rsid w:val="005E0518"/>
    <w:rsid w:val="005E1099"/>
    <w:rsid w:val="005E21AB"/>
    <w:rsid w:val="005E24F1"/>
    <w:rsid w:val="005E27DD"/>
    <w:rsid w:val="005E4951"/>
    <w:rsid w:val="005E5589"/>
    <w:rsid w:val="005E6BFD"/>
    <w:rsid w:val="005F0924"/>
    <w:rsid w:val="005F1D3D"/>
    <w:rsid w:val="005F4D8F"/>
    <w:rsid w:val="005F764C"/>
    <w:rsid w:val="00603378"/>
    <w:rsid w:val="0060509C"/>
    <w:rsid w:val="00607765"/>
    <w:rsid w:val="0061137D"/>
    <w:rsid w:val="00616741"/>
    <w:rsid w:val="00621DD3"/>
    <w:rsid w:val="00623D46"/>
    <w:rsid w:val="00625B13"/>
    <w:rsid w:val="00625CFA"/>
    <w:rsid w:val="00625D13"/>
    <w:rsid w:val="0063116A"/>
    <w:rsid w:val="00635811"/>
    <w:rsid w:val="0065173E"/>
    <w:rsid w:val="00653418"/>
    <w:rsid w:val="006539BD"/>
    <w:rsid w:val="006559D8"/>
    <w:rsid w:val="00655A13"/>
    <w:rsid w:val="0065603A"/>
    <w:rsid w:val="00656BEB"/>
    <w:rsid w:val="00660A8E"/>
    <w:rsid w:val="00661028"/>
    <w:rsid w:val="00661FD0"/>
    <w:rsid w:val="0066508A"/>
    <w:rsid w:val="00666187"/>
    <w:rsid w:val="006727EC"/>
    <w:rsid w:val="00674A2C"/>
    <w:rsid w:val="00681D82"/>
    <w:rsid w:val="0068267F"/>
    <w:rsid w:val="006828D5"/>
    <w:rsid w:val="006870A9"/>
    <w:rsid w:val="006910B9"/>
    <w:rsid w:val="006912E6"/>
    <w:rsid w:val="006A127D"/>
    <w:rsid w:val="006A2761"/>
    <w:rsid w:val="006A702F"/>
    <w:rsid w:val="006B393A"/>
    <w:rsid w:val="006C1D0C"/>
    <w:rsid w:val="006C3105"/>
    <w:rsid w:val="006C5248"/>
    <w:rsid w:val="006C6850"/>
    <w:rsid w:val="006D12DD"/>
    <w:rsid w:val="006D65EF"/>
    <w:rsid w:val="006D7767"/>
    <w:rsid w:val="006E009C"/>
    <w:rsid w:val="006E09E3"/>
    <w:rsid w:val="006E0ADB"/>
    <w:rsid w:val="006E145D"/>
    <w:rsid w:val="006E1F53"/>
    <w:rsid w:val="006E4AB2"/>
    <w:rsid w:val="006E53FB"/>
    <w:rsid w:val="006E59AB"/>
    <w:rsid w:val="006F0996"/>
    <w:rsid w:val="006F2CA2"/>
    <w:rsid w:val="006F3C6B"/>
    <w:rsid w:val="006F582F"/>
    <w:rsid w:val="006F5878"/>
    <w:rsid w:val="00703EA8"/>
    <w:rsid w:val="00711AED"/>
    <w:rsid w:val="00711EF8"/>
    <w:rsid w:val="00713FF6"/>
    <w:rsid w:val="0071611F"/>
    <w:rsid w:val="007171E0"/>
    <w:rsid w:val="00717852"/>
    <w:rsid w:val="007179E9"/>
    <w:rsid w:val="00721BDA"/>
    <w:rsid w:val="007244E3"/>
    <w:rsid w:val="00724A63"/>
    <w:rsid w:val="0073019C"/>
    <w:rsid w:val="0073058E"/>
    <w:rsid w:val="007311D0"/>
    <w:rsid w:val="00736083"/>
    <w:rsid w:val="0074445F"/>
    <w:rsid w:val="007447EB"/>
    <w:rsid w:val="00745FE2"/>
    <w:rsid w:val="0074608D"/>
    <w:rsid w:val="0074706B"/>
    <w:rsid w:val="007505E5"/>
    <w:rsid w:val="00751BEA"/>
    <w:rsid w:val="00753615"/>
    <w:rsid w:val="00755C82"/>
    <w:rsid w:val="00757075"/>
    <w:rsid w:val="00757CC0"/>
    <w:rsid w:val="0076214C"/>
    <w:rsid w:val="00765AC5"/>
    <w:rsid w:val="007669A2"/>
    <w:rsid w:val="0077071E"/>
    <w:rsid w:val="00773966"/>
    <w:rsid w:val="007761E0"/>
    <w:rsid w:val="00777C16"/>
    <w:rsid w:val="00780223"/>
    <w:rsid w:val="007833F5"/>
    <w:rsid w:val="0078702E"/>
    <w:rsid w:val="00787F9E"/>
    <w:rsid w:val="00791E0E"/>
    <w:rsid w:val="007920A9"/>
    <w:rsid w:val="007966AE"/>
    <w:rsid w:val="00797F84"/>
    <w:rsid w:val="007A4883"/>
    <w:rsid w:val="007A5A94"/>
    <w:rsid w:val="007B5455"/>
    <w:rsid w:val="007B6F67"/>
    <w:rsid w:val="007C3B78"/>
    <w:rsid w:val="007C4B09"/>
    <w:rsid w:val="007C4BDC"/>
    <w:rsid w:val="007C52C1"/>
    <w:rsid w:val="007C5919"/>
    <w:rsid w:val="007C5974"/>
    <w:rsid w:val="007C5DF6"/>
    <w:rsid w:val="007C6DB0"/>
    <w:rsid w:val="007D01D5"/>
    <w:rsid w:val="007D092E"/>
    <w:rsid w:val="007D3879"/>
    <w:rsid w:val="007D3AFA"/>
    <w:rsid w:val="007D53E0"/>
    <w:rsid w:val="007D77D1"/>
    <w:rsid w:val="007E01AA"/>
    <w:rsid w:val="007E3BD5"/>
    <w:rsid w:val="007E4E55"/>
    <w:rsid w:val="007E5967"/>
    <w:rsid w:val="007E7DA8"/>
    <w:rsid w:val="007F1903"/>
    <w:rsid w:val="007F1C8A"/>
    <w:rsid w:val="007F36BD"/>
    <w:rsid w:val="007F7EAD"/>
    <w:rsid w:val="008002BF"/>
    <w:rsid w:val="00802EFC"/>
    <w:rsid w:val="008043F2"/>
    <w:rsid w:val="00805811"/>
    <w:rsid w:val="0081080D"/>
    <w:rsid w:val="00815418"/>
    <w:rsid w:val="0081750F"/>
    <w:rsid w:val="008204FD"/>
    <w:rsid w:val="00824FB8"/>
    <w:rsid w:val="008253E4"/>
    <w:rsid w:val="0082588A"/>
    <w:rsid w:val="00826D92"/>
    <w:rsid w:val="008318BF"/>
    <w:rsid w:val="0083239A"/>
    <w:rsid w:val="0083679F"/>
    <w:rsid w:val="00837C17"/>
    <w:rsid w:val="008400CD"/>
    <w:rsid w:val="00842693"/>
    <w:rsid w:val="008457E7"/>
    <w:rsid w:val="0085210D"/>
    <w:rsid w:val="00855740"/>
    <w:rsid w:val="00856250"/>
    <w:rsid w:val="00863FD7"/>
    <w:rsid w:val="00864566"/>
    <w:rsid w:val="00865F1D"/>
    <w:rsid w:val="00866308"/>
    <w:rsid w:val="0087183E"/>
    <w:rsid w:val="008726DF"/>
    <w:rsid w:val="00874202"/>
    <w:rsid w:val="00875BF0"/>
    <w:rsid w:val="008761C8"/>
    <w:rsid w:val="00880F74"/>
    <w:rsid w:val="008864F5"/>
    <w:rsid w:val="00886A85"/>
    <w:rsid w:val="0088768D"/>
    <w:rsid w:val="00890EFD"/>
    <w:rsid w:val="0089550D"/>
    <w:rsid w:val="008A2952"/>
    <w:rsid w:val="008A390F"/>
    <w:rsid w:val="008A484B"/>
    <w:rsid w:val="008A4A68"/>
    <w:rsid w:val="008A63D7"/>
    <w:rsid w:val="008B1A20"/>
    <w:rsid w:val="008B23B0"/>
    <w:rsid w:val="008B2F2E"/>
    <w:rsid w:val="008B2F3D"/>
    <w:rsid w:val="008C1B6D"/>
    <w:rsid w:val="008C2B2E"/>
    <w:rsid w:val="008C3B05"/>
    <w:rsid w:val="008C4EEA"/>
    <w:rsid w:val="008C5220"/>
    <w:rsid w:val="008C6567"/>
    <w:rsid w:val="008C70C0"/>
    <w:rsid w:val="008C766E"/>
    <w:rsid w:val="008C7BFF"/>
    <w:rsid w:val="008D115C"/>
    <w:rsid w:val="008D28D7"/>
    <w:rsid w:val="008D46D7"/>
    <w:rsid w:val="008D6527"/>
    <w:rsid w:val="008D749E"/>
    <w:rsid w:val="008E63A9"/>
    <w:rsid w:val="008E7046"/>
    <w:rsid w:val="008F0C7A"/>
    <w:rsid w:val="008F20D5"/>
    <w:rsid w:val="008F641F"/>
    <w:rsid w:val="00903FE5"/>
    <w:rsid w:val="00905B07"/>
    <w:rsid w:val="00905F5F"/>
    <w:rsid w:val="009075AC"/>
    <w:rsid w:val="00907B13"/>
    <w:rsid w:val="0091167B"/>
    <w:rsid w:val="00913E44"/>
    <w:rsid w:val="009164A0"/>
    <w:rsid w:val="00920301"/>
    <w:rsid w:val="009207F7"/>
    <w:rsid w:val="0092167C"/>
    <w:rsid w:val="00923B88"/>
    <w:rsid w:val="0092527F"/>
    <w:rsid w:val="00926584"/>
    <w:rsid w:val="00927918"/>
    <w:rsid w:val="009301B7"/>
    <w:rsid w:val="009302AC"/>
    <w:rsid w:val="009339F9"/>
    <w:rsid w:val="00934B93"/>
    <w:rsid w:val="009361B6"/>
    <w:rsid w:val="009363CB"/>
    <w:rsid w:val="009375F5"/>
    <w:rsid w:val="00942E0B"/>
    <w:rsid w:val="009458F4"/>
    <w:rsid w:val="00945BA1"/>
    <w:rsid w:val="00947959"/>
    <w:rsid w:val="00951639"/>
    <w:rsid w:val="00952071"/>
    <w:rsid w:val="009529D6"/>
    <w:rsid w:val="00953C2F"/>
    <w:rsid w:val="009664F6"/>
    <w:rsid w:val="00966CB2"/>
    <w:rsid w:val="0097040C"/>
    <w:rsid w:val="009720FF"/>
    <w:rsid w:val="00972AF1"/>
    <w:rsid w:val="009758FF"/>
    <w:rsid w:val="00975EBA"/>
    <w:rsid w:val="009838CE"/>
    <w:rsid w:val="00985597"/>
    <w:rsid w:val="009875E0"/>
    <w:rsid w:val="00992442"/>
    <w:rsid w:val="0099301D"/>
    <w:rsid w:val="009936BB"/>
    <w:rsid w:val="009955B4"/>
    <w:rsid w:val="009960BB"/>
    <w:rsid w:val="00996688"/>
    <w:rsid w:val="009A1430"/>
    <w:rsid w:val="009A2573"/>
    <w:rsid w:val="009A26AF"/>
    <w:rsid w:val="009A4677"/>
    <w:rsid w:val="009A505C"/>
    <w:rsid w:val="009A7001"/>
    <w:rsid w:val="009A777E"/>
    <w:rsid w:val="009B0112"/>
    <w:rsid w:val="009B0876"/>
    <w:rsid w:val="009B08BF"/>
    <w:rsid w:val="009B27B0"/>
    <w:rsid w:val="009B2BB3"/>
    <w:rsid w:val="009B42FA"/>
    <w:rsid w:val="009B46EE"/>
    <w:rsid w:val="009C3E8A"/>
    <w:rsid w:val="009D0118"/>
    <w:rsid w:val="009D32F8"/>
    <w:rsid w:val="009D5BCF"/>
    <w:rsid w:val="009D6BE7"/>
    <w:rsid w:val="009E015D"/>
    <w:rsid w:val="009E0EE0"/>
    <w:rsid w:val="009E1749"/>
    <w:rsid w:val="009E39C1"/>
    <w:rsid w:val="009E418B"/>
    <w:rsid w:val="009E53B2"/>
    <w:rsid w:val="009E53CE"/>
    <w:rsid w:val="009E6F2A"/>
    <w:rsid w:val="009E76FC"/>
    <w:rsid w:val="009F0F27"/>
    <w:rsid w:val="009F1EAE"/>
    <w:rsid w:val="009F65C3"/>
    <w:rsid w:val="009F7083"/>
    <w:rsid w:val="00A01163"/>
    <w:rsid w:val="00A03D6E"/>
    <w:rsid w:val="00A04486"/>
    <w:rsid w:val="00A05D4A"/>
    <w:rsid w:val="00A0713A"/>
    <w:rsid w:val="00A0725C"/>
    <w:rsid w:val="00A11712"/>
    <w:rsid w:val="00A11B82"/>
    <w:rsid w:val="00A122BC"/>
    <w:rsid w:val="00A129AE"/>
    <w:rsid w:val="00A13AED"/>
    <w:rsid w:val="00A142CB"/>
    <w:rsid w:val="00A159E7"/>
    <w:rsid w:val="00A22B45"/>
    <w:rsid w:val="00A22E24"/>
    <w:rsid w:val="00A322F9"/>
    <w:rsid w:val="00A333DE"/>
    <w:rsid w:val="00A350FC"/>
    <w:rsid w:val="00A3698D"/>
    <w:rsid w:val="00A36FEF"/>
    <w:rsid w:val="00A403E7"/>
    <w:rsid w:val="00A4561F"/>
    <w:rsid w:val="00A45DF2"/>
    <w:rsid w:val="00A47CE1"/>
    <w:rsid w:val="00A56F0F"/>
    <w:rsid w:val="00A628A3"/>
    <w:rsid w:val="00A64FC2"/>
    <w:rsid w:val="00A77755"/>
    <w:rsid w:val="00A80800"/>
    <w:rsid w:val="00A80E6F"/>
    <w:rsid w:val="00A81DFF"/>
    <w:rsid w:val="00A8391A"/>
    <w:rsid w:val="00A83DE5"/>
    <w:rsid w:val="00A90C0E"/>
    <w:rsid w:val="00A90E78"/>
    <w:rsid w:val="00A93D53"/>
    <w:rsid w:val="00A945E8"/>
    <w:rsid w:val="00A95AD6"/>
    <w:rsid w:val="00A96ABF"/>
    <w:rsid w:val="00A971FC"/>
    <w:rsid w:val="00AB1EDC"/>
    <w:rsid w:val="00AB2C74"/>
    <w:rsid w:val="00AB5966"/>
    <w:rsid w:val="00AC3E95"/>
    <w:rsid w:val="00AC68D9"/>
    <w:rsid w:val="00AC7EEC"/>
    <w:rsid w:val="00AD1526"/>
    <w:rsid w:val="00AD17EE"/>
    <w:rsid w:val="00AD40A6"/>
    <w:rsid w:val="00AD4AB1"/>
    <w:rsid w:val="00AD52C0"/>
    <w:rsid w:val="00AD5AD7"/>
    <w:rsid w:val="00AD660D"/>
    <w:rsid w:val="00AD6DB5"/>
    <w:rsid w:val="00AD7DC3"/>
    <w:rsid w:val="00AE148E"/>
    <w:rsid w:val="00AE15A5"/>
    <w:rsid w:val="00AE1DA5"/>
    <w:rsid w:val="00AE2691"/>
    <w:rsid w:val="00AE52A4"/>
    <w:rsid w:val="00AE6D81"/>
    <w:rsid w:val="00AF17DC"/>
    <w:rsid w:val="00AF36F2"/>
    <w:rsid w:val="00AF479E"/>
    <w:rsid w:val="00AF4A89"/>
    <w:rsid w:val="00AF69B3"/>
    <w:rsid w:val="00AF6E8E"/>
    <w:rsid w:val="00B00E44"/>
    <w:rsid w:val="00B00FCB"/>
    <w:rsid w:val="00B0161C"/>
    <w:rsid w:val="00B02E49"/>
    <w:rsid w:val="00B02F0A"/>
    <w:rsid w:val="00B06D3F"/>
    <w:rsid w:val="00B12D6E"/>
    <w:rsid w:val="00B13DAC"/>
    <w:rsid w:val="00B14529"/>
    <w:rsid w:val="00B149D1"/>
    <w:rsid w:val="00B15D34"/>
    <w:rsid w:val="00B162DA"/>
    <w:rsid w:val="00B20B6F"/>
    <w:rsid w:val="00B25032"/>
    <w:rsid w:val="00B30DDB"/>
    <w:rsid w:val="00B32188"/>
    <w:rsid w:val="00B32ACA"/>
    <w:rsid w:val="00B3376F"/>
    <w:rsid w:val="00B35D45"/>
    <w:rsid w:val="00B37690"/>
    <w:rsid w:val="00B40640"/>
    <w:rsid w:val="00B40D2C"/>
    <w:rsid w:val="00B42441"/>
    <w:rsid w:val="00B45E78"/>
    <w:rsid w:val="00B471BC"/>
    <w:rsid w:val="00B47FD4"/>
    <w:rsid w:val="00B5166C"/>
    <w:rsid w:val="00B554E3"/>
    <w:rsid w:val="00B57504"/>
    <w:rsid w:val="00B578A6"/>
    <w:rsid w:val="00B66008"/>
    <w:rsid w:val="00B66101"/>
    <w:rsid w:val="00B67D4B"/>
    <w:rsid w:val="00B7279A"/>
    <w:rsid w:val="00B75CD1"/>
    <w:rsid w:val="00B76008"/>
    <w:rsid w:val="00B76A57"/>
    <w:rsid w:val="00B76D93"/>
    <w:rsid w:val="00B77598"/>
    <w:rsid w:val="00B80DD8"/>
    <w:rsid w:val="00B84CC7"/>
    <w:rsid w:val="00B86E67"/>
    <w:rsid w:val="00B90765"/>
    <w:rsid w:val="00B93A59"/>
    <w:rsid w:val="00B9646B"/>
    <w:rsid w:val="00B964F9"/>
    <w:rsid w:val="00B96AA3"/>
    <w:rsid w:val="00B97507"/>
    <w:rsid w:val="00B97575"/>
    <w:rsid w:val="00BA0A4A"/>
    <w:rsid w:val="00BA0F96"/>
    <w:rsid w:val="00BA6EAA"/>
    <w:rsid w:val="00BB0950"/>
    <w:rsid w:val="00BB0BBE"/>
    <w:rsid w:val="00BB5ED1"/>
    <w:rsid w:val="00BC2C0F"/>
    <w:rsid w:val="00BC2F32"/>
    <w:rsid w:val="00BC40E4"/>
    <w:rsid w:val="00BC44DE"/>
    <w:rsid w:val="00BC7790"/>
    <w:rsid w:val="00BD16A3"/>
    <w:rsid w:val="00BD4F78"/>
    <w:rsid w:val="00BD591B"/>
    <w:rsid w:val="00BD5F6F"/>
    <w:rsid w:val="00BD66E3"/>
    <w:rsid w:val="00BD724F"/>
    <w:rsid w:val="00BD7EFD"/>
    <w:rsid w:val="00BE3063"/>
    <w:rsid w:val="00BE3496"/>
    <w:rsid w:val="00BE4F2A"/>
    <w:rsid w:val="00BE514A"/>
    <w:rsid w:val="00BF0A12"/>
    <w:rsid w:val="00BF12BA"/>
    <w:rsid w:val="00BF58F6"/>
    <w:rsid w:val="00BF7C3B"/>
    <w:rsid w:val="00C01E0B"/>
    <w:rsid w:val="00C03A5A"/>
    <w:rsid w:val="00C06680"/>
    <w:rsid w:val="00C073A6"/>
    <w:rsid w:val="00C079F8"/>
    <w:rsid w:val="00C118DC"/>
    <w:rsid w:val="00C1263C"/>
    <w:rsid w:val="00C13DEF"/>
    <w:rsid w:val="00C156B3"/>
    <w:rsid w:val="00C1579E"/>
    <w:rsid w:val="00C15976"/>
    <w:rsid w:val="00C15E6F"/>
    <w:rsid w:val="00C160F4"/>
    <w:rsid w:val="00C16767"/>
    <w:rsid w:val="00C16992"/>
    <w:rsid w:val="00C16AF8"/>
    <w:rsid w:val="00C17FFA"/>
    <w:rsid w:val="00C20442"/>
    <w:rsid w:val="00C20665"/>
    <w:rsid w:val="00C21CCC"/>
    <w:rsid w:val="00C24C3B"/>
    <w:rsid w:val="00C24ED3"/>
    <w:rsid w:val="00C25967"/>
    <w:rsid w:val="00C306ED"/>
    <w:rsid w:val="00C31502"/>
    <w:rsid w:val="00C33959"/>
    <w:rsid w:val="00C34E85"/>
    <w:rsid w:val="00C358AD"/>
    <w:rsid w:val="00C35D50"/>
    <w:rsid w:val="00C40298"/>
    <w:rsid w:val="00C40EA8"/>
    <w:rsid w:val="00C414E5"/>
    <w:rsid w:val="00C422ED"/>
    <w:rsid w:val="00C426B5"/>
    <w:rsid w:val="00C430A7"/>
    <w:rsid w:val="00C4443C"/>
    <w:rsid w:val="00C453C8"/>
    <w:rsid w:val="00C468F8"/>
    <w:rsid w:val="00C5069A"/>
    <w:rsid w:val="00C519DA"/>
    <w:rsid w:val="00C527E6"/>
    <w:rsid w:val="00C57DAE"/>
    <w:rsid w:val="00C605F8"/>
    <w:rsid w:val="00C61946"/>
    <w:rsid w:val="00C63175"/>
    <w:rsid w:val="00C66333"/>
    <w:rsid w:val="00C66F57"/>
    <w:rsid w:val="00C67A69"/>
    <w:rsid w:val="00C713B1"/>
    <w:rsid w:val="00C76507"/>
    <w:rsid w:val="00C778B7"/>
    <w:rsid w:val="00C844D3"/>
    <w:rsid w:val="00C849D3"/>
    <w:rsid w:val="00C90629"/>
    <w:rsid w:val="00C93828"/>
    <w:rsid w:val="00C956E2"/>
    <w:rsid w:val="00CA105C"/>
    <w:rsid w:val="00CA2252"/>
    <w:rsid w:val="00CA22D9"/>
    <w:rsid w:val="00CA5503"/>
    <w:rsid w:val="00CA6F3D"/>
    <w:rsid w:val="00CB55D9"/>
    <w:rsid w:val="00CB6005"/>
    <w:rsid w:val="00CB788A"/>
    <w:rsid w:val="00CC0093"/>
    <w:rsid w:val="00CC0CA4"/>
    <w:rsid w:val="00CC417F"/>
    <w:rsid w:val="00CC5968"/>
    <w:rsid w:val="00CC5E38"/>
    <w:rsid w:val="00CD076A"/>
    <w:rsid w:val="00CD2176"/>
    <w:rsid w:val="00CD37CE"/>
    <w:rsid w:val="00CD4024"/>
    <w:rsid w:val="00CD7044"/>
    <w:rsid w:val="00CD73A1"/>
    <w:rsid w:val="00CE4200"/>
    <w:rsid w:val="00CE78BF"/>
    <w:rsid w:val="00CF079B"/>
    <w:rsid w:val="00CF1C95"/>
    <w:rsid w:val="00CF208A"/>
    <w:rsid w:val="00CF2B84"/>
    <w:rsid w:val="00CF52BE"/>
    <w:rsid w:val="00CF7A11"/>
    <w:rsid w:val="00D003E6"/>
    <w:rsid w:val="00D00D32"/>
    <w:rsid w:val="00D01F32"/>
    <w:rsid w:val="00D0241B"/>
    <w:rsid w:val="00D045EC"/>
    <w:rsid w:val="00D04F59"/>
    <w:rsid w:val="00D05E64"/>
    <w:rsid w:val="00D060BD"/>
    <w:rsid w:val="00D10433"/>
    <w:rsid w:val="00D11EEF"/>
    <w:rsid w:val="00D13258"/>
    <w:rsid w:val="00D14C28"/>
    <w:rsid w:val="00D17433"/>
    <w:rsid w:val="00D17535"/>
    <w:rsid w:val="00D17ED0"/>
    <w:rsid w:val="00D20127"/>
    <w:rsid w:val="00D20BE9"/>
    <w:rsid w:val="00D22599"/>
    <w:rsid w:val="00D249B8"/>
    <w:rsid w:val="00D24B3E"/>
    <w:rsid w:val="00D26D40"/>
    <w:rsid w:val="00D27A2E"/>
    <w:rsid w:val="00D3034C"/>
    <w:rsid w:val="00D32491"/>
    <w:rsid w:val="00D343AA"/>
    <w:rsid w:val="00D35130"/>
    <w:rsid w:val="00D3567B"/>
    <w:rsid w:val="00D416F6"/>
    <w:rsid w:val="00D444C3"/>
    <w:rsid w:val="00D54B0D"/>
    <w:rsid w:val="00D54CE6"/>
    <w:rsid w:val="00D6472E"/>
    <w:rsid w:val="00D6509A"/>
    <w:rsid w:val="00D65F93"/>
    <w:rsid w:val="00D67345"/>
    <w:rsid w:val="00D70DDD"/>
    <w:rsid w:val="00D7225F"/>
    <w:rsid w:val="00D73202"/>
    <w:rsid w:val="00D759C8"/>
    <w:rsid w:val="00D75B1E"/>
    <w:rsid w:val="00D80C77"/>
    <w:rsid w:val="00D825C0"/>
    <w:rsid w:val="00D84323"/>
    <w:rsid w:val="00D84D1B"/>
    <w:rsid w:val="00D90B74"/>
    <w:rsid w:val="00D931AE"/>
    <w:rsid w:val="00DA11B4"/>
    <w:rsid w:val="00DA11E8"/>
    <w:rsid w:val="00DA304F"/>
    <w:rsid w:val="00DA61AF"/>
    <w:rsid w:val="00DB173E"/>
    <w:rsid w:val="00DB3F6D"/>
    <w:rsid w:val="00DC0E1F"/>
    <w:rsid w:val="00DC1822"/>
    <w:rsid w:val="00DC4473"/>
    <w:rsid w:val="00DC55B9"/>
    <w:rsid w:val="00DC5FEC"/>
    <w:rsid w:val="00DC6D54"/>
    <w:rsid w:val="00DC7F84"/>
    <w:rsid w:val="00DD105B"/>
    <w:rsid w:val="00DD6E1B"/>
    <w:rsid w:val="00DD77EB"/>
    <w:rsid w:val="00DD7EF5"/>
    <w:rsid w:val="00DE2424"/>
    <w:rsid w:val="00DE44F2"/>
    <w:rsid w:val="00DE4CB4"/>
    <w:rsid w:val="00DE4F12"/>
    <w:rsid w:val="00DE647F"/>
    <w:rsid w:val="00DE791B"/>
    <w:rsid w:val="00DF0C88"/>
    <w:rsid w:val="00DF1FE0"/>
    <w:rsid w:val="00DF2442"/>
    <w:rsid w:val="00DF5903"/>
    <w:rsid w:val="00DF5CF8"/>
    <w:rsid w:val="00E006B8"/>
    <w:rsid w:val="00E01593"/>
    <w:rsid w:val="00E01E4D"/>
    <w:rsid w:val="00E03181"/>
    <w:rsid w:val="00E035D2"/>
    <w:rsid w:val="00E04B9E"/>
    <w:rsid w:val="00E0674B"/>
    <w:rsid w:val="00E06783"/>
    <w:rsid w:val="00E06C9D"/>
    <w:rsid w:val="00E06CCD"/>
    <w:rsid w:val="00E1023D"/>
    <w:rsid w:val="00E10351"/>
    <w:rsid w:val="00E103C4"/>
    <w:rsid w:val="00E12C28"/>
    <w:rsid w:val="00E13446"/>
    <w:rsid w:val="00E162D4"/>
    <w:rsid w:val="00E307B4"/>
    <w:rsid w:val="00E32F1A"/>
    <w:rsid w:val="00E3431F"/>
    <w:rsid w:val="00E3438D"/>
    <w:rsid w:val="00E35950"/>
    <w:rsid w:val="00E42732"/>
    <w:rsid w:val="00E47793"/>
    <w:rsid w:val="00E502EF"/>
    <w:rsid w:val="00E50506"/>
    <w:rsid w:val="00E52CBB"/>
    <w:rsid w:val="00E54354"/>
    <w:rsid w:val="00E5762F"/>
    <w:rsid w:val="00E607D0"/>
    <w:rsid w:val="00E62620"/>
    <w:rsid w:val="00E62848"/>
    <w:rsid w:val="00E64967"/>
    <w:rsid w:val="00E70C15"/>
    <w:rsid w:val="00E70E3B"/>
    <w:rsid w:val="00E71AB9"/>
    <w:rsid w:val="00E725F9"/>
    <w:rsid w:val="00E74550"/>
    <w:rsid w:val="00E7702D"/>
    <w:rsid w:val="00E80A15"/>
    <w:rsid w:val="00E81CF9"/>
    <w:rsid w:val="00E83EC4"/>
    <w:rsid w:val="00E84C0A"/>
    <w:rsid w:val="00E8557A"/>
    <w:rsid w:val="00E8668E"/>
    <w:rsid w:val="00E91353"/>
    <w:rsid w:val="00E92657"/>
    <w:rsid w:val="00E94066"/>
    <w:rsid w:val="00E940D6"/>
    <w:rsid w:val="00E94E9D"/>
    <w:rsid w:val="00E96131"/>
    <w:rsid w:val="00E96ABF"/>
    <w:rsid w:val="00EA7CA3"/>
    <w:rsid w:val="00EB0934"/>
    <w:rsid w:val="00EB2D4D"/>
    <w:rsid w:val="00EB4378"/>
    <w:rsid w:val="00EB475D"/>
    <w:rsid w:val="00EB477E"/>
    <w:rsid w:val="00EB501F"/>
    <w:rsid w:val="00EB6185"/>
    <w:rsid w:val="00EB66EB"/>
    <w:rsid w:val="00EC0619"/>
    <w:rsid w:val="00EC737B"/>
    <w:rsid w:val="00EC7822"/>
    <w:rsid w:val="00ED33F2"/>
    <w:rsid w:val="00ED49A3"/>
    <w:rsid w:val="00ED4C9C"/>
    <w:rsid w:val="00ED6AD8"/>
    <w:rsid w:val="00EE2BE2"/>
    <w:rsid w:val="00EE2F96"/>
    <w:rsid w:val="00EF285B"/>
    <w:rsid w:val="00EF5DB6"/>
    <w:rsid w:val="00EF66AF"/>
    <w:rsid w:val="00F000AF"/>
    <w:rsid w:val="00F00CB2"/>
    <w:rsid w:val="00F01DAB"/>
    <w:rsid w:val="00F04E3E"/>
    <w:rsid w:val="00F058FB"/>
    <w:rsid w:val="00F1007B"/>
    <w:rsid w:val="00F10518"/>
    <w:rsid w:val="00F107E2"/>
    <w:rsid w:val="00F11928"/>
    <w:rsid w:val="00F1240A"/>
    <w:rsid w:val="00F149B4"/>
    <w:rsid w:val="00F165BD"/>
    <w:rsid w:val="00F17FF5"/>
    <w:rsid w:val="00F2005C"/>
    <w:rsid w:val="00F2056E"/>
    <w:rsid w:val="00F220AE"/>
    <w:rsid w:val="00F225E5"/>
    <w:rsid w:val="00F2483A"/>
    <w:rsid w:val="00F27315"/>
    <w:rsid w:val="00F273ED"/>
    <w:rsid w:val="00F30C37"/>
    <w:rsid w:val="00F3102D"/>
    <w:rsid w:val="00F32762"/>
    <w:rsid w:val="00F33D7B"/>
    <w:rsid w:val="00F359D3"/>
    <w:rsid w:val="00F3753E"/>
    <w:rsid w:val="00F37C5E"/>
    <w:rsid w:val="00F4137A"/>
    <w:rsid w:val="00F41EF8"/>
    <w:rsid w:val="00F45163"/>
    <w:rsid w:val="00F45972"/>
    <w:rsid w:val="00F51411"/>
    <w:rsid w:val="00F514CD"/>
    <w:rsid w:val="00F51DE2"/>
    <w:rsid w:val="00F54372"/>
    <w:rsid w:val="00F608D3"/>
    <w:rsid w:val="00F60CB5"/>
    <w:rsid w:val="00F60E54"/>
    <w:rsid w:val="00F6137C"/>
    <w:rsid w:val="00F63CE2"/>
    <w:rsid w:val="00F65911"/>
    <w:rsid w:val="00F704A4"/>
    <w:rsid w:val="00F749A7"/>
    <w:rsid w:val="00F74AEF"/>
    <w:rsid w:val="00F81C50"/>
    <w:rsid w:val="00F81CD0"/>
    <w:rsid w:val="00F8729F"/>
    <w:rsid w:val="00F875D4"/>
    <w:rsid w:val="00F8777A"/>
    <w:rsid w:val="00F952C7"/>
    <w:rsid w:val="00FA1C0F"/>
    <w:rsid w:val="00FA3134"/>
    <w:rsid w:val="00FA36CB"/>
    <w:rsid w:val="00FA4DFE"/>
    <w:rsid w:val="00FA5EA0"/>
    <w:rsid w:val="00FA6235"/>
    <w:rsid w:val="00FB07AE"/>
    <w:rsid w:val="00FB2D23"/>
    <w:rsid w:val="00FB6362"/>
    <w:rsid w:val="00FB69A9"/>
    <w:rsid w:val="00FB6ADB"/>
    <w:rsid w:val="00FC04F6"/>
    <w:rsid w:val="00FC20D7"/>
    <w:rsid w:val="00FC5A9F"/>
    <w:rsid w:val="00FC6150"/>
    <w:rsid w:val="00FC6268"/>
    <w:rsid w:val="00FD0419"/>
    <w:rsid w:val="00FD0E30"/>
    <w:rsid w:val="00FD5459"/>
    <w:rsid w:val="00FE3A83"/>
    <w:rsid w:val="00FE5D68"/>
    <w:rsid w:val="00FE6CC9"/>
    <w:rsid w:val="00FE72D8"/>
    <w:rsid w:val="00FF02D1"/>
    <w:rsid w:val="00FF06AD"/>
    <w:rsid w:val="00FF1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A940BB"/>
  <w15:chartTrackingRefBased/>
  <w15:docId w15:val="{877A92C8-1847-40F8-96A3-F2EFC479B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6185"/>
    <w:pPr>
      <w:widowControl w:val="0"/>
      <w:spacing w:after="0" w:line="240" w:lineRule="auto"/>
    </w:pPr>
    <w:rPr>
      <w:rFonts w:ascii="Times New Roman" w:eastAsia="Times New Roman" w:hAnsi="Times New Roman" w:cs="Times New Roman"/>
      <w:sz w:val="20"/>
      <w:szCs w:val="20"/>
    </w:rPr>
  </w:style>
  <w:style w:type="paragraph" w:styleId="Heading1">
    <w:name w:val="heading 1"/>
    <w:basedOn w:val="ListParagraph"/>
    <w:next w:val="Normal"/>
    <w:link w:val="Heading1Char"/>
    <w:qFormat/>
    <w:rsid w:val="00802EFC"/>
    <w:pPr>
      <w:keepNext/>
      <w:widowControl/>
      <w:numPr>
        <w:numId w:val="1"/>
      </w:numPr>
      <w:autoSpaceDE w:val="0"/>
      <w:autoSpaceDN w:val="0"/>
      <w:spacing w:line="360" w:lineRule="auto"/>
      <w:ind w:left="720"/>
      <w:jc w:val="center"/>
      <w:outlineLvl w:val="0"/>
    </w:pPr>
    <w:rPr>
      <w:b/>
      <w:bCs/>
      <w:sz w:val="26"/>
      <w:szCs w:val="26"/>
    </w:rPr>
  </w:style>
  <w:style w:type="paragraph" w:styleId="Heading2">
    <w:name w:val="heading 2"/>
    <w:basedOn w:val="Normal"/>
    <w:next w:val="Normal"/>
    <w:link w:val="Heading2Char"/>
    <w:uiPriority w:val="9"/>
    <w:semiHidden/>
    <w:unhideWhenUsed/>
    <w:qFormat/>
    <w:rsid w:val="0081541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2EFC"/>
    <w:rPr>
      <w:rFonts w:ascii="Times New Roman" w:eastAsia="Times New Roman" w:hAnsi="Times New Roman" w:cs="Times New Roman"/>
      <w:b/>
      <w:bCs/>
      <w:sz w:val="26"/>
      <w:szCs w:val="26"/>
    </w:rPr>
  </w:style>
  <w:style w:type="character" w:styleId="FootnoteReference">
    <w:name w:val="footnote reference"/>
    <w:aliases w:val="o,fr,Style 42"/>
    <w:basedOn w:val="DefaultParagraphFont"/>
    <w:uiPriority w:val="99"/>
    <w:rsid w:val="00802EFC"/>
    <w:rPr>
      <w:vertAlign w:val="superscript"/>
    </w:rPr>
  </w:style>
  <w:style w:type="paragraph" w:styleId="FootnoteText">
    <w:name w:val="footnote text"/>
    <w:aliases w:val="Car,fn,ALTS FOOTNOTE,Footnote Text 2,Footnote text,FOOTNOTE,fn Char Char,fn Char,Footnote Text Char1 Char,Footnote Text Char Char Char,ALTS FOOTNOTE Char Char Char,Footnote Text Char2 Char Char Char,Footnote Text Char1,Footnote Text Char2"/>
    <w:basedOn w:val="Normal"/>
    <w:link w:val="FootnoteTextChar"/>
    <w:uiPriority w:val="99"/>
    <w:unhideWhenUsed/>
    <w:qFormat/>
    <w:rsid w:val="00802EFC"/>
  </w:style>
  <w:style w:type="character" w:customStyle="1" w:styleId="FootnoteTextChar">
    <w:name w:val="Footnote Text Char"/>
    <w:aliases w:val="Car Char,fn Char1,ALTS FOOTNOTE Char,Footnote Text 2 Char,Footnote text Char,FOOTNOTE Char,fn Char Char Char,fn Char Char1,Footnote Text Char1 Char Char,Footnote Text Char Char Char Char,ALTS FOOTNOTE Char Char Char Char"/>
    <w:basedOn w:val="DefaultParagraphFont"/>
    <w:link w:val="FootnoteText"/>
    <w:uiPriority w:val="99"/>
    <w:rsid w:val="00802EFC"/>
    <w:rPr>
      <w:rFonts w:ascii="Times New Roman" w:eastAsia="Times New Roman" w:hAnsi="Times New Roman" w:cs="Times New Roman"/>
      <w:sz w:val="20"/>
      <w:szCs w:val="20"/>
    </w:rPr>
  </w:style>
  <w:style w:type="paragraph" w:styleId="ListParagraph">
    <w:name w:val="List Paragraph"/>
    <w:basedOn w:val="Normal"/>
    <w:uiPriority w:val="34"/>
    <w:qFormat/>
    <w:rsid w:val="00802EFC"/>
    <w:pPr>
      <w:ind w:left="720"/>
      <w:contextualSpacing/>
    </w:pPr>
  </w:style>
  <w:style w:type="paragraph" w:styleId="TOCHeading">
    <w:name w:val="TOC Heading"/>
    <w:basedOn w:val="Heading1"/>
    <w:next w:val="Normal"/>
    <w:uiPriority w:val="39"/>
    <w:unhideWhenUsed/>
    <w:qFormat/>
    <w:rsid w:val="00F2483A"/>
    <w:pPr>
      <w:keepLines/>
      <w:numPr>
        <w:numId w:val="0"/>
      </w:numPr>
      <w:autoSpaceDE/>
      <w:autoSpaceDN/>
      <w:spacing w:before="240" w:line="259" w:lineRule="auto"/>
      <w:contextualSpacing w:val="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F2483A"/>
    <w:pPr>
      <w:spacing w:after="100"/>
    </w:pPr>
  </w:style>
  <w:style w:type="character" w:styleId="Hyperlink">
    <w:name w:val="Hyperlink"/>
    <w:basedOn w:val="DefaultParagraphFont"/>
    <w:uiPriority w:val="99"/>
    <w:unhideWhenUsed/>
    <w:rsid w:val="00F2483A"/>
    <w:rPr>
      <w:color w:val="0000FF" w:themeColor="hyperlink"/>
      <w:u w:val="single"/>
    </w:rPr>
  </w:style>
  <w:style w:type="paragraph" w:styleId="TOC2">
    <w:name w:val="toc 2"/>
    <w:basedOn w:val="Normal"/>
    <w:next w:val="Normal"/>
    <w:autoRedefine/>
    <w:uiPriority w:val="39"/>
    <w:unhideWhenUsed/>
    <w:rsid w:val="00FA36CB"/>
    <w:pPr>
      <w:spacing w:after="100"/>
      <w:ind w:left="200"/>
    </w:pPr>
  </w:style>
  <w:style w:type="paragraph" w:styleId="Header">
    <w:name w:val="header"/>
    <w:basedOn w:val="Normal"/>
    <w:link w:val="HeaderChar"/>
    <w:uiPriority w:val="99"/>
    <w:unhideWhenUsed/>
    <w:rsid w:val="002A68B2"/>
    <w:pPr>
      <w:tabs>
        <w:tab w:val="center" w:pos="4680"/>
        <w:tab w:val="right" w:pos="9360"/>
      </w:tabs>
    </w:pPr>
  </w:style>
  <w:style w:type="character" w:customStyle="1" w:styleId="HeaderChar">
    <w:name w:val="Header Char"/>
    <w:basedOn w:val="DefaultParagraphFont"/>
    <w:link w:val="Header"/>
    <w:uiPriority w:val="99"/>
    <w:rsid w:val="002A68B2"/>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2A68B2"/>
    <w:pPr>
      <w:tabs>
        <w:tab w:val="center" w:pos="4680"/>
        <w:tab w:val="right" w:pos="9360"/>
      </w:tabs>
    </w:pPr>
  </w:style>
  <w:style w:type="character" w:customStyle="1" w:styleId="FooterChar">
    <w:name w:val="Footer Char"/>
    <w:basedOn w:val="DefaultParagraphFont"/>
    <w:link w:val="Footer"/>
    <w:uiPriority w:val="99"/>
    <w:rsid w:val="002A68B2"/>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815418"/>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232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A25E2"/>
  </w:style>
  <w:style w:type="paragraph" w:styleId="BalloonText">
    <w:name w:val="Balloon Text"/>
    <w:basedOn w:val="Normal"/>
    <w:link w:val="BalloonTextChar"/>
    <w:uiPriority w:val="99"/>
    <w:semiHidden/>
    <w:unhideWhenUsed/>
    <w:rsid w:val="000A25E2"/>
    <w:pPr>
      <w:widowControl/>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0A25E2"/>
    <w:rPr>
      <w:rFonts w:ascii="Segoe UI" w:hAnsi="Segoe UI" w:cs="Segoe UI"/>
      <w:sz w:val="18"/>
      <w:szCs w:val="18"/>
    </w:rPr>
  </w:style>
  <w:style w:type="character" w:styleId="CommentReference">
    <w:name w:val="annotation reference"/>
    <w:basedOn w:val="DefaultParagraphFont"/>
    <w:uiPriority w:val="99"/>
    <w:semiHidden/>
    <w:unhideWhenUsed/>
    <w:rsid w:val="00FB07AE"/>
    <w:rPr>
      <w:sz w:val="16"/>
      <w:szCs w:val="16"/>
    </w:rPr>
  </w:style>
  <w:style w:type="paragraph" w:styleId="CommentText">
    <w:name w:val="annotation text"/>
    <w:basedOn w:val="Normal"/>
    <w:link w:val="CommentTextChar"/>
    <w:uiPriority w:val="99"/>
    <w:semiHidden/>
    <w:unhideWhenUsed/>
    <w:rsid w:val="00FB07AE"/>
    <w:pPr>
      <w:widowControl/>
    </w:pPr>
    <w:rPr>
      <w:rFonts w:eastAsia="PMingLiU"/>
    </w:rPr>
  </w:style>
  <w:style w:type="character" w:customStyle="1" w:styleId="CommentTextChar">
    <w:name w:val="Comment Text Char"/>
    <w:basedOn w:val="DefaultParagraphFont"/>
    <w:link w:val="CommentText"/>
    <w:uiPriority w:val="99"/>
    <w:semiHidden/>
    <w:rsid w:val="00FB07AE"/>
    <w:rPr>
      <w:rFonts w:ascii="Times New Roman" w:eastAsia="PMingLiU"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B07AE"/>
    <w:rPr>
      <w:b/>
      <w:bCs/>
    </w:rPr>
  </w:style>
  <w:style w:type="character" w:customStyle="1" w:styleId="CommentSubjectChar">
    <w:name w:val="Comment Subject Char"/>
    <w:basedOn w:val="CommentTextChar"/>
    <w:link w:val="CommentSubject"/>
    <w:uiPriority w:val="99"/>
    <w:semiHidden/>
    <w:rsid w:val="00FB07AE"/>
    <w:rPr>
      <w:rFonts w:ascii="Times New Roman" w:eastAsia="PMingLiU" w:hAnsi="Times New Roman" w:cs="Times New Roman"/>
      <w:b/>
      <w:bCs/>
      <w:sz w:val="20"/>
      <w:szCs w:val="20"/>
    </w:rPr>
  </w:style>
  <w:style w:type="paragraph" w:customStyle="1" w:styleId="footnotedescription">
    <w:name w:val="footnote description"/>
    <w:next w:val="Normal"/>
    <w:link w:val="footnotedescriptionChar"/>
    <w:hidden/>
    <w:rsid w:val="00E94066"/>
    <w:pPr>
      <w:spacing w:after="0" w:line="259"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E94066"/>
    <w:rPr>
      <w:rFonts w:ascii="Times New Roman" w:eastAsia="Times New Roman" w:hAnsi="Times New Roman" w:cs="Times New Roman"/>
      <w:color w:val="000000"/>
      <w:sz w:val="20"/>
    </w:rPr>
  </w:style>
  <w:style w:type="character" w:customStyle="1" w:styleId="footnotemark">
    <w:name w:val="footnote mark"/>
    <w:hidden/>
    <w:rsid w:val="00E94066"/>
    <w:rPr>
      <w:rFonts w:ascii="Times New Roman" w:eastAsia="Times New Roman" w:hAnsi="Times New Roman" w:cs="Times New Roman"/>
      <w:color w:val="000000"/>
      <w:sz w:val="20"/>
      <w:vertAlign w:val="superscript"/>
    </w:rPr>
  </w:style>
  <w:style w:type="table" w:customStyle="1" w:styleId="TableGrid0">
    <w:name w:val="TableGrid"/>
    <w:rsid w:val="00E42732"/>
    <w:pPr>
      <w:spacing w:after="0" w:line="240" w:lineRule="auto"/>
    </w:pPr>
    <w:rPr>
      <w:rFonts w:eastAsiaTheme="minorEastAsia"/>
    </w:rPr>
    <w:tblPr>
      <w:tblCellMar>
        <w:top w:w="0" w:type="dxa"/>
        <w:left w:w="0" w:type="dxa"/>
        <w:bottom w:w="0" w:type="dxa"/>
        <w:right w:w="0" w:type="dxa"/>
      </w:tblCellMar>
    </w:tblPr>
  </w:style>
  <w:style w:type="paragraph" w:styleId="BodyTextIndent">
    <w:name w:val="Body Text Indent"/>
    <w:basedOn w:val="Normal"/>
    <w:link w:val="BodyTextIndentChar"/>
    <w:uiPriority w:val="99"/>
    <w:unhideWhenUsed/>
    <w:rsid w:val="003F3B53"/>
    <w:pPr>
      <w:spacing w:line="360" w:lineRule="auto"/>
      <w:ind w:firstLine="1440"/>
    </w:pPr>
    <w:rPr>
      <w:sz w:val="26"/>
      <w:szCs w:val="26"/>
    </w:rPr>
  </w:style>
  <w:style w:type="character" w:customStyle="1" w:styleId="BodyTextIndentChar">
    <w:name w:val="Body Text Indent Char"/>
    <w:basedOn w:val="DefaultParagraphFont"/>
    <w:link w:val="BodyTextIndent"/>
    <w:uiPriority w:val="99"/>
    <w:rsid w:val="003F3B53"/>
    <w:rPr>
      <w:rFonts w:ascii="Times New Roman" w:eastAsia="Times New Roman" w:hAnsi="Times New Roman" w:cs="Times New Roman"/>
      <w:sz w:val="26"/>
      <w:szCs w:val="26"/>
    </w:rPr>
  </w:style>
  <w:style w:type="paragraph" w:styleId="Revision">
    <w:name w:val="Revision"/>
    <w:hidden/>
    <w:uiPriority w:val="99"/>
    <w:semiHidden/>
    <w:rsid w:val="00057788"/>
    <w:pPr>
      <w:spacing w:after="0" w:line="240" w:lineRule="auto"/>
    </w:pPr>
    <w:rPr>
      <w:rFonts w:ascii="Times New Roman" w:eastAsia="Times New Roman" w:hAnsi="Times New Roman" w:cs="Times New Roman"/>
      <w:sz w:val="20"/>
      <w:szCs w:val="20"/>
    </w:rPr>
  </w:style>
  <w:style w:type="character" w:styleId="PlaceholderText">
    <w:name w:val="Placeholder Text"/>
    <w:basedOn w:val="DefaultParagraphFont"/>
    <w:uiPriority w:val="99"/>
    <w:semiHidden/>
    <w:rsid w:val="0003326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4676050">
      <w:bodyDiv w:val="1"/>
      <w:marLeft w:val="0"/>
      <w:marRight w:val="0"/>
      <w:marTop w:val="0"/>
      <w:marBottom w:val="0"/>
      <w:divBdr>
        <w:top w:val="none" w:sz="0" w:space="0" w:color="auto"/>
        <w:left w:val="none" w:sz="0" w:space="0" w:color="auto"/>
        <w:bottom w:val="none" w:sz="0" w:space="0" w:color="auto"/>
        <w:right w:val="none" w:sz="0" w:space="0" w:color="auto"/>
      </w:divBdr>
    </w:div>
    <w:div w:id="1703902054">
      <w:bodyDiv w:val="1"/>
      <w:marLeft w:val="0"/>
      <w:marRight w:val="0"/>
      <w:marTop w:val="0"/>
      <w:marBottom w:val="0"/>
      <w:divBdr>
        <w:top w:val="none" w:sz="0" w:space="0" w:color="auto"/>
        <w:left w:val="none" w:sz="0" w:space="0" w:color="auto"/>
        <w:bottom w:val="none" w:sz="0" w:space="0" w:color="auto"/>
        <w:right w:val="none" w:sz="0" w:space="0" w:color="auto"/>
      </w:divBdr>
      <w:divsChild>
        <w:div w:id="1727950738">
          <w:marLeft w:val="0"/>
          <w:marRight w:val="0"/>
          <w:marTop w:val="0"/>
          <w:marBottom w:val="0"/>
          <w:divBdr>
            <w:top w:val="none" w:sz="0" w:space="0" w:color="auto"/>
            <w:left w:val="none" w:sz="0" w:space="0" w:color="auto"/>
            <w:bottom w:val="none" w:sz="0" w:space="0" w:color="auto"/>
            <w:right w:val="none" w:sz="0" w:space="0" w:color="auto"/>
          </w:divBdr>
          <w:divsChild>
            <w:div w:id="677848222">
              <w:marLeft w:val="0"/>
              <w:marRight w:val="0"/>
              <w:marTop w:val="0"/>
              <w:marBottom w:val="0"/>
              <w:divBdr>
                <w:top w:val="none" w:sz="0" w:space="0" w:color="auto"/>
                <w:left w:val="none" w:sz="0" w:space="0" w:color="auto"/>
                <w:bottom w:val="none" w:sz="0" w:space="0" w:color="auto"/>
                <w:right w:val="none" w:sz="0" w:space="0" w:color="auto"/>
              </w:divBdr>
              <w:divsChild>
                <w:div w:id="397478000">
                  <w:marLeft w:val="0"/>
                  <w:marRight w:val="0"/>
                  <w:marTop w:val="0"/>
                  <w:marBottom w:val="0"/>
                  <w:divBdr>
                    <w:top w:val="none" w:sz="0" w:space="0" w:color="auto"/>
                    <w:left w:val="none" w:sz="0" w:space="0" w:color="auto"/>
                    <w:bottom w:val="none" w:sz="0" w:space="0" w:color="auto"/>
                    <w:right w:val="none" w:sz="0" w:space="0" w:color="auto"/>
                  </w:divBdr>
                  <w:divsChild>
                    <w:div w:id="1711490040">
                      <w:marLeft w:val="0"/>
                      <w:marRight w:val="0"/>
                      <w:marTop w:val="45"/>
                      <w:marBottom w:val="0"/>
                      <w:divBdr>
                        <w:top w:val="none" w:sz="0" w:space="0" w:color="auto"/>
                        <w:left w:val="none" w:sz="0" w:space="0" w:color="auto"/>
                        <w:bottom w:val="none" w:sz="0" w:space="0" w:color="auto"/>
                        <w:right w:val="none" w:sz="0" w:space="0" w:color="auto"/>
                      </w:divBdr>
                      <w:divsChild>
                        <w:div w:id="357849934">
                          <w:marLeft w:val="0"/>
                          <w:marRight w:val="0"/>
                          <w:marTop w:val="0"/>
                          <w:marBottom w:val="0"/>
                          <w:divBdr>
                            <w:top w:val="none" w:sz="0" w:space="0" w:color="auto"/>
                            <w:left w:val="none" w:sz="0" w:space="0" w:color="auto"/>
                            <w:bottom w:val="none" w:sz="0" w:space="0" w:color="auto"/>
                            <w:right w:val="none" w:sz="0" w:space="0" w:color="auto"/>
                          </w:divBdr>
                          <w:divsChild>
                            <w:div w:id="864632573">
                              <w:marLeft w:val="2070"/>
                              <w:marRight w:val="3960"/>
                              <w:marTop w:val="0"/>
                              <w:marBottom w:val="0"/>
                              <w:divBdr>
                                <w:top w:val="none" w:sz="0" w:space="0" w:color="auto"/>
                                <w:left w:val="none" w:sz="0" w:space="0" w:color="auto"/>
                                <w:bottom w:val="none" w:sz="0" w:space="0" w:color="auto"/>
                                <w:right w:val="none" w:sz="0" w:space="0" w:color="auto"/>
                              </w:divBdr>
                              <w:divsChild>
                                <w:div w:id="830634838">
                                  <w:marLeft w:val="0"/>
                                  <w:marRight w:val="0"/>
                                  <w:marTop w:val="0"/>
                                  <w:marBottom w:val="0"/>
                                  <w:divBdr>
                                    <w:top w:val="none" w:sz="0" w:space="0" w:color="auto"/>
                                    <w:left w:val="none" w:sz="0" w:space="0" w:color="auto"/>
                                    <w:bottom w:val="none" w:sz="0" w:space="0" w:color="auto"/>
                                    <w:right w:val="none" w:sz="0" w:space="0" w:color="auto"/>
                                  </w:divBdr>
                                  <w:divsChild>
                                    <w:div w:id="571938055">
                                      <w:marLeft w:val="0"/>
                                      <w:marRight w:val="0"/>
                                      <w:marTop w:val="0"/>
                                      <w:marBottom w:val="0"/>
                                      <w:divBdr>
                                        <w:top w:val="none" w:sz="0" w:space="0" w:color="auto"/>
                                        <w:left w:val="none" w:sz="0" w:space="0" w:color="auto"/>
                                        <w:bottom w:val="none" w:sz="0" w:space="0" w:color="auto"/>
                                        <w:right w:val="none" w:sz="0" w:space="0" w:color="auto"/>
                                      </w:divBdr>
                                      <w:divsChild>
                                        <w:div w:id="1343316386">
                                          <w:marLeft w:val="0"/>
                                          <w:marRight w:val="0"/>
                                          <w:marTop w:val="0"/>
                                          <w:marBottom w:val="0"/>
                                          <w:divBdr>
                                            <w:top w:val="none" w:sz="0" w:space="0" w:color="auto"/>
                                            <w:left w:val="none" w:sz="0" w:space="0" w:color="auto"/>
                                            <w:bottom w:val="none" w:sz="0" w:space="0" w:color="auto"/>
                                            <w:right w:val="none" w:sz="0" w:space="0" w:color="auto"/>
                                          </w:divBdr>
                                          <w:divsChild>
                                            <w:div w:id="66149014">
                                              <w:marLeft w:val="0"/>
                                              <w:marRight w:val="0"/>
                                              <w:marTop w:val="90"/>
                                              <w:marBottom w:val="0"/>
                                              <w:divBdr>
                                                <w:top w:val="none" w:sz="0" w:space="0" w:color="auto"/>
                                                <w:left w:val="none" w:sz="0" w:space="0" w:color="auto"/>
                                                <w:bottom w:val="none" w:sz="0" w:space="0" w:color="auto"/>
                                                <w:right w:val="none" w:sz="0" w:space="0" w:color="auto"/>
                                              </w:divBdr>
                                              <w:divsChild>
                                                <w:div w:id="1129782924">
                                                  <w:marLeft w:val="0"/>
                                                  <w:marRight w:val="0"/>
                                                  <w:marTop w:val="0"/>
                                                  <w:marBottom w:val="0"/>
                                                  <w:divBdr>
                                                    <w:top w:val="none" w:sz="0" w:space="0" w:color="auto"/>
                                                    <w:left w:val="none" w:sz="0" w:space="0" w:color="auto"/>
                                                    <w:bottom w:val="none" w:sz="0" w:space="0" w:color="auto"/>
                                                    <w:right w:val="none" w:sz="0" w:space="0" w:color="auto"/>
                                                  </w:divBdr>
                                                  <w:divsChild>
                                                    <w:div w:id="1134519598">
                                                      <w:marLeft w:val="0"/>
                                                      <w:marRight w:val="0"/>
                                                      <w:marTop w:val="0"/>
                                                      <w:marBottom w:val="0"/>
                                                      <w:divBdr>
                                                        <w:top w:val="none" w:sz="0" w:space="0" w:color="auto"/>
                                                        <w:left w:val="none" w:sz="0" w:space="0" w:color="auto"/>
                                                        <w:bottom w:val="none" w:sz="0" w:space="0" w:color="auto"/>
                                                        <w:right w:val="none" w:sz="0" w:space="0" w:color="auto"/>
                                                      </w:divBdr>
                                                      <w:divsChild>
                                                        <w:div w:id="592013064">
                                                          <w:marLeft w:val="0"/>
                                                          <w:marRight w:val="0"/>
                                                          <w:marTop w:val="0"/>
                                                          <w:marBottom w:val="390"/>
                                                          <w:divBdr>
                                                            <w:top w:val="none" w:sz="0" w:space="0" w:color="auto"/>
                                                            <w:left w:val="none" w:sz="0" w:space="0" w:color="auto"/>
                                                            <w:bottom w:val="none" w:sz="0" w:space="0" w:color="auto"/>
                                                            <w:right w:val="none" w:sz="0" w:space="0" w:color="auto"/>
                                                          </w:divBdr>
                                                          <w:divsChild>
                                                            <w:div w:id="1840080881">
                                                              <w:marLeft w:val="0"/>
                                                              <w:marRight w:val="0"/>
                                                              <w:marTop w:val="0"/>
                                                              <w:marBottom w:val="0"/>
                                                              <w:divBdr>
                                                                <w:top w:val="none" w:sz="0" w:space="0" w:color="auto"/>
                                                                <w:left w:val="none" w:sz="0" w:space="0" w:color="auto"/>
                                                                <w:bottom w:val="none" w:sz="0" w:space="0" w:color="auto"/>
                                                                <w:right w:val="none" w:sz="0" w:space="0" w:color="auto"/>
                                                              </w:divBdr>
                                                              <w:divsChild>
                                                                <w:div w:id="397439374">
                                                                  <w:marLeft w:val="0"/>
                                                                  <w:marRight w:val="0"/>
                                                                  <w:marTop w:val="0"/>
                                                                  <w:marBottom w:val="0"/>
                                                                  <w:divBdr>
                                                                    <w:top w:val="none" w:sz="0" w:space="0" w:color="auto"/>
                                                                    <w:left w:val="none" w:sz="0" w:space="0" w:color="auto"/>
                                                                    <w:bottom w:val="none" w:sz="0" w:space="0" w:color="auto"/>
                                                                    <w:right w:val="none" w:sz="0" w:space="0" w:color="auto"/>
                                                                  </w:divBdr>
                                                                  <w:divsChild>
                                                                    <w:div w:id="1386179902">
                                                                      <w:marLeft w:val="0"/>
                                                                      <w:marRight w:val="0"/>
                                                                      <w:marTop w:val="0"/>
                                                                      <w:marBottom w:val="0"/>
                                                                      <w:divBdr>
                                                                        <w:top w:val="none" w:sz="0" w:space="0" w:color="auto"/>
                                                                        <w:left w:val="none" w:sz="0" w:space="0" w:color="auto"/>
                                                                        <w:bottom w:val="none" w:sz="0" w:space="0" w:color="auto"/>
                                                                        <w:right w:val="none" w:sz="0" w:space="0" w:color="auto"/>
                                                                      </w:divBdr>
                                                                      <w:divsChild>
                                                                        <w:div w:id="371654972">
                                                                          <w:marLeft w:val="0"/>
                                                                          <w:marRight w:val="0"/>
                                                                          <w:marTop w:val="0"/>
                                                                          <w:marBottom w:val="0"/>
                                                                          <w:divBdr>
                                                                            <w:top w:val="none" w:sz="0" w:space="0" w:color="auto"/>
                                                                            <w:left w:val="none" w:sz="0" w:space="0" w:color="auto"/>
                                                                            <w:bottom w:val="none" w:sz="0" w:space="0" w:color="auto"/>
                                                                            <w:right w:val="none" w:sz="0" w:space="0" w:color="auto"/>
                                                                          </w:divBdr>
                                                                          <w:divsChild>
                                                                            <w:div w:id="701247892">
                                                                              <w:marLeft w:val="0"/>
                                                                              <w:marRight w:val="0"/>
                                                                              <w:marTop w:val="0"/>
                                                                              <w:marBottom w:val="0"/>
                                                                              <w:divBdr>
                                                                                <w:top w:val="none" w:sz="0" w:space="0" w:color="auto"/>
                                                                                <w:left w:val="none" w:sz="0" w:space="0" w:color="auto"/>
                                                                                <w:bottom w:val="none" w:sz="0" w:space="0" w:color="auto"/>
                                                                                <w:right w:val="none" w:sz="0" w:space="0" w:color="auto"/>
                                                                              </w:divBdr>
                                                                              <w:divsChild>
                                                                                <w:div w:id="1647934037">
                                                                                  <w:marLeft w:val="0"/>
                                                                                  <w:marRight w:val="0"/>
                                                                                  <w:marTop w:val="0"/>
                                                                                  <w:marBottom w:val="0"/>
                                                                                  <w:divBdr>
                                                                                    <w:top w:val="none" w:sz="0" w:space="0" w:color="auto"/>
                                                                                    <w:left w:val="none" w:sz="0" w:space="0" w:color="auto"/>
                                                                                    <w:bottom w:val="none" w:sz="0" w:space="0" w:color="auto"/>
                                                                                    <w:right w:val="none" w:sz="0" w:space="0" w:color="auto"/>
                                                                                  </w:divBdr>
                                                                                  <w:divsChild>
                                                                                    <w:div w:id="1309096152">
                                                                                      <w:marLeft w:val="0"/>
                                                                                      <w:marRight w:val="0"/>
                                                                                      <w:marTop w:val="0"/>
                                                                                      <w:marBottom w:val="0"/>
                                                                                      <w:divBdr>
                                                                                        <w:top w:val="none" w:sz="0" w:space="0" w:color="auto"/>
                                                                                        <w:left w:val="none" w:sz="0" w:space="0" w:color="auto"/>
                                                                                        <w:bottom w:val="none" w:sz="0" w:space="0" w:color="auto"/>
                                                                                        <w:right w:val="none" w:sz="0" w:space="0" w:color="auto"/>
                                                                                      </w:divBdr>
                                                                                      <w:divsChild>
                                                                                        <w:div w:id="535697415">
                                                                                          <w:marLeft w:val="0"/>
                                                                                          <w:marRight w:val="0"/>
                                                                                          <w:marTop w:val="0"/>
                                                                                          <w:marBottom w:val="0"/>
                                                                                          <w:divBdr>
                                                                                            <w:top w:val="none" w:sz="0" w:space="0" w:color="auto"/>
                                                                                            <w:left w:val="none" w:sz="0" w:space="0" w:color="auto"/>
                                                                                            <w:bottom w:val="none" w:sz="0" w:space="0" w:color="auto"/>
                                                                                            <w:right w:val="none" w:sz="0" w:space="0" w:color="auto"/>
                                                                                          </w:divBdr>
                                                                                          <w:divsChild>
                                                                                            <w:div w:id="248316325">
                                                                                              <w:marLeft w:val="0"/>
                                                                                              <w:marRight w:val="0"/>
                                                                                              <w:marTop w:val="0"/>
                                                                                              <w:marBottom w:val="0"/>
                                                                                              <w:divBdr>
                                                                                                <w:top w:val="none" w:sz="0" w:space="0" w:color="auto"/>
                                                                                                <w:left w:val="none" w:sz="0" w:space="0" w:color="auto"/>
                                                                                                <w:bottom w:val="none" w:sz="0" w:space="0" w:color="auto"/>
                                                                                                <w:right w:val="none" w:sz="0" w:space="0" w:color="auto"/>
                                                                                              </w:divBdr>
                                                                                              <w:divsChild>
                                                                                                <w:div w:id="385684782">
                                                                                                  <w:marLeft w:val="0"/>
                                                                                                  <w:marRight w:val="0"/>
                                                                                                  <w:marTop w:val="0"/>
                                                                                                  <w:marBottom w:val="0"/>
                                                                                                  <w:divBdr>
                                                                                                    <w:top w:val="none" w:sz="0" w:space="0" w:color="auto"/>
                                                                                                    <w:left w:val="none" w:sz="0" w:space="0" w:color="auto"/>
                                                                                                    <w:bottom w:val="none" w:sz="0" w:space="0" w:color="auto"/>
                                                                                                    <w:right w:val="none" w:sz="0" w:space="0" w:color="auto"/>
                                                                                                  </w:divBdr>
                                                                                                  <w:divsChild>
                                                                                                    <w:div w:id="885720976">
                                                                                                      <w:marLeft w:val="0"/>
                                                                                                      <w:marRight w:val="0"/>
                                                                                                      <w:marTop w:val="0"/>
                                                                                                      <w:marBottom w:val="0"/>
                                                                                                      <w:divBdr>
                                                                                                        <w:top w:val="none" w:sz="0" w:space="0" w:color="auto"/>
                                                                                                        <w:left w:val="none" w:sz="0" w:space="0" w:color="auto"/>
                                                                                                        <w:bottom w:val="none" w:sz="0" w:space="0" w:color="auto"/>
                                                                                                        <w:right w:val="none" w:sz="0" w:space="0" w:color="auto"/>
                                                                                                      </w:divBdr>
                                                                                                      <w:divsChild>
                                                                                                        <w:div w:id="1667200523">
                                                                                                          <w:marLeft w:val="0"/>
                                                                                                          <w:marRight w:val="0"/>
                                                                                                          <w:marTop w:val="0"/>
                                                                                                          <w:marBottom w:val="0"/>
                                                                                                          <w:divBdr>
                                                                                                            <w:top w:val="none" w:sz="0" w:space="0" w:color="auto"/>
                                                                                                            <w:left w:val="none" w:sz="0" w:space="0" w:color="auto"/>
                                                                                                            <w:bottom w:val="none" w:sz="0" w:space="0" w:color="auto"/>
                                                                                                            <w:right w:val="none" w:sz="0" w:space="0" w:color="auto"/>
                                                                                                          </w:divBdr>
                                                                                                          <w:divsChild>
                                                                                                            <w:div w:id="1215042777">
                                                                                                              <w:marLeft w:val="300"/>
                                                                                                              <w:marRight w:val="0"/>
                                                                                                              <w:marTop w:val="0"/>
                                                                                                              <w:marBottom w:val="0"/>
                                                                                                              <w:divBdr>
                                                                                                                <w:top w:val="none" w:sz="0" w:space="0" w:color="auto"/>
                                                                                                                <w:left w:val="none" w:sz="0" w:space="0" w:color="auto"/>
                                                                                                                <w:bottom w:val="none" w:sz="0" w:space="0" w:color="auto"/>
                                                                                                                <w:right w:val="none" w:sz="0" w:space="0" w:color="auto"/>
                                                                                                              </w:divBdr>
                                                                                                              <w:divsChild>
                                                                                                                <w:div w:id="811824205">
                                                                                                                  <w:marLeft w:val="0"/>
                                                                                                                  <w:marRight w:val="0"/>
                                                                                                                  <w:marTop w:val="0"/>
                                                                                                                  <w:marBottom w:val="0"/>
                                                                                                                  <w:divBdr>
                                                                                                                    <w:top w:val="none" w:sz="0" w:space="0" w:color="auto"/>
                                                                                                                    <w:left w:val="none" w:sz="0" w:space="0" w:color="auto"/>
                                                                                                                    <w:bottom w:val="none" w:sz="0" w:space="0" w:color="auto"/>
                                                                                                                    <w:right w:val="none" w:sz="0" w:space="0" w:color="auto"/>
                                                                                                                  </w:divBdr>
                                                                                                                  <w:divsChild>
                                                                                                                    <w:div w:id="9228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westlaw.com/Link/Document/FullText?findType=L&amp;pubNum=1000262&amp;cite=PA66S1502&amp;originatingDoc=Ib4e38679851c11dbab489133ffb377e0&amp;refType=LQ&amp;originationContext=document&amp;vr=3.0&amp;rs=cblt1.0&amp;transitionType=DocumentItem&amp;contextData=(sc.Default)" TargetMode="External"/><Relationship Id="rId18" Type="http://schemas.openxmlformats.org/officeDocument/2006/relationships/image" Target="media/image2.jpeg"/><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yperlink" Target="http://www.westlaw.com/Link/Document/FullText?findType=L&amp;pubNum=1000262&amp;cite=PA66S1502&amp;originatingDoc=Ib4e38679851c11dbab489133ffb377e0&amp;refType=LQ&amp;originationContext=document&amp;vr=3.0&amp;rs=cblt1.0&amp;transitionType=DocumentItem&amp;contextData=(sc.Default)" TargetMode="External"/><Relationship Id="rId17" Type="http://schemas.openxmlformats.org/officeDocument/2006/relationships/footer" Target="footer4.xml"/><Relationship Id="rId25" Type="http://schemas.openxmlformats.org/officeDocument/2006/relationships/image" Target="media/image9.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stlaw.com/Link/Document/FullText?findType=L&amp;pubNum=1000262&amp;cite=PA66S1502&amp;originatingDoc=Ib4e38679851c11dbab489133ffb377e0&amp;refType=LQ&amp;originationContext=document&amp;vr=3.0&amp;rs=cblt1.0&amp;transitionType=DocumentItem&amp;contextData=(sc.Default)" TargetMode="External"/><Relationship Id="rId24" Type="http://schemas.openxmlformats.org/officeDocument/2006/relationships/image" Target="media/image8.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g"/><Relationship Id="rId28" Type="http://schemas.openxmlformats.org/officeDocument/2006/relationships/image" Target="media/image12.jpg"/><Relationship Id="rId10" Type="http://schemas.openxmlformats.org/officeDocument/2006/relationships/hyperlink" Target="file://C:\research\buttonTFLink?_m=69761b6202cb4178e2a6e6fe02f5751b&amp;_xfercite=%3ccite%20cc=%22USA%22%3e%3c!%5bCDATA%5b2000%20Pa.%20PUC%20LEXIS%2067%20%5d%5d%3e%3c\cite%3e&amp;_butType=3&amp;_butStat=242&amp;_butNum=6&amp;_butInline=1&amp;_butinfo=%3ccite%20cc=%22USA%22%3e%3c!%5bCDATA%5b485%20A.2d%201217%5d%5d%3e%3c\cite%3e&amp;_fmtstr=FULL&amp;docnum=5&amp;_startdoc=1&amp;_startchk=1&amp;wchp=dGLSzS-lSlbz&amp;_md5=9b1cc8319afd12440738bb82d74455ef" TargetMode="External"/><Relationship Id="rId19" Type="http://schemas.openxmlformats.org/officeDocument/2006/relationships/image" Target="media/image3.jpe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file://C:\research\buttonTFLink?_m=69761b6202cb4178e2a6e6fe02f5751b&amp;_xfercite=%3ccite%20cc=%22USA%22%3e%3c!%5bCDATA%5b2000%20Pa.%20PUC%20LEXIS%2067%20%5d%5d%3e%3c\cite%3e&amp;_butType=3&amp;_butStat=242&amp;_butNum=5&amp;_butInline=1&amp;_butinfo=%3ccite%20cc=%22USA%22%3e%3c!%5bCDATA%5b625%20A.2d%20741%5d%5d%3e%3c\cite%3e&amp;_fmtstr=FULL&amp;docnum=5&amp;_startdoc=1&amp;_startchk=1&amp;wchp=dGLSzS-lSlbz&amp;_md5=ad2b02d95c2a9216e83b92a3570d4785" TargetMode="External"/><Relationship Id="rId14" Type="http://schemas.openxmlformats.org/officeDocument/2006/relationships/image" Target="media/image1.png"/><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118F7-4D34-4571-80B9-F170CAC1E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70</Pages>
  <Words>15217</Words>
  <Characters>86737</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Capper, Thomas</dc:creator>
  <cp:keywords/>
  <dc:description/>
  <cp:lastModifiedBy>Wagner, Nathan R</cp:lastModifiedBy>
  <cp:revision>6</cp:revision>
  <cp:lastPrinted>2018-11-28T13:43:00Z</cp:lastPrinted>
  <dcterms:created xsi:type="dcterms:W3CDTF">2018-12-04T20:23:00Z</dcterms:created>
  <dcterms:modified xsi:type="dcterms:W3CDTF">2018-12-06T13:03:00Z</dcterms:modified>
</cp:coreProperties>
</file>