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702" w:type="dxa"/>
        <w:tblLayout w:type="fixed"/>
        <w:tblLook w:val="0000" w:firstRow="0" w:lastRow="0" w:firstColumn="0" w:lastColumn="0" w:noHBand="0" w:noVBand="0"/>
      </w:tblPr>
      <w:tblGrid>
        <w:gridCol w:w="1363"/>
        <w:gridCol w:w="7727"/>
        <w:gridCol w:w="1620"/>
      </w:tblGrid>
      <w:tr w:rsidR="00C74A51" w14:paraId="44742D1C" w14:textId="77777777" w:rsidTr="00C46A62">
        <w:trPr>
          <w:trHeight w:val="990"/>
        </w:trPr>
        <w:tc>
          <w:tcPr>
            <w:tcW w:w="1363" w:type="dxa"/>
          </w:tcPr>
          <w:p w14:paraId="03D6D335" w14:textId="77777777" w:rsidR="00C74A51" w:rsidRDefault="00DD771F">
            <w:pPr>
              <w:rPr>
                <w:sz w:val="24"/>
              </w:rPr>
            </w:pPr>
            <w:r>
              <w:rPr>
                <w:noProof/>
                <w:spacing w:val="-2"/>
              </w:rPr>
              <w:drawing>
                <wp:inline distT="0" distB="0" distL="0" distR="0" wp14:anchorId="7D7FC51F" wp14:editId="29BA4334">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27" w:type="dxa"/>
          </w:tcPr>
          <w:p w14:paraId="6371431C" w14:textId="77777777" w:rsidR="00C74A51" w:rsidRDefault="00C74A51">
            <w:pPr>
              <w:suppressAutoHyphens/>
              <w:spacing w:line="204" w:lineRule="auto"/>
              <w:jc w:val="center"/>
              <w:rPr>
                <w:rFonts w:ascii="Arial" w:hAnsi="Arial"/>
                <w:color w:val="000080"/>
                <w:spacing w:val="-3"/>
                <w:sz w:val="26"/>
              </w:rPr>
            </w:pPr>
          </w:p>
          <w:p w14:paraId="0B28857B"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2C958046"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7E66C6EE" w14:textId="77777777"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14:paraId="47EA9FEE" w14:textId="77777777" w:rsidR="00C74A51" w:rsidRDefault="00C74A51">
            <w:pPr>
              <w:rPr>
                <w:rFonts w:ascii="Arial" w:hAnsi="Arial"/>
                <w:sz w:val="12"/>
              </w:rPr>
            </w:pPr>
          </w:p>
          <w:p w14:paraId="0F0656E3" w14:textId="77777777" w:rsidR="00C74A51" w:rsidRDefault="00C74A51">
            <w:pPr>
              <w:rPr>
                <w:rFonts w:ascii="Arial" w:hAnsi="Arial"/>
                <w:sz w:val="12"/>
              </w:rPr>
            </w:pPr>
          </w:p>
          <w:p w14:paraId="478EF585" w14:textId="77777777" w:rsidR="00DD1B5A" w:rsidRDefault="00DD1B5A">
            <w:pPr>
              <w:jc w:val="right"/>
              <w:rPr>
                <w:rFonts w:ascii="Arial" w:hAnsi="Arial"/>
                <w:b/>
                <w:spacing w:val="-1"/>
                <w:sz w:val="12"/>
              </w:rPr>
            </w:pPr>
          </w:p>
          <w:p w14:paraId="5912B1F8" w14:textId="77777777" w:rsidR="00DD1B5A" w:rsidRDefault="00DD1B5A">
            <w:pPr>
              <w:jc w:val="right"/>
              <w:rPr>
                <w:rFonts w:ascii="Arial" w:hAnsi="Arial"/>
                <w:b/>
                <w:spacing w:val="-1"/>
                <w:sz w:val="12"/>
              </w:rPr>
            </w:pPr>
          </w:p>
          <w:p w14:paraId="01400BC0" w14:textId="526DCB07" w:rsidR="00C74A51" w:rsidRDefault="00C74A51">
            <w:pPr>
              <w:jc w:val="right"/>
              <w:rPr>
                <w:rFonts w:ascii="Arial" w:hAnsi="Arial"/>
                <w:b/>
                <w:spacing w:val="-1"/>
                <w:sz w:val="12"/>
              </w:rPr>
            </w:pPr>
            <w:r>
              <w:rPr>
                <w:rFonts w:ascii="Arial" w:hAnsi="Arial"/>
                <w:b/>
                <w:spacing w:val="-1"/>
                <w:sz w:val="12"/>
              </w:rPr>
              <w:t>IN REPLY PLEASE REFER TO OUR FILE</w:t>
            </w:r>
          </w:p>
          <w:p w14:paraId="110F6A98" w14:textId="77777777" w:rsidR="000F711A" w:rsidRDefault="000F711A" w:rsidP="00284E35">
            <w:pPr>
              <w:jc w:val="right"/>
              <w:rPr>
                <w:sz w:val="16"/>
                <w:szCs w:val="16"/>
              </w:rPr>
            </w:pPr>
            <w:r>
              <w:rPr>
                <w:sz w:val="16"/>
                <w:szCs w:val="16"/>
              </w:rPr>
              <w:t>Docket No.</w:t>
            </w:r>
          </w:p>
          <w:p w14:paraId="3AAE1BFB" w14:textId="23550920" w:rsidR="003569E8" w:rsidRPr="00DD1B5A" w:rsidRDefault="00803661" w:rsidP="00DD1B5A">
            <w:pPr>
              <w:ind w:left="-828"/>
              <w:jc w:val="right"/>
            </w:pPr>
            <w:r w:rsidRPr="00803661">
              <w:t>M-2016-2543193</w:t>
            </w:r>
            <w:r w:rsidR="00FA244D">
              <w:rPr>
                <w:sz w:val="16"/>
                <w:szCs w:val="16"/>
              </w:rPr>
              <w:t xml:space="preserve">   </w:t>
            </w:r>
          </w:p>
        </w:tc>
      </w:tr>
    </w:tbl>
    <w:p w14:paraId="37F360E4" w14:textId="77777777" w:rsidR="00C74A51" w:rsidRDefault="00C74A51">
      <w:pPr>
        <w:rPr>
          <w:sz w:val="24"/>
        </w:rPr>
        <w:sectPr w:rsidR="00C74A51" w:rsidSect="00B414F2">
          <w:headerReference w:type="default" r:id="rId9"/>
          <w:footerReference w:type="even" r:id="rId10"/>
          <w:footerReference w:type="default" r:id="rId11"/>
          <w:pgSz w:w="12240" w:h="15840"/>
          <w:pgMar w:top="504" w:right="1440" w:bottom="1440" w:left="1440" w:header="720" w:footer="720" w:gutter="0"/>
          <w:cols w:space="720"/>
          <w:titlePg/>
        </w:sectPr>
      </w:pPr>
    </w:p>
    <w:p w14:paraId="0ED8DCE1" w14:textId="0EBB6C97" w:rsidR="00FA0E37" w:rsidRPr="00FD17B0" w:rsidRDefault="00026A1D" w:rsidP="00FA0E37">
      <w:pPr>
        <w:jc w:val="center"/>
        <w:rPr>
          <w:sz w:val="26"/>
          <w:szCs w:val="26"/>
        </w:rPr>
      </w:pPr>
      <w:r>
        <w:rPr>
          <w:sz w:val="26"/>
          <w:szCs w:val="26"/>
        </w:rPr>
        <w:t>March 1, 2019</w:t>
      </w:r>
    </w:p>
    <w:p w14:paraId="309E533E" w14:textId="77777777" w:rsidR="00F25403" w:rsidRPr="00FD17B0" w:rsidRDefault="00F25403" w:rsidP="00F25403">
      <w:pPr>
        <w:jc w:val="right"/>
        <w:rPr>
          <w:sz w:val="26"/>
          <w:szCs w:val="26"/>
        </w:rPr>
      </w:pPr>
    </w:p>
    <w:p w14:paraId="44EC5182" w14:textId="77777777" w:rsidR="00F25403" w:rsidRPr="00FD17B0" w:rsidRDefault="00F25403" w:rsidP="00F25403">
      <w:pPr>
        <w:jc w:val="right"/>
        <w:rPr>
          <w:sz w:val="26"/>
          <w:szCs w:val="26"/>
        </w:rPr>
      </w:pPr>
    </w:p>
    <w:p w14:paraId="62659191" w14:textId="77777777" w:rsidR="005A558E" w:rsidRPr="00FD17B0" w:rsidRDefault="005A558E" w:rsidP="00687551">
      <w:pPr>
        <w:tabs>
          <w:tab w:val="left" w:pos="5760"/>
          <w:tab w:val="left" w:pos="7200"/>
        </w:tabs>
        <w:jc w:val="center"/>
        <w:rPr>
          <w:b/>
          <w:sz w:val="26"/>
          <w:szCs w:val="26"/>
        </w:rPr>
      </w:pPr>
      <w:r w:rsidRPr="00FD17B0">
        <w:rPr>
          <w:b/>
          <w:sz w:val="26"/>
          <w:szCs w:val="26"/>
        </w:rPr>
        <w:t>APPENDICES TO ACCOMPANY</w:t>
      </w:r>
    </w:p>
    <w:p w14:paraId="207CE161" w14:textId="635F845B" w:rsidR="00687551" w:rsidRPr="00FD17B0" w:rsidRDefault="00687551" w:rsidP="00687551">
      <w:pPr>
        <w:tabs>
          <w:tab w:val="left" w:pos="5760"/>
          <w:tab w:val="left" w:pos="7200"/>
        </w:tabs>
        <w:jc w:val="center"/>
        <w:rPr>
          <w:b/>
          <w:sz w:val="26"/>
          <w:szCs w:val="26"/>
        </w:rPr>
      </w:pPr>
      <w:r w:rsidRPr="00FD17B0">
        <w:rPr>
          <w:b/>
          <w:sz w:val="26"/>
          <w:szCs w:val="26"/>
        </w:rPr>
        <w:t>FINAL SUPPLEMENTAL</w:t>
      </w:r>
    </w:p>
    <w:p w14:paraId="44F04CEE" w14:textId="71DF13DC" w:rsidR="006C2028" w:rsidRPr="00FD17B0" w:rsidRDefault="00687551" w:rsidP="00687551">
      <w:pPr>
        <w:tabs>
          <w:tab w:val="left" w:pos="5760"/>
          <w:tab w:val="left" w:pos="7200"/>
        </w:tabs>
        <w:jc w:val="center"/>
        <w:rPr>
          <w:b/>
          <w:caps/>
          <w:sz w:val="26"/>
          <w:szCs w:val="26"/>
        </w:rPr>
      </w:pPr>
      <w:r w:rsidRPr="00FD17B0">
        <w:rPr>
          <w:b/>
          <w:sz w:val="26"/>
          <w:szCs w:val="26"/>
        </w:rPr>
        <w:t>IMPLEMENTATION ORDER</w:t>
      </w:r>
    </w:p>
    <w:p w14:paraId="51C40D0B" w14:textId="77777777" w:rsidR="00F25403" w:rsidRPr="00FD17B0" w:rsidRDefault="00F25403" w:rsidP="00B414F2">
      <w:pPr>
        <w:tabs>
          <w:tab w:val="left" w:pos="5760"/>
          <w:tab w:val="left" w:pos="7020"/>
        </w:tabs>
        <w:rPr>
          <w:sz w:val="26"/>
          <w:szCs w:val="26"/>
        </w:rPr>
      </w:pPr>
    </w:p>
    <w:p w14:paraId="69353CE1" w14:textId="77777777" w:rsidR="00F25403" w:rsidRPr="00FD17B0" w:rsidRDefault="00F25403" w:rsidP="00F25403">
      <w:pPr>
        <w:rPr>
          <w:sz w:val="26"/>
          <w:szCs w:val="26"/>
        </w:rPr>
      </w:pPr>
    </w:p>
    <w:p w14:paraId="2C9F6607" w14:textId="77777777" w:rsidR="00803661" w:rsidRPr="00FD17B0" w:rsidRDefault="00F25403" w:rsidP="00803661">
      <w:pPr>
        <w:ind w:left="720" w:hanging="720"/>
        <w:rPr>
          <w:b/>
          <w:sz w:val="26"/>
          <w:szCs w:val="26"/>
        </w:rPr>
      </w:pPr>
      <w:r w:rsidRPr="00FD17B0">
        <w:rPr>
          <w:b/>
          <w:sz w:val="26"/>
          <w:szCs w:val="26"/>
        </w:rPr>
        <w:t>Re:</w:t>
      </w:r>
      <w:r w:rsidRPr="00FD17B0">
        <w:rPr>
          <w:b/>
          <w:sz w:val="26"/>
          <w:szCs w:val="26"/>
        </w:rPr>
        <w:tab/>
      </w:r>
      <w:r w:rsidR="00803661" w:rsidRPr="00FD17B0">
        <w:rPr>
          <w:b/>
          <w:sz w:val="26"/>
          <w:szCs w:val="26"/>
        </w:rPr>
        <w:t>Implementation of Section 1329 of the Public Utility Code</w:t>
      </w:r>
    </w:p>
    <w:p w14:paraId="3A6D746E" w14:textId="254A904B" w:rsidR="00F25403" w:rsidRPr="00FD17B0" w:rsidRDefault="00B14F9F" w:rsidP="00803661">
      <w:pPr>
        <w:ind w:left="720"/>
        <w:rPr>
          <w:b/>
          <w:sz w:val="26"/>
          <w:szCs w:val="26"/>
        </w:rPr>
      </w:pPr>
      <w:r w:rsidRPr="00FD17B0">
        <w:rPr>
          <w:b/>
          <w:sz w:val="26"/>
          <w:szCs w:val="26"/>
        </w:rPr>
        <w:t xml:space="preserve">Docket No. </w:t>
      </w:r>
      <w:r w:rsidR="00803661" w:rsidRPr="00FD17B0">
        <w:rPr>
          <w:b/>
          <w:sz w:val="26"/>
          <w:szCs w:val="26"/>
        </w:rPr>
        <w:t>M-2016-2543193</w:t>
      </w:r>
    </w:p>
    <w:p w14:paraId="141880FF" w14:textId="77777777" w:rsidR="00DF2494" w:rsidRPr="00FD17B0" w:rsidRDefault="00DF2494" w:rsidP="00B414F2">
      <w:pPr>
        <w:ind w:left="720" w:hanging="720"/>
        <w:rPr>
          <w:b/>
          <w:sz w:val="26"/>
          <w:szCs w:val="26"/>
        </w:rPr>
      </w:pPr>
    </w:p>
    <w:p w14:paraId="61731DC7" w14:textId="53E26E8B" w:rsidR="00803661" w:rsidRPr="00FD17B0" w:rsidRDefault="00970A95" w:rsidP="00A82B8C">
      <w:pPr>
        <w:rPr>
          <w:sz w:val="26"/>
          <w:szCs w:val="26"/>
        </w:rPr>
      </w:pPr>
      <w:r w:rsidRPr="00FD17B0">
        <w:rPr>
          <w:sz w:val="26"/>
          <w:szCs w:val="26"/>
        </w:rPr>
        <w:tab/>
      </w:r>
      <w:r w:rsidR="003B785A" w:rsidRPr="00FD17B0">
        <w:rPr>
          <w:sz w:val="26"/>
          <w:szCs w:val="26"/>
        </w:rPr>
        <w:t xml:space="preserve">On </w:t>
      </w:r>
      <w:r w:rsidR="00803661" w:rsidRPr="00FD17B0">
        <w:rPr>
          <w:sz w:val="26"/>
          <w:szCs w:val="26"/>
        </w:rPr>
        <w:t>February 28</w:t>
      </w:r>
      <w:r w:rsidR="003B785A" w:rsidRPr="00FD17B0">
        <w:rPr>
          <w:sz w:val="26"/>
          <w:szCs w:val="26"/>
        </w:rPr>
        <w:t>, 201</w:t>
      </w:r>
      <w:r w:rsidR="00803661" w:rsidRPr="00FD17B0">
        <w:rPr>
          <w:sz w:val="26"/>
          <w:szCs w:val="26"/>
        </w:rPr>
        <w:t>9</w:t>
      </w:r>
      <w:r w:rsidR="003B785A" w:rsidRPr="00FD17B0">
        <w:rPr>
          <w:sz w:val="26"/>
          <w:szCs w:val="26"/>
        </w:rPr>
        <w:t>,</w:t>
      </w:r>
      <w:r w:rsidR="00803661" w:rsidRPr="00FD17B0">
        <w:rPr>
          <w:sz w:val="26"/>
          <w:szCs w:val="26"/>
        </w:rPr>
        <w:t xml:space="preserve"> the Pennsylvania Public Utility Commission entered the Final Supplemental Implementation Order at the above-referenced docket.  That Order includes a </w:t>
      </w:r>
      <w:proofErr w:type="gramStart"/>
      <w:r w:rsidR="00803661" w:rsidRPr="00FD17B0">
        <w:rPr>
          <w:sz w:val="26"/>
          <w:szCs w:val="26"/>
        </w:rPr>
        <w:t>ninety-four page</w:t>
      </w:r>
      <w:proofErr w:type="gramEnd"/>
      <w:r w:rsidR="00803661" w:rsidRPr="00FD17B0">
        <w:rPr>
          <w:sz w:val="26"/>
          <w:szCs w:val="26"/>
        </w:rPr>
        <w:t xml:space="preserve"> narrative along with four appendices.  These </w:t>
      </w:r>
      <w:r w:rsidR="005A558E" w:rsidRPr="00FD17B0">
        <w:rPr>
          <w:sz w:val="26"/>
          <w:szCs w:val="26"/>
        </w:rPr>
        <w:t xml:space="preserve">appendices </w:t>
      </w:r>
      <w:r w:rsidR="00803661" w:rsidRPr="00FD17B0">
        <w:rPr>
          <w:sz w:val="26"/>
          <w:szCs w:val="26"/>
        </w:rPr>
        <w:t>include the following:</w:t>
      </w:r>
    </w:p>
    <w:p w14:paraId="728EC364" w14:textId="77777777" w:rsidR="00803661" w:rsidRPr="00FD17B0" w:rsidRDefault="00803661" w:rsidP="00A82B8C">
      <w:pPr>
        <w:rPr>
          <w:sz w:val="26"/>
          <w:szCs w:val="26"/>
        </w:rPr>
      </w:pPr>
    </w:p>
    <w:p w14:paraId="0B1972BC" w14:textId="5E681741" w:rsidR="003B785A" w:rsidRPr="00FD17B0" w:rsidRDefault="00803661" w:rsidP="00803661">
      <w:pPr>
        <w:ind w:firstLine="720"/>
        <w:rPr>
          <w:sz w:val="26"/>
          <w:szCs w:val="26"/>
        </w:rPr>
      </w:pPr>
      <w:r w:rsidRPr="00FD17B0">
        <w:rPr>
          <w:sz w:val="26"/>
          <w:szCs w:val="26"/>
        </w:rPr>
        <w:t>Appendix A - Section 1329 Application Filing Checklist</w:t>
      </w:r>
    </w:p>
    <w:p w14:paraId="5A510269" w14:textId="70D66243" w:rsidR="00803661" w:rsidRPr="00FD17B0" w:rsidRDefault="00803661" w:rsidP="00803661">
      <w:pPr>
        <w:ind w:firstLine="720"/>
        <w:rPr>
          <w:sz w:val="26"/>
          <w:szCs w:val="26"/>
        </w:rPr>
      </w:pPr>
    </w:p>
    <w:p w14:paraId="6B84A8A9" w14:textId="6494A8C2" w:rsidR="00803661" w:rsidRPr="00FD17B0" w:rsidRDefault="00803661" w:rsidP="00803661">
      <w:pPr>
        <w:ind w:firstLine="720"/>
        <w:rPr>
          <w:sz w:val="26"/>
          <w:szCs w:val="26"/>
        </w:rPr>
      </w:pPr>
      <w:r w:rsidRPr="00FD17B0">
        <w:rPr>
          <w:sz w:val="26"/>
          <w:szCs w:val="26"/>
        </w:rPr>
        <w:t>Appendix B - Section 1329 Application Standard Data Requests</w:t>
      </w:r>
    </w:p>
    <w:p w14:paraId="361B1463" w14:textId="47E9E1BF" w:rsidR="00803661" w:rsidRPr="00FD17B0" w:rsidRDefault="00803661" w:rsidP="00803661">
      <w:pPr>
        <w:ind w:firstLine="720"/>
        <w:rPr>
          <w:sz w:val="26"/>
          <w:szCs w:val="26"/>
        </w:rPr>
      </w:pPr>
    </w:p>
    <w:p w14:paraId="728636AC" w14:textId="364FFF60" w:rsidR="00803661" w:rsidRPr="00FD17B0" w:rsidRDefault="00803661" w:rsidP="00803661">
      <w:pPr>
        <w:ind w:firstLine="720"/>
        <w:rPr>
          <w:sz w:val="26"/>
          <w:szCs w:val="26"/>
        </w:rPr>
      </w:pPr>
      <w:r w:rsidRPr="00FD17B0">
        <w:rPr>
          <w:sz w:val="26"/>
          <w:szCs w:val="26"/>
        </w:rPr>
        <w:t>Appendix C - Additional Guidelines for Utility Valuation Experts</w:t>
      </w:r>
    </w:p>
    <w:p w14:paraId="3604E602" w14:textId="74F8B649" w:rsidR="00803661" w:rsidRPr="00FD17B0" w:rsidRDefault="00803661" w:rsidP="00803661">
      <w:pPr>
        <w:ind w:firstLine="720"/>
        <w:rPr>
          <w:sz w:val="26"/>
          <w:szCs w:val="26"/>
        </w:rPr>
      </w:pPr>
    </w:p>
    <w:p w14:paraId="04760D61" w14:textId="2F43B13A" w:rsidR="00803661" w:rsidRPr="00FD17B0" w:rsidRDefault="00803661" w:rsidP="00803661">
      <w:pPr>
        <w:ind w:firstLine="720"/>
        <w:rPr>
          <w:sz w:val="26"/>
          <w:szCs w:val="26"/>
        </w:rPr>
      </w:pPr>
      <w:r w:rsidRPr="00FD17B0">
        <w:rPr>
          <w:sz w:val="26"/>
          <w:szCs w:val="26"/>
        </w:rPr>
        <w:t xml:space="preserve">Appendix D </w:t>
      </w:r>
      <w:r w:rsidR="005A558E" w:rsidRPr="00FD17B0">
        <w:rPr>
          <w:sz w:val="26"/>
          <w:szCs w:val="26"/>
        </w:rPr>
        <w:t xml:space="preserve">- </w:t>
      </w:r>
      <w:r w:rsidR="007D05B6" w:rsidRPr="00FD17B0">
        <w:rPr>
          <w:sz w:val="26"/>
          <w:szCs w:val="26"/>
        </w:rPr>
        <w:t>Utility</w:t>
      </w:r>
      <w:r w:rsidR="005A558E" w:rsidRPr="00FD17B0">
        <w:rPr>
          <w:sz w:val="26"/>
          <w:szCs w:val="26"/>
        </w:rPr>
        <w:t xml:space="preserve"> Valuation Expert Direct Testimony Template</w:t>
      </w:r>
    </w:p>
    <w:p w14:paraId="6A533D55" w14:textId="77777777" w:rsidR="003B785A" w:rsidRPr="00FD17B0" w:rsidRDefault="003B785A" w:rsidP="00A82B8C">
      <w:pPr>
        <w:rPr>
          <w:sz w:val="26"/>
          <w:szCs w:val="26"/>
        </w:rPr>
      </w:pPr>
    </w:p>
    <w:p w14:paraId="1664D813" w14:textId="5E360175" w:rsidR="005A558E" w:rsidRPr="00FD17B0" w:rsidRDefault="005A558E" w:rsidP="005A558E">
      <w:pPr>
        <w:rPr>
          <w:sz w:val="26"/>
          <w:szCs w:val="26"/>
        </w:rPr>
      </w:pPr>
      <w:r w:rsidRPr="00FD17B0">
        <w:rPr>
          <w:sz w:val="26"/>
          <w:szCs w:val="26"/>
        </w:rPr>
        <w:t xml:space="preserve">Appendices A-D were inadvertently omitted from the February 28, 2019 Commission service of the Final </w:t>
      </w:r>
      <w:r w:rsidR="00A40D6A" w:rsidRPr="00FD17B0">
        <w:rPr>
          <w:sz w:val="26"/>
          <w:szCs w:val="26"/>
        </w:rPr>
        <w:t xml:space="preserve">Supplemental </w:t>
      </w:r>
      <w:r w:rsidRPr="00FD17B0">
        <w:rPr>
          <w:sz w:val="26"/>
          <w:szCs w:val="26"/>
        </w:rPr>
        <w:t xml:space="preserve">Implementation Order.  Copies of the Appendices are included here.  The Commission apologizes for any inconvenience.  Electronic copies of the </w:t>
      </w:r>
      <w:r w:rsidR="00A40D6A" w:rsidRPr="00FD17B0">
        <w:rPr>
          <w:sz w:val="26"/>
          <w:szCs w:val="26"/>
        </w:rPr>
        <w:t>A</w:t>
      </w:r>
      <w:r w:rsidRPr="00FD17B0">
        <w:rPr>
          <w:sz w:val="26"/>
          <w:szCs w:val="26"/>
        </w:rPr>
        <w:t xml:space="preserve">ppendices are available on the Commission’s website at </w:t>
      </w:r>
      <w:hyperlink r:id="rId12" w:history="1">
        <w:r w:rsidRPr="00FD17B0">
          <w:rPr>
            <w:rStyle w:val="Hyperlink"/>
            <w:sz w:val="26"/>
            <w:szCs w:val="26"/>
          </w:rPr>
          <w:t>www.puc.pa.gov</w:t>
        </w:r>
      </w:hyperlink>
      <w:r w:rsidRPr="00FD17B0">
        <w:rPr>
          <w:sz w:val="26"/>
          <w:szCs w:val="26"/>
        </w:rPr>
        <w:t xml:space="preserve">. </w:t>
      </w:r>
    </w:p>
    <w:p w14:paraId="0993B9A6" w14:textId="3E612300" w:rsidR="001C07DF" w:rsidRPr="00FD17B0" w:rsidRDefault="001C07DF" w:rsidP="00A61871">
      <w:pPr>
        <w:ind w:firstLine="720"/>
        <w:rPr>
          <w:sz w:val="26"/>
          <w:szCs w:val="26"/>
        </w:rPr>
      </w:pPr>
    </w:p>
    <w:p w14:paraId="4A765475" w14:textId="4D6BF273" w:rsidR="00573262" w:rsidRPr="00FD17B0" w:rsidRDefault="00D64657" w:rsidP="00D64657">
      <w:pPr>
        <w:rPr>
          <w:sz w:val="26"/>
          <w:szCs w:val="26"/>
        </w:rPr>
      </w:pPr>
      <w:r w:rsidRPr="00FD17B0">
        <w:rPr>
          <w:sz w:val="26"/>
          <w:szCs w:val="26"/>
        </w:rPr>
        <w:tab/>
        <w:t xml:space="preserve"> </w:t>
      </w:r>
      <w:r w:rsidR="00873EEF" w:rsidRPr="00FD17B0">
        <w:rPr>
          <w:sz w:val="26"/>
          <w:szCs w:val="26"/>
        </w:rPr>
        <w:t xml:space="preserve">  </w:t>
      </w:r>
      <w:r w:rsidR="006F3543" w:rsidRPr="00FD17B0">
        <w:rPr>
          <w:sz w:val="26"/>
          <w:szCs w:val="26"/>
        </w:rPr>
        <w:t xml:space="preserve"> </w:t>
      </w:r>
      <w:r w:rsidR="00873EEF" w:rsidRPr="00FD17B0">
        <w:rPr>
          <w:sz w:val="26"/>
          <w:szCs w:val="26"/>
        </w:rPr>
        <w:t xml:space="preserve"> </w:t>
      </w:r>
      <w:r w:rsidR="006F3543" w:rsidRPr="00FD17B0">
        <w:rPr>
          <w:sz w:val="26"/>
          <w:szCs w:val="26"/>
        </w:rPr>
        <w:t xml:space="preserve">  </w:t>
      </w:r>
      <w:r w:rsidR="00347A10" w:rsidRPr="00FD17B0">
        <w:rPr>
          <w:sz w:val="26"/>
          <w:szCs w:val="26"/>
        </w:rPr>
        <w:tab/>
      </w:r>
    </w:p>
    <w:p w14:paraId="3892D9FB" w14:textId="41410550" w:rsidR="00930003" w:rsidRPr="00FD17B0" w:rsidRDefault="00026A1D" w:rsidP="00B414F2">
      <w:pPr>
        <w:tabs>
          <w:tab w:val="left" w:pos="720"/>
          <w:tab w:val="left" w:pos="5040"/>
        </w:tabs>
        <w:rPr>
          <w:sz w:val="26"/>
          <w:szCs w:val="26"/>
        </w:rPr>
      </w:pPr>
      <w:r>
        <w:rPr>
          <w:noProof/>
        </w:rPr>
        <w:drawing>
          <wp:anchor distT="0" distB="0" distL="114300" distR="114300" simplePos="0" relativeHeight="251659264" behindDoc="1" locked="0" layoutInCell="1" allowOverlap="1" wp14:anchorId="76ABF98E" wp14:editId="15E526E2">
            <wp:simplePos x="0" y="0"/>
            <wp:positionH relativeFrom="column">
              <wp:posOffset>3133725</wp:posOffset>
            </wp:positionH>
            <wp:positionV relativeFrom="paragraph">
              <wp:posOffset>86360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003" w:rsidRPr="00FD17B0">
        <w:rPr>
          <w:sz w:val="26"/>
          <w:szCs w:val="26"/>
        </w:rPr>
        <w:tab/>
      </w:r>
      <w:r w:rsidR="00930003" w:rsidRPr="00FD17B0">
        <w:rPr>
          <w:sz w:val="26"/>
          <w:szCs w:val="26"/>
        </w:rPr>
        <w:tab/>
        <w:t>Sincerely,</w:t>
      </w:r>
    </w:p>
    <w:p w14:paraId="74C144FA" w14:textId="77777777" w:rsidR="00930003" w:rsidRPr="00FD17B0" w:rsidRDefault="00930003" w:rsidP="00B414F2">
      <w:pPr>
        <w:tabs>
          <w:tab w:val="left" w:pos="720"/>
          <w:tab w:val="left" w:pos="5040"/>
        </w:tabs>
        <w:rPr>
          <w:sz w:val="26"/>
          <w:szCs w:val="26"/>
        </w:rPr>
      </w:pPr>
    </w:p>
    <w:p w14:paraId="35802002" w14:textId="77777777" w:rsidR="00573262" w:rsidRPr="00FD17B0" w:rsidRDefault="00573262" w:rsidP="00B414F2">
      <w:pPr>
        <w:tabs>
          <w:tab w:val="left" w:pos="720"/>
          <w:tab w:val="left" w:pos="5040"/>
        </w:tabs>
        <w:rPr>
          <w:sz w:val="26"/>
          <w:szCs w:val="26"/>
        </w:rPr>
      </w:pPr>
    </w:p>
    <w:p w14:paraId="0F58C9DE" w14:textId="77777777" w:rsidR="00573262" w:rsidRPr="00FD17B0" w:rsidRDefault="00573262" w:rsidP="00B414F2">
      <w:pPr>
        <w:tabs>
          <w:tab w:val="left" w:pos="720"/>
          <w:tab w:val="left" w:pos="5040"/>
        </w:tabs>
        <w:rPr>
          <w:sz w:val="26"/>
          <w:szCs w:val="26"/>
        </w:rPr>
      </w:pPr>
      <w:bookmarkStart w:id="0" w:name="_GoBack"/>
      <w:bookmarkEnd w:id="0"/>
    </w:p>
    <w:p w14:paraId="5C44F4A8" w14:textId="77777777" w:rsidR="00930003" w:rsidRPr="00FD17B0" w:rsidRDefault="00930003" w:rsidP="00930003">
      <w:pPr>
        <w:pStyle w:val="Heading1"/>
        <w:rPr>
          <w:sz w:val="26"/>
          <w:szCs w:val="26"/>
        </w:rPr>
      </w:pPr>
      <w:r w:rsidRPr="00FD17B0">
        <w:rPr>
          <w:sz w:val="26"/>
          <w:szCs w:val="26"/>
        </w:rPr>
        <w:tab/>
      </w:r>
      <w:r w:rsidRPr="00FD17B0">
        <w:rPr>
          <w:sz w:val="26"/>
          <w:szCs w:val="26"/>
        </w:rPr>
        <w:tab/>
      </w:r>
      <w:r w:rsidRPr="00FD17B0">
        <w:rPr>
          <w:sz w:val="26"/>
          <w:szCs w:val="26"/>
        </w:rPr>
        <w:tab/>
      </w:r>
      <w:r w:rsidR="001F2EDC" w:rsidRPr="00FD17B0">
        <w:rPr>
          <w:sz w:val="26"/>
          <w:szCs w:val="26"/>
        </w:rPr>
        <w:tab/>
      </w:r>
      <w:r w:rsidR="001F2EDC" w:rsidRPr="00FD17B0">
        <w:rPr>
          <w:sz w:val="26"/>
          <w:szCs w:val="26"/>
        </w:rPr>
        <w:tab/>
      </w:r>
      <w:r w:rsidR="001F2EDC" w:rsidRPr="00FD17B0">
        <w:rPr>
          <w:sz w:val="26"/>
          <w:szCs w:val="26"/>
        </w:rPr>
        <w:tab/>
      </w:r>
      <w:r w:rsidR="001F2EDC" w:rsidRPr="00FD17B0">
        <w:rPr>
          <w:sz w:val="26"/>
          <w:szCs w:val="26"/>
        </w:rPr>
        <w:tab/>
      </w:r>
      <w:r w:rsidR="00335A29" w:rsidRPr="00FD17B0">
        <w:rPr>
          <w:sz w:val="26"/>
          <w:szCs w:val="26"/>
        </w:rPr>
        <w:t>Rosemary Chiavetta</w:t>
      </w:r>
    </w:p>
    <w:p w14:paraId="5C6AB4E9" w14:textId="77777777" w:rsidR="00573262" w:rsidRPr="00FD17B0" w:rsidRDefault="003F07C8" w:rsidP="00B414F2">
      <w:pPr>
        <w:tabs>
          <w:tab w:val="left" w:pos="720"/>
          <w:tab w:val="left" w:pos="5040"/>
        </w:tabs>
        <w:rPr>
          <w:sz w:val="26"/>
          <w:szCs w:val="26"/>
        </w:rPr>
      </w:pPr>
      <w:r w:rsidRPr="00FD17B0">
        <w:rPr>
          <w:sz w:val="26"/>
          <w:szCs w:val="26"/>
        </w:rPr>
        <w:tab/>
      </w:r>
      <w:r w:rsidRPr="00FD17B0">
        <w:rPr>
          <w:sz w:val="26"/>
          <w:szCs w:val="26"/>
        </w:rPr>
        <w:tab/>
        <w:t>Secretary</w:t>
      </w:r>
    </w:p>
    <w:p w14:paraId="04AB2D5C" w14:textId="77777777" w:rsidR="00573262" w:rsidRDefault="00573262" w:rsidP="00B414F2">
      <w:pPr>
        <w:tabs>
          <w:tab w:val="left" w:pos="720"/>
          <w:tab w:val="left" w:pos="5040"/>
        </w:tabs>
        <w:rPr>
          <w:sz w:val="26"/>
          <w:szCs w:val="26"/>
        </w:rPr>
      </w:pPr>
    </w:p>
    <w:p w14:paraId="35F7C650" w14:textId="77777777" w:rsidR="00573262" w:rsidRPr="003C56E2" w:rsidRDefault="00573262" w:rsidP="00B414F2">
      <w:pPr>
        <w:tabs>
          <w:tab w:val="left" w:pos="720"/>
          <w:tab w:val="left" w:pos="5040"/>
        </w:tabs>
        <w:rPr>
          <w:sz w:val="26"/>
          <w:szCs w:val="26"/>
        </w:rPr>
      </w:pPr>
    </w:p>
    <w:sectPr w:rsidR="00573262" w:rsidRPr="003C56E2" w:rsidSect="0084218B">
      <w:footerReference w:type="even"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661D" w14:textId="77777777" w:rsidR="00461D67" w:rsidRDefault="00461D67">
      <w:r>
        <w:separator/>
      </w:r>
    </w:p>
  </w:endnote>
  <w:endnote w:type="continuationSeparator" w:id="0">
    <w:p w14:paraId="27AA5BB8" w14:textId="77777777" w:rsidR="00461D67" w:rsidRDefault="00461D67">
      <w:r>
        <w:continuationSeparator/>
      </w:r>
    </w:p>
  </w:endnote>
  <w:endnote w:type="continuationNotice" w:id="1">
    <w:p w14:paraId="4425A468" w14:textId="77777777" w:rsidR="00461D67" w:rsidRDefault="00461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DFAD"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BC869" w14:textId="77777777" w:rsidR="0027054C" w:rsidRDefault="0027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CFFF"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14:paraId="1BCB388A" w14:textId="77777777" w:rsidR="0027054C" w:rsidRDefault="00270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35A1" w14:textId="77777777"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E51F62" w14:textId="77777777" w:rsidR="0027054C" w:rsidRDefault="00270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DC9B" w14:textId="77777777" w:rsidR="0027054C" w:rsidRDefault="0027054C">
    <w:pPr>
      <w:pStyle w:val="Footer"/>
      <w:jc w:val="center"/>
    </w:pPr>
    <w:r>
      <w:fldChar w:fldCharType="begin"/>
    </w:r>
    <w:r>
      <w:instrText xml:space="preserve"> PAGE   \* MERGEFORMAT </w:instrText>
    </w:r>
    <w:r>
      <w:fldChar w:fldCharType="separate"/>
    </w:r>
    <w:r w:rsidR="00BC68FE">
      <w:rPr>
        <w:noProof/>
      </w:rPr>
      <w:t>3</w:t>
    </w:r>
    <w:r>
      <w:rPr>
        <w:noProof/>
      </w:rPr>
      <w:fldChar w:fldCharType="end"/>
    </w:r>
  </w:p>
  <w:p w14:paraId="1E0C289C" w14:textId="77777777" w:rsidR="0027054C" w:rsidRDefault="0027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F14E5" w14:textId="77777777" w:rsidR="00461D67" w:rsidRDefault="00461D67">
      <w:r>
        <w:separator/>
      </w:r>
    </w:p>
  </w:footnote>
  <w:footnote w:type="continuationSeparator" w:id="0">
    <w:p w14:paraId="2340691D" w14:textId="77777777" w:rsidR="00461D67" w:rsidRDefault="00461D67">
      <w:r>
        <w:continuationSeparator/>
      </w:r>
    </w:p>
  </w:footnote>
  <w:footnote w:type="continuationNotice" w:id="1">
    <w:p w14:paraId="0ADEA91A" w14:textId="77777777" w:rsidR="00461D67" w:rsidRDefault="00461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60A2" w14:textId="77777777" w:rsidR="00B414F2" w:rsidRDefault="00B41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6"/>
  </w:num>
  <w:num w:numId="5">
    <w:abstractNumId w:val="14"/>
  </w:num>
  <w:num w:numId="6">
    <w:abstractNumId w:val="4"/>
  </w:num>
  <w:num w:numId="7">
    <w:abstractNumId w:val="15"/>
  </w:num>
  <w:num w:numId="8">
    <w:abstractNumId w:val="13"/>
  </w:num>
  <w:num w:numId="9">
    <w:abstractNumId w:val="0"/>
  </w:num>
  <w:num w:numId="10">
    <w:abstractNumId w:val="11"/>
  </w:num>
  <w:num w:numId="11">
    <w:abstractNumId w:val="2"/>
  </w:num>
  <w:num w:numId="12">
    <w:abstractNumId w:val="7"/>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2499A"/>
    <w:rsid w:val="00026A1D"/>
    <w:rsid w:val="0002763A"/>
    <w:rsid w:val="00034796"/>
    <w:rsid w:val="0004604B"/>
    <w:rsid w:val="0005730C"/>
    <w:rsid w:val="0006085A"/>
    <w:rsid w:val="00067B3B"/>
    <w:rsid w:val="00067F2B"/>
    <w:rsid w:val="00075539"/>
    <w:rsid w:val="00076B03"/>
    <w:rsid w:val="00076F23"/>
    <w:rsid w:val="00080A75"/>
    <w:rsid w:val="000816F6"/>
    <w:rsid w:val="00083245"/>
    <w:rsid w:val="00083963"/>
    <w:rsid w:val="00091504"/>
    <w:rsid w:val="00094150"/>
    <w:rsid w:val="000A68CC"/>
    <w:rsid w:val="000B53A1"/>
    <w:rsid w:val="000D48C3"/>
    <w:rsid w:val="000E1DD1"/>
    <w:rsid w:val="000E4C77"/>
    <w:rsid w:val="000E5648"/>
    <w:rsid w:val="000F711A"/>
    <w:rsid w:val="00115CAF"/>
    <w:rsid w:val="0012016E"/>
    <w:rsid w:val="001209F1"/>
    <w:rsid w:val="0012404A"/>
    <w:rsid w:val="00124DD5"/>
    <w:rsid w:val="00136F64"/>
    <w:rsid w:val="0014179A"/>
    <w:rsid w:val="00152F72"/>
    <w:rsid w:val="001547A1"/>
    <w:rsid w:val="00170283"/>
    <w:rsid w:val="00170789"/>
    <w:rsid w:val="001743D0"/>
    <w:rsid w:val="001B588A"/>
    <w:rsid w:val="001B6399"/>
    <w:rsid w:val="001C07DF"/>
    <w:rsid w:val="001D5DBB"/>
    <w:rsid w:val="001E1BF3"/>
    <w:rsid w:val="001E48B2"/>
    <w:rsid w:val="001F2EDC"/>
    <w:rsid w:val="00202276"/>
    <w:rsid w:val="00203780"/>
    <w:rsid w:val="00206F2B"/>
    <w:rsid w:val="00221F61"/>
    <w:rsid w:val="002229C3"/>
    <w:rsid w:val="00232C83"/>
    <w:rsid w:val="002367C5"/>
    <w:rsid w:val="0023795A"/>
    <w:rsid w:val="0025446A"/>
    <w:rsid w:val="00261A11"/>
    <w:rsid w:val="00261BBB"/>
    <w:rsid w:val="0027054C"/>
    <w:rsid w:val="00280E91"/>
    <w:rsid w:val="00284E35"/>
    <w:rsid w:val="00285461"/>
    <w:rsid w:val="00290618"/>
    <w:rsid w:val="002907DD"/>
    <w:rsid w:val="00292374"/>
    <w:rsid w:val="0029471C"/>
    <w:rsid w:val="002A464E"/>
    <w:rsid w:val="002A4E0F"/>
    <w:rsid w:val="002A52A0"/>
    <w:rsid w:val="002B0C60"/>
    <w:rsid w:val="002C08FE"/>
    <w:rsid w:val="002D7E06"/>
    <w:rsid w:val="002F0138"/>
    <w:rsid w:val="00301A20"/>
    <w:rsid w:val="00303D80"/>
    <w:rsid w:val="00307FF2"/>
    <w:rsid w:val="00313F77"/>
    <w:rsid w:val="0031429F"/>
    <w:rsid w:val="00323A6F"/>
    <w:rsid w:val="0032677D"/>
    <w:rsid w:val="00335A29"/>
    <w:rsid w:val="00341AC9"/>
    <w:rsid w:val="00341B56"/>
    <w:rsid w:val="00345522"/>
    <w:rsid w:val="00347A10"/>
    <w:rsid w:val="003516A6"/>
    <w:rsid w:val="00353111"/>
    <w:rsid w:val="0035626C"/>
    <w:rsid w:val="003569E8"/>
    <w:rsid w:val="00366A65"/>
    <w:rsid w:val="00370A14"/>
    <w:rsid w:val="0037360B"/>
    <w:rsid w:val="00382785"/>
    <w:rsid w:val="00386D99"/>
    <w:rsid w:val="00392538"/>
    <w:rsid w:val="003B26C3"/>
    <w:rsid w:val="003B552B"/>
    <w:rsid w:val="003B785A"/>
    <w:rsid w:val="003C102A"/>
    <w:rsid w:val="003C56E2"/>
    <w:rsid w:val="003C5769"/>
    <w:rsid w:val="003E04B4"/>
    <w:rsid w:val="003E4B39"/>
    <w:rsid w:val="003F07C8"/>
    <w:rsid w:val="00401E1A"/>
    <w:rsid w:val="004047EC"/>
    <w:rsid w:val="0042140E"/>
    <w:rsid w:val="004246D9"/>
    <w:rsid w:val="00455F78"/>
    <w:rsid w:val="00461D67"/>
    <w:rsid w:val="00463C82"/>
    <w:rsid w:val="0049553A"/>
    <w:rsid w:val="004A1767"/>
    <w:rsid w:val="004C1524"/>
    <w:rsid w:val="004C1EC4"/>
    <w:rsid w:val="004D10D0"/>
    <w:rsid w:val="004D2698"/>
    <w:rsid w:val="004F32B3"/>
    <w:rsid w:val="004F5AAA"/>
    <w:rsid w:val="00503409"/>
    <w:rsid w:val="00504515"/>
    <w:rsid w:val="005102F7"/>
    <w:rsid w:val="00513DCA"/>
    <w:rsid w:val="00514EA3"/>
    <w:rsid w:val="0051639C"/>
    <w:rsid w:val="00523C67"/>
    <w:rsid w:val="00526ADA"/>
    <w:rsid w:val="00526F31"/>
    <w:rsid w:val="00530F15"/>
    <w:rsid w:val="00540F1C"/>
    <w:rsid w:val="00545968"/>
    <w:rsid w:val="00554F51"/>
    <w:rsid w:val="00563E8F"/>
    <w:rsid w:val="00563F20"/>
    <w:rsid w:val="00566E5A"/>
    <w:rsid w:val="00573262"/>
    <w:rsid w:val="00581352"/>
    <w:rsid w:val="00584C01"/>
    <w:rsid w:val="005A0955"/>
    <w:rsid w:val="005A558E"/>
    <w:rsid w:val="005B3262"/>
    <w:rsid w:val="005B58B7"/>
    <w:rsid w:val="005C03C4"/>
    <w:rsid w:val="005C5A49"/>
    <w:rsid w:val="005E25C5"/>
    <w:rsid w:val="005E3690"/>
    <w:rsid w:val="005E5E63"/>
    <w:rsid w:val="005F3D24"/>
    <w:rsid w:val="0062315E"/>
    <w:rsid w:val="006375A3"/>
    <w:rsid w:val="006375FE"/>
    <w:rsid w:val="00641C58"/>
    <w:rsid w:val="006432D9"/>
    <w:rsid w:val="00662427"/>
    <w:rsid w:val="00665587"/>
    <w:rsid w:val="00672262"/>
    <w:rsid w:val="00672F33"/>
    <w:rsid w:val="006755C0"/>
    <w:rsid w:val="0067617E"/>
    <w:rsid w:val="00687551"/>
    <w:rsid w:val="006A1D3F"/>
    <w:rsid w:val="006C2028"/>
    <w:rsid w:val="006C5C47"/>
    <w:rsid w:val="006C64F8"/>
    <w:rsid w:val="006D6779"/>
    <w:rsid w:val="006E1A84"/>
    <w:rsid w:val="006F3543"/>
    <w:rsid w:val="00700501"/>
    <w:rsid w:val="00701D53"/>
    <w:rsid w:val="00701ED5"/>
    <w:rsid w:val="00721FA8"/>
    <w:rsid w:val="007232D8"/>
    <w:rsid w:val="0075019A"/>
    <w:rsid w:val="007617B1"/>
    <w:rsid w:val="0077210F"/>
    <w:rsid w:val="00772716"/>
    <w:rsid w:val="00773F47"/>
    <w:rsid w:val="00774744"/>
    <w:rsid w:val="00775C4D"/>
    <w:rsid w:val="00792AE4"/>
    <w:rsid w:val="00794208"/>
    <w:rsid w:val="00794E58"/>
    <w:rsid w:val="007A16AE"/>
    <w:rsid w:val="007A21EA"/>
    <w:rsid w:val="007D05B6"/>
    <w:rsid w:val="007D1219"/>
    <w:rsid w:val="007E64B5"/>
    <w:rsid w:val="007F0775"/>
    <w:rsid w:val="007F2DD0"/>
    <w:rsid w:val="007F55F1"/>
    <w:rsid w:val="007F606E"/>
    <w:rsid w:val="008018EB"/>
    <w:rsid w:val="00803661"/>
    <w:rsid w:val="00803E76"/>
    <w:rsid w:val="0080792C"/>
    <w:rsid w:val="00807CAF"/>
    <w:rsid w:val="008249B0"/>
    <w:rsid w:val="0084218B"/>
    <w:rsid w:val="008476A6"/>
    <w:rsid w:val="00853B77"/>
    <w:rsid w:val="00861BBC"/>
    <w:rsid w:val="00870078"/>
    <w:rsid w:val="00873EEF"/>
    <w:rsid w:val="00882E5E"/>
    <w:rsid w:val="0089421A"/>
    <w:rsid w:val="008A2241"/>
    <w:rsid w:val="008B04D0"/>
    <w:rsid w:val="008C5743"/>
    <w:rsid w:val="008E5EA0"/>
    <w:rsid w:val="008E6FCA"/>
    <w:rsid w:val="008F4334"/>
    <w:rsid w:val="008F600A"/>
    <w:rsid w:val="008F78AA"/>
    <w:rsid w:val="00927022"/>
    <w:rsid w:val="00930003"/>
    <w:rsid w:val="00930308"/>
    <w:rsid w:val="0093258F"/>
    <w:rsid w:val="009615DA"/>
    <w:rsid w:val="00970A95"/>
    <w:rsid w:val="00976F5C"/>
    <w:rsid w:val="00984274"/>
    <w:rsid w:val="009847BF"/>
    <w:rsid w:val="00994FEF"/>
    <w:rsid w:val="00997033"/>
    <w:rsid w:val="0099767B"/>
    <w:rsid w:val="009A1144"/>
    <w:rsid w:val="009A3E77"/>
    <w:rsid w:val="009A5A76"/>
    <w:rsid w:val="009B1956"/>
    <w:rsid w:val="009B23D8"/>
    <w:rsid w:val="009B2E39"/>
    <w:rsid w:val="009B36CB"/>
    <w:rsid w:val="009C3B4F"/>
    <w:rsid w:val="009C3B80"/>
    <w:rsid w:val="009D74E1"/>
    <w:rsid w:val="009E40EC"/>
    <w:rsid w:val="009E65F6"/>
    <w:rsid w:val="009E7E5D"/>
    <w:rsid w:val="009F5F66"/>
    <w:rsid w:val="00A0038E"/>
    <w:rsid w:val="00A050A8"/>
    <w:rsid w:val="00A05BAF"/>
    <w:rsid w:val="00A0792A"/>
    <w:rsid w:val="00A10D04"/>
    <w:rsid w:val="00A16EE4"/>
    <w:rsid w:val="00A27FCF"/>
    <w:rsid w:val="00A40D6A"/>
    <w:rsid w:val="00A4660A"/>
    <w:rsid w:val="00A47A47"/>
    <w:rsid w:val="00A55AE1"/>
    <w:rsid w:val="00A55C11"/>
    <w:rsid w:val="00A573D8"/>
    <w:rsid w:val="00A61871"/>
    <w:rsid w:val="00A66D1F"/>
    <w:rsid w:val="00A80E71"/>
    <w:rsid w:val="00A8114F"/>
    <w:rsid w:val="00A82B8C"/>
    <w:rsid w:val="00A82C28"/>
    <w:rsid w:val="00A84699"/>
    <w:rsid w:val="00A955FA"/>
    <w:rsid w:val="00AA0347"/>
    <w:rsid w:val="00AA6F16"/>
    <w:rsid w:val="00AB36A9"/>
    <w:rsid w:val="00AB3E7D"/>
    <w:rsid w:val="00AC311D"/>
    <w:rsid w:val="00AD6503"/>
    <w:rsid w:val="00AD77EE"/>
    <w:rsid w:val="00AE4FAB"/>
    <w:rsid w:val="00AE6FA9"/>
    <w:rsid w:val="00AE792C"/>
    <w:rsid w:val="00AF16AC"/>
    <w:rsid w:val="00AF62A4"/>
    <w:rsid w:val="00B00393"/>
    <w:rsid w:val="00B12277"/>
    <w:rsid w:val="00B14F9F"/>
    <w:rsid w:val="00B20F0E"/>
    <w:rsid w:val="00B3013C"/>
    <w:rsid w:val="00B30A72"/>
    <w:rsid w:val="00B31B02"/>
    <w:rsid w:val="00B3551A"/>
    <w:rsid w:val="00B414F2"/>
    <w:rsid w:val="00B44A1E"/>
    <w:rsid w:val="00B4565E"/>
    <w:rsid w:val="00B607CE"/>
    <w:rsid w:val="00B61D52"/>
    <w:rsid w:val="00B62D45"/>
    <w:rsid w:val="00B6636E"/>
    <w:rsid w:val="00B719AA"/>
    <w:rsid w:val="00B758CC"/>
    <w:rsid w:val="00B90D9B"/>
    <w:rsid w:val="00B97014"/>
    <w:rsid w:val="00B97D7A"/>
    <w:rsid w:val="00BA2A05"/>
    <w:rsid w:val="00BC3A3C"/>
    <w:rsid w:val="00BC68FE"/>
    <w:rsid w:val="00BC6A54"/>
    <w:rsid w:val="00BC7ABE"/>
    <w:rsid w:val="00BD3A5C"/>
    <w:rsid w:val="00BD752E"/>
    <w:rsid w:val="00BE2A21"/>
    <w:rsid w:val="00BE33CB"/>
    <w:rsid w:val="00BE4A72"/>
    <w:rsid w:val="00BE5119"/>
    <w:rsid w:val="00BF66A8"/>
    <w:rsid w:val="00BF6D7C"/>
    <w:rsid w:val="00BF6F03"/>
    <w:rsid w:val="00C032FB"/>
    <w:rsid w:val="00C140D5"/>
    <w:rsid w:val="00C17CD5"/>
    <w:rsid w:val="00C35E20"/>
    <w:rsid w:val="00C400E2"/>
    <w:rsid w:val="00C46A62"/>
    <w:rsid w:val="00C53D34"/>
    <w:rsid w:val="00C6395B"/>
    <w:rsid w:val="00C74A51"/>
    <w:rsid w:val="00C77C13"/>
    <w:rsid w:val="00C77F29"/>
    <w:rsid w:val="00C83B15"/>
    <w:rsid w:val="00C86536"/>
    <w:rsid w:val="00C90506"/>
    <w:rsid w:val="00C95F36"/>
    <w:rsid w:val="00C96CF9"/>
    <w:rsid w:val="00CA44B2"/>
    <w:rsid w:val="00CB5080"/>
    <w:rsid w:val="00CB5738"/>
    <w:rsid w:val="00CC0A93"/>
    <w:rsid w:val="00CC402C"/>
    <w:rsid w:val="00CD4FFE"/>
    <w:rsid w:val="00CE2A65"/>
    <w:rsid w:val="00CE66C0"/>
    <w:rsid w:val="00CF047C"/>
    <w:rsid w:val="00CF1A22"/>
    <w:rsid w:val="00CF1EDE"/>
    <w:rsid w:val="00D066C7"/>
    <w:rsid w:val="00D14110"/>
    <w:rsid w:val="00D155FB"/>
    <w:rsid w:val="00D355DB"/>
    <w:rsid w:val="00D55E96"/>
    <w:rsid w:val="00D64657"/>
    <w:rsid w:val="00D64F9B"/>
    <w:rsid w:val="00D75F05"/>
    <w:rsid w:val="00DA4D87"/>
    <w:rsid w:val="00DB4F98"/>
    <w:rsid w:val="00DB7C6E"/>
    <w:rsid w:val="00DC0966"/>
    <w:rsid w:val="00DC1875"/>
    <w:rsid w:val="00DC35C5"/>
    <w:rsid w:val="00DD04E9"/>
    <w:rsid w:val="00DD1A19"/>
    <w:rsid w:val="00DD1B5A"/>
    <w:rsid w:val="00DD771F"/>
    <w:rsid w:val="00DD7880"/>
    <w:rsid w:val="00DE3C6A"/>
    <w:rsid w:val="00DE4076"/>
    <w:rsid w:val="00DF0874"/>
    <w:rsid w:val="00DF2494"/>
    <w:rsid w:val="00DF6F4E"/>
    <w:rsid w:val="00E100FF"/>
    <w:rsid w:val="00E236E3"/>
    <w:rsid w:val="00E33051"/>
    <w:rsid w:val="00E349DA"/>
    <w:rsid w:val="00E5656F"/>
    <w:rsid w:val="00E821ED"/>
    <w:rsid w:val="00E8242E"/>
    <w:rsid w:val="00E93258"/>
    <w:rsid w:val="00EC0F0A"/>
    <w:rsid w:val="00EC6401"/>
    <w:rsid w:val="00EC71DD"/>
    <w:rsid w:val="00EC7A49"/>
    <w:rsid w:val="00EC7ADB"/>
    <w:rsid w:val="00ED57C8"/>
    <w:rsid w:val="00EE0ECC"/>
    <w:rsid w:val="00F11A81"/>
    <w:rsid w:val="00F25403"/>
    <w:rsid w:val="00F50C1C"/>
    <w:rsid w:val="00F706A3"/>
    <w:rsid w:val="00F7094C"/>
    <w:rsid w:val="00F76BF1"/>
    <w:rsid w:val="00F90527"/>
    <w:rsid w:val="00FA0E37"/>
    <w:rsid w:val="00FA244D"/>
    <w:rsid w:val="00FA2FCC"/>
    <w:rsid w:val="00FB3D01"/>
    <w:rsid w:val="00FB415E"/>
    <w:rsid w:val="00FB51AE"/>
    <w:rsid w:val="00FB5900"/>
    <w:rsid w:val="00FC1D6A"/>
    <w:rsid w:val="00FD0003"/>
    <w:rsid w:val="00FD17B0"/>
    <w:rsid w:val="00FD1F4F"/>
    <w:rsid w:val="00FE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602FB"/>
  <w15:docId w15:val="{A3E65118-0287-4DBA-92E1-FF2CF7CB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character" w:styleId="UnresolvedMention">
    <w:name w:val="Unresolved Mention"/>
    <w:basedOn w:val="DefaultParagraphFont"/>
    <w:uiPriority w:val="99"/>
    <w:semiHidden/>
    <w:unhideWhenUsed/>
    <w:rsid w:val="00A81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c.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109E-C13B-455D-B7FA-FA102D96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1305</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Wagner, Nathan R</cp:lastModifiedBy>
  <cp:revision>4</cp:revision>
  <cp:lastPrinted>2018-06-14T18:36:00Z</cp:lastPrinted>
  <dcterms:created xsi:type="dcterms:W3CDTF">2019-03-01T18:27:00Z</dcterms:created>
  <dcterms:modified xsi:type="dcterms:W3CDTF">2019-03-01T18:44:00Z</dcterms:modified>
</cp:coreProperties>
</file>